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FC09" w14:textId="0CB197AD" w:rsidR="007D4E78" w:rsidRDefault="0058754E" w:rsidP="0005562C">
      <w:r>
        <w:rPr>
          <w:noProof/>
        </w:rPr>
        <w:drawing>
          <wp:inline distT="0" distB="0" distL="0" distR="0" wp14:anchorId="14148EF5" wp14:editId="56F9DDD4">
            <wp:extent cx="5132717" cy="819673"/>
            <wp:effectExtent l="0" t="0" r="0" b="0"/>
            <wp:docPr id="11243737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73706" name="Graphic 1124373706"/>
                    <pic:cNvPicPr/>
                  </pic:nvPicPr>
                  <pic:blipFill>
                    <a:blip r:embed="rId11">
                      <a:extLst>
                        <a:ext uri="{96DAC541-7B7A-43D3-8B79-37D633B846F1}">
                          <asvg:svgBlip xmlns:asvg="http://schemas.microsoft.com/office/drawing/2016/SVG/main" r:embed="rId12"/>
                        </a:ext>
                      </a:extLst>
                    </a:blip>
                    <a:stretch>
                      <a:fillRect/>
                    </a:stretch>
                  </pic:blipFill>
                  <pic:spPr>
                    <a:xfrm>
                      <a:off x="0" y="0"/>
                      <a:ext cx="5287861" cy="844449"/>
                    </a:xfrm>
                    <a:prstGeom prst="rect">
                      <a:avLst/>
                    </a:prstGeom>
                  </pic:spPr>
                </pic:pic>
              </a:graphicData>
            </a:graphic>
          </wp:inline>
        </w:drawing>
      </w:r>
    </w:p>
    <w:p w14:paraId="31DFA142" w14:textId="46A8BA81" w:rsidR="0005562C" w:rsidRDefault="002A6216" w:rsidP="0005562C">
      <w:r>
        <w:tab/>
      </w:r>
    </w:p>
    <w:p w14:paraId="3259E7D5" w14:textId="77777777" w:rsidR="0005562C" w:rsidRDefault="0005562C" w:rsidP="00B35C39">
      <w:pPr>
        <w:pStyle w:val="Title"/>
        <w:spacing w:before="0" w:after="240"/>
        <w:rPr>
          <w:rFonts w:asciiTheme="minorHAnsi" w:hAnsiTheme="minorHAnsi" w:cs="Museo-500"/>
          <w:bCs w:val="0"/>
          <w:color w:val="0070C0"/>
          <w:kern w:val="0"/>
          <w:sz w:val="48"/>
          <w:szCs w:val="48"/>
          <w:lang w:val="en-US" w:eastAsia="en-US"/>
        </w:rPr>
      </w:pPr>
      <w:r w:rsidRPr="00B34BF1">
        <w:rPr>
          <w:rFonts w:asciiTheme="minorHAnsi" w:hAnsiTheme="minorHAnsi" w:cs="Museo-500"/>
          <w:bCs w:val="0"/>
          <w:color w:val="0070C0"/>
          <w:kern w:val="0"/>
          <w:sz w:val="48"/>
          <w:szCs w:val="48"/>
          <w:lang w:val="en-US" w:eastAsia="en-US"/>
        </w:rPr>
        <w:t xml:space="preserve">Annual Prudential Compliance Statement </w:t>
      </w:r>
      <w:r w:rsidR="001C19A5" w:rsidRPr="00B34BF1">
        <w:rPr>
          <w:rFonts w:asciiTheme="minorHAnsi" w:hAnsiTheme="minorHAnsi" w:cs="Museo-500"/>
          <w:bCs w:val="0"/>
          <w:color w:val="0070C0"/>
          <w:kern w:val="0"/>
          <w:sz w:val="48"/>
          <w:szCs w:val="48"/>
          <w:lang w:val="en-US" w:eastAsia="en-US"/>
        </w:rPr>
        <w:t xml:space="preserve">(APCS) </w:t>
      </w:r>
      <w:r w:rsidRPr="00B34BF1">
        <w:rPr>
          <w:rFonts w:asciiTheme="minorHAnsi" w:hAnsiTheme="minorHAnsi" w:cs="Museo-500"/>
          <w:bCs w:val="0"/>
          <w:color w:val="0070C0"/>
          <w:kern w:val="0"/>
          <w:sz w:val="48"/>
          <w:szCs w:val="48"/>
          <w:lang w:val="en-US" w:eastAsia="en-US"/>
        </w:rPr>
        <w:t>Guidelines</w:t>
      </w:r>
    </w:p>
    <w:p w14:paraId="1818206F" w14:textId="05D3D34A" w:rsidR="0058754E" w:rsidRDefault="00454D61" w:rsidP="00B35C39">
      <w:pPr>
        <w:spacing w:after="0"/>
        <w:rPr>
          <w:color w:val="FF0000"/>
          <w:sz w:val="32"/>
          <w:szCs w:val="32"/>
          <w:lang w:val="en-US"/>
        </w:rPr>
      </w:pPr>
      <w:r>
        <w:rPr>
          <w:noProof/>
        </w:rPr>
        <mc:AlternateContent>
          <mc:Choice Requires="wps">
            <w:drawing>
              <wp:inline distT="45720" distB="45720" distL="114300" distR="114300" wp14:anchorId="553466B0" wp14:editId="386D769A">
                <wp:extent cx="6206837" cy="3514725"/>
                <wp:effectExtent l="0" t="0" r="22860" b="28575"/>
                <wp:docPr id="627514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837" cy="3514725"/>
                        </a:xfrm>
                        <a:prstGeom prst="rect">
                          <a:avLst/>
                        </a:prstGeom>
                        <a:solidFill>
                          <a:srgbClr val="FFFFFF"/>
                        </a:solidFill>
                        <a:ln w="9525">
                          <a:solidFill>
                            <a:srgbClr val="000000"/>
                          </a:solidFill>
                          <a:miter lim="800000"/>
                          <a:headEnd/>
                          <a:tailEnd/>
                        </a:ln>
                      </wps:spPr>
                      <wps:txbx>
                        <w:txbxContent>
                          <w:p w14:paraId="3608F156" w14:textId="77777777" w:rsidR="0058754E" w:rsidRPr="00FA5F58" w:rsidRDefault="0058754E" w:rsidP="0058754E">
                            <w:pPr>
                              <w:rPr>
                                <w:b/>
                                <w:bCs/>
                                <w:sz w:val="32"/>
                                <w:szCs w:val="32"/>
                                <w:lang w:val="en-US"/>
                              </w:rPr>
                            </w:pPr>
                            <w:r w:rsidRPr="00FA5F58">
                              <w:rPr>
                                <w:b/>
                                <w:bCs/>
                                <w:sz w:val="32"/>
                                <w:szCs w:val="32"/>
                                <w:lang w:val="en-US"/>
                              </w:rPr>
                              <w:t>Important Notice: Aged Care Act Update</w:t>
                            </w:r>
                          </w:p>
                          <w:p w14:paraId="101F522D" w14:textId="77777777" w:rsidR="0058754E" w:rsidRPr="00B35C39" w:rsidRDefault="0058754E" w:rsidP="0058754E">
                            <w:pPr>
                              <w:rPr>
                                <w:rFonts w:eastAsia="Times New Roman" w:cs="Times New Roman"/>
                                <w:sz w:val="24"/>
                                <w:szCs w:val="24"/>
                                <w:lang w:val="en-US"/>
                              </w:rPr>
                            </w:pPr>
                            <w:r w:rsidRPr="00B35C39">
                              <w:rPr>
                                <w:rFonts w:eastAsia="Times New Roman" w:cs="Times New Roman"/>
                                <w:sz w:val="24"/>
                                <w:szCs w:val="24"/>
                                <w:lang w:val="en-US"/>
                              </w:rPr>
                              <w:t>The Aged Care Act 1997 and the Aged Care Act 2024 along with their associated Principles and Rules, are relevant legislation for the 2025-26 reporting year.</w:t>
                            </w:r>
                          </w:p>
                          <w:p w14:paraId="1CA04B56" w14:textId="504CACE4" w:rsidR="0058754E" w:rsidRPr="00B35C39" w:rsidRDefault="0058754E" w:rsidP="0058754E">
                            <w:pPr>
                              <w:rPr>
                                <w:rFonts w:eastAsia="Times New Roman" w:cs="Times New Roman"/>
                                <w:sz w:val="24"/>
                                <w:szCs w:val="24"/>
                                <w:lang w:val="en-US"/>
                              </w:rPr>
                            </w:pPr>
                            <w:r w:rsidRPr="00B35C39">
                              <w:rPr>
                                <w:rFonts w:eastAsia="Times New Roman" w:cs="Times New Roman"/>
                                <w:sz w:val="24"/>
                                <w:szCs w:val="24"/>
                                <w:lang w:val="en-US"/>
                              </w:rPr>
                              <w:t xml:space="preserve">Registered providers </w:t>
                            </w:r>
                            <w:r w:rsidR="008C2611">
                              <w:rPr>
                                <w:rFonts w:eastAsia="Times New Roman" w:cs="Times New Roman"/>
                                <w:sz w:val="24"/>
                                <w:szCs w:val="24"/>
                                <w:lang w:val="en-US"/>
                              </w:rPr>
                              <w:t xml:space="preserve">(providers) </w:t>
                            </w:r>
                            <w:r w:rsidRPr="00B35C39">
                              <w:rPr>
                                <w:rFonts w:eastAsia="Times New Roman" w:cs="Times New Roman"/>
                                <w:sz w:val="24"/>
                                <w:szCs w:val="24"/>
                                <w:lang w:val="en-US"/>
                              </w:rPr>
                              <w:t>are required to report prudential information in accordance with the legislative framework that applied at the time the obligations were in force.</w:t>
                            </w:r>
                          </w:p>
                          <w:p w14:paraId="082AEBEA" w14:textId="329FC4C7" w:rsidR="0058754E" w:rsidRPr="00B35C39" w:rsidRDefault="0058754E" w:rsidP="0058754E">
                            <w:pPr>
                              <w:rPr>
                                <w:rFonts w:eastAsia="Times New Roman" w:cs="Times New Roman"/>
                                <w:sz w:val="24"/>
                                <w:szCs w:val="24"/>
                                <w:lang w:val="en-US"/>
                              </w:rPr>
                            </w:pPr>
                            <w:r w:rsidRPr="00B35C39">
                              <w:rPr>
                                <w:rFonts w:eastAsia="Times New Roman" w:cs="Times New Roman"/>
                                <w:sz w:val="24"/>
                                <w:szCs w:val="24"/>
                                <w:lang w:val="en-US"/>
                              </w:rPr>
                              <w:t>As the governing legislation changed part way through the reporting period, providers must report against the relevant prudential requirements for each applicable period as outlined below:</w:t>
                            </w:r>
                          </w:p>
                          <w:p w14:paraId="71A918B1" w14:textId="1C4B0D38" w:rsidR="0058754E" w:rsidRPr="00B35C39" w:rsidRDefault="0058754E"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 xml:space="preserve">1 July 2025 to 31 October 2025 - the Aged Care Act 1997 and the Fees and Payments Principles 2014 (No.2) </w:t>
                            </w:r>
                          </w:p>
                          <w:p w14:paraId="320925A7" w14:textId="77777777" w:rsidR="00D670B4" w:rsidRPr="004C0AB6" w:rsidRDefault="0058754E"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 xml:space="preserve">1 November 2025 to 30 June 2026 - the </w:t>
                            </w:r>
                            <w:r w:rsidR="00315EBC" w:rsidRPr="00B35C39">
                              <w:rPr>
                                <w:rFonts w:eastAsia="Calibri" w:cs="Arial"/>
                                <w:sz w:val="24"/>
                                <w:szCs w:val="24"/>
                              </w:rPr>
                              <w:t xml:space="preserve">Aged Care Act 2024 </w:t>
                            </w:r>
                            <w:r w:rsidRPr="00B35C39">
                              <w:rPr>
                                <w:rFonts w:eastAsia="Calibri" w:cs="Arial"/>
                                <w:sz w:val="24"/>
                                <w:szCs w:val="24"/>
                              </w:rPr>
                              <w:t xml:space="preserve">and the </w:t>
                            </w:r>
                            <w:r w:rsidR="00315EBC" w:rsidRPr="00B35C39">
                              <w:rPr>
                                <w:rFonts w:eastAsia="Calibri" w:cs="Arial"/>
                                <w:sz w:val="24"/>
                                <w:szCs w:val="24"/>
                              </w:rPr>
                              <w:t xml:space="preserve">Aged Care </w:t>
                            </w:r>
                            <w:r w:rsidRPr="00B35C39">
                              <w:rPr>
                                <w:rFonts w:eastAsia="Calibri" w:cs="Arial"/>
                                <w:sz w:val="24"/>
                                <w:szCs w:val="24"/>
                              </w:rPr>
                              <w:t>Rules</w:t>
                            </w:r>
                            <w:r w:rsidR="00315EBC" w:rsidRPr="00B35C39">
                              <w:rPr>
                                <w:rFonts w:eastAsia="Calibri" w:cs="Arial"/>
                                <w:sz w:val="24"/>
                                <w:szCs w:val="24"/>
                              </w:rPr>
                              <w:t xml:space="preserve"> 2025</w:t>
                            </w:r>
                          </w:p>
                          <w:p w14:paraId="23A773A2" w14:textId="2AAD29E1" w:rsidR="00D670B4" w:rsidRPr="00D670B4" w:rsidRDefault="0058754E" w:rsidP="004C0AB6">
                            <w:pPr>
                              <w:numPr>
                                <w:ilvl w:val="0"/>
                                <w:numId w:val="9"/>
                              </w:numPr>
                              <w:tabs>
                                <w:tab w:val="clear" w:pos="720"/>
                              </w:tabs>
                              <w:spacing w:after="0" w:line="240" w:lineRule="auto"/>
                              <w:ind w:left="851" w:hanging="425"/>
                              <w:rPr>
                                <w:rFonts w:cs="Arial"/>
                                <w:sz w:val="24"/>
                                <w:szCs w:val="24"/>
                              </w:rPr>
                            </w:pPr>
                            <w:r w:rsidRPr="00D670B4">
                              <w:rPr>
                                <w:rFonts w:eastAsia="Calibri" w:cs="Arial"/>
                                <w:sz w:val="24"/>
                                <w:szCs w:val="24"/>
                              </w:rPr>
                              <w:t xml:space="preserve"> </w:t>
                            </w:r>
                            <w:r w:rsidR="00D670B4" w:rsidRPr="00B35C39">
                              <w:rPr>
                                <w:rFonts w:eastAsia="Calibri" w:cs="Arial"/>
                                <w:sz w:val="24"/>
                                <w:szCs w:val="24"/>
                              </w:rPr>
                              <w:t xml:space="preserve">1 November 2025 to 30 June 2026 </w:t>
                            </w:r>
                            <w:r w:rsidR="00D670B4" w:rsidRPr="004C0AB6">
                              <w:rPr>
                                <w:rFonts w:eastAsia="Calibri" w:cs="Arial"/>
                                <w:sz w:val="24"/>
                                <w:szCs w:val="24"/>
                              </w:rPr>
                              <w:t>–</w:t>
                            </w:r>
                            <w:r w:rsidR="00D670B4" w:rsidRPr="00B35C39">
                              <w:rPr>
                                <w:rFonts w:eastAsia="Calibri" w:cs="Arial"/>
                                <w:sz w:val="24"/>
                                <w:szCs w:val="24"/>
                              </w:rPr>
                              <w:t xml:space="preserve"> </w:t>
                            </w:r>
                            <w:r w:rsidR="00D670B4" w:rsidRPr="004C0AB6">
                              <w:rPr>
                                <w:rFonts w:eastAsia="Calibri" w:cs="Arial"/>
                                <w:sz w:val="24"/>
                                <w:szCs w:val="24"/>
                              </w:rPr>
                              <w:t>the Aged Care Financial and Prudential Standards 2025</w:t>
                            </w:r>
                          </w:p>
                          <w:p w14:paraId="7F253057" w14:textId="6A0BE24B" w:rsidR="0058754E" w:rsidRPr="00B35C39" w:rsidRDefault="0058754E" w:rsidP="004F1DA1">
                            <w:pPr>
                              <w:spacing w:after="0" w:line="240" w:lineRule="auto"/>
                              <w:ind w:left="851"/>
                              <w:rPr>
                                <w:rFonts w:cs="Arial"/>
                                <w:sz w:val="24"/>
                                <w:szCs w:val="24"/>
                              </w:rPr>
                            </w:pPr>
                          </w:p>
                          <w:p w14:paraId="50BC6520" w14:textId="77777777" w:rsidR="0058754E" w:rsidRPr="00373DD0" w:rsidRDefault="0058754E" w:rsidP="0058754E">
                            <w:pPr>
                              <w:rPr>
                                <w:bCs/>
                                <w:sz w:val="24"/>
                                <w:szCs w:val="24"/>
                                <w:lang w:val="en-US"/>
                              </w:rPr>
                            </w:pPr>
                          </w:p>
                        </w:txbxContent>
                      </wps:txbx>
                      <wps:bodyPr rot="0" vert="horz" wrap="square" lIns="91440" tIns="45720" rIns="91440" bIns="45720" anchor="t" anchorCtr="0">
                        <a:noAutofit/>
                      </wps:bodyPr>
                    </wps:wsp>
                  </a:graphicData>
                </a:graphic>
              </wp:inline>
            </w:drawing>
          </mc:Choice>
          <mc:Fallback xmlns:arto="http://schemas.microsoft.com/office/word/2006/arto" xmlns:asvg="http://schemas.microsoft.com/office/drawing/2016/SVG/main" xmlns:pic="http://schemas.openxmlformats.org/drawingml/2006/picture" xmlns:a="http://schemas.openxmlformats.org/drawingml/2006/main">
            <w:pict xmlns:w14="http://schemas.microsoft.com/office/word/2010/wordml" xmlns:w="http://schemas.openxmlformats.org/wordprocessingml/2006/main" w14:anchorId="12CFBD01">
              <v:shapetype xmlns:o="urn:schemas-microsoft-com:office:office" xmlns:v="urn:schemas-microsoft-com:vml" id="_x0000_t202" coordsize="21600,21600" o:spt="202" path="m,l,21600r21600,l21600,xe" w14:anchorId="553466B0">
                <v:stroke joinstyle="miter"/>
                <v:path gradientshapeok="t" o:connecttype="rect"/>
              </v:shapetype>
              <v:shape xmlns:o="urn:schemas-microsoft-com:office:office" xmlns:v="urn:schemas-microsoft-com:vml" id="Text Box 2" style="width:488.75pt;height:276.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EEAIAACA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">
                <v:textbox>
                  <w:txbxContent>
                    <w:p w:rsidRPr="00FA5F58" w:rsidR="0058754E" w:rsidP="0058754E" w:rsidRDefault="0058754E" w14:paraId="31385106" w14:textId="77777777">
                      <w:pPr>
                        <w:rPr>
                          <w:b/>
                          <w:bCs/>
                          <w:sz w:val="32"/>
                          <w:szCs w:val="32"/>
                          <w:lang w:val="en-US"/>
                        </w:rPr>
                      </w:pPr>
                      <w:r w:rsidRPr="00FA5F58">
                        <w:rPr>
                          <w:b/>
                          <w:bCs/>
                          <w:sz w:val="32"/>
                          <w:szCs w:val="32"/>
                          <w:lang w:val="en-US"/>
                        </w:rPr>
                        <w:t>Important Notice: Aged Care Act Update</w:t>
                      </w:r>
                    </w:p>
                    <w:p w:rsidRPr="00B35C39" w:rsidR="0058754E" w:rsidP="0058754E" w:rsidRDefault="0058754E" w14:paraId="577EBA95" w14:textId="77777777">
                      <w:pPr>
                        <w:rPr>
                          <w:rFonts w:eastAsia="Times New Roman" w:cs="Times New Roman"/>
                          <w:sz w:val="24"/>
                          <w:szCs w:val="24"/>
                          <w:lang w:val="en-US"/>
                        </w:rPr>
                      </w:pPr>
                      <w:r w:rsidRPr="00B35C39">
                        <w:rPr>
                          <w:rFonts w:eastAsia="Times New Roman" w:cs="Times New Roman"/>
                          <w:sz w:val="24"/>
                          <w:szCs w:val="24"/>
                          <w:lang w:val="en-US"/>
                        </w:rPr>
                        <w:t>The Aged Care Act 1997 and the Aged Care Act 2024 along with their associated Principles and Rules, are relevant legislation for the 2025-26 reporting year.</w:t>
                      </w:r>
                    </w:p>
                    <w:p w:rsidRPr="00B35C39" w:rsidR="0058754E" w:rsidP="0058754E" w:rsidRDefault="0058754E" w14:paraId="3581590F" w14:textId="504CACE4">
                      <w:pPr>
                        <w:rPr>
                          <w:rFonts w:eastAsia="Times New Roman" w:cs="Times New Roman"/>
                          <w:sz w:val="24"/>
                          <w:szCs w:val="24"/>
                          <w:lang w:val="en-US"/>
                        </w:rPr>
                      </w:pPr>
                      <w:r w:rsidRPr="00B35C39">
                        <w:rPr>
                          <w:rFonts w:eastAsia="Times New Roman" w:cs="Times New Roman"/>
                          <w:sz w:val="24"/>
                          <w:szCs w:val="24"/>
                          <w:lang w:val="en-US"/>
                        </w:rPr>
                        <w:t xml:space="preserve">Registered providers </w:t>
                      </w:r>
                      <w:r w:rsidR="008C2611">
                        <w:rPr>
                          <w:rFonts w:eastAsia="Times New Roman" w:cs="Times New Roman"/>
                          <w:sz w:val="24"/>
                          <w:szCs w:val="24"/>
                          <w:lang w:val="en-US"/>
                        </w:rPr>
                        <w:t xml:space="preserve">(providers) </w:t>
                      </w:r>
                      <w:r w:rsidRPr="00B35C39">
                        <w:rPr>
                          <w:rFonts w:eastAsia="Times New Roman" w:cs="Times New Roman"/>
                          <w:sz w:val="24"/>
                          <w:szCs w:val="24"/>
                          <w:lang w:val="en-US"/>
                        </w:rPr>
                        <w:t>are required to report prudential information in accordance with the legislative framework that applied at the time the obligations were in force.</w:t>
                      </w:r>
                    </w:p>
                    <w:p w:rsidRPr="00B35C39" w:rsidR="0058754E" w:rsidP="0058754E" w:rsidRDefault="0058754E" w14:paraId="48D18521" w14:textId="329FC4C7">
                      <w:pPr>
                        <w:rPr>
                          <w:rFonts w:eastAsia="Times New Roman" w:cs="Times New Roman"/>
                          <w:sz w:val="24"/>
                          <w:szCs w:val="24"/>
                          <w:lang w:val="en-US"/>
                        </w:rPr>
                      </w:pPr>
                      <w:r w:rsidRPr="00B35C39">
                        <w:rPr>
                          <w:rFonts w:eastAsia="Times New Roman" w:cs="Times New Roman"/>
                          <w:sz w:val="24"/>
                          <w:szCs w:val="24"/>
                          <w:lang w:val="en-US"/>
                        </w:rPr>
                        <w:t>As the governing legislation changed part way through the reporting period, providers must report against the relevant prudential requirements for each applicable period as outlined below:</w:t>
                      </w:r>
                    </w:p>
                    <w:p w:rsidRPr="00B35C39" w:rsidR="0058754E" w:rsidP="00B35C39" w:rsidRDefault="0058754E" w14:paraId="317F949F" w14:textId="1C4B0D38">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 xml:space="preserve">1 July 2025 to 31 October 2025 - the Aged Care Act 1997 and the Fees and Payments Principles 2014 (No.2) </w:t>
                      </w:r>
                    </w:p>
                    <w:p w:rsidRPr="004C0AB6" w:rsidR="00D670B4" w:rsidP="00B35C39" w:rsidRDefault="0058754E" w14:paraId="3E626B2B" w14:textId="77777777">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 xml:space="preserve">1 November 2025 to 30 June 2026 - the </w:t>
                      </w:r>
                      <w:r w:rsidRPr="00B35C39" w:rsidR="00315EBC">
                        <w:rPr>
                          <w:rFonts w:eastAsia="Calibri" w:cs="Arial"/>
                          <w:sz w:val="24"/>
                          <w:szCs w:val="24"/>
                        </w:rPr>
                        <w:t xml:space="preserve">Aged Care Act 2024 </w:t>
                      </w:r>
                      <w:r w:rsidRPr="00B35C39">
                        <w:rPr>
                          <w:rFonts w:eastAsia="Calibri" w:cs="Arial"/>
                          <w:sz w:val="24"/>
                          <w:szCs w:val="24"/>
                        </w:rPr>
                        <w:t xml:space="preserve">and the </w:t>
                      </w:r>
                      <w:r w:rsidRPr="00B35C39" w:rsidR="00315EBC">
                        <w:rPr>
                          <w:rFonts w:eastAsia="Calibri" w:cs="Arial"/>
                          <w:sz w:val="24"/>
                          <w:szCs w:val="24"/>
                        </w:rPr>
                        <w:t xml:space="preserve">Aged Care </w:t>
                      </w:r>
                      <w:r w:rsidRPr="00B35C39">
                        <w:rPr>
                          <w:rFonts w:eastAsia="Calibri" w:cs="Arial"/>
                          <w:sz w:val="24"/>
                          <w:szCs w:val="24"/>
                        </w:rPr>
                        <w:t>Rules</w:t>
                      </w:r>
                      <w:r w:rsidRPr="00B35C39" w:rsidR="00315EBC">
                        <w:rPr>
                          <w:rFonts w:eastAsia="Calibri" w:cs="Arial"/>
                          <w:sz w:val="24"/>
                          <w:szCs w:val="24"/>
                        </w:rPr>
                        <w:t xml:space="preserve"> 2025</w:t>
                      </w:r>
                    </w:p>
                    <w:p w:rsidRPr="00D670B4" w:rsidR="00D670B4" w:rsidP="004C0AB6" w:rsidRDefault="0058754E" w14:paraId="1280918B" w14:textId="2AAD29E1">
                      <w:pPr>
                        <w:numPr>
                          <w:ilvl w:val="0"/>
                          <w:numId w:val="9"/>
                        </w:numPr>
                        <w:tabs>
                          <w:tab w:val="clear" w:pos="720"/>
                        </w:tabs>
                        <w:spacing w:after="0" w:line="240" w:lineRule="auto"/>
                        <w:ind w:left="851" w:hanging="425"/>
                        <w:rPr>
                          <w:rFonts w:cs="Arial"/>
                          <w:sz w:val="24"/>
                          <w:szCs w:val="24"/>
                        </w:rPr>
                      </w:pPr>
                      <w:r w:rsidRPr="00D670B4">
                        <w:rPr>
                          <w:rFonts w:eastAsia="Calibri" w:cs="Arial"/>
                          <w:sz w:val="24"/>
                          <w:szCs w:val="24"/>
                        </w:rPr>
                        <w:t xml:space="preserve"> </w:t>
                      </w:r>
                      <w:r w:rsidRPr="00B35C39" w:rsidR="00D670B4">
                        <w:rPr>
                          <w:rFonts w:eastAsia="Calibri" w:cs="Arial"/>
                          <w:sz w:val="24"/>
                          <w:szCs w:val="24"/>
                        </w:rPr>
                        <w:t xml:space="preserve">1 November 2025 to 30 June 2026 </w:t>
                      </w:r>
                      <w:r w:rsidRPr="004C0AB6" w:rsidR="00D670B4">
                        <w:rPr>
                          <w:rFonts w:eastAsia="Calibri" w:cs="Arial"/>
                          <w:sz w:val="24"/>
                          <w:szCs w:val="24"/>
                        </w:rPr>
                        <w:t>–</w:t>
                      </w:r>
                      <w:r w:rsidRPr="00B35C39" w:rsidR="00D670B4">
                        <w:rPr>
                          <w:rFonts w:eastAsia="Calibri" w:cs="Arial"/>
                          <w:sz w:val="24"/>
                          <w:szCs w:val="24"/>
                        </w:rPr>
                        <w:t xml:space="preserve"> </w:t>
                      </w:r>
                      <w:r w:rsidRPr="004C0AB6" w:rsidR="00D670B4">
                        <w:rPr>
                          <w:rFonts w:eastAsia="Calibri" w:cs="Arial"/>
                          <w:sz w:val="24"/>
                          <w:szCs w:val="24"/>
                        </w:rPr>
                        <w:t>the Aged Care Financial and Prudential Standards 2025</w:t>
                      </w:r>
                    </w:p>
                    <w:p w:rsidRPr="00B35C39" w:rsidR="0058754E" w:rsidP="004F1DA1" w:rsidRDefault="0058754E" w14:paraId="672A6659" w14:textId="6A0BE24B">
                      <w:pPr>
                        <w:spacing w:after="0" w:line="240" w:lineRule="auto"/>
                        <w:ind w:left="851"/>
                        <w:rPr>
                          <w:rFonts w:cs="Arial"/>
                          <w:sz w:val="24"/>
                          <w:szCs w:val="24"/>
                        </w:rPr>
                      </w:pPr>
                    </w:p>
                    <w:p w:rsidRPr="00373DD0" w:rsidR="0058754E" w:rsidP="0058754E" w:rsidRDefault="0058754E" w14:paraId="0A37501D" w14:textId="77777777">
                      <w:pPr>
                        <w:rPr>
                          <w:bCs/>
                          <w:sz w:val="24"/>
                          <w:szCs w:val="24"/>
                          <w:lang w:val="en-US"/>
                        </w:rPr>
                      </w:pPr>
                    </w:p>
                  </w:txbxContent>
                </v:textbox>
                <w10:anchorlock xmlns:w10="urn:schemas-microsoft-com:office:word"/>
              </v:shape>
            </w:pict>
          </mc:Fallback>
        </mc:AlternateContent>
      </w:r>
      <w:r w:rsidR="0058754E" w:rsidRPr="1028C40E">
        <w:rPr>
          <w:b/>
          <w:bCs/>
          <w:color w:val="FF0000"/>
          <w:sz w:val="32"/>
          <w:szCs w:val="32"/>
          <w:lang w:val="en-US"/>
        </w:rPr>
        <w:t>Important:</w:t>
      </w:r>
      <w:r w:rsidR="0058754E" w:rsidRPr="1028C40E">
        <w:rPr>
          <w:color w:val="FF0000"/>
          <w:sz w:val="32"/>
          <w:szCs w:val="32"/>
          <w:lang w:val="en-US"/>
        </w:rPr>
        <w:t xml:space="preserve"> Please read before completing the APCS Compliance section of the Aged Care Financial Report to ensure your compliance with the relevant legislative requirements.</w:t>
      </w:r>
    </w:p>
    <w:p w14:paraId="73133DF8" w14:textId="74198607" w:rsidR="0058754E" w:rsidRPr="00B35C39" w:rsidRDefault="000030ED" w:rsidP="00B35C39">
      <w:pPr>
        <w:pStyle w:val="Heading2"/>
        <w:spacing w:before="360" w:after="120"/>
        <w:rPr>
          <w:b w:val="0"/>
          <w:bCs w:val="0"/>
          <w:color w:val="0070C0"/>
          <w:sz w:val="32"/>
          <w:szCs w:val="32"/>
        </w:rPr>
      </w:pPr>
      <w:r w:rsidRPr="000030ED">
        <w:rPr>
          <w:rFonts w:asciiTheme="minorHAnsi" w:hAnsiTheme="minorHAnsi"/>
          <w:color w:val="0070C0"/>
          <w:sz w:val="32"/>
          <w:szCs w:val="32"/>
        </w:rPr>
        <w:t xml:space="preserve">BACKGROUND </w:t>
      </w:r>
    </w:p>
    <w:p w14:paraId="443D595E" w14:textId="4B216C55" w:rsidR="0058754E" w:rsidRPr="003221E5" w:rsidRDefault="00F47241" w:rsidP="0058754E">
      <w:pPr>
        <w:pStyle w:val="BodyText"/>
        <w:rPr>
          <w:rFonts w:asciiTheme="minorHAnsi" w:hAnsiTheme="minorHAnsi"/>
          <w:lang w:val="en-US" w:eastAsia="en-US"/>
        </w:rPr>
      </w:pPr>
      <w:r>
        <w:rPr>
          <w:rFonts w:asciiTheme="minorHAnsi" w:hAnsiTheme="minorHAnsi"/>
          <w:lang w:val="en-US" w:eastAsia="en-US"/>
        </w:rPr>
        <w:t>P</w:t>
      </w:r>
      <w:r w:rsidR="0058754E" w:rsidRPr="003221E5">
        <w:rPr>
          <w:rFonts w:asciiTheme="minorHAnsi" w:hAnsiTheme="minorHAnsi"/>
          <w:lang w:val="en-US" w:eastAsia="en-US"/>
        </w:rPr>
        <w:t xml:space="preserve">roviders are required to submit an Annual Prudential Compliance Statement (APCS) to the Secretary of the Department of Health, Disability and Ageing (the Department) as part of its Aged Care Financial Report (ACFR). </w:t>
      </w:r>
    </w:p>
    <w:p w14:paraId="009A31CF" w14:textId="2A5D7375" w:rsidR="0058754E" w:rsidRPr="003221E5" w:rsidRDefault="0058754E" w:rsidP="0058754E">
      <w:pPr>
        <w:pStyle w:val="BodyText"/>
        <w:spacing w:before="0"/>
        <w:rPr>
          <w:rFonts w:asciiTheme="minorHAnsi" w:hAnsiTheme="minorHAnsi"/>
          <w:lang w:val="en-US" w:eastAsia="en-US"/>
        </w:rPr>
      </w:pPr>
      <w:r w:rsidRPr="003221E5">
        <w:rPr>
          <w:rFonts w:asciiTheme="minorHAnsi" w:hAnsiTheme="minorHAnsi"/>
          <w:lang w:val="en-US" w:eastAsia="en-US"/>
        </w:rPr>
        <w:t xml:space="preserve">Responsibility for aged care regulatory functions sits with the Aged Care Quality and Safety Commission (the Commission), which assesses providers’ compliance with applicable prudential obligations based on the information submitted. </w:t>
      </w:r>
    </w:p>
    <w:p w14:paraId="23124B24" w14:textId="77777777" w:rsidR="0058754E" w:rsidRPr="00D3531A" w:rsidRDefault="0058754E" w:rsidP="0058754E">
      <w:pPr>
        <w:spacing w:before="200" w:after="0"/>
        <w:rPr>
          <w:b/>
          <w:bCs/>
          <w:color w:val="0070C0"/>
          <w:sz w:val="32"/>
          <w:szCs w:val="32"/>
        </w:rPr>
      </w:pPr>
      <w:r>
        <w:rPr>
          <w:b/>
          <w:bCs/>
          <w:color w:val="0070C0"/>
          <w:sz w:val="32"/>
          <w:szCs w:val="32"/>
        </w:rPr>
        <w:t>Reporting requirements and c</w:t>
      </w:r>
      <w:r w:rsidRPr="00D3531A">
        <w:rPr>
          <w:b/>
          <w:bCs/>
          <w:color w:val="0070C0"/>
          <w:sz w:val="32"/>
          <w:szCs w:val="32"/>
        </w:rPr>
        <w:t>onsequences of non-compliance</w:t>
      </w:r>
    </w:p>
    <w:p w14:paraId="6CF1F5D8" w14:textId="46131299" w:rsidR="0058754E" w:rsidRPr="00B35C39" w:rsidRDefault="00F47241" w:rsidP="0058754E">
      <w:pPr>
        <w:autoSpaceDE w:val="0"/>
        <w:autoSpaceDN w:val="0"/>
        <w:adjustRightInd w:val="0"/>
        <w:spacing w:after="120" w:line="240" w:lineRule="auto"/>
        <w:rPr>
          <w:sz w:val="24"/>
          <w:szCs w:val="24"/>
          <w:lang w:val="en-US"/>
        </w:rPr>
      </w:pPr>
      <w:r>
        <w:rPr>
          <w:sz w:val="24"/>
          <w:szCs w:val="24"/>
          <w:lang w:val="en-US"/>
        </w:rPr>
        <w:t>P</w:t>
      </w:r>
      <w:r w:rsidR="0058754E" w:rsidRPr="00B35C39">
        <w:rPr>
          <w:sz w:val="24"/>
          <w:szCs w:val="24"/>
          <w:lang w:val="en-US"/>
        </w:rPr>
        <w:t>roviders are required to comply with their prudential obligations under the legislation in force at the relevant time.</w:t>
      </w:r>
    </w:p>
    <w:p w14:paraId="2367AD13" w14:textId="37387714" w:rsidR="0058754E" w:rsidRPr="00B35C39" w:rsidRDefault="0058754E" w:rsidP="0058754E">
      <w:pPr>
        <w:autoSpaceDE w:val="0"/>
        <w:autoSpaceDN w:val="0"/>
        <w:adjustRightInd w:val="0"/>
        <w:spacing w:after="120" w:line="240" w:lineRule="auto"/>
        <w:rPr>
          <w:sz w:val="24"/>
          <w:szCs w:val="24"/>
          <w:lang w:val="en-US"/>
        </w:rPr>
      </w:pPr>
      <w:r w:rsidRPr="00B35C39">
        <w:rPr>
          <w:sz w:val="24"/>
          <w:szCs w:val="24"/>
          <w:lang w:val="en-US"/>
        </w:rPr>
        <w:lastRenderedPageBreak/>
        <w:t>During the 2025-26 financial year, this includes obligations under:</w:t>
      </w:r>
    </w:p>
    <w:p w14:paraId="5B67763C" w14:textId="77777777" w:rsidR="0058754E" w:rsidRPr="00B35C39" w:rsidRDefault="0058754E" w:rsidP="0058754E">
      <w:pPr>
        <w:pStyle w:val="ListParagraph"/>
        <w:numPr>
          <w:ilvl w:val="0"/>
          <w:numId w:val="51"/>
        </w:numPr>
        <w:autoSpaceDE w:val="0"/>
        <w:autoSpaceDN w:val="0"/>
        <w:adjustRightInd w:val="0"/>
        <w:spacing w:before="0" w:after="120" w:line="240" w:lineRule="auto"/>
        <w:rPr>
          <w:sz w:val="24"/>
          <w:szCs w:val="24"/>
          <w:lang w:val="en-US"/>
        </w:rPr>
      </w:pPr>
      <w:r w:rsidRPr="00B35C39">
        <w:rPr>
          <w:sz w:val="24"/>
          <w:szCs w:val="24"/>
          <w:lang w:val="en-US"/>
        </w:rPr>
        <w:t xml:space="preserve">the </w:t>
      </w:r>
      <w:r w:rsidRPr="00B35C39">
        <w:rPr>
          <w:i/>
          <w:iCs/>
          <w:sz w:val="24"/>
          <w:szCs w:val="24"/>
          <w:lang w:val="en-US"/>
        </w:rPr>
        <w:t>Aged Care Act 1997</w:t>
      </w:r>
      <w:r w:rsidRPr="00B35C39">
        <w:rPr>
          <w:sz w:val="24"/>
          <w:szCs w:val="24"/>
          <w:lang w:val="en-US"/>
        </w:rPr>
        <w:t>-</w:t>
      </w:r>
      <w:r w:rsidRPr="00B35C39">
        <w:rPr>
          <w:i/>
          <w:iCs/>
          <w:sz w:val="24"/>
          <w:szCs w:val="24"/>
          <w:lang w:val="en-US"/>
        </w:rPr>
        <w:t xml:space="preserve"> </w:t>
      </w:r>
      <w:r w:rsidRPr="00B35C39">
        <w:rPr>
          <w:sz w:val="24"/>
          <w:szCs w:val="24"/>
          <w:lang w:val="en-US"/>
        </w:rPr>
        <w:t>section 52M-1</w:t>
      </w:r>
    </w:p>
    <w:p w14:paraId="2B2FCED0" w14:textId="1832F999" w:rsidR="0058754E" w:rsidRPr="00B35C39" w:rsidRDefault="0058754E" w:rsidP="0058754E">
      <w:pPr>
        <w:pStyle w:val="ListParagraph"/>
        <w:numPr>
          <w:ilvl w:val="0"/>
          <w:numId w:val="51"/>
        </w:numPr>
        <w:autoSpaceDE w:val="0"/>
        <w:autoSpaceDN w:val="0"/>
        <w:adjustRightInd w:val="0"/>
        <w:spacing w:before="0" w:after="120" w:line="240" w:lineRule="auto"/>
        <w:rPr>
          <w:sz w:val="24"/>
          <w:szCs w:val="24"/>
          <w:lang w:val="en-US"/>
        </w:rPr>
      </w:pPr>
      <w:r w:rsidRPr="1028C40E">
        <w:rPr>
          <w:sz w:val="24"/>
          <w:szCs w:val="24"/>
          <w:lang w:val="en-US"/>
        </w:rPr>
        <w:t xml:space="preserve">the </w:t>
      </w:r>
      <w:r w:rsidRPr="1028C40E">
        <w:rPr>
          <w:i/>
          <w:iCs/>
          <w:sz w:val="24"/>
          <w:szCs w:val="24"/>
          <w:lang w:val="en-US"/>
        </w:rPr>
        <w:t xml:space="preserve">Aged Care Rules 2025 </w:t>
      </w:r>
      <w:r w:rsidRPr="1028C40E">
        <w:rPr>
          <w:sz w:val="24"/>
          <w:szCs w:val="24"/>
          <w:lang w:val="en-US"/>
        </w:rPr>
        <w:t>- section 166-360</w:t>
      </w:r>
    </w:p>
    <w:p w14:paraId="641DD46E" w14:textId="2BED8442" w:rsidR="0058754E" w:rsidRPr="00B35C39" w:rsidRDefault="0058754E" w:rsidP="0058754E">
      <w:pPr>
        <w:autoSpaceDE w:val="0"/>
        <w:autoSpaceDN w:val="0"/>
        <w:adjustRightInd w:val="0"/>
        <w:spacing w:after="120" w:line="240" w:lineRule="auto"/>
        <w:rPr>
          <w:sz w:val="24"/>
          <w:szCs w:val="24"/>
          <w:lang w:val="en-US"/>
        </w:rPr>
      </w:pPr>
      <w:r w:rsidRPr="00B35C39">
        <w:rPr>
          <w:sz w:val="24"/>
          <w:szCs w:val="24"/>
          <w:lang w:val="en-US"/>
        </w:rPr>
        <w:t xml:space="preserve">Providers may be required at any time to demonstrate compliance and substantiate its claims with the information reported in the APCS. </w:t>
      </w:r>
    </w:p>
    <w:p w14:paraId="7C8F331C" w14:textId="4A3A9A5D" w:rsidR="002874F6" w:rsidRPr="00B35C39" w:rsidRDefault="0058754E" w:rsidP="0058754E">
      <w:pPr>
        <w:autoSpaceDE w:val="0"/>
        <w:autoSpaceDN w:val="0"/>
        <w:adjustRightInd w:val="0"/>
        <w:spacing w:after="120" w:line="240" w:lineRule="auto"/>
        <w:rPr>
          <w:sz w:val="24"/>
          <w:szCs w:val="24"/>
          <w:lang w:val="en-US"/>
        </w:rPr>
      </w:pPr>
      <w:r w:rsidRPr="1028C40E">
        <w:rPr>
          <w:sz w:val="24"/>
          <w:szCs w:val="24"/>
          <w:lang w:val="en-US"/>
        </w:rPr>
        <w:t xml:space="preserve">Where a provider does not comply with its obligations, or provides incomplete or inaccurate information in the APCS, the Commission </w:t>
      </w:r>
      <w:r w:rsidR="005A6445" w:rsidRPr="1028C40E">
        <w:rPr>
          <w:sz w:val="24"/>
          <w:szCs w:val="24"/>
          <w:lang w:val="en-US"/>
        </w:rPr>
        <w:t xml:space="preserve">may </w:t>
      </w:r>
      <w:r w:rsidR="006E5AA0" w:rsidRPr="1028C40E">
        <w:rPr>
          <w:sz w:val="24"/>
          <w:szCs w:val="24"/>
          <w:lang w:val="en-US"/>
        </w:rPr>
        <w:t>consider regulatory action</w:t>
      </w:r>
      <w:r w:rsidR="002874F6">
        <w:rPr>
          <w:sz w:val="24"/>
          <w:szCs w:val="24"/>
          <w:lang w:val="en-US"/>
        </w:rPr>
        <w:t xml:space="preserve"> </w:t>
      </w:r>
      <w:r w:rsidR="002874F6" w:rsidRPr="002874F6">
        <w:rPr>
          <w:sz w:val="24"/>
          <w:szCs w:val="24"/>
          <w:lang w:val="en-US"/>
        </w:rPr>
        <w:t>in line with its Regulatory Strategy 2025-26 and its Compliance and Enforcement policy.</w:t>
      </w:r>
    </w:p>
    <w:p w14:paraId="218563EA" w14:textId="77777777" w:rsidR="0058754E" w:rsidRPr="00B35C39" w:rsidRDefault="0058754E" w:rsidP="0058754E">
      <w:pPr>
        <w:autoSpaceDE w:val="0"/>
        <w:autoSpaceDN w:val="0"/>
        <w:adjustRightInd w:val="0"/>
        <w:spacing w:after="120" w:line="240" w:lineRule="auto"/>
        <w:rPr>
          <w:sz w:val="24"/>
          <w:szCs w:val="24"/>
          <w:lang w:val="en-US"/>
        </w:rPr>
      </w:pPr>
      <w:r w:rsidRPr="00B35C39">
        <w:rPr>
          <w:sz w:val="24"/>
          <w:szCs w:val="24"/>
          <w:lang w:val="en-US"/>
        </w:rPr>
        <w:t>Your compliance is a matter that may be taken into consideration in future decisions where a provider’s record of compliance with its responsibilities is relevant.</w:t>
      </w:r>
    </w:p>
    <w:p w14:paraId="50AFAC3D" w14:textId="161F0CDC" w:rsidR="0058754E" w:rsidRPr="00B35C39" w:rsidRDefault="0058754E" w:rsidP="00B35C39">
      <w:pPr>
        <w:tabs>
          <w:tab w:val="left" w:pos="2304"/>
        </w:tabs>
        <w:spacing w:line="240" w:lineRule="auto"/>
        <w:rPr>
          <w:b/>
          <w:color w:val="4BACC6" w:themeColor="accent5"/>
          <w:lang w:val="en-US"/>
        </w:rPr>
      </w:pPr>
      <w:r w:rsidRPr="00B35C39">
        <w:rPr>
          <w:sz w:val="24"/>
          <w:szCs w:val="24"/>
          <w:lang w:val="en-US"/>
        </w:rPr>
        <w:t>Providing false or misleading information is an offence.</w:t>
      </w:r>
      <w:r w:rsidRPr="00B35C39">
        <w:rPr>
          <w:b/>
          <w:color w:val="4BACC6" w:themeColor="accent5"/>
          <w:sz w:val="24"/>
          <w:szCs w:val="24"/>
          <w:lang w:val="en-US"/>
        </w:rPr>
        <w:t xml:space="preserve"> </w:t>
      </w:r>
    </w:p>
    <w:p w14:paraId="558D1C51" w14:textId="1004A277" w:rsidR="0058754E" w:rsidRPr="00B35C39" w:rsidRDefault="000030ED" w:rsidP="00B35C39">
      <w:pPr>
        <w:pStyle w:val="Heading2"/>
        <w:spacing w:before="360" w:after="120"/>
        <w:rPr>
          <w:b w:val="0"/>
          <w:bCs w:val="0"/>
          <w:color w:val="0070C0"/>
          <w:sz w:val="32"/>
          <w:szCs w:val="32"/>
        </w:rPr>
      </w:pPr>
      <w:r w:rsidRPr="000030ED">
        <w:rPr>
          <w:rFonts w:asciiTheme="minorHAnsi" w:hAnsiTheme="minorHAnsi"/>
          <w:color w:val="0070C0"/>
          <w:sz w:val="32"/>
          <w:szCs w:val="32"/>
        </w:rPr>
        <w:t>COMPLETING THE APCS</w:t>
      </w:r>
    </w:p>
    <w:p w14:paraId="2184290B" w14:textId="77777777" w:rsidR="0058754E" w:rsidRPr="00B35C39" w:rsidRDefault="0058754E" w:rsidP="0058754E">
      <w:pPr>
        <w:pStyle w:val="BodyText"/>
        <w:rPr>
          <w:rFonts w:asciiTheme="minorHAnsi" w:eastAsia="Arial" w:hAnsiTheme="minorHAnsi" w:cstheme="minorHAnsi"/>
          <w:lang w:val="en-US"/>
        </w:rPr>
      </w:pPr>
      <w:r w:rsidRPr="00B35C39">
        <w:rPr>
          <w:rFonts w:asciiTheme="minorHAnsi" w:eastAsia="Arial" w:hAnsiTheme="minorHAnsi" w:cstheme="minorHAnsi"/>
          <w:lang w:val="en-US"/>
        </w:rPr>
        <w:t>This guide is designed to help you complete your APCS. Please take care to ensure that the information you provide is complete and accurate.</w:t>
      </w:r>
    </w:p>
    <w:p w14:paraId="662747C3" w14:textId="77777777" w:rsidR="0058754E" w:rsidRPr="00B35C39" w:rsidRDefault="0058754E" w:rsidP="00B35C39">
      <w:pPr>
        <w:spacing w:after="0"/>
        <w:rPr>
          <w:b/>
          <w:bCs/>
          <w:color w:val="0070C0"/>
          <w:sz w:val="26"/>
          <w:szCs w:val="26"/>
        </w:rPr>
      </w:pPr>
      <w:r w:rsidRPr="00B35C39">
        <w:rPr>
          <w:b/>
          <w:bCs/>
          <w:color w:val="0070C0"/>
          <w:sz w:val="26"/>
          <w:szCs w:val="26"/>
        </w:rPr>
        <w:t>Purpose and structure of this guide</w:t>
      </w:r>
    </w:p>
    <w:p w14:paraId="0BF8E999" w14:textId="77777777" w:rsidR="0058754E" w:rsidRPr="00B35C39" w:rsidRDefault="0058754E" w:rsidP="0058754E">
      <w:pPr>
        <w:rPr>
          <w:rFonts w:cstheme="minorHAnsi"/>
          <w:sz w:val="24"/>
          <w:szCs w:val="24"/>
        </w:rPr>
      </w:pPr>
      <w:r w:rsidRPr="00B35C39">
        <w:rPr>
          <w:rFonts w:cstheme="minorHAnsi"/>
          <w:sz w:val="24"/>
          <w:szCs w:val="24"/>
          <w:lang w:val="en-US"/>
        </w:rPr>
        <w:t xml:space="preserve">This guidance material has been </w:t>
      </w:r>
      <w:r w:rsidRPr="00B35C39">
        <w:rPr>
          <w:rFonts w:cstheme="minorHAnsi"/>
          <w:sz w:val="24"/>
          <w:szCs w:val="24"/>
        </w:rPr>
        <w:t>divided into two parts to assist you in completing the APCS for the 2025-26 reporting period.</w:t>
      </w:r>
    </w:p>
    <w:p w14:paraId="67263951" w14:textId="444ECCDC" w:rsidR="0058754E" w:rsidRPr="0058754E" w:rsidRDefault="0058754E" w:rsidP="1028C40E">
      <w:pPr>
        <w:pStyle w:val="BodyText"/>
        <w:rPr>
          <w:rFonts w:asciiTheme="minorHAnsi" w:hAnsiTheme="minorHAnsi" w:cstheme="minorBidi"/>
          <w:lang w:val="en-US" w:eastAsia="en-US"/>
        </w:rPr>
      </w:pPr>
      <w:r w:rsidRPr="1028C40E">
        <w:rPr>
          <w:rFonts w:asciiTheme="minorHAnsi" w:hAnsiTheme="minorHAnsi" w:cstheme="minorBidi"/>
          <w:b/>
          <w:bCs/>
          <w:lang w:val="en-US" w:eastAsia="en-US"/>
        </w:rPr>
        <w:t>Part 1</w:t>
      </w:r>
      <w:r w:rsidRPr="1028C40E">
        <w:rPr>
          <w:rFonts w:asciiTheme="minorHAnsi" w:hAnsiTheme="minorHAnsi" w:cstheme="minorBidi"/>
          <w:lang w:val="en-US" w:eastAsia="en-US"/>
        </w:rPr>
        <w:t xml:space="preserve"> contains guidance </w:t>
      </w:r>
      <w:r w:rsidR="25788BFD" w:rsidRPr="1028C40E">
        <w:rPr>
          <w:rFonts w:asciiTheme="minorHAnsi" w:hAnsiTheme="minorHAnsi" w:cstheme="minorBidi"/>
          <w:lang w:val="en-US" w:eastAsia="en-US"/>
        </w:rPr>
        <w:t>relating to</w:t>
      </w:r>
      <w:r w:rsidR="0081243E">
        <w:rPr>
          <w:rFonts w:asciiTheme="minorHAnsi" w:hAnsiTheme="minorHAnsi" w:cstheme="minorBidi"/>
          <w:lang w:val="en-US" w:eastAsia="en-US"/>
        </w:rPr>
        <w:t xml:space="preserve"> </w:t>
      </w:r>
      <w:r w:rsidRPr="1028C40E">
        <w:rPr>
          <w:rFonts w:asciiTheme="minorHAnsi" w:hAnsiTheme="minorHAnsi" w:cstheme="minorBidi"/>
          <w:lang w:val="en-US" w:eastAsia="en-US"/>
        </w:rPr>
        <w:t xml:space="preserve">the legislation in force up to </w:t>
      </w:r>
      <w:r w:rsidRPr="1028C40E">
        <w:rPr>
          <w:rFonts w:asciiTheme="minorHAnsi" w:hAnsiTheme="minorHAnsi" w:cstheme="minorBidi"/>
          <w:b/>
          <w:bCs/>
          <w:lang w:val="en-US" w:eastAsia="en-US"/>
        </w:rPr>
        <w:t>31 October 2025</w:t>
      </w:r>
      <w:r w:rsidRPr="1028C40E">
        <w:rPr>
          <w:rFonts w:asciiTheme="minorHAnsi" w:hAnsiTheme="minorHAnsi" w:cstheme="minorBidi"/>
          <w:lang w:val="en-US" w:eastAsia="en-US"/>
        </w:rPr>
        <w:t xml:space="preserve">. Much of this guidance still applies under the new Act and Rules that started on 1 November. </w:t>
      </w:r>
    </w:p>
    <w:p w14:paraId="4071D51B" w14:textId="77777777" w:rsidR="0058754E" w:rsidRPr="0058754E" w:rsidRDefault="0058754E" w:rsidP="0058754E">
      <w:pPr>
        <w:pStyle w:val="BodyText"/>
        <w:spacing w:before="0"/>
        <w:rPr>
          <w:rFonts w:asciiTheme="minorHAnsi" w:hAnsiTheme="minorHAnsi" w:cstheme="minorHAnsi"/>
          <w:lang w:val="en-US" w:eastAsia="en-US"/>
        </w:rPr>
      </w:pPr>
      <w:r w:rsidRPr="0058754E">
        <w:rPr>
          <w:rFonts w:asciiTheme="minorHAnsi" w:hAnsiTheme="minorHAnsi" w:cstheme="minorHAnsi"/>
          <w:lang w:val="en-US" w:eastAsia="en-US"/>
        </w:rPr>
        <w:t>Where the obligations are consistent across both periods, the questions set out in the APCS section of the ACFR provide references to the applicable legislative instruments.</w:t>
      </w:r>
    </w:p>
    <w:p w14:paraId="6A09503C" w14:textId="77777777" w:rsidR="0058754E" w:rsidRPr="0058754E" w:rsidRDefault="0058754E" w:rsidP="0058754E">
      <w:pPr>
        <w:pStyle w:val="BodyText"/>
        <w:rPr>
          <w:rFonts w:asciiTheme="minorHAnsi" w:hAnsiTheme="minorHAnsi" w:cstheme="minorHAnsi"/>
          <w:lang w:val="en-US" w:eastAsia="en-US"/>
        </w:rPr>
      </w:pPr>
      <w:r w:rsidRPr="0058754E">
        <w:rPr>
          <w:rFonts w:asciiTheme="minorHAnsi" w:hAnsiTheme="minorHAnsi" w:cstheme="minorHAnsi"/>
          <w:b/>
          <w:bCs/>
          <w:lang w:val="en-US" w:eastAsia="en-US"/>
        </w:rPr>
        <w:t>Part 2</w:t>
      </w:r>
      <w:r w:rsidRPr="0058754E">
        <w:rPr>
          <w:rFonts w:asciiTheme="minorHAnsi" w:hAnsiTheme="minorHAnsi" w:cstheme="minorHAnsi"/>
          <w:lang w:val="en-US" w:eastAsia="en-US"/>
        </w:rPr>
        <w:t xml:space="preserve"> explains additional requirements that apply from </w:t>
      </w:r>
      <w:r w:rsidRPr="0058754E">
        <w:rPr>
          <w:rFonts w:asciiTheme="minorHAnsi" w:hAnsiTheme="minorHAnsi" w:cstheme="minorHAnsi"/>
          <w:b/>
          <w:bCs/>
          <w:lang w:val="en-US" w:eastAsia="en-US"/>
        </w:rPr>
        <w:t>1 November</w:t>
      </w:r>
      <w:r w:rsidRPr="0058754E">
        <w:rPr>
          <w:rFonts w:asciiTheme="minorHAnsi" w:hAnsiTheme="minorHAnsi" w:cstheme="minorHAnsi"/>
          <w:lang w:val="en-US" w:eastAsia="en-US"/>
        </w:rPr>
        <w:t xml:space="preserve"> </w:t>
      </w:r>
      <w:r w:rsidRPr="0058754E">
        <w:rPr>
          <w:rFonts w:asciiTheme="minorHAnsi" w:hAnsiTheme="minorHAnsi" w:cstheme="minorHAnsi"/>
          <w:b/>
          <w:bCs/>
          <w:lang w:val="en-US" w:eastAsia="en-US"/>
        </w:rPr>
        <w:t>2025</w:t>
      </w:r>
      <w:r w:rsidRPr="0058754E">
        <w:rPr>
          <w:rFonts w:asciiTheme="minorHAnsi" w:hAnsiTheme="minorHAnsi" w:cstheme="minorHAnsi"/>
          <w:lang w:val="en-US" w:eastAsia="en-US"/>
        </w:rPr>
        <w:t>, including obligations and requirements relating to:</w:t>
      </w:r>
    </w:p>
    <w:p w14:paraId="4B941329" w14:textId="77777777" w:rsidR="006F2588" w:rsidRPr="00E4194A" w:rsidRDefault="006F2588" w:rsidP="006F2588">
      <w:pPr>
        <w:pStyle w:val="ListParagraph"/>
        <w:numPr>
          <w:ilvl w:val="0"/>
          <w:numId w:val="3"/>
        </w:numPr>
        <w:spacing w:before="0" w:line="240" w:lineRule="auto"/>
        <w:ind w:left="850" w:hanging="425"/>
        <w:rPr>
          <w:rFonts w:asciiTheme="minorHAnsi" w:hAnsiTheme="minorHAnsi" w:cs="Arial"/>
          <w:sz w:val="24"/>
          <w:szCs w:val="24"/>
        </w:rPr>
      </w:pPr>
      <w:r w:rsidRPr="00E4194A">
        <w:rPr>
          <w:rFonts w:asciiTheme="minorHAnsi" w:hAnsiTheme="minorHAnsi" w:cs="Arial"/>
          <w:sz w:val="24"/>
          <w:szCs w:val="24"/>
        </w:rPr>
        <w:t>the Aged Care Financial and Prudential Standards 2025</w:t>
      </w:r>
    </w:p>
    <w:p w14:paraId="598CC2B1" w14:textId="44C23845" w:rsidR="006F2588" w:rsidRDefault="009078DE" w:rsidP="00B30058">
      <w:pPr>
        <w:pStyle w:val="ListParagraph"/>
        <w:numPr>
          <w:ilvl w:val="0"/>
          <w:numId w:val="3"/>
        </w:numPr>
        <w:spacing w:before="0" w:line="240" w:lineRule="auto"/>
        <w:ind w:left="850" w:hanging="425"/>
        <w:rPr>
          <w:rFonts w:asciiTheme="minorHAnsi" w:hAnsiTheme="minorHAnsi" w:cs="Arial"/>
          <w:sz w:val="24"/>
          <w:szCs w:val="24"/>
        </w:rPr>
      </w:pPr>
      <w:r>
        <w:rPr>
          <w:rFonts w:asciiTheme="minorHAnsi" w:hAnsiTheme="minorHAnsi" w:cs="Arial"/>
          <w:sz w:val="24"/>
          <w:szCs w:val="24"/>
        </w:rPr>
        <w:t xml:space="preserve">disclosure to residents – including </w:t>
      </w:r>
      <w:r w:rsidR="00000F6A">
        <w:rPr>
          <w:rFonts w:asciiTheme="minorHAnsi" w:hAnsiTheme="minorHAnsi" w:cs="Arial"/>
          <w:sz w:val="24"/>
          <w:szCs w:val="24"/>
        </w:rPr>
        <w:t>updated e</w:t>
      </w:r>
      <w:r w:rsidRPr="009078DE">
        <w:rPr>
          <w:rFonts w:asciiTheme="minorHAnsi" w:hAnsiTheme="minorHAnsi" w:cs="Arial"/>
          <w:sz w:val="24"/>
          <w:szCs w:val="24"/>
        </w:rPr>
        <w:t>xample of a disclosure statement</w:t>
      </w:r>
    </w:p>
    <w:p w14:paraId="07548538" w14:textId="77777777" w:rsidR="0058754E" w:rsidRDefault="0058754E" w:rsidP="00B30058">
      <w:pPr>
        <w:pStyle w:val="ListParagraph"/>
        <w:numPr>
          <w:ilvl w:val="0"/>
          <w:numId w:val="3"/>
        </w:numPr>
        <w:spacing w:before="0" w:line="240" w:lineRule="auto"/>
        <w:ind w:left="850" w:hanging="425"/>
        <w:rPr>
          <w:rFonts w:asciiTheme="minorHAnsi" w:hAnsiTheme="minorHAnsi" w:cs="Arial"/>
          <w:sz w:val="24"/>
          <w:szCs w:val="24"/>
        </w:rPr>
      </w:pPr>
      <w:r w:rsidRPr="00B35C39">
        <w:rPr>
          <w:rFonts w:asciiTheme="minorHAnsi" w:hAnsiTheme="minorHAnsi" w:cs="Arial"/>
          <w:sz w:val="24"/>
          <w:szCs w:val="24"/>
        </w:rPr>
        <w:t>fees for Higher Everyday Living (HELF)</w:t>
      </w:r>
    </w:p>
    <w:p w14:paraId="689D9290" w14:textId="77777777" w:rsidR="006F2588" w:rsidRPr="00E4194A" w:rsidRDefault="006F2588" w:rsidP="006F2588">
      <w:pPr>
        <w:pStyle w:val="ListParagraph"/>
        <w:numPr>
          <w:ilvl w:val="0"/>
          <w:numId w:val="3"/>
        </w:numPr>
        <w:spacing w:before="0" w:line="240" w:lineRule="auto"/>
        <w:ind w:left="850" w:hanging="425"/>
        <w:rPr>
          <w:rFonts w:asciiTheme="minorHAnsi" w:hAnsiTheme="minorHAnsi" w:cs="Arial"/>
          <w:sz w:val="24"/>
          <w:szCs w:val="24"/>
        </w:rPr>
      </w:pPr>
      <w:r w:rsidRPr="00E4194A">
        <w:rPr>
          <w:rFonts w:asciiTheme="minorHAnsi" w:hAnsiTheme="minorHAnsi" w:cs="Arial"/>
          <w:sz w:val="24"/>
          <w:szCs w:val="24"/>
        </w:rPr>
        <w:t>charging payments and contributions</w:t>
      </w:r>
    </w:p>
    <w:p w14:paraId="051CD8AF" w14:textId="5F8D3202" w:rsidR="006F2588" w:rsidRPr="00B35C39" w:rsidRDefault="0DCE6627" w:rsidP="00DD0D8C">
      <w:pPr>
        <w:pStyle w:val="ListParagraph"/>
        <w:spacing w:before="0" w:after="0" w:line="240" w:lineRule="auto"/>
        <w:ind w:left="850"/>
        <w:rPr>
          <w:rFonts w:asciiTheme="minorHAnsi" w:hAnsiTheme="minorHAnsi" w:cs="Arial"/>
        </w:rPr>
      </w:pPr>
      <w:r w:rsidRPr="1028C40E">
        <w:rPr>
          <w:rFonts w:asciiTheme="minorHAnsi" w:hAnsiTheme="minorHAnsi" w:cs="Arial"/>
        </w:rPr>
        <w:t xml:space="preserve"> </w:t>
      </w:r>
    </w:p>
    <w:p w14:paraId="757F8C72" w14:textId="77777777" w:rsidR="0058754E" w:rsidRPr="00B35C39" w:rsidRDefault="0058754E" w:rsidP="0058754E">
      <w:pPr>
        <w:rPr>
          <w:rFonts w:cstheme="minorHAnsi"/>
          <w:sz w:val="24"/>
          <w:szCs w:val="24"/>
        </w:rPr>
      </w:pPr>
      <w:r w:rsidRPr="00B35C39">
        <w:rPr>
          <w:rFonts w:cstheme="minorHAnsi"/>
          <w:sz w:val="24"/>
          <w:szCs w:val="24"/>
        </w:rPr>
        <w:t>Providers should read both parts to ensure they correctly complete the APCS for the full reporting period.</w:t>
      </w:r>
    </w:p>
    <w:p w14:paraId="393BD4FF" w14:textId="77777777" w:rsidR="0058754E" w:rsidRPr="00B35C39" w:rsidRDefault="0058754E" w:rsidP="00B35C39">
      <w:pPr>
        <w:spacing w:after="0"/>
        <w:rPr>
          <w:b/>
          <w:bCs/>
          <w:color w:val="0070C0"/>
          <w:sz w:val="26"/>
          <w:szCs w:val="26"/>
        </w:rPr>
      </w:pPr>
      <w:r w:rsidRPr="00B35C39">
        <w:rPr>
          <w:b/>
          <w:bCs/>
          <w:color w:val="0070C0"/>
          <w:sz w:val="26"/>
          <w:szCs w:val="26"/>
        </w:rPr>
        <w:t>Legislative framework</w:t>
      </w:r>
    </w:p>
    <w:p w14:paraId="4766FD8C" w14:textId="77777777" w:rsidR="0058754E" w:rsidRPr="00B35C39" w:rsidRDefault="0058754E" w:rsidP="0058754E">
      <w:pPr>
        <w:pStyle w:val="BodyText"/>
        <w:rPr>
          <w:rFonts w:asciiTheme="minorHAnsi" w:eastAsia="Arial" w:hAnsiTheme="minorHAnsi" w:cstheme="minorHAnsi"/>
          <w:lang w:val="en-US"/>
        </w:rPr>
      </w:pPr>
      <w:r w:rsidRPr="00B35C39">
        <w:rPr>
          <w:rFonts w:asciiTheme="minorHAnsi" w:eastAsia="Arial" w:hAnsiTheme="minorHAnsi" w:cstheme="minorHAnsi"/>
          <w:lang w:val="en-US"/>
        </w:rPr>
        <w:t>As the governing legislation changed part way through the reporting period, providers must assess and report their compliance against the applicable prudential obligations for each period as outlined below.</w:t>
      </w:r>
    </w:p>
    <w:p w14:paraId="5519C591" w14:textId="77777777" w:rsidR="0058754E" w:rsidRPr="0058754E" w:rsidRDefault="0058754E" w:rsidP="0058754E">
      <w:pPr>
        <w:pStyle w:val="BodyText"/>
        <w:spacing w:before="0"/>
        <w:rPr>
          <w:rFonts w:asciiTheme="minorHAnsi" w:hAnsiTheme="minorHAnsi" w:cstheme="minorHAnsi"/>
          <w:b/>
          <w:bCs/>
          <w:lang w:val="en-US" w:eastAsia="en-US"/>
        </w:rPr>
      </w:pPr>
      <w:r w:rsidRPr="0058754E">
        <w:rPr>
          <w:rFonts w:asciiTheme="minorHAnsi" w:hAnsiTheme="minorHAnsi" w:cstheme="minorHAnsi"/>
          <w:b/>
          <w:bCs/>
          <w:lang w:val="en-US" w:eastAsia="en-US"/>
        </w:rPr>
        <w:t>Legislation in force up to 31 October 2025</w:t>
      </w:r>
    </w:p>
    <w:p w14:paraId="58BD201E" w14:textId="77777777" w:rsidR="0058754E" w:rsidRPr="00B35C39" w:rsidRDefault="0058754E" w:rsidP="00B35C39">
      <w:pPr>
        <w:pStyle w:val="ListParagraph"/>
        <w:numPr>
          <w:ilvl w:val="0"/>
          <w:numId w:val="52"/>
        </w:numPr>
        <w:spacing w:before="0" w:line="240" w:lineRule="auto"/>
        <w:rPr>
          <w:rStyle w:val="Hyperlink"/>
          <w:i/>
          <w:iCs/>
        </w:rPr>
      </w:pPr>
      <w:hyperlink r:id="rId13" w:history="1">
        <w:r w:rsidRPr="00B35C39">
          <w:rPr>
            <w:rStyle w:val="Hyperlink"/>
            <w:rFonts w:asciiTheme="minorHAnsi" w:hAnsiTheme="minorHAnsi" w:cstheme="minorHAnsi"/>
            <w:i/>
            <w:iCs/>
            <w:sz w:val="24"/>
            <w:szCs w:val="24"/>
          </w:rPr>
          <w:t>Aged Care Act 1997</w:t>
        </w:r>
      </w:hyperlink>
      <w:r w:rsidRPr="00B35C39">
        <w:rPr>
          <w:rStyle w:val="Hyperlink"/>
          <w:i/>
          <w:iCs/>
        </w:rPr>
        <w:t xml:space="preserve"> (the Act) </w:t>
      </w:r>
    </w:p>
    <w:p w14:paraId="6A8613EF" w14:textId="77777777" w:rsidR="0058754E" w:rsidRPr="00B35C39" w:rsidRDefault="0058754E" w:rsidP="00B35C39">
      <w:pPr>
        <w:pStyle w:val="ListParagraph"/>
        <w:numPr>
          <w:ilvl w:val="0"/>
          <w:numId w:val="52"/>
        </w:numPr>
        <w:spacing w:before="0" w:line="240" w:lineRule="auto"/>
        <w:rPr>
          <w:rStyle w:val="Hyperlink"/>
          <w:i/>
          <w:iCs/>
          <w:color w:val="auto"/>
          <w:u w:val="none"/>
        </w:rPr>
      </w:pPr>
      <w:hyperlink r:id="rId14" w:history="1">
        <w:r w:rsidRPr="00B35C39">
          <w:rPr>
            <w:rStyle w:val="Hyperlink"/>
            <w:rFonts w:asciiTheme="minorHAnsi" w:hAnsiTheme="minorHAnsi" w:cstheme="minorHAnsi"/>
            <w:i/>
            <w:iCs/>
            <w:sz w:val="24"/>
            <w:szCs w:val="24"/>
          </w:rPr>
          <w:t>Fees and Payments Principles 2014 (No.2)</w:t>
        </w:r>
      </w:hyperlink>
      <w:r w:rsidRPr="00B35C39">
        <w:rPr>
          <w:rStyle w:val="Hyperlink"/>
          <w:i/>
          <w:iCs/>
          <w:u w:val="none"/>
        </w:rPr>
        <w:t xml:space="preserve"> </w:t>
      </w:r>
      <w:r w:rsidRPr="00B35C39">
        <w:rPr>
          <w:rStyle w:val="Hyperlink"/>
          <w:i/>
          <w:iCs/>
          <w:color w:val="auto"/>
          <w:u w:val="none"/>
        </w:rPr>
        <w:t xml:space="preserve">(the Fees and Payments Principles) </w:t>
      </w:r>
    </w:p>
    <w:p w14:paraId="34B7AD63" w14:textId="77777777" w:rsidR="0058754E" w:rsidRPr="00B35C39" w:rsidRDefault="0058754E" w:rsidP="00B35C39">
      <w:pPr>
        <w:pStyle w:val="ListParagraph"/>
        <w:numPr>
          <w:ilvl w:val="0"/>
          <w:numId w:val="52"/>
        </w:numPr>
        <w:spacing w:before="0" w:line="240" w:lineRule="auto"/>
        <w:rPr>
          <w:rStyle w:val="Hyperlink"/>
          <w:i/>
          <w:iCs/>
        </w:rPr>
      </w:pPr>
      <w:hyperlink r:id="rId15" w:history="1">
        <w:r w:rsidRPr="00B35C39">
          <w:rPr>
            <w:rStyle w:val="Hyperlink"/>
            <w:rFonts w:asciiTheme="minorHAnsi" w:hAnsiTheme="minorHAnsi" w:cstheme="minorHAnsi"/>
            <w:i/>
            <w:iCs/>
            <w:sz w:val="24"/>
            <w:szCs w:val="24"/>
          </w:rPr>
          <w:t xml:space="preserve">User Rights Principles 2014 </w:t>
        </w:r>
      </w:hyperlink>
      <w:r w:rsidRPr="00B35C39">
        <w:rPr>
          <w:rStyle w:val="Hyperlink"/>
          <w:i/>
          <w:iCs/>
        </w:rPr>
        <w:t xml:space="preserve"> </w:t>
      </w:r>
    </w:p>
    <w:p w14:paraId="05838895" w14:textId="77777777" w:rsidR="0058754E" w:rsidRPr="00B35C39" w:rsidRDefault="0058754E" w:rsidP="00B35C39">
      <w:pPr>
        <w:pStyle w:val="ListParagraph"/>
        <w:numPr>
          <w:ilvl w:val="0"/>
          <w:numId w:val="52"/>
        </w:numPr>
        <w:spacing w:before="0" w:line="240" w:lineRule="auto"/>
        <w:rPr>
          <w:rStyle w:val="Hyperlink"/>
          <w:rFonts w:asciiTheme="minorHAnsi" w:hAnsiTheme="minorHAnsi" w:cstheme="minorHAnsi"/>
          <w:i/>
          <w:iCs/>
          <w:sz w:val="24"/>
          <w:szCs w:val="24"/>
        </w:rPr>
      </w:pPr>
      <w:r w:rsidRPr="00B35C39">
        <w:rPr>
          <w:rStyle w:val="Hyperlink"/>
          <w:iCs/>
        </w:rPr>
        <w:fldChar w:fldCharType="begin"/>
      </w:r>
      <w:r w:rsidRPr="00B35C39">
        <w:rPr>
          <w:rStyle w:val="Hyperlink"/>
          <w:iCs/>
        </w:rPr>
        <w:instrText>HYPERLINK "https://www.legislation.gov.au/F2014L00831/latest/text"</w:instrText>
      </w:r>
      <w:r w:rsidRPr="00B35C39">
        <w:rPr>
          <w:rStyle w:val="Hyperlink"/>
          <w:iCs/>
        </w:rPr>
      </w:r>
      <w:r w:rsidRPr="00B35C39">
        <w:rPr>
          <w:rStyle w:val="Hyperlink"/>
          <w:iCs/>
        </w:rPr>
        <w:fldChar w:fldCharType="separate"/>
      </w:r>
      <w:r w:rsidRPr="00B35C39">
        <w:rPr>
          <w:rStyle w:val="Hyperlink"/>
          <w:rFonts w:asciiTheme="minorHAnsi" w:hAnsiTheme="minorHAnsi" w:cstheme="minorHAnsi"/>
          <w:i/>
          <w:iCs/>
          <w:sz w:val="24"/>
          <w:szCs w:val="24"/>
        </w:rPr>
        <w:t>Accountability Principles 2014</w:t>
      </w:r>
    </w:p>
    <w:p w14:paraId="221B78E6" w14:textId="77777777" w:rsidR="0058754E" w:rsidRPr="00B35C39" w:rsidRDefault="0058754E" w:rsidP="00B35C39">
      <w:pPr>
        <w:pStyle w:val="ListParagraph"/>
        <w:numPr>
          <w:ilvl w:val="0"/>
          <w:numId w:val="52"/>
        </w:numPr>
        <w:spacing w:before="0" w:line="240" w:lineRule="auto"/>
        <w:rPr>
          <w:rStyle w:val="Hyperlink"/>
          <w:i/>
          <w:iCs/>
        </w:rPr>
      </w:pPr>
      <w:r w:rsidRPr="00B35C39">
        <w:rPr>
          <w:rStyle w:val="Hyperlink"/>
          <w:iCs/>
        </w:rPr>
        <w:fldChar w:fldCharType="end"/>
      </w:r>
      <w:hyperlink r:id="rId16" w:history="1">
        <w:r w:rsidRPr="00B35C39">
          <w:rPr>
            <w:rStyle w:val="Hyperlink"/>
            <w:rFonts w:asciiTheme="minorHAnsi" w:hAnsiTheme="minorHAnsi" w:cstheme="minorHAnsi"/>
            <w:i/>
            <w:iCs/>
            <w:sz w:val="24"/>
            <w:szCs w:val="24"/>
          </w:rPr>
          <w:t>The Quality of Care Principles 2014</w:t>
        </w:r>
      </w:hyperlink>
    </w:p>
    <w:p w14:paraId="12F9CEF2" w14:textId="77777777" w:rsidR="0058754E" w:rsidRPr="00B35C39" w:rsidRDefault="0058754E" w:rsidP="0058754E">
      <w:pPr>
        <w:spacing w:line="240" w:lineRule="auto"/>
        <w:rPr>
          <w:rFonts w:cstheme="minorHAnsi"/>
          <w:b/>
          <w:bCs/>
          <w:color w:val="1F497D" w:themeColor="text2"/>
          <w:sz w:val="24"/>
          <w:szCs w:val="24"/>
        </w:rPr>
      </w:pPr>
      <w:r w:rsidRPr="00B35C39">
        <w:rPr>
          <w:rFonts w:cstheme="minorHAnsi"/>
          <w:b/>
          <w:bCs/>
          <w:color w:val="1F497D" w:themeColor="text2"/>
          <w:sz w:val="24"/>
          <w:szCs w:val="24"/>
        </w:rPr>
        <w:lastRenderedPageBreak/>
        <w:t>Legislation in force from 1 November 2025</w:t>
      </w:r>
    </w:p>
    <w:p w14:paraId="1484E705" w14:textId="77777777" w:rsidR="0058754E" w:rsidRPr="00B35C39" w:rsidRDefault="0058754E" w:rsidP="0058754E">
      <w:pPr>
        <w:pStyle w:val="ListParagraph"/>
        <w:numPr>
          <w:ilvl w:val="0"/>
          <w:numId w:val="52"/>
        </w:numPr>
        <w:spacing w:before="0" w:line="240" w:lineRule="auto"/>
        <w:rPr>
          <w:rFonts w:asciiTheme="minorHAnsi" w:hAnsiTheme="minorHAnsi" w:cstheme="minorHAnsi"/>
          <w:i/>
          <w:iCs/>
          <w:color w:val="1F497D" w:themeColor="text2"/>
          <w:sz w:val="24"/>
          <w:szCs w:val="24"/>
        </w:rPr>
      </w:pPr>
      <w:hyperlink r:id="rId17" w:history="1">
        <w:r w:rsidRPr="00B35C39">
          <w:rPr>
            <w:rStyle w:val="Hyperlink"/>
            <w:rFonts w:asciiTheme="minorHAnsi" w:hAnsiTheme="minorHAnsi" w:cstheme="minorHAnsi"/>
            <w:i/>
            <w:iCs/>
            <w:sz w:val="24"/>
            <w:szCs w:val="24"/>
          </w:rPr>
          <w:t>Aged Care Act 2024</w:t>
        </w:r>
      </w:hyperlink>
    </w:p>
    <w:p w14:paraId="499F5AC5" w14:textId="77777777" w:rsidR="0058754E" w:rsidRDefault="0058754E" w:rsidP="0058754E">
      <w:pPr>
        <w:pStyle w:val="ListParagraph"/>
        <w:numPr>
          <w:ilvl w:val="0"/>
          <w:numId w:val="52"/>
        </w:numPr>
        <w:spacing w:before="0" w:line="240" w:lineRule="auto"/>
        <w:rPr>
          <w:rFonts w:asciiTheme="minorHAnsi" w:hAnsiTheme="minorHAnsi" w:cstheme="minorHAnsi"/>
          <w:i/>
          <w:color w:val="1F497D" w:themeColor="text2"/>
          <w:sz w:val="24"/>
          <w:szCs w:val="24"/>
          <w:lang w:eastAsia="en-AU"/>
        </w:rPr>
      </w:pPr>
      <w:hyperlink r:id="rId18" w:history="1">
        <w:r w:rsidRPr="00B35C39">
          <w:rPr>
            <w:rStyle w:val="Hyperlink"/>
            <w:rFonts w:asciiTheme="minorHAnsi" w:hAnsiTheme="minorHAnsi" w:cstheme="minorHAnsi"/>
            <w:i/>
            <w:iCs/>
            <w:sz w:val="24"/>
            <w:szCs w:val="24"/>
          </w:rPr>
          <w:t>Aged Care Rules 2025</w:t>
        </w:r>
      </w:hyperlink>
    </w:p>
    <w:p w14:paraId="45FA5FAE" w14:textId="4540BB53" w:rsidR="0032687F" w:rsidRPr="00743612" w:rsidRDefault="003805D2" w:rsidP="0032687F">
      <w:pPr>
        <w:pStyle w:val="ListParagraph"/>
        <w:numPr>
          <w:ilvl w:val="0"/>
          <w:numId w:val="52"/>
        </w:numPr>
        <w:spacing w:before="0" w:line="240" w:lineRule="auto"/>
        <w:rPr>
          <w:rStyle w:val="Hyperlink"/>
          <w:i/>
          <w:color w:val="1F497D" w:themeColor="text2"/>
          <w:sz w:val="24"/>
          <w:szCs w:val="24"/>
        </w:rPr>
      </w:pPr>
      <w:hyperlink r:id="rId19" w:history="1">
        <w:r w:rsidRPr="003805D2">
          <w:rPr>
            <w:rStyle w:val="Hyperlink"/>
            <w:i/>
            <w:sz w:val="24"/>
            <w:szCs w:val="24"/>
          </w:rPr>
          <w:t>Aged Care Financial and Prudential Standards 2025</w:t>
        </w:r>
      </w:hyperlink>
    </w:p>
    <w:p w14:paraId="4827FEC3" w14:textId="77777777" w:rsidR="0032687F" w:rsidRPr="00B35C39" w:rsidRDefault="0032687F" w:rsidP="00B35C39">
      <w:pPr>
        <w:pStyle w:val="ListParagraph"/>
        <w:spacing w:before="0" w:line="240" w:lineRule="auto"/>
        <w:rPr>
          <w:rFonts w:asciiTheme="minorHAnsi" w:hAnsiTheme="minorHAnsi" w:cstheme="minorHAnsi"/>
          <w:i/>
          <w:iCs/>
          <w:color w:val="1F497D" w:themeColor="text2"/>
          <w:sz w:val="24"/>
          <w:szCs w:val="24"/>
          <w:lang w:eastAsia="en-AU"/>
        </w:rPr>
      </w:pPr>
    </w:p>
    <w:p w14:paraId="016A1B00" w14:textId="77777777" w:rsidR="0058754E" w:rsidRPr="00B35C39" w:rsidRDefault="0058754E" w:rsidP="00B35C39">
      <w:pPr>
        <w:spacing w:after="0"/>
        <w:rPr>
          <w:b/>
          <w:bCs/>
          <w:color w:val="0070C0"/>
          <w:sz w:val="26"/>
          <w:szCs w:val="26"/>
        </w:rPr>
      </w:pPr>
      <w:r w:rsidRPr="00B35C39">
        <w:rPr>
          <w:b/>
          <w:bCs/>
          <w:color w:val="0070C0"/>
          <w:sz w:val="26"/>
          <w:szCs w:val="26"/>
        </w:rPr>
        <w:t>Use of this guide</w:t>
      </w:r>
    </w:p>
    <w:p w14:paraId="5E9A83E6" w14:textId="77777777" w:rsidR="0058754E" w:rsidRPr="0058754E" w:rsidRDefault="0058754E" w:rsidP="0058754E">
      <w:pPr>
        <w:pStyle w:val="BodyText"/>
        <w:rPr>
          <w:rFonts w:asciiTheme="minorHAnsi" w:hAnsiTheme="minorHAnsi" w:cstheme="minorHAnsi"/>
          <w:lang w:val="en-US" w:eastAsia="en-US"/>
        </w:rPr>
      </w:pPr>
      <w:r w:rsidRPr="0058754E">
        <w:rPr>
          <w:rFonts w:asciiTheme="minorHAnsi" w:hAnsiTheme="minorHAnsi" w:cstheme="minorHAnsi"/>
          <w:lang w:val="en-US" w:eastAsia="en-US"/>
        </w:rPr>
        <w:t xml:space="preserve">Some aspects of the legislation have been simplified in the guide to support understanding. The guide is general in nature and does not constitute legal advice. </w:t>
      </w:r>
    </w:p>
    <w:p w14:paraId="68C2F189" w14:textId="77777777" w:rsidR="0058754E" w:rsidRPr="0058754E" w:rsidRDefault="0058754E" w:rsidP="0058754E">
      <w:pPr>
        <w:pStyle w:val="BodyText"/>
        <w:spacing w:before="0"/>
        <w:rPr>
          <w:rFonts w:asciiTheme="minorHAnsi" w:hAnsiTheme="minorHAnsi" w:cstheme="minorHAnsi"/>
          <w:lang w:val="en-US" w:eastAsia="en-US"/>
        </w:rPr>
      </w:pPr>
      <w:r w:rsidRPr="0058754E">
        <w:rPr>
          <w:rFonts w:asciiTheme="minorHAnsi" w:hAnsiTheme="minorHAnsi" w:cstheme="minorHAnsi"/>
          <w:lang w:val="en-US" w:eastAsia="en-US"/>
        </w:rPr>
        <w:t xml:space="preserve">Where there is any inconsistency between this guide and the legislation, providers should refer to the relevant Acts, Principles and Rules listed above. </w:t>
      </w:r>
    </w:p>
    <w:p w14:paraId="7F2E04F9" w14:textId="3FF4E2E9" w:rsidR="007807DD" w:rsidRDefault="007807DD">
      <w:pPr>
        <w:rPr>
          <w:rFonts w:eastAsiaTheme="majorEastAsia" w:cstheme="majorBidi"/>
          <w:b/>
          <w:bCs/>
          <w:color w:val="0070C0"/>
          <w:sz w:val="32"/>
          <w:szCs w:val="32"/>
        </w:rPr>
      </w:pPr>
      <w:r>
        <w:rPr>
          <w:color w:val="0070C0"/>
          <w:sz w:val="32"/>
          <w:szCs w:val="32"/>
        </w:rPr>
        <w:br w:type="page"/>
      </w:r>
    </w:p>
    <w:p w14:paraId="53C5A807" w14:textId="77777777" w:rsidR="003E5569" w:rsidRDefault="00F352FB" w:rsidP="003E5569">
      <w:pPr>
        <w:pStyle w:val="Heading2"/>
        <w:spacing w:before="360" w:after="120"/>
        <w:rPr>
          <w:rFonts w:asciiTheme="minorHAnsi" w:hAnsiTheme="minorHAnsi"/>
          <w:color w:val="0070C0"/>
          <w:sz w:val="32"/>
          <w:szCs w:val="32"/>
        </w:rPr>
      </w:pPr>
      <w:r>
        <w:rPr>
          <w:rFonts w:asciiTheme="minorHAnsi" w:hAnsiTheme="minorHAnsi"/>
          <w:color w:val="0070C0"/>
          <w:sz w:val="32"/>
          <w:szCs w:val="32"/>
        </w:rPr>
        <w:lastRenderedPageBreak/>
        <w:t>PART 1</w:t>
      </w:r>
      <w:r w:rsidR="003E5569">
        <w:rPr>
          <w:rFonts w:asciiTheme="minorHAnsi" w:hAnsiTheme="minorHAnsi"/>
          <w:color w:val="0070C0"/>
          <w:sz w:val="32"/>
          <w:szCs w:val="32"/>
        </w:rPr>
        <w:t xml:space="preserve"> – APCS guidance under the </w:t>
      </w:r>
      <w:r w:rsidR="003E5569" w:rsidRPr="00DC03C5">
        <w:rPr>
          <w:rFonts w:asciiTheme="minorHAnsi" w:hAnsiTheme="minorHAnsi"/>
          <w:i/>
          <w:iCs/>
          <w:color w:val="0070C0"/>
          <w:sz w:val="32"/>
          <w:szCs w:val="32"/>
        </w:rPr>
        <w:t>Aged Care Act 1997</w:t>
      </w:r>
    </w:p>
    <w:p w14:paraId="671BDD95" w14:textId="0242015E" w:rsidR="00F352FB" w:rsidRPr="00B35C39" w:rsidRDefault="003E5569" w:rsidP="00B35C39">
      <w:pPr>
        <w:rPr>
          <w:i/>
          <w:iCs/>
        </w:rPr>
      </w:pPr>
      <w:r w:rsidRPr="00DC03C5">
        <w:rPr>
          <w:i/>
          <w:iCs/>
        </w:rPr>
        <w:t>(Applies from 1 July to 31 October 2025)</w:t>
      </w:r>
    </w:p>
    <w:p w14:paraId="574C5E86" w14:textId="34F2F132" w:rsidR="0005562C" w:rsidRPr="00236E93" w:rsidRDefault="00476203" w:rsidP="00236E93">
      <w:pPr>
        <w:pStyle w:val="Heading2"/>
        <w:spacing w:before="360" w:after="120"/>
        <w:rPr>
          <w:rFonts w:asciiTheme="minorHAnsi" w:hAnsiTheme="minorHAnsi"/>
          <w:color w:val="0070C0"/>
          <w:sz w:val="32"/>
          <w:szCs w:val="32"/>
        </w:rPr>
      </w:pPr>
      <w:r w:rsidRPr="00236E93">
        <w:rPr>
          <w:rFonts w:asciiTheme="minorHAnsi" w:hAnsiTheme="minorHAnsi"/>
          <w:color w:val="0070C0"/>
          <w:sz w:val="32"/>
          <w:szCs w:val="32"/>
        </w:rPr>
        <w:t>REFUNDABLE ACCOMMODATION PAYMENTS</w:t>
      </w:r>
    </w:p>
    <w:p w14:paraId="56BDBF82" w14:textId="77777777" w:rsidR="00D33304" w:rsidRPr="002B7CED" w:rsidRDefault="00D33304" w:rsidP="007807DD">
      <w:pPr>
        <w:spacing w:after="0"/>
        <w:rPr>
          <w:rFonts w:cs="Arial"/>
          <w:b/>
          <w:bCs/>
          <w:color w:val="0070C0"/>
          <w:sz w:val="26"/>
          <w:szCs w:val="26"/>
        </w:rPr>
      </w:pPr>
      <w:r w:rsidRPr="002B7CED">
        <w:rPr>
          <w:b/>
          <w:bCs/>
          <w:color w:val="0070C0"/>
          <w:sz w:val="26"/>
          <w:szCs w:val="26"/>
        </w:rPr>
        <w:t>Entry Contribution meaning</w:t>
      </w:r>
    </w:p>
    <w:p w14:paraId="4868BA2A" w14:textId="0D1EEC8A" w:rsidR="00D33304" w:rsidRPr="00B35C39" w:rsidRDefault="00D33304" w:rsidP="00B35C39">
      <w:pPr>
        <w:pStyle w:val="ListParagraph"/>
        <w:numPr>
          <w:ilvl w:val="0"/>
          <w:numId w:val="3"/>
        </w:numPr>
        <w:spacing w:before="0" w:line="240" w:lineRule="auto"/>
        <w:ind w:left="850" w:hanging="425"/>
        <w:rPr>
          <w:rFonts w:asciiTheme="minorHAnsi" w:hAnsiTheme="minorHAnsi" w:cs="Arial"/>
        </w:rPr>
      </w:pPr>
      <w:r w:rsidRPr="00B35C39">
        <w:rPr>
          <w:rFonts w:asciiTheme="minorHAnsi" w:hAnsiTheme="minorHAnsi" w:cs="Arial"/>
          <w:b/>
          <w:bCs/>
          <w:sz w:val="24"/>
          <w:szCs w:val="24"/>
        </w:rPr>
        <w:t xml:space="preserve">entry contribution (EC) </w:t>
      </w:r>
      <w:r w:rsidRPr="00B35C39">
        <w:rPr>
          <w:rFonts w:asciiTheme="minorHAnsi" w:hAnsiTheme="minorHAnsi" w:cs="Arial"/>
          <w:sz w:val="24"/>
          <w:szCs w:val="24"/>
        </w:rPr>
        <w:t xml:space="preserve">relating to a </w:t>
      </w:r>
      <w:r w:rsidR="009978D8" w:rsidRPr="00B35C39">
        <w:rPr>
          <w:rFonts w:asciiTheme="minorHAnsi" w:hAnsiTheme="minorHAnsi" w:cs="Arial"/>
          <w:sz w:val="24"/>
          <w:szCs w:val="24"/>
        </w:rPr>
        <w:t>resident</w:t>
      </w:r>
      <w:r w:rsidRPr="00B35C39">
        <w:rPr>
          <w:rFonts w:asciiTheme="minorHAnsi" w:hAnsiTheme="minorHAnsi" w:cs="Arial"/>
          <w:sz w:val="24"/>
          <w:szCs w:val="24"/>
        </w:rPr>
        <w:t xml:space="preserve">, means any payment, made before </w:t>
      </w:r>
      <w:r w:rsidRPr="00B35C39">
        <w:rPr>
          <w:rFonts w:asciiTheme="minorHAnsi" w:hAnsiTheme="minorHAnsi" w:cs="Arial"/>
          <w:sz w:val="24"/>
          <w:szCs w:val="24"/>
        </w:rPr>
        <w:br/>
        <w:t xml:space="preserve">1 October 1997, of money or other valuable consideration required by an operator to be given or loaned in return for, or in contemplation of, entry of the </w:t>
      </w:r>
      <w:r w:rsidR="009978D8" w:rsidRPr="00B35C39">
        <w:rPr>
          <w:rFonts w:asciiTheme="minorHAnsi" w:hAnsiTheme="minorHAnsi" w:cs="Arial"/>
          <w:sz w:val="24"/>
          <w:szCs w:val="24"/>
        </w:rPr>
        <w:t>resident</w:t>
      </w:r>
      <w:r w:rsidRPr="00B35C39">
        <w:rPr>
          <w:rFonts w:asciiTheme="minorHAnsi" w:hAnsiTheme="minorHAnsi" w:cs="Arial"/>
          <w:sz w:val="24"/>
          <w:szCs w:val="24"/>
        </w:rPr>
        <w:t xml:space="preserve"> to a hostel (within the meaning of the Aged or Disabled Persons Care Act 1954).</w:t>
      </w:r>
    </w:p>
    <w:p w14:paraId="74BAB239" w14:textId="77777777" w:rsidR="00D33304" w:rsidRPr="000F6D2C" w:rsidRDefault="00D33304" w:rsidP="00B35C39">
      <w:pPr>
        <w:pStyle w:val="ListBullet"/>
        <w:numPr>
          <w:ilvl w:val="0"/>
          <w:numId w:val="0"/>
        </w:numPr>
        <w:spacing w:before="0"/>
        <w:ind w:left="850"/>
        <w:rPr>
          <w:rFonts w:asciiTheme="minorHAnsi" w:hAnsiTheme="minorHAnsi"/>
          <w:lang w:val="en-US" w:eastAsia="en-US"/>
        </w:rPr>
      </w:pPr>
      <w:r w:rsidRPr="004E4545">
        <w:rPr>
          <w:rFonts w:asciiTheme="minorHAnsi" w:hAnsiTheme="minorHAnsi"/>
          <w:b/>
          <w:lang w:val="en-US" w:eastAsia="en-US"/>
        </w:rPr>
        <w:t xml:space="preserve">Note: ECs </w:t>
      </w:r>
      <w:r w:rsidRPr="004E4545">
        <w:rPr>
          <w:rFonts w:asciiTheme="minorHAnsi" w:hAnsiTheme="minorHAnsi"/>
          <w:lang w:val="en-US" w:eastAsia="en-US"/>
        </w:rPr>
        <w:t>are</w:t>
      </w:r>
      <w:r w:rsidRPr="004E4545">
        <w:rPr>
          <w:rFonts w:asciiTheme="minorHAnsi" w:hAnsiTheme="minorHAnsi"/>
          <w:b/>
          <w:lang w:val="en-US" w:eastAsia="en-US"/>
        </w:rPr>
        <w:t xml:space="preserve"> </w:t>
      </w:r>
      <w:r w:rsidRPr="004E4545">
        <w:rPr>
          <w:rFonts w:asciiTheme="minorHAnsi" w:hAnsiTheme="minorHAnsi" w:cstheme="minorHAnsi"/>
          <w:lang w:val="en-US" w:eastAsia="en-US"/>
        </w:rPr>
        <w:t>n</w:t>
      </w:r>
      <w:r w:rsidRPr="004E4545">
        <w:rPr>
          <w:rFonts w:asciiTheme="minorHAnsi" w:hAnsiTheme="minorHAnsi" w:cstheme="minorHAnsi"/>
          <w:lang w:val="en-US"/>
        </w:rPr>
        <w:t>ot to be confused with Refundable Accommodation Contributions (RAC) – ECs are similar to a bond and were received prior to 1997.</w:t>
      </w:r>
    </w:p>
    <w:p w14:paraId="27D32D9F" w14:textId="77777777" w:rsidR="0005562C" w:rsidRPr="002B7CED" w:rsidRDefault="0005562C" w:rsidP="002B7CED">
      <w:pPr>
        <w:spacing w:before="200" w:after="0"/>
        <w:rPr>
          <w:b/>
          <w:bCs/>
          <w:color w:val="0070C0"/>
          <w:sz w:val="26"/>
          <w:szCs w:val="26"/>
        </w:rPr>
      </w:pPr>
      <w:r w:rsidRPr="002B7CED">
        <w:rPr>
          <w:b/>
          <w:bCs/>
          <w:color w:val="0070C0"/>
          <w:sz w:val="26"/>
          <w:szCs w:val="26"/>
        </w:rPr>
        <w:t>Bond meaning</w:t>
      </w:r>
    </w:p>
    <w:p w14:paraId="6B89F8A9" w14:textId="69009A3A" w:rsidR="0005562C" w:rsidRPr="00B35C39" w:rsidRDefault="0045604D" w:rsidP="00B35C39">
      <w:pPr>
        <w:pStyle w:val="ListParagraph"/>
        <w:numPr>
          <w:ilvl w:val="0"/>
          <w:numId w:val="3"/>
        </w:numPr>
        <w:spacing w:before="0" w:line="240" w:lineRule="auto"/>
        <w:ind w:left="850" w:hanging="425"/>
        <w:rPr>
          <w:rFonts w:asciiTheme="minorHAnsi" w:hAnsiTheme="minorHAnsi" w:cs="Arial"/>
          <w:b/>
          <w:bCs/>
        </w:rPr>
      </w:pPr>
      <w:r w:rsidRPr="00B35C39">
        <w:rPr>
          <w:rFonts w:asciiTheme="minorHAnsi" w:hAnsiTheme="minorHAnsi" w:cs="Arial"/>
          <w:b/>
          <w:bCs/>
          <w:sz w:val="24"/>
          <w:szCs w:val="24"/>
        </w:rPr>
        <w:t>A</w:t>
      </w:r>
      <w:r w:rsidR="0005562C" w:rsidRPr="00B35C39">
        <w:rPr>
          <w:rFonts w:asciiTheme="minorHAnsi" w:hAnsiTheme="minorHAnsi" w:cs="Arial"/>
          <w:b/>
          <w:bCs/>
          <w:sz w:val="24"/>
          <w:szCs w:val="24"/>
        </w:rPr>
        <w:t xml:space="preserve">ccommodation bond (Bond) </w:t>
      </w:r>
      <w:r w:rsidR="0005562C" w:rsidRPr="00B35C39">
        <w:rPr>
          <w:rFonts w:asciiTheme="minorHAnsi" w:hAnsiTheme="minorHAnsi" w:cs="Arial"/>
          <w:sz w:val="24"/>
          <w:szCs w:val="24"/>
        </w:rPr>
        <w:t xml:space="preserve">in relation to a person who first entered care before </w:t>
      </w:r>
      <w:r w:rsidR="00B85DD2" w:rsidRPr="00B35C39">
        <w:rPr>
          <w:rFonts w:asciiTheme="minorHAnsi" w:hAnsiTheme="minorHAnsi" w:cs="Arial"/>
          <w:sz w:val="24"/>
          <w:szCs w:val="24"/>
        </w:rPr>
        <w:br/>
      </w:r>
      <w:r w:rsidR="0005562C" w:rsidRPr="00B35C39">
        <w:rPr>
          <w:rFonts w:asciiTheme="minorHAnsi" w:hAnsiTheme="minorHAnsi" w:cs="Arial"/>
          <w:sz w:val="24"/>
          <w:szCs w:val="24"/>
        </w:rPr>
        <w:t>1 July 2014, means an amount of money that does not accrue daily and is paid or payable to a provider by the person for the person’s entry to a residential care service or flexible care service through which care is, or is to be, provided by the provider, and in respect of which the provider holds an allocation of places.</w:t>
      </w:r>
    </w:p>
    <w:p w14:paraId="340F2DF1" w14:textId="3C8F3BFB" w:rsidR="0005562C" w:rsidRPr="002B7CED" w:rsidRDefault="00D33304" w:rsidP="002B7CED">
      <w:pPr>
        <w:spacing w:before="200" w:after="0"/>
        <w:rPr>
          <w:b/>
          <w:bCs/>
          <w:color w:val="0070C0"/>
          <w:sz w:val="26"/>
          <w:szCs w:val="26"/>
        </w:rPr>
      </w:pPr>
      <w:r w:rsidRPr="002B7CED">
        <w:rPr>
          <w:b/>
          <w:bCs/>
          <w:color w:val="0070C0"/>
          <w:sz w:val="26"/>
          <w:szCs w:val="26"/>
        </w:rPr>
        <w:t>Refundable d</w:t>
      </w:r>
      <w:r w:rsidR="0005562C" w:rsidRPr="002B7CED">
        <w:rPr>
          <w:b/>
          <w:bCs/>
          <w:color w:val="0070C0"/>
          <w:sz w:val="26"/>
          <w:szCs w:val="26"/>
        </w:rPr>
        <w:t xml:space="preserve">eposit </w:t>
      </w:r>
      <w:r w:rsidR="0045604D" w:rsidRPr="002B7CED">
        <w:rPr>
          <w:b/>
          <w:bCs/>
          <w:color w:val="0070C0"/>
          <w:sz w:val="26"/>
          <w:szCs w:val="26"/>
        </w:rPr>
        <w:t>meaning</w:t>
      </w:r>
    </w:p>
    <w:p w14:paraId="45624CB8" w14:textId="57349617" w:rsidR="0005562C" w:rsidRPr="00B35C39" w:rsidRDefault="0045604D" w:rsidP="00B35C39">
      <w:pPr>
        <w:pStyle w:val="ListParagraph"/>
        <w:numPr>
          <w:ilvl w:val="0"/>
          <w:numId w:val="3"/>
        </w:numPr>
        <w:spacing w:before="0" w:line="240" w:lineRule="auto"/>
        <w:ind w:left="850" w:hanging="425"/>
        <w:rPr>
          <w:rFonts w:asciiTheme="minorHAnsi" w:hAnsiTheme="minorHAnsi" w:cs="Arial"/>
        </w:rPr>
      </w:pPr>
      <w:r w:rsidRPr="00B35C39">
        <w:rPr>
          <w:rFonts w:asciiTheme="minorHAnsi" w:hAnsiTheme="minorHAnsi" w:cs="Arial"/>
          <w:b/>
          <w:bCs/>
          <w:sz w:val="24"/>
          <w:szCs w:val="24"/>
        </w:rPr>
        <w:t>R</w:t>
      </w:r>
      <w:r w:rsidR="0005562C" w:rsidRPr="00B35C39">
        <w:rPr>
          <w:rFonts w:asciiTheme="minorHAnsi" w:hAnsiTheme="minorHAnsi" w:cs="Arial"/>
          <w:b/>
          <w:bCs/>
          <w:sz w:val="24"/>
          <w:szCs w:val="24"/>
        </w:rPr>
        <w:t xml:space="preserve">efundable accommodation deposit (RAD) </w:t>
      </w:r>
      <w:r w:rsidR="0005562C" w:rsidRPr="00B35C39">
        <w:rPr>
          <w:rFonts w:asciiTheme="minorHAnsi" w:hAnsiTheme="minorHAnsi" w:cs="Arial"/>
          <w:sz w:val="24"/>
          <w:szCs w:val="24"/>
        </w:rPr>
        <w:t xml:space="preserve">in relation to </w:t>
      </w:r>
      <w:r w:rsidR="009978D8" w:rsidRPr="00B35C39">
        <w:rPr>
          <w:rFonts w:asciiTheme="minorHAnsi" w:hAnsiTheme="minorHAnsi" w:cs="Arial"/>
          <w:sz w:val="24"/>
          <w:szCs w:val="24"/>
        </w:rPr>
        <w:t>resident</w:t>
      </w:r>
      <w:r w:rsidR="0005562C" w:rsidRPr="00B35C39">
        <w:rPr>
          <w:rFonts w:asciiTheme="minorHAnsi" w:hAnsiTheme="minorHAnsi" w:cs="Arial"/>
          <w:sz w:val="24"/>
          <w:szCs w:val="24"/>
        </w:rPr>
        <w:t>s who first entered care on or after 1 July 2014, means a payment for accommodation provided with residential care or flexible care that does not accrue daily, and is paid as a lump sum. This is the price for a room, in lump sum form, that residents have agreed with their aged care home to pay</w:t>
      </w:r>
      <w:r w:rsidR="00B65D80" w:rsidRPr="00B35C39">
        <w:rPr>
          <w:rFonts w:asciiTheme="minorHAnsi" w:hAnsiTheme="minorHAnsi" w:cs="Arial"/>
          <w:sz w:val="24"/>
          <w:szCs w:val="24"/>
        </w:rPr>
        <w:t>.</w:t>
      </w:r>
    </w:p>
    <w:p w14:paraId="67260456" w14:textId="0FBFF84E" w:rsidR="0005562C" w:rsidRPr="00B35C39" w:rsidRDefault="0045604D" w:rsidP="00B35C39">
      <w:pPr>
        <w:pStyle w:val="ListParagraph"/>
        <w:numPr>
          <w:ilvl w:val="0"/>
          <w:numId w:val="3"/>
        </w:numPr>
        <w:spacing w:before="0" w:line="240" w:lineRule="auto"/>
        <w:ind w:left="850" w:hanging="425"/>
        <w:rPr>
          <w:rFonts w:asciiTheme="minorHAnsi" w:hAnsiTheme="minorHAnsi" w:cs="Arial"/>
        </w:rPr>
      </w:pPr>
      <w:r w:rsidRPr="00B35C39">
        <w:rPr>
          <w:rFonts w:asciiTheme="minorHAnsi" w:hAnsiTheme="minorHAnsi" w:cs="Arial"/>
          <w:b/>
          <w:bCs/>
          <w:sz w:val="24"/>
          <w:szCs w:val="24"/>
        </w:rPr>
        <w:t>R</w:t>
      </w:r>
      <w:r w:rsidR="0005562C" w:rsidRPr="00B35C39">
        <w:rPr>
          <w:rFonts w:asciiTheme="minorHAnsi" w:hAnsiTheme="minorHAnsi" w:cs="Arial"/>
          <w:b/>
          <w:bCs/>
          <w:sz w:val="24"/>
          <w:szCs w:val="24"/>
        </w:rPr>
        <w:t>efundable accommodation contribution (</w:t>
      </w:r>
      <w:r w:rsidR="00746FAF" w:rsidRPr="00B35C39">
        <w:rPr>
          <w:rFonts w:asciiTheme="minorHAnsi" w:hAnsiTheme="minorHAnsi" w:cs="Arial"/>
          <w:b/>
          <w:bCs/>
          <w:sz w:val="24"/>
          <w:szCs w:val="24"/>
        </w:rPr>
        <w:t>RAC)</w:t>
      </w:r>
      <w:r w:rsidR="00746FAF" w:rsidRPr="00B35C39">
        <w:rPr>
          <w:rFonts w:asciiTheme="minorHAnsi" w:hAnsiTheme="minorHAnsi" w:cs="Arial"/>
          <w:sz w:val="24"/>
          <w:szCs w:val="24"/>
        </w:rPr>
        <w:t xml:space="preserve"> in</w:t>
      </w:r>
      <w:r w:rsidR="0005562C" w:rsidRPr="00B35C39">
        <w:rPr>
          <w:rFonts w:asciiTheme="minorHAnsi" w:hAnsiTheme="minorHAnsi" w:cs="Arial"/>
          <w:sz w:val="24"/>
          <w:szCs w:val="24"/>
        </w:rPr>
        <w:t xml:space="preserve"> relation to </w:t>
      </w:r>
      <w:r w:rsidR="009978D8" w:rsidRPr="00B35C39">
        <w:rPr>
          <w:rFonts w:asciiTheme="minorHAnsi" w:hAnsiTheme="minorHAnsi" w:cs="Arial"/>
          <w:sz w:val="24"/>
          <w:szCs w:val="24"/>
        </w:rPr>
        <w:t>resident</w:t>
      </w:r>
      <w:r w:rsidR="0005562C" w:rsidRPr="00B35C39">
        <w:rPr>
          <w:rFonts w:asciiTheme="minorHAnsi" w:hAnsiTheme="minorHAnsi" w:cs="Arial"/>
          <w:sz w:val="24"/>
          <w:szCs w:val="24"/>
        </w:rPr>
        <w:t xml:space="preserve">s who </w:t>
      </w:r>
      <w:r w:rsidR="00B85DD2" w:rsidRPr="00B35C39">
        <w:rPr>
          <w:rFonts w:asciiTheme="minorHAnsi" w:hAnsiTheme="minorHAnsi" w:cs="Arial"/>
          <w:sz w:val="24"/>
          <w:szCs w:val="24"/>
        </w:rPr>
        <w:t xml:space="preserve">first entered care on or after </w:t>
      </w:r>
      <w:r w:rsidR="0005562C" w:rsidRPr="00B35C39">
        <w:rPr>
          <w:rFonts w:asciiTheme="minorHAnsi" w:hAnsiTheme="minorHAnsi" w:cs="Arial"/>
          <w:sz w:val="24"/>
          <w:szCs w:val="24"/>
        </w:rPr>
        <w:t>1 July 2014, just like a RAD. The difference between a RAC and a RAD is that a RAC is the term used when a person who is receiving Government assistance with their accommodation costs makes a ‘contribution’ towards their accommodation costs (with the Australian Government also making a contribution on their behalf).</w:t>
      </w:r>
    </w:p>
    <w:p w14:paraId="38813ABF" w14:textId="77777777" w:rsidR="0005562C" w:rsidRPr="002B7CED" w:rsidRDefault="0005562C" w:rsidP="002B7CED">
      <w:pPr>
        <w:spacing w:before="200" w:after="0"/>
        <w:rPr>
          <w:b/>
          <w:bCs/>
          <w:color w:val="0070C0"/>
          <w:sz w:val="26"/>
          <w:szCs w:val="26"/>
        </w:rPr>
      </w:pPr>
      <w:r w:rsidRPr="002B7CED">
        <w:rPr>
          <w:b/>
          <w:bCs/>
          <w:color w:val="0070C0"/>
          <w:sz w:val="26"/>
          <w:szCs w:val="26"/>
        </w:rPr>
        <w:t xml:space="preserve">Refundable </w:t>
      </w:r>
      <w:r w:rsidR="004C497D" w:rsidRPr="002B7CED">
        <w:rPr>
          <w:b/>
          <w:bCs/>
          <w:color w:val="0070C0"/>
          <w:sz w:val="26"/>
          <w:szCs w:val="26"/>
        </w:rPr>
        <w:t xml:space="preserve">accommodation </w:t>
      </w:r>
      <w:r w:rsidR="005D2FC7" w:rsidRPr="002B7CED">
        <w:rPr>
          <w:b/>
          <w:bCs/>
          <w:color w:val="0070C0"/>
          <w:sz w:val="26"/>
          <w:szCs w:val="26"/>
        </w:rPr>
        <w:t>payment balances</w:t>
      </w:r>
    </w:p>
    <w:p w14:paraId="50B7939E" w14:textId="449AFE79" w:rsidR="0005562C" w:rsidRPr="001C19A5" w:rsidRDefault="00612F19" w:rsidP="00612F19">
      <w:pPr>
        <w:pStyle w:val="ListBullet"/>
        <w:numPr>
          <w:ilvl w:val="0"/>
          <w:numId w:val="0"/>
        </w:numPr>
        <w:spacing w:before="0"/>
        <w:rPr>
          <w:rFonts w:asciiTheme="minorHAnsi" w:hAnsiTheme="minorHAnsi"/>
          <w:lang w:val="en-US" w:eastAsia="en-US"/>
        </w:rPr>
      </w:pPr>
      <w:r>
        <w:rPr>
          <w:rFonts w:asciiTheme="minorHAnsi" w:hAnsiTheme="minorHAnsi"/>
          <w:lang w:val="en-US" w:eastAsia="en-US"/>
        </w:rPr>
        <w:t>I</w:t>
      </w:r>
      <w:r w:rsidR="0005562C" w:rsidRPr="001C19A5">
        <w:rPr>
          <w:rFonts w:asciiTheme="minorHAnsi" w:hAnsiTheme="minorHAnsi"/>
          <w:lang w:val="en-US" w:eastAsia="en-US"/>
        </w:rPr>
        <w:t>n relation to</w:t>
      </w:r>
      <w:r w:rsidR="00BB155A">
        <w:rPr>
          <w:rFonts w:asciiTheme="minorHAnsi" w:hAnsiTheme="minorHAnsi"/>
          <w:lang w:val="en-US" w:eastAsia="en-US"/>
        </w:rPr>
        <w:t xml:space="preserve"> </w:t>
      </w:r>
      <w:r w:rsidR="0005562C" w:rsidRPr="001C19A5">
        <w:rPr>
          <w:rFonts w:asciiTheme="minorHAnsi" w:hAnsiTheme="minorHAnsi"/>
          <w:lang w:val="en-US" w:eastAsia="en-US"/>
        </w:rPr>
        <w:t xml:space="preserve">lump sum payments for </w:t>
      </w:r>
      <w:r w:rsidR="0005562C" w:rsidRPr="00612F19">
        <w:rPr>
          <w:rFonts w:asciiTheme="minorHAnsi" w:hAnsiTheme="minorHAnsi"/>
          <w:lang w:val="en-US" w:eastAsia="en-US"/>
        </w:rPr>
        <w:t xml:space="preserve">EC, Bond </w:t>
      </w:r>
      <w:r w:rsidR="0005562C" w:rsidRPr="001C19A5">
        <w:rPr>
          <w:rFonts w:asciiTheme="minorHAnsi" w:hAnsiTheme="minorHAnsi"/>
          <w:lang w:val="en-US" w:eastAsia="en-US"/>
        </w:rPr>
        <w:t xml:space="preserve">and </w:t>
      </w:r>
      <w:r w:rsidR="0005562C" w:rsidRPr="00612F19">
        <w:rPr>
          <w:rFonts w:asciiTheme="minorHAnsi" w:hAnsiTheme="minorHAnsi"/>
          <w:lang w:val="en-US" w:eastAsia="en-US"/>
        </w:rPr>
        <w:t>Refundable deposits</w:t>
      </w:r>
      <w:r w:rsidR="0005562C" w:rsidRPr="001C19A5">
        <w:rPr>
          <w:rFonts w:asciiTheme="minorHAnsi" w:hAnsiTheme="minorHAnsi"/>
          <w:lang w:val="en-US" w:eastAsia="en-US"/>
        </w:rPr>
        <w:t xml:space="preserve"> </w:t>
      </w:r>
      <w:r w:rsidR="00D33304">
        <w:rPr>
          <w:rFonts w:asciiTheme="minorHAnsi" w:hAnsiTheme="minorHAnsi"/>
          <w:lang w:val="en-US" w:eastAsia="en-US"/>
        </w:rPr>
        <w:t xml:space="preserve">a balance </w:t>
      </w:r>
      <w:r w:rsidR="0005562C" w:rsidRPr="001C19A5">
        <w:rPr>
          <w:rFonts w:asciiTheme="minorHAnsi" w:hAnsiTheme="minorHAnsi"/>
          <w:lang w:val="en-US" w:eastAsia="en-US"/>
        </w:rPr>
        <w:t>is, at a particular time, an amount equal to the difference between:</w:t>
      </w:r>
    </w:p>
    <w:p w14:paraId="2DA6F342" w14:textId="2903D66A" w:rsidR="0005562C" w:rsidRPr="000543AF" w:rsidRDefault="0005562C" w:rsidP="000543AF">
      <w:pPr>
        <w:pStyle w:val="ListParagraph"/>
        <w:numPr>
          <w:ilvl w:val="0"/>
          <w:numId w:val="3"/>
        </w:numPr>
        <w:spacing w:before="0" w:line="240" w:lineRule="auto"/>
        <w:ind w:left="850" w:hanging="425"/>
        <w:rPr>
          <w:rFonts w:asciiTheme="minorHAnsi" w:hAnsiTheme="minorHAnsi" w:cs="Arial"/>
          <w:sz w:val="24"/>
          <w:szCs w:val="24"/>
        </w:rPr>
      </w:pPr>
      <w:r w:rsidRPr="000543AF">
        <w:rPr>
          <w:rFonts w:asciiTheme="minorHAnsi" w:hAnsiTheme="minorHAnsi" w:cs="Arial"/>
          <w:sz w:val="24"/>
          <w:szCs w:val="24"/>
        </w:rPr>
        <w:t xml:space="preserve">the amount of the </w:t>
      </w:r>
      <w:r w:rsidR="00BE13C9" w:rsidRPr="000543AF">
        <w:rPr>
          <w:rFonts w:asciiTheme="minorHAnsi" w:hAnsiTheme="minorHAnsi" w:cs="Arial"/>
          <w:sz w:val="24"/>
          <w:szCs w:val="24"/>
        </w:rPr>
        <w:t>EC, Bond, RAD or</w:t>
      </w:r>
      <w:r w:rsidRPr="000543AF">
        <w:rPr>
          <w:rFonts w:asciiTheme="minorHAnsi" w:hAnsiTheme="minorHAnsi" w:cs="Arial"/>
          <w:sz w:val="24"/>
          <w:szCs w:val="24"/>
        </w:rPr>
        <w:t xml:space="preserve"> RAC</w:t>
      </w:r>
      <w:r w:rsidR="00D33304" w:rsidRPr="000543AF">
        <w:rPr>
          <w:rFonts w:asciiTheme="minorHAnsi" w:hAnsiTheme="minorHAnsi" w:cs="Arial"/>
          <w:sz w:val="24"/>
          <w:szCs w:val="24"/>
        </w:rPr>
        <w:t xml:space="preserve"> paid</w:t>
      </w:r>
      <w:r w:rsidR="00BA2C94" w:rsidRPr="000543AF">
        <w:rPr>
          <w:rFonts w:asciiTheme="minorHAnsi" w:hAnsiTheme="minorHAnsi" w:cs="Arial"/>
          <w:sz w:val="24"/>
          <w:szCs w:val="24"/>
        </w:rPr>
        <w:t>,</w:t>
      </w:r>
      <w:r w:rsidRPr="000543AF">
        <w:rPr>
          <w:rFonts w:asciiTheme="minorHAnsi" w:hAnsiTheme="minorHAnsi" w:cs="Arial"/>
          <w:sz w:val="24"/>
          <w:szCs w:val="24"/>
        </w:rPr>
        <w:t xml:space="preserve"> and</w:t>
      </w:r>
    </w:p>
    <w:p w14:paraId="78CF032A" w14:textId="3832D3AD" w:rsidR="0005562C" w:rsidRPr="000543AF" w:rsidRDefault="0005562C" w:rsidP="000543AF">
      <w:pPr>
        <w:pStyle w:val="ListParagraph"/>
        <w:numPr>
          <w:ilvl w:val="0"/>
          <w:numId w:val="3"/>
        </w:numPr>
        <w:spacing w:before="0" w:line="240" w:lineRule="auto"/>
        <w:ind w:left="850" w:hanging="425"/>
        <w:rPr>
          <w:rFonts w:asciiTheme="minorHAnsi" w:hAnsiTheme="minorHAnsi" w:cs="Arial"/>
          <w:sz w:val="24"/>
          <w:szCs w:val="24"/>
        </w:rPr>
      </w:pPr>
      <w:r w:rsidRPr="000543AF">
        <w:rPr>
          <w:rFonts w:asciiTheme="minorHAnsi" w:hAnsiTheme="minorHAnsi" w:cs="Arial"/>
          <w:sz w:val="24"/>
          <w:szCs w:val="24"/>
        </w:rPr>
        <w:t>any amounts that have been, or are permitted to be, deducted under the Act as at th</w:t>
      </w:r>
      <w:r w:rsidR="0057360F" w:rsidRPr="000543AF">
        <w:rPr>
          <w:rFonts w:asciiTheme="minorHAnsi" w:hAnsiTheme="minorHAnsi" w:cs="Arial"/>
          <w:sz w:val="24"/>
          <w:szCs w:val="24"/>
        </w:rPr>
        <w:t>e</w:t>
      </w:r>
      <w:r w:rsidRPr="000543AF">
        <w:rPr>
          <w:rFonts w:asciiTheme="minorHAnsi" w:hAnsiTheme="minorHAnsi" w:cs="Arial"/>
          <w:sz w:val="24"/>
          <w:szCs w:val="24"/>
        </w:rPr>
        <w:t xml:space="preserve"> time of the resident’s agreement</w:t>
      </w:r>
    </w:p>
    <w:p w14:paraId="38B95A72" w14:textId="77777777" w:rsidR="0005562C" w:rsidRPr="002B7CED" w:rsidRDefault="00B34BF1" w:rsidP="002B7CED">
      <w:pPr>
        <w:spacing w:before="200" w:after="0"/>
        <w:rPr>
          <w:b/>
          <w:bCs/>
          <w:color w:val="0070C0"/>
          <w:sz w:val="26"/>
          <w:szCs w:val="26"/>
        </w:rPr>
      </w:pPr>
      <w:r w:rsidRPr="002B7CED">
        <w:rPr>
          <w:b/>
          <w:bCs/>
          <w:color w:val="0070C0"/>
          <w:sz w:val="26"/>
          <w:szCs w:val="26"/>
        </w:rPr>
        <w:t>Do you need to complete an</w:t>
      </w:r>
      <w:r w:rsidR="0005562C" w:rsidRPr="002B7CED">
        <w:rPr>
          <w:b/>
          <w:bCs/>
          <w:color w:val="0070C0"/>
          <w:sz w:val="26"/>
          <w:szCs w:val="26"/>
        </w:rPr>
        <w:t xml:space="preserve"> APCS?</w:t>
      </w:r>
    </w:p>
    <w:p w14:paraId="39CF8861" w14:textId="2F325FC5" w:rsidR="0005562C" w:rsidRPr="001C19A5" w:rsidRDefault="0005562C" w:rsidP="001C19A5">
      <w:pPr>
        <w:pStyle w:val="ListBullet"/>
        <w:numPr>
          <w:ilvl w:val="0"/>
          <w:numId w:val="0"/>
        </w:numPr>
        <w:spacing w:before="0"/>
        <w:rPr>
          <w:rFonts w:asciiTheme="minorHAnsi" w:hAnsiTheme="minorHAnsi"/>
          <w:lang w:val="en-US" w:eastAsia="en-US"/>
        </w:rPr>
      </w:pPr>
      <w:r w:rsidRPr="001C19A5">
        <w:rPr>
          <w:rFonts w:asciiTheme="minorHAnsi" w:hAnsiTheme="minorHAnsi"/>
          <w:lang w:val="en-US" w:eastAsia="en-US"/>
        </w:rPr>
        <w:t>If you held any EC</w:t>
      </w:r>
      <w:r w:rsidR="0024134F">
        <w:rPr>
          <w:rFonts w:asciiTheme="minorHAnsi" w:hAnsiTheme="minorHAnsi"/>
          <w:lang w:val="en-US" w:eastAsia="en-US"/>
        </w:rPr>
        <w:t>, B</w:t>
      </w:r>
      <w:r w:rsidR="00BE13C9">
        <w:rPr>
          <w:rFonts w:asciiTheme="minorHAnsi" w:hAnsiTheme="minorHAnsi"/>
          <w:lang w:val="en-US" w:eastAsia="en-US"/>
        </w:rPr>
        <w:t>ond, RAD or RAC</w:t>
      </w:r>
      <w:r w:rsidRPr="001C19A5">
        <w:rPr>
          <w:rFonts w:asciiTheme="minorHAnsi" w:hAnsiTheme="minorHAnsi"/>
          <w:lang w:val="en-US" w:eastAsia="en-US"/>
        </w:rPr>
        <w:t xml:space="preserve"> balances at any time </w:t>
      </w:r>
      <w:r w:rsidR="009E267F">
        <w:rPr>
          <w:rFonts w:asciiTheme="minorHAnsi" w:hAnsiTheme="minorHAnsi"/>
          <w:lang w:val="en-US" w:eastAsia="en-US"/>
        </w:rPr>
        <w:t>during your financial year</w:t>
      </w:r>
      <w:r w:rsidRPr="001C19A5">
        <w:rPr>
          <w:rFonts w:asciiTheme="minorHAnsi" w:hAnsiTheme="minorHAnsi"/>
          <w:lang w:val="en-US" w:eastAsia="en-US"/>
        </w:rPr>
        <w:t xml:space="preserve"> you are required to answer </w:t>
      </w:r>
      <w:r w:rsidRPr="001C19A5">
        <w:rPr>
          <w:rFonts w:asciiTheme="minorHAnsi" w:hAnsiTheme="minorHAnsi"/>
          <w:b/>
          <w:lang w:val="en-US" w:eastAsia="en-US"/>
        </w:rPr>
        <w:t>‘Yes’</w:t>
      </w:r>
      <w:r w:rsidRPr="001C19A5">
        <w:rPr>
          <w:rFonts w:asciiTheme="minorHAnsi" w:hAnsiTheme="minorHAnsi"/>
          <w:lang w:val="en-US" w:eastAsia="en-US"/>
        </w:rPr>
        <w:t xml:space="preserve"> and proceed to </w:t>
      </w:r>
      <w:r w:rsidR="0027561B" w:rsidRPr="001C19A5">
        <w:rPr>
          <w:rFonts w:asciiTheme="minorHAnsi" w:hAnsiTheme="minorHAnsi"/>
          <w:lang w:val="en-US" w:eastAsia="en-US"/>
        </w:rPr>
        <w:t>the next question.</w:t>
      </w:r>
    </w:p>
    <w:p w14:paraId="69AFB738" w14:textId="5D75F0DE" w:rsidR="0005562C" w:rsidRPr="001C19A5" w:rsidRDefault="0005562C" w:rsidP="00DB1F33">
      <w:pPr>
        <w:pStyle w:val="ListBullet"/>
        <w:numPr>
          <w:ilvl w:val="0"/>
          <w:numId w:val="0"/>
        </w:numPr>
        <w:spacing w:before="0"/>
        <w:rPr>
          <w:rFonts w:asciiTheme="minorHAnsi" w:hAnsiTheme="minorHAnsi"/>
          <w:lang w:val="en-US" w:eastAsia="en-US"/>
        </w:rPr>
      </w:pPr>
      <w:r w:rsidRPr="001C19A5">
        <w:rPr>
          <w:rFonts w:asciiTheme="minorHAnsi" w:hAnsiTheme="minorHAnsi"/>
          <w:lang w:val="en-US" w:eastAsia="en-US"/>
        </w:rPr>
        <w:t xml:space="preserve">If you answered </w:t>
      </w:r>
      <w:r w:rsidRPr="001C19A5">
        <w:rPr>
          <w:rFonts w:asciiTheme="minorHAnsi" w:hAnsiTheme="minorHAnsi"/>
          <w:b/>
          <w:lang w:val="en-US" w:eastAsia="en-US"/>
        </w:rPr>
        <w:t>‘</w:t>
      </w:r>
      <w:r w:rsidR="00746FAF" w:rsidRPr="001C19A5">
        <w:rPr>
          <w:rFonts w:asciiTheme="minorHAnsi" w:hAnsiTheme="minorHAnsi"/>
          <w:b/>
          <w:lang w:val="en-US" w:eastAsia="en-US"/>
        </w:rPr>
        <w:t>Yes’</w:t>
      </w:r>
      <w:r w:rsidR="00E1676C">
        <w:rPr>
          <w:rFonts w:asciiTheme="minorHAnsi" w:hAnsiTheme="minorHAnsi"/>
          <w:lang w:val="en-US" w:eastAsia="en-US"/>
        </w:rPr>
        <w:t xml:space="preserve"> </w:t>
      </w:r>
      <w:r w:rsidRPr="001C19A5">
        <w:rPr>
          <w:rFonts w:asciiTheme="minorHAnsi" w:hAnsiTheme="minorHAnsi"/>
          <w:lang w:val="en-US" w:eastAsia="en-US"/>
        </w:rPr>
        <w:t>you are required to complete</w:t>
      </w:r>
      <w:r w:rsidR="009E267F">
        <w:rPr>
          <w:rFonts w:asciiTheme="minorHAnsi" w:hAnsiTheme="minorHAnsi"/>
          <w:lang w:val="en-US" w:eastAsia="en-US"/>
        </w:rPr>
        <w:t xml:space="preserve"> information on</w:t>
      </w:r>
      <w:r w:rsidRPr="001C19A5">
        <w:rPr>
          <w:rFonts w:asciiTheme="minorHAnsi" w:hAnsiTheme="minorHAnsi"/>
          <w:lang w:val="en-US" w:eastAsia="en-US"/>
        </w:rPr>
        <w:t xml:space="preserve"> </w:t>
      </w:r>
      <w:r w:rsidR="004C497D" w:rsidRPr="003C335E">
        <w:rPr>
          <w:rFonts w:asciiTheme="minorHAnsi" w:hAnsiTheme="minorHAnsi"/>
          <w:b/>
          <w:lang w:val="en-US" w:eastAsia="en-US"/>
        </w:rPr>
        <w:t xml:space="preserve">Refundable Accommodation </w:t>
      </w:r>
      <w:r w:rsidR="009E267F">
        <w:rPr>
          <w:rFonts w:asciiTheme="minorHAnsi" w:hAnsiTheme="minorHAnsi"/>
          <w:b/>
          <w:lang w:val="en-US" w:eastAsia="en-US"/>
        </w:rPr>
        <w:t>Payments</w:t>
      </w:r>
      <w:r w:rsidR="004C497D" w:rsidRPr="003C335E">
        <w:rPr>
          <w:rFonts w:asciiTheme="minorHAnsi" w:hAnsiTheme="minorHAnsi"/>
          <w:b/>
          <w:lang w:val="en-US" w:eastAsia="en-US"/>
        </w:rPr>
        <w:t xml:space="preserve"> </w:t>
      </w:r>
      <w:r w:rsidR="00077F5B" w:rsidRPr="003C335E">
        <w:rPr>
          <w:rFonts w:asciiTheme="minorHAnsi" w:hAnsiTheme="minorHAnsi"/>
          <w:b/>
          <w:lang w:val="en-US" w:eastAsia="en-US"/>
        </w:rPr>
        <w:t>Held</w:t>
      </w:r>
      <w:r w:rsidR="00077F5B">
        <w:rPr>
          <w:rFonts w:asciiTheme="minorHAnsi" w:hAnsiTheme="minorHAnsi"/>
          <w:b/>
          <w:lang w:val="en-US" w:eastAsia="en-US"/>
        </w:rPr>
        <w:t xml:space="preserve">. </w:t>
      </w:r>
      <w:r w:rsidR="004C497D" w:rsidRPr="001C19A5">
        <w:rPr>
          <w:rFonts w:asciiTheme="minorHAnsi" w:hAnsiTheme="minorHAnsi"/>
          <w:lang w:val="en-US" w:eastAsia="en-US"/>
        </w:rPr>
        <w:t xml:space="preserve">This </w:t>
      </w:r>
      <w:r w:rsidRPr="001C19A5">
        <w:rPr>
          <w:rFonts w:asciiTheme="minorHAnsi" w:hAnsiTheme="minorHAnsi"/>
          <w:lang w:val="en-US" w:eastAsia="en-US"/>
        </w:rPr>
        <w:t>has been pre-populated for your convenience by identifying service names and residential aged care service identification number/s for each provider (RACS).</w:t>
      </w:r>
    </w:p>
    <w:p w14:paraId="1514D236" w14:textId="77777777" w:rsidR="0005562C" w:rsidRPr="001C19A5" w:rsidRDefault="0005562C" w:rsidP="0005562C">
      <w:pPr>
        <w:pStyle w:val="BodyText"/>
        <w:spacing w:before="120"/>
        <w:rPr>
          <w:rFonts w:asciiTheme="minorHAnsi" w:hAnsiTheme="minorHAnsi" w:cs="Arial"/>
        </w:rPr>
      </w:pPr>
      <w:r w:rsidRPr="001C19A5">
        <w:rPr>
          <w:rFonts w:asciiTheme="minorHAnsi" w:hAnsiTheme="minorHAnsi" w:cs="Arial"/>
          <w:b/>
        </w:rPr>
        <w:t>Do not include any agreements that you may have entered into but have not received any payment for.</w:t>
      </w:r>
    </w:p>
    <w:p w14:paraId="5AD1268D" w14:textId="3B4053A2" w:rsidR="0005562C" w:rsidRPr="001C19A5" w:rsidRDefault="0005562C" w:rsidP="00CF2D9D">
      <w:pPr>
        <w:pStyle w:val="BodyText"/>
        <w:spacing w:before="120"/>
        <w:rPr>
          <w:rFonts w:asciiTheme="minorHAnsi" w:hAnsiTheme="minorHAnsi"/>
          <w:lang w:val="en-US" w:eastAsia="en-US"/>
        </w:rPr>
      </w:pPr>
      <w:r w:rsidRPr="001C19A5">
        <w:rPr>
          <w:rFonts w:asciiTheme="minorHAnsi" w:hAnsiTheme="minorHAnsi"/>
          <w:lang w:val="en-US" w:eastAsia="en-US"/>
        </w:rPr>
        <w:lastRenderedPageBreak/>
        <w:t>Information relating to refundable deposits and bond balances must be entered in columns C and D. Please ensure that you provide a total for each column at the bottom of the table.</w:t>
      </w:r>
    </w:p>
    <w:p w14:paraId="24C0CD42" w14:textId="13C5691E" w:rsidR="001F39AA" w:rsidRDefault="0005562C" w:rsidP="00CF2D9D">
      <w:pPr>
        <w:pStyle w:val="BodyText"/>
        <w:spacing w:before="120"/>
        <w:rPr>
          <w:rFonts w:asciiTheme="minorHAnsi" w:hAnsiTheme="minorHAnsi"/>
          <w:lang w:val="en-US" w:eastAsia="en-US"/>
        </w:rPr>
      </w:pPr>
      <w:r w:rsidRPr="001C19A5">
        <w:rPr>
          <w:rFonts w:asciiTheme="minorHAnsi" w:hAnsiTheme="minorHAnsi"/>
          <w:lang w:val="en-US" w:eastAsia="en-US"/>
        </w:rPr>
        <w:t xml:space="preserve">Information relating to EC balances must be entered in columns </w:t>
      </w:r>
      <w:r w:rsidRPr="001C19A5">
        <w:rPr>
          <w:rFonts w:asciiTheme="minorHAnsi" w:hAnsiTheme="minorHAnsi"/>
          <w:b/>
          <w:lang w:val="en-US" w:eastAsia="en-US"/>
        </w:rPr>
        <w:t>E</w:t>
      </w:r>
      <w:r w:rsidRPr="001C19A5">
        <w:rPr>
          <w:rFonts w:asciiTheme="minorHAnsi" w:hAnsiTheme="minorHAnsi"/>
          <w:lang w:val="en-US" w:eastAsia="en-US"/>
        </w:rPr>
        <w:t xml:space="preserve"> and </w:t>
      </w:r>
      <w:r w:rsidRPr="001C19A5">
        <w:rPr>
          <w:rFonts w:asciiTheme="minorHAnsi" w:hAnsiTheme="minorHAnsi"/>
          <w:b/>
          <w:lang w:val="en-US" w:eastAsia="en-US"/>
        </w:rPr>
        <w:t>F</w:t>
      </w:r>
      <w:r w:rsidRPr="001C19A5">
        <w:rPr>
          <w:rFonts w:asciiTheme="minorHAnsi" w:hAnsiTheme="minorHAnsi"/>
          <w:lang w:val="en-US" w:eastAsia="en-US"/>
        </w:rPr>
        <w:t xml:space="preserve"> of the table</w:t>
      </w:r>
      <w:r w:rsidR="00E1676C" w:rsidRPr="001C19A5">
        <w:rPr>
          <w:rFonts w:asciiTheme="minorHAnsi" w:hAnsiTheme="minorHAnsi"/>
          <w:lang w:val="en-US" w:eastAsia="en-US"/>
        </w:rPr>
        <w:t xml:space="preserve">. </w:t>
      </w:r>
      <w:r w:rsidRPr="001C19A5">
        <w:rPr>
          <w:rFonts w:asciiTheme="minorHAnsi" w:hAnsiTheme="minorHAnsi"/>
          <w:lang w:val="en-US" w:eastAsia="en-US"/>
        </w:rPr>
        <w:t>Please ensure that you provide a total for each column at the bottom of the table.</w:t>
      </w:r>
      <w:r w:rsidR="001F39AA">
        <w:rPr>
          <w:rFonts w:asciiTheme="minorHAnsi" w:hAnsiTheme="minorHAnsi"/>
          <w:lang w:val="en-US" w:eastAsia="en-US"/>
        </w:rPr>
        <w:t xml:space="preserve"> Do not include </w:t>
      </w:r>
      <w:r w:rsidR="0057360F">
        <w:rPr>
          <w:rFonts w:asciiTheme="minorHAnsi" w:hAnsiTheme="minorHAnsi"/>
          <w:lang w:val="en-US" w:eastAsia="en-US"/>
        </w:rPr>
        <w:t xml:space="preserve">RAC </w:t>
      </w:r>
      <w:r w:rsidR="001F39AA">
        <w:rPr>
          <w:rFonts w:asciiTheme="minorHAnsi" w:hAnsiTheme="minorHAnsi"/>
          <w:lang w:val="en-US" w:eastAsia="en-US"/>
        </w:rPr>
        <w:t xml:space="preserve">in columns E </w:t>
      </w:r>
      <w:r w:rsidR="00E34FA0">
        <w:rPr>
          <w:rFonts w:asciiTheme="minorHAnsi" w:hAnsiTheme="minorHAnsi"/>
          <w:lang w:val="en-US" w:eastAsia="en-US"/>
        </w:rPr>
        <w:t>and</w:t>
      </w:r>
      <w:r w:rsidR="001F39AA">
        <w:rPr>
          <w:rFonts w:asciiTheme="minorHAnsi" w:hAnsiTheme="minorHAnsi"/>
          <w:lang w:val="en-US" w:eastAsia="en-US"/>
        </w:rPr>
        <w:t xml:space="preserve"> F (see above on where to include these amounts) – only enter information relating to</w:t>
      </w:r>
      <w:r w:rsidR="0057360F">
        <w:rPr>
          <w:rFonts w:asciiTheme="minorHAnsi" w:hAnsiTheme="minorHAnsi"/>
          <w:lang w:val="en-US" w:eastAsia="en-US"/>
        </w:rPr>
        <w:t xml:space="preserve"> EC balances</w:t>
      </w:r>
      <w:r w:rsidR="001F39AA">
        <w:rPr>
          <w:rFonts w:asciiTheme="minorHAnsi" w:hAnsiTheme="minorHAnsi"/>
          <w:lang w:val="en-US" w:eastAsia="en-US"/>
        </w:rPr>
        <w:t>.</w:t>
      </w:r>
    </w:p>
    <w:p w14:paraId="4630D390" w14:textId="5B305667" w:rsidR="0005562C" w:rsidRPr="001C19A5" w:rsidRDefault="001F39AA" w:rsidP="4E34EEE7">
      <w:pPr>
        <w:pStyle w:val="BodyText"/>
        <w:spacing w:before="120"/>
        <w:rPr>
          <w:rFonts w:asciiTheme="minorHAnsi" w:hAnsiTheme="minorHAnsi"/>
          <w:b/>
          <w:bCs/>
          <w:lang w:val="en-US" w:eastAsia="en-US"/>
        </w:rPr>
      </w:pPr>
      <w:r w:rsidRPr="4E34EEE7">
        <w:rPr>
          <w:rFonts w:asciiTheme="minorHAnsi" w:hAnsiTheme="minorHAnsi"/>
          <w:lang w:val="en-US" w:eastAsia="en-US"/>
        </w:rPr>
        <w:t xml:space="preserve">If you have not reported EC before, then </w:t>
      </w:r>
      <w:r w:rsidR="00086B94" w:rsidRPr="4E34EEE7">
        <w:rPr>
          <w:rFonts w:asciiTheme="minorHAnsi" w:hAnsiTheme="minorHAnsi"/>
          <w:lang w:val="en-US" w:eastAsia="en-US"/>
        </w:rPr>
        <w:t>enter a z</w:t>
      </w:r>
      <w:r w:rsidR="00692504" w:rsidRPr="4E34EEE7">
        <w:rPr>
          <w:rFonts w:asciiTheme="minorHAnsi" w:hAnsiTheme="minorHAnsi"/>
          <w:lang w:val="en-US" w:eastAsia="en-US"/>
        </w:rPr>
        <w:t>ero (0)</w:t>
      </w:r>
      <w:r w:rsidR="00E1676C" w:rsidRPr="4E34EEE7">
        <w:rPr>
          <w:rFonts w:asciiTheme="minorHAnsi" w:hAnsiTheme="minorHAnsi"/>
          <w:lang w:val="en-US" w:eastAsia="en-US"/>
        </w:rPr>
        <w:t xml:space="preserve">. </w:t>
      </w:r>
      <w:r w:rsidR="00692504" w:rsidRPr="4E34EEE7">
        <w:rPr>
          <w:rFonts w:asciiTheme="minorHAnsi" w:hAnsiTheme="minorHAnsi"/>
          <w:lang w:val="en-US" w:eastAsia="en-US"/>
        </w:rPr>
        <w:t>EC balances cannot increase from last year.</w:t>
      </w:r>
      <w:r w:rsidR="000F6D2C" w:rsidRPr="4E34EEE7">
        <w:rPr>
          <w:rFonts w:asciiTheme="minorHAnsi" w:hAnsiTheme="minorHAnsi"/>
          <w:lang w:val="en-US" w:eastAsia="en-US"/>
        </w:rPr>
        <w:t xml:space="preserve"> </w:t>
      </w:r>
    </w:p>
    <w:p w14:paraId="5BE73444" w14:textId="72DFB1A9" w:rsidR="0005562C" w:rsidRPr="001C19A5" w:rsidRDefault="0005562C" w:rsidP="4E34EEE7">
      <w:pPr>
        <w:pStyle w:val="BodyText"/>
        <w:spacing w:before="120"/>
        <w:rPr>
          <w:rFonts w:asciiTheme="minorHAnsi" w:hAnsiTheme="minorHAnsi"/>
          <w:b/>
          <w:bCs/>
          <w:lang w:val="en-US" w:eastAsia="en-US"/>
        </w:rPr>
      </w:pPr>
      <w:r w:rsidRPr="4E34EEE7">
        <w:rPr>
          <w:rFonts w:asciiTheme="minorHAnsi" w:hAnsiTheme="minorHAnsi"/>
          <w:lang w:val="en-US" w:eastAsia="en-US"/>
        </w:rPr>
        <w:t xml:space="preserve">If you did not hold any refundable </w:t>
      </w:r>
      <w:r w:rsidR="00BB155A" w:rsidRPr="4E34EEE7">
        <w:rPr>
          <w:rFonts w:asciiTheme="minorHAnsi" w:hAnsiTheme="minorHAnsi"/>
          <w:lang w:val="en-US" w:eastAsia="en-US"/>
        </w:rPr>
        <w:t>accommodation</w:t>
      </w:r>
      <w:r w:rsidRPr="4E34EEE7">
        <w:rPr>
          <w:rFonts w:asciiTheme="minorHAnsi" w:hAnsiTheme="minorHAnsi"/>
          <w:lang w:val="en-US" w:eastAsia="en-US"/>
        </w:rPr>
        <w:t xml:space="preserve"> balances at all during </w:t>
      </w:r>
      <w:r w:rsidR="77CED896" w:rsidRPr="4E34EEE7">
        <w:rPr>
          <w:rFonts w:asciiTheme="minorHAnsi" w:hAnsiTheme="minorHAnsi"/>
          <w:lang w:val="en-US" w:eastAsia="en-US"/>
        </w:rPr>
        <w:t xml:space="preserve">your </w:t>
      </w:r>
      <w:r w:rsidRPr="4E34EEE7">
        <w:rPr>
          <w:rFonts w:asciiTheme="minorHAnsi" w:hAnsiTheme="minorHAnsi"/>
          <w:lang w:val="en-US" w:eastAsia="en-US"/>
        </w:rPr>
        <w:t>financial year, you can answer ‘</w:t>
      </w:r>
      <w:r w:rsidRPr="4E34EEE7">
        <w:rPr>
          <w:rFonts w:asciiTheme="minorHAnsi" w:hAnsiTheme="minorHAnsi"/>
          <w:b/>
          <w:bCs/>
          <w:lang w:val="en-US" w:eastAsia="en-US"/>
        </w:rPr>
        <w:t>No</w:t>
      </w:r>
      <w:r w:rsidRPr="4E34EEE7">
        <w:rPr>
          <w:rFonts w:asciiTheme="minorHAnsi" w:hAnsiTheme="minorHAnsi"/>
          <w:lang w:val="en-US" w:eastAsia="en-US"/>
        </w:rPr>
        <w:t xml:space="preserve">’ </w:t>
      </w:r>
      <w:r w:rsidR="004C497D" w:rsidRPr="4E34EEE7">
        <w:rPr>
          <w:rFonts w:asciiTheme="minorHAnsi" w:hAnsiTheme="minorHAnsi"/>
          <w:lang w:val="en-US" w:eastAsia="en-US"/>
        </w:rPr>
        <w:t>and this complete</w:t>
      </w:r>
      <w:r w:rsidR="00024A6D" w:rsidRPr="4E34EEE7">
        <w:rPr>
          <w:rFonts w:asciiTheme="minorHAnsi" w:hAnsiTheme="minorHAnsi"/>
          <w:lang w:val="en-US" w:eastAsia="en-US"/>
        </w:rPr>
        <w:t>s</w:t>
      </w:r>
      <w:r w:rsidR="004C497D" w:rsidRPr="4E34EEE7">
        <w:rPr>
          <w:rFonts w:asciiTheme="minorHAnsi" w:hAnsiTheme="minorHAnsi"/>
          <w:lang w:val="en-US" w:eastAsia="en-US"/>
        </w:rPr>
        <w:t xml:space="preserve"> the APCS component of the A</w:t>
      </w:r>
      <w:r w:rsidR="005C569E" w:rsidRPr="4E34EEE7">
        <w:rPr>
          <w:rFonts w:asciiTheme="minorHAnsi" w:hAnsiTheme="minorHAnsi"/>
          <w:lang w:val="en-US" w:eastAsia="en-US"/>
        </w:rPr>
        <w:t>ged Care Financial Report (ACFR)</w:t>
      </w:r>
      <w:r w:rsidR="004C497D" w:rsidRPr="4E34EEE7">
        <w:rPr>
          <w:rFonts w:asciiTheme="minorHAnsi" w:hAnsiTheme="minorHAnsi"/>
          <w:lang w:val="en-US" w:eastAsia="en-US"/>
        </w:rPr>
        <w:t>.</w:t>
      </w:r>
      <w:r w:rsidR="009E267F" w:rsidRPr="4E34EEE7">
        <w:rPr>
          <w:rFonts w:asciiTheme="minorHAnsi" w:hAnsiTheme="minorHAnsi"/>
          <w:lang w:val="en-US" w:eastAsia="en-US"/>
        </w:rPr>
        <w:t xml:space="preserve"> </w:t>
      </w:r>
      <w:r w:rsidR="009E267F" w:rsidRPr="4E34EEE7">
        <w:rPr>
          <w:rFonts w:ascii="Calibri" w:hAnsi="Calibri"/>
          <w:b/>
          <w:bCs/>
        </w:rPr>
        <w:t>You must</w:t>
      </w:r>
      <w:r w:rsidR="009E267F" w:rsidRPr="4E34EEE7">
        <w:rPr>
          <w:rFonts w:asciiTheme="minorHAnsi" w:hAnsiTheme="minorHAnsi"/>
          <w:lang w:val="en-US" w:eastAsia="en-US"/>
        </w:rPr>
        <w:t xml:space="preserve"> </w:t>
      </w:r>
      <w:r w:rsidR="009E267F" w:rsidRPr="4E34EEE7">
        <w:rPr>
          <w:rFonts w:ascii="Calibri" w:hAnsi="Calibri"/>
          <w:b/>
          <w:bCs/>
        </w:rPr>
        <w:t xml:space="preserve">have someone who is key personnel </w:t>
      </w:r>
      <w:r w:rsidR="0047664A" w:rsidRPr="4E34EEE7">
        <w:rPr>
          <w:rFonts w:ascii="Calibri" w:hAnsi="Calibri"/>
          <w:b/>
          <w:bCs/>
        </w:rPr>
        <w:t>(someone who is an executive</w:t>
      </w:r>
      <w:r w:rsidR="00EE37AC" w:rsidRPr="4E34EEE7">
        <w:rPr>
          <w:rFonts w:ascii="Calibri" w:hAnsi="Calibri"/>
          <w:b/>
          <w:bCs/>
        </w:rPr>
        <w:t xml:space="preserve"> decision maker</w:t>
      </w:r>
      <w:r w:rsidR="0047664A" w:rsidRPr="4E34EEE7">
        <w:rPr>
          <w:rFonts w:ascii="Calibri" w:hAnsi="Calibri"/>
          <w:b/>
          <w:bCs/>
        </w:rPr>
        <w:t xml:space="preserve">) </w:t>
      </w:r>
      <w:r w:rsidR="009E267F" w:rsidRPr="4E34EEE7">
        <w:rPr>
          <w:rFonts w:ascii="Calibri" w:hAnsi="Calibri"/>
          <w:b/>
          <w:bCs/>
        </w:rPr>
        <w:t>sign the ACFR form and submit it online through the ACFR portal.</w:t>
      </w:r>
    </w:p>
    <w:p w14:paraId="4FCD016C" w14:textId="77777777" w:rsidR="0005562C" w:rsidRPr="002B7CED" w:rsidRDefault="00024A6D" w:rsidP="002B7CED">
      <w:pPr>
        <w:spacing w:before="200" w:after="0"/>
        <w:rPr>
          <w:b/>
          <w:bCs/>
          <w:color w:val="0070C0"/>
          <w:sz w:val="26"/>
          <w:szCs w:val="26"/>
        </w:rPr>
      </w:pPr>
      <w:r w:rsidRPr="002B7CED">
        <w:rPr>
          <w:b/>
          <w:bCs/>
          <w:color w:val="0070C0"/>
          <w:sz w:val="26"/>
          <w:szCs w:val="26"/>
        </w:rPr>
        <w:t>Total v</w:t>
      </w:r>
      <w:r w:rsidR="0005562C" w:rsidRPr="002B7CED">
        <w:rPr>
          <w:b/>
          <w:bCs/>
          <w:color w:val="0070C0"/>
          <w:sz w:val="26"/>
          <w:szCs w:val="26"/>
        </w:rPr>
        <w:t>alue of refundable</w:t>
      </w:r>
      <w:r w:rsidR="004C497D" w:rsidRPr="002B7CED">
        <w:rPr>
          <w:b/>
          <w:bCs/>
          <w:color w:val="0070C0"/>
          <w:sz w:val="26"/>
          <w:szCs w:val="26"/>
        </w:rPr>
        <w:t xml:space="preserve"> accommodation payments </w:t>
      </w:r>
      <w:r w:rsidR="0005562C" w:rsidRPr="002B7CED">
        <w:rPr>
          <w:b/>
          <w:bCs/>
          <w:color w:val="0070C0"/>
          <w:sz w:val="26"/>
          <w:szCs w:val="26"/>
        </w:rPr>
        <w:t xml:space="preserve">received in </w:t>
      </w:r>
      <w:r w:rsidR="0027561B" w:rsidRPr="002B7CED">
        <w:rPr>
          <w:b/>
          <w:bCs/>
          <w:color w:val="0070C0"/>
          <w:sz w:val="26"/>
          <w:szCs w:val="26"/>
        </w:rPr>
        <w:t>the financial year</w:t>
      </w:r>
    </w:p>
    <w:p w14:paraId="06BC7B95" w14:textId="31735E7A" w:rsidR="0005562C" w:rsidRPr="001C19A5" w:rsidRDefault="0005562C" w:rsidP="4E34EEE7">
      <w:pPr>
        <w:pStyle w:val="BodyText"/>
        <w:spacing w:before="0" w:after="0"/>
        <w:rPr>
          <w:rFonts w:asciiTheme="minorHAnsi" w:hAnsiTheme="minorHAnsi" w:cs="Arial"/>
        </w:rPr>
      </w:pPr>
      <w:r w:rsidRPr="4E34EEE7">
        <w:rPr>
          <w:rFonts w:asciiTheme="minorHAnsi" w:hAnsiTheme="minorHAnsi"/>
          <w:lang w:val="en-US" w:eastAsia="en-US"/>
        </w:rPr>
        <w:t xml:space="preserve">You are required to enter a figure that represents the full value (before deductions) </w:t>
      </w:r>
      <w:r w:rsidR="004C497D" w:rsidRPr="4E34EEE7">
        <w:rPr>
          <w:rFonts w:asciiTheme="minorHAnsi" w:hAnsiTheme="minorHAnsi"/>
          <w:lang w:val="en-US" w:eastAsia="en-US"/>
        </w:rPr>
        <w:t xml:space="preserve">of </w:t>
      </w:r>
      <w:r w:rsidR="00476203" w:rsidRPr="4E34EEE7">
        <w:rPr>
          <w:rFonts w:asciiTheme="minorHAnsi" w:hAnsiTheme="minorHAnsi"/>
          <w:lang w:val="en-US" w:eastAsia="en-US"/>
        </w:rPr>
        <w:t xml:space="preserve">refundable </w:t>
      </w:r>
      <w:r w:rsidR="005D2FC7" w:rsidRPr="4E34EEE7">
        <w:rPr>
          <w:rFonts w:asciiTheme="minorHAnsi" w:hAnsiTheme="minorHAnsi"/>
          <w:lang w:val="en-US" w:eastAsia="en-US"/>
        </w:rPr>
        <w:t xml:space="preserve">accommodation </w:t>
      </w:r>
      <w:r w:rsidRPr="4E34EEE7">
        <w:rPr>
          <w:rFonts w:asciiTheme="minorHAnsi" w:hAnsiTheme="minorHAnsi"/>
          <w:lang w:val="en-US" w:eastAsia="en-US"/>
        </w:rPr>
        <w:t xml:space="preserve">payments </w:t>
      </w:r>
      <w:r w:rsidR="00BB155A" w:rsidRPr="4E34EEE7">
        <w:rPr>
          <w:rFonts w:asciiTheme="minorHAnsi" w:hAnsiTheme="minorHAnsi"/>
          <w:lang w:val="en-US" w:eastAsia="en-US"/>
        </w:rPr>
        <w:t xml:space="preserve">(also referred to as lump sum payments) </w:t>
      </w:r>
      <w:r w:rsidRPr="4E34EEE7">
        <w:rPr>
          <w:rFonts w:asciiTheme="minorHAnsi" w:hAnsiTheme="minorHAnsi"/>
          <w:lang w:val="en-US" w:eastAsia="en-US"/>
        </w:rPr>
        <w:t xml:space="preserve">received by you during </w:t>
      </w:r>
      <w:r w:rsidR="6676703C" w:rsidRPr="4E34EEE7">
        <w:rPr>
          <w:rFonts w:asciiTheme="minorHAnsi" w:hAnsiTheme="minorHAnsi"/>
          <w:lang w:val="en-US" w:eastAsia="en-US"/>
        </w:rPr>
        <w:t xml:space="preserve">your </w:t>
      </w:r>
      <w:r w:rsidRPr="4E34EEE7">
        <w:rPr>
          <w:rFonts w:asciiTheme="minorHAnsi" w:hAnsiTheme="minorHAnsi"/>
          <w:lang w:val="en-US" w:eastAsia="en-US"/>
        </w:rPr>
        <w:t>financial year regardless of when you entered into the agreement.</w:t>
      </w:r>
    </w:p>
    <w:p w14:paraId="07DDB376" w14:textId="77777777" w:rsidR="0005562C" w:rsidRPr="009E267F" w:rsidRDefault="0005562C" w:rsidP="3A494AF3">
      <w:pPr>
        <w:pStyle w:val="BodyText"/>
        <w:spacing w:before="120" w:after="0"/>
        <w:rPr>
          <w:rFonts w:asciiTheme="minorHAnsi" w:hAnsiTheme="minorHAnsi"/>
          <w:i/>
          <w:iCs/>
        </w:rPr>
      </w:pPr>
      <w:r w:rsidRPr="3A494AF3">
        <w:rPr>
          <w:rFonts w:asciiTheme="minorHAnsi" w:hAnsiTheme="minorHAnsi"/>
          <w:lang w:val="en-US" w:eastAsia="en-US"/>
        </w:rPr>
        <w:t>*</w:t>
      </w:r>
      <w:r w:rsidRPr="3A494AF3">
        <w:rPr>
          <w:rFonts w:asciiTheme="minorHAnsi" w:hAnsiTheme="minorHAnsi"/>
          <w:i/>
          <w:iCs/>
          <w:lang w:val="en-US" w:eastAsia="en-US"/>
        </w:rPr>
        <w:t xml:space="preserve">This information should be contained in your refundable deposit register. </w:t>
      </w:r>
      <w:r>
        <w:br/>
      </w:r>
      <w:r w:rsidRPr="3A494AF3">
        <w:rPr>
          <w:rFonts w:asciiTheme="minorHAnsi" w:hAnsiTheme="minorHAnsi"/>
          <w:i/>
          <w:iCs/>
          <w:lang w:val="en-US" w:eastAsia="en-US"/>
        </w:rPr>
        <w:t xml:space="preserve">Do not include agreements that have been </w:t>
      </w:r>
      <w:bookmarkStart w:id="0" w:name="_Int_pvZOt4Gb"/>
      <w:r w:rsidRPr="3A494AF3">
        <w:rPr>
          <w:rFonts w:asciiTheme="minorHAnsi" w:hAnsiTheme="minorHAnsi"/>
          <w:i/>
          <w:iCs/>
          <w:lang w:val="en-US" w:eastAsia="en-US"/>
        </w:rPr>
        <w:t>entered into</w:t>
      </w:r>
      <w:bookmarkEnd w:id="0"/>
      <w:r w:rsidRPr="3A494AF3">
        <w:rPr>
          <w:rFonts w:asciiTheme="minorHAnsi" w:hAnsiTheme="minorHAnsi"/>
          <w:i/>
          <w:iCs/>
          <w:lang w:val="en-US" w:eastAsia="en-US"/>
        </w:rPr>
        <w:t>, but you have not received any payment for.</w:t>
      </w:r>
    </w:p>
    <w:p w14:paraId="5F3A6F69" w14:textId="77777777" w:rsidR="0005562C" w:rsidRPr="002B7CED" w:rsidRDefault="0005562C" w:rsidP="002B7CED">
      <w:pPr>
        <w:spacing w:before="200" w:after="0"/>
        <w:rPr>
          <w:b/>
          <w:bCs/>
          <w:color w:val="0070C0"/>
          <w:sz w:val="26"/>
          <w:szCs w:val="26"/>
        </w:rPr>
      </w:pPr>
      <w:r w:rsidRPr="002B7CED">
        <w:rPr>
          <w:b/>
          <w:bCs/>
          <w:color w:val="0070C0"/>
          <w:sz w:val="26"/>
          <w:szCs w:val="26"/>
        </w:rPr>
        <w:t xml:space="preserve">What are allowable deductions from </w:t>
      </w:r>
      <w:r w:rsidR="00BB155A" w:rsidRPr="002B7CED">
        <w:rPr>
          <w:b/>
          <w:bCs/>
          <w:color w:val="0070C0"/>
          <w:sz w:val="26"/>
          <w:szCs w:val="26"/>
        </w:rPr>
        <w:t>refundable accommodation</w:t>
      </w:r>
      <w:r w:rsidRPr="002B7CED">
        <w:rPr>
          <w:b/>
          <w:bCs/>
          <w:color w:val="0070C0"/>
          <w:sz w:val="26"/>
          <w:szCs w:val="26"/>
        </w:rPr>
        <w:t xml:space="preserve"> balances?</w:t>
      </w:r>
    </w:p>
    <w:p w14:paraId="5FD0FC2A" w14:textId="188C6BF5" w:rsidR="0005562C" w:rsidRPr="001C19A5" w:rsidRDefault="0005562C" w:rsidP="005A1F53">
      <w:pPr>
        <w:spacing w:after="40"/>
        <w:rPr>
          <w:rFonts w:eastAsia="Calibri" w:cs="Arial"/>
          <w:sz w:val="24"/>
          <w:szCs w:val="24"/>
        </w:rPr>
      </w:pPr>
      <w:r w:rsidRPr="001C19A5">
        <w:rPr>
          <w:rFonts w:cs="Arial"/>
          <w:sz w:val="24"/>
          <w:szCs w:val="24"/>
        </w:rPr>
        <w:t xml:space="preserve">A provider to whom a refundable deposit or bond was paid by a </w:t>
      </w:r>
      <w:r w:rsidR="009978D8">
        <w:rPr>
          <w:rFonts w:cs="Arial"/>
          <w:sz w:val="24"/>
          <w:szCs w:val="24"/>
        </w:rPr>
        <w:t>resident</w:t>
      </w:r>
      <w:r w:rsidRPr="001C19A5">
        <w:rPr>
          <w:rFonts w:cs="Arial"/>
          <w:sz w:val="24"/>
          <w:szCs w:val="24"/>
        </w:rPr>
        <w:t xml:space="preserve"> may deduct from the refundable </w:t>
      </w:r>
      <w:r w:rsidR="00BB155A">
        <w:rPr>
          <w:rFonts w:cs="Arial"/>
          <w:sz w:val="24"/>
          <w:szCs w:val="24"/>
        </w:rPr>
        <w:t>accommodation</w:t>
      </w:r>
      <w:r w:rsidRPr="001C19A5">
        <w:rPr>
          <w:rFonts w:cs="Arial"/>
          <w:sz w:val="24"/>
          <w:szCs w:val="24"/>
        </w:rPr>
        <w:t xml:space="preserve"> payment. </w:t>
      </w:r>
      <w:r w:rsidRPr="001C19A5">
        <w:rPr>
          <w:rFonts w:eastAsia="Calibri" w:cs="Arial"/>
          <w:sz w:val="24"/>
          <w:szCs w:val="24"/>
        </w:rPr>
        <w:t>The type of deduction may be:</w:t>
      </w:r>
    </w:p>
    <w:p w14:paraId="6F66BC1C" w14:textId="34132976" w:rsidR="0005562C" w:rsidRPr="001C19A5" w:rsidRDefault="0005562C" w:rsidP="00AD7FEA">
      <w:pPr>
        <w:pStyle w:val="ListParagraph"/>
        <w:numPr>
          <w:ilvl w:val="0"/>
          <w:numId w:val="3"/>
        </w:numPr>
        <w:spacing w:before="0" w:line="240" w:lineRule="auto"/>
        <w:ind w:left="850" w:hanging="425"/>
        <w:rPr>
          <w:rFonts w:asciiTheme="minorHAnsi" w:eastAsia="Times New Roman" w:hAnsiTheme="minorHAnsi" w:cs="Arial"/>
          <w:sz w:val="24"/>
          <w:szCs w:val="24"/>
        </w:rPr>
      </w:pPr>
      <w:r w:rsidRPr="001C19A5">
        <w:rPr>
          <w:rFonts w:asciiTheme="minorHAnsi" w:hAnsiTheme="minorHAnsi" w:cs="Arial"/>
          <w:sz w:val="24"/>
          <w:szCs w:val="24"/>
        </w:rPr>
        <w:t xml:space="preserve">interest on an unpaid bond or deposit </w:t>
      </w:r>
    </w:p>
    <w:p w14:paraId="534B6ABE" w14:textId="19DFAB89" w:rsidR="0005562C" w:rsidRPr="001C19A5" w:rsidRDefault="0005562C" w:rsidP="00AD7FEA">
      <w:pPr>
        <w:pStyle w:val="ListParagraph"/>
        <w:numPr>
          <w:ilvl w:val="0"/>
          <w:numId w:val="3"/>
        </w:numPr>
        <w:spacing w:before="0" w:line="240" w:lineRule="auto"/>
        <w:ind w:left="850" w:hanging="425"/>
        <w:rPr>
          <w:rFonts w:asciiTheme="minorHAnsi" w:hAnsiTheme="minorHAnsi" w:cs="Arial"/>
          <w:sz w:val="24"/>
          <w:szCs w:val="24"/>
        </w:rPr>
      </w:pPr>
      <w:r w:rsidRPr="001C19A5">
        <w:rPr>
          <w:rFonts w:asciiTheme="minorHAnsi" w:hAnsiTheme="minorHAnsi" w:cs="Arial"/>
          <w:sz w:val="24"/>
          <w:szCs w:val="24"/>
        </w:rPr>
        <w:t xml:space="preserve">extra services drawn from </w:t>
      </w:r>
      <w:r w:rsidR="002F45A7">
        <w:rPr>
          <w:rFonts w:asciiTheme="minorHAnsi" w:hAnsiTheme="minorHAnsi" w:cs="Arial"/>
          <w:sz w:val="24"/>
          <w:szCs w:val="24"/>
        </w:rPr>
        <w:t xml:space="preserve">the </w:t>
      </w:r>
      <w:r w:rsidRPr="001C19A5">
        <w:rPr>
          <w:rFonts w:asciiTheme="minorHAnsi" w:hAnsiTheme="minorHAnsi" w:cs="Arial"/>
          <w:sz w:val="24"/>
          <w:szCs w:val="24"/>
        </w:rPr>
        <w:t>bond</w:t>
      </w:r>
      <w:r w:rsidR="002F45A7">
        <w:rPr>
          <w:rFonts w:asciiTheme="minorHAnsi" w:hAnsiTheme="minorHAnsi" w:cs="Arial"/>
          <w:sz w:val="24"/>
          <w:szCs w:val="24"/>
        </w:rPr>
        <w:t xml:space="preserve"> or deposit</w:t>
      </w:r>
    </w:p>
    <w:p w14:paraId="0F4ADC82" w14:textId="6E959439" w:rsidR="0005562C" w:rsidRPr="001C19A5" w:rsidRDefault="0005562C" w:rsidP="00AD7FEA">
      <w:pPr>
        <w:pStyle w:val="ListParagraph"/>
        <w:numPr>
          <w:ilvl w:val="0"/>
          <w:numId w:val="3"/>
        </w:numPr>
        <w:spacing w:before="0" w:line="240" w:lineRule="auto"/>
        <w:ind w:left="850" w:hanging="425"/>
        <w:rPr>
          <w:rFonts w:asciiTheme="minorHAnsi" w:hAnsiTheme="minorHAnsi" w:cs="Arial"/>
          <w:sz w:val="24"/>
          <w:szCs w:val="24"/>
        </w:rPr>
      </w:pPr>
      <w:r w:rsidRPr="001C19A5">
        <w:rPr>
          <w:rFonts w:asciiTheme="minorHAnsi" w:hAnsiTheme="minorHAnsi" w:cs="Arial"/>
          <w:sz w:val="24"/>
          <w:szCs w:val="24"/>
        </w:rPr>
        <w:t>fees that the resident has agreed should be paid from the bond or deposit</w:t>
      </w:r>
    </w:p>
    <w:p w14:paraId="45FA26C4" w14:textId="7B645400" w:rsidR="0005562C" w:rsidRPr="001C19A5" w:rsidRDefault="0005562C" w:rsidP="00AD7FEA">
      <w:pPr>
        <w:pStyle w:val="ListParagraph"/>
        <w:numPr>
          <w:ilvl w:val="0"/>
          <w:numId w:val="3"/>
        </w:numPr>
        <w:spacing w:before="0" w:line="240" w:lineRule="auto"/>
        <w:ind w:left="850" w:hanging="425"/>
        <w:rPr>
          <w:rFonts w:asciiTheme="minorHAnsi" w:hAnsiTheme="minorHAnsi" w:cs="Arial"/>
          <w:sz w:val="24"/>
          <w:szCs w:val="24"/>
        </w:rPr>
      </w:pPr>
      <w:r w:rsidRPr="001C19A5">
        <w:rPr>
          <w:rFonts w:asciiTheme="minorHAnsi" w:hAnsiTheme="minorHAnsi" w:cs="Arial"/>
          <w:sz w:val="24"/>
          <w:szCs w:val="24"/>
        </w:rPr>
        <w:t xml:space="preserve">retention amounts (only for bonds as retention amounts are not charged for refundable deposits) </w:t>
      </w:r>
    </w:p>
    <w:p w14:paraId="28AE083E" w14:textId="7713F2D2" w:rsidR="0005562C" w:rsidRPr="001C19A5" w:rsidRDefault="0005562C" w:rsidP="00AD7FEA">
      <w:pPr>
        <w:pStyle w:val="ListParagraph"/>
        <w:numPr>
          <w:ilvl w:val="0"/>
          <w:numId w:val="3"/>
        </w:numPr>
        <w:spacing w:before="0" w:line="240" w:lineRule="auto"/>
        <w:ind w:left="850" w:hanging="425"/>
        <w:rPr>
          <w:rFonts w:asciiTheme="minorHAnsi" w:hAnsiTheme="minorHAnsi" w:cs="Arial"/>
          <w:sz w:val="24"/>
          <w:szCs w:val="24"/>
        </w:rPr>
      </w:pPr>
      <w:r w:rsidRPr="001C19A5">
        <w:rPr>
          <w:rFonts w:asciiTheme="minorHAnsi" w:hAnsiTheme="minorHAnsi" w:cs="Arial"/>
          <w:sz w:val="24"/>
          <w:szCs w:val="24"/>
        </w:rPr>
        <w:t>any other deduction authorised under the Act</w:t>
      </w:r>
    </w:p>
    <w:p w14:paraId="377F0099" w14:textId="77777777" w:rsidR="0005562C" w:rsidRPr="001C19A5" w:rsidRDefault="0005562C" w:rsidP="0005562C">
      <w:pPr>
        <w:pStyle w:val="BodyText"/>
        <w:spacing w:before="80" w:after="0"/>
        <w:rPr>
          <w:rFonts w:asciiTheme="minorHAnsi" w:hAnsiTheme="minorHAnsi"/>
          <w:b/>
        </w:rPr>
      </w:pPr>
      <w:r w:rsidRPr="001C19A5">
        <w:rPr>
          <w:rFonts w:asciiTheme="minorHAnsi" w:hAnsiTheme="minorHAnsi"/>
          <w:lang w:eastAsia="en-US"/>
        </w:rPr>
        <w:t xml:space="preserve">The provider must not deduct any other amounts from the refundable </w:t>
      </w:r>
      <w:r w:rsidR="00BB155A">
        <w:rPr>
          <w:rFonts w:asciiTheme="minorHAnsi" w:hAnsiTheme="minorHAnsi"/>
          <w:lang w:eastAsia="en-US"/>
        </w:rPr>
        <w:t>accommodation</w:t>
      </w:r>
      <w:r w:rsidRPr="001C19A5">
        <w:rPr>
          <w:rFonts w:asciiTheme="minorHAnsi" w:hAnsiTheme="minorHAnsi"/>
          <w:lang w:eastAsia="en-US"/>
        </w:rPr>
        <w:t xml:space="preserve"> balance.</w:t>
      </w:r>
    </w:p>
    <w:p w14:paraId="1E46D1C3"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1DE9FA10" w14:textId="77777777" w:rsidR="001C19A5" w:rsidRPr="001C19A5" w:rsidRDefault="0005562C" w:rsidP="001C19A5">
      <w:pPr>
        <w:pStyle w:val="Tabletext"/>
        <w:spacing w:before="40" w:after="120"/>
        <w:ind w:right="176"/>
        <w:rPr>
          <w:rFonts w:asciiTheme="minorHAnsi" w:hAnsiTheme="minorHAnsi"/>
          <w:sz w:val="24"/>
          <w:szCs w:val="24"/>
        </w:rPr>
      </w:pPr>
      <w:r w:rsidRPr="001C19A5">
        <w:rPr>
          <w:rFonts w:asciiTheme="minorHAnsi" w:hAnsiTheme="minorHAnsi"/>
          <w:sz w:val="24"/>
          <w:szCs w:val="24"/>
        </w:rPr>
        <w:t>You are required to report allowable deductions from</w:t>
      </w:r>
      <w:r w:rsidRPr="001C19A5">
        <w:rPr>
          <w:rFonts w:asciiTheme="minorHAnsi" w:hAnsiTheme="minorHAnsi"/>
          <w:b/>
          <w:sz w:val="24"/>
          <w:szCs w:val="24"/>
        </w:rPr>
        <w:t xml:space="preserve"> ALL </w:t>
      </w:r>
      <w:r w:rsidRPr="001C19A5">
        <w:rPr>
          <w:rFonts w:asciiTheme="minorHAnsi" w:hAnsiTheme="minorHAnsi"/>
          <w:sz w:val="24"/>
          <w:szCs w:val="24"/>
        </w:rPr>
        <w:t xml:space="preserve">refundable </w:t>
      </w:r>
      <w:r w:rsidR="009E267F">
        <w:rPr>
          <w:rFonts w:asciiTheme="minorHAnsi" w:hAnsiTheme="minorHAnsi"/>
          <w:sz w:val="24"/>
          <w:szCs w:val="24"/>
        </w:rPr>
        <w:t xml:space="preserve">accommodation </w:t>
      </w:r>
      <w:r w:rsidRPr="001C19A5">
        <w:rPr>
          <w:rFonts w:asciiTheme="minorHAnsi" w:hAnsiTheme="minorHAnsi"/>
          <w:sz w:val="24"/>
          <w:szCs w:val="24"/>
        </w:rPr>
        <w:t xml:space="preserve">balances held </w:t>
      </w:r>
      <w:r w:rsidR="009E267F">
        <w:rPr>
          <w:rFonts w:ascii="Calibri" w:hAnsi="Calibri"/>
          <w:sz w:val="24"/>
          <w:szCs w:val="24"/>
        </w:rPr>
        <w:t>during your financial year</w:t>
      </w:r>
      <w:r w:rsidR="009E267F" w:rsidRPr="00DB0212">
        <w:rPr>
          <w:rFonts w:ascii="Calibri" w:hAnsi="Calibri"/>
          <w:sz w:val="24"/>
          <w:szCs w:val="24"/>
        </w:rPr>
        <w:t xml:space="preserve"> </w:t>
      </w:r>
      <w:r w:rsidRPr="001C19A5">
        <w:rPr>
          <w:rFonts w:asciiTheme="minorHAnsi" w:hAnsiTheme="minorHAnsi"/>
          <w:sz w:val="24"/>
          <w:szCs w:val="24"/>
        </w:rPr>
        <w:t>(regardless of when the agreement was entered into).</w:t>
      </w:r>
    </w:p>
    <w:p w14:paraId="342AF195" w14:textId="2AF5F19C" w:rsidR="00D3008C" w:rsidRDefault="00D3008C">
      <w:pPr>
        <w:rPr>
          <w:rFonts w:eastAsia="Times New Roman" w:cs="Arial"/>
          <w:sz w:val="24"/>
          <w:szCs w:val="24"/>
          <w:lang w:eastAsia="en-AU"/>
        </w:rPr>
      </w:pPr>
      <w:r>
        <w:rPr>
          <w:sz w:val="24"/>
          <w:szCs w:val="24"/>
        </w:rPr>
        <w:br w:type="page"/>
      </w:r>
    </w:p>
    <w:p w14:paraId="6E82BCB0" w14:textId="17829B97" w:rsidR="0027561B" w:rsidRPr="00236E93" w:rsidRDefault="0027561B" w:rsidP="00236E93">
      <w:pPr>
        <w:pStyle w:val="Heading2"/>
        <w:spacing w:before="360" w:after="120"/>
        <w:rPr>
          <w:rFonts w:asciiTheme="minorHAnsi" w:hAnsiTheme="minorHAnsi"/>
          <w:color w:val="0070C0"/>
          <w:sz w:val="32"/>
          <w:szCs w:val="32"/>
        </w:rPr>
      </w:pPr>
      <w:r w:rsidRPr="00236E93">
        <w:rPr>
          <w:rFonts w:asciiTheme="minorHAnsi" w:hAnsiTheme="minorHAnsi"/>
          <w:color w:val="0070C0"/>
          <w:sz w:val="32"/>
          <w:szCs w:val="32"/>
        </w:rPr>
        <w:lastRenderedPageBreak/>
        <w:t>COMPLIANCE WITH THE PRUDENTIAL STANDARDS</w:t>
      </w:r>
    </w:p>
    <w:p w14:paraId="288DAACB" w14:textId="77777777" w:rsidR="0005562C" w:rsidRPr="002B7CED" w:rsidRDefault="00F829B4" w:rsidP="00236E93">
      <w:pPr>
        <w:pStyle w:val="Heading2"/>
        <w:spacing w:before="0"/>
        <w:rPr>
          <w:rFonts w:asciiTheme="minorHAnsi" w:hAnsiTheme="minorHAnsi"/>
          <w:color w:val="0070C0"/>
        </w:rPr>
      </w:pPr>
      <w:r w:rsidRPr="002B7CED">
        <w:rPr>
          <w:rFonts w:asciiTheme="minorHAnsi" w:hAnsiTheme="minorHAnsi"/>
          <w:color w:val="0070C0"/>
        </w:rPr>
        <w:t xml:space="preserve">COMPLIANCE WITH THE LIQUIDITY STANDARD </w:t>
      </w:r>
    </w:p>
    <w:p w14:paraId="2712B6FB" w14:textId="72641ACC" w:rsidR="0005562C" w:rsidRPr="00F0126D" w:rsidRDefault="0005562C" w:rsidP="00F0126D">
      <w:pPr>
        <w:pStyle w:val="NormalWeb"/>
        <w:spacing w:after="0" w:line="0" w:lineRule="atLeast"/>
        <w:rPr>
          <w:rFonts w:asciiTheme="minorHAnsi" w:hAnsiTheme="minorHAnsi" w:cs="Arial"/>
        </w:rPr>
      </w:pPr>
      <w:r w:rsidRPr="4E34EEE7">
        <w:rPr>
          <w:rFonts w:asciiTheme="minorHAnsi" w:hAnsiTheme="minorHAnsi" w:cs="Arial"/>
        </w:rPr>
        <w:t>Any provider holding at least one refundable deposit or bond balance (including entry contributions) during the</w:t>
      </w:r>
      <w:r w:rsidR="29B55E6A" w:rsidRPr="4E34EEE7">
        <w:rPr>
          <w:rFonts w:asciiTheme="minorHAnsi" w:hAnsiTheme="minorHAnsi" w:cs="Arial"/>
        </w:rPr>
        <w:t>ir</w:t>
      </w:r>
      <w:r w:rsidRPr="4E34EEE7">
        <w:rPr>
          <w:rFonts w:asciiTheme="minorHAnsi" w:hAnsiTheme="minorHAnsi" w:cs="Arial"/>
        </w:rPr>
        <w:t xml:space="preserve"> financial year must comply with the Liquidity Standard</w:t>
      </w:r>
      <w:r w:rsidR="00F0126D">
        <w:rPr>
          <w:rFonts w:asciiTheme="minorHAnsi" w:hAnsiTheme="minorHAnsi" w:cs="Arial"/>
        </w:rPr>
        <w:t xml:space="preserve">. </w:t>
      </w:r>
      <w:r w:rsidRPr="4E34EEE7">
        <w:rPr>
          <w:rFonts w:asciiTheme="minorHAnsi" w:hAnsiTheme="minorHAnsi" w:cs="Arial"/>
        </w:rPr>
        <w:t xml:space="preserve"> </w:t>
      </w:r>
      <w:r w:rsidR="00F0126D">
        <w:rPr>
          <w:rFonts w:asciiTheme="minorHAnsi" w:hAnsiTheme="minorHAnsi" w:cs="Arial"/>
        </w:rPr>
        <w:t>The Liquidity Standard</w:t>
      </w:r>
      <w:r w:rsidRPr="4E34EEE7">
        <w:rPr>
          <w:rFonts w:asciiTheme="minorHAnsi" w:hAnsiTheme="minorHAnsi" w:cs="Arial"/>
        </w:rPr>
        <w:t xml:space="preserve"> requires providers to</w:t>
      </w:r>
      <w:r w:rsidR="00F0126D">
        <w:rPr>
          <w:rFonts w:asciiTheme="minorHAnsi" w:hAnsiTheme="minorHAnsi" w:cs="Arial"/>
        </w:rPr>
        <w:t xml:space="preserve"> </w:t>
      </w:r>
      <w:r w:rsidRPr="00F0126D">
        <w:rPr>
          <w:rFonts w:asciiTheme="minorHAnsi" w:hAnsiTheme="minorHAnsi" w:cs="Arial"/>
        </w:rPr>
        <w:t>maintain sufficient liquidity to ensure that they can refund (in accordance with the Act and the Fees and Payments Principles) refundable deposit balances and bond balances (including entry contributions) that can be expected to fall due in the following 12 months (see section 43, Fees and Payments Principles)</w:t>
      </w:r>
      <w:r w:rsidR="00F0126D">
        <w:rPr>
          <w:rFonts w:asciiTheme="minorHAnsi" w:hAnsiTheme="minorHAnsi" w:cs="Arial"/>
        </w:rPr>
        <w:t>.</w:t>
      </w:r>
    </w:p>
    <w:p w14:paraId="14027E8C" w14:textId="3DF5DEDD" w:rsidR="007D3F3D" w:rsidRPr="001C19A5" w:rsidRDefault="007D3F3D" w:rsidP="00476203">
      <w:pPr>
        <w:pStyle w:val="ListParagraph"/>
        <w:spacing w:before="40" w:after="0" w:line="240" w:lineRule="auto"/>
        <w:ind w:left="851"/>
        <w:rPr>
          <w:rFonts w:asciiTheme="minorHAnsi" w:hAnsiTheme="minorHAnsi" w:cs="Arial"/>
          <w:sz w:val="24"/>
          <w:szCs w:val="24"/>
        </w:rPr>
      </w:pPr>
    </w:p>
    <w:p w14:paraId="3EBD7FA6" w14:textId="271637F2" w:rsidR="0005562C" w:rsidRPr="001C19A5" w:rsidRDefault="00A07817" w:rsidP="0005562C">
      <w:pPr>
        <w:spacing w:after="0" w:line="0" w:lineRule="atLeast"/>
        <w:rPr>
          <w:rFonts w:cs="Arial"/>
          <w:sz w:val="24"/>
          <w:szCs w:val="24"/>
        </w:rPr>
      </w:pPr>
      <w:r>
        <w:rPr>
          <w:rFonts w:cs="Arial"/>
          <w:sz w:val="24"/>
          <w:szCs w:val="24"/>
        </w:rPr>
        <w:t>Providers must i</w:t>
      </w:r>
      <w:r w:rsidR="0005562C" w:rsidRPr="001C19A5">
        <w:rPr>
          <w:rFonts w:cs="Arial"/>
          <w:sz w:val="24"/>
          <w:szCs w:val="24"/>
        </w:rPr>
        <w:t xml:space="preserve">mplement and maintain a written Liquidity Management Strategy (LMS), which identifies: </w:t>
      </w:r>
    </w:p>
    <w:p w14:paraId="06D6E564" w14:textId="40A48BE2" w:rsidR="0005562C" w:rsidRPr="001C19A5" w:rsidRDefault="0005562C" w:rsidP="001A3223">
      <w:pPr>
        <w:numPr>
          <w:ilvl w:val="1"/>
          <w:numId w:val="6"/>
        </w:numPr>
        <w:tabs>
          <w:tab w:val="clear" w:pos="1440"/>
        </w:tabs>
        <w:spacing w:after="0" w:line="240" w:lineRule="auto"/>
        <w:ind w:left="850" w:hanging="425"/>
        <w:rPr>
          <w:rFonts w:cs="Arial"/>
          <w:sz w:val="24"/>
          <w:szCs w:val="24"/>
        </w:rPr>
      </w:pPr>
      <w:r w:rsidRPr="001C19A5">
        <w:rPr>
          <w:rFonts w:cs="Arial"/>
          <w:sz w:val="24"/>
          <w:szCs w:val="24"/>
        </w:rPr>
        <w:t xml:space="preserve">the amount expressed as an amount of </w:t>
      </w:r>
      <w:r w:rsidRPr="00CE4A22">
        <w:rPr>
          <w:rFonts w:cs="Arial"/>
          <w:b/>
          <w:sz w:val="24"/>
          <w:szCs w:val="24"/>
        </w:rPr>
        <w:t>whole dollars</w:t>
      </w:r>
      <w:r w:rsidRPr="001C19A5">
        <w:rPr>
          <w:rFonts w:cs="Arial"/>
          <w:sz w:val="24"/>
          <w:szCs w:val="24"/>
        </w:rPr>
        <w:t xml:space="preserve"> required to ensure that the provider has sufficient liquidity to refund bond balances and refundable deposits (including entry contributions) as they fall due</w:t>
      </w:r>
    </w:p>
    <w:p w14:paraId="7D2AD7E2" w14:textId="6380009E" w:rsidR="0005562C" w:rsidRPr="001C19A5" w:rsidRDefault="0005562C" w:rsidP="001A3223">
      <w:pPr>
        <w:pStyle w:val="ListParagraph"/>
        <w:numPr>
          <w:ilvl w:val="0"/>
          <w:numId w:val="7"/>
        </w:numPr>
        <w:spacing w:before="0" w:after="0" w:line="240" w:lineRule="auto"/>
        <w:ind w:left="850" w:hanging="425"/>
        <w:rPr>
          <w:rFonts w:asciiTheme="minorHAnsi" w:hAnsiTheme="minorHAnsi" w:cs="Arial"/>
          <w:sz w:val="24"/>
          <w:szCs w:val="24"/>
        </w:rPr>
      </w:pPr>
      <w:r w:rsidRPr="001C19A5">
        <w:rPr>
          <w:rFonts w:asciiTheme="minorHAnsi" w:hAnsiTheme="minorHAnsi" w:cs="Arial"/>
          <w:sz w:val="24"/>
          <w:szCs w:val="24"/>
        </w:rPr>
        <w:t>the factors that the provider considered in determining the minimum level of liquidity</w:t>
      </w:r>
    </w:p>
    <w:p w14:paraId="6FA8FFE5" w14:textId="0C423CCC" w:rsidR="0005562C" w:rsidRPr="001C19A5" w:rsidRDefault="0005562C" w:rsidP="001A3223">
      <w:pPr>
        <w:pStyle w:val="ListParagraph"/>
        <w:numPr>
          <w:ilvl w:val="0"/>
          <w:numId w:val="7"/>
        </w:numPr>
        <w:spacing w:before="0" w:after="120" w:line="240" w:lineRule="auto"/>
        <w:ind w:left="850" w:hanging="425"/>
        <w:rPr>
          <w:rFonts w:asciiTheme="minorHAnsi" w:hAnsiTheme="minorHAnsi" w:cs="Arial"/>
          <w:sz w:val="24"/>
          <w:szCs w:val="24"/>
        </w:rPr>
      </w:pPr>
      <w:r w:rsidRPr="001C19A5">
        <w:rPr>
          <w:rFonts w:asciiTheme="minorHAnsi" w:hAnsiTheme="minorHAnsi" w:cs="Arial"/>
          <w:sz w:val="24"/>
          <w:szCs w:val="24"/>
        </w:rPr>
        <w:t>the form in which the provider will maintain the minimum level of liquidity (see section 44(1), Fees and Payments Principles)</w:t>
      </w:r>
    </w:p>
    <w:p w14:paraId="3B0DE5BB" w14:textId="3C701CF1" w:rsidR="0005562C" w:rsidRPr="001C19A5" w:rsidRDefault="00B213D4" w:rsidP="0005562C">
      <w:pPr>
        <w:pStyle w:val="NormalWeb"/>
        <w:spacing w:after="0" w:line="0" w:lineRule="atLeast"/>
        <w:rPr>
          <w:rFonts w:asciiTheme="minorHAnsi" w:hAnsiTheme="minorHAnsi" w:cs="Arial"/>
        </w:rPr>
      </w:pPr>
      <w:r>
        <w:rPr>
          <w:rFonts w:asciiTheme="minorHAnsi" w:hAnsiTheme="minorHAnsi" w:cs="Arial"/>
        </w:rPr>
        <w:t>P</w:t>
      </w:r>
      <w:r w:rsidR="0005562C" w:rsidRPr="001C19A5">
        <w:rPr>
          <w:rFonts w:asciiTheme="minorHAnsi" w:hAnsiTheme="minorHAnsi" w:cs="Arial"/>
        </w:rPr>
        <w:t>rovider</w:t>
      </w:r>
      <w:r>
        <w:rPr>
          <w:rFonts w:asciiTheme="minorHAnsi" w:hAnsiTheme="minorHAnsi" w:cs="Arial"/>
        </w:rPr>
        <w:t>s</w:t>
      </w:r>
      <w:r w:rsidR="0005562C" w:rsidRPr="001C19A5">
        <w:rPr>
          <w:rFonts w:asciiTheme="minorHAnsi" w:hAnsiTheme="minorHAnsi" w:cs="Arial"/>
        </w:rPr>
        <w:t xml:space="preserve"> must then:</w:t>
      </w:r>
    </w:p>
    <w:p w14:paraId="1F32FBF2" w14:textId="5598D714" w:rsidR="0005562C" w:rsidRPr="001C19A5" w:rsidRDefault="0005562C" w:rsidP="00AD7FEA">
      <w:pPr>
        <w:pStyle w:val="Tabletext"/>
        <w:numPr>
          <w:ilvl w:val="0"/>
          <w:numId w:val="5"/>
        </w:numPr>
        <w:spacing w:before="0" w:after="0"/>
        <w:ind w:left="851" w:hanging="425"/>
        <w:rPr>
          <w:rFonts w:asciiTheme="minorHAnsi" w:hAnsiTheme="minorHAnsi"/>
          <w:sz w:val="24"/>
          <w:szCs w:val="24"/>
          <w:lang w:eastAsia="en-US"/>
        </w:rPr>
      </w:pPr>
      <w:r w:rsidRPr="001C19A5">
        <w:rPr>
          <w:rFonts w:asciiTheme="minorHAnsi" w:hAnsiTheme="minorHAnsi"/>
          <w:sz w:val="24"/>
          <w:szCs w:val="24"/>
          <w:lang w:eastAsia="en-US"/>
        </w:rPr>
        <w:t>maintain the minimum level of liquidity in the form specified in the LMS</w:t>
      </w:r>
    </w:p>
    <w:p w14:paraId="01F8318F" w14:textId="246BC608" w:rsidR="0005562C" w:rsidRPr="001C19A5" w:rsidRDefault="0005562C" w:rsidP="00AD7FEA">
      <w:pPr>
        <w:pStyle w:val="Tabletext"/>
        <w:numPr>
          <w:ilvl w:val="0"/>
          <w:numId w:val="5"/>
        </w:numPr>
        <w:spacing w:before="0" w:after="0"/>
        <w:ind w:left="851" w:hanging="425"/>
        <w:rPr>
          <w:rFonts w:asciiTheme="minorHAnsi" w:hAnsiTheme="minorHAnsi"/>
          <w:sz w:val="24"/>
          <w:szCs w:val="24"/>
          <w:lang w:eastAsia="en-US"/>
        </w:rPr>
      </w:pPr>
      <w:r w:rsidRPr="001C19A5">
        <w:rPr>
          <w:rFonts w:asciiTheme="minorHAnsi" w:hAnsiTheme="minorHAnsi"/>
          <w:sz w:val="24"/>
          <w:szCs w:val="24"/>
          <w:lang w:eastAsia="en-US"/>
        </w:rPr>
        <w:t>ensure that the LMS is kept up-to-date</w:t>
      </w:r>
    </w:p>
    <w:p w14:paraId="2991E8BB" w14:textId="057A8F13" w:rsidR="0005562C" w:rsidRPr="001C19A5" w:rsidRDefault="0005562C" w:rsidP="00AD7FEA">
      <w:pPr>
        <w:pStyle w:val="Tabletext"/>
        <w:numPr>
          <w:ilvl w:val="0"/>
          <w:numId w:val="5"/>
        </w:numPr>
        <w:spacing w:before="0" w:after="120"/>
        <w:ind w:left="851" w:hanging="425"/>
        <w:rPr>
          <w:rFonts w:asciiTheme="minorHAnsi" w:hAnsiTheme="minorHAnsi"/>
          <w:sz w:val="24"/>
          <w:szCs w:val="24"/>
          <w:lang w:eastAsia="en-US"/>
        </w:rPr>
      </w:pPr>
      <w:r w:rsidRPr="001C19A5">
        <w:rPr>
          <w:rFonts w:asciiTheme="minorHAnsi" w:hAnsiTheme="minorHAnsi"/>
          <w:sz w:val="24"/>
          <w:szCs w:val="24"/>
          <w:lang w:eastAsia="en-US"/>
        </w:rPr>
        <w:t>ensure that it complies with the requirements of the Liquidity Standard</w:t>
      </w:r>
    </w:p>
    <w:p w14:paraId="5D9A2719" w14:textId="77777777" w:rsidR="0005562C" w:rsidRPr="001C19A5" w:rsidRDefault="0005562C" w:rsidP="0005562C">
      <w:pPr>
        <w:pStyle w:val="NormalWeb"/>
        <w:spacing w:line="0" w:lineRule="atLeast"/>
        <w:rPr>
          <w:rFonts w:asciiTheme="minorHAnsi" w:hAnsiTheme="minorHAnsi" w:cs="Arial"/>
        </w:rPr>
      </w:pPr>
      <w:r w:rsidRPr="001C19A5">
        <w:rPr>
          <w:rFonts w:asciiTheme="minorHAnsi" w:hAnsiTheme="minorHAnsi" w:cs="Arial"/>
        </w:rPr>
        <w:t>A provider must modify or replace its LMS if the provider becomes aware that it no longer meets the requirements of the Liquidity Standard.</w:t>
      </w:r>
    </w:p>
    <w:p w14:paraId="7DDAE0C4" w14:textId="5DD15382" w:rsidR="0005562C" w:rsidRPr="001C19A5" w:rsidRDefault="0005562C" w:rsidP="0005562C">
      <w:pPr>
        <w:pStyle w:val="NormalWeb"/>
        <w:spacing w:line="0" w:lineRule="atLeast"/>
        <w:rPr>
          <w:rFonts w:asciiTheme="minorHAnsi" w:hAnsiTheme="minorHAnsi" w:cs="Arial"/>
        </w:rPr>
      </w:pPr>
      <w:r w:rsidRPr="001C19A5">
        <w:rPr>
          <w:rFonts w:asciiTheme="minorHAnsi" w:hAnsiTheme="minorHAnsi" w:cs="Arial"/>
        </w:rPr>
        <w:t>At any point in time, a provider must meet the requirements of the Liquidity Standard (see section 42</w:t>
      </w:r>
      <w:r w:rsidR="00D87F26">
        <w:rPr>
          <w:rFonts w:asciiTheme="minorHAnsi" w:hAnsiTheme="minorHAnsi" w:cs="Arial"/>
        </w:rPr>
        <w:t xml:space="preserve"> </w:t>
      </w:r>
      <w:r w:rsidR="00D87F26" w:rsidRPr="006D5E85">
        <w:rPr>
          <w:rFonts w:asciiTheme="minorHAnsi" w:hAnsiTheme="minorHAnsi" w:cs="Arial"/>
        </w:rPr>
        <w:t>and section 44</w:t>
      </w:r>
      <w:r w:rsidRPr="001C19A5">
        <w:rPr>
          <w:rFonts w:asciiTheme="minorHAnsi" w:hAnsiTheme="minorHAnsi" w:cs="Arial"/>
        </w:rPr>
        <w:t>, Fees and Payments Principles).</w:t>
      </w:r>
    </w:p>
    <w:p w14:paraId="50EDB49D" w14:textId="77777777" w:rsidR="0005562C" w:rsidRPr="001C19A5" w:rsidRDefault="0005562C" w:rsidP="00AD7FEA">
      <w:pPr>
        <w:pStyle w:val="NormalWeb"/>
        <w:spacing w:after="0" w:line="240" w:lineRule="auto"/>
        <w:rPr>
          <w:rFonts w:asciiTheme="minorHAnsi" w:hAnsiTheme="minorHAnsi" w:cs="Arial"/>
        </w:rPr>
      </w:pPr>
      <w:r w:rsidRPr="001C19A5">
        <w:rPr>
          <w:rFonts w:asciiTheme="minorHAnsi" w:hAnsiTheme="minorHAnsi" w:cs="Arial"/>
        </w:rPr>
        <w:t>The provider must maintain the minimum level of liquidity identified in the LMS necessary to meet refunds over the following 12 months (see section 43, Fees and Payments Principles).</w:t>
      </w:r>
    </w:p>
    <w:p w14:paraId="4A36DD27" w14:textId="5956D6CD" w:rsidR="0005562C" w:rsidRPr="002C4D55" w:rsidRDefault="007D3F3D" w:rsidP="0005562C">
      <w:pPr>
        <w:spacing w:line="0" w:lineRule="atLeast"/>
        <w:rPr>
          <w:rFonts w:cs="Arial"/>
          <w:sz w:val="18"/>
          <w:szCs w:val="18"/>
        </w:rPr>
      </w:pPr>
      <w:r w:rsidRPr="002C4D55">
        <w:rPr>
          <w:rFonts w:cs="Arial"/>
          <w:b/>
          <w:sz w:val="18"/>
          <w:szCs w:val="18"/>
        </w:rPr>
        <w:t>R</w:t>
      </w:r>
      <w:r w:rsidR="0005562C" w:rsidRPr="002C4D55">
        <w:rPr>
          <w:rFonts w:cs="Arial"/>
          <w:b/>
          <w:sz w:val="18"/>
          <w:szCs w:val="18"/>
        </w:rPr>
        <w:t>eference:</w:t>
      </w:r>
      <w:r w:rsidR="0005562C" w:rsidRPr="002C4D55">
        <w:rPr>
          <w:rFonts w:cs="Arial"/>
          <w:sz w:val="18"/>
          <w:szCs w:val="18"/>
        </w:rPr>
        <w:t> </w:t>
      </w:r>
      <w:hyperlink r:id="rId20" w:history="1">
        <w:r w:rsidR="0005562C" w:rsidRPr="002C4D55">
          <w:rPr>
            <w:rFonts w:cs="Arial"/>
            <w:sz w:val="18"/>
            <w:szCs w:val="18"/>
          </w:rPr>
          <w:t>Fees and Payments Principles</w:t>
        </w:r>
      </w:hyperlink>
      <w:r w:rsidR="0005562C" w:rsidRPr="002C4D55">
        <w:rPr>
          <w:rFonts w:cs="Arial"/>
          <w:sz w:val="18"/>
          <w:szCs w:val="18"/>
        </w:rPr>
        <w:t xml:space="preserve"> section 43</w:t>
      </w:r>
      <w:r w:rsidR="00C2010B">
        <w:rPr>
          <w:rFonts w:cs="Arial"/>
          <w:sz w:val="18"/>
          <w:szCs w:val="18"/>
        </w:rPr>
        <w:t>,</w:t>
      </w:r>
      <w:r w:rsidR="0005562C" w:rsidRPr="002C4D55">
        <w:rPr>
          <w:rFonts w:cs="Arial"/>
          <w:sz w:val="18"/>
          <w:szCs w:val="18"/>
        </w:rPr>
        <w:t xml:space="preserve"> section 44</w:t>
      </w:r>
    </w:p>
    <w:p w14:paraId="35CEED25" w14:textId="77777777" w:rsidR="0005562C" w:rsidRPr="002B7CED" w:rsidRDefault="0005562C" w:rsidP="002B7CED">
      <w:pPr>
        <w:spacing w:before="200" w:after="0"/>
        <w:rPr>
          <w:b/>
          <w:bCs/>
          <w:color w:val="0070C0"/>
          <w:sz w:val="26"/>
          <w:szCs w:val="26"/>
        </w:rPr>
      </w:pPr>
      <w:r w:rsidRPr="002B7CED">
        <w:rPr>
          <w:b/>
          <w:bCs/>
          <w:color w:val="0070C0"/>
          <w:sz w:val="26"/>
          <w:szCs w:val="26"/>
        </w:rPr>
        <w:t>Determining the minimum level of liquidity</w:t>
      </w:r>
    </w:p>
    <w:p w14:paraId="5E6C8552" w14:textId="77777777" w:rsidR="0005562C" w:rsidRPr="001C19A5" w:rsidRDefault="0005562C" w:rsidP="0005562C">
      <w:pPr>
        <w:pStyle w:val="NormalWeb"/>
        <w:spacing w:line="0" w:lineRule="atLeast"/>
        <w:rPr>
          <w:rFonts w:asciiTheme="minorHAnsi" w:hAnsiTheme="minorHAnsi" w:cs="Arial"/>
        </w:rPr>
      </w:pPr>
      <w:r w:rsidRPr="001C19A5">
        <w:rPr>
          <w:rFonts w:asciiTheme="minorHAnsi" w:hAnsiTheme="minorHAnsi" w:cs="Arial"/>
        </w:rPr>
        <w:t>Each provider should identify and assess the factors used in determining its minimum level of liquidity, based on their individual circumstances and experiences.</w:t>
      </w:r>
    </w:p>
    <w:p w14:paraId="044395AD" w14:textId="77777777" w:rsidR="0005562C" w:rsidRPr="001C19A5" w:rsidRDefault="0005562C" w:rsidP="005A1F53">
      <w:pPr>
        <w:pStyle w:val="NormalWeb"/>
        <w:spacing w:after="120" w:line="240" w:lineRule="auto"/>
        <w:rPr>
          <w:rFonts w:asciiTheme="minorHAnsi" w:hAnsiTheme="minorHAnsi" w:cs="Arial"/>
        </w:rPr>
      </w:pPr>
      <w:r w:rsidRPr="001C19A5">
        <w:rPr>
          <w:rFonts w:asciiTheme="minorHAnsi" w:hAnsiTheme="minorHAnsi" w:cs="Arial"/>
        </w:rPr>
        <w:t>While some factors might be common to many providers, their relative importance can differ for individual providers. Factors that providers could consider in determining their minimum level of liquidity include:</w:t>
      </w:r>
    </w:p>
    <w:p w14:paraId="2FD1BD21" w14:textId="318F4853"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001C19A5">
        <w:rPr>
          <w:rFonts w:asciiTheme="minorHAnsi" w:hAnsiTheme="minorHAnsi" w:cs="Arial"/>
          <w:sz w:val="24"/>
          <w:szCs w:val="24"/>
        </w:rPr>
        <w:t>cash requirements for operating and capital expenditure</w:t>
      </w:r>
    </w:p>
    <w:p w14:paraId="1C516612" w14:textId="60D65943"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001C19A5">
        <w:rPr>
          <w:rFonts w:asciiTheme="minorHAnsi" w:hAnsiTheme="minorHAnsi" w:cs="Arial"/>
          <w:sz w:val="24"/>
          <w:szCs w:val="24"/>
        </w:rPr>
        <w:t>their historical pattern of refundable deposits and bond balance refunds</w:t>
      </w:r>
    </w:p>
    <w:p w14:paraId="79C57429" w14:textId="1A2B59A0"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4E34EEE7">
        <w:rPr>
          <w:rFonts w:asciiTheme="minorHAnsi" w:hAnsiTheme="minorHAnsi" w:cs="Arial"/>
          <w:sz w:val="24"/>
          <w:szCs w:val="24"/>
        </w:rPr>
        <w:t xml:space="preserve">characteristics of the residents in their care, such as </w:t>
      </w:r>
      <w:r w:rsidR="00146EF3" w:rsidRPr="4E34EEE7">
        <w:rPr>
          <w:rFonts w:asciiTheme="minorHAnsi" w:hAnsiTheme="minorHAnsi" w:cs="Arial"/>
          <w:sz w:val="24"/>
          <w:szCs w:val="24"/>
        </w:rPr>
        <w:t>Australian National Aged Care Classification (AN-</w:t>
      </w:r>
      <w:r w:rsidR="000A58DC" w:rsidRPr="4E34EEE7">
        <w:rPr>
          <w:rFonts w:asciiTheme="minorHAnsi" w:hAnsiTheme="minorHAnsi" w:cs="Arial"/>
          <w:sz w:val="24"/>
          <w:szCs w:val="24"/>
        </w:rPr>
        <w:t>ACC) categories</w:t>
      </w:r>
      <w:r w:rsidRPr="4E34EEE7">
        <w:rPr>
          <w:rFonts w:asciiTheme="minorHAnsi" w:hAnsiTheme="minorHAnsi" w:cs="Arial"/>
          <w:sz w:val="24"/>
          <w:szCs w:val="24"/>
        </w:rPr>
        <w:t>, ages, genders and length of time spent in care, which can affect the timing of refundable deposit and bond balance refunds</w:t>
      </w:r>
    </w:p>
    <w:p w14:paraId="27064EDE" w14:textId="0C1A1363"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001C19A5">
        <w:rPr>
          <w:rFonts w:asciiTheme="minorHAnsi" w:hAnsiTheme="minorHAnsi" w:cs="Arial"/>
          <w:sz w:val="24"/>
          <w:szCs w:val="24"/>
        </w:rPr>
        <w:t>the average value of refundable deposits and bond balances held</w:t>
      </w:r>
    </w:p>
    <w:p w14:paraId="380C6BCC" w14:textId="5F6682A6"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001C19A5">
        <w:rPr>
          <w:rFonts w:asciiTheme="minorHAnsi" w:hAnsiTheme="minorHAnsi" w:cs="Arial"/>
          <w:sz w:val="24"/>
          <w:szCs w:val="24"/>
        </w:rPr>
        <w:t>the average time taken to replace departing residents</w:t>
      </w:r>
    </w:p>
    <w:p w14:paraId="4F904015" w14:textId="7AAEF14B" w:rsidR="0005562C" w:rsidRPr="001C19A5" w:rsidRDefault="0005562C" w:rsidP="001A3223">
      <w:pPr>
        <w:pStyle w:val="ListParagraph"/>
        <w:numPr>
          <w:ilvl w:val="0"/>
          <w:numId w:val="20"/>
        </w:numPr>
        <w:spacing w:before="0" w:after="40" w:line="0" w:lineRule="atLeast"/>
        <w:ind w:left="709" w:hanging="425"/>
        <w:rPr>
          <w:rFonts w:asciiTheme="minorHAnsi" w:hAnsiTheme="minorHAnsi" w:cs="Arial"/>
          <w:sz w:val="24"/>
          <w:szCs w:val="24"/>
        </w:rPr>
      </w:pPr>
      <w:r w:rsidRPr="4E34EEE7">
        <w:rPr>
          <w:rFonts w:asciiTheme="minorHAnsi" w:hAnsiTheme="minorHAnsi" w:cs="Arial"/>
          <w:sz w:val="24"/>
          <w:szCs w:val="24"/>
        </w:rPr>
        <w:t xml:space="preserve">the expected number and </w:t>
      </w:r>
      <w:r w:rsidR="0AA8CFAA" w:rsidRPr="4E34EEE7">
        <w:rPr>
          <w:rFonts w:asciiTheme="minorHAnsi" w:hAnsiTheme="minorHAnsi" w:cs="Arial"/>
          <w:sz w:val="24"/>
          <w:szCs w:val="24"/>
        </w:rPr>
        <w:t>value</w:t>
      </w:r>
      <w:r w:rsidRPr="4E34EEE7">
        <w:rPr>
          <w:rFonts w:asciiTheme="minorHAnsi" w:hAnsiTheme="minorHAnsi" w:cs="Arial"/>
          <w:sz w:val="24"/>
          <w:szCs w:val="24"/>
        </w:rPr>
        <w:t xml:space="preserve"> of refundable deposits and bonds that will be paid by new residents</w:t>
      </w:r>
    </w:p>
    <w:p w14:paraId="6BF750B3" w14:textId="48314370" w:rsidR="0005562C" w:rsidRPr="001C19A5" w:rsidRDefault="0005562C" w:rsidP="001A3223">
      <w:pPr>
        <w:pStyle w:val="ListParagraph"/>
        <w:numPr>
          <w:ilvl w:val="0"/>
          <w:numId w:val="20"/>
        </w:numPr>
        <w:spacing w:before="0" w:line="360" w:lineRule="auto"/>
        <w:ind w:left="709" w:hanging="425"/>
        <w:rPr>
          <w:rFonts w:asciiTheme="minorHAnsi" w:hAnsiTheme="minorHAnsi" w:cs="Arial"/>
          <w:sz w:val="24"/>
          <w:szCs w:val="24"/>
        </w:rPr>
      </w:pPr>
      <w:r w:rsidRPr="001C19A5">
        <w:rPr>
          <w:rFonts w:asciiTheme="minorHAnsi" w:hAnsiTheme="minorHAnsi" w:cs="Arial"/>
          <w:sz w:val="24"/>
          <w:szCs w:val="24"/>
        </w:rPr>
        <w:t>the time taken for new residents to make refundable deposits and bond payments</w:t>
      </w:r>
    </w:p>
    <w:p w14:paraId="09DFD286" w14:textId="77777777" w:rsidR="0005562C" w:rsidRPr="001C19A5" w:rsidRDefault="0005562C" w:rsidP="005A1F53">
      <w:pPr>
        <w:pStyle w:val="NormalWeb"/>
        <w:spacing w:after="120" w:line="240" w:lineRule="auto"/>
        <w:rPr>
          <w:rFonts w:asciiTheme="minorHAnsi" w:hAnsiTheme="minorHAnsi" w:cs="Arial"/>
        </w:rPr>
      </w:pPr>
      <w:r w:rsidRPr="001C19A5">
        <w:rPr>
          <w:rFonts w:asciiTheme="minorHAnsi" w:hAnsiTheme="minorHAnsi" w:cs="Arial"/>
        </w:rPr>
        <w:lastRenderedPageBreak/>
        <w:t>A provider should consider a range of different approaches in assessing their liquidity requirements, to determine the most appropriate approach for their circumstances. Possible approaches that providers could consider include the following:</w:t>
      </w:r>
    </w:p>
    <w:p w14:paraId="6A9C1CF1" w14:textId="2A4D5C12" w:rsidR="0005562C" w:rsidRPr="001C19A5" w:rsidRDefault="0005562C" w:rsidP="001A3223">
      <w:pPr>
        <w:pStyle w:val="ListParagraph"/>
        <w:numPr>
          <w:ilvl w:val="0"/>
          <w:numId w:val="19"/>
        </w:numPr>
        <w:spacing w:before="0" w:after="40" w:line="0" w:lineRule="atLeast"/>
        <w:ind w:hanging="425"/>
        <w:rPr>
          <w:rFonts w:asciiTheme="minorHAnsi" w:hAnsiTheme="minorHAnsi" w:cs="Arial"/>
          <w:sz w:val="24"/>
          <w:szCs w:val="24"/>
        </w:rPr>
      </w:pPr>
      <w:r w:rsidRPr="001C19A5">
        <w:rPr>
          <w:rFonts w:asciiTheme="minorHAnsi" w:hAnsiTheme="minorHAnsi" w:cs="Arial"/>
          <w:sz w:val="24"/>
          <w:szCs w:val="24"/>
        </w:rPr>
        <w:t>in some cases, the minimum level of funding which is readily accessible may be the difference between the expected refundable deposits and bond balance refunds and the expected deposits and bond payments over the next 12 months</w:t>
      </w:r>
    </w:p>
    <w:p w14:paraId="020F4796" w14:textId="74D1D96E" w:rsidR="0005562C" w:rsidRPr="001C19A5" w:rsidRDefault="0005562C" w:rsidP="001A3223">
      <w:pPr>
        <w:pStyle w:val="ListParagraph"/>
        <w:numPr>
          <w:ilvl w:val="0"/>
          <w:numId w:val="19"/>
        </w:numPr>
        <w:spacing w:before="0" w:after="40" w:line="0" w:lineRule="atLeast"/>
        <w:ind w:hanging="425"/>
        <w:rPr>
          <w:rFonts w:asciiTheme="minorHAnsi" w:hAnsiTheme="minorHAnsi" w:cs="Arial"/>
          <w:sz w:val="24"/>
          <w:szCs w:val="24"/>
        </w:rPr>
      </w:pPr>
      <w:r w:rsidRPr="001C19A5">
        <w:rPr>
          <w:rFonts w:asciiTheme="minorHAnsi" w:hAnsiTheme="minorHAnsi" w:cs="Arial"/>
          <w:sz w:val="24"/>
          <w:szCs w:val="24"/>
        </w:rPr>
        <w:t>the need to refund several of its largest deposits and bonds in the next 12 months</w:t>
      </w:r>
    </w:p>
    <w:p w14:paraId="1F39E68A" w14:textId="30B1DD83" w:rsidR="0005562C" w:rsidRPr="001C19A5" w:rsidRDefault="0005562C" w:rsidP="001A3223">
      <w:pPr>
        <w:pStyle w:val="ListParagraph"/>
        <w:numPr>
          <w:ilvl w:val="0"/>
          <w:numId w:val="19"/>
        </w:numPr>
        <w:spacing w:before="0"/>
        <w:ind w:hanging="425"/>
        <w:rPr>
          <w:rFonts w:asciiTheme="minorHAnsi" w:hAnsiTheme="minorHAnsi" w:cs="Arial"/>
          <w:sz w:val="24"/>
          <w:szCs w:val="24"/>
        </w:rPr>
      </w:pPr>
      <w:r w:rsidRPr="001C19A5">
        <w:rPr>
          <w:rFonts w:asciiTheme="minorHAnsi" w:hAnsiTheme="minorHAnsi" w:cs="Arial"/>
          <w:sz w:val="24"/>
          <w:szCs w:val="24"/>
        </w:rPr>
        <w:t>for its minimum level of liquidity, a provider could use the likely value of refundable deposits and bond balance refunds that will be required over the coming 12 months, by identifying residents who are likely to leave the service in the coming 12 months and the size of their refundable deposits and bonds. For example, a provider could decide to maintain as its minimum level of liquidity the total value of refundable deposits and bonds held on behalf of residents with a greater than 50 per cent likelihood of leaving</w:t>
      </w:r>
      <w:r w:rsidR="00112148">
        <w:rPr>
          <w:rFonts w:asciiTheme="minorHAnsi" w:hAnsiTheme="minorHAnsi" w:cs="Arial"/>
          <w:sz w:val="24"/>
          <w:szCs w:val="24"/>
        </w:rPr>
        <w:t xml:space="preserve"> over the coming 12 months</w:t>
      </w:r>
      <w:r w:rsidRPr="001C19A5">
        <w:rPr>
          <w:rFonts w:asciiTheme="minorHAnsi" w:hAnsiTheme="minorHAnsi" w:cs="Arial"/>
          <w:sz w:val="24"/>
          <w:szCs w:val="24"/>
        </w:rPr>
        <w:t>, less expected payments from new residents.</w:t>
      </w:r>
    </w:p>
    <w:p w14:paraId="0B4DF396" w14:textId="77777777" w:rsidR="0005562C" w:rsidRPr="001C19A5" w:rsidRDefault="0005562C" w:rsidP="0005562C">
      <w:pPr>
        <w:pStyle w:val="NormalWeb"/>
        <w:spacing w:line="0" w:lineRule="atLeast"/>
        <w:rPr>
          <w:rFonts w:asciiTheme="minorHAnsi" w:eastAsia="Calibri" w:hAnsiTheme="minorHAnsi" w:cs="Arial"/>
          <w:lang w:eastAsia="en-US"/>
        </w:rPr>
      </w:pPr>
      <w:r w:rsidRPr="001C19A5">
        <w:rPr>
          <w:rFonts w:asciiTheme="minorHAnsi" w:eastAsia="Calibri" w:hAnsiTheme="minorHAnsi" w:cs="Arial"/>
          <w:lang w:eastAsia="en-US"/>
        </w:rPr>
        <w:t xml:space="preserve">A provider can also maintain a prudent margin to provide a buffer against unexpected developments. A prudent margin could be incorporated into the minimum level of liquidity in various ways. For example, providers may choose to adopt conservative estimates for key parameters or include an explicit additional buffer to their level of liquidity. </w:t>
      </w:r>
    </w:p>
    <w:p w14:paraId="4886757E" w14:textId="77777777" w:rsidR="0005562C" w:rsidRPr="001C19A5" w:rsidRDefault="0005562C" w:rsidP="005A1F53">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Factors that could be considered include conservative assumptions for:</w:t>
      </w:r>
    </w:p>
    <w:p w14:paraId="69563EDC" w14:textId="1E3675AE" w:rsidR="0005562C" w:rsidRPr="001C19A5" w:rsidRDefault="0005562C" w:rsidP="001A3223">
      <w:pPr>
        <w:pStyle w:val="ListParagraph"/>
        <w:numPr>
          <w:ilvl w:val="0"/>
          <w:numId w:val="23"/>
        </w:numPr>
        <w:spacing w:before="0" w:after="120" w:line="0" w:lineRule="atLeast"/>
        <w:ind w:left="851" w:hanging="425"/>
        <w:rPr>
          <w:rFonts w:asciiTheme="minorHAnsi" w:hAnsiTheme="minorHAnsi" w:cs="Arial"/>
          <w:sz w:val="24"/>
          <w:szCs w:val="24"/>
        </w:rPr>
      </w:pPr>
      <w:r w:rsidRPr="001C19A5">
        <w:rPr>
          <w:rFonts w:asciiTheme="minorHAnsi" w:hAnsiTheme="minorHAnsi" w:cs="Arial"/>
          <w:sz w:val="24"/>
          <w:szCs w:val="24"/>
        </w:rPr>
        <w:t>the average size of payments expected to be received from new residents in the region given market conditions</w:t>
      </w:r>
    </w:p>
    <w:p w14:paraId="2CB660D4" w14:textId="261060B3" w:rsidR="0005562C" w:rsidRPr="001C19A5" w:rsidRDefault="0005562C" w:rsidP="001A3223">
      <w:pPr>
        <w:pStyle w:val="ListParagraph"/>
        <w:numPr>
          <w:ilvl w:val="0"/>
          <w:numId w:val="23"/>
        </w:numPr>
        <w:spacing w:before="0" w:after="120" w:line="240" w:lineRule="auto"/>
        <w:ind w:left="851" w:hanging="425"/>
        <w:rPr>
          <w:rFonts w:asciiTheme="minorHAnsi" w:hAnsiTheme="minorHAnsi" w:cs="Arial"/>
          <w:sz w:val="24"/>
          <w:szCs w:val="24"/>
        </w:rPr>
      </w:pPr>
      <w:r w:rsidRPr="001C19A5">
        <w:rPr>
          <w:rFonts w:asciiTheme="minorHAnsi" w:hAnsiTheme="minorHAnsi" w:cs="Arial"/>
          <w:sz w:val="24"/>
          <w:szCs w:val="24"/>
        </w:rPr>
        <w:t>the rate of replacement of exiting residents</w:t>
      </w:r>
    </w:p>
    <w:p w14:paraId="6BAD75DC" w14:textId="77777777" w:rsidR="0005562C" w:rsidRPr="002B7CED" w:rsidRDefault="0005562C" w:rsidP="002B7CED">
      <w:pPr>
        <w:spacing w:before="200" w:after="0"/>
        <w:rPr>
          <w:b/>
          <w:bCs/>
          <w:color w:val="0070C0"/>
          <w:sz w:val="26"/>
          <w:szCs w:val="26"/>
        </w:rPr>
      </w:pPr>
      <w:r w:rsidRPr="002B7CED">
        <w:rPr>
          <w:b/>
          <w:bCs/>
          <w:color w:val="0070C0"/>
          <w:sz w:val="26"/>
          <w:szCs w:val="26"/>
        </w:rPr>
        <w:t>Identifying forms in which the minimum level of liquidity is maintained</w:t>
      </w:r>
    </w:p>
    <w:p w14:paraId="788F78BF" w14:textId="77777777" w:rsidR="0005562C" w:rsidRPr="001C19A5" w:rsidRDefault="0005562C" w:rsidP="0005562C">
      <w:pPr>
        <w:pStyle w:val="NormalWeb"/>
        <w:spacing w:line="240" w:lineRule="auto"/>
        <w:rPr>
          <w:rFonts w:asciiTheme="minorHAnsi" w:eastAsia="Calibri" w:hAnsiTheme="minorHAnsi" w:cs="Arial"/>
          <w:lang w:eastAsia="en-US"/>
        </w:rPr>
      </w:pPr>
      <w:r w:rsidRPr="001C19A5">
        <w:rPr>
          <w:rFonts w:asciiTheme="minorHAnsi" w:eastAsia="Calibri" w:hAnsiTheme="minorHAnsi" w:cs="Arial"/>
          <w:lang w:eastAsia="en-US"/>
        </w:rPr>
        <w:t>To ensure that a provider can refund refundable deposits and bond balances as they fall due, it is important that the minimum level of liquidity for a provider is maintained in readily accessible forms.</w:t>
      </w:r>
    </w:p>
    <w:p w14:paraId="33183318" w14:textId="77777777" w:rsidR="0005562C" w:rsidRPr="001C19A5" w:rsidRDefault="0005562C" w:rsidP="005A1F53">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It is the responsibility of the provider to determine the appropriate form(s) in which their minimum level of liquidity will be maintained. Many financial instruments have a high level of liquidity, including:</w:t>
      </w:r>
    </w:p>
    <w:p w14:paraId="426CF55D" w14:textId="77663317" w:rsidR="0005562C" w:rsidRPr="001C19A5" w:rsidRDefault="0005562C" w:rsidP="001A3223">
      <w:pPr>
        <w:pStyle w:val="ListParagraph"/>
        <w:numPr>
          <w:ilvl w:val="0"/>
          <w:numId w:val="17"/>
        </w:numPr>
        <w:spacing w:before="0" w:after="40" w:line="0" w:lineRule="atLeast"/>
        <w:ind w:left="851" w:hanging="425"/>
        <w:rPr>
          <w:rFonts w:asciiTheme="minorHAnsi" w:hAnsiTheme="minorHAnsi" w:cs="Arial"/>
          <w:sz w:val="24"/>
          <w:szCs w:val="24"/>
        </w:rPr>
      </w:pPr>
      <w:r w:rsidRPr="001C19A5">
        <w:rPr>
          <w:rFonts w:asciiTheme="minorHAnsi" w:hAnsiTheme="minorHAnsi" w:cs="Arial"/>
          <w:sz w:val="24"/>
          <w:szCs w:val="24"/>
        </w:rPr>
        <w:t>cash</w:t>
      </w:r>
    </w:p>
    <w:p w14:paraId="690DBBDC" w14:textId="26C2F91C" w:rsidR="0005562C" w:rsidRPr="001C19A5" w:rsidRDefault="0005562C" w:rsidP="001A3223">
      <w:pPr>
        <w:pStyle w:val="ListParagraph"/>
        <w:numPr>
          <w:ilvl w:val="0"/>
          <w:numId w:val="17"/>
        </w:numPr>
        <w:spacing w:before="0" w:after="40" w:line="0" w:lineRule="atLeast"/>
        <w:ind w:left="851" w:hanging="425"/>
        <w:rPr>
          <w:rFonts w:asciiTheme="minorHAnsi" w:hAnsiTheme="minorHAnsi" w:cs="Arial"/>
          <w:sz w:val="24"/>
          <w:szCs w:val="24"/>
        </w:rPr>
      </w:pPr>
      <w:r w:rsidRPr="001C19A5">
        <w:rPr>
          <w:rFonts w:asciiTheme="minorHAnsi" w:hAnsiTheme="minorHAnsi" w:cs="Arial"/>
          <w:sz w:val="24"/>
          <w:szCs w:val="24"/>
        </w:rPr>
        <w:t>bank bills</w:t>
      </w:r>
    </w:p>
    <w:p w14:paraId="4EECE746" w14:textId="20DB7579" w:rsidR="0005562C" w:rsidRPr="001C19A5" w:rsidRDefault="0005562C" w:rsidP="001A3223">
      <w:pPr>
        <w:pStyle w:val="ListParagraph"/>
        <w:numPr>
          <w:ilvl w:val="0"/>
          <w:numId w:val="17"/>
        </w:numPr>
        <w:spacing w:before="0" w:after="40" w:line="0" w:lineRule="atLeast"/>
        <w:ind w:left="851" w:hanging="425"/>
        <w:rPr>
          <w:rFonts w:asciiTheme="minorHAnsi" w:hAnsiTheme="minorHAnsi" w:cs="Arial"/>
          <w:sz w:val="24"/>
          <w:szCs w:val="24"/>
        </w:rPr>
      </w:pPr>
      <w:r w:rsidRPr="001C19A5">
        <w:rPr>
          <w:rFonts w:asciiTheme="minorHAnsi" w:hAnsiTheme="minorHAnsi" w:cs="Arial"/>
          <w:sz w:val="24"/>
          <w:szCs w:val="24"/>
        </w:rPr>
        <w:t>stand-by lines of credit</w:t>
      </w:r>
    </w:p>
    <w:p w14:paraId="71714809" w14:textId="75FEB296" w:rsidR="0005562C" w:rsidRPr="001C19A5" w:rsidRDefault="0005562C" w:rsidP="001A3223">
      <w:pPr>
        <w:pStyle w:val="ListParagraph"/>
        <w:numPr>
          <w:ilvl w:val="0"/>
          <w:numId w:val="17"/>
        </w:numPr>
        <w:spacing w:before="0" w:after="120" w:line="0" w:lineRule="atLeast"/>
        <w:ind w:left="851" w:hanging="425"/>
        <w:rPr>
          <w:rFonts w:asciiTheme="minorHAnsi" w:hAnsiTheme="minorHAnsi" w:cs="Arial"/>
          <w:sz w:val="24"/>
          <w:szCs w:val="24"/>
        </w:rPr>
      </w:pPr>
      <w:r w:rsidRPr="001C19A5">
        <w:rPr>
          <w:rFonts w:asciiTheme="minorHAnsi" w:hAnsiTheme="minorHAnsi" w:cs="Arial"/>
          <w:sz w:val="24"/>
          <w:szCs w:val="24"/>
        </w:rPr>
        <w:t>guarantees</w:t>
      </w:r>
    </w:p>
    <w:p w14:paraId="21E578C8" w14:textId="38DF66FD" w:rsidR="0005562C" w:rsidRPr="00C61320" w:rsidRDefault="0005562C" w:rsidP="0005562C">
      <w:pPr>
        <w:pStyle w:val="NormalWeb"/>
        <w:spacing w:line="0" w:lineRule="atLeast"/>
        <w:rPr>
          <w:rFonts w:asciiTheme="minorHAnsi" w:eastAsia="Calibri" w:hAnsiTheme="minorHAnsi" w:cs="Arial"/>
          <w:i/>
          <w:iCs/>
          <w:lang w:eastAsia="en-US"/>
        </w:rPr>
      </w:pPr>
      <w:r w:rsidRPr="00C61320">
        <w:rPr>
          <w:rFonts w:asciiTheme="minorHAnsi" w:eastAsia="Calibri" w:hAnsiTheme="minorHAnsi" w:cs="Arial"/>
          <w:i/>
          <w:iCs/>
          <w:lang w:eastAsia="en-US"/>
        </w:rPr>
        <w:t xml:space="preserve">Letters of comfort do not provide a form of liquidity suitable to meet the </w:t>
      </w:r>
      <w:r w:rsidR="00702099" w:rsidRPr="00C61320">
        <w:rPr>
          <w:rFonts w:asciiTheme="minorHAnsi" w:eastAsia="Calibri" w:hAnsiTheme="minorHAnsi" w:cs="Arial"/>
          <w:i/>
          <w:iCs/>
          <w:lang w:eastAsia="en-US"/>
        </w:rPr>
        <w:t>L</w:t>
      </w:r>
      <w:r w:rsidRPr="00C61320">
        <w:rPr>
          <w:rFonts w:asciiTheme="minorHAnsi" w:eastAsia="Calibri" w:hAnsiTheme="minorHAnsi" w:cs="Arial"/>
          <w:i/>
          <w:iCs/>
          <w:lang w:eastAsia="en-US"/>
        </w:rPr>
        <w:t xml:space="preserve">iquidity </w:t>
      </w:r>
      <w:r w:rsidR="00702099" w:rsidRPr="00C61320">
        <w:rPr>
          <w:rFonts w:asciiTheme="minorHAnsi" w:eastAsia="Calibri" w:hAnsiTheme="minorHAnsi" w:cs="Arial"/>
          <w:i/>
          <w:iCs/>
          <w:lang w:eastAsia="en-US"/>
        </w:rPr>
        <w:t>S</w:t>
      </w:r>
      <w:r w:rsidRPr="00C61320">
        <w:rPr>
          <w:rFonts w:asciiTheme="minorHAnsi" w:eastAsia="Calibri" w:hAnsiTheme="minorHAnsi" w:cs="Arial"/>
          <w:i/>
          <w:iCs/>
          <w:lang w:eastAsia="en-US"/>
        </w:rPr>
        <w:t>tandard.</w:t>
      </w:r>
    </w:p>
    <w:p w14:paraId="7B575FB4" w14:textId="77777777" w:rsidR="0005562C" w:rsidRPr="001C19A5" w:rsidRDefault="0005562C" w:rsidP="0005562C">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In considering the form(s) in which they hold their minimum level of liquidity, providers may also wish to consider cost issues. The cost to providers could be considered in terms of both the actual cost of accessing the funds (that is, the actual cost of the transaction) and the economic cost (the difference between the purchase price and the price realised on disposal). For example, liquid instruments such as cash and financial products like term deposits have relatively low costs as the fee for accessing them is not significant and they can be redeemed at their face value.</w:t>
      </w:r>
    </w:p>
    <w:p w14:paraId="61FF6E6E" w14:textId="0FC2EE22" w:rsidR="0005562C" w:rsidRPr="002B7CED" w:rsidRDefault="0005562C" w:rsidP="002B7CED">
      <w:pPr>
        <w:spacing w:before="200" w:after="0"/>
        <w:rPr>
          <w:b/>
          <w:bCs/>
          <w:color w:val="0070C0"/>
          <w:sz w:val="26"/>
          <w:szCs w:val="26"/>
        </w:rPr>
      </w:pPr>
      <w:r w:rsidRPr="002B7CED">
        <w:rPr>
          <w:b/>
          <w:bCs/>
          <w:color w:val="0070C0"/>
          <w:sz w:val="26"/>
          <w:szCs w:val="26"/>
        </w:rPr>
        <w:t xml:space="preserve">Review of Liquidity Management Strategy </w:t>
      </w:r>
    </w:p>
    <w:p w14:paraId="17FF0808" w14:textId="091CE375" w:rsidR="0005562C" w:rsidRPr="001C19A5" w:rsidRDefault="0005562C" w:rsidP="00C61320">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The Liquidity Standard requires providers to</w:t>
      </w:r>
      <w:r w:rsidR="0047362E">
        <w:rPr>
          <w:rFonts w:asciiTheme="minorHAnsi" w:eastAsia="Calibri" w:hAnsiTheme="minorHAnsi" w:cs="Arial"/>
          <w:lang w:eastAsia="en-US"/>
        </w:rPr>
        <w:t xml:space="preserve"> </w:t>
      </w:r>
      <w:r w:rsidRPr="001C19A5">
        <w:rPr>
          <w:rFonts w:asciiTheme="minorHAnsi" w:hAnsiTheme="minorHAnsi" w:cs="Arial"/>
        </w:rPr>
        <w:t>ensure that the LMS remains up-to-date and complies with the requirements of the Liquidity Standard</w:t>
      </w:r>
      <w:r w:rsidR="0047362E">
        <w:rPr>
          <w:rFonts w:asciiTheme="minorHAnsi" w:hAnsiTheme="minorHAnsi" w:cs="Arial"/>
        </w:rPr>
        <w:t xml:space="preserve">. </w:t>
      </w:r>
      <w:r w:rsidRPr="001C19A5">
        <w:rPr>
          <w:rFonts w:asciiTheme="minorHAnsi" w:eastAsia="Calibri" w:hAnsiTheme="minorHAnsi" w:cs="Arial"/>
          <w:lang w:eastAsia="en-US"/>
        </w:rPr>
        <w:t xml:space="preserve">Providers should review the LMS at least </w:t>
      </w:r>
      <w:r w:rsidRPr="001C19A5">
        <w:rPr>
          <w:rFonts w:asciiTheme="minorHAnsi" w:eastAsia="Calibri" w:hAnsiTheme="minorHAnsi" w:cs="Arial"/>
          <w:lang w:eastAsia="en-US"/>
        </w:rPr>
        <w:lastRenderedPageBreak/>
        <w:t>annually. This review should include an assessment of whether the factors used to determine the minimum level of liquidity are still appropriate. Providers should consider:</w:t>
      </w:r>
    </w:p>
    <w:p w14:paraId="2DE3CE75" w14:textId="670D91A8" w:rsidR="0005562C" w:rsidRPr="001C19A5" w:rsidRDefault="0005562C" w:rsidP="001A3223">
      <w:pPr>
        <w:pStyle w:val="ListParagraph"/>
        <w:numPr>
          <w:ilvl w:val="0"/>
          <w:numId w:val="7"/>
        </w:numPr>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 xml:space="preserve">whether changes in services they </w:t>
      </w:r>
      <w:r w:rsidR="000A58DC" w:rsidRPr="001C19A5">
        <w:rPr>
          <w:rFonts w:asciiTheme="minorHAnsi" w:hAnsiTheme="minorHAnsi" w:cs="Arial"/>
          <w:sz w:val="24"/>
          <w:szCs w:val="24"/>
        </w:rPr>
        <w:t>operate,</w:t>
      </w:r>
      <w:r w:rsidRPr="001C19A5">
        <w:rPr>
          <w:rFonts w:asciiTheme="minorHAnsi" w:hAnsiTheme="minorHAnsi" w:cs="Arial"/>
          <w:sz w:val="24"/>
          <w:szCs w:val="24"/>
        </w:rPr>
        <w:t xml:space="preserve"> or the profile of their residents</w:t>
      </w:r>
      <w:r w:rsidR="00C25FBD">
        <w:rPr>
          <w:rFonts w:asciiTheme="minorHAnsi" w:hAnsiTheme="minorHAnsi" w:cs="Arial"/>
          <w:sz w:val="24"/>
          <w:szCs w:val="24"/>
        </w:rPr>
        <w:t>,</w:t>
      </w:r>
      <w:r w:rsidRPr="001C19A5">
        <w:rPr>
          <w:rFonts w:asciiTheme="minorHAnsi" w:hAnsiTheme="minorHAnsi" w:cs="Arial"/>
          <w:sz w:val="24"/>
          <w:szCs w:val="24"/>
        </w:rPr>
        <w:t xml:space="preserve"> require variations to the factors included in the LMS</w:t>
      </w:r>
    </w:p>
    <w:p w14:paraId="17743726" w14:textId="44D629C7" w:rsidR="0005562C" w:rsidRPr="001C19A5" w:rsidRDefault="0005562C" w:rsidP="001A3223">
      <w:pPr>
        <w:pStyle w:val="ListParagraph"/>
        <w:numPr>
          <w:ilvl w:val="0"/>
          <w:numId w:val="7"/>
        </w:numPr>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whether parameters or assumptions such as the size of refundable deposits and bonds received from new residents should be adjusted</w:t>
      </w:r>
    </w:p>
    <w:p w14:paraId="60745BB5" w14:textId="77777777" w:rsidR="0005562C" w:rsidRPr="001C19A5" w:rsidRDefault="0005562C" w:rsidP="001A3223">
      <w:pPr>
        <w:pStyle w:val="ListParagraph"/>
        <w:numPr>
          <w:ilvl w:val="0"/>
          <w:numId w:val="7"/>
        </w:numPr>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 xml:space="preserve">whether to include events in the LMS that would trigger a review outside of an annual review cycle. These events may increase the risk that they would not have the liquidity to meet refundable deposits and bond balance refunds over the coming 12 months. They include: </w:t>
      </w:r>
    </w:p>
    <w:p w14:paraId="6AEF23B7" w14:textId="489CDCF9"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acquisition or divestment of residential services</w:t>
      </w:r>
    </w:p>
    <w:p w14:paraId="733A1212" w14:textId="63DDA201"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a significant change in the allocated places within a residential service</w:t>
      </w:r>
    </w:p>
    <w:p w14:paraId="15D440A4" w14:textId="05713A7E"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a significant change in the profile of residents</w:t>
      </w:r>
    </w:p>
    <w:p w14:paraId="0AC0900D" w14:textId="759F9056"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a significant change in the size of refundable deposits and bonds received</w:t>
      </w:r>
    </w:p>
    <w:p w14:paraId="1862E63E" w14:textId="736B476A"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changes in legislative requirements</w:t>
      </w:r>
    </w:p>
    <w:p w14:paraId="25278FBF" w14:textId="060E2F46" w:rsidR="0005562C" w:rsidRPr="00B35C39" w:rsidRDefault="0005562C" w:rsidP="00B35C39">
      <w:pPr>
        <w:pStyle w:val="Default"/>
        <w:numPr>
          <w:ilvl w:val="1"/>
          <w:numId w:val="108"/>
        </w:numPr>
        <w:spacing w:before="0" w:after="0"/>
        <w:ind w:left="1154"/>
        <w:rPr>
          <w:rFonts w:cs="Calibri"/>
          <w:color w:val="313131"/>
          <w:shd w:val="clear" w:color="auto" w:fill="FFFFFF"/>
        </w:rPr>
      </w:pPr>
      <w:r w:rsidRPr="00B35C39">
        <w:rPr>
          <w:rFonts w:ascii="Calibri" w:hAnsi="Calibri" w:cs="Calibri"/>
          <w:color w:val="313131"/>
          <w:shd w:val="clear" w:color="auto" w:fill="FFFFFF"/>
        </w:rPr>
        <w:t>changes in the corporate structure of the provider</w:t>
      </w:r>
    </w:p>
    <w:p w14:paraId="79C26734" w14:textId="573B410C" w:rsidR="0005562C" w:rsidRPr="002B7CED" w:rsidRDefault="0005562C" w:rsidP="002B7CED">
      <w:pPr>
        <w:spacing w:before="200" w:after="0"/>
        <w:rPr>
          <w:b/>
          <w:bCs/>
          <w:color w:val="0070C0"/>
          <w:sz w:val="26"/>
          <w:szCs w:val="26"/>
        </w:rPr>
      </w:pPr>
      <w:r w:rsidRPr="002B7CED">
        <w:rPr>
          <w:b/>
          <w:bCs/>
          <w:color w:val="0070C0"/>
          <w:sz w:val="26"/>
          <w:szCs w:val="26"/>
        </w:rPr>
        <w:t>Things you need to know</w:t>
      </w:r>
    </w:p>
    <w:p w14:paraId="31FE2768" w14:textId="77777777" w:rsidR="0005562C" w:rsidRPr="001C19A5" w:rsidRDefault="0005562C" w:rsidP="00C61320">
      <w:pPr>
        <w:pStyle w:val="NormalWeb"/>
        <w:spacing w:after="120" w:line="240" w:lineRule="auto"/>
        <w:rPr>
          <w:rFonts w:asciiTheme="minorHAnsi" w:hAnsiTheme="minorHAnsi" w:cs="Arial"/>
        </w:rPr>
      </w:pPr>
      <w:r w:rsidRPr="001C19A5">
        <w:rPr>
          <w:rFonts w:asciiTheme="minorHAnsi" w:hAnsiTheme="minorHAnsi" w:cs="Arial"/>
        </w:rPr>
        <w:t>The approach to documenting the LMS is a matter for individual providers. In determining their approach, providers should consider:</w:t>
      </w:r>
    </w:p>
    <w:p w14:paraId="7E3AA1CF" w14:textId="02AE4A76" w:rsidR="0005562C" w:rsidRPr="001C19A5" w:rsidRDefault="0005562C" w:rsidP="001A3223">
      <w:pPr>
        <w:pStyle w:val="ListParagraph"/>
        <w:numPr>
          <w:ilvl w:val="0"/>
          <w:numId w:val="18"/>
        </w:numPr>
        <w:spacing w:before="0" w:after="40" w:line="0" w:lineRule="atLeast"/>
        <w:ind w:left="851" w:hanging="425"/>
        <w:rPr>
          <w:rFonts w:asciiTheme="minorHAnsi" w:hAnsiTheme="minorHAnsi" w:cs="Arial"/>
          <w:sz w:val="24"/>
          <w:szCs w:val="24"/>
        </w:rPr>
      </w:pPr>
      <w:r w:rsidRPr="001C19A5">
        <w:rPr>
          <w:rFonts w:asciiTheme="minorHAnsi" w:hAnsiTheme="minorHAnsi" w:cs="Arial"/>
          <w:sz w:val="24"/>
          <w:szCs w:val="24"/>
        </w:rPr>
        <w:t>that they must be able to demonstrate their compliance with the Liquidity Standard to their auditor</w:t>
      </w:r>
    </w:p>
    <w:p w14:paraId="2A5E8B05" w14:textId="4D785611" w:rsidR="0005562C" w:rsidRPr="001C19A5" w:rsidRDefault="0005562C" w:rsidP="001A3223">
      <w:pPr>
        <w:pStyle w:val="ListParagraph"/>
        <w:numPr>
          <w:ilvl w:val="0"/>
          <w:numId w:val="18"/>
        </w:numPr>
        <w:spacing w:before="0" w:after="120" w:line="0" w:lineRule="atLeast"/>
        <w:ind w:left="851" w:hanging="425"/>
        <w:rPr>
          <w:rFonts w:asciiTheme="minorHAnsi" w:hAnsiTheme="minorHAnsi" w:cs="Arial"/>
          <w:sz w:val="24"/>
          <w:szCs w:val="24"/>
        </w:rPr>
      </w:pPr>
      <w:r w:rsidRPr="001C19A5">
        <w:rPr>
          <w:rFonts w:asciiTheme="minorHAnsi" w:hAnsiTheme="minorHAnsi" w:cs="Arial"/>
          <w:sz w:val="24"/>
          <w:szCs w:val="24"/>
        </w:rPr>
        <w:t xml:space="preserve">that the </w:t>
      </w:r>
      <w:r w:rsidR="00F16B98">
        <w:rPr>
          <w:rFonts w:asciiTheme="minorHAnsi" w:hAnsiTheme="minorHAnsi" w:cs="Arial"/>
          <w:sz w:val="24"/>
          <w:szCs w:val="24"/>
        </w:rPr>
        <w:t>provider may be requested to provide its</w:t>
      </w:r>
      <w:r w:rsidRPr="001C19A5">
        <w:rPr>
          <w:rFonts w:asciiTheme="minorHAnsi" w:hAnsiTheme="minorHAnsi" w:cs="Arial"/>
          <w:sz w:val="24"/>
          <w:szCs w:val="24"/>
        </w:rPr>
        <w:t xml:space="preserve"> LMS</w:t>
      </w:r>
      <w:r w:rsidR="00702099">
        <w:rPr>
          <w:rFonts w:asciiTheme="minorHAnsi" w:hAnsiTheme="minorHAnsi" w:cs="Arial"/>
          <w:sz w:val="24"/>
          <w:szCs w:val="24"/>
        </w:rPr>
        <w:t xml:space="preserve"> to the Commission</w:t>
      </w:r>
      <w:r w:rsidRPr="001C19A5">
        <w:rPr>
          <w:rFonts w:asciiTheme="minorHAnsi" w:hAnsiTheme="minorHAnsi" w:cs="Arial"/>
          <w:sz w:val="24"/>
          <w:szCs w:val="24"/>
        </w:rPr>
        <w:t xml:space="preserve"> for monitoring and compliance purposes at any time</w:t>
      </w:r>
    </w:p>
    <w:p w14:paraId="08080C5F"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37CF4BEA" w14:textId="0916D7C4" w:rsidR="00476203" w:rsidRPr="001C19A5" w:rsidRDefault="0005562C" w:rsidP="00476203">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 xml:space="preserve">After considering the information provided under Compliance with the Liquidity Standard, did you comply with </w:t>
      </w:r>
      <w:r w:rsidR="00FE7322">
        <w:rPr>
          <w:rFonts w:asciiTheme="minorHAnsi" w:hAnsiTheme="minorHAnsi" w:cs="Times New Roman"/>
          <w:sz w:val="24"/>
          <w:szCs w:val="24"/>
        </w:rPr>
        <w:t>all requirements of the</w:t>
      </w:r>
      <w:r w:rsidR="00FE7322" w:rsidRPr="001C19A5">
        <w:rPr>
          <w:rFonts w:asciiTheme="minorHAnsi" w:hAnsiTheme="minorHAnsi" w:cs="Times New Roman"/>
          <w:sz w:val="24"/>
          <w:szCs w:val="24"/>
        </w:rPr>
        <w:t xml:space="preserve"> </w:t>
      </w:r>
      <w:r w:rsidR="00FE7322">
        <w:rPr>
          <w:rFonts w:asciiTheme="minorHAnsi" w:hAnsiTheme="minorHAnsi" w:cs="Times New Roman"/>
          <w:sz w:val="24"/>
          <w:szCs w:val="24"/>
        </w:rPr>
        <w:t>L</w:t>
      </w:r>
      <w:r w:rsidRPr="001C19A5">
        <w:rPr>
          <w:rFonts w:asciiTheme="minorHAnsi" w:hAnsiTheme="minorHAnsi" w:cs="Times New Roman"/>
          <w:sz w:val="24"/>
          <w:szCs w:val="24"/>
        </w:rPr>
        <w:t xml:space="preserve">iquidity </w:t>
      </w:r>
      <w:r w:rsidR="00FE7322">
        <w:rPr>
          <w:rFonts w:asciiTheme="minorHAnsi" w:hAnsiTheme="minorHAnsi" w:cs="Times New Roman"/>
          <w:sz w:val="24"/>
          <w:szCs w:val="24"/>
        </w:rPr>
        <w:t>S</w:t>
      </w:r>
      <w:r w:rsidRPr="001C19A5">
        <w:rPr>
          <w:rFonts w:asciiTheme="minorHAnsi" w:hAnsiTheme="minorHAnsi" w:cs="Times New Roman"/>
          <w:sz w:val="24"/>
          <w:szCs w:val="24"/>
        </w:rPr>
        <w:t xml:space="preserve">tandard for the full </w:t>
      </w:r>
      <w:r w:rsidR="00F16B98">
        <w:rPr>
          <w:rFonts w:asciiTheme="minorHAnsi" w:hAnsiTheme="minorHAnsi" w:cs="Times New Roman"/>
          <w:sz w:val="24"/>
          <w:szCs w:val="24"/>
        </w:rPr>
        <w:t xml:space="preserve">financial </w:t>
      </w:r>
      <w:r w:rsidRPr="001C19A5">
        <w:rPr>
          <w:rFonts w:asciiTheme="minorHAnsi" w:hAnsiTheme="minorHAnsi" w:cs="Times New Roman"/>
          <w:sz w:val="24"/>
          <w:szCs w:val="24"/>
        </w:rPr>
        <w:t xml:space="preserve">year? </w:t>
      </w:r>
    </w:p>
    <w:p w14:paraId="672D95A0" w14:textId="6D7ED92A" w:rsidR="0005562C" w:rsidRDefault="0005562C" w:rsidP="00476203">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Respond Yes or No</w:t>
      </w:r>
      <w:r w:rsidR="00501063">
        <w:rPr>
          <w:rFonts w:asciiTheme="minorHAnsi" w:hAnsiTheme="minorHAnsi" w:cs="Times New Roman"/>
          <w:sz w:val="24"/>
          <w:szCs w:val="24"/>
        </w:rPr>
        <w:t xml:space="preserve"> and </w:t>
      </w:r>
      <w:r w:rsidR="002E0B09">
        <w:rPr>
          <w:rFonts w:asciiTheme="minorHAnsi" w:hAnsiTheme="minorHAnsi" w:cs="Times New Roman"/>
          <w:sz w:val="24"/>
          <w:szCs w:val="24"/>
        </w:rPr>
        <w:t>enter</w:t>
      </w:r>
      <w:r w:rsidR="00501063">
        <w:rPr>
          <w:rFonts w:asciiTheme="minorHAnsi" w:hAnsiTheme="minorHAnsi" w:cs="Times New Roman"/>
          <w:sz w:val="24"/>
          <w:szCs w:val="24"/>
        </w:rPr>
        <w:t xml:space="preserve"> the date that your </w:t>
      </w:r>
      <w:r w:rsidR="00702099">
        <w:rPr>
          <w:rFonts w:asciiTheme="minorHAnsi" w:hAnsiTheme="minorHAnsi" w:cs="Times New Roman"/>
          <w:sz w:val="24"/>
          <w:szCs w:val="24"/>
        </w:rPr>
        <w:t xml:space="preserve">LMS </w:t>
      </w:r>
      <w:r w:rsidR="00501063">
        <w:rPr>
          <w:rFonts w:asciiTheme="minorHAnsi" w:hAnsiTheme="minorHAnsi" w:cs="Times New Roman"/>
          <w:sz w:val="24"/>
          <w:szCs w:val="24"/>
        </w:rPr>
        <w:t>was last reviewed, updated or replaced.</w:t>
      </w:r>
      <w:r w:rsidR="00382BA4">
        <w:rPr>
          <w:rFonts w:asciiTheme="minorHAnsi" w:hAnsiTheme="minorHAnsi" w:cs="Times New Roman"/>
          <w:sz w:val="24"/>
          <w:szCs w:val="24"/>
        </w:rPr>
        <w:t xml:space="preserve"> </w:t>
      </w:r>
      <w:r w:rsidR="0027561B" w:rsidRPr="001C19A5">
        <w:rPr>
          <w:rFonts w:asciiTheme="minorHAnsi" w:hAnsiTheme="minorHAnsi" w:cs="Times New Roman"/>
          <w:sz w:val="24"/>
          <w:szCs w:val="24"/>
        </w:rPr>
        <w:t>If you answered ‘NO’ you must submit a separate statement explaining why you have not complied with the Standard.</w:t>
      </w:r>
    </w:p>
    <w:p w14:paraId="282B43CD" w14:textId="77777777" w:rsidR="0005562C" w:rsidRPr="00B34BF1" w:rsidRDefault="00F829B4" w:rsidP="00614AD7">
      <w:pPr>
        <w:pStyle w:val="Heading2"/>
        <w:spacing w:before="360"/>
        <w:rPr>
          <w:rFonts w:asciiTheme="minorHAnsi" w:hAnsiTheme="minorHAnsi"/>
          <w:color w:val="0070C0"/>
        </w:rPr>
      </w:pPr>
      <w:r w:rsidRPr="00B34BF1">
        <w:rPr>
          <w:rFonts w:asciiTheme="minorHAnsi" w:hAnsiTheme="minorHAnsi"/>
          <w:color w:val="0070C0"/>
        </w:rPr>
        <w:t xml:space="preserve">COMPLIANCE WITH THE RECORDS STANDARD </w:t>
      </w:r>
    </w:p>
    <w:p w14:paraId="1ED4CF3D" w14:textId="663AA664" w:rsidR="0005562C" w:rsidRPr="001C19A5" w:rsidRDefault="0005562C" w:rsidP="0005562C">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 xml:space="preserve">The Records Standard is designed to ensure that accurate, comprehensive and up-to-date information on </w:t>
      </w:r>
      <w:r w:rsidR="00D11CFC">
        <w:rPr>
          <w:rFonts w:asciiTheme="minorHAnsi" w:eastAsia="Calibri" w:hAnsiTheme="minorHAnsi" w:cs="Arial"/>
          <w:lang w:eastAsia="en-US"/>
        </w:rPr>
        <w:t xml:space="preserve">entry contributions, </w:t>
      </w:r>
      <w:r w:rsidRPr="001C19A5">
        <w:rPr>
          <w:rFonts w:asciiTheme="minorHAnsi" w:eastAsia="Calibri" w:hAnsiTheme="minorHAnsi" w:cs="Arial"/>
          <w:lang w:eastAsia="en-US"/>
        </w:rPr>
        <w:t>bond holdings</w:t>
      </w:r>
      <w:r w:rsidR="00B85DD2" w:rsidRPr="001C19A5">
        <w:rPr>
          <w:rFonts w:asciiTheme="minorHAnsi" w:eastAsia="Calibri" w:hAnsiTheme="minorHAnsi" w:cs="Arial"/>
          <w:lang w:eastAsia="en-US"/>
        </w:rPr>
        <w:t xml:space="preserve"> and refundable deposits is </w:t>
      </w:r>
      <w:r w:rsidRPr="001C19A5">
        <w:rPr>
          <w:rFonts w:asciiTheme="minorHAnsi" w:eastAsia="Calibri" w:hAnsiTheme="minorHAnsi" w:cs="Arial"/>
          <w:lang w:eastAsia="en-US"/>
        </w:rPr>
        <w:t>collected and maintained.</w:t>
      </w:r>
    </w:p>
    <w:p w14:paraId="651F20BD" w14:textId="77777777" w:rsidR="0005562C" w:rsidRPr="001C19A5" w:rsidRDefault="0005562C" w:rsidP="0005562C">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An accurate record of these payments will help providers to refund balances within required timeframes once a resident leaves a service.</w:t>
      </w:r>
    </w:p>
    <w:p w14:paraId="7637DABC" w14:textId="772FD96A" w:rsidR="0005562C" w:rsidRPr="001C19A5" w:rsidRDefault="0005562C" w:rsidP="00C61320">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 xml:space="preserve">Under the Records Standard, all providers holding </w:t>
      </w:r>
      <w:r w:rsidR="00D11CFC">
        <w:rPr>
          <w:rFonts w:asciiTheme="minorHAnsi" w:eastAsia="Calibri" w:hAnsiTheme="minorHAnsi" w:cs="Arial"/>
          <w:lang w:eastAsia="en-US"/>
        </w:rPr>
        <w:t xml:space="preserve">entry contributions, </w:t>
      </w:r>
      <w:r w:rsidRPr="001C19A5">
        <w:rPr>
          <w:rFonts w:asciiTheme="minorHAnsi" w:eastAsia="Calibri" w:hAnsiTheme="minorHAnsi" w:cs="Arial"/>
          <w:lang w:eastAsia="en-US"/>
        </w:rPr>
        <w:t>bonds or refundable deposits must establish and maintain a refundable deposit register</w:t>
      </w:r>
      <w:r w:rsidR="008222AD">
        <w:rPr>
          <w:rFonts w:asciiTheme="minorHAnsi" w:eastAsia="Calibri" w:hAnsiTheme="minorHAnsi" w:cs="Arial"/>
          <w:lang w:eastAsia="en-US"/>
        </w:rPr>
        <w:t xml:space="preserve"> (register)</w:t>
      </w:r>
      <w:r w:rsidRPr="001C19A5">
        <w:rPr>
          <w:rFonts w:asciiTheme="minorHAnsi" w:eastAsia="Calibri" w:hAnsiTheme="minorHAnsi" w:cs="Arial"/>
          <w:lang w:eastAsia="en-US"/>
        </w:rPr>
        <w:t>:</w:t>
      </w:r>
    </w:p>
    <w:p w14:paraId="57CF4399" w14:textId="3D8FA42C" w:rsidR="0005562C" w:rsidRPr="001C19A5" w:rsidRDefault="0005562C" w:rsidP="001A3223">
      <w:pPr>
        <w:numPr>
          <w:ilvl w:val="0"/>
          <w:numId w:val="22"/>
        </w:numPr>
        <w:tabs>
          <w:tab w:val="clear" w:pos="720"/>
        </w:tabs>
        <w:spacing w:after="40" w:line="240" w:lineRule="auto"/>
        <w:ind w:left="851" w:hanging="425"/>
        <w:rPr>
          <w:rFonts w:cs="Arial"/>
          <w:sz w:val="24"/>
          <w:szCs w:val="24"/>
        </w:rPr>
      </w:pPr>
      <w:r w:rsidRPr="001C19A5">
        <w:rPr>
          <w:rFonts w:cs="Arial"/>
          <w:sz w:val="24"/>
          <w:szCs w:val="24"/>
        </w:rPr>
        <w:t>The register may be maintained at a service level or at provider level. However, for the Annual Prudential Compliance Statement, providers must report at provider level, referring to the name and number of services covered by the statement</w:t>
      </w:r>
      <w:r w:rsidR="00E0373B">
        <w:rPr>
          <w:rFonts w:cs="Arial"/>
          <w:sz w:val="24"/>
          <w:szCs w:val="24"/>
        </w:rPr>
        <w:t>.</w:t>
      </w:r>
    </w:p>
    <w:p w14:paraId="4561349A" w14:textId="5B71B6FA" w:rsidR="0005562C" w:rsidRPr="001C19A5" w:rsidRDefault="0005562C" w:rsidP="001A3223">
      <w:pPr>
        <w:numPr>
          <w:ilvl w:val="0"/>
          <w:numId w:val="22"/>
        </w:numPr>
        <w:tabs>
          <w:tab w:val="clear" w:pos="720"/>
        </w:tabs>
        <w:spacing w:after="40" w:line="240" w:lineRule="auto"/>
        <w:ind w:left="851" w:hanging="425"/>
        <w:rPr>
          <w:rFonts w:cs="Arial"/>
          <w:sz w:val="24"/>
          <w:szCs w:val="24"/>
        </w:rPr>
      </w:pPr>
      <w:r w:rsidRPr="001C19A5">
        <w:rPr>
          <w:rFonts w:cs="Arial"/>
          <w:sz w:val="24"/>
          <w:szCs w:val="24"/>
        </w:rPr>
        <w:t xml:space="preserve">If a resident has paid partly by lump sum and partly by daily accommodation payments or periodic payments, an entry on the register, including all of the information detailed below, must be made for the lump sum component of the bond/deposit. A provider </w:t>
      </w:r>
      <w:r w:rsidRPr="001C19A5">
        <w:rPr>
          <w:rFonts w:cs="Arial"/>
          <w:sz w:val="24"/>
          <w:szCs w:val="24"/>
        </w:rPr>
        <w:lastRenderedPageBreak/>
        <w:t>might also voluntarily include additional information in the register about the periodic payments</w:t>
      </w:r>
    </w:p>
    <w:p w14:paraId="3D2BC0A0" w14:textId="037AD9CA" w:rsidR="0005562C" w:rsidRPr="001C19A5" w:rsidRDefault="0005562C" w:rsidP="001A3223">
      <w:pPr>
        <w:numPr>
          <w:ilvl w:val="0"/>
          <w:numId w:val="22"/>
        </w:numPr>
        <w:tabs>
          <w:tab w:val="clear" w:pos="720"/>
        </w:tabs>
        <w:spacing w:after="40" w:line="240" w:lineRule="auto"/>
        <w:ind w:left="851" w:hanging="425"/>
        <w:rPr>
          <w:rFonts w:cs="Arial"/>
          <w:sz w:val="24"/>
          <w:szCs w:val="24"/>
        </w:rPr>
      </w:pPr>
      <w:r w:rsidRPr="001C19A5">
        <w:rPr>
          <w:rFonts w:cs="Arial"/>
          <w:sz w:val="24"/>
          <w:szCs w:val="24"/>
        </w:rPr>
        <w:t>The register may be kept in hard copy or electronic form. The register will contain personal information that should be protected by the provider (see section 45, Fees and Payments Principles)</w:t>
      </w:r>
    </w:p>
    <w:p w14:paraId="52899B4E" w14:textId="026B669F" w:rsidR="0005562C" w:rsidRPr="001C19A5" w:rsidRDefault="0005562C" w:rsidP="001A3223">
      <w:pPr>
        <w:numPr>
          <w:ilvl w:val="0"/>
          <w:numId w:val="22"/>
        </w:numPr>
        <w:tabs>
          <w:tab w:val="clear" w:pos="720"/>
        </w:tabs>
        <w:spacing w:after="0" w:line="240" w:lineRule="auto"/>
        <w:ind w:left="850" w:hanging="425"/>
        <w:rPr>
          <w:rFonts w:cs="Arial"/>
          <w:sz w:val="24"/>
          <w:szCs w:val="24"/>
        </w:rPr>
      </w:pPr>
      <w:r w:rsidRPr="001C19A5">
        <w:rPr>
          <w:rFonts w:cs="Arial"/>
          <w:sz w:val="24"/>
          <w:szCs w:val="24"/>
        </w:rPr>
        <w:t xml:space="preserve">Historical register entries should be kept for a minimum of three years, after the 30 June of the year in which the record was made, as should other records detailed in section 88-1, the Act and in the </w:t>
      </w:r>
      <w:r w:rsidRPr="001A06F2">
        <w:rPr>
          <w:rFonts w:cs="Arial"/>
          <w:i/>
          <w:sz w:val="24"/>
          <w:szCs w:val="24"/>
        </w:rPr>
        <w:t>Records Principles 2014</w:t>
      </w:r>
    </w:p>
    <w:p w14:paraId="0417EFBB" w14:textId="3977CA21" w:rsidR="0005562C" w:rsidRPr="001C19A5" w:rsidRDefault="007D3F3D" w:rsidP="3A670EAA">
      <w:pPr>
        <w:spacing w:after="0"/>
        <w:rPr>
          <w:rStyle w:val="Strong"/>
          <w:b w:val="0"/>
          <w:bCs w:val="0"/>
          <w:i/>
          <w:iCs/>
          <w:sz w:val="18"/>
          <w:szCs w:val="18"/>
          <w:lang w:val="en-US"/>
        </w:rPr>
      </w:pPr>
      <w:r w:rsidRPr="3A670EAA">
        <w:rPr>
          <w:rStyle w:val="Strong"/>
          <w:color w:val="111111"/>
          <w:sz w:val="18"/>
          <w:szCs w:val="18"/>
          <w:lang w:val="en-US"/>
        </w:rPr>
        <w:t>R</w:t>
      </w:r>
      <w:r w:rsidR="0005562C" w:rsidRPr="3A670EAA">
        <w:rPr>
          <w:rStyle w:val="Strong"/>
          <w:color w:val="111111"/>
          <w:sz w:val="18"/>
          <w:szCs w:val="18"/>
          <w:lang w:val="en-US"/>
        </w:rPr>
        <w:t>eference:</w:t>
      </w:r>
      <w:r w:rsidR="0005562C" w:rsidRPr="3A670EAA">
        <w:rPr>
          <w:color w:val="111111"/>
          <w:sz w:val="18"/>
          <w:szCs w:val="18"/>
          <w:lang w:val="en-US"/>
        </w:rPr>
        <w:t xml:space="preserve"> The Act </w:t>
      </w:r>
      <w:hyperlink r:id="rId21" w:anchor="_Toc406165029">
        <w:r w:rsidR="0005562C" w:rsidRPr="3A670EAA">
          <w:rPr>
            <w:rStyle w:val="Hyperlink"/>
            <w:color w:val="auto"/>
            <w:sz w:val="18"/>
            <w:szCs w:val="18"/>
            <w:u w:val="none"/>
            <w:lang w:val="en-US"/>
          </w:rPr>
          <w:t>section 88-1</w:t>
        </w:r>
      </w:hyperlink>
      <w:r w:rsidR="0005562C" w:rsidRPr="3A670EAA">
        <w:rPr>
          <w:sz w:val="18"/>
          <w:szCs w:val="18"/>
          <w:lang w:val="en-US"/>
        </w:rPr>
        <w:t xml:space="preserve">, </w:t>
      </w:r>
      <w:r w:rsidR="0005562C" w:rsidRPr="3A670EAA">
        <w:rPr>
          <w:color w:val="111111"/>
          <w:sz w:val="18"/>
          <w:szCs w:val="18"/>
          <w:lang w:val="en-US"/>
        </w:rPr>
        <w:t>Fees and Payments Principles section 45</w:t>
      </w:r>
      <w:r w:rsidR="00C2010B" w:rsidRPr="3A670EAA">
        <w:rPr>
          <w:color w:val="111111"/>
          <w:sz w:val="18"/>
          <w:szCs w:val="18"/>
          <w:lang w:val="en-US"/>
        </w:rPr>
        <w:t xml:space="preserve"> </w:t>
      </w:r>
      <w:r w:rsidR="001813B8" w:rsidRPr="3A670EAA">
        <w:rPr>
          <w:color w:val="111111"/>
          <w:sz w:val="18"/>
          <w:szCs w:val="18"/>
          <w:lang w:val="en-US"/>
        </w:rPr>
        <w:t>and</w:t>
      </w:r>
      <w:r w:rsidR="0005562C" w:rsidRPr="3A670EAA">
        <w:rPr>
          <w:i/>
          <w:iCs/>
          <w:color w:val="111111"/>
          <w:sz w:val="18"/>
          <w:szCs w:val="18"/>
          <w:lang w:val="en-US"/>
        </w:rPr>
        <w:t xml:space="preserve"> </w:t>
      </w:r>
      <w:hyperlink r:id="rId22">
        <w:r w:rsidR="0005562C" w:rsidRPr="3A670EAA">
          <w:rPr>
            <w:rStyle w:val="Hyperlink"/>
            <w:i/>
            <w:iCs/>
            <w:color w:val="auto"/>
            <w:sz w:val="18"/>
            <w:szCs w:val="18"/>
            <w:u w:val="none"/>
            <w:lang w:val="en-US"/>
          </w:rPr>
          <w:t>Records Principles 2014 </w:t>
        </w:r>
      </w:hyperlink>
    </w:p>
    <w:p w14:paraId="25549E18" w14:textId="77777777" w:rsidR="0005562C" w:rsidRPr="002B7CED" w:rsidRDefault="0005562C" w:rsidP="002B7CED">
      <w:pPr>
        <w:spacing w:before="200" w:after="0"/>
        <w:rPr>
          <w:b/>
          <w:bCs/>
          <w:color w:val="0070C0"/>
          <w:sz w:val="26"/>
          <w:szCs w:val="26"/>
        </w:rPr>
      </w:pPr>
      <w:r w:rsidRPr="002B7CED">
        <w:rPr>
          <w:b/>
          <w:bCs/>
          <w:color w:val="0070C0"/>
          <w:sz w:val="26"/>
          <w:szCs w:val="26"/>
        </w:rPr>
        <w:t>Information to be included in the refundable deposit register</w:t>
      </w:r>
    </w:p>
    <w:p w14:paraId="3A41CB4C" w14:textId="52BCEFE0" w:rsidR="0005562C" w:rsidRPr="001C19A5" w:rsidRDefault="00BA2C94" w:rsidP="00C61320">
      <w:pPr>
        <w:pStyle w:val="NormalWeb"/>
        <w:spacing w:after="120" w:line="240" w:lineRule="auto"/>
        <w:rPr>
          <w:rFonts w:asciiTheme="minorHAnsi" w:eastAsia="Calibri" w:hAnsiTheme="minorHAnsi" w:cs="Arial"/>
          <w:lang w:eastAsia="en-US"/>
        </w:rPr>
      </w:pPr>
      <w:r w:rsidRPr="00BA2C94">
        <w:rPr>
          <w:rFonts w:asciiTheme="minorHAnsi" w:eastAsia="Calibri" w:hAnsiTheme="minorHAnsi" w:cs="Arial"/>
          <w:lang w:eastAsia="en-US"/>
        </w:rPr>
        <w:t>T</w:t>
      </w:r>
      <w:r w:rsidR="009A2FDF" w:rsidRPr="00BA2C94">
        <w:rPr>
          <w:rFonts w:asciiTheme="minorHAnsi" w:eastAsia="Calibri" w:hAnsiTheme="minorHAnsi" w:cs="Arial"/>
          <w:lang w:eastAsia="en-US"/>
        </w:rPr>
        <w:t xml:space="preserve">he register </w:t>
      </w:r>
      <w:r>
        <w:rPr>
          <w:rFonts w:asciiTheme="minorHAnsi" w:eastAsia="Calibri" w:hAnsiTheme="minorHAnsi" w:cs="Arial"/>
          <w:lang w:eastAsia="en-US"/>
        </w:rPr>
        <w:t>must include</w:t>
      </w:r>
      <w:r w:rsidR="00BE13C9">
        <w:rPr>
          <w:rFonts w:asciiTheme="minorHAnsi" w:eastAsia="Calibri" w:hAnsiTheme="minorHAnsi" w:cs="Arial"/>
          <w:lang w:eastAsia="en-US"/>
        </w:rPr>
        <w:t xml:space="preserve">: </w:t>
      </w:r>
    </w:p>
    <w:p w14:paraId="596A16D9" w14:textId="4DF251C2" w:rsidR="00BE13C9" w:rsidRDefault="00BE13C9"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Pr>
          <w:rFonts w:asciiTheme="minorHAnsi" w:hAnsiTheme="minorHAnsi" w:cs="Arial"/>
          <w:sz w:val="24"/>
          <w:szCs w:val="24"/>
        </w:rPr>
        <w:t xml:space="preserve">resident name and </w:t>
      </w:r>
      <w:r w:rsidR="00086B94">
        <w:rPr>
          <w:rFonts w:asciiTheme="minorHAnsi" w:hAnsiTheme="minorHAnsi" w:cs="Arial"/>
          <w:sz w:val="24"/>
          <w:szCs w:val="24"/>
        </w:rPr>
        <w:t xml:space="preserve">resident </w:t>
      </w:r>
      <w:r>
        <w:rPr>
          <w:rFonts w:asciiTheme="minorHAnsi" w:hAnsiTheme="minorHAnsi" w:cs="Arial"/>
          <w:sz w:val="24"/>
          <w:szCs w:val="24"/>
        </w:rPr>
        <w:t>ID number</w:t>
      </w:r>
    </w:p>
    <w:p w14:paraId="0920EE84" w14:textId="3414814C" w:rsidR="0005562C" w:rsidRPr="001C19A5"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bond details</w:t>
      </w:r>
    </w:p>
    <w:p w14:paraId="4F6AF181" w14:textId="36D8BE97" w:rsidR="0005562C" w:rsidRPr="001C19A5"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refundable deposit details</w:t>
      </w:r>
    </w:p>
    <w:p w14:paraId="54BFBA81" w14:textId="7D86C8F8" w:rsidR="0005562C" w:rsidRPr="001C19A5"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the date the resident entered the service</w:t>
      </w:r>
    </w:p>
    <w:p w14:paraId="5A62BC21" w14:textId="0DC945C8" w:rsidR="0005562C" w:rsidRPr="001C19A5"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 xml:space="preserve">if </w:t>
      </w:r>
      <w:r w:rsidR="00702099">
        <w:rPr>
          <w:rFonts w:asciiTheme="minorHAnsi" w:hAnsiTheme="minorHAnsi" w:cs="Arial"/>
          <w:sz w:val="24"/>
          <w:szCs w:val="24"/>
        </w:rPr>
        <w:t>the</w:t>
      </w:r>
      <w:r w:rsidRPr="001C19A5">
        <w:rPr>
          <w:rFonts w:asciiTheme="minorHAnsi" w:hAnsiTheme="minorHAnsi" w:cs="Arial"/>
          <w:sz w:val="24"/>
          <w:szCs w:val="24"/>
        </w:rPr>
        <w:t xml:space="preserve"> resident is transferring from another service, the date the resident entered the original aged care service. This information is useful so that the current provider knows the period over which retention amounts may continue to be drawn. If a resident has moved a number of times, providers may wish to record any other relevant details that will enable them to determine when retention amounts should cease being drawn</w:t>
      </w:r>
    </w:p>
    <w:p w14:paraId="18D832F4" w14:textId="522FC5EF" w:rsidR="0005562C" w:rsidRPr="001C19A5"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 xml:space="preserve">the date </w:t>
      </w:r>
      <w:r w:rsidR="000459CC" w:rsidRPr="001C19A5">
        <w:rPr>
          <w:rFonts w:asciiTheme="minorHAnsi" w:hAnsiTheme="minorHAnsi" w:cs="Arial"/>
          <w:sz w:val="24"/>
          <w:szCs w:val="24"/>
        </w:rPr>
        <w:t>the resident paid the bond/deposit</w:t>
      </w:r>
      <w:r w:rsidRPr="001C19A5">
        <w:rPr>
          <w:rFonts w:asciiTheme="minorHAnsi" w:hAnsiTheme="minorHAnsi" w:cs="Arial"/>
          <w:sz w:val="24"/>
          <w:szCs w:val="24"/>
        </w:rPr>
        <w:t xml:space="preserve">. If a resident pays a bond/refundable deposit in more than one </w:t>
      </w:r>
      <w:r w:rsidR="00F131F3" w:rsidRPr="001C19A5">
        <w:rPr>
          <w:rFonts w:asciiTheme="minorHAnsi" w:hAnsiTheme="minorHAnsi" w:cs="Arial"/>
          <w:sz w:val="24"/>
          <w:szCs w:val="24"/>
        </w:rPr>
        <w:t>instalment</w:t>
      </w:r>
      <w:r w:rsidRPr="001C19A5">
        <w:rPr>
          <w:rFonts w:asciiTheme="minorHAnsi" w:hAnsiTheme="minorHAnsi" w:cs="Arial"/>
          <w:sz w:val="24"/>
          <w:szCs w:val="24"/>
        </w:rPr>
        <w:t>, each date must be entered</w:t>
      </w:r>
    </w:p>
    <w:p w14:paraId="392782DF" w14:textId="266B435A" w:rsidR="0005562C" w:rsidRDefault="0005562C" w:rsidP="001A3223">
      <w:pPr>
        <w:pStyle w:val="ListParagraph"/>
        <w:numPr>
          <w:ilvl w:val="0"/>
          <w:numId w:val="16"/>
        </w:numPr>
        <w:tabs>
          <w:tab w:val="clear" w:pos="720"/>
        </w:tabs>
        <w:spacing w:before="0" w:after="40" w:line="240" w:lineRule="auto"/>
        <w:ind w:left="714" w:hanging="425"/>
        <w:rPr>
          <w:rFonts w:asciiTheme="minorHAnsi" w:hAnsiTheme="minorHAnsi" w:cs="Arial"/>
          <w:sz w:val="24"/>
          <w:szCs w:val="24"/>
        </w:rPr>
      </w:pPr>
      <w:r w:rsidRPr="001C19A5">
        <w:rPr>
          <w:rFonts w:asciiTheme="minorHAnsi" w:hAnsiTheme="minorHAnsi" w:cs="Arial"/>
          <w:sz w:val="24"/>
          <w:szCs w:val="24"/>
        </w:rPr>
        <w:t xml:space="preserve">the amount paid by the resident. If an amount has been paid in more than one </w:t>
      </w:r>
      <w:r w:rsidR="00F131F3" w:rsidRPr="001C19A5">
        <w:rPr>
          <w:rFonts w:asciiTheme="minorHAnsi" w:hAnsiTheme="minorHAnsi" w:cs="Arial"/>
          <w:sz w:val="24"/>
          <w:szCs w:val="24"/>
        </w:rPr>
        <w:t>instalment</w:t>
      </w:r>
      <w:r w:rsidRPr="001C19A5">
        <w:rPr>
          <w:rFonts w:asciiTheme="minorHAnsi" w:hAnsiTheme="minorHAnsi" w:cs="Arial"/>
          <w:sz w:val="24"/>
          <w:szCs w:val="24"/>
        </w:rPr>
        <w:t xml:space="preserve"> this figure must reflect the amount of each </w:t>
      </w:r>
      <w:r w:rsidR="00F131F3" w:rsidRPr="001C19A5">
        <w:rPr>
          <w:rFonts w:asciiTheme="minorHAnsi" w:hAnsiTheme="minorHAnsi" w:cs="Arial"/>
          <w:sz w:val="24"/>
          <w:szCs w:val="24"/>
        </w:rPr>
        <w:t>instalment</w:t>
      </w:r>
      <w:r w:rsidRPr="001C19A5">
        <w:rPr>
          <w:rFonts w:asciiTheme="minorHAnsi" w:hAnsiTheme="minorHAnsi" w:cs="Arial"/>
          <w:sz w:val="24"/>
          <w:szCs w:val="24"/>
        </w:rPr>
        <w:t xml:space="preserve"> and the total paid</w:t>
      </w:r>
    </w:p>
    <w:p w14:paraId="1A5E8E39" w14:textId="7ECFCBEE" w:rsidR="009A2FDF" w:rsidRPr="00BA2C94" w:rsidRDefault="009A2FDF" w:rsidP="00086B94">
      <w:pPr>
        <w:pStyle w:val="NormalWeb"/>
        <w:spacing w:after="120" w:line="240" w:lineRule="auto"/>
        <w:rPr>
          <w:rFonts w:eastAsia="Calibri" w:cs="Arial"/>
        </w:rPr>
      </w:pPr>
      <w:r w:rsidRPr="4E34EEE7">
        <w:rPr>
          <w:rFonts w:asciiTheme="minorHAnsi" w:eastAsia="Calibri" w:hAnsiTheme="minorHAnsi" w:cs="Arial"/>
          <w:lang w:eastAsia="en-US"/>
        </w:rPr>
        <w:t>A provider can include additional information in the register. For example, they might want to include a resident's RCS/</w:t>
      </w:r>
      <w:r w:rsidR="00146EF3" w:rsidRPr="4E34EEE7">
        <w:rPr>
          <w:rFonts w:asciiTheme="minorHAnsi" w:eastAsia="Calibri" w:hAnsiTheme="minorHAnsi" w:cs="Arial"/>
          <w:lang w:eastAsia="en-US"/>
        </w:rPr>
        <w:t xml:space="preserve">AN-ACC </w:t>
      </w:r>
      <w:r w:rsidRPr="4E34EEE7">
        <w:rPr>
          <w:rFonts w:asciiTheme="minorHAnsi" w:eastAsia="Calibri" w:hAnsiTheme="minorHAnsi" w:cs="Arial"/>
          <w:lang w:eastAsia="en-US"/>
        </w:rPr>
        <w:t>category.</w:t>
      </w:r>
    </w:p>
    <w:p w14:paraId="3BD482BF" w14:textId="77777777" w:rsidR="0005562C" w:rsidRPr="002B7CED" w:rsidRDefault="0005562C" w:rsidP="002B7CED">
      <w:pPr>
        <w:spacing w:before="200" w:after="0"/>
        <w:rPr>
          <w:b/>
          <w:bCs/>
          <w:color w:val="0070C0"/>
          <w:sz w:val="26"/>
          <w:szCs w:val="26"/>
        </w:rPr>
      </w:pPr>
      <w:r w:rsidRPr="002B7CED">
        <w:rPr>
          <w:b/>
          <w:bCs/>
          <w:color w:val="0070C0"/>
          <w:sz w:val="26"/>
          <w:szCs w:val="26"/>
        </w:rPr>
        <w:t>Deductions</w:t>
      </w:r>
    </w:p>
    <w:p w14:paraId="62A8BC24" w14:textId="77777777" w:rsidR="0005562C" w:rsidRPr="001C19A5" w:rsidRDefault="0005562C" w:rsidP="00C61320">
      <w:pPr>
        <w:spacing w:after="120"/>
        <w:rPr>
          <w:rFonts w:eastAsia="Calibri" w:cs="Arial"/>
          <w:sz w:val="24"/>
          <w:szCs w:val="24"/>
        </w:rPr>
      </w:pPr>
      <w:r w:rsidRPr="001C19A5">
        <w:rPr>
          <w:rFonts w:eastAsia="Calibri" w:cs="Arial"/>
          <w:sz w:val="24"/>
          <w:szCs w:val="24"/>
        </w:rPr>
        <w:t>The register should include the following information about deductions:</w:t>
      </w:r>
    </w:p>
    <w:p w14:paraId="7E469A59" w14:textId="4EFA57B8" w:rsidR="0005562C" w:rsidRPr="001C19A5" w:rsidRDefault="0005562C" w:rsidP="001A3223">
      <w:pPr>
        <w:pStyle w:val="ListParagraph"/>
        <w:numPr>
          <w:ilvl w:val="0"/>
          <w:numId w:val="15"/>
        </w:numPr>
        <w:tabs>
          <w:tab w:val="clear" w:pos="720"/>
        </w:tabs>
        <w:spacing w:before="0" w:after="40" w:line="240" w:lineRule="auto"/>
        <w:ind w:left="714" w:hanging="430"/>
        <w:rPr>
          <w:rFonts w:asciiTheme="minorHAnsi" w:hAnsiTheme="minorHAnsi" w:cs="Arial"/>
          <w:sz w:val="24"/>
          <w:szCs w:val="24"/>
        </w:rPr>
      </w:pPr>
      <w:r w:rsidRPr="001C19A5">
        <w:rPr>
          <w:rFonts w:asciiTheme="minorHAnsi" w:hAnsiTheme="minorHAnsi" w:cs="Arial"/>
          <w:sz w:val="24"/>
          <w:szCs w:val="24"/>
        </w:rPr>
        <w:t xml:space="preserve">the amount of bond balance as at 1 July 2006 (for bond balances held prior to </w:t>
      </w:r>
      <w:r w:rsidR="002824B2" w:rsidRPr="001C19A5">
        <w:rPr>
          <w:rFonts w:asciiTheme="minorHAnsi" w:hAnsiTheme="minorHAnsi" w:cs="Arial"/>
          <w:sz w:val="24"/>
          <w:szCs w:val="24"/>
        </w:rPr>
        <w:br/>
      </w:r>
      <w:r w:rsidRPr="001C19A5">
        <w:rPr>
          <w:rFonts w:asciiTheme="minorHAnsi" w:hAnsiTheme="minorHAnsi" w:cs="Arial"/>
          <w:sz w:val="24"/>
          <w:szCs w:val="24"/>
        </w:rPr>
        <w:t>1 July 2006)</w:t>
      </w:r>
    </w:p>
    <w:p w14:paraId="33522234" w14:textId="75040C07" w:rsidR="00112148" w:rsidRDefault="0005562C" w:rsidP="001A3223">
      <w:pPr>
        <w:pStyle w:val="ListParagraph"/>
        <w:numPr>
          <w:ilvl w:val="0"/>
          <w:numId w:val="15"/>
        </w:numPr>
        <w:tabs>
          <w:tab w:val="clear" w:pos="720"/>
        </w:tabs>
        <w:spacing w:before="0" w:after="40" w:line="240" w:lineRule="auto"/>
        <w:ind w:left="714" w:hanging="430"/>
        <w:rPr>
          <w:rFonts w:asciiTheme="minorHAnsi" w:hAnsiTheme="minorHAnsi" w:cs="Arial"/>
          <w:sz w:val="24"/>
          <w:szCs w:val="24"/>
        </w:rPr>
      </w:pPr>
      <w:r w:rsidRPr="001C19A5">
        <w:rPr>
          <w:rFonts w:asciiTheme="minorHAnsi" w:hAnsiTheme="minorHAnsi" w:cs="Arial"/>
          <w:sz w:val="24"/>
          <w:szCs w:val="24"/>
        </w:rPr>
        <w:t xml:space="preserve">the date, amount and reason for each deduction taken from </w:t>
      </w:r>
      <w:r w:rsidR="00EC251D" w:rsidRPr="001C19A5">
        <w:rPr>
          <w:rFonts w:asciiTheme="minorHAnsi" w:hAnsiTheme="minorHAnsi" w:cs="Arial"/>
          <w:sz w:val="24"/>
          <w:szCs w:val="24"/>
        </w:rPr>
        <w:t>a</w:t>
      </w:r>
      <w:r w:rsidRPr="001C19A5">
        <w:rPr>
          <w:rFonts w:asciiTheme="minorHAnsi" w:hAnsiTheme="minorHAnsi" w:cs="Arial"/>
          <w:sz w:val="24"/>
          <w:szCs w:val="24"/>
        </w:rPr>
        <w:t xml:space="preserve"> bond balance (from 1 July 2006). The type of deduction may be interest on an unpaid bond or deposit, extra services drawn from </w:t>
      </w:r>
      <w:r w:rsidR="00702099">
        <w:rPr>
          <w:rFonts w:asciiTheme="minorHAnsi" w:hAnsiTheme="minorHAnsi" w:cs="Arial"/>
          <w:sz w:val="24"/>
          <w:szCs w:val="24"/>
        </w:rPr>
        <w:t xml:space="preserve">the </w:t>
      </w:r>
      <w:r w:rsidRPr="001C19A5">
        <w:rPr>
          <w:rFonts w:asciiTheme="minorHAnsi" w:hAnsiTheme="minorHAnsi" w:cs="Arial"/>
          <w:sz w:val="24"/>
          <w:szCs w:val="24"/>
        </w:rPr>
        <w:t>bond, fees that the resident has agreed should be paid from the bond or deposit, retention amounts (only for bonds as retention amounts are not charged for refundable deposits), or any other deduction authorised under the Act</w:t>
      </w:r>
    </w:p>
    <w:p w14:paraId="759C5066" w14:textId="374E4EBF" w:rsidR="0005562C" w:rsidRPr="001C19A5" w:rsidRDefault="00112148" w:rsidP="001A3223">
      <w:pPr>
        <w:pStyle w:val="ListParagraph"/>
        <w:numPr>
          <w:ilvl w:val="0"/>
          <w:numId w:val="15"/>
        </w:numPr>
        <w:tabs>
          <w:tab w:val="clear" w:pos="720"/>
        </w:tabs>
        <w:spacing w:before="0" w:after="40" w:line="240" w:lineRule="auto"/>
        <w:ind w:left="714" w:hanging="430"/>
        <w:rPr>
          <w:rFonts w:asciiTheme="minorHAnsi" w:hAnsiTheme="minorHAnsi" w:cs="Arial"/>
          <w:sz w:val="24"/>
          <w:szCs w:val="24"/>
        </w:rPr>
      </w:pPr>
      <w:r>
        <w:rPr>
          <w:rFonts w:asciiTheme="minorHAnsi" w:hAnsiTheme="minorHAnsi" w:cs="Arial"/>
          <w:sz w:val="24"/>
          <w:szCs w:val="24"/>
        </w:rPr>
        <w:t>the date, amount and reason for each deduction taken from a refundable deposit balance (from 1 July 2014). The type of deduction may include the daily accommodation payment, extra services drawn from a refundable deposit, fees that the resident has agreed should be paid from the refundable deposit or any other deduction authorised under the Act</w:t>
      </w:r>
    </w:p>
    <w:p w14:paraId="08C553DE" w14:textId="009F3A51" w:rsidR="0005562C" w:rsidRPr="001C19A5" w:rsidRDefault="0005562C" w:rsidP="001A3223">
      <w:pPr>
        <w:pStyle w:val="ListParagraph"/>
        <w:numPr>
          <w:ilvl w:val="0"/>
          <w:numId w:val="15"/>
        </w:numPr>
        <w:tabs>
          <w:tab w:val="clear" w:pos="720"/>
        </w:tabs>
        <w:spacing w:after="120" w:line="240" w:lineRule="auto"/>
        <w:ind w:left="714" w:hanging="430"/>
        <w:rPr>
          <w:rFonts w:asciiTheme="minorHAnsi" w:hAnsiTheme="minorHAnsi" w:cs="Arial"/>
          <w:sz w:val="24"/>
          <w:szCs w:val="24"/>
        </w:rPr>
      </w:pPr>
      <w:r w:rsidRPr="001C19A5">
        <w:rPr>
          <w:rFonts w:asciiTheme="minorHAnsi" w:hAnsiTheme="minorHAnsi" w:cs="Arial"/>
          <w:sz w:val="24"/>
          <w:szCs w:val="24"/>
        </w:rPr>
        <w:t>the bond or refundable deposit balance at the end of each calendar month. A provider should update the register on a monthly basis. During any month there may be one or more deductions and these deductions may have been made on one or more dates. One of the purposes of the register is to ensure that all providers retain a record of the details of all deductions made (date, amount and type of deduction) from 1 July 2006</w:t>
      </w:r>
    </w:p>
    <w:p w14:paraId="152F140A" w14:textId="77777777" w:rsidR="0005562C" w:rsidRPr="002B7CED" w:rsidRDefault="0005562C" w:rsidP="002B7CED">
      <w:pPr>
        <w:spacing w:before="200" w:after="0"/>
        <w:rPr>
          <w:b/>
          <w:bCs/>
          <w:color w:val="0070C0"/>
          <w:sz w:val="26"/>
          <w:szCs w:val="26"/>
        </w:rPr>
      </w:pPr>
      <w:r w:rsidRPr="002B7CED">
        <w:rPr>
          <w:b/>
          <w:bCs/>
          <w:color w:val="0070C0"/>
          <w:sz w:val="26"/>
          <w:szCs w:val="26"/>
        </w:rPr>
        <w:t>Refund of bonds and refundable deposits</w:t>
      </w:r>
    </w:p>
    <w:p w14:paraId="4A207370" w14:textId="77777777" w:rsidR="0005562C" w:rsidRPr="001C19A5" w:rsidRDefault="0005562C" w:rsidP="00C61320">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lastRenderedPageBreak/>
        <w:t>The register should include the following information about the refund of a bond and or refundable deposit:</w:t>
      </w:r>
    </w:p>
    <w:p w14:paraId="59F9652E" w14:textId="77777777" w:rsidR="0005562C" w:rsidRPr="001C19A5" w:rsidRDefault="0005562C" w:rsidP="001A3223">
      <w:pPr>
        <w:pStyle w:val="ListParagraph"/>
        <w:numPr>
          <w:ilvl w:val="0"/>
          <w:numId w:val="14"/>
        </w:numPr>
        <w:tabs>
          <w:tab w:val="clear" w:pos="720"/>
        </w:tabs>
        <w:spacing w:before="0" w:after="0" w:line="240" w:lineRule="auto"/>
        <w:ind w:left="714" w:hanging="425"/>
        <w:rPr>
          <w:rFonts w:asciiTheme="minorHAnsi" w:hAnsiTheme="minorHAnsi" w:cs="Arial"/>
          <w:sz w:val="24"/>
          <w:szCs w:val="24"/>
        </w:rPr>
      </w:pPr>
      <w:r w:rsidRPr="001C19A5">
        <w:rPr>
          <w:rFonts w:asciiTheme="minorHAnsi" w:hAnsiTheme="minorHAnsi" w:cs="Arial"/>
          <w:sz w:val="24"/>
          <w:szCs w:val="24"/>
        </w:rPr>
        <w:t xml:space="preserve">date of refund event and other relevant dates including, where appropriate: </w:t>
      </w:r>
    </w:p>
    <w:p w14:paraId="4FAB7937" w14:textId="63E54711"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 xml:space="preserve">the date the resident </w:t>
      </w:r>
      <w:r w:rsidR="00565F53" w:rsidRPr="00B35C39">
        <w:rPr>
          <w:rFonts w:ascii="Calibri" w:hAnsi="Calibri" w:cs="Calibri"/>
          <w:color w:val="313131"/>
          <w:shd w:val="clear" w:color="auto" w:fill="FFFFFF"/>
        </w:rPr>
        <w:t>died,</w:t>
      </w:r>
      <w:r w:rsidRPr="00B35C39">
        <w:rPr>
          <w:rFonts w:ascii="Calibri" w:hAnsi="Calibri" w:cs="Calibri"/>
          <w:color w:val="313131"/>
          <w:shd w:val="clear" w:color="auto" w:fill="FFFFFF"/>
        </w:rPr>
        <w:t xml:space="preserve"> and the date probate or letters of administration were shown to the provider</w:t>
      </w:r>
    </w:p>
    <w:p w14:paraId="00561537" w14:textId="66A0B378"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date the resident left the service, and if notice was provided, the date the notice was provided</w:t>
      </w:r>
    </w:p>
    <w:p w14:paraId="0178977B" w14:textId="3E11E13B"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date the service ceased to be certified</w:t>
      </w:r>
    </w:p>
    <w:p w14:paraId="0A57FB84" w14:textId="7FD32FFF" w:rsidR="0005562C" w:rsidRPr="001C19A5" w:rsidRDefault="0005562C" w:rsidP="001A3223">
      <w:pPr>
        <w:pStyle w:val="ListParagraph"/>
        <w:numPr>
          <w:ilvl w:val="0"/>
          <w:numId w:val="14"/>
        </w:numPr>
        <w:tabs>
          <w:tab w:val="clear" w:pos="720"/>
        </w:tabs>
        <w:spacing w:before="0" w:after="0" w:line="240" w:lineRule="auto"/>
        <w:ind w:hanging="425"/>
        <w:rPr>
          <w:rFonts w:asciiTheme="minorHAnsi" w:hAnsiTheme="minorHAnsi" w:cs="Arial"/>
          <w:sz w:val="24"/>
          <w:szCs w:val="24"/>
        </w:rPr>
      </w:pPr>
      <w:r w:rsidRPr="001C19A5">
        <w:rPr>
          <w:rFonts w:asciiTheme="minorHAnsi" w:hAnsiTheme="minorHAnsi" w:cs="Arial"/>
          <w:sz w:val="24"/>
          <w:szCs w:val="24"/>
        </w:rPr>
        <w:t xml:space="preserve">date the bond or </w:t>
      </w:r>
      <w:r w:rsidR="00FC4A2F">
        <w:rPr>
          <w:rFonts w:asciiTheme="minorHAnsi" w:hAnsiTheme="minorHAnsi" w:cs="Arial"/>
          <w:sz w:val="24"/>
          <w:szCs w:val="24"/>
        </w:rPr>
        <w:t xml:space="preserve">refundable </w:t>
      </w:r>
      <w:r w:rsidRPr="001C19A5">
        <w:rPr>
          <w:rFonts w:asciiTheme="minorHAnsi" w:hAnsiTheme="minorHAnsi" w:cs="Arial"/>
          <w:sz w:val="24"/>
          <w:szCs w:val="24"/>
        </w:rPr>
        <w:t>deposit is due to be refunded in accordance with the requirements under section 52P</w:t>
      </w:r>
      <w:r w:rsidR="00F16B98">
        <w:rPr>
          <w:rFonts w:asciiTheme="minorHAnsi" w:hAnsiTheme="minorHAnsi" w:cs="Arial"/>
          <w:sz w:val="24"/>
          <w:szCs w:val="24"/>
        </w:rPr>
        <w:t xml:space="preserve"> of </w:t>
      </w:r>
      <w:r w:rsidR="00F16B98" w:rsidRPr="001C19A5">
        <w:rPr>
          <w:rFonts w:asciiTheme="minorHAnsi" w:hAnsiTheme="minorHAnsi" w:cs="Arial"/>
          <w:sz w:val="24"/>
          <w:szCs w:val="24"/>
        </w:rPr>
        <w:t>the Act</w:t>
      </w:r>
    </w:p>
    <w:p w14:paraId="6C58B0C8" w14:textId="13069D74" w:rsidR="0005562C" w:rsidRPr="001C19A5" w:rsidRDefault="0005562C" w:rsidP="001A3223">
      <w:pPr>
        <w:pStyle w:val="ListParagraph"/>
        <w:numPr>
          <w:ilvl w:val="0"/>
          <w:numId w:val="14"/>
        </w:numPr>
        <w:tabs>
          <w:tab w:val="clear" w:pos="720"/>
        </w:tabs>
        <w:spacing w:before="0" w:after="0" w:line="240" w:lineRule="auto"/>
        <w:ind w:hanging="425"/>
        <w:rPr>
          <w:rFonts w:asciiTheme="minorHAnsi" w:hAnsiTheme="minorHAnsi" w:cs="Arial"/>
          <w:sz w:val="24"/>
          <w:szCs w:val="24"/>
        </w:rPr>
      </w:pPr>
      <w:r w:rsidRPr="001C19A5">
        <w:rPr>
          <w:rFonts w:asciiTheme="minorHAnsi" w:hAnsiTheme="minorHAnsi" w:cs="Arial"/>
          <w:sz w:val="24"/>
          <w:szCs w:val="24"/>
        </w:rPr>
        <w:t xml:space="preserve">date the bond or </w:t>
      </w:r>
      <w:r w:rsidR="00FC4A2F">
        <w:rPr>
          <w:rFonts w:asciiTheme="minorHAnsi" w:hAnsiTheme="minorHAnsi" w:cs="Arial"/>
          <w:sz w:val="24"/>
          <w:szCs w:val="24"/>
        </w:rPr>
        <w:t xml:space="preserve">refundable </w:t>
      </w:r>
      <w:r w:rsidRPr="001C19A5">
        <w:rPr>
          <w:rFonts w:asciiTheme="minorHAnsi" w:hAnsiTheme="minorHAnsi" w:cs="Arial"/>
          <w:sz w:val="24"/>
          <w:szCs w:val="24"/>
        </w:rPr>
        <w:t>deposit was actually refunded</w:t>
      </w:r>
    </w:p>
    <w:p w14:paraId="2182E62A" w14:textId="46DFCEA0" w:rsidR="0005562C" w:rsidRPr="001C19A5" w:rsidRDefault="0005562C" w:rsidP="001A3223">
      <w:pPr>
        <w:pStyle w:val="ListParagraph"/>
        <w:numPr>
          <w:ilvl w:val="0"/>
          <w:numId w:val="14"/>
        </w:numPr>
        <w:tabs>
          <w:tab w:val="clear" w:pos="720"/>
        </w:tabs>
        <w:spacing w:before="0" w:after="0" w:line="240" w:lineRule="auto"/>
        <w:ind w:hanging="425"/>
        <w:rPr>
          <w:rFonts w:asciiTheme="minorHAnsi" w:hAnsiTheme="minorHAnsi" w:cs="Arial"/>
          <w:sz w:val="24"/>
          <w:szCs w:val="24"/>
        </w:rPr>
      </w:pPr>
      <w:r w:rsidRPr="001C19A5">
        <w:rPr>
          <w:rFonts w:asciiTheme="minorHAnsi" w:hAnsiTheme="minorHAnsi" w:cs="Arial"/>
          <w:sz w:val="24"/>
          <w:szCs w:val="24"/>
        </w:rPr>
        <w:t xml:space="preserve">amount of bond or </w:t>
      </w:r>
      <w:r w:rsidR="00FC4A2F">
        <w:rPr>
          <w:rFonts w:asciiTheme="minorHAnsi" w:hAnsiTheme="minorHAnsi" w:cs="Arial"/>
          <w:sz w:val="24"/>
          <w:szCs w:val="24"/>
        </w:rPr>
        <w:t xml:space="preserve">refundable </w:t>
      </w:r>
      <w:r w:rsidRPr="001C19A5">
        <w:rPr>
          <w:rFonts w:asciiTheme="minorHAnsi" w:hAnsiTheme="minorHAnsi" w:cs="Arial"/>
          <w:sz w:val="24"/>
          <w:szCs w:val="24"/>
        </w:rPr>
        <w:t>deposit refunded</w:t>
      </w:r>
    </w:p>
    <w:p w14:paraId="35C49653" w14:textId="474AFD5F" w:rsidR="0005562C" w:rsidRPr="001C19A5" w:rsidRDefault="00422F77" w:rsidP="001A3223">
      <w:pPr>
        <w:pStyle w:val="ListParagraph"/>
        <w:numPr>
          <w:ilvl w:val="0"/>
          <w:numId w:val="14"/>
        </w:numPr>
        <w:tabs>
          <w:tab w:val="clear" w:pos="720"/>
        </w:tabs>
        <w:spacing w:before="0" w:after="0" w:line="240" w:lineRule="auto"/>
        <w:ind w:hanging="425"/>
        <w:rPr>
          <w:rFonts w:asciiTheme="minorHAnsi" w:hAnsiTheme="minorHAnsi" w:cs="Arial"/>
          <w:sz w:val="24"/>
          <w:szCs w:val="24"/>
        </w:rPr>
      </w:pPr>
      <w:r>
        <w:rPr>
          <w:rFonts w:asciiTheme="minorHAnsi" w:hAnsiTheme="minorHAnsi" w:cs="Arial"/>
          <w:sz w:val="24"/>
          <w:szCs w:val="24"/>
        </w:rPr>
        <w:t xml:space="preserve">if </w:t>
      </w:r>
      <w:r w:rsidR="0005562C" w:rsidRPr="4F97C5A3">
        <w:rPr>
          <w:rFonts w:asciiTheme="minorHAnsi" w:hAnsiTheme="minorHAnsi" w:cs="Arial"/>
          <w:sz w:val="24"/>
          <w:szCs w:val="24"/>
        </w:rPr>
        <w:t xml:space="preserve">interest </w:t>
      </w:r>
      <w:r w:rsidR="006351AD">
        <w:rPr>
          <w:rFonts w:asciiTheme="minorHAnsi" w:hAnsiTheme="minorHAnsi" w:cs="Arial"/>
          <w:sz w:val="24"/>
          <w:szCs w:val="24"/>
        </w:rPr>
        <w:t xml:space="preserve">was </w:t>
      </w:r>
      <w:r w:rsidR="0005562C" w:rsidRPr="4F97C5A3">
        <w:rPr>
          <w:rFonts w:asciiTheme="minorHAnsi" w:hAnsiTheme="minorHAnsi" w:cs="Arial"/>
          <w:sz w:val="24"/>
          <w:szCs w:val="24"/>
        </w:rPr>
        <w:t>pa</w:t>
      </w:r>
      <w:r w:rsidR="006351AD">
        <w:rPr>
          <w:rFonts w:asciiTheme="minorHAnsi" w:hAnsiTheme="minorHAnsi" w:cs="Arial"/>
          <w:sz w:val="24"/>
          <w:szCs w:val="24"/>
        </w:rPr>
        <w:t>yable</w:t>
      </w:r>
      <w:r w:rsidR="008C78D0">
        <w:rPr>
          <w:rFonts w:asciiTheme="minorHAnsi" w:hAnsiTheme="minorHAnsi" w:cs="Arial"/>
          <w:sz w:val="24"/>
          <w:szCs w:val="24"/>
        </w:rPr>
        <w:t>, the amount of interest</w:t>
      </w:r>
      <w:r w:rsidR="0005562C" w:rsidRPr="4F97C5A3">
        <w:rPr>
          <w:rFonts w:asciiTheme="minorHAnsi" w:hAnsiTheme="minorHAnsi" w:cs="Arial"/>
          <w:sz w:val="24"/>
          <w:szCs w:val="24"/>
        </w:rPr>
        <w:t xml:space="preserve"> and the date paid</w:t>
      </w:r>
    </w:p>
    <w:p w14:paraId="51C7C96A" w14:textId="0F9BFCDB" w:rsidR="0005562C" w:rsidRPr="001C19A5" w:rsidRDefault="0005562C" w:rsidP="001A3223">
      <w:pPr>
        <w:pStyle w:val="ListParagraph"/>
        <w:numPr>
          <w:ilvl w:val="0"/>
          <w:numId w:val="14"/>
        </w:numPr>
        <w:tabs>
          <w:tab w:val="clear" w:pos="720"/>
        </w:tabs>
        <w:spacing w:before="0" w:line="240" w:lineRule="auto"/>
        <w:ind w:hanging="425"/>
        <w:rPr>
          <w:rFonts w:asciiTheme="minorHAnsi" w:hAnsiTheme="minorHAnsi" w:cs="Arial"/>
          <w:sz w:val="24"/>
          <w:szCs w:val="24"/>
        </w:rPr>
      </w:pPr>
      <w:r w:rsidRPr="001C19A5">
        <w:rPr>
          <w:rFonts w:asciiTheme="minorHAnsi" w:hAnsiTheme="minorHAnsi" w:cs="Arial"/>
          <w:sz w:val="24"/>
          <w:szCs w:val="24"/>
        </w:rPr>
        <w:t xml:space="preserve">maximum permissible interest </w:t>
      </w:r>
      <w:r w:rsidR="00565F53" w:rsidRPr="001C19A5">
        <w:rPr>
          <w:rFonts w:asciiTheme="minorHAnsi" w:hAnsiTheme="minorHAnsi" w:cs="Arial"/>
          <w:sz w:val="24"/>
          <w:szCs w:val="24"/>
        </w:rPr>
        <w:t>paid</w:t>
      </w:r>
      <w:r w:rsidRPr="001C19A5">
        <w:rPr>
          <w:rFonts w:asciiTheme="minorHAnsi" w:hAnsiTheme="minorHAnsi" w:cs="Arial"/>
          <w:sz w:val="24"/>
          <w:szCs w:val="24"/>
        </w:rPr>
        <w:t xml:space="preserve"> and the date paid</w:t>
      </w:r>
    </w:p>
    <w:p w14:paraId="7886CA7C" w14:textId="7490FB63" w:rsidR="0005562C" w:rsidRPr="001C19A5" w:rsidRDefault="0005562C" w:rsidP="00176637">
      <w:pPr>
        <w:pStyle w:val="NormalWeb"/>
        <w:spacing w:after="120" w:line="240" w:lineRule="auto"/>
        <w:rPr>
          <w:rFonts w:asciiTheme="minorHAnsi" w:eastAsia="Calibri" w:hAnsiTheme="minorHAnsi" w:cs="Arial"/>
          <w:lang w:eastAsia="en-US"/>
        </w:rPr>
      </w:pPr>
      <w:r w:rsidRPr="009454D4">
        <w:rPr>
          <w:rFonts w:asciiTheme="minorHAnsi" w:eastAsia="Calibri" w:hAnsiTheme="minorHAnsi" w:cs="Arial"/>
          <w:lang w:eastAsia="en-US"/>
        </w:rPr>
        <w:t xml:space="preserve">The refund event is the initial trigger for determining when the </w:t>
      </w:r>
      <w:r w:rsidR="00BB3FF5">
        <w:rPr>
          <w:rFonts w:asciiTheme="minorHAnsi" w:eastAsia="Calibri" w:hAnsiTheme="minorHAnsi" w:cs="Arial"/>
          <w:lang w:eastAsia="en-US"/>
        </w:rPr>
        <w:t xml:space="preserve">refund of </w:t>
      </w:r>
      <w:r w:rsidRPr="009454D4">
        <w:rPr>
          <w:rFonts w:asciiTheme="minorHAnsi" w:eastAsia="Calibri" w:hAnsiTheme="minorHAnsi" w:cs="Arial"/>
          <w:lang w:eastAsia="en-US"/>
        </w:rPr>
        <w:t xml:space="preserve">bond or </w:t>
      </w:r>
      <w:r w:rsidR="00BB3FF5">
        <w:rPr>
          <w:rFonts w:asciiTheme="minorHAnsi" w:eastAsia="Calibri" w:hAnsiTheme="minorHAnsi" w:cs="Arial"/>
          <w:lang w:eastAsia="en-US"/>
        </w:rPr>
        <w:t xml:space="preserve">refundable </w:t>
      </w:r>
      <w:r w:rsidRPr="009454D4">
        <w:rPr>
          <w:rFonts w:asciiTheme="minorHAnsi" w:eastAsia="Calibri" w:hAnsiTheme="minorHAnsi" w:cs="Arial"/>
          <w:lang w:eastAsia="en-US"/>
        </w:rPr>
        <w:t>deposit refund is due.</w:t>
      </w:r>
      <w:r w:rsidRPr="001C19A5">
        <w:rPr>
          <w:rFonts w:asciiTheme="minorHAnsi" w:eastAsia="Calibri" w:hAnsiTheme="minorHAnsi" w:cs="Arial"/>
          <w:lang w:eastAsia="en-US"/>
        </w:rPr>
        <w:t xml:space="preserve"> The refund event may be the death of the resident or the departure of the resident from the service. </w:t>
      </w:r>
    </w:p>
    <w:p w14:paraId="6612F539" w14:textId="502EE1E6" w:rsidR="0005562C" w:rsidRPr="001C19A5" w:rsidRDefault="0005562C" w:rsidP="0005562C">
      <w:pPr>
        <w:pStyle w:val="NormalWeb"/>
        <w:spacing w:after="120" w:line="240" w:lineRule="auto"/>
        <w:rPr>
          <w:rFonts w:asciiTheme="minorHAnsi" w:eastAsia="Calibri" w:hAnsiTheme="minorHAnsi" w:cs="Arial"/>
          <w:sz w:val="22"/>
          <w:szCs w:val="22"/>
          <w:lang w:eastAsia="en-US"/>
        </w:rPr>
      </w:pPr>
      <w:r w:rsidRPr="001C19A5">
        <w:rPr>
          <w:rFonts w:asciiTheme="minorHAnsi" w:eastAsia="Calibri" w:hAnsiTheme="minorHAnsi" w:cs="Arial"/>
          <w:lang w:eastAsia="en-US"/>
        </w:rPr>
        <w:t>The date that the resident left the service should be the date on which the resident was formally discharged from the service. Residents may enter hospital on hospital leave and then transfer to another service without returning to the original service, but the date to be recorded will be the date that the resident was discharged,</w:t>
      </w:r>
      <w:r w:rsidR="005F0967">
        <w:rPr>
          <w:rFonts w:asciiTheme="minorHAnsi" w:eastAsia="Calibri" w:hAnsiTheme="minorHAnsi" w:cs="Arial"/>
          <w:lang w:eastAsia="en-US"/>
        </w:rPr>
        <w:t xml:space="preserve"> or the date </w:t>
      </w:r>
      <w:r w:rsidRPr="001C19A5">
        <w:rPr>
          <w:rFonts w:asciiTheme="minorHAnsi" w:eastAsia="Calibri" w:hAnsiTheme="minorHAnsi" w:cs="Arial"/>
          <w:lang w:eastAsia="en-US"/>
        </w:rPr>
        <w:t xml:space="preserve"> not the date they went on leave.</w:t>
      </w:r>
      <w:r w:rsidRPr="001C19A5">
        <w:rPr>
          <w:rFonts w:asciiTheme="minorHAnsi" w:eastAsia="Calibri" w:hAnsiTheme="minorHAnsi" w:cs="Arial"/>
          <w:sz w:val="22"/>
          <w:szCs w:val="22"/>
          <w:lang w:eastAsia="en-US"/>
        </w:rPr>
        <w:br/>
      </w:r>
      <w:r w:rsidR="007D3F3D" w:rsidRPr="001C19A5">
        <w:rPr>
          <w:rFonts w:asciiTheme="minorHAnsi" w:eastAsia="Calibri" w:hAnsiTheme="minorHAnsi" w:cs="Arial"/>
          <w:b/>
          <w:sz w:val="18"/>
          <w:szCs w:val="18"/>
          <w:lang w:eastAsia="en-US"/>
        </w:rPr>
        <w:t>R</w:t>
      </w:r>
      <w:r w:rsidRPr="001C19A5">
        <w:rPr>
          <w:rFonts w:asciiTheme="minorHAnsi" w:eastAsia="Calibri" w:hAnsiTheme="minorHAnsi" w:cs="Arial"/>
          <w:b/>
          <w:sz w:val="18"/>
          <w:szCs w:val="18"/>
          <w:lang w:eastAsia="en-US"/>
        </w:rPr>
        <w:t>eference:</w:t>
      </w:r>
      <w:r w:rsidRPr="001C19A5">
        <w:rPr>
          <w:rFonts w:asciiTheme="minorHAnsi" w:eastAsia="Calibri" w:hAnsiTheme="minorHAnsi" w:cs="Arial"/>
          <w:sz w:val="18"/>
          <w:szCs w:val="18"/>
          <w:lang w:eastAsia="en-US"/>
        </w:rPr>
        <w:t xml:space="preserve"> The Act </w:t>
      </w:r>
      <w:hyperlink r:id="rId23" w:anchor="_Toc406164879" w:history="1">
        <w:r w:rsidRPr="001C19A5">
          <w:rPr>
            <w:rFonts w:asciiTheme="minorHAnsi" w:eastAsia="Calibri" w:hAnsiTheme="minorHAnsi" w:cs="Arial"/>
            <w:sz w:val="18"/>
            <w:szCs w:val="18"/>
            <w:lang w:eastAsia="en-US"/>
          </w:rPr>
          <w:t>section 52P</w:t>
        </w:r>
      </w:hyperlink>
    </w:p>
    <w:p w14:paraId="0056876B" w14:textId="77777777" w:rsidR="0005562C" w:rsidRPr="002B7CED" w:rsidRDefault="0005562C" w:rsidP="002B7CED">
      <w:pPr>
        <w:spacing w:before="200" w:after="0"/>
        <w:rPr>
          <w:b/>
          <w:bCs/>
          <w:color w:val="0070C0"/>
          <w:sz w:val="26"/>
          <w:szCs w:val="26"/>
        </w:rPr>
      </w:pPr>
      <w:r w:rsidRPr="002B7CED">
        <w:rPr>
          <w:b/>
          <w:bCs/>
          <w:color w:val="0070C0"/>
          <w:sz w:val="26"/>
          <w:szCs w:val="26"/>
        </w:rPr>
        <w:t>Entry Contributions</w:t>
      </w:r>
      <w:r w:rsidR="001B5652" w:rsidRPr="002B7CED">
        <w:rPr>
          <w:b/>
          <w:bCs/>
          <w:color w:val="0070C0"/>
          <w:sz w:val="26"/>
          <w:szCs w:val="26"/>
        </w:rPr>
        <w:t xml:space="preserve"> (pre 1997)</w:t>
      </w:r>
    </w:p>
    <w:p w14:paraId="1295C314" w14:textId="77777777" w:rsidR="0005562C" w:rsidRPr="001C19A5" w:rsidRDefault="0005562C" w:rsidP="00C61320">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The register must include the following information about entry contributions:</w:t>
      </w:r>
    </w:p>
    <w:p w14:paraId="16699A61"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resident details including the resident's name and resident ID number,</w:t>
      </w:r>
    </w:p>
    <w:p w14:paraId="6C54415A"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date the entry contribution was paid,</w:t>
      </w:r>
    </w:p>
    <w:p w14:paraId="775BFBFB"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amount of the original entry contribution,</w:t>
      </w:r>
    </w:p>
    <w:p w14:paraId="1EDEB9F5"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date the resident left the facility,</w:t>
      </w:r>
    </w:p>
    <w:p w14:paraId="6190A386"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date the entry contribution is due to be repaid in accordance with the formal agreement,</w:t>
      </w:r>
    </w:p>
    <w:p w14:paraId="04DE3C60" w14:textId="77777777"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date the entry contribution was refunded,</w:t>
      </w:r>
    </w:p>
    <w:p w14:paraId="5CBEE98B" w14:textId="344C65DD"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the amount of entry contribution balance refunded,</w:t>
      </w:r>
      <w:r w:rsidR="00BA2C94">
        <w:rPr>
          <w:rFonts w:asciiTheme="minorHAnsi" w:hAnsiTheme="minorHAnsi" w:cs="Arial"/>
          <w:sz w:val="24"/>
          <w:szCs w:val="24"/>
        </w:rPr>
        <w:t xml:space="preserve"> and</w:t>
      </w:r>
    </w:p>
    <w:p w14:paraId="23125BF4" w14:textId="7885F7DA" w:rsidR="0005562C" w:rsidRPr="001C19A5" w:rsidRDefault="0005562C" w:rsidP="001A3223">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maximum permissible interest paid and the date paid</w:t>
      </w:r>
    </w:p>
    <w:p w14:paraId="125E6D0B" w14:textId="656AB383" w:rsidR="0005562C" w:rsidRPr="002B7CED" w:rsidRDefault="0005562C" w:rsidP="002B7CED">
      <w:pPr>
        <w:spacing w:before="200" w:after="0"/>
        <w:rPr>
          <w:b/>
          <w:bCs/>
          <w:color w:val="0070C0"/>
          <w:sz w:val="26"/>
          <w:szCs w:val="26"/>
        </w:rPr>
      </w:pPr>
      <w:r w:rsidRPr="002B7CED">
        <w:rPr>
          <w:b/>
          <w:bCs/>
          <w:color w:val="0070C0"/>
          <w:sz w:val="26"/>
          <w:szCs w:val="26"/>
        </w:rPr>
        <w:t>Things you need to know</w:t>
      </w:r>
    </w:p>
    <w:p w14:paraId="4B8A0AD3" w14:textId="77777777" w:rsidR="0005562C" w:rsidRPr="001C19A5" w:rsidRDefault="0005562C" w:rsidP="00C61320">
      <w:pPr>
        <w:pStyle w:val="NormalWeb"/>
        <w:spacing w:after="120" w:line="240" w:lineRule="auto"/>
        <w:rPr>
          <w:rFonts w:asciiTheme="minorHAnsi" w:hAnsiTheme="minorHAnsi" w:cs="Arial"/>
        </w:rPr>
      </w:pPr>
      <w:r w:rsidRPr="001C19A5">
        <w:rPr>
          <w:rFonts w:asciiTheme="minorHAnsi" w:hAnsiTheme="minorHAnsi" w:cs="Arial"/>
        </w:rPr>
        <w:t>The approach to presenting the refundable deposit register is a matter for individual providers. In determining their approach, providers should consider:</w:t>
      </w:r>
    </w:p>
    <w:p w14:paraId="7496AD21" w14:textId="77777777" w:rsidR="000D31CF" w:rsidRDefault="0005562C" w:rsidP="001A3223">
      <w:pPr>
        <w:pStyle w:val="ListParagraph"/>
        <w:numPr>
          <w:ilvl w:val="0"/>
          <w:numId w:val="12"/>
        </w:numPr>
        <w:tabs>
          <w:tab w:val="clear" w:pos="720"/>
        </w:tabs>
        <w:spacing w:before="0" w:after="40" w:line="240" w:lineRule="auto"/>
        <w:ind w:left="709" w:hanging="283"/>
        <w:rPr>
          <w:rFonts w:asciiTheme="minorHAnsi" w:hAnsiTheme="minorHAnsi" w:cs="Arial"/>
          <w:sz w:val="24"/>
          <w:szCs w:val="24"/>
        </w:rPr>
      </w:pPr>
      <w:r w:rsidRPr="001C19A5">
        <w:rPr>
          <w:rFonts w:asciiTheme="minorHAnsi" w:hAnsiTheme="minorHAnsi" w:cs="Arial"/>
          <w:sz w:val="24"/>
          <w:szCs w:val="24"/>
        </w:rPr>
        <w:t>that they must be able to demonstrate their compliance with the Records Standard to their auditor</w:t>
      </w:r>
      <w:r w:rsidR="00BA2C94">
        <w:rPr>
          <w:rFonts w:asciiTheme="minorHAnsi" w:hAnsiTheme="minorHAnsi" w:cs="Arial"/>
          <w:sz w:val="24"/>
          <w:szCs w:val="24"/>
        </w:rPr>
        <w:t>,</w:t>
      </w:r>
      <w:r w:rsidRPr="001C19A5">
        <w:rPr>
          <w:rFonts w:asciiTheme="minorHAnsi" w:hAnsiTheme="minorHAnsi" w:cs="Arial"/>
          <w:sz w:val="24"/>
          <w:szCs w:val="24"/>
        </w:rPr>
        <w:t xml:space="preserve"> </w:t>
      </w:r>
    </w:p>
    <w:p w14:paraId="38F40D8B" w14:textId="77777777" w:rsidR="002F3561" w:rsidRPr="006569ED" w:rsidRDefault="007F1A8E" w:rsidP="001A3223">
      <w:pPr>
        <w:pStyle w:val="ListParagraph"/>
        <w:numPr>
          <w:ilvl w:val="0"/>
          <w:numId w:val="8"/>
        </w:numPr>
        <w:spacing w:before="0" w:after="0" w:line="240" w:lineRule="auto"/>
        <w:ind w:left="709" w:hanging="284"/>
        <w:contextualSpacing w:val="0"/>
        <w:rPr>
          <w:rFonts w:asciiTheme="minorHAnsi" w:hAnsiTheme="minorHAnsi" w:cs="Arial"/>
          <w:sz w:val="24"/>
          <w:szCs w:val="24"/>
        </w:rPr>
      </w:pPr>
      <w:r w:rsidRPr="002F3561">
        <w:rPr>
          <w:rFonts w:asciiTheme="minorHAnsi" w:hAnsiTheme="minorHAnsi" w:cs="Arial"/>
          <w:sz w:val="24"/>
          <w:szCs w:val="24"/>
        </w:rPr>
        <w:t>that</w:t>
      </w:r>
      <w:r w:rsidR="000D1BEF" w:rsidRPr="002F3561">
        <w:rPr>
          <w:rFonts w:asciiTheme="minorHAnsi" w:hAnsiTheme="minorHAnsi" w:cs="Arial"/>
          <w:sz w:val="24"/>
          <w:szCs w:val="24"/>
        </w:rPr>
        <w:t>,</w:t>
      </w:r>
      <w:r w:rsidRPr="002F3561">
        <w:rPr>
          <w:rFonts w:asciiTheme="minorHAnsi" w:hAnsiTheme="minorHAnsi" w:cs="Arial"/>
          <w:sz w:val="24"/>
          <w:szCs w:val="24"/>
        </w:rPr>
        <w:t xml:space="preserve"> if requested, they must be able to provid</w:t>
      </w:r>
      <w:r w:rsidR="000D1BEF" w:rsidRPr="002F3561">
        <w:rPr>
          <w:rFonts w:asciiTheme="minorHAnsi" w:hAnsiTheme="minorHAnsi" w:cs="Arial"/>
          <w:sz w:val="24"/>
          <w:szCs w:val="24"/>
        </w:rPr>
        <w:t xml:space="preserve">e a resident or their representatives </w:t>
      </w:r>
      <w:r w:rsidRPr="002F3561">
        <w:rPr>
          <w:rFonts w:asciiTheme="minorHAnsi" w:hAnsiTheme="minorHAnsi"/>
          <w:color w:val="111111"/>
          <w:sz w:val="24"/>
          <w:szCs w:val="24"/>
          <w:lang w:val="en"/>
        </w:rPr>
        <w:t>a copy of the resident's entry in the refundable deposit register, current at the time of the request</w:t>
      </w:r>
      <w:r w:rsidR="000D1BEF" w:rsidRPr="000D31CF">
        <w:rPr>
          <w:rFonts w:asciiTheme="minorHAnsi" w:hAnsiTheme="minorHAnsi"/>
          <w:color w:val="111111"/>
          <w:sz w:val="24"/>
          <w:szCs w:val="24"/>
          <w:lang w:val="en"/>
        </w:rPr>
        <w:t>,</w:t>
      </w:r>
    </w:p>
    <w:p w14:paraId="1A71AC42" w14:textId="13E93700" w:rsidR="000D31CF" w:rsidRPr="006569ED" w:rsidRDefault="000D1BEF" w:rsidP="001A3223">
      <w:pPr>
        <w:pStyle w:val="ListParagraph"/>
        <w:numPr>
          <w:ilvl w:val="0"/>
          <w:numId w:val="8"/>
        </w:numPr>
        <w:spacing w:before="0" w:after="0" w:line="240" w:lineRule="auto"/>
        <w:ind w:left="709" w:hanging="284"/>
        <w:rPr>
          <w:rFonts w:asciiTheme="minorHAnsi" w:hAnsiTheme="minorHAnsi" w:cs="Arial"/>
          <w:sz w:val="24"/>
          <w:szCs w:val="24"/>
        </w:rPr>
      </w:pPr>
      <w:r w:rsidRPr="4E34EEE7">
        <w:rPr>
          <w:rFonts w:asciiTheme="minorHAnsi" w:hAnsiTheme="minorHAnsi"/>
          <w:color w:val="111111"/>
          <w:sz w:val="24"/>
          <w:szCs w:val="24"/>
          <w:lang w:val="en"/>
        </w:rPr>
        <w:t xml:space="preserve">that within four months after the end of </w:t>
      </w:r>
      <w:r w:rsidR="46747AA4" w:rsidRPr="4E34EEE7">
        <w:rPr>
          <w:rFonts w:asciiTheme="minorHAnsi" w:hAnsiTheme="minorHAnsi"/>
          <w:color w:val="111111"/>
          <w:sz w:val="24"/>
          <w:szCs w:val="24"/>
          <w:lang w:val="en"/>
        </w:rPr>
        <w:t xml:space="preserve">a provider’s </w:t>
      </w:r>
      <w:r w:rsidRPr="4E34EEE7">
        <w:rPr>
          <w:rFonts w:asciiTheme="minorHAnsi" w:hAnsiTheme="minorHAnsi"/>
          <w:color w:val="111111"/>
          <w:sz w:val="24"/>
          <w:szCs w:val="24"/>
          <w:lang w:val="en"/>
        </w:rPr>
        <w:t xml:space="preserve">financial year, </w:t>
      </w:r>
      <w:r w:rsidR="4BF16CF3" w:rsidRPr="4E34EEE7">
        <w:rPr>
          <w:rFonts w:asciiTheme="minorHAnsi" w:hAnsiTheme="minorHAnsi"/>
          <w:color w:val="111111"/>
          <w:sz w:val="24"/>
          <w:szCs w:val="24"/>
          <w:lang w:val="en"/>
        </w:rPr>
        <w:t xml:space="preserve">they </w:t>
      </w:r>
      <w:r w:rsidRPr="4E34EEE7">
        <w:rPr>
          <w:rFonts w:asciiTheme="minorHAnsi" w:hAnsiTheme="minorHAnsi"/>
          <w:color w:val="111111"/>
          <w:sz w:val="24"/>
          <w:szCs w:val="24"/>
          <w:lang w:val="en"/>
        </w:rPr>
        <w:t xml:space="preserve">are required to provide </w:t>
      </w:r>
      <w:r w:rsidR="009978D8">
        <w:rPr>
          <w:rFonts w:asciiTheme="minorHAnsi" w:hAnsiTheme="minorHAnsi"/>
          <w:color w:val="111111"/>
          <w:sz w:val="24"/>
          <w:szCs w:val="24"/>
          <w:lang w:val="en"/>
        </w:rPr>
        <w:t>resident</w:t>
      </w:r>
      <w:r w:rsidRPr="4E34EEE7">
        <w:rPr>
          <w:rFonts w:asciiTheme="minorHAnsi" w:hAnsiTheme="minorHAnsi"/>
          <w:color w:val="111111"/>
          <w:sz w:val="24"/>
          <w:szCs w:val="24"/>
          <w:lang w:val="en"/>
        </w:rPr>
        <w:t>s who have paid a refundable deposit or a bond with a copy of the resident's entry in the refundable deposit register, as at the end of the financial year, and</w:t>
      </w:r>
    </w:p>
    <w:p w14:paraId="1FC165A7" w14:textId="5960FE08" w:rsidR="00587E30" w:rsidRPr="00CA5515" w:rsidRDefault="0005562C" w:rsidP="001A3223">
      <w:pPr>
        <w:pStyle w:val="ListParagraph"/>
        <w:numPr>
          <w:ilvl w:val="0"/>
          <w:numId w:val="8"/>
        </w:numPr>
        <w:spacing w:before="0" w:after="0" w:line="240" w:lineRule="auto"/>
        <w:ind w:left="709" w:hanging="284"/>
        <w:rPr>
          <w:rFonts w:asciiTheme="minorHAnsi" w:hAnsiTheme="minorHAnsi" w:cs="Arial"/>
          <w:sz w:val="24"/>
          <w:szCs w:val="24"/>
        </w:rPr>
      </w:pPr>
      <w:r w:rsidRPr="00015721">
        <w:rPr>
          <w:rFonts w:asciiTheme="minorHAnsi" w:hAnsiTheme="minorHAnsi" w:cs="Arial"/>
          <w:sz w:val="24"/>
          <w:szCs w:val="24"/>
        </w:rPr>
        <w:lastRenderedPageBreak/>
        <w:t>that the</w:t>
      </w:r>
      <w:r w:rsidR="00CA5515">
        <w:rPr>
          <w:rFonts w:asciiTheme="minorHAnsi" w:hAnsiTheme="minorHAnsi" w:cs="Arial"/>
          <w:sz w:val="24"/>
          <w:szCs w:val="24"/>
        </w:rPr>
        <w:t>y</w:t>
      </w:r>
      <w:r w:rsidR="00F16B98" w:rsidRPr="00CA5515">
        <w:rPr>
          <w:rFonts w:asciiTheme="minorHAnsi" w:hAnsiTheme="minorHAnsi" w:cs="Arial"/>
          <w:sz w:val="24"/>
          <w:szCs w:val="24"/>
        </w:rPr>
        <w:t xml:space="preserve"> could be asked to provide</w:t>
      </w:r>
      <w:r w:rsidR="00CB7702">
        <w:rPr>
          <w:rFonts w:asciiTheme="minorHAnsi" w:hAnsiTheme="minorHAnsi" w:cs="Arial"/>
          <w:sz w:val="24"/>
          <w:szCs w:val="24"/>
        </w:rPr>
        <w:t xml:space="preserve"> to the Commission</w:t>
      </w:r>
      <w:r w:rsidR="00F16B98" w:rsidRPr="00CA5515">
        <w:rPr>
          <w:rFonts w:asciiTheme="minorHAnsi" w:hAnsiTheme="minorHAnsi" w:cs="Arial"/>
          <w:sz w:val="24"/>
          <w:szCs w:val="24"/>
        </w:rPr>
        <w:t xml:space="preserve"> </w:t>
      </w:r>
      <w:r w:rsidR="00CA5515">
        <w:rPr>
          <w:rFonts w:asciiTheme="minorHAnsi" w:hAnsiTheme="minorHAnsi" w:cs="Arial"/>
          <w:sz w:val="24"/>
          <w:szCs w:val="24"/>
        </w:rPr>
        <w:t>their</w:t>
      </w:r>
      <w:r w:rsidRPr="00CA5515">
        <w:rPr>
          <w:rFonts w:asciiTheme="minorHAnsi" w:hAnsiTheme="minorHAnsi" w:cs="Arial"/>
          <w:sz w:val="24"/>
          <w:szCs w:val="24"/>
        </w:rPr>
        <w:t xml:space="preserve"> refundable deposit register for one or more residents</w:t>
      </w:r>
      <w:r w:rsidR="00F16B98" w:rsidRPr="00CA5515">
        <w:rPr>
          <w:rFonts w:asciiTheme="minorHAnsi" w:hAnsiTheme="minorHAnsi" w:cs="Arial"/>
          <w:sz w:val="24"/>
          <w:szCs w:val="24"/>
        </w:rPr>
        <w:t>,</w:t>
      </w:r>
      <w:r w:rsidRPr="00CA5515">
        <w:rPr>
          <w:rFonts w:asciiTheme="minorHAnsi" w:hAnsiTheme="minorHAnsi" w:cs="Arial"/>
          <w:sz w:val="24"/>
          <w:szCs w:val="24"/>
        </w:rPr>
        <w:t xml:space="preserve"> that are currently in care or have left the provider</w:t>
      </w:r>
      <w:r w:rsidR="000D1BEF" w:rsidRPr="00CA5515">
        <w:rPr>
          <w:rFonts w:asciiTheme="minorHAnsi" w:hAnsiTheme="minorHAnsi" w:cs="Arial"/>
          <w:sz w:val="24"/>
          <w:szCs w:val="24"/>
        </w:rPr>
        <w:t>’</w:t>
      </w:r>
      <w:r w:rsidRPr="00CA5515">
        <w:rPr>
          <w:rFonts w:asciiTheme="minorHAnsi" w:hAnsiTheme="minorHAnsi" w:cs="Arial"/>
          <w:sz w:val="24"/>
          <w:szCs w:val="24"/>
        </w:rPr>
        <w:t>s care</w:t>
      </w:r>
      <w:r w:rsidR="00F16B98" w:rsidRPr="00CA5515">
        <w:rPr>
          <w:rFonts w:asciiTheme="minorHAnsi" w:hAnsiTheme="minorHAnsi" w:cs="Arial"/>
          <w:sz w:val="24"/>
          <w:szCs w:val="24"/>
        </w:rPr>
        <w:t>,</w:t>
      </w:r>
      <w:r w:rsidRPr="00CA5515">
        <w:rPr>
          <w:rFonts w:asciiTheme="minorHAnsi" w:hAnsiTheme="minorHAnsi" w:cs="Arial"/>
          <w:sz w:val="24"/>
          <w:szCs w:val="24"/>
        </w:rPr>
        <w:t xml:space="preserve"> for monitoring and compliance purposes</w:t>
      </w:r>
    </w:p>
    <w:p w14:paraId="4AEA51DD"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1A535D69" w14:textId="7C7B8E04" w:rsidR="001C19A5" w:rsidRDefault="0005562C" w:rsidP="005D2FC7">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After considering the information provided under Compliance with the Records Standard</w:t>
      </w:r>
      <w:r w:rsidR="42461915" w:rsidRPr="094B6565">
        <w:rPr>
          <w:rFonts w:asciiTheme="minorHAnsi" w:hAnsiTheme="minorHAnsi" w:cs="Times New Roman"/>
          <w:sz w:val="24"/>
          <w:szCs w:val="24"/>
        </w:rPr>
        <w:t>,</w:t>
      </w:r>
      <w:r w:rsidRPr="001C19A5">
        <w:rPr>
          <w:rFonts w:asciiTheme="minorHAnsi" w:hAnsiTheme="minorHAnsi" w:cs="Times New Roman"/>
          <w:sz w:val="24"/>
          <w:szCs w:val="24"/>
        </w:rPr>
        <w:t xml:space="preserve"> </w:t>
      </w:r>
      <w:r w:rsidR="009E7289" w:rsidRPr="001C19A5">
        <w:rPr>
          <w:rFonts w:asciiTheme="minorHAnsi" w:hAnsiTheme="minorHAnsi" w:cs="Times New Roman"/>
          <w:sz w:val="24"/>
          <w:szCs w:val="24"/>
        </w:rPr>
        <w:t xml:space="preserve">did you comply with </w:t>
      </w:r>
      <w:r w:rsidR="009E7289">
        <w:rPr>
          <w:rFonts w:asciiTheme="minorHAnsi" w:hAnsiTheme="minorHAnsi" w:cs="Times New Roman"/>
          <w:sz w:val="24"/>
          <w:szCs w:val="24"/>
        </w:rPr>
        <w:t>all requirements of the</w:t>
      </w:r>
      <w:r w:rsidRPr="001C19A5">
        <w:rPr>
          <w:rFonts w:asciiTheme="minorHAnsi" w:hAnsiTheme="minorHAnsi" w:cs="Times New Roman"/>
          <w:sz w:val="24"/>
          <w:szCs w:val="24"/>
        </w:rPr>
        <w:t xml:space="preserve"> </w:t>
      </w:r>
      <w:r w:rsidR="009E7289">
        <w:rPr>
          <w:rFonts w:asciiTheme="minorHAnsi" w:hAnsiTheme="minorHAnsi" w:cs="Times New Roman"/>
          <w:sz w:val="24"/>
          <w:szCs w:val="24"/>
        </w:rPr>
        <w:t>R</w:t>
      </w:r>
      <w:r w:rsidRPr="001C19A5">
        <w:rPr>
          <w:rFonts w:asciiTheme="minorHAnsi" w:hAnsiTheme="minorHAnsi" w:cs="Times New Roman"/>
          <w:sz w:val="24"/>
          <w:szCs w:val="24"/>
        </w:rPr>
        <w:t xml:space="preserve">ecords </w:t>
      </w:r>
      <w:r w:rsidR="009E7289">
        <w:rPr>
          <w:rFonts w:asciiTheme="minorHAnsi" w:hAnsiTheme="minorHAnsi" w:cs="Times New Roman"/>
          <w:sz w:val="24"/>
          <w:szCs w:val="24"/>
        </w:rPr>
        <w:t>S</w:t>
      </w:r>
      <w:r w:rsidRPr="001C19A5">
        <w:rPr>
          <w:rFonts w:asciiTheme="minorHAnsi" w:hAnsiTheme="minorHAnsi" w:cs="Times New Roman"/>
          <w:sz w:val="24"/>
          <w:szCs w:val="24"/>
        </w:rPr>
        <w:t xml:space="preserve">tandard for the full </w:t>
      </w:r>
      <w:r w:rsidR="00F16B98">
        <w:rPr>
          <w:rFonts w:asciiTheme="minorHAnsi" w:hAnsiTheme="minorHAnsi" w:cs="Times New Roman"/>
          <w:sz w:val="24"/>
          <w:szCs w:val="24"/>
        </w:rPr>
        <w:t xml:space="preserve">financial </w:t>
      </w:r>
      <w:r w:rsidRPr="001C19A5">
        <w:rPr>
          <w:rFonts w:asciiTheme="minorHAnsi" w:hAnsiTheme="minorHAnsi" w:cs="Times New Roman"/>
          <w:sz w:val="24"/>
          <w:szCs w:val="24"/>
        </w:rPr>
        <w:t>year?</w:t>
      </w:r>
    </w:p>
    <w:p w14:paraId="4782F843" w14:textId="0CDF23F0" w:rsidR="00E816F1" w:rsidRDefault="0005562C" w:rsidP="005C569E">
      <w:pPr>
        <w:pStyle w:val="Tabletext"/>
        <w:spacing w:before="0" w:after="120"/>
        <w:rPr>
          <w:rFonts w:asciiTheme="minorHAnsi" w:hAnsiTheme="minorHAnsi" w:cs="Times New Roman"/>
          <w:sz w:val="22"/>
          <w:szCs w:val="22"/>
        </w:rPr>
      </w:pPr>
      <w:r w:rsidRPr="001C19A5">
        <w:rPr>
          <w:rFonts w:asciiTheme="minorHAnsi" w:hAnsiTheme="minorHAnsi" w:cs="Times New Roman"/>
          <w:sz w:val="24"/>
          <w:szCs w:val="24"/>
        </w:rPr>
        <w:t>Respond Yes or No</w:t>
      </w:r>
      <w:r w:rsidR="001C19A5">
        <w:rPr>
          <w:rFonts w:asciiTheme="minorHAnsi" w:hAnsiTheme="minorHAnsi" w:cs="Times New Roman"/>
          <w:sz w:val="24"/>
          <w:szCs w:val="24"/>
        </w:rPr>
        <w:t xml:space="preserve">. </w:t>
      </w:r>
      <w:r w:rsidRPr="001C19A5">
        <w:rPr>
          <w:rFonts w:asciiTheme="minorHAnsi" w:hAnsiTheme="minorHAnsi" w:cs="Times New Roman"/>
          <w:sz w:val="24"/>
          <w:szCs w:val="24"/>
        </w:rPr>
        <w:t>If you</w:t>
      </w:r>
      <w:r w:rsidR="0027561B" w:rsidRPr="001C19A5">
        <w:rPr>
          <w:rFonts w:asciiTheme="minorHAnsi" w:hAnsiTheme="minorHAnsi" w:cs="Times New Roman"/>
          <w:sz w:val="24"/>
          <w:szCs w:val="24"/>
        </w:rPr>
        <w:t xml:space="preserve"> answer</w:t>
      </w:r>
      <w:r w:rsidR="00E55452">
        <w:rPr>
          <w:rFonts w:asciiTheme="minorHAnsi" w:hAnsiTheme="minorHAnsi" w:cs="Times New Roman"/>
          <w:sz w:val="24"/>
          <w:szCs w:val="24"/>
        </w:rPr>
        <w:t>ed</w:t>
      </w:r>
      <w:r w:rsidR="0027561B" w:rsidRPr="001C19A5">
        <w:rPr>
          <w:rFonts w:asciiTheme="minorHAnsi" w:hAnsiTheme="minorHAnsi" w:cs="Times New Roman"/>
          <w:sz w:val="24"/>
          <w:szCs w:val="24"/>
        </w:rPr>
        <w:t xml:space="preserve"> ‘NO’ you must submit a separate statement explaining why you </w:t>
      </w:r>
      <w:r w:rsidR="00FE7322">
        <w:rPr>
          <w:rFonts w:asciiTheme="minorHAnsi" w:hAnsiTheme="minorHAnsi" w:cs="Times New Roman"/>
          <w:sz w:val="24"/>
          <w:szCs w:val="24"/>
        </w:rPr>
        <w:t>did</w:t>
      </w:r>
      <w:r w:rsidR="00FE7322" w:rsidRPr="001C19A5">
        <w:rPr>
          <w:rFonts w:asciiTheme="minorHAnsi" w:hAnsiTheme="minorHAnsi" w:cs="Times New Roman"/>
          <w:sz w:val="24"/>
          <w:szCs w:val="24"/>
        </w:rPr>
        <w:t xml:space="preserve"> </w:t>
      </w:r>
      <w:r w:rsidR="0027561B" w:rsidRPr="001C19A5">
        <w:rPr>
          <w:rFonts w:asciiTheme="minorHAnsi" w:hAnsiTheme="minorHAnsi" w:cs="Times New Roman"/>
          <w:sz w:val="24"/>
          <w:szCs w:val="24"/>
        </w:rPr>
        <w:t>not compl</w:t>
      </w:r>
      <w:r w:rsidR="00FE7322">
        <w:rPr>
          <w:rFonts w:asciiTheme="minorHAnsi" w:hAnsiTheme="minorHAnsi" w:cs="Times New Roman"/>
          <w:sz w:val="24"/>
          <w:szCs w:val="24"/>
        </w:rPr>
        <w:t xml:space="preserve">y. </w:t>
      </w:r>
    </w:p>
    <w:p w14:paraId="067AF058" w14:textId="77777777" w:rsidR="0027561B" w:rsidRPr="002B7CED" w:rsidRDefault="00F829B4" w:rsidP="002B7CED">
      <w:pPr>
        <w:pStyle w:val="Heading2"/>
        <w:spacing w:before="360"/>
        <w:rPr>
          <w:rFonts w:asciiTheme="minorHAnsi" w:hAnsiTheme="minorHAnsi"/>
          <w:color w:val="0070C0"/>
        </w:rPr>
      </w:pPr>
      <w:r w:rsidRPr="00B34BF1">
        <w:rPr>
          <w:rFonts w:asciiTheme="minorHAnsi" w:hAnsiTheme="minorHAnsi"/>
          <w:color w:val="0070C0"/>
        </w:rPr>
        <w:t>COMPLIANCE WITH THE GOVERNANCE STANDARD</w:t>
      </w:r>
    </w:p>
    <w:p w14:paraId="356316D1" w14:textId="0008AAA9" w:rsidR="00F829B4" w:rsidRDefault="0005562C" w:rsidP="00176637">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The Governance Standard is designed to help providers develop sound governance systems to ensure refundable deposits and bonds are only used for permitted uses and are refunded to residents as and when they fall due</w:t>
      </w:r>
      <w:r w:rsidR="00CB7702">
        <w:rPr>
          <w:rFonts w:asciiTheme="minorHAnsi" w:eastAsia="Calibri" w:hAnsiTheme="minorHAnsi" w:cs="Arial"/>
          <w:lang w:eastAsia="en-US"/>
        </w:rPr>
        <w:t>,</w:t>
      </w:r>
      <w:r w:rsidRPr="001C19A5">
        <w:rPr>
          <w:rFonts w:asciiTheme="minorHAnsi" w:eastAsia="Calibri" w:hAnsiTheme="minorHAnsi" w:cs="Arial"/>
          <w:lang w:eastAsia="en-US"/>
        </w:rPr>
        <w:t xml:space="preserve"> as required by the Act. </w:t>
      </w:r>
    </w:p>
    <w:p w14:paraId="356F2844" w14:textId="77777777" w:rsidR="0005562C" w:rsidRPr="001C19A5" w:rsidRDefault="0005562C" w:rsidP="00176637">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The Governance Standard promotes sound business practices by requiring governance arrangements in line with the size and complexity of a provider's business (see Part 5, Division 4, Fees and Payments Principles).</w:t>
      </w:r>
    </w:p>
    <w:p w14:paraId="04689877" w14:textId="77777777" w:rsidR="00F829B4" w:rsidRDefault="0005562C" w:rsidP="00176637">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 xml:space="preserve">The Governance Standard requires providers that hold refundable deposits or bonds to have a governance system in place to manage refundable deposits and bonds. </w:t>
      </w:r>
    </w:p>
    <w:p w14:paraId="3BADC5F4" w14:textId="7DF85D7B" w:rsidR="0005562C" w:rsidRPr="001C19A5" w:rsidRDefault="0005562C" w:rsidP="00176637">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 xml:space="preserve">The governance system must ensure that refundable deposits and bonds are only used for permitted uses and that refundable deposit balances and bond balances are refunded to residents in accordance with the Act. Providers are also required to implement and maintain a written </w:t>
      </w:r>
      <w:r w:rsidR="00133AE1">
        <w:rPr>
          <w:rFonts w:asciiTheme="minorHAnsi" w:eastAsia="Calibri" w:hAnsiTheme="minorHAnsi" w:cs="Arial"/>
          <w:lang w:eastAsia="en-US"/>
        </w:rPr>
        <w:t>I</w:t>
      </w:r>
      <w:r w:rsidRPr="001C19A5">
        <w:rPr>
          <w:rFonts w:asciiTheme="minorHAnsi" w:eastAsia="Calibri" w:hAnsiTheme="minorHAnsi" w:cs="Arial"/>
          <w:lang w:eastAsia="en-US"/>
        </w:rPr>
        <w:t xml:space="preserve">nvestment </w:t>
      </w:r>
      <w:r w:rsidR="00133AE1">
        <w:rPr>
          <w:rFonts w:asciiTheme="minorHAnsi" w:eastAsia="Calibri" w:hAnsiTheme="minorHAnsi" w:cs="Arial"/>
          <w:lang w:eastAsia="en-US"/>
        </w:rPr>
        <w:t>M</w:t>
      </w:r>
      <w:r w:rsidRPr="001C19A5">
        <w:rPr>
          <w:rFonts w:asciiTheme="minorHAnsi" w:eastAsia="Calibri" w:hAnsiTheme="minorHAnsi" w:cs="Arial"/>
          <w:lang w:eastAsia="en-US"/>
        </w:rPr>
        <w:t xml:space="preserve">anagement </w:t>
      </w:r>
      <w:r w:rsidR="00133AE1">
        <w:rPr>
          <w:rFonts w:asciiTheme="minorHAnsi" w:eastAsia="Calibri" w:hAnsiTheme="minorHAnsi" w:cs="Arial"/>
          <w:lang w:eastAsia="en-US"/>
        </w:rPr>
        <w:t>S</w:t>
      </w:r>
      <w:r w:rsidRPr="001C19A5">
        <w:rPr>
          <w:rFonts w:asciiTheme="minorHAnsi" w:eastAsia="Calibri" w:hAnsiTheme="minorHAnsi" w:cs="Arial"/>
          <w:lang w:eastAsia="en-US"/>
        </w:rPr>
        <w:t>trategy (IMS) if they propose to invest refundable deposits or bonds in financial products specified in section 52N-1(3)(b)-(e), of the Act or in a Religious Charitable Development Fund</w:t>
      </w:r>
      <w:r w:rsidR="003245CE">
        <w:rPr>
          <w:rFonts w:asciiTheme="minorHAnsi" w:eastAsia="Calibri" w:hAnsiTheme="minorHAnsi" w:cs="Arial"/>
          <w:lang w:eastAsia="en-US"/>
        </w:rPr>
        <w:t xml:space="preserve"> (RCDF)</w:t>
      </w:r>
      <w:r w:rsidRPr="001C19A5">
        <w:rPr>
          <w:rFonts w:asciiTheme="minorHAnsi" w:eastAsia="Calibri" w:hAnsiTheme="minorHAnsi" w:cs="Arial"/>
          <w:lang w:eastAsia="en-US"/>
        </w:rPr>
        <w:t xml:space="preserve"> (see section 63(c), Fees and Payments Principles).</w:t>
      </w:r>
    </w:p>
    <w:p w14:paraId="148FE860" w14:textId="07AAAB3C" w:rsidR="0005562C" w:rsidRPr="001C19A5" w:rsidRDefault="0005562C" w:rsidP="00CF2D9D">
      <w:pPr>
        <w:spacing w:after="0" w:line="240" w:lineRule="auto"/>
        <w:rPr>
          <w:rFonts w:eastAsia="Calibri" w:cs="Arial"/>
        </w:rPr>
      </w:pPr>
      <w:r w:rsidRPr="001C19A5">
        <w:rPr>
          <w:rFonts w:eastAsia="Calibri" w:cs="Arial"/>
          <w:sz w:val="24"/>
          <w:szCs w:val="24"/>
        </w:rPr>
        <w:t xml:space="preserve">The Governance Standard does not prescribe the particular type of system. Instead, it describes the key features that need to be incorporated. This allows providers the flexibility to implement a governance system that suits their particular size and corporate structure and that is appropriate for prudent and accountable management of the refundable deposits and bonds they hold, regardless of when the refundable </w:t>
      </w:r>
      <w:r w:rsidR="00F16B98">
        <w:rPr>
          <w:rFonts w:eastAsia="Calibri" w:cs="Arial"/>
          <w:sz w:val="24"/>
          <w:szCs w:val="24"/>
        </w:rPr>
        <w:t>deposit</w:t>
      </w:r>
      <w:r w:rsidR="00C245E4">
        <w:rPr>
          <w:rFonts w:eastAsia="Calibri" w:cs="Arial"/>
          <w:sz w:val="24"/>
          <w:szCs w:val="24"/>
        </w:rPr>
        <w:t>s</w:t>
      </w:r>
      <w:r w:rsidRPr="001C19A5">
        <w:rPr>
          <w:rFonts w:eastAsia="Calibri" w:cs="Arial"/>
          <w:sz w:val="24"/>
          <w:szCs w:val="24"/>
        </w:rPr>
        <w:t xml:space="preserve"> and bonds were charged.</w:t>
      </w:r>
      <w:r w:rsidRPr="001C19A5">
        <w:rPr>
          <w:rFonts w:eastAsia="Calibri" w:cs="Arial"/>
        </w:rPr>
        <w:br/>
      </w:r>
      <w:r w:rsidR="007D3F3D" w:rsidRPr="001C19A5">
        <w:rPr>
          <w:rFonts w:eastAsia="Calibri" w:cs="Arial"/>
          <w:b/>
          <w:sz w:val="18"/>
          <w:szCs w:val="18"/>
        </w:rPr>
        <w:t>R</w:t>
      </w:r>
      <w:r w:rsidRPr="001C19A5">
        <w:rPr>
          <w:rFonts w:eastAsia="Calibri" w:cs="Arial"/>
          <w:b/>
          <w:sz w:val="18"/>
          <w:szCs w:val="18"/>
        </w:rPr>
        <w:t>eference:</w:t>
      </w:r>
      <w:r w:rsidRPr="001C19A5">
        <w:rPr>
          <w:rFonts w:eastAsia="Calibri" w:cs="Arial"/>
          <w:sz w:val="18"/>
          <w:szCs w:val="18"/>
        </w:rPr>
        <w:t xml:space="preserve"> The Act </w:t>
      </w:r>
      <w:hyperlink r:id="rId24" w:anchor="_Toc406164877" w:history="1">
        <w:r w:rsidRPr="001C19A5">
          <w:rPr>
            <w:rFonts w:eastAsia="Calibri" w:cs="Arial"/>
            <w:sz w:val="18"/>
            <w:szCs w:val="18"/>
          </w:rPr>
          <w:t>section 52N-1</w:t>
        </w:r>
      </w:hyperlink>
      <w:r w:rsidRPr="001C19A5">
        <w:rPr>
          <w:rFonts w:eastAsia="Calibri" w:cs="Arial"/>
          <w:sz w:val="18"/>
          <w:szCs w:val="18"/>
        </w:rPr>
        <w:t xml:space="preserve"> and </w:t>
      </w:r>
      <w:hyperlink r:id="rId25" w:history="1">
        <w:r w:rsidRPr="001C19A5">
          <w:rPr>
            <w:rFonts w:eastAsia="Calibri" w:cs="Arial"/>
            <w:sz w:val="18"/>
            <w:szCs w:val="18"/>
          </w:rPr>
          <w:t>Fees and Payments Principles</w:t>
        </w:r>
      </w:hyperlink>
      <w:r w:rsidRPr="001C19A5">
        <w:rPr>
          <w:rFonts w:eastAsia="Calibri" w:cs="Arial"/>
          <w:sz w:val="18"/>
          <w:szCs w:val="18"/>
        </w:rPr>
        <w:t xml:space="preserve"> section 63</w:t>
      </w:r>
      <w:r w:rsidR="00C2010B">
        <w:rPr>
          <w:rFonts w:eastAsia="Calibri" w:cs="Arial"/>
          <w:sz w:val="18"/>
          <w:szCs w:val="18"/>
        </w:rPr>
        <w:t xml:space="preserve">, </w:t>
      </w:r>
      <w:r w:rsidRPr="001C19A5">
        <w:rPr>
          <w:rFonts w:eastAsia="Calibri" w:cs="Arial"/>
          <w:sz w:val="18"/>
          <w:szCs w:val="18"/>
        </w:rPr>
        <w:t>Part 5 Division 4</w:t>
      </w:r>
    </w:p>
    <w:p w14:paraId="6FD27055" w14:textId="77777777" w:rsidR="0005562C" w:rsidRPr="002B7CED" w:rsidRDefault="0005562C" w:rsidP="002B7CED">
      <w:pPr>
        <w:spacing w:before="200" w:after="0"/>
        <w:rPr>
          <w:b/>
          <w:bCs/>
          <w:color w:val="0070C0"/>
          <w:sz w:val="26"/>
          <w:szCs w:val="26"/>
        </w:rPr>
      </w:pPr>
      <w:r w:rsidRPr="002B7CED">
        <w:rPr>
          <w:b/>
          <w:bCs/>
          <w:color w:val="0070C0"/>
          <w:sz w:val="26"/>
          <w:szCs w:val="26"/>
        </w:rPr>
        <w:t>Requirements of the Governance Standard</w:t>
      </w:r>
    </w:p>
    <w:p w14:paraId="772C5553" w14:textId="77777777" w:rsidR="0005562C" w:rsidRPr="001C19A5" w:rsidRDefault="0005562C" w:rsidP="0005562C">
      <w:pPr>
        <w:pStyle w:val="NormalWeb"/>
        <w:spacing w:after="120" w:line="240" w:lineRule="auto"/>
        <w:rPr>
          <w:rFonts w:asciiTheme="minorHAnsi" w:eastAsia="Calibri" w:hAnsiTheme="minorHAnsi" w:cs="Arial"/>
          <w:lang w:eastAsia="en-US"/>
        </w:rPr>
      </w:pPr>
      <w:bookmarkStart w:id="1" w:name="_Hlk136787349"/>
      <w:r w:rsidRPr="001C19A5">
        <w:rPr>
          <w:rFonts w:asciiTheme="minorHAnsi" w:eastAsia="Calibri" w:hAnsiTheme="minorHAnsi" w:cs="Arial"/>
          <w:lang w:eastAsia="en-US"/>
        </w:rPr>
        <w:t>The purpose of the Governance Standard is to ensure that, where a provider holds refundable deposits or bonds, there is an appropriate system in place to ensure that the provider complies with their prudential responsibilities in relation to refundable deposits and bonds.</w:t>
      </w:r>
    </w:p>
    <w:p w14:paraId="7AD25972" w14:textId="77777777" w:rsidR="0005562C" w:rsidRPr="001C19A5" w:rsidRDefault="0005562C" w:rsidP="0005562C">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The Governance Standard only applies to the management of refundable deposits and bonds. Broader corporate governance is a matter for commercial judgement, taking into account wider statutory requirements such as the legislation under which the provider is incorporated and best practice resources such as voluntary national standards.</w:t>
      </w:r>
    </w:p>
    <w:p w14:paraId="72BE53D6" w14:textId="77777777" w:rsidR="0005562C" w:rsidRPr="001C19A5" w:rsidRDefault="0005562C" w:rsidP="00C61320">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To comply with the Governance Standard, providers that hold refundable deposits or bonds must implement and maintain a documented governance system that:</w:t>
      </w:r>
    </w:p>
    <w:p w14:paraId="0AA32877" w14:textId="107B102D" w:rsidR="0005562C" w:rsidRPr="001C19A5" w:rsidRDefault="0005562C" w:rsidP="001A3223">
      <w:pPr>
        <w:pStyle w:val="ListParagraph"/>
        <w:numPr>
          <w:ilvl w:val="0"/>
          <w:numId w:val="11"/>
        </w:numPr>
        <w:tabs>
          <w:tab w:val="clear" w:pos="720"/>
        </w:tabs>
        <w:spacing w:before="0" w:after="0"/>
        <w:ind w:left="851" w:hanging="425"/>
        <w:rPr>
          <w:rFonts w:asciiTheme="minorHAnsi" w:hAnsiTheme="minorHAnsi" w:cs="Arial"/>
          <w:sz w:val="24"/>
          <w:szCs w:val="24"/>
        </w:rPr>
      </w:pPr>
      <w:r w:rsidRPr="001C19A5">
        <w:rPr>
          <w:rFonts w:asciiTheme="minorHAnsi" w:hAnsiTheme="minorHAnsi" w:cs="Arial"/>
          <w:sz w:val="24"/>
          <w:szCs w:val="24"/>
        </w:rPr>
        <w:t xml:space="preserve">allocates responsibilities to key personnel for managing </w:t>
      </w:r>
      <w:r w:rsidR="0018400B">
        <w:rPr>
          <w:rFonts w:asciiTheme="minorHAnsi" w:hAnsiTheme="minorHAnsi" w:cs="Arial"/>
          <w:sz w:val="24"/>
          <w:szCs w:val="24"/>
        </w:rPr>
        <w:t xml:space="preserve">refundable deposits and </w:t>
      </w:r>
      <w:r w:rsidRPr="001C19A5">
        <w:rPr>
          <w:rFonts w:asciiTheme="minorHAnsi" w:hAnsiTheme="minorHAnsi" w:cs="Arial"/>
          <w:sz w:val="24"/>
          <w:szCs w:val="24"/>
        </w:rPr>
        <w:t>bonds held by the provider,</w:t>
      </w:r>
    </w:p>
    <w:p w14:paraId="30540A1D" w14:textId="77777777" w:rsidR="0005562C" w:rsidRPr="001C19A5" w:rsidRDefault="0005562C" w:rsidP="001A3223">
      <w:pPr>
        <w:pStyle w:val="ListParagraph"/>
        <w:numPr>
          <w:ilvl w:val="0"/>
          <w:numId w:val="11"/>
        </w:numPr>
        <w:tabs>
          <w:tab w:val="clear" w:pos="720"/>
        </w:tabs>
        <w:spacing w:before="0" w:after="0" w:line="240" w:lineRule="auto"/>
        <w:ind w:left="851" w:hanging="425"/>
        <w:rPr>
          <w:rFonts w:asciiTheme="minorHAnsi" w:hAnsiTheme="minorHAnsi" w:cs="Arial"/>
          <w:sz w:val="24"/>
          <w:szCs w:val="24"/>
        </w:rPr>
      </w:pPr>
      <w:r w:rsidRPr="001C19A5">
        <w:rPr>
          <w:rFonts w:asciiTheme="minorHAnsi" w:hAnsiTheme="minorHAnsi" w:cs="Arial"/>
          <w:sz w:val="24"/>
          <w:szCs w:val="24"/>
        </w:rPr>
        <w:t>monitors and controls any delegation or outsourcing of these responsibilities,</w:t>
      </w:r>
    </w:p>
    <w:p w14:paraId="2314CCCF" w14:textId="1C9E8E0B" w:rsidR="0005562C" w:rsidRPr="001C19A5" w:rsidRDefault="0005562C" w:rsidP="001A3223">
      <w:pPr>
        <w:pStyle w:val="ListParagraph"/>
        <w:numPr>
          <w:ilvl w:val="0"/>
          <w:numId w:val="11"/>
        </w:numPr>
        <w:tabs>
          <w:tab w:val="clear" w:pos="720"/>
        </w:tabs>
        <w:spacing w:before="0" w:after="0" w:line="240" w:lineRule="auto"/>
        <w:ind w:left="851" w:hanging="425"/>
        <w:rPr>
          <w:rFonts w:asciiTheme="minorHAnsi" w:hAnsiTheme="minorHAnsi" w:cs="Arial"/>
          <w:sz w:val="24"/>
          <w:szCs w:val="24"/>
        </w:rPr>
      </w:pPr>
      <w:r w:rsidRPr="001C19A5">
        <w:rPr>
          <w:rFonts w:asciiTheme="minorHAnsi" w:hAnsiTheme="minorHAnsi" w:cs="Arial"/>
          <w:sz w:val="24"/>
          <w:szCs w:val="24"/>
        </w:rPr>
        <w:t xml:space="preserve">ensures relevant key personnel, and anyone to whom responsibilities are delegated or outsourced, are aware of the legal requirements for </w:t>
      </w:r>
      <w:r w:rsidR="0018400B">
        <w:rPr>
          <w:rFonts w:asciiTheme="minorHAnsi" w:hAnsiTheme="minorHAnsi" w:cs="Arial"/>
          <w:sz w:val="24"/>
          <w:szCs w:val="24"/>
        </w:rPr>
        <w:t xml:space="preserve">refundable deposits and </w:t>
      </w:r>
      <w:r w:rsidRPr="001C19A5">
        <w:rPr>
          <w:rFonts w:asciiTheme="minorHAnsi" w:hAnsiTheme="minorHAnsi" w:cs="Arial"/>
          <w:sz w:val="24"/>
          <w:szCs w:val="24"/>
        </w:rPr>
        <w:t>bonds,</w:t>
      </w:r>
    </w:p>
    <w:p w14:paraId="7001E59B" w14:textId="6E13A6A6" w:rsidR="0005562C" w:rsidRPr="001C19A5" w:rsidRDefault="0005562C" w:rsidP="001A3223">
      <w:pPr>
        <w:pStyle w:val="ListParagraph"/>
        <w:numPr>
          <w:ilvl w:val="0"/>
          <w:numId w:val="11"/>
        </w:numPr>
        <w:tabs>
          <w:tab w:val="clear" w:pos="720"/>
        </w:tabs>
        <w:spacing w:before="0" w:after="0" w:line="240" w:lineRule="auto"/>
        <w:ind w:left="851" w:hanging="425"/>
        <w:rPr>
          <w:rFonts w:asciiTheme="minorHAnsi" w:hAnsiTheme="minorHAnsi" w:cs="Arial"/>
          <w:sz w:val="24"/>
          <w:szCs w:val="24"/>
        </w:rPr>
      </w:pPr>
      <w:r w:rsidRPr="001C19A5">
        <w:rPr>
          <w:rFonts w:asciiTheme="minorHAnsi" w:hAnsiTheme="minorHAnsi" w:cs="Arial"/>
          <w:sz w:val="24"/>
          <w:szCs w:val="24"/>
        </w:rPr>
        <w:lastRenderedPageBreak/>
        <w:t xml:space="preserve">has reporting mechanisms to ensure responsible key personnel can monitor and control the use of </w:t>
      </w:r>
      <w:r w:rsidR="0018400B">
        <w:rPr>
          <w:rFonts w:asciiTheme="minorHAnsi" w:hAnsiTheme="minorHAnsi" w:cs="Arial"/>
          <w:sz w:val="24"/>
          <w:szCs w:val="24"/>
        </w:rPr>
        <w:t xml:space="preserve">refundable deposits and </w:t>
      </w:r>
      <w:r w:rsidRPr="001C19A5">
        <w:rPr>
          <w:rFonts w:asciiTheme="minorHAnsi" w:hAnsiTheme="minorHAnsi" w:cs="Arial"/>
          <w:sz w:val="24"/>
          <w:szCs w:val="24"/>
        </w:rPr>
        <w:t>bonds, and</w:t>
      </w:r>
    </w:p>
    <w:p w14:paraId="13D2654B" w14:textId="77777777" w:rsidR="0005562C" w:rsidRPr="001C19A5" w:rsidRDefault="0005562C" w:rsidP="001A3223">
      <w:pPr>
        <w:pStyle w:val="ListParagraph"/>
        <w:numPr>
          <w:ilvl w:val="0"/>
          <w:numId w:val="11"/>
        </w:numPr>
        <w:tabs>
          <w:tab w:val="clear" w:pos="720"/>
        </w:tabs>
        <w:spacing w:before="0" w:after="40" w:line="240" w:lineRule="auto"/>
        <w:ind w:left="851" w:hanging="425"/>
        <w:rPr>
          <w:rFonts w:asciiTheme="minorHAnsi" w:hAnsiTheme="minorHAnsi" w:cs="Arial"/>
          <w:sz w:val="24"/>
          <w:szCs w:val="24"/>
        </w:rPr>
      </w:pPr>
      <w:r w:rsidRPr="001C19A5">
        <w:rPr>
          <w:rFonts w:asciiTheme="minorHAnsi" w:hAnsiTheme="minorHAnsi" w:cs="Arial"/>
          <w:sz w:val="24"/>
          <w:szCs w:val="24"/>
        </w:rPr>
        <w:t>detects, records and addresses any instances of non-compliance (see section 49(1) and (2), Fees and Payments Principles)</w:t>
      </w:r>
    </w:p>
    <w:p w14:paraId="0984BD00" w14:textId="503898F2" w:rsidR="0005562C" w:rsidRPr="001C19A5" w:rsidRDefault="0005562C" w:rsidP="0005562C">
      <w:pPr>
        <w:pStyle w:val="NormalWeb"/>
        <w:spacing w:after="120" w:line="240" w:lineRule="auto"/>
        <w:rPr>
          <w:rFonts w:asciiTheme="minorHAnsi" w:eastAsia="Calibri" w:hAnsiTheme="minorHAnsi" w:cs="Arial"/>
          <w:lang w:eastAsia="en-US"/>
        </w:rPr>
      </w:pPr>
      <w:r w:rsidRPr="001C19A5">
        <w:rPr>
          <w:rFonts w:asciiTheme="minorHAnsi" w:eastAsia="Calibri" w:hAnsiTheme="minorHAnsi" w:cs="Arial"/>
          <w:lang w:eastAsia="en-US"/>
        </w:rPr>
        <w:t xml:space="preserve">Providers need to keep written documentation describing their governance system and ensure this documentation is kept </w:t>
      </w:r>
      <w:r w:rsidR="00F06188" w:rsidRPr="001C19A5">
        <w:rPr>
          <w:rFonts w:asciiTheme="minorHAnsi" w:eastAsia="Calibri" w:hAnsiTheme="minorHAnsi" w:cs="Arial"/>
          <w:lang w:eastAsia="en-US"/>
        </w:rPr>
        <w:t>up to date</w:t>
      </w:r>
      <w:r w:rsidRPr="001C19A5">
        <w:rPr>
          <w:rFonts w:asciiTheme="minorHAnsi" w:eastAsia="Calibri" w:hAnsiTheme="minorHAnsi" w:cs="Arial"/>
          <w:lang w:eastAsia="en-US"/>
        </w:rPr>
        <w:t xml:space="preserve"> (see section 49(3)(a) and (b), Fees and Payments Principles).</w:t>
      </w:r>
    </w:p>
    <w:bookmarkEnd w:id="1"/>
    <w:p w14:paraId="445358CE" w14:textId="77777777" w:rsidR="0005562C" w:rsidRPr="001C19A5" w:rsidRDefault="0005562C" w:rsidP="0005562C">
      <w:pPr>
        <w:pStyle w:val="NormalWeb"/>
        <w:spacing w:after="120" w:line="240" w:lineRule="auto"/>
        <w:rPr>
          <w:rFonts w:asciiTheme="minorHAnsi" w:hAnsiTheme="minorHAnsi"/>
          <w:color w:val="111111"/>
          <w:sz w:val="18"/>
          <w:szCs w:val="18"/>
          <w:lang w:val="en"/>
        </w:rPr>
      </w:pPr>
      <w:r w:rsidRPr="001C19A5">
        <w:rPr>
          <w:rFonts w:asciiTheme="minorHAnsi" w:eastAsia="Calibri" w:hAnsiTheme="minorHAnsi" w:cs="Arial"/>
          <w:lang w:eastAsia="en-US"/>
        </w:rPr>
        <w:t>If a provider becomes aware that their governance system no longer complies with these requirements, they need to modify or replace it with a system that does comply (see section 49(3)(c), Fees and Payments Principles).</w:t>
      </w:r>
      <w:r w:rsidRPr="001C19A5">
        <w:rPr>
          <w:rFonts w:asciiTheme="minorHAnsi" w:eastAsia="Calibri" w:hAnsiTheme="minorHAnsi" w:cs="Arial"/>
          <w:sz w:val="22"/>
          <w:szCs w:val="22"/>
          <w:lang w:eastAsia="en-US"/>
        </w:rPr>
        <w:br/>
      </w:r>
      <w:r w:rsidR="007D3F3D" w:rsidRPr="001C19A5">
        <w:rPr>
          <w:rStyle w:val="Strong"/>
          <w:rFonts w:asciiTheme="minorHAnsi" w:hAnsiTheme="minorHAnsi"/>
          <w:color w:val="111111"/>
          <w:sz w:val="18"/>
          <w:szCs w:val="18"/>
          <w:lang w:val="en"/>
        </w:rPr>
        <w:t>R</w:t>
      </w:r>
      <w:r w:rsidRPr="001C19A5">
        <w:rPr>
          <w:rStyle w:val="Strong"/>
          <w:rFonts w:asciiTheme="minorHAnsi" w:hAnsiTheme="minorHAnsi"/>
          <w:color w:val="111111"/>
          <w:sz w:val="18"/>
          <w:szCs w:val="18"/>
          <w:lang w:val="en"/>
        </w:rPr>
        <w:t>eference:</w:t>
      </w:r>
      <w:r w:rsidRPr="001C19A5">
        <w:rPr>
          <w:rFonts w:asciiTheme="minorHAnsi" w:hAnsiTheme="minorHAnsi"/>
          <w:color w:val="111111"/>
          <w:sz w:val="18"/>
          <w:szCs w:val="18"/>
          <w:lang w:val="en"/>
        </w:rPr>
        <w:t> Fees and Payments Principles section 49</w:t>
      </w:r>
    </w:p>
    <w:p w14:paraId="4C82AC54" w14:textId="77777777" w:rsidR="0005562C" w:rsidRPr="002B7CED" w:rsidRDefault="0005562C" w:rsidP="002B7CED">
      <w:pPr>
        <w:spacing w:before="200" w:after="0"/>
        <w:rPr>
          <w:b/>
          <w:bCs/>
          <w:color w:val="0070C0"/>
          <w:sz w:val="26"/>
          <w:szCs w:val="26"/>
        </w:rPr>
      </w:pPr>
      <w:r w:rsidRPr="002B7CED">
        <w:rPr>
          <w:b/>
          <w:bCs/>
          <w:color w:val="0070C0"/>
          <w:sz w:val="26"/>
          <w:szCs w:val="26"/>
        </w:rPr>
        <w:t>Allocating responsibilities to key personnel</w:t>
      </w:r>
    </w:p>
    <w:p w14:paraId="4C19F605" w14:textId="49845F61" w:rsidR="007D3F3D" w:rsidRPr="001C19A5" w:rsidRDefault="007D3F3D"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A provider’s key personnel are defined by the roles and functions th</w:t>
      </w:r>
      <w:r w:rsidR="00C357F9" w:rsidRPr="17F94A6F">
        <w:rPr>
          <w:rFonts w:asciiTheme="minorHAnsi" w:hAnsiTheme="minorHAnsi"/>
          <w:color w:val="111111"/>
          <w:lang w:val="en-US"/>
        </w:rPr>
        <w:t>at</w:t>
      </w:r>
      <w:r w:rsidRPr="17F94A6F">
        <w:rPr>
          <w:rFonts w:asciiTheme="minorHAnsi" w:hAnsiTheme="minorHAnsi"/>
          <w:color w:val="111111"/>
          <w:lang w:val="en-US"/>
        </w:rPr>
        <w:t xml:space="preserve"> person </w:t>
      </w:r>
      <w:r w:rsidR="00C357F9" w:rsidRPr="17F94A6F">
        <w:rPr>
          <w:rFonts w:asciiTheme="minorHAnsi" w:hAnsiTheme="minorHAnsi"/>
          <w:color w:val="111111"/>
          <w:lang w:val="en-US"/>
        </w:rPr>
        <w:t xml:space="preserve">may </w:t>
      </w:r>
      <w:r w:rsidRPr="17F94A6F">
        <w:rPr>
          <w:rFonts w:asciiTheme="minorHAnsi" w:hAnsiTheme="minorHAnsi"/>
          <w:color w:val="111111"/>
          <w:lang w:val="en-US"/>
        </w:rPr>
        <w:t>perform</w:t>
      </w:r>
      <w:r w:rsidR="0026191F" w:rsidRPr="17F94A6F">
        <w:rPr>
          <w:rFonts w:asciiTheme="minorHAnsi" w:hAnsiTheme="minorHAnsi"/>
          <w:color w:val="111111"/>
          <w:lang w:val="en-US"/>
        </w:rPr>
        <w:t>.</w:t>
      </w:r>
      <w:r w:rsidRPr="17F94A6F">
        <w:rPr>
          <w:rFonts w:asciiTheme="minorHAnsi" w:hAnsiTheme="minorHAnsi"/>
          <w:color w:val="111111"/>
          <w:lang w:val="en-US"/>
        </w:rPr>
        <w:t xml:space="preserve"> </w:t>
      </w:r>
      <w:r w:rsidR="0026191F" w:rsidRPr="17F94A6F">
        <w:rPr>
          <w:rFonts w:asciiTheme="minorHAnsi" w:hAnsiTheme="minorHAnsi"/>
          <w:color w:val="111111"/>
          <w:lang w:val="en-US"/>
        </w:rPr>
        <w:t>I</w:t>
      </w:r>
      <w:r w:rsidRPr="17F94A6F">
        <w:rPr>
          <w:rFonts w:asciiTheme="minorHAnsi" w:hAnsiTheme="minorHAnsi"/>
          <w:color w:val="111111"/>
          <w:lang w:val="en-US"/>
        </w:rPr>
        <w:t xml:space="preserve">n the context of the Governance Standard, key personnel are people who have authority or responsibility for (or significant influence over) planning, </w:t>
      </w:r>
      <w:r w:rsidR="00DF2C45" w:rsidRPr="17F94A6F">
        <w:rPr>
          <w:rFonts w:asciiTheme="minorHAnsi" w:hAnsiTheme="minorHAnsi"/>
          <w:color w:val="111111"/>
          <w:lang w:val="en-US"/>
        </w:rPr>
        <w:t>directing,</w:t>
      </w:r>
      <w:r w:rsidRPr="17F94A6F">
        <w:rPr>
          <w:rFonts w:asciiTheme="minorHAnsi" w:hAnsiTheme="minorHAnsi"/>
          <w:color w:val="111111"/>
          <w:lang w:val="en-US"/>
        </w:rPr>
        <w:t xml:space="preserve"> or controlling the management of refundable </w:t>
      </w:r>
      <w:r w:rsidR="0018400B" w:rsidRPr="17F94A6F">
        <w:rPr>
          <w:rFonts w:asciiTheme="minorHAnsi" w:hAnsiTheme="minorHAnsi"/>
          <w:color w:val="111111"/>
          <w:lang w:val="en-US"/>
        </w:rPr>
        <w:t xml:space="preserve">deposits and </w:t>
      </w:r>
      <w:r w:rsidRPr="17F94A6F">
        <w:rPr>
          <w:rFonts w:asciiTheme="minorHAnsi" w:hAnsiTheme="minorHAnsi"/>
          <w:color w:val="111111"/>
          <w:lang w:val="en-US"/>
        </w:rPr>
        <w:t>bonds.</w:t>
      </w:r>
    </w:p>
    <w:p w14:paraId="1B00000D" w14:textId="79CECF20"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It is important for providers to clearly define the person or position that has responsibility for managing refundable deposits or bonds, and what those responsibilities are. This ensures that people with responsibilities for refundable deposits or bonds are aware of their role and that the giving of responsibility for the management of refundable deposits or bonds is conscious and documented. </w:t>
      </w:r>
      <w:r w:rsidR="00DF3ED2" w:rsidRPr="17F94A6F">
        <w:rPr>
          <w:rFonts w:asciiTheme="minorHAnsi" w:hAnsiTheme="minorHAnsi"/>
          <w:color w:val="111111"/>
          <w:lang w:val="en-US"/>
        </w:rPr>
        <w:t>This will also assist the Commission in managing any compliance issues</w:t>
      </w:r>
      <w:r w:rsidRPr="17F94A6F">
        <w:rPr>
          <w:rFonts w:asciiTheme="minorHAnsi" w:hAnsiTheme="minorHAnsi"/>
          <w:color w:val="111111"/>
          <w:lang w:val="en-US"/>
        </w:rPr>
        <w:t>.</w:t>
      </w:r>
    </w:p>
    <w:p w14:paraId="6A0EAB37" w14:textId="7CC6C5BC" w:rsidR="0005562C" w:rsidRPr="001C19A5" w:rsidRDefault="0005562C" w:rsidP="4E34EEE7">
      <w:pPr>
        <w:pStyle w:val="NormalWeb"/>
        <w:spacing w:after="120" w:line="240" w:lineRule="auto"/>
        <w:rPr>
          <w:rFonts w:asciiTheme="minorHAnsi" w:hAnsiTheme="minorHAnsi"/>
          <w:sz w:val="18"/>
          <w:szCs w:val="18"/>
          <w:lang w:val="en"/>
        </w:rPr>
      </w:pPr>
      <w:r w:rsidRPr="366203FB">
        <w:rPr>
          <w:rFonts w:asciiTheme="minorHAnsi" w:hAnsiTheme="minorHAnsi"/>
          <w:color w:val="111111"/>
          <w:lang w:val="en"/>
        </w:rPr>
        <w:t>The key personnel responsible for refundable deposits or bonds will vary depending on the corporate complexity of the provider. For a small provider with a single service, the key personnel may, for example, be the Director of the provider entity. For more complex providers, the key personnel may, for example, be the Chief Financial Officer and the members of the governing board</w:t>
      </w:r>
      <w:r w:rsidR="00462BA2" w:rsidRPr="366203FB">
        <w:rPr>
          <w:rFonts w:asciiTheme="minorHAnsi" w:hAnsiTheme="minorHAnsi"/>
          <w:color w:val="111111"/>
          <w:lang w:val="en"/>
        </w:rPr>
        <w:t>, or the Executive</w:t>
      </w:r>
      <w:r w:rsidRPr="366203FB">
        <w:rPr>
          <w:rFonts w:asciiTheme="minorHAnsi" w:hAnsiTheme="minorHAnsi"/>
          <w:color w:val="111111"/>
          <w:lang w:val="en"/>
        </w:rPr>
        <w:t>.</w:t>
      </w:r>
      <w:r>
        <w:br/>
      </w:r>
      <w:r w:rsidR="00322178" w:rsidRPr="366203FB">
        <w:rPr>
          <w:rStyle w:val="Strong"/>
          <w:rFonts w:asciiTheme="minorHAnsi" w:hAnsiTheme="minorHAnsi"/>
          <w:color w:val="111111"/>
          <w:sz w:val="18"/>
          <w:szCs w:val="18"/>
          <w:lang w:val="en"/>
        </w:rPr>
        <w:t>R</w:t>
      </w:r>
      <w:r w:rsidRPr="366203FB">
        <w:rPr>
          <w:rStyle w:val="Strong"/>
          <w:rFonts w:asciiTheme="minorHAnsi" w:hAnsiTheme="minorHAnsi"/>
          <w:color w:val="111111"/>
          <w:sz w:val="18"/>
          <w:szCs w:val="18"/>
          <w:lang w:val="en"/>
        </w:rPr>
        <w:t>eference:</w:t>
      </w:r>
      <w:r w:rsidRPr="366203FB">
        <w:rPr>
          <w:rFonts w:asciiTheme="minorHAnsi" w:hAnsiTheme="minorHAnsi"/>
          <w:color w:val="111111"/>
          <w:sz w:val="18"/>
          <w:szCs w:val="18"/>
          <w:lang w:val="en"/>
        </w:rPr>
        <w:t xml:space="preserve"> The</w:t>
      </w:r>
      <w:r w:rsidR="00E16A85" w:rsidRPr="366203FB">
        <w:rPr>
          <w:rFonts w:asciiTheme="minorHAnsi" w:hAnsiTheme="minorHAnsi"/>
          <w:color w:val="111111"/>
          <w:sz w:val="18"/>
          <w:szCs w:val="18"/>
          <w:lang w:val="en"/>
        </w:rPr>
        <w:t xml:space="preserve"> Aged Care Quality and Safety Commission Act 2018</w:t>
      </w:r>
      <w:r w:rsidRPr="366203FB">
        <w:rPr>
          <w:rFonts w:asciiTheme="minorHAnsi" w:hAnsiTheme="minorHAnsi"/>
          <w:sz w:val="18"/>
          <w:szCs w:val="18"/>
          <w:lang w:val="en"/>
        </w:rPr>
        <w:t xml:space="preserve"> </w:t>
      </w:r>
      <w:hyperlink r:id="rId26" w:anchor="_Toc406164538" w:history="1">
        <w:r w:rsidRPr="366203FB">
          <w:rPr>
            <w:rStyle w:val="Hyperlink"/>
            <w:rFonts w:asciiTheme="minorHAnsi" w:hAnsiTheme="minorHAnsi"/>
            <w:color w:val="auto"/>
            <w:sz w:val="18"/>
            <w:szCs w:val="18"/>
            <w:u w:val="none"/>
            <w:lang w:val="en"/>
          </w:rPr>
          <w:t>section 8</w:t>
        </w:r>
        <w:r w:rsidR="00653530" w:rsidRPr="366203FB">
          <w:rPr>
            <w:rStyle w:val="Hyperlink"/>
            <w:rFonts w:asciiTheme="minorHAnsi" w:hAnsiTheme="minorHAnsi"/>
            <w:color w:val="auto"/>
            <w:sz w:val="18"/>
            <w:szCs w:val="18"/>
            <w:u w:val="none"/>
            <w:lang w:val="en"/>
          </w:rPr>
          <w:t>B</w:t>
        </w:r>
      </w:hyperlink>
    </w:p>
    <w:p w14:paraId="4FCB5B89" w14:textId="77777777" w:rsidR="0005562C" w:rsidRPr="002B7CED" w:rsidRDefault="0005562C" w:rsidP="002B7CED">
      <w:pPr>
        <w:spacing w:before="200" w:after="0"/>
        <w:rPr>
          <w:b/>
          <w:bCs/>
          <w:color w:val="0070C0"/>
          <w:sz w:val="26"/>
          <w:szCs w:val="26"/>
        </w:rPr>
      </w:pPr>
      <w:r w:rsidRPr="002B7CED">
        <w:rPr>
          <w:b/>
          <w:bCs/>
          <w:color w:val="0070C0"/>
          <w:sz w:val="26"/>
          <w:szCs w:val="26"/>
        </w:rPr>
        <w:t>Monitoring and controlling delegations</w:t>
      </w:r>
    </w:p>
    <w:p w14:paraId="47836897" w14:textId="05F3A4FB"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Key personnel responsible for managing refundable deposits or bonds, and staff with delegated responsibilities for managing refundable deposits or bonds should have their responsibilities documented as part of their position descriptions. Responsibilities that might be delegated by key personnel to staff include calculating and processing refundable deposit balance refunds or bond balance refunds, monitoring the allocation and use of refundable deposits or bonds, updating the refundable deposit </w:t>
      </w:r>
      <w:r w:rsidR="0060734F" w:rsidRPr="17F94A6F">
        <w:rPr>
          <w:rFonts w:asciiTheme="minorHAnsi" w:hAnsiTheme="minorHAnsi"/>
          <w:color w:val="111111"/>
          <w:lang w:val="en-US"/>
        </w:rPr>
        <w:t>register,</w:t>
      </w:r>
      <w:r w:rsidRPr="17F94A6F">
        <w:rPr>
          <w:rFonts w:asciiTheme="minorHAnsi" w:hAnsiTheme="minorHAnsi"/>
          <w:color w:val="111111"/>
          <w:lang w:val="en-US"/>
        </w:rPr>
        <w:t xml:space="preserve"> and responding to requests for information.</w:t>
      </w:r>
    </w:p>
    <w:p w14:paraId="1750502F" w14:textId="328E3735"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w:t>
      </w:r>
      <w:r w:rsidR="00C245E4" w:rsidRPr="17F94A6F">
        <w:rPr>
          <w:rFonts w:asciiTheme="minorHAnsi" w:hAnsiTheme="minorHAnsi"/>
          <w:color w:val="111111"/>
          <w:lang w:val="en-US"/>
        </w:rPr>
        <w:t>rough trend analysis of the APCS, it</w:t>
      </w:r>
      <w:r w:rsidRPr="17F94A6F">
        <w:rPr>
          <w:rFonts w:asciiTheme="minorHAnsi" w:hAnsiTheme="minorHAnsi"/>
          <w:color w:val="111111"/>
          <w:lang w:val="en-US"/>
        </w:rPr>
        <w:t xml:space="preserve"> has</w:t>
      </w:r>
      <w:r w:rsidR="00C245E4" w:rsidRPr="17F94A6F">
        <w:rPr>
          <w:rFonts w:asciiTheme="minorHAnsi" w:hAnsiTheme="minorHAnsi"/>
          <w:color w:val="111111"/>
          <w:lang w:val="en-US"/>
        </w:rPr>
        <w:t xml:space="preserve"> been</w:t>
      </w:r>
      <w:r w:rsidRPr="17F94A6F">
        <w:rPr>
          <w:rFonts w:asciiTheme="minorHAnsi" w:hAnsiTheme="minorHAnsi"/>
          <w:color w:val="111111"/>
          <w:lang w:val="en-US"/>
        </w:rPr>
        <w:t xml:space="preserve"> identified that late </w:t>
      </w:r>
      <w:r w:rsidR="00C245E4" w:rsidRPr="17F94A6F">
        <w:rPr>
          <w:rFonts w:asciiTheme="minorHAnsi" w:hAnsiTheme="minorHAnsi"/>
          <w:color w:val="111111"/>
          <w:lang w:val="en-US"/>
        </w:rPr>
        <w:t>refunds of accommodation deposits or bonds</w:t>
      </w:r>
      <w:r w:rsidRPr="17F94A6F">
        <w:rPr>
          <w:rFonts w:asciiTheme="minorHAnsi" w:hAnsiTheme="minorHAnsi"/>
          <w:color w:val="111111"/>
          <w:lang w:val="en-US"/>
        </w:rPr>
        <w:t xml:space="preserve"> are often due to inadequate administrative controls over the refund processes or a lack of knowledge by staff of refund obligations.</w:t>
      </w:r>
    </w:p>
    <w:p w14:paraId="7F20E10E"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The governance system must ensure that key personnel responsible for managing refundable deposits and/or bonds, and staff or other people who have a role in managing refundable deposits and/or bonds, are aware of the legal requirements for refundable deposits and bonds. This should include ensuring that a provider plans for when these staff are on leave or unexpectedly absent. Such leave or absence does not in any way affect a provider's obligations to refund refundable deposit balances or bond balances when they fall due.</w:t>
      </w:r>
    </w:p>
    <w:p w14:paraId="2B66C8F4" w14:textId="77777777" w:rsidR="0005562C" w:rsidRPr="002B7CED" w:rsidRDefault="0005562C" w:rsidP="002B7CED">
      <w:pPr>
        <w:spacing w:before="200" w:after="0"/>
        <w:rPr>
          <w:b/>
          <w:bCs/>
          <w:color w:val="0070C0"/>
          <w:sz w:val="26"/>
          <w:szCs w:val="26"/>
        </w:rPr>
      </w:pPr>
      <w:r w:rsidRPr="002B7CED">
        <w:rPr>
          <w:b/>
          <w:bCs/>
          <w:color w:val="0070C0"/>
          <w:sz w:val="26"/>
          <w:szCs w:val="26"/>
        </w:rPr>
        <w:t>Reporting mechanisms</w:t>
      </w:r>
    </w:p>
    <w:p w14:paraId="2137FDA7" w14:textId="77777777" w:rsidR="0005562C" w:rsidRPr="001C19A5" w:rsidRDefault="0005562C" w:rsidP="17F94A6F">
      <w:pPr>
        <w:pStyle w:val="NormalWeb"/>
        <w:spacing w:after="120" w:line="240" w:lineRule="auto"/>
        <w:rPr>
          <w:rStyle w:val="Strong"/>
          <w:rFonts w:asciiTheme="minorHAnsi" w:hAnsiTheme="minorHAnsi"/>
          <w:b w:val="0"/>
          <w:bCs w:val="0"/>
          <w:color w:val="111111"/>
          <w:lang w:val="en-US"/>
        </w:rPr>
      </w:pPr>
      <w:r w:rsidRPr="17F94A6F">
        <w:rPr>
          <w:rFonts w:asciiTheme="minorHAnsi" w:hAnsiTheme="minorHAnsi"/>
          <w:color w:val="111111"/>
          <w:lang w:val="en-US"/>
        </w:rPr>
        <w:t xml:space="preserve">The reporting mechanisms a provider may have in place to ensure that responsible key personnel can monitor and control the use of refundable deposits or bonds will depend on the size and complexity of the provider and the sophistication of the management of refundable deposits or </w:t>
      </w:r>
      <w:r w:rsidRPr="17F94A6F">
        <w:rPr>
          <w:rFonts w:asciiTheme="minorHAnsi" w:hAnsiTheme="minorHAnsi"/>
          <w:color w:val="111111"/>
          <w:lang w:val="en-US"/>
        </w:rPr>
        <w:lastRenderedPageBreak/>
        <w:t>bonds. For example, a small provider with a single service may deposit all of its refundable deposits or bonds into a banking account with an authorised deposit-taking institution (ADI) and use that account to refund refundable deposit balances or bond balances. In this case, the reporting mechanism may be as simple as ensuring periodic review of the refundable deposit register and statements for the banking account. Larger and more complex businesses will require more sophisticated monitoring and control of the use of refundable deposits and bonds.</w:t>
      </w:r>
    </w:p>
    <w:p w14:paraId="7C0AAE4E" w14:textId="77777777" w:rsidR="0005562C" w:rsidRPr="002B7CED" w:rsidRDefault="0005562C" w:rsidP="002B7CED">
      <w:pPr>
        <w:spacing w:before="200" w:after="0"/>
        <w:rPr>
          <w:b/>
          <w:bCs/>
          <w:color w:val="0070C0"/>
          <w:sz w:val="26"/>
          <w:szCs w:val="26"/>
        </w:rPr>
      </w:pPr>
      <w:r w:rsidRPr="002B7CED">
        <w:rPr>
          <w:b/>
          <w:bCs/>
          <w:color w:val="0070C0"/>
          <w:sz w:val="26"/>
          <w:szCs w:val="26"/>
        </w:rPr>
        <w:t>Detecting, recording and addressing non-compliance</w:t>
      </w:r>
    </w:p>
    <w:p w14:paraId="40CDE0D8" w14:textId="0E06A929"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Providers holding refundable deposits or bonds must ensure that their governance system has mechanisms for detecting, </w:t>
      </w:r>
      <w:r w:rsidR="00EB35FF" w:rsidRPr="17F94A6F">
        <w:rPr>
          <w:rFonts w:asciiTheme="minorHAnsi" w:hAnsiTheme="minorHAnsi"/>
          <w:color w:val="111111"/>
          <w:lang w:val="en-US"/>
        </w:rPr>
        <w:t>recording,</w:t>
      </w:r>
      <w:r w:rsidRPr="17F94A6F">
        <w:rPr>
          <w:rFonts w:asciiTheme="minorHAnsi" w:hAnsiTheme="minorHAnsi"/>
          <w:color w:val="111111"/>
          <w:lang w:val="en-US"/>
        </w:rPr>
        <w:t xml:space="preserve"> and addressing non-compliance with the requirements for refundable deposits and bonds. It is important to ensure that the key personnel and other persons with responsibility for refundable deposits or bonds are aware of the requirements of the Act and the Fees and Payments Principles in relation to refundable deposits and bonds.</w:t>
      </w:r>
    </w:p>
    <w:p w14:paraId="34040C75" w14:textId="25982DFE" w:rsidR="001A06F2"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Providers should establish, for example, mechanisms to identify and address the late repayment of refundable deposit balances or bond balances, insufficient liquidity to pay refundable deposit balances or bond balances, non-compliance with requests for information from </w:t>
      </w:r>
      <w:r w:rsidR="009978D8">
        <w:rPr>
          <w:rFonts w:asciiTheme="minorHAnsi" w:hAnsiTheme="minorHAnsi"/>
          <w:color w:val="111111"/>
          <w:lang w:val="en-US"/>
        </w:rPr>
        <w:t>resident</w:t>
      </w:r>
      <w:r w:rsidRPr="17F94A6F">
        <w:rPr>
          <w:rFonts w:asciiTheme="minorHAnsi" w:hAnsiTheme="minorHAnsi"/>
          <w:color w:val="111111"/>
          <w:lang w:val="en-US"/>
        </w:rPr>
        <w:t>s, and non-compliance with permitted use requirements.</w:t>
      </w:r>
    </w:p>
    <w:p w14:paraId="353797B6" w14:textId="2DE48D0E" w:rsidR="002134CE" w:rsidRPr="002B7CED" w:rsidRDefault="0005562C" w:rsidP="002B7CED">
      <w:pPr>
        <w:spacing w:before="200" w:after="0"/>
        <w:rPr>
          <w:b/>
          <w:bCs/>
          <w:color w:val="0070C0"/>
          <w:sz w:val="26"/>
          <w:szCs w:val="26"/>
        </w:rPr>
      </w:pPr>
      <w:r w:rsidRPr="002B7CED">
        <w:rPr>
          <w:b/>
          <w:bCs/>
          <w:color w:val="0070C0"/>
          <w:sz w:val="26"/>
          <w:szCs w:val="26"/>
        </w:rPr>
        <w:t>Review of the Governance System</w:t>
      </w:r>
    </w:p>
    <w:p w14:paraId="30C3E168" w14:textId="77777777" w:rsidR="0005562C" w:rsidRPr="001C19A5" w:rsidRDefault="0005562C" w:rsidP="00C61320">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Providers may experience changes to their business which may require updating their documented governance system, including:</w:t>
      </w:r>
    </w:p>
    <w:p w14:paraId="65AB26C6" w14:textId="51E8EEDF" w:rsidR="005E6ACD" w:rsidRPr="001C19A5" w:rsidRDefault="0005562C" w:rsidP="001A3223">
      <w:pPr>
        <w:pStyle w:val="ListParagraph"/>
        <w:numPr>
          <w:ilvl w:val="0"/>
          <w:numId w:val="10"/>
        </w:numPr>
        <w:tabs>
          <w:tab w:val="clear" w:pos="720"/>
        </w:tabs>
        <w:spacing w:before="0" w:after="0"/>
        <w:ind w:left="851" w:hanging="425"/>
        <w:rPr>
          <w:rFonts w:asciiTheme="minorHAnsi" w:hAnsiTheme="minorHAnsi" w:cs="Arial"/>
          <w:sz w:val="24"/>
          <w:szCs w:val="24"/>
        </w:rPr>
      </w:pPr>
      <w:r w:rsidRPr="001C19A5">
        <w:rPr>
          <w:rFonts w:asciiTheme="minorHAnsi" w:hAnsiTheme="minorHAnsi" w:cs="Arial"/>
          <w:sz w:val="24"/>
          <w:szCs w:val="24"/>
        </w:rPr>
        <w:t>changes to key personnel</w:t>
      </w:r>
    </w:p>
    <w:p w14:paraId="71FB6B85" w14:textId="46E48AFF" w:rsidR="005E6ACD" w:rsidRPr="001C19A5" w:rsidRDefault="0005562C" w:rsidP="001A3223">
      <w:pPr>
        <w:pStyle w:val="ListParagraph"/>
        <w:numPr>
          <w:ilvl w:val="0"/>
          <w:numId w:val="10"/>
        </w:numPr>
        <w:tabs>
          <w:tab w:val="clear" w:pos="720"/>
        </w:tabs>
        <w:spacing w:before="0" w:after="0"/>
        <w:ind w:left="851" w:hanging="425"/>
        <w:rPr>
          <w:rFonts w:asciiTheme="minorHAnsi" w:hAnsiTheme="minorHAnsi" w:cs="Arial"/>
          <w:sz w:val="24"/>
          <w:szCs w:val="24"/>
        </w:rPr>
      </w:pPr>
      <w:r w:rsidRPr="001C19A5">
        <w:rPr>
          <w:rFonts w:asciiTheme="minorHAnsi" w:hAnsiTheme="minorHAnsi" w:cs="Arial"/>
          <w:sz w:val="24"/>
          <w:szCs w:val="24"/>
        </w:rPr>
        <w:t>changes to corporate structure</w:t>
      </w:r>
    </w:p>
    <w:p w14:paraId="5558B53E" w14:textId="77777777" w:rsidR="005E6ACD" w:rsidRPr="001C19A5" w:rsidRDefault="0005562C" w:rsidP="001A3223">
      <w:pPr>
        <w:pStyle w:val="ListParagraph"/>
        <w:numPr>
          <w:ilvl w:val="0"/>
          <w:numId w:val="10"/>
        </w:numPr>
        <w:tabs>
          <w:tab w:val="clear" w:pos="720"/>
        </w:tabs>
        <w:spacing w:before="0" w:after="0"/>
        <w:ind w:left="851" w:hanging="425"/>
        <w:rPr>
          <w:rFonts w:asciiTheme="minorHAnsi" w:hAnsiTheme="minorHAnsi" w:cs="Arial"/>
          <w:sz w:val="24"/>
          <w:szCs w:val="24"/>
        </w:rPr>
      </w:pPr>
      <w:r w:rsidRPr="001C19A5">
        <w:rPr>
          <w:rFonts w:asciiTheme="minorHAnsi" w:hAnsiTheme="minorHAnsi" w:cs="Arial"/>
          <w:sz w:val="24"/>
          <w:szCs w:val="24"/>
        </w:rPr>
        <w:t>changes to outsourcing of responsibilities for managing refundable deposits or bonds, and</w:t>
      </w:r>
    </w:p>
    <w:p w14:paraId="472DE2F7" w14:textId="60477D0C" w:rsidR="0005562C" w:rsidRPr="001C19A5" w:rsidRDefault="0005562C" w:rsidP="001A3223">
      <w:pPr>
        <w:pStyle w:val="ListParagraph"/>
        <w:numPr>
          <w:ilvl w:val="0"/>
          <w:numId w:val="10"/>
        </w:numPr>
        <w:tabs>
          <w:tab w:val="clear" w:pos="720"/>
        </w:tabs>
        <w:spacing w:before="0" w:after="40"/>
        <w:ind w:left="850" w:hanging="425"/>
        <w:rPr>
          <w:rFonts w:asciiTheme="minorHAnsi" w:hAnsiTheme="minorHAnsi" w:cs="Arial"/>
          <w:sz w:val="24"/>
          <w:szCs w:val="24"/>
        </w:rPr>
      </w:pPr>
      <w:r w:rsidRPr="001C19A5">
        <w:rPr>
          <w:rFonts w:asciiTheme="minorHAnsi" w:hAnsiTheme="minorHAnsi" w:cs="Arial"/>
          <w:sz w:val="24"/>
          <w:szCs w:val="24"/>
        </w:rPr>
        <w:t>acquisition or divestment of aged care services</w:t>
      </w:r>
    </w:p>
    <w:p w14:paraId="4668F698" w14:textId="77777777" w:rsidR="0005562C" w:rsidRPr="001C19A5" w:rsidRDefault="0005562C" w:rsidP="0005562C">
      <w:pPr>
        <w:pStyle w:val="NormalWeb"/>
        <w:spacing w:after="120" w:line="240" w:lineRule="auto"/>
        <w:rPr>
          <w:rStyle w:val="Strong"/>
          <w:rFonts w:asciiTheme="minorHAnsi" w:hAnsiTheme="minorHAnsi"/>
          <w:b w:val="0"/>
          <w:bCs w:val="0"/>
          <w:color w:val="111111"/>
          <w:lang w:val="en"/>
        </w:rPr>
      </w:pPr>
      <w:r w:rsidRPr="001C19A5">
        <w:rPr>
          <w:rFonts w:asciiTheme="minorHAnsi" w:hAnsiTheme="minorHAnsi"/>
          <w:color w:val="111111"/>
          <w:lang w:val="en"/>
        </w:rPr>
        <w:t>Where a provider detects non-compliance with the requirements for refundable deposits or bonds, the governance system should be reviewed.</w:t>
      </w:r>
    </w:p>
    <w:p w14:paraId="43C90F64" w14:textId="77777777" w:rsidR="0005562C" w:rsidRPr="001C19A5" w:rsidRDefault="0005562C" w:rsidP="006A09DE">
      <w:pPr>
        <w:spacing w:after="120"/>
        <w:rPr>
          <w:sz w:val="24"/>
          <w:szCs w:val="24"/>
        </w:rPr>
      </w:pPr>
      <w:r w:rsidRPr="001C19A5">
        <w:rPr>
          <w:rStyle w:val="Strong"/>
          <w:sz w:val="24"/>
          <w:szCs w:val="24"/>
        </w:rPr>
        <w:t>Can the requirements of the Governance Standard be incorporated into existing corporate governance documents?</w:t>
      </w:r>
    </w:p>
    <w:p w14:paraId="136057EE" w14:textId="77777777" w:rsidR="0005562C" w:rsidRPr="001C19A5" w:rsidRDefault="0005562C" w:rsidP="17F94A6F">
      <w:pPr>
        <w:pStyle w:val="NormalWeb"/>
        <w:spacing w:after="120" w:line="240" w:lineRule="auto"/>
        <w:rPr>
          <w:rStyle w:val="Strong"/>
          <w:rFonts w:asciiTheme="minorHAnsi" w:hAnsiTheme="minorHAnsi"/>
          <w:b w:val="0"/>
          <w:bCs w:val="0"/>
          <w:color w:val="111111"/>
          <w:lang w:val="en-US"/>
        </w:rPr>
      </w:pPr>
      <w:bookmarkStart w:id="2" w:name="_Hlk136794447"/>
      <w:r w:rsidRPr="17F94A6F">
        <w:rPr>
          <w:rFonts w:asciiTheme="minorHAnsi" w:hAnsiTheme="minorHAnsi"/>
          <w:color w:val="111111"/>
          <w:lang w:val="en-US"/>
        </w:rPr>
        <w:t>The requirements of the Governance Standard can be included in broader corporate documents of the provider. However, providers must clearly identify where the governance arrangements relate to the management of refundable deposits or bonds in order to demonstrate their compliance with the prudential requirements to their auditor.</w:t>
      </w:r>
    </w:p>
    <w:bookmarkEnd w:id="2"/>
    <w:p w14:paraId="721A0ED0" w14:textId="77777777" w:rsidR="0005562C" w:rsidRPr="002B7CED" w:rsidRDefault="0005562C" w:rsidP="002B7CED">
      <w:pPr>
        <w:spacing w:before="200" w:after="0"/>
        <w:rPr>
          <w:b/>
          <w:bCs/>
          <w:color w:val="0070C0"/>
          <w:sz w:val="26"/>
          <w:szCs w:val="26"/>
        </w:rPr>
      </w:pPr>
      <w:r w:rsidRPr="002B7CED">
        <w:rPr>
          <w:b/>
          <w:bCs/>
          <w:color w:val="0070C0"/>
          <w:sz w:val="26"/>
          <w:szCs w:val="26"/>
        </w:rPr>
        <w:t>Investment Management Strategy</w:t>
      </w:r>
    </w:p>
    <w:p w14:paraId="6CB73B18" w14:textId="518E426C"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Where refundable deposits and bonds are not immediately required for other permitted uses, providers may choose to invest them in order to generate additional income. The Act allows for refundable deposits and bonds to be invested in a broad range of financial products and in RCDFs. This enables providers to manage their financial investments in line with their broader business model and corporate capabilities and provides an additional source of income (see section 63(c), Fees and Payments Principles).</w:t>
      </w:r>
    </w:p>
    <w:p w14:paraId="4C62F989" w14:textId="1A8374BB"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While investment in particular financial products and RCDFs is a permitted use for refundable deposits and bonds, these investments bring with them a range of risks that need to be recognised and appropriately managed. If investing bonds or refundable deposits in financial products other than a deposit facility (made available by an ADI in the course of its banking business) or in a RCDF, providers must implement and maintain an IMS, (see section 50, Fees and Payments Principles).</w:t>
      </w:r>
    </w:p>
    <w:p w14:paraId="0C0BD351" w14:textId="6B748F6E"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lastRenderedPageBreak/>
        <w:t>If a provider invests bonds and refundable deposits solely in a deposit taking facility provided by an ADI, then the provider is not required to impleme</w:t>
      </w:r>
      <w:r w:rsidRPr="17F94A6F">
        <w:rPr>
          <w:rFonts w:asciiTheme="minorHAnsi" w:hAnsiTheme="minorHAnsi"/>
          <w:lang w:val="en-US"/>
        </w:rPr>
        <w:t xml:space="preserve">nt an IMS. A </w:t>
      </w:r>
      <w:hyperlink r:id="rId27">
        <w:r w:rsidRPr="17F94A6F">
          <w:rPr>
            <w:rStyle w:val="Hyperlink"/>
            <w:rFonts w:asciiTheme="minorHAnsi" w:hAnsiTheme="minorHAnsi"/>
            <w:color w:val="auto"/>
            <w:u w:val="none"/>
            <w:lang w:val="en-US"/>
          </w:rPr>
          <w:t>list of ADIs</w:t>
        </w:r>
      </w:hyperlink>
      <w:r w:rsidRPr="17F94A6F">
        <w:rPr>
          <w:rFonts w:asciiTheme="minorHAnsi" w:hAnsiTheme="minorHAnsi"/>
          <w:lang w:val="en-US"/>
        </w:rPr>
        <w:t xml:space="preserve"> is located at </w:t>
      </w:r>
      <w:hyperlink r:id="rId28">
        <w:r w:rsidR="0008327B" w:rsidRPr="17F94A6F">
          <w:rPr>
            <w:rStyle w:val="Hyperlink"/>
            <w:rFonts w:asciiTheme="minorHAnsi" w:hAnsiTheme="minorHAnsi"/>
            <w:lang w:val="en-US"/>
          </w:rPr>
          <w:t>https://www.apra.gov.au/register-of-authorised-deposit-taking-institutions</w:t>
        </w:r>
      </w:hyperlink>
      <w:r w:rsidR="0008327B" w:rsidRPr="17F94A6F">
        <w:rPr>
          <w:rFonts w:asciiTheme="minorHAnsi" w:hAnsiTheme="minorHAnsi"/>
          <w:lang w:val="en-US"/>
        </w:rPr>
        <w:t>.</w:t>
      </w:r>
      <w:r w:rsidR="007073EA" w:rsidRPr="17F94A6F">
        <w:rPr>
          <w:rFonts w:asciiTheme="minorHAnsi" w:hAnsiTheme="minorHAnsi"/>
          <w:lang w:val="en-US"/>
        </w:rPr>
        <w:t xml:space="preserve"> </w:t>
      </w:r>
    </w:p>
    <w:p w14:paraId="3CB67609" w14:textId="3C06EAF3"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The aim of an IMS is to ensure that providers have arrangements in place to make informed and prudent decisions on the investment of refundable deposits or bonds, to assess the risks of financial investments, including to their liquidity and obligation to refund refundable deposits or bond balances, and respond to changing risk. This approach ensures that regulation targets the main risks arising from providers investing refundable deposits or bonds, while minimising the regulation of </w:t>
      </w:r>
      <w:r w:rsidR="00EB35FF" w:rsidRPr="17F94A6F">
        <w:rPr>
          <w:rFonts w:asciiTheme="minorHAnsi" w:hAnsiTheme="minorHAnsi"/>
          <w:color w:val="111111"/>
          <w:lang w:val="en-US"/>
        </w:rPr>
        <w:t>low-risk</w:t>
      </w:r>
      <w:r w:rsidRPr="17F94A6F">
        <w:rPr>
          <w:rFonts w:asciiTheme="minorHAnsi" w:hAnsiTheme="minorHAnsi"/>
          <w:color w:val="111111"/>
          <w:lang w:val="en-US"/>
        </w:rPr>
        <w:t xml:space="preserve"> investments.</w:t>
      </w:r>
    </w:p>
    <w:p w14:paraId="3EDB062B" w14:textId="77777777" w:rsidR="0005562C" w:rsidRPr="001C19A5" w:rsidRDefault="0005562C" w:rsidP="00176637">
      <w:pPr>
        <w:spacing w:after="0" w:line="240" w:lineRule="auto"/>
        <w:rPr>
          <w:color w:val="111111"/>
          <w:sz w:val="24"/>
          <w:szCs w:val="24"/>
          <w:lang w:val="en"/>
        </w:rPr>
      </w:pPr>
      <w:r w:rsidRPr="001C19A5">
        <w:rPr>
          <w:color w:val="111111"/>
          <w:sz w:val="24"/>
          <w:szCs w:val="24"/>
          <w:lang w:val="en"/>
        </w:rPr>
        <w:t>The requirement for an IMS ensures that the executive decision makers of providers have considered and addressed the prudential and other risks that these investments may pose.</w:t>
      </w:r>
    </w:p>
    <w:p w14:paraId="738883B9" w14:textId="036445AC" w:rsidR="0005562C" w:rsidRPr="001C19A5" w:rsidRDefault="00322178" w:rsidP="0005562C">
      <w:pPr>
        <w:rPr>
          <w:color w:val="111111"/>
          <w:sz w:val="18"/>
          <w:szCs w:val="18"/>
          <w:lang w:val="en"/>
        </w:rPr>
      </w:pPr>
      <w:r w:rsidRPr="001C19A5">
        <w:rPr>
          <w:rStyle w:val="Strong"/>
          <w:color w:val="111111"/>
          <w:sz w:val="18"/>
          <w:szCs w:val="18"/>
          <w:lang w:val="en"/>
        </w:rPr>
        <w:t>R</w:t>
      </w:r>
      <w:r w:rsidR="0005562C" w:rsidRPr="001C19A5">
        <w:rPr>
          <w:rStyle w:val="Strong"/>
          <w:color w:val="111111"/>
          <w:sz w:val="18"/>
          <w:szCs w:val="18"/>
          <w:lang w:val="en"/>
        </w:rPr>
        <w:t>eference: </w:t>
      </w:r>
      <w:r w:rsidR="0005562C" w:rsidRPr="001C19A5">
        <w:rPr>
          <w:color w:val="111111"/>
          <w:sz w:val="18"/>
          <w:szCs w:val="18"/>
          <w:lang w:val="en"/>
        </w:rPr>
        <w:t>Fees and Payments Principles section 50</w:t>
      </w:r>
      <w:r w:rsidR="00C2010B">
        <w:rPr>
          <w:color w:val="111111"/>
          <w:sz w:val="18"/>
          <w:szCs w:val="18"/>
          <w:lang w:val="en"/>
        </w:rPr>
        <w:t>,</w:t>
      </w:r>
      <w:r w:rsidR="0005562C" w:rsidRPr="001C19A5">
        <w:rPr>
          <w:color w:val="111111"/>
          <w:sz w:val="18"/>
          <w:szCs w:val="18"/>
          <w:lang w:val="en"/>
        </w:rPr>
        <w:t xml:space="preserve"> section 63</w:t>
      </w:r>
    </w:p>
    <w:p w14:paraId="573243D2" w14:textId="660DCC11" w:rsidR="0005562C" w:rsidRPr="002B7CED" w:rsidRDefault="0005562C" w:rsidP="002B7CED">
      <w:pPr>
        <w:spacing w:before="200" w:after="0"/>
        <w:rPr>
          <w:b/>
          <w:bCs/>
          <w:color w:val="0070C0"/>
          <w:sz w:val="26"/>
          <w:szCs w:val="26"/>
        </w:rPr>
      </w:pPr>
      <w:r w:rsidRPr="002B7CED">
        <w:rPr>
          <w:b/>
          <w:bCs/>
          <w:color w:val="0070C0"/>
          <w:sz w:val="26"/>
          <w:szCs w:val="26"/>
        </w:rPr>
        <w:t>Requirements of an Investment Management S</w:t>
      </w:r>
      <w:r w:rsidR="006569ED" w:rsidRPr="002B7CED">
        <w:rPr>
          <w:b/>
          <w:bCs/>
          <w:color w:val="0070C0"/>
          <w:sz w:val="26"/>
          <w:szCs w:val="26"/>
        </w:rPr>
        <w:t>trategy</w:t>
      </w:r>
    </w:p>
    <w:p w14:paraId="3E60B39E" w14:textId="1C760D92" w:rsidR="0005562C" w:rsidRPr="001C19A5" w:rsidRDefault="0005562C" w:rsidP="00C61320">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At a minimum, an IMS</w:t>
      </w:r>
      <w:r w:rsidR="00F07C7B">
        <w:rPr>
          <w:rFonts w:asciiTheme="minorHAnsi" w:hAnsiTheme="minorHAnsi"/>
          <w:color w:val="111111"/>
          <w:lang w:val="en"/>
        </w:rPr>
        <w:t xml:space="preserve"> </w:t>
      </w:r>
      <w:r w:rsidRPr="001C19A5">
        <w:rPr>
          <w:rFonts w:asciiTheme="minorHAnsi" w:hAnsiTheme="minorHAnsi"/>
          <w:color w:val="111111"/>
          <w:lang w:val="en"/>
        </w:rPr>
        <w:t>must:</w:t>
      </w:r>
    </w:p>
    <w:p w14:paraId="1ED7968F" w14:textId="77777777" w:rsidR="0005562C" w:rsidRPr="001C19A5" w:rsidRDefault="0005562C" w:rsidP="001A3223">
      <w:pPr>
        <w:numPr>
          <w:ilvl w:val="0"/>
          <w:numId w:val="9"/>
        </w:numPr>
        <w:tabs>
          <w:tab w:val="clear" w:pos="720"/>
        </w:tabs>
        <w:spacing w:after="0" w:line="240" w:lineRule="auto"/>
        <w:ind w:left="851" w:hanging="425"/>
        <w:rPr>
          <w:rFonts w:eastAsia="Calibri" w:cs="Arial"/>
          <w:sz w:val="24"/>
          <w:szCs w:val="24"/>
        </w:rPr>
      </w:pPr>
      <w:r w:rsidRPr="001C19A5">
        <w:rPr>
          <w:rFonts w:eastAsia="Calibri" w:cs="Arial"/>
          <w:sz w:val="24"/>
          <w:szCs w:val="24"/>
        </w:rPr>
        <w:t>set out the provider's investment objectives,</w:t>
      </w:r>
    </w:p>
    <w:p w14:paraId="4FB79D7A" w14:textId="77777777" w:rsidR="0005562C" w:rsidRPr="001C19A5" w:rsidRDefault="0005562C" w:rsidP="001A3223">
      <w:pPr>
        <w:numPr>
          <w:ilvl w:val="0"/>
          <w:numId w:val="9"/>
        </w:numPr>
        <w:tabs>
          <w:tab w:val="clear" w:pos="720"/>
        </w:tabs>
        <w:spacing w:after="0" w:line="240" w:lineRule="auto"/>
        <w:ind w:left="851" w:hanging="425"/>
        <w:rPr>
          <w:rFonts w:eastAsia="Calibri" w:cs="Arial"/>
          <w:sz w:val="24"/>
          <w:szCs w:val="24"/>
        </w:rPr>
      </w:pPr>
      <w:r w:rsidRPr="001C19A5">
        <w:rPr>
          <w:rFonts w:eastAsia="Calibri" w:cs="Arial"/>
          <w:sz w:val="24"/>
          <w:szCs w:val="24"/>
        </w:rPr>
        <w:t>set out the provider's assessment of the level of risk to the provider's ability to refund refundable deposit balances or bond balances in accordance with the Act,</w:t>
      </w:r>
    </w:p>
    <w:p w14:paraId="52212DA2" w14:textId="77777777" w:rsidR="0005562C" w:rsidRPr="001C19A5" w:rsidRDefault="0005562C" w:rsidP="001A3223">
      <w:pPr>
        <w:numPr>
          <w:ilvl w:val="0"/>
          <w:numId w:val="9"/>
        </w:numPr>
        <w:tabs>
          <w:tab w:val="clear" w:pos="720"/>
        </w:tabs>
        <w:spacing w:after="0" w:line="240" w:lineRule="auto"/>
        <w:ind w:left="851" w:hanging="425"/>
        <w:rPr>
          <w:rFonts w:eastAsia="Calibri" w:cs="Arial"/>
          <w:sz w:val="24"/>
          <w:szCs w:val="24"/>
        </w:rPr>
      </w:pPr>
      <w:r w:rsidRPr="001C19A5">
        <w:rPr>
          <w:rFonts w:eastAsia="Calibri" w:cs="Arial"/>
          <w:sz w:val="24"/>
          <w:szCs w:val="24"/>
        </w:rPr>
        <w:t>detail a strategy to achieve the provider's investment objectives whilst ensuring that the provider is able to refund refundable deposit balances and bond balances in accordance with the Act,</w:t>
      </w:r>
    </w:p>
    <w:p w14:paraId="5DE0714C" w14:textId="77777777" w:rsidR="0005562C" w:rsidRPr="001C19A5" w:rsidRDefault="0005562C" w:rsidP="001A3223">
      <w:pPr>
        <w:numPr>
          <w:ilvl w:val="0"/>
          <w:numId w:val="9"/>
        </w:numPr>
        <w:tabs>
          <w:tab w:val="clear" w:pos="720"/>
        </w:tabs>
        <w:spacing w:after="0" w:line="240" w:lineRule="auto"/>
        <w:ind w:left="851" w:hanging="425"/>
        <w:rPr>
          <w:rFonts w:eastAsia="Calibri" w:cs="Arial"/>
          <w:sz w:val="24"/>
          <w:szCs w:val="24"/>
        </w:rPr>
      </w:pPr>
      <w:r w:rsidRPr="001C19A5">
        <w:rPr>
          <w:rFonts w:eastAsia="Calibri" w:cs="Arial"/>
          <w:sz w:val="24"/>
          <w:szCs w:val="24"/>
        </w:rPr>
        <w:t>specify the asset classes the provider may invest in and the investment limits for each asset class that are consistent with the investment objectives, and</w:t>
      </w:r>
    </w:p>
    <w:p w14:paraId="06675B76" w14:textId="1F0BA299" w:rsidR="0005562C" w:rsidRPr="001C19A5" w:rsidRDefault="0005562C" w:rsidP="001A3223">
      <w:pPr>
        <w:numPr>
          <w:ilvl w:val="0"/>
          <w:numId w:val="9"/>
        </w:numPr>
        <w:tabs>
          <w:tab w:val="clear" w:pos="720"/>
        </w:tabs>
        <w:spacing w:after="120" w:line="240" w:lineRule="auto"/>
        <w:ind w:left="851" w:hanging="425"/>
        <w:rPr>
          <w:rFonts w:eastAsia="Calibri" w:cs="Arial"/>
          <w:sz w:val="24"/>
          <w:szCs w:val="24"/>
        </w:rPr>
      </w:pPr>
      <w:r w:rsidRPr="001C19A5">
        <w:rPr>
          <w:rFonts w:eastAsia="Calibri" w:cs="Arial"/>
          <w:sz w:val="24"/>
          <w:szCs w:val="24"/>
        </w:rPr>
        <w:t>detail key personnel with appropriate skills and experience who are responsible for implementing the IMS</w:t>
      </w:r>
    </w:p>
    <w:p w14:paraId="462C7218"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The IMS must be approved by the key personnel who are responsible for the provider's executive decisions.</w:t>
      </w:r>
    </w:p>
    <w:p w14:paraId="3221CD59"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Providers must ensure that any investment of refundable deposits or bonds is in accordance with the IMS.</w:t>
      </w:r>
    </w:p>
    <w:p w14:paraId="55CFA5E0" w14:textId="77777777" w:rsidR="0005562C" w:rsidRPr="001C19A5" w:rsidRDefault="0005562C" w:rsidP="17F94A6F">
      <w:pPr>
        <w:pStyle w:val="NormalWeb"/>
        <w:spacing w:after="0" w:line="240" w:lineRule="auto"/>
        <w:rPr>
          <w:rFonts w:asciiTheme="minorHAnsi" w:hAnsiTheme="minorHAnsi"/>
          <w:color w:val="111111"/>
          <w:lang w:val="en-US"/>
        </w:rPr>
      </w:pPr>
      <w:r w:rsidRPr="17F94A6F">
        <w:rPr>
          <w:rFonts w:asciiTheme="minorHAnsi" w:hAnsiTheme="minorHAnsi"/>
          <w:color w:val="111111"/>
          <w:lang w:val="en-US"/>
        </w:rPr>
        <w:t>Providers are responsible for keeping their IMS up-to-date and in compliance with the requirements listed above, and for modifying or replacing the IMS if the provider becomes aware that it no longer complies with the requirements (see section 50, Fees and Payments Principles).</w:t>
      </w:r>
    </w:p>
    <w:p w14:paraId="1A1B5459" w14:textId="77777777" w:rsidR="0005562C" w:rsidRPr="002C4D55" w:rsidRDefault="00322178" w:rsidP="002B57C6">
      <w:pPr>
        <w:rPr>
          <w:rStyle w:val="Strong"/>
          <w:b w:val="0"/>
          <w:color w:val="111111"/>
          <w:sz w:val="18"/>
          <w:szCs w:val="18"/>
          <w:lang w:val="en"/>
        </w:rPr>
      </w:pPr>
      <w:r w:rsidRPr="002C4D55">
        <w:rPr>
          <w:rStyle w:val="Strong"/>
          <w:color w:val="111111"/>
          <w:sz w:val="18"/>
          <w:szCs w:val="18"/>
          <w:lang w:val="en"/>
        </w:rPr>
        <w:t>R</w:t>
      </w:r>
      <w:r w:rsidR="0005562C" w:rsidRPr="002C4D55">
        <w:rPr>
          <w:rStyle w:val="Strong"/>
          <w:color w:val="111111"/>
          <w:sz w:val="18"/>
          <w:szCs w:val="18"/>
          <w:lang w:val="en"/>
        </w:rPr>
        <w:t>eference:</w:t>
      </w:r>
      <w:r w:rsidR="0005562C" w:rsidRPr="002C4D55">
        <w:rPr>
          <w:rStyle w:val="Strong"/>
          <w:b w:val="0"/>
          <w:color w:val="111111"/>
          <w:sz w:val="18"/>
          <w:szCs w:val="18"/>
          <w:lang w:val="en"/>
        </w:rPr>
        <w:t> </w:t>
      </w:r>
      <w:hyperlink r:id="rId29" w:history="1">
        <w:r w:rsidR="0005562C" w:rsidRPr="002C4D55">
          <w:rPr>
            <w:rStyle w:val="Strong"/>
            <w:b w:val="0"/>
            <w:color w:val="111111"/>
            <w:sz w:val="18"/>
            <w:szCs w:val="18"/>
            <w:lang w:val="en"/>
          </w:rPr>
          <w:t xml:space="preserve">Fees and Payments Principles </w:t>
        </w:r>
      </w:hyperlink>
      <w:r w:rsidR="0005562C" w:rsidRPr="002C4D55">
        <w:rPr>
          <w:rStyle w:val="Strong"/>
          <w:b w:val="0"/>
          <w:color w:val="111111"/>
          <w:sz w:val="18"/>
          <w:szCs w:val="18"/>
          <w:lang w:val="en"/>
        </w:rPr>
        <w:t>section 50</w:t>
      </w:r>
    </w:p>
    <w:p w14:paraId="257FA93C" w14:textId="77777777" w:rsidR="0005562C" w:rsidRPr="002B7CED" w:rsidRDefault="0005562C" w:rsidP="002B7CED">
      <w:pPr>
        <w:spacing w:before="200" w:after="0"/>
        <w:rPr>
          <w:b/>
          <w:bCs/>
          <w:color w:val="0070C0"/>
          <w:sz w:val="26"/>
          <w:szCs w:val="26"/>
        </w:rPr>
      </w:pPr>
      <w:r w:rsidRPr="002B7CED">
        <w:rPr>
          <w:b/>
          <w:bCs/>
          <w:color w:val="0070C0"/>
          <w:sz w:val="26"/>
          <w:szCs w:val="26"/>
        </w:rPr>
        <w:t>Considerations for an Investment Management Strategy</w:t>
      </w:r>
    </w:p>
    <w:p w14:paraId="2D8C208A" w14:textId="3FA37372"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Where refundable deposits or bonds are not immediately required for other permitted uses, it is a legitimate use to generate assets by investing them. Investment in financial products and RCDFs must not be undertaken in such a way that the provider might not be able to refund </w:t>
      </w:r>
      <w:r w:rsidR="004F58D4" w:rsidRPr="17F94A6F">
        <w:rPr>
          <w:rFonts w:asciiTheme="minorHAnsi" w:hAnsiTheme="minorHAnsi"/>
          <w:color w:val="111111"/>
          <w:lang w:val="en-US"/>
        </w:rPr>
        <w:t xml:space="preserve">deposits or bonds </w:t>
      </w:r>
      <w:r w:rsidRPr="17F94A6F">
        <w:rPr>
          <w:rFonts w:asciiTheme="minorHAnsi" w:hAnsiTheme="minorHAnsi"/>
          <w:color w:val="111111"/>
          <w:lang w:val="en-US"/>
        </w:rPr>
        <w:t>when they fall due. Providers should not invest refundable deposits or bonds in financial products which may adversely affect the requirement to maintain sufficient liquidity to repay refundable deposit balances or bond balances.</w:t>
      </w:r>
    </w:p>
    <w:p w14:paraId="73C91B62" w14:textId="559CBBED"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The IMS requires providers to carefully consider their approach to investing refundable deposits or bonds in financial products and RCDFs. This should be undertaken considering a wide range of factors including the nature and complexity of their business, the availability of surplus funds, any existing investments and access to skills and advice to determine and manage their investments.</w:t>
      </w:r>
    </w:p>
    <w:p w14:paraId="052C62DC"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lastRenderedPageBreak/>
        <w:t>Providers must analyse the risk of any investment under consideration for its effect on the ability to refund refundable deposit balances or bond balances when they fall due. Providers may wish to seek professional advice when considering these risks.</w:t>
      </w:r>
    </w:p>
    <w:p w14:paraId="12D946E6" w14:textId="651E669D"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Providers that invest refundable deposits or bonds in financial products (other than deposits with ADIs made available in the course of their banking business) or RCDFs must document a strategy for achieving the investment objectives and ensuring that they are able to repay refundable deposits or bonds when they fall due. This strategy should include triggers for disposing of the investment and making up any losses incurred.</w:t>
      </w:r>
    </w:p>
    <w:p w14:paraId="3481A924" w14:textId="4B0A6559"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The IMS must document the asset classes (</w:t>
      </w:r>
      <w:r w:rsidR="003A759E" w:rsidRPr="17F94A6F">
        <w:rPr>
          <w:rFonts w:asciiTheme="minorHAnsi" w:hAnsiTheme="minorHAnsi"/>
          <w:color w:val="111111"/>
          <w:lang w:val="en-US"/>
        </w:rPr>
        <w:t>i.e.,</w:t>
      </w:r>
      <w:r w:rsidRPr="17F94A6F">
        <w:rPr>
          <w:rFonts w:asciiTheme="minorHAnsi" w:hAnsiTheme="minorHAnsi"/>
          <w:color w:val="111111"/>
          <w:lang w:val="en-US"/>
        </w:rPr>
        <w:t xml:space="preserve"> the permitted financial products, and any sub-groups of those products) and the limits of investments in those classes that the provider considers to be prudent.</w:t>
      </w:r>
    </w:p>
    <w:p w14:paraId="6D429DC5" w14:textId="77777777" w:rsidR="002134CE"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Providers must ensure that only key personnel with appropriate skills and experience are responsible for implementing the IMS. These key personnel must ensure that the investment of refundable deposits or bonds in financial products or RCDFs is undertaken in accordance with the IMS. Refundable deposits or bonds should not be invested in financial products requiring an IMS if the key personnel of the provider are not suitably skilled and experienced in making financial investments. </w:t>
      </w:r>
    </w:p>
    <w:p w14:paraId="2FAB8AA6"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The IMS must be documented and approved by those key personnel who have responsibilities for executive decisions of the provider. Depending on the size and complexity of the provider, these may or may not be the same key personnel with allocated responsibilities for managing refundable deposits or bonds as identified through documenting the governance system.</w:t>
      </w:r>
    </w:p>
    <w:p w14:paraId="62F2D459" w14:textId="77777777" w:rsidR="0005562C" w:rsidRPr="001C19A5" w:rsidRDefault="0005562C" w:rsidP="00C61320">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As a minimum, the IMS should be reviewed when:</w:t>
      </w:r>
    </w:p>
    <w:p w14:paraId="18C95691" w14:textId="77777777" w:rsidR="0005562C" w:rsidRPr="001C19A5" w:rsidRDefault="0005562C" w:rsidP="001A3223">
      <w:pPr>
        <w:pStyle w:val="ListParagraph"/>
        <w:numPr>
          <w:ilvl w:val="0"/>
          <w:numId w:val="8"/>
        </w:numPr>
        <w:spacing w:before="0" w:after="0" w:line="240" w:lineRule="auto"/>
        <w:ind w:left="851" w:hanging="425"/>
        <w:rPr>
          <w:rFonts w:asciiTheme="minorHAnsi" w:hAnsiTheme="minorHAnsi"/>
          <w:color w:val="111111"/>
          <w:sz w:val="24"/>
          <w:szCs w:val="24"/>
          <w:lang w:val="en"/>
        </w:rPr>
      </w:pPr>
      <w:r w:rsidRPr="001C19A5">
        <w:rPr>
          <w:rFonts w:asciiTheme="minorHAnsi" w:hAnsiTheme="minorHAnsi"/>
          <w:color w:val="111111"/>
          <w:sz w:val="24"/>
          <w:szCs w:val="24"/>
          <w:lang w:val="en"/>
        </w:rPr>
        <w:t>there is a change in executive decision makers,</w:t>
      </w:r>
    </w:p>
    <w:p w14:paraId="7F0AB24B" w14:textId="77777777" w:rsidR="0005562C" w:rsidRPr="001C19A5" w:rsidRDefault="0005562C" w:rsidP="001A3223">
      <w:pPr>
        <w:pStyle w:val="ListParagraph"/>
        <w:numPr>
          <w:ilvl w:val="0"/>
          <w:numId w:val="8"/>
        </w:numPr>
        <w:spacing w:before="0" w:after="0" w:line="240" w:lineRule="auto"/>
        <w:ind w:left="851" w:hanging="425"/>
        <w:rPr>
          <w:rFonts w:asciiTheme="minorHAnsi" w:hAnsiTheme="minorHAnsi"/>
          <w:color w:val="111111"/>
          <w:sz w:val="24"/>
          <w:szCs w:val="24"/>
          <w:lang w:val="en"/>
        </w:rPr>
      </w:pPr>
      <w:r w:rsidRPr="001C19A5">
        <w:rPr>
          <w:rFonts w:asciiTheme="minorHAnsi" w:hAnsiTheme="minorHAnsi"/>
          <w:color w:val="111111"/>
          <w:sz w:val="24"/>
          <w:szCs w:val="24"/>
          <w:lang w:val="en"/>
        </w:rPr>
        <w:t>there is a change in key personnel with responsibilities for managing refundable deposits or bonds,</w:t>
      </w:r>
    </w:p>
    <w:p w14:paraId="5866DB3C" w14:textId="77777777" w:rsidR="0005562C" w:rsidRPr="001C19A5" w:rsidRDefault="0005562C" w:rsidP="001A3223">
      <w:pPr>
        <w:pStyle w:val="ListParagraph"/>
        <w:numPr>
          <w:ilvl w:val="0"/>
          <w:numId w:val="8"/>
        </w:numPr>
        <w:spacing w:before="0" w:after="0" w:line="240" w:lineRule="auto"/>
        <w:ind w:left="851" w:hanging="425"/>
        <w:rPr>
          <w:rFonts w:asciiTheme="minorHAnsi" w:hAnsiTheme="minorHAnsi"/>
          <w:color w:val="111111"/>
          <w:sz w:val="24"/>
          <w:szCs w:val="24"/>
          <w:lang w:val="en-US"/>
        </w:rPr>
      </w:pPr>
      <w:r w:rsidRPr="17F94A6F">
        <w:rPr>
          <w:rFonts w:asciiTheme="minorHAnsi" w:hAnsiTheme="minorHAnsi"/>
          <w:color w:val="111111"/>
          <w:sz w:val="24"/>
          <w:szCs w:val="24"/>
          <w:lang w:val="en-US"/>
        </w:rPr>
        <w:t>there is a change in the objectives of the investments, and</w:t>
      </w:r>
    </w:p>
    <w:p w14:paraId="7CF56D87" w14:textId="6BD0F65E" w:rsidR="0005562C" w:rsidRPr="001C19A5" w:rsidRDefault="0005562C" w:rsidP="40B9380F">
      <w:pPr>
        <w:pStyle w:val="ListParagraph"/>
        <w:numPr>
          <w:ilvl w:val="0"/>
          <w:numId w:val="8"/>
        </w:numPr>
        <w:spacing w:before="0" w:after="0" w:line="240" w:lineRule="auto"/>
        <w:ind w:left="851" w:hanging="425"/>
        <w:rPr>
          <w:rFonts w:asciiTheme="minorHAnsi" w:hAnsiTheme="minorHAnsi"/>
          <w:color w:val="111111"/>
          <w:sz w:val="24"/>
          <w:szCs w:val="24"/>
          <w:lang w:val="en-US"/>
        </w:rPr>
      </w:pPr>
      <w:r w:rsidRPr="40B9380F">
        <w:rPr>
          <w:rFonts w:asciiTheme="minorHAnsi" w:hAnsiTheme="minorHAnsi"/>
          <w:color w:val="111111"/>
          <w:sz w:val="24"/>
          <w:szCs w:val="24"/>
          <w:lang w:val="en-US"/>
        </w:rPr>
        <w:t>there is a significant devaluation of any of the financial products invested in</w:t>
      </w:r>
    </w:p>
    <w:p w14:paraId="6E77C0FC" w14:textId="62BCA556" w:rsidR="0005562C" w:rsidRPr="001C19A5" w:rsidRDefault="00322178" w:rsidP="17F94A6F">
      <w:pPr>
        <w:rPr>
          <w:color w:val="111111"/>
          <w:sz w:val="18"/>
          <w:szCs w:val="18"/>
          <w:lang w:val="en-US"/>
        </w:rPr>
      </w:pPr>
      <w:r w:rsidRPr="17F94A6F">
        <w:rPr>
          <w:b/>
          <w:bCs/>
          <w:color w:val="111111"/>
          <w:sz w:val="18"/>
          <w:szCs w:val="18"/>
          <w:lang w:val="en-US"/>
        </w:rPr>
        <w:t>R</w:t>
      </w:r>
      <w:r w:rsidR="0005562C" w:rsidRPr="17F94A6F">
        <w:rPr>
          <w:b/>
          <w:bCs/>
          <w:color w:val="111111"/>
          <w:sz w:val="18"/>
          <w:szCs w:val="18"/>
          <w:lang w:val="en-US"/>
        </w:rPr>
        <w:t>eference:</w:t>
      </w:r>
      <w:r w:rsidR="0005562C" w:rsidRPr="17F94A6F">
        <w:rPr>
          <w:color w:val="111111"/>
          <w:sz w:val="18"/>
          <w:szCs w:val="18"/>
          <w:lang w:val="en-US"/>
        </w:rPr>
        <w:t xml:space="preserve"> The Act </w:t>
      </w:r>
      <w:hyperlink r:id="rId30" w:anchor="_Toc406164877">
        <w:r w:rsidR="0005562C" w:rsidRPr="17F94A6F">
          <w:rPr>
            <w:color w:val="111111"/>
            <w:sz w:val="18"/>
            <w:szCs w:val="18"/>
            <w:lang w:val="en-US"/>
          </w:rPr>
          <w:t>section 52N-1</w:t>
        </w:r>
      </w:hyperlink>
      <w:r w:rsidR="00C2010B">
        <w:rPr>
          <w:color w:val="111111"/>
          <w:sz w:val="18"/>
          <w:szCs w:val="18"/>
          <w:lang w:val="en-US"/>
        </w:rPr>
        <w:t>,</w:t>
      </w:r>
      <w:r w:rsidR="0005562C" w:rsidRPr="17F94A6F">
        <w:rPr>
          <w:color w:val="111111"/>
          <w:sz w:val="18"/>
          <w:szCs w:val="18"/>
          <w:lang w:val="en-US"/>
        </w:rPr>
        <w:t xml:space="preserve"> </w:t>
      </w:r>
      <w:hyperlink r:id="rId31" w:anchor="_Toc406165029">
        <w:r w:rsidR="0005562C" w:rsidRPr="17F94A6F">
          <w:rPr>
            <w:color w:val="111111"/>
            <w:sz w:val="18"/>
            <w:szCs w:val="18"/>
            <w:lang w:val="en-US"/>
          </w:rPr>
          <w:t>section 88-1</w:t>
        </w:r>
      </w:hyperlink>
      <w:r w:rsidR="0005562C" w:rsidRPr="17F94A6F">
        <w:rPr>
          <w:color w:val="111111"/>
          <w:sz w:val="18"/>
          <w:szCs w:val="18"/>
          <w:lang w:val="en-US"/>
        </w:rPr>
        <w:t xml:space="preserve">, </w:t>
      </w:r>
      <w:hyperlink r:id="rId32">
        <w:r w:rsidR="0005562C" w:rsidRPr="17F94A6F">
          <w:rPr>
            <w:color w:val="111111"/>
            <w:sz w:val="18"/>
            <w:szCs w:val="18"/>
            <w:lang w:val="en-US"/>
          </w:rPr>
          <w:t xml:space="preserve">Fees and Payments Principles </w:t>
        </w:r>
      </w:hyperlink>
      <w:r w:rsidR="0005562C" w:rsidRPr="17F94A6F">
        <w:rPr>
          <w:color w:val="111111"/>
          <w:sz w:val="18"/>
          <w:szCs w:val="18"/>
          <w:lang w:val="en-US"/>
        </w:rPr>
        <w:t>section 49, section 50, section 63</w:t>
      </w:r>
      <w:r w:rsidR="00B81012" w:rsidRPr="17F94A6F">
        <w:rPr>
          <w:color w:val="111111"/>
          <w:sz w:val="18"/>
          <w:szCs w:val="18"/>
          <w:lang w:val="en-US"/>
        </w:rPr>
        <w:t xml:space="preserve">, </w:t>
      </w:r>
      <w:r w:rsidR="000E6EB1" w:rsidRPr="004C383E">
        <w:rPr>
          <w:i/>
          <w:iCs/>
          <w:color w:val="111111"/>
          <w:sz w:val="18"/>
          <w:szCs w:val="18"/>
          <w:lang w:val="en-US"/>
        </w:rPr>
        <w:t xml:space="preserve">The </w:t>
      </w:r>
      <w:r w:rsidR="00407B57" w:rsidRPr="004C383E">
        <w:rPr>
          <w:i/>
          <w:iCs/>
          <w:color w:val="111111"/>
          <w:sz w:val="18"/>
          <w:szCs w:val="18"/>
          <w:lang w:val="en-US"/>
        </w:rPr>
        <w:t>Aged Care Quality and Safety Commission Act 2018</w:t>
      </w:r>
      <w:r w:rsidR="004C383E">
        <w:rPr>
          <w:color w:val="111111"/>
          <w:sz w:val="18"/>
          <w:szCs w:val="18"/>
          <w:lang w:val="en-US"/>
        </w:rPr>
        <w:t xml:space="preserve">, </w:t>
      </w:r>
      <w:r w:rsidR="008D7B95" w:rsidRPr="17F94A6F">
        <w:rPr>
          <w:color w:val="111111"/>
          <w:sz w:val="18"/>
          <w:szCs w:val="18"/>
          <w:lang w:val="en-US"/>
        </w:rPr>
        <w:t>section 8B</w:t>
      </w:r>
      <w:r w:rsidR="00030F31">
        <w:rPr>
          <w:color w:val="111111"/>
          <w:sz w:val="18"/>
          <w:szCs w:val="18"/>
          <w:lang w:val="en-US"/>
        </w:rPr>
        <w:t>,</w:t>
      </w:r>
      <w:r w:rsidR="0005562C" w:rsidRPr="17F94A6F">
        <w:rPr>
          <w:color w:val="111111"/>
          <w:sz w:val="18"/>
          <w:szCs w:val="18"/>
          <w:lang w:val="en-US"/>
        </w:rPr>
        <w:t xml:space="preserve"> </w:t>
      </w:r>
      <w:hyperlink r:id="rId33">
        <w:r w:rsidR="0005562C" w:rsidRPr="17F94A6F">
          <w:rPr>
            <w:i/>
            <w:iCs/>
            <w:color w:val="111111"/>
            <w:sz w:val="18"/>
            <w:szCs w:val="18"/>
            <w:lang w:val="en-US"/>
          </w:rPr>
          <w:t>Records Principles 2014</w:t>
        </w:r>
      </w:hyperlink>
      <w:r w:rsidR="00030F31">
        <w:rPr>
          <w:i/>
          <w:iCs/>
          <w:color w:val="111111"/>
          <w:sz w:val="18"/>
          <w:szCs w:val="18"/>
          <w:lang w:val="en-US"/>
        </w:rPr>
        <w:t xml:space="preserve"> and </w:t>
      </w:r>
      <w:hyperlink r:id="rId34">
        <w:r w:rsidR="00030F31" w:rsidRPr="17F94A6F">
          <w:rPr>
            <w:i/>
            <w:iCs/>
            <w:color w:val="111111"/>
            <w:sz w:val="18"/>
            <w:szCs w:val="18"/>
            <w:lang w:val="en-US"/>
          </w:rPr>
          <w:t>Corporations Act 2001</w:t>
        </w:r>
      </w:hyperlink>
    </w:p>
    <w:p w14:paraId="033387F3" w14:textId="61B50D87" w:rsidR="0005562C" w:rsidRPr="002B7CED" w:rsidRDefault="0005562C" w:rsidP="002B7CED">
      <w:pPr>
        <w:spacing w:before="200" w:after="0"/>
        <w:rPr>
          <w:b/>
          <w:bCs/>
          <w:color w:val="0070C0"/>
          <w:sz w:val="26"/>
          <w:szCs w:val="26"/>
        </w:rPr>
      </w:pPr>
      <w:r w:rsidRPr="002B7CED">
        <w:rPr>
          <w:b/>
          <w:bCs/>
          <w:color w:val="0070C0"/>
          <w:sz w:val="26"/>
          <w:szCs w:val="26"/>
        </w:rPr>
        <w:t>Things you need to know</w:t>
      </w:r>
    </w:p>
    <w:p w14:paraId="6AF32741" w14:textId="77777777" w:rsidR="0005562C" w:rsidRPr="001C19A5" w:rsidRDefault="0005562C" w:rsidP="00C61320">
      <w:pPr>
        <w:pStyle w:val="NormalWeb"/>
        <w:spacing w:after="120" w:line="240" w:lineRule="auto"/>
        <w:rPr>
          <w:rFonts w:asciiTheme="minorHAnsi" w:hAnsiTheme="minorHAnsi" w:cs="Arial"/>
        </w:rPr>
      </w:pPr>
      <w:r w:rsidRPr="001C19A5">
        <w:rPr>
          <w:rFonts w:asciiTheme="minorHAnsi" w:hAnsiTheme="minorHAnsi" w:cs="Arial"/>
        </w:rPr>
        <w:t>The approach to documenting the governance system and IMS (if required) is a matter for individual providers. In determining their approach, providers should consider:</w:t>
      </w:r>
    </w:p>
    <w:p w14:paraId="0D35C861" w14:textId="77777777" w:rsidR="0005562C" w:rsidRPr="00B2743B" w:rsidRDefault="0005562C"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that they must be able to demonstrate their compliance with the Govern</w:t>
      </w:r>
      <w:r w:rsidR="0063155B" w:rsidRPr="00B2743B">
        <w:rPr>
          <w:rFonts w:eastAsia="Calibri" w:cs="Arial"/>
          <w:sz w:val="24"/>
          <w:szCs w:val="24"/>
        </w:rPr>
        <w:t xml:space="preserve">ance Standard to their auditor; </w:t>
      </w:r>
    </w:p>
    <w:p w14:paraId="6354DAAC" w14:textId="285A4589" w:rsidR="0005562C" w:rsidRPr="00B2743B" w:rsidRDefault="0063155B"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that</w:t>
      </w:r>
      <w:r w:rsidR="00C81CAA" w:rsidRPr="00B2743B">
        <w:rPr>
          <w:rFonts w:eastAsia="Calibri" w:cs="Arial"/>
          <w:sz w:val="24"/>
          <w:szCs w:val="24"/>
        </w:rPr>
        <w:t>, if</w:t>
      </w:r>
      <w:r w:rsidRPr="00B2743B">
        <w:rPr>
          <w:rFonts w:eastAsia="Calibri" w:cs="Arial"/>
          <w:sz w:val="24"/>
          <w:szCs w:val="24"/>
        </w:rPr>
        <w:t xml:space="preserve"> </w:t>
      </w:r>
      <w:r w:rsidR="0005562C" w:rsidRPr="00B2743B">
        <w:rPr>
          <w:rFonts w:eastAsia="Calibri" w:cs="Arial"/>
          <w:sz w:val="24"/>
          <w:szCs w:val="24"/>
        </w:rPr>
        <w:t>investing</w:t>
      </w:r>
      <w:r w:rsidR="00C81CAA" w:rsidRPr="00B2743B">
        <w:rPr>
          <w:rFonts w:eastAsia="Calibri" w:cs="Arial"/>
          <w:sz w:val="24"/>
          <w:szCs w:val="24"/>
        </w:rPr>
        <w:t xml:space="preserve"> in</w:t>
      </w:r>
      <w:r w:rsidR="0005562C" w:rsidRPr="00B2743B">
        <w:rPr>
          <w:rFonts w:eastAsia="Calibri" w:cs="Arial"/>
          <w:sz w:val="24"/>
          <w:szCs w:val="24"/>
        </w:rPr>
        <w:t xml:space="preserve"> any product that is not available through an ADI (bank)</w:t>
      </w:r>
      <w:r w:rsidR="00C81CAA" w:rsidRPr="00B2743B">
        <w:rPr>
          <w:rFonts w:eastAsia="Calibri" w:cs="Arial"/>
          <w:sz w:val="24"/>
          <w:szCs w:val="24"/>
        </w:rPr>
        <w:t>, they</w:t>
      </w:r>
      <w:r w:rsidR="0005562C" w:rsidRPr="00B2743B">
        <w:rPr>
          <w:rFonts w:eastAsia="Calibri" w:cs="Arial"/>
          <w:sz w:val="24"/>
          <w:szCs w:val="24"/>
        </w:rPr>
        <w:t xml:space="preserve"> need to have an IMS in place</w:t>
      </w:r>
      <w:r w:rsidRPr="00B2743B">
        <w:rPr>
          <w:rFonts w:eastAsia="Calibri" w:cs="Arial"/>
          <w:sz w:val="24"/>
          <w:szCs w:val="24"/>
        </w:rPr>
        <w:t>; and</w:t>
      </w:r>
    </w:p>
    <w:p w14:paraId="4955E37B" w14:textId="1F2EB42F" w:rsidR="0005562C" w:rsidRPr="00B2743B" w:rsidRDefault="0005562C"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that the</w:t>
      </w:r>
      <w:r w:rsidR="000C4A59" w:rsidRPr="00B2743B">
        <w:rPr>
          <w:rFonts w:eastAsia="Calibri" w:cs="Arial"/>
          <w:sz w:val="24"/>
          <w:szCs w:val="24"/>
        </w:rPr>
        <w:t xml:space="preserve"> provider could be requested to provide a copy of its</w:t>
      </w:r>
      <w:r w:rsidRPr="00B2743B">
        <w:rPr>
          <w:rFonts w:eastAsia="Calibri" w:cs="Arial"/>
          <w:sz w:val="24"/>
          <w:szCs w:val="24"/>
        </w:rPr>
        <w:t xml:space="preserve"> governance system and and/or IMS for monitoring and compliance purposes at any time</w:t>
      </w:r>
    </w:p>
    <w:p w14:paraId="7F04CE34" w14:textId="77777777" w:rsidR="00A37762"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Your response in the APCS</w:t>
      </w:r>
      <w:r w:rsidR="00CE50DE" w:rsidRPr="002B7CED">
        <w:rPr>
          <w:b/>
          <w:bCs/>
          <w:color w:val="E36C0A" w:themeColor="accent6" w:themeShade="BF"/>
          <w:sz w:val="26"/>
          <w:szCs w:val="26"/>
        </w:rPr>
        <w:t xml:space="preserve"> </w:t>
      </w:r>
    </w:p>
    <w:p w14:paraId="7667B000" w14:textId="740DBF70" w:rsidR="00A37762" w:rsidRPr="005C569E" w:rsidRDefault="00A37762" w:rsidP="17F94A6F">
      <w:pPr>
        <w:pStyle w:val="Heading2"/>
        <w:spacing w:before="120" w:line="240" w:lineRule="auto"/>
        <w:rPr>
          <w:rFonts w:asciiTheme="minorHAnsi" w:eastAsia="Times New Roman" w:hAnsiTheme="minorHAnsi" w:cs="Times New Roman"/>
          <w:b w:val="0"/>
          <w:bCs w:val="0"/>
          <w:color w:val="111111"/>
          <w:sz w:val="24"/>
          <w:szCs w:val="24"/>
          <w:lang w:val="en-US" w:eastAsia="en-AU"/>
        </w:rPr>
      </w:pPr>
      <w:r w:rsidRPr="17F94A6F">
        <w:rPr>
          <w:rFonts w:asciiTheme="minorHAnsi" w:eastAsia="Times New Roman" w:hAnsiTheme="minorHAnsi" w:cs="Times New Roman"/>
          <w:b w:val="0"/>
          <w:bCs w:val="0"/>
          <w:color w:val="111111"/>
          <w:sz w:val="24"/>
          <w:szCs w:val="24"/>
          <w:lang w:val="en-US" w:eastAsia="en-AU"/>
        </w:rPr>
        <w:lastRenderedPageBreak/>
        <w:t>After considering the information provided under Compliance with the Governance Standard</w:t>
      </w:r>
      <w:r w:rsidR="00BB5758" w:rsidRPr="17F94A6F">
        <w:rPr>
          <w:rFonts w:asciiTheme="minorHAnsi" w:eastAsia="Times New Roman" w:hAnsiTheme="minorHAnsi" w:cs="Times New Roman"/>
          <w:b w:val="0"/>
          <w:bCs w:val="0"/>
          <w:color w:val="111111"/>
          <w:sz w:val="24"/>
          <w:szCs w:val="24"/>
          <w:lang w:val="en-US" w:eastAsia="en-AU"/>
        </w:rPr>
        <w:t>,</w:t>
      </w:r>
      <w:r w:rsidRPr="17F94A6F">
        <w:rPr>
          <w:rFonts w:asciiTheme="minorHAnsi" w:eastAsia="Times New Roman" w:hAnsiTheme="minorHAnsi" w:cs="Times New Roman"/>
          <w:b w:val="0"/>
          <w:bCs w:val="0"/>
          <w:color w:val="111111"/>
          <w:sz w:val="24"/>
          <w:szCs w:val="24"/>
          <w:lang w:val="en-US" w:eastAsia="en-AU"/>
        </w:rPr>
        <w:t xml:space="preserve"> </w:t>
      </w:r>
      <w:r w:rsidR="00BB5758" w:rsidRPr="17F94A6F">
        <w:rPr>
          <w:rFonts w:asciiTheme="minorHAnsi" w:eastAsia="Times New Roman" w:hAnsiTheme="minorHAnsi" w:cs="Times New Roman"/>
          <w:b w:val="0"/>
          <w:bCs w:val="0"/>
          <w:color w:val="111111"/>
          <w:sz w:val="24"/>
          <w:szCs w:val="24"/>
          <w:lang w:val="en-US" w:eastAsia="en-AU"/>
        </w:rPr>
        <w:t xml:space="preserve">did you comply with all requirements of the </w:t>
      </w:r>
      <w:r w:rsidRPr="17F94A6F">
        <w:rPr>
          <w:rFonts w:asciiTheme="minorHAnsi" w:eastAsia="Times New Roman" w:hAnsiTheme="minorHAnsi" w:cs="Times New Roman"/>
          <w:b w:val="0"/>
          <w:bCs w:val="0"/>
          <w:color w:val="111111"/>
          <w:sz w:val="24"/>
          <w:szCs w:val="24"/>
          <w:lang w:val="en-US" w:eastAsia="en-AU"/>
        </w:rPr>
        <w:t xml:space="preserve">Governance Standard for the full </w:t>
      </w:r>
      <w:r w:rsidR="000C4A59" w:rsidRPr="17F94A6F">
        <w:rPr>
          <w:rFonts w:asciiTheme="minorHAnsi" w:eastAsia="Times New Roman" w:hAnsiTheme="minorHAnsi" w:cs="Times New Roman"/>
          <w:b w:val="0"/>
          <w:bCs w:val="0"/>
          <w:color w:val="111111"/>
          <w:sz w:val="24"/>
          <w:szCs w:val="24"/>
          <w:lang w:val="en-US" w:eastAsia="en-AU"/>
        </w:rPr>
        <w:t xml:space="preserve">financial </w:t>
      </w:r>
      <w:r w:rsidRPr="17F94A6F">
        <w:rPr>
          <w:rFonts w:asciiTheme="minorHAnsi" w:eastAsia="Times New Roman" w:hAnsiTheme="minorHAnsi" w:cs="Times New Roman"/>
          <w:b w:val="0"/>
          <w:bCs w:val="0"/>
          <w:color w:val="111111"/>
          <w:sz w:val="24"/>
          <w:szCs w:val="24"/>
          <w:lang w:val="en-US" w:eastAsia="en-AU"/>
        </w:rPr>
        <w:t>year?</w:t>
      </w:r>
    </w:p>
    <w:p w14:paraId="30CAD0C7" w14:textId="0F36EBE5" w:rsidR="00A37762" w:rsidRPr="005C569E" w:rsidRDefault="00A37762" w:rsidP="17F94A6F">
      <w:pPr>
        <w:pStyle w:val="Heading2"/>
        <w:spacing w:before="120" w:line="240" w:lineRule="auto"/>
        <w:rPr>
          <w:rFonts w:asciiTheme="minorHAnsi" w:eastAsia="Times New Roman" w:hAnsiTheme="minorHAnsi" w:cs="Times New Roman"/>
          <w:b w:val="0"/>
          <w:bCs w:val="0"/>
          <w:color w:val="111111"/>
          <w:sz w:val="24"/>
          <w:szCs w:val="24"/>
          <w:lang w:val="en-US" w:eastAsia="en-AU"/>
        </w:rPr>
      </w:pPr>
      <w:r w:rsidRPr="17F94A6F">
        <w:rPr>
          <w:rFonts w:asciiTheme="minorHAnsi" w:eastAsia="Times New Roman" w:hAnsiTheme="minorHAnsi" w:cs="Times New Roman"/>
          <w:b w:val="0"/>
          <w:bCs w:val="0"/>
          <w:color w:val="111111"/>
          <w:sz w:val="24"/>
          <w:szCs w:val="24"/>
          <w:lang w:val="en-US" w:eastAsia="en-AU"/>
        </w:rPr>
        <w:t>Respond Yes or No.</w:t>
      </w:r>
      <w:r w:rsidR="00E621B4" w:rsidRPr="17F94A6F">
        <w:rPr>
          <w:rFonts w:asciiTheme="minorHAnsi" w:eastAsia="Times New Roman" w:hAnsiTheme="minorHAnsi" w:cs="Times New Roman"/>
          <w:b w:val="0"/>
          <w:bCs w:val="0"/>
          <w:color w:val="111111"/>
          <w:sz w:val="24"/>
          <w:szCs w:val="24"/>
          <w:lang w:val="en-US" w:eastAsia="en-AU"/>
        </w:rPr>
        <w:t xml:space="preserve"> </w:t>
      </w:r>
      <w:r w:rsidRPr="17F94A6F">
        <w:rPr>
          <w:rFonts w:asciiTheme="minorHAnsi" w:eastAsia="Times New Roman" w:hAnsiTheme="minorHAnsi" w:cs="Times New Roman"/>
          <w:b w:val="0"/>
          <w:bCs w:val="0"/>
          <w:color w:val="111111"/>
          <w:sz w:val="24"/>
          <w:szCs w:val="24"/>
          <w:lang w:val="en-US" w:eastAsia="en-AU"/>
        </w:rPr>
        <w:t>If you answer</w:t>
      </w:r>
      <w:r w:rsidR="00BB5758" w:rsidRPr="17F94A6F">
        <w:rPr>
          <w:rFonts w:asciiTheme="minorHAnsi" w:eastAsia="Times New Roman" w:hAnsiTheme="minorHAnsi" w:cs="Times New Roman"/>
          <w:b w:val="0"/>
          <w:bCs w:val="0"/>
          <w:color w:val="111111"/>
          <w:sz w:val="24"/>
          <w:szCs w:val="24"/>
          <w:lang w:val="en-US" w:eastAsia="en-AU"/>
        </w:rPr>
        <w:t>ed</w:t>
      </w:r>
      <w:r w:rsidRPr="17F94A6F">
        <w:rPr>
          <w:rFonts w:asciiTheme="minorHAnsi" w:eastAsia="Times New Roman" w:hAnsiTheme="minorHAnsi" w:cs="Times New Roman"/>
          <w:b w:val="0"/>
          <w:bCs w:val="0"/>
          <w:color w:val="111111"/>
          <w:sz w:val="24"/>
          <w:szCs w:val="24"/>
          <w:lang w:val="en-US" w:eastAsia="en-AU"/>
        </w:rPr>
        <w:t xml:space="preserve"> ‘NO’ you must submit a separate statement explaining why you </w:t>
      </w:r>
      <w:r w:rsidR="00BB5758" w:rsidRPr="17F94A6F">
        <w:rPr>
          <w:rFonts w:asciiTheme="minorHAnsi" w:eastAsia="Times New Roman" w:hAnsiTheme="minorHAnsi" w:cs="Times New Roman"/>
          <w:b w:val="0"/>
          <w:bCs w:val="0"/>
          <w:color w:val="111111"/>
          <w:sz w:val="24"/>
          <w:szCs w:val="24"/>
          <w:lang w:val="en-US" w:eastAsia="en-AU"/>
        </w:rPr>
        <w:t xml:space="preserve">did </w:t>
      </w:r>
      <w:r w:rsidRPr="17F94A6F">
        <w:rPr>
          <w:rFonts w:asciiTheme="minorHAnsi" w:eastAsia="Times New Roman" w:hAnsiTheme="minorHAnsi" w:cs="Times New Roman"/>
          <w:b w:val="0"/>
          <w:bCs w:val="0"/>
          <w:color w:val="111111"/>
          <w:sz w:val="24"/>
          <w:szCs w:val="24"/>
          <w:lang w:val="en-US" w:eastAsia="en-AU"/>
        </w:rPr>
        <w:t>not compl</w:t>
      </w:r>
      <w:r w:rsidR="00BB5758" w:rsidRPr="17F94A6F">
        <w:rPr>
          <w:rFonts w:asciiTheme="minorHAnsi" w:eastAsia="Times New Roman" w:hAnsiTheme="minorHAnsi" w:cs="Times New Roman"/>
          <w:b w:val="0"/>
          <w:bCs w:val="0"/>
          <w:color w:val="111111"/>
          <w:sz w:val="24"/>
          <w:szCs w:val="24"/>
          <w:lang w:val="en-US" w:eastAsia="en-AU"/>
        </w:rPr>
        <w:t>y</w:t>
      </w:r>
      <w:r w:rsidRPr="17F94A6F">
        <w:rPr>
          <w:rFonts w:asciiTheme="minorHAnsi" w:eastAsia="Times New Roman" w:hAnsiTheme="minorHAnsi" w:cs="Times New Roman"/>
          <w:b w:val="0"/>
          <w:bCs w:val="0"/>
          <w:color w:val="111111"/>
          <w:sz w:val="24"/>
          <w:szCs w:val="24"/>
          <w:lang w:val="en-US" w:eastAsia="en-AU"/>
        </w:rPr>
        <w:t xml:space="preserve">. </w:t>
      </w:r>
    </w:p>
    <w:p w14:paraId="6FB82D12" w14:textId="77777777" w:rsidR="0005562C" w:rsidRPr="00B34BF1" w:rsidRDefault="00F829B4" w:rsidP="00614AD7">
      <w:pPr>
        <w:pStyle w:val="Heading2"/>
        <w:spacing w:before="360"/>
        <w:rPr>
          <w:rFonts w:asciiTheme="minorHAnsi" w:hAnsiTheme="minorHAnsi"/>
          <w:color w:val="0070C0"/>
        </w:rPr>
      </w:pPr>
      <w:r w:rsidRPr="00B34BF1">
        <w:rPr>
          <w:rFonts w:asciiTheme="minorHAnsi" w:hAnsiTheme="minorHAnsi"/>
          <w:color w:val="0070C0"/>
        </w:rPr>
        <w:t>COMPLIANCE WITH THE DISCLOSURE STANDARD</w:t>
      </w:r>
    </w:p>
    <w:p w14:paraId="07A60706" w14:textId="77777777" w:rsidR="0005562C" w:rsidRPr="001C19A5" w:rsidRDefault="0005562C" w:rsidP="17F94A6F">
      <w:pPr>
        <w:pStyle w:val="NormalWeb"/>
        <w:spacing w:before="40" w:after="40" w:line="240" w:lineRule="auto"/>
        <w:rPr>
          <w:rFonts w:asciiTheme="minorHAnsi" w:hAnsiTheme="minorHAnsi"/>
          <w:color w:val="111111"/>
          <w:lang w:val="en-US"/>
        </w:rPr>
      </w:pPr>
      <w:r w:rsidRPr="17F94A6F">
        <w:rPr>
          <w:rFonts w:asciiTheme="minorHAnsi" w:hAnsiTheme="minorHAnsi"/>
          <w:color w:val="111111"/>
          <w:lang w:val="en-US"/>
        </w:rPr>
        <w:t>The Disclosure Standard requires providers holding refundable deposits and bonds (including entry contributions) to give the Secretary, residents, prospective residents and their representatives information on their compliance with the Liquidity, Governance, Records and Disclosure Standards, and information on their financial standing.</w:t>
      </w:r>
    </w:p>
    <w:p w14:paraId="076831D9" w14:textId="4C89109A" w:rsidR="0005562C" w:rsidRPr="002C4D55" w:rsidRDefault="00322178" w:rsidP="0005562C">
      <w:pPr>
        <w:pStyle w:val="NormalWeb"/>
        <w:spacing w:before="40" w:after="120" w:line="240" w:lineRule="auto"/>
        <w:rPr>
          <w:rStyle w:val="Strong"/>
          <w:rFonts w:asciiTheme="minorHAnsi" w:hAnsiTheme="minorHAnsi"/>
          <w:b w:val="0"/>
          <w:bCs w:val="0"/>
          <w:color w:val="111111"/>
          <w:sz w:val="18"/>
          <w:szCs w:val="18"/>
          <w:lang w:val="en"/>
        </w:rPr>
      </w:pPr>
      <w:r w:rsidRPr="002C4D55">
        <w:rPr>
          <w:rStyle w:val="Strong"/>
          <w:rFonts w:asciiTheme="minorHAnsi" w:hAnsiTheme="minorHAnsi"/>
          <w:sz w:val="18"/>
          <w:szCs w:val="18"/>
          <w:lang w:val="en"/>
        </w:rPr>
        <w:t>R</w:t>
      </w:r>
      <w:r w:rsidR="0005562C" w:rsidRPr="002C4D55">
        <w:rPr>
          <w:rStyle w:val="Strong"/>
          <w:rFonts w:asciiTheme="minorHAnsi" w:hAnsiTheme="minorHAnsi"/>
          <w:sz w:val="18"/>
          <w:szCs w:val="18"/>
          <w:lang w:val="en"/>
        </w:rPr>
        <w:t>eference:</w:t>
      </w:r>
      <w:r w:rsidR="0005562C" w:rsidRPr="002C4D55">
        <w:rPr>
          <w:rFonts w:asciiTheme="minorHAnsi" w:hAnsiTheme="minorHAnsi"/>
          <w:sz w:val="18"/>
          <w:szCs w:val="18"/>
          <w:lang w:val="en"/>
        </w:rPr>
        <w:t xml:space="preserve"> </w:t>
      </w:r>
      <w:hyperlink r:id="rId35" w:history="1">
        <w:r w:rsidR="0005562C" w:rsidRPr="002C4D55">
          <w:rPr>
            <w:rStyle w:val="Hyperlink"/>
            <w:rFonts w:asciiTheme="minorHAnsi" w:hAnsiTheme="minorHAnsi"/>
            <w:color w:val="auto"/>
            <w:sz w:val="18"/>
            <w:szCs w:val="18"/>
            <w:u w:val="none"/>
            <w:lang w:val="en"/>
          </w:rPr>
          <w:t>Fees and Payments Principles</w:t>
        </w:r>
      </w:hyperlink>
      <w:r w:rsidR="0005562C" w:rsidRPr="002C4D55">
        <w:rPr>
          <w:rFonts w:asciiTheme="minorHAnsi" w:hAnsiTheme="minorHAnsi"/>
          <w:sz w:val="18"/>
          <w:szCs w:val="18"/>
          <w:lang w:val="en"/>
        </w:rPr>
        <w:t xml:space="preserve"> Division 5, Part 5</w:t>
      </w:r>
    </w:p>
    <w:p w14:paraId="53C13897" w14:textId="41092EB3" w:rsidR="00AA251F" w:rsidRPr="002B7CED" w:rsidRDefault="0005562C" w:rsidP="002B7CED">
      <w:pPr>
        <w:spacing w:before="200" w:after="0"/>
        <w:rPr>
          <w:b/>
          <w:bCs/>
          <w:color w:val="0070C0"/>
          <w:sz w:val="26"/>
          <w:szCs w:val="26"/>
        </w:rPr>
      </w:pPr>
      <w:r w:rsidRPr="002B7CED">
        <w:rPr>
          <w:b/>
          <w:bCs/>
          <w:color w:val="0070C0"/>
          <w:sz w:val="26"/>
          <w:szCs w:val="26"/>
        </w:rPr>
        <w:t xml:space="preserve">Disclosure to </w:t>
      </w:r>
      <w:r w:rsidR="0065528E" w:rsidRPr="002B7CED">
        <w:rPr>
          <w:b/>
          <w:bCs/>
          <w:color w:val="0070C0"/>
          <w:sz w:val="26"/>
          <w:szCs w:val="26"/>
        </w:rPr>
        <w:t xml:space="preserve">the Secretary of </w:t>
      </w:r>
      <w:r w:rsidR="00560635" w:rsidRPr="002B7CED">
        <w:rPr>
          <w:b/>
          <w:bCs/>
          <w:color w:val="0070C0"/>
          <w:sz w:val="26"/>
          <w:szCs w:val="26"/>
        </w:rPr>
        <w:t xml:space="preserve">the </w:t>
      </w:r>
      <w:r w:rsidR="007F2553">
        <w:rPr>
          <w:b/>
          <w:bCs/>
          <w:color w:val="0070C0"/>
          <w:sz w:val="26"/>
          <w:szCs w:val="26"/>
        </w:rPr>
        <w:t>Department of Health, Disability and Ageing</w:t>
      </w:r>
    </w:p>
    <w:p w14:paraId="0749E115" w14:textId="0322C928" w:rsidR="00C445B4" w:rsidRPr="001C19A5" w:rsidRDefault="00C445B4" w:rsidP="40B9380F">
      <w:pPr>
        <w:rPr>
          <w:color w:val="111111"/>
          <w:sz w:val="24"/>
          <w:szCs w:val="24"/>
          <w:lang w:val="en-US"/>
        </w:rPr>
      </w:pPr>
      <w:r w:rsidRPr="40B9380F">
        <w:rPr>
          <w:color w:val="111111"/>
          <w:sz w:val="24"/>
          <w:szCs w:val="24"/>
          <w:lang w:val="en-US"/>
        </w:rPr>
        <w:t xml:space="preserve">Providers have responsibilities for information that must be provided to the Secretary </w:t>
      </w:r>
      <w:r w:rsidR="00560635" w:rsidRPr="40B9380F">
        <w:rPr>
          <w:color w:val="111111"/>
          <w:sz w:val="24"/>
          <w:szCs w:val="24"/>
          <w:lang w:val="en-US"/>
        </w:rPr>
        <w:t xml:space="preserve">of the </w:t>
      </w:r>
      <w:r w:rsidR="007F2553" w:rsidRPr="40B9380F">
        <w:rPr>
          <w:color w:val="111111"/>
          <w:sz w:val="24"/>
          <w:szCs w:val="24"/>
          <w:lang w:val="en-US"/>
        </w:rPr>
        <w:t>Department of Health, Disability and Ageing</w:t>
      </w:r>
      <w:r w:rsidR="00560635" w:rsidRPr="40B9380F">
        <w:rPr>
          <w:color w:val="111111"/>
          <w:sz w:val="24"/>
          <w:szCs w:val="24"/>
          <w:lang w:val="en-US"/>
        </w:rPr>
        <w:t>.</w:t>
      </w:r>
    </w:p>
    <w:p w14:paraId="4314EA6A" w14:textId="6372C0D3" w:rsidR="005D58E5" w:rsidRDefault="00560635" w:rsidP="17F94A6F">
      <w:pPr>
        <w:rPr>
          <w:color w:val="111111"/>
          <w:sz w:val="24"/>
          <w:szCs w:val="24"/>
          <w:lang w:val="en-US"/>
        </w:rPr>
      </w:pPr>
      <w:r w:rsidRPr="17F94A6F">
        <w:rPr>
          <w:color w:val="111111"/>
          <w:sz w:val="24"/>
          <w:szCs w:val="24"/>
          <w:lang w:val="en-US"/>
        </w:rPr>
        <w:t>Providers</w:t>
      </w:r>
      <w:r w:rsidR="009E67E5" w:rsidRPr="17F94A6F">
        <w:rPr>
          <w:color w:val="111111"/>
          <w:sz w:val="24"/>
          <w:szCs w:val="24"/>
          <w:lang w:val="en-US"/>
        </w:rPr>
        <w:t xml:space="preserve"> are required to submit </w:t>
      </w:r>
      <w:r w:rsidR="00FF3C89" w:rsidRPr="17F94A6F">
        <w:rPr>
          <w:color w:val="111111"/>
          <w:sz w:val="24"/>
          <w:szCs w:val="24"/>
          <w:lang w:val="en-US"/>
        </w:rPr>
        <w:t xml:space="preserve">an APCS </w:t>
      </w:r>
      <w:r w:rsidR="00E25FED" w:rsidRPr="17F94A6F">
        <w:rPr>
          <w:color w:val="111111"/>
          <w:sz w:val="24"/>
          <w:szCs w:val="24"/>
          <w:lang w:val="en-US"/>
        </w:rPr>
        <w:t>as part of the Aged Care Financial Report</w:t>
      </w:r>
      <w:r w:rsidR="009E67E5" w:rsidRPr="17F94A6F">
        <w:rPr>
          <w:color w:val="111111"/>
          <w:sz w:val="24"/>
          <w:szCs w:val="24"/>
          <w:lang w:val="en-US"/>
        </w:rPr>
        <w:t xml:space="preserve">, providing information about the refundable accommodation deposits </w:t>
      </w:r>
      <w:r w:rsidR="00A56E5E" w:rsidRPr="17F94A6F">
        <w:rPr>
          <w:color w:val="111111"/>
          <w:sz w:val="24"/>
          <w:szCs w:val="24"/>
          <w:lang w:val="en-US"/>
        </w:rPr>
        <w:t>held,</w:t>
      </w:r>
      <w:r w:rsidR="00B5375D" w:rsidRPr="17F94A6F">
        <w:rPr>
          <w:color w:val="111111"/>
          <w:sz w:val="24"/>
          <w:szCs w:val="24"/>
          <w:lang w:val="en-US"/>
        </w:rPr>
        <w:t xml:space="preserve"> managed and refunded for the financial year, and their compliance with the prudential standards.</w:t>
      </w:r>
      <w:r w:rsidR="00A56E5E" w:rsidRPr="17F94A6F">
        <w:rPr>
          <w:color w:val="111111"/>
          <w:sz w:val="24"/>
          <w:szCs w:val="24"/>
          <w:lang w:val="en-US"/>
        </w:rPr>
        <w:t xml:space="preserve"> </w:t>
      </w:r>
    </w:p>
    <w:p w14:paraId="4775D269" w14:textId="4ED88337" w:rsidR="00AA0733" w:rsidRDefault="004B20FE" w:rsidP="17F94A6F">
      <w:pPr>
        <w:rPr>
          <w:color w:val="111111"/>
          <w:sz w:val="24"/>
          <w:szCs w:val="24"/>
          <w:lang w:val="en-US"/>
        </w:rPr>
      </w:pPr>
      <w:r>
        <w:rPr>
          <w:color w:val="111111"/>
          <w:sz w:val="24"/>
          <w:szCs w:val="24"/>
          <w:lang w:val="en-US"/>
        </w:rPr>
        <w:t>P</w:t>
      </w:r>
      <w:r w:rsidR="00AA0733" w:rsidRPr="17F94A6F">
        <w:rPr>
          <w:color w:val="111111"/>
          <w:sz w:val="24"/>
          <w:szCs w:val="24"/>
          <w:lang w:val="en-US"/>
        </w:rPr>
        <w:t>roviders who do not lodge a complete APCS, by the legislated timeframe are non-compliant with their disclosure responsibilities under the Act.</w:t>
      </w:r>
    </w:p>
    <w:p w14:paraId="2504010E" w14:textId="7B3E75EC" w:rsidR="0006515A" w:rsidRDefault="0006515A" w:rsidP="17F94A6F">
      <w:pPr>
        <w:rPr>
          <w:color w:val="111111"/>
          <w:sz w:val="24"/>
          <w:szCs w:val="24"/>
          <w:lang w:val="en-US"/>
        </w:rPr>
      </w:pPr>
      <w:r w:rsidRPr="17F94A6F">
        <w:rPr>
          <w:color w:val="111111"/>
          <w:sz w:val="24"/>
          <w:szCs w:val="24"/>
          <w:lang w:val="en-US"/>
        </w:rPr>
        <w:t>A complete APCS consists of both the provider’s compliance statement against the prudential standards and the auditor statement. These two items form a complete APCS and should be submitted within four months of the end of the provider’s financial year. A late submission of any part of the APCS is a breach of the Disclosure Standard and must be reported in the following year’s APCS. </w:t>
      </w:r>
    </w:p>
    <w:p w14:paraId="357C3DFF" w14:textId="22E0824B" w:rsidR="00F21264" w:rsidRPr="001859F1" w:rsidRDefault="004A3C42" w:rsidP="17F94A6F">
      <w:pPr>
        <w:rPr>
          <w:color w:val="111111"/>
          <w:sz w:val="24"/>
          <w:szCs w:val="24"/>
          <w:lang w:val="en-US"/>
        </w:rPr>
      </w:pPr>
      <w:r>
        <w:rPr>
          <w:color w:val="111111"/>
          <w:sz w:val="24"/>
          <w:szCs w:val="24"/>
          <w:lang w:val="en-US"/>
        </w:rPr>
        <w:t>Failure to</w:t>
      </w:r>
      <w:r w:rsidR="005F14A3">
        <w:rPr>
          <w:color w:val="111111"/>
          <w:sz w:val="24"/>
          <w:szCs w:val="24"/>
          <w:lang w:val="en-US"/>
        </w:rPr>
        <w:t xml:space="preserve"> disclose all reportable non-compliances </w:t>
      </w:r>
      <w:r w:rsidRPr="004A3C42">
        <w:rPr>
          <w:color w:val="111111"/>
          <w:sz w:val="24"/>
          <w:szCs w:val="24"/>
          <w:lang w:val="en-US"/>
        </w:rPr>
        <w:t>is a breach of the Disclosure Standard and must be reported in the following year’s APCS.</w:t>
      </w:r>
    </w:p>
    <w:p w14:paraId="434CFBF1" w14:textId="773DB80A" w:rsidR="0005562C" w:rsidRPr="002B7CED" w:rsidRDefault="00AA251F" w:rsidP="002B7CED">
      <w:pPr>
        <w:spacing w:before="200" w:after="0"/>
        <w:rPr>
          <w:b/>
          <w:bCs/>
          <w:color w:val="0070C0"/>
          <w:sz w:val="26"/>
          <w:szCs w:val="26"/>
        </w:rPr>
      </w:pPr>
      <w:r w:rsidRPr="002B7CED">
        <w:rPr>
          <w:b/>
          <w:bCs/>
          <w:color w:val="0070C0"/>
          <w:sz w:val="26"/>
          <w:szCs w:val="26"/>
        </w:rPr>
        <w:t xml:space="preserve">Disclosure to </w:t>
      </w:r>
      <w:r w:rsidR="009978D8" w:rsidRPr="002B7CED">
        <w:rPr>
          <w:b/>
          <w:bCs/>
          <w:color w:val="0070C0"/>
          <w:sz w:val="26"/>
          <w:szCs w:val="26"/>
        </w:rPr>
        <w:t>resident</w:t>
      </w:r>
      <w:r w:rsidR="0005562C" w:rsidRPr="002B7CED">
        <w:rPr>
          <w:b/>
          <w:bCs/>
          <w:color w:val="0070C0"/>
          <w:sz w:val="26"/>
          <w:szCs w:val="26"/>
        </w:rPr>
        <w:t>s</w:t>
      </w:r>
    </w:p>
    <w:p w14:paraId="7B6A2989" w14:textId="0BEC5D46" w:rsidR="0005562C" w:rsidRPr="001C19A5" w:rsidRDefault="0005562C" w:rsidP="40B9380F">
      <w:pPr>
        <w:rPr>
          <w:color w:val="111111"/>
          <w:sz w:val="24"/>
          <w:szCs w:val="24"/>
          <w:lang w:val="en-US"/>
        </w:rPr>
      </w:pPr>
      <w:r w:rsidRPr="40B9380F">
        <w:rPr>
          <w:color w:val="111111"/>
          <w:sz w:val="24"/>
          <w:szCs w:val="24"/>
          <w:lang w:val="en-US"/>
        </w:rPr>
        <w:t xml:space="preserve">Providers have responsibilities for information that must be provided to </w:t>
      </w:r>
      <w:r w:rsidR="009978D8" w:rsidRPr="40B9380F">
        <w:rPr>
          <w:color w:val="111111"/>
          <w:sz w:val="24"/>
          <w:szCs w:val="24"/>
          <w:lang w:val="en-US"/>
        </w:rPr>
        <w:t>resident</w:t>
      </w:r>
      <w:r w:rsidRPr="40B9380F">
        <w:rPr>
          <w:color w:val="111111"/>
          <w:sz w:val="24"/>
          <w:szCs w:val="24"/>
          <w:lang w:val="en-US"/>
        </w:rPr>
        <w:t>s (or their representatives).</w:t>
      </w:r>
    </w:p>
    <w:p w14:paraId="32C85692" w14:textId="76E6B8B7" w:rsidR="0005562C" w:rsidRPr="002B7CED" w:rsidRDefault="005A60CB" w:rsidP="002B7CED">
      <w:pPr>
        <w:spacing w:before="200" w:after="0"/>
        <w:rPr>
          <w:b/>
          <w:bCs/>
          <w:color w:val="0070C0"/>
          <w:sz w:val="26"/>
          <w:szCs w:val="26"/>
        </w:rPr>
      </w:pPr>
      <w:r w:rsidRPr="002B7CED">
        <w:rPr>
          <w:b/>
          <w:bCs/>
          <w:color w:val="0070C0"/>
          <w:sz w:val="26"/>
          <w:szCs w:val="26"/>
        </w:rPr>
        <w:t xml:space="preserve">Provision of information upon entering an </w:t>
      </w:r>
      <w:r w:rsidR="0005562C" w:rsidRPr="002B7CED">
        <w:rPr>
          <w:b/>
          <w:bCs/>
          <w:color w:val="0070C0"/>
          <w:sz w:val="26"/>
          <w:szCs w:val="26"/>
        </w:rPr>
        <w:t>accommodation agreement</w:t>
      </w:r>
    </w:p>
    <w:p w14:paraId="4AADE4CC" w14:textId="7826686A" w:rsidR="0005562C" w:rsidRPr="001C19A5" w:rsidRDefault="0005562C" w:rsidP="00C61320">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 xml:space="preserve">Within seven days after an accommodation agreement is entered into, providers must notify the </w:t>
      </w:r>
      <w:r w:rsidR="009978D8">
        <w:rPr>
          <w:rFonts w:asciiTheme="minorHAnsi" w:hAnsiTheme="minorHAnsi"/>
          <w:color w:val="111111"/>
          <w:lang w:val="en"/>
        </w:rPr>
        <w:t>resident</w:t>
      </w:r>
      <w:r w:rsidRPr="001C19A5">
        <w:rPr>
          <w:rFonts w:asciiTheme="minorHAnsi" w:hAnsiTheme="minorHAnsi"/>
          <w:color w:val="111111"/>
          <w:lang w:val="en"/>
        </w:rPr>
        <w:t xml:space="preserve">, in writing, that the provider will give the </w:t>
      </w:r>
      <w:r w:rsidR="009978D8">
        <w:rPr>
          <w:rFonts w:asciiTheme="minorHAnsi" w:hAnsiTheme="minorHAnsi"/>
          <w:color w:val="111111"/>
          <w:lang w:val="en"/>
        </w:rPr>
        <w:t>resident</w:t>
      </w:r>
      <w:r w:rsidRPr="001C19A5">
        <w:rPr>
          <w:rFonts w:asciiTheme="minorHAnsi" w:hAnsiTheme="minorHAnsi"/>
          <w:color w:val="111111"/>
          <w:lang w:val="en"/>
        </w:rPr>
        <w:t xml:space="preserve">, within 7 days of a request by the </w:t>
      </w:r>
      <w:r w:rsidR="009978D8">
        <w:rPr>
          <w:rFonts w:asciiTheme="minorHAnsi" w:hAnsiTheme="minorHAnsi"/>
          <w:color w:val="111111"/>
          <w:lang w:val="en"/>
        </w:rPr>
        <w:t>resident</w:t>
      </w:r>
      <w:r w:rsidRPr="001C19A5">
        <w:rPr>
          <w:rFonts w:asciiTheme="minorHAnsi" w:hAnsiTheme="minorHAnsi"/>
          <w:color w:val="111111"/>
          <w:lang w:val="en"/>
        </w:rPr>
        <w:t>, the information and documents set out in section 57 of the Fees and Payments Principles which include:</w:t>
      </w:r>
    </w:p>
    <w:p w14:paraId="0C2F4413" w14:textId="3B934656"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summary of the permitted uses that refundable deposits and bonds have been used for in the previous financial year</w:t>
      </w:r>
    </w:p>
    <w:p w14:paraId="0C5337D7" w14:textId="7765E51C"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if refundable deposits and bonds have been invested in financial products other than through an ADI, a statement explaining the provider's investment objectives and the asset classes they may invest in</w:t>
      </w:r>
    </w:p>
    <w:p w14:paraId="6F91E9A7" w14:textId="5D58B208"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information about whether the provider has complied with the prudential requirements and permitted uses for refundable deposits and bonds</w:t>
      </w:r>
    </w:p>
    <w:p w14:paraId="4BBD8E7F" w14:textId="77777777"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lastRenderedPageBreak/>
        <w:t>a copy of the independent audit opinion of the APCS from the previous financial year,</w:t>
      </w:r>
    </w:p>
    <w:p w14:paraId="42108E74" w14:textId="3E328761"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information about the number of refundable deposit balances and bond balances that were not refunded in accordance with the Act or, for entry contributions, a formal agreement</w:t>
      </w:r>
    </w:p>
    <w:p w14:paraId="1035DCB3" w14:textId="7EC82D0E"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the provider's most recent audited accounts or, if the service is part of a broader organisation, the statement relating to the aged care component</w:t>
      </w:r>
    </w:p>
    <w:p w14:paraId="7D60695C" w14:textId="5248CBBE" w:rsidR="002B57C6"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copy of the resident's entry in the refundable deposit register, current at the time of the request</w:t>
      </w:r>
    </w:p>
    <w:p w14:paraId="76B6E04F" w14:textId="77777777" w:rsidR="0005562C" w:rsidRPr="001C19A5" w:rsidRDefault="00322178" w:rsidP="002B57C6">
      <w:pPr>
        <w:spacing w:after="120" w:line="240" w:lineRule="auto"/>
        <w:rPr>
          <w:color w:val="111111"/>
          <w:sz w:val="18"/>
          <w:szCs w:val="18"/>
          <w:lang w:val="en"/>
        </w:rPr>
      </w:pPr>
      <w:r w:rsidRPr="001C19A5">
        <w:rPr>
          <w:rStyle w:val="Strong"/>
          <w:color w:val="111111"/>
          <w:sz w:val="18"/>
          <w:szCs w:val="18"/>
          <w:lang w:val="en"/>
        </w:rPr>
        <w:t>R</w:t>
      </w:r>
      <w:r w:rsidR="0005562C" w:rsidRPr="001C19A5">
        <w:rPr>
          <w:rStyle w:val="Strong"/>
          <w:color w:val="111111"/>
          <w:sz w:val="18"/>
          <w:szCs w:val="18"/>
          <w:lang w:val="en"/>
        </w:rPr>
        <w:t>eference</w:t>
      </w:r>
      <w:r w:rsidR="0005562C" w:rsidRPr="001C19A5">
        <w:rPr>
          <w:rStyle w:val="Strong"/>
          <w:b w:val="0"/>
          <w:color w:val="111111"/>
          <w:sz w:val="18"/>
          <w:szCs w:val="18"/>
          <w:lang w:val="en"/>
        </w:rPr>
        <w:t>:</w:t>
      </w:r>
      <w:r w:rsidR="0005562C" w:rsidRPr="001C19A5">
        <w:rPr>
          <w:color w:val="111111"/>
          <w:sz w:val="18"/>
          <w:szCs w:val="18"/>
          <w:lang w:val="en"/>
        </w:rPr>
        <w:t xml:space="preserve"> Fees and Payments </w:t>
      </w:r>
      <w:r w:rsidR="00EC251D" w:rsidRPr="001C19A5">
        <w:rPr>
          <w:color w:val="111111"/>
          <w:sz w:val="18"/>
          <w:szCs w:val="18"/>
          <w:lang w:val="en"/>
        </w:rPr>
        <w:t>Principles section</w:t>
      </w:r>
      <w:r w:rsidR="0005562C" w:rsidRPr="001C19A5">
        <w:rPr>
          <w:color w:val="111111"/>
          <w:sz w:val="18"/>
          <w:szCs w:val="18"/>
          <w:lang w:val="en"/>
        </w:rPr>
        <w:t xml:space="preserve"> 57</w:t>
      </w:r>
    </w:p>
    <w:p w14:paraId="60C83A7F" w14:textId="77777777" w:rsidR="0005562C" w:rsidRPr="002B7CED" w:rsidRDefault="0005562C" w:rsidP="002B7CED">
      <w:pPr>
        <w:spacing w:before="200" w:after="0"/>
        <w:rPr>
          <w:b/>
          <w:bCs/>
          <w:color w:val="0070C0"/>
          <w:sz w:val="26"/>
          <w:szCs w:val="26"/>
        </w:rPr>
      </w:pPr>
      <w:r w:rsidRPr="002B7CED">
        <w:rPr>
          <w:b/>
          <w:bCs/>
          <w:color w:val="0070C0"/>
          <w:sz w:val="26"/>
          <w:szCs w:val="26"/>
        </w:rPr>
        <w:t>Routine provision of information at the end of each financial year</w:t>
      </w:r>
    </w:p>
    <w:p w14:paraId="7C790774" w14:textId="64AB8E50" w:rsidR="0005562C" w:rsidRPr="001C19A5" w:rsidRDefault="0005562C" w:rsidP="00C61320">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Within four months after the end of </w:t>
      </w:r>
      <w:r w:rsidR="65EF6FB3" w:rsidRPr="17F94A6F">
        <w:rPr>
          <w:rFonts w:asciiTheme="minorHAnsi" w:hAnsiTheme="minorHAnsi"/>
          <w:color w:val="111111"/>
          <w:lang w:val="en-US"/>
        </w:rPr>
        <w:t>a</w:t>
      </w:r>
      <w:r w:rsidR="006F1FDD">
        <w:rPr>
          <w:rFonts w:asciiTheme="minorHAnsi" w:hAnsiTheme="minorHAnsi"/>
          <w:color w:val="111111"/>
          <w:lang w:val="en-US"/>
        </w:rPr>
        <w:t xml:space="preserve"> </w:t>
      </w:r>
      <w:r w:rsidR="65EF6FB3" w:rsidRPr="17F94A6F">
        <w:rPr>
          <w:rFonts w:asciiTheme="minorHAnsi" w:hAnsiTheme="minorHAnsi"/>
          <w:color w:val="111111"/>
          <w:lang w:val="en-US"/>
        </w:rPr>
        <w:t xml:space="preserve">provider’s </w:t>
      </w:r>
      <w:r w:rsidRPr="17F94A6F">
        <w:rPr>
          <w:rFonts w:asciiTheme="minorHAnsi" w:hAnsiTheme="minorHAnsi"/>
          <w:color w:val="111111"/>
          <w:lang w:val="en-US"/>
        </w:rPr>
        <w:t xml:space="preserve">financial year, </w:t>
      </w:r>
      <w:r w:rsidR="05AECF1C" w:rsidRPr="17F94A6F">
        <w:rPr>
          <w:rFonts w:asciiTheme="minorHAnsi" w:hAnsiTheme="minorHAnsi"/>
          <w:color w:val="111111"/>
          <w:lang w:val="en-US"/>
        </w:rPr>
        <w:t xml:space="preserve">they </w:t>
      </w:r>
      <w:r w:rsidRPr="17F94A6F">
        <w:rPr>
          <w:rFonts w:asciiTheme="minorHAnsi" w:hAnsiTheme="minorHAnsi"/>
          <w:color w:val="111111"/>
          <w:lang w:val="en-US"/>
        </w:rPr>
        <w:t xml:space="preserve">are required to provide </w:t>
      </w:r>
      <w:r w:rsidR="009978D8">
        <w:rPr>
          <w:rFonts w:asciiTheme="minorHAnsi" w:hAnsiTheme="minorHAnsi"/>
          <w:color w:val="111111"/>
          <w:lang w:val="en-US"/>
        </w:rPr>
        <w:t>resident</w:t>
      </w:r>
      <w:r w:rsidRPr="17F94A6F">
        <w:rPr>
          <w:rFonts w:asciiTheme="minorHAnsi" w:hAnsiTheme="minorHAnsi"/>
          <w:color w:val="111111"/>
          <w:lang w:val="en-US"/>
        </w:rPr>
        <w:t xml:space="preserve">s who have paid a refundable deposit, </w:t>
      </w:r>
      <w:r w:rsidR="00EC251D" w:rsidRPr="17F94A6F">
        <w:rPr>
          <w:rFonts w:asciiTheme="minorHAnsi" w:hAnsiTheme="minorHAnsi"/>
          <w:color w:val="111111"/>
          <w:lang w:val="en-US"/>
        </w:rPr>
        <w:t>a</w:t>
      </w:r>
      <w:r w:rsidRPr="17F94A6F">
        <w:rPr>
          <w:rFonts w:asciiTheme="minorHAnsi" w:hAnsiTheme="minorHAnsi"/>
          <w:color w:val="111111"/>
          <w:lang w:val="en-US"/>
        </w:rPr>
        <w:t xml:space="preserve"> bond or an entry contribution with the following information:</w:t>
      </w:r>
    </w:p>
    <w:p w14:paraId="4A1FEDDE" w14:textId="303B9E9C"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copy of the resident's entry in the refundable deposit register, as at the end of the financial year (assuming that the resident had paid a refundable deposit or bond prior to the end of the financial year)</w:t>
      </w:r>
    </w:p>
    <w:p w14:paraId="45F539E3" w14:textId="6C4B9DC6"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written statement that the provider will provide, within seven days of request, the information and documents specified in section 57(1)(a)-(g) - (3), Fees and Payments Principles</w:t>
      </w:r>
    </w:p>
    <w:p w14:paraId="6BBA83F1" w14:textId="6ED86810" w:rsidR="0005562C" w:rsidRPr="001C19A5" w:rsidRDefault="00322178" w:rsidP="0005562C">
      <w:pPr>
        <w:rPr>
          <w:sz w:val="18"/>
          <w:szCs w:val="18"/>
          <w:lang w:val="en"/>
        </w:rPr>
      </w:pPr>
      <w:r w:rsidRPr="001C19A5">
        <w:rPr>
          <w:rStyle w:val="Strong"/>
          <w:sz w:val="18"/>
          <w:szCs w:val="18"/>
          <w:lang w:val="en"/>
        </w:rPr>
        <w:t>R</w:t>
      </w:r>
      <w:r w:rsidR="0005562C" w:rsidRPr="001C19A5">
        <w:rPr>
          <w:rStyle w:val="Strong"/>
          <w:sz w:val="18"/>
          <w:szCs w:val="18"/>
          <w:lang w:val="en"/>
        </w:rPr>
        <w:t>eference</w:t>
      </w:r>
      <w:r w:rsidR="0005562C" w:rsidRPr="001C19A5">
        <w:rPr>
          <w:rStyle w:val="Strong"/>
          <w:b w:val="0"/>
          <w:sz w:val="18"/>
          <w:szCs w:val="18"/>
          <w:lang w:val="en"/>
        </w:rPr>
        <w:t>:</w:t>
      </w:r>
      <w:r w:rsidR="0005562C" w:rsidRPr="001C19A5">
        <w:rPr>
          <w:rStyle w:val="Strong"/>
          <w:sz w:val="18"/>
          <w:szCs w:val="18"/>
          <w:lang w:val="en"/>
        </w:rPr>
        <w:t xml:space="preserve"> </w:t>
      </w:r>
      <w:hyperlink r:id="rId36" w:history="1">
        <w:r w:rsidR="0005562C" w:rsidRPr="001C19A5">
          <w:rPr>
            <w:rStyle w:val="Hyperlink"/>
            <w:color w:val="auto"/>
            <w:sz w:val="18"/>
            <w:szCs w:val="18"/>
            <w:u w:val="none"/>
            <w:lang w:val="en"/>
          </w:rPr>
          <w:t xml:space="preserve">Fees and Payments Principles </w:t>
        </w:r>
      </w:hyperlink>
      <w:r w:rsidR="0005562C" w:rsidRPr="001C19A5">
        <w:rPr>
          <w:sz w:val="18"/>
          <w:szCs w:val="18"/>
          <w:lang w:val="en"/>
        </w:rPr>
        <w:t>section 57</w:t>
      </w:r>
    </w:p>
    <w:p w14:paraId="6D64A384" w14:textId="77777777" w:rsidR="0005562C" w:rsidRPr="002B7CED" w:rsidRDefault="0005562C" w:rsidP="002B7CED">
      <w:pPr>
        <w:spacing w:before="200" w:after="0"/>
        <w:rPr>
          <w:b/>
          <w:bCs/>
          <w:color w:val="0070C0"/>
          <w:sz w:val="26"/>
          <w:szCs w:val="26"/>
        </w:rPr>
      </w:pPr>
      <w:r w:rsidRPr="002B7CED">
        <w:rPr>
          <w:b/>
          <w:bCs/>
          <w:color w:val="0070C0"/>
          <w:sz w:val="26"/>
          <w:szCs w:val="26"/>
        </w:rPr>
        <w:t>Routine provision of information at any other time</w:t>
      </w:r>
    </w:p>
    <w:p w14:paraId="48E1FF9B" w14:textId="0952FA6F" w:rsidR="0005562C" w:rsidRPr="001C19A5" w:rsidRDefault="0005562C" w:rsidP="00C61320">
      <w:pPr>
        <w:spacing w:before="40" w:after="120" w:line="240" w:lineRule="auto"/>
        <w:rPr>
          <w:color w:val="111111"/>
          <w:sz w:val="24"/>
          <w:szCs w:val="24"/>
          <w:lang w:val="en"/>
        </w:rPr>
      </w:pPr>
      <w:r w:rsidRPr="001C19A5">
        <w:rPr>
          <w:rStyle w:val="Strong"/>
          <w:b w:val="0"/>
          <w:color w:val="111111"/>
          <w:sz w:val="24"/>
          <w:szCs w:val="24"/>
          <w:lang w:val="en"/>
        </w:rPr>
        <w:t xml:space="preserve">If a </w:t>
      </w:r>
      <w:r w:rsidR="009978D8">
        <w:rPr>
          <w:rStyle w:val="Strong"/>
          <w:b w:val="0"/>
          <w:color w:val="111111"/>
          <w:sz w:val="24"/>
          <w:szCs w:val="24"/>
          <w:lang w:val="en"/>
        </w:rPr>
        <w:t>resident</w:t>
      </w:r>
      <w:r w:rsidRPr="001C19A5">
        <w:rPr>
          <w:rStyle w:val="Strong"/>
          <w:b w:val="0"/>
          <w:color w:val="111111"/>
          <w:sz w:val="24"/>
          <w:szCs w:val="24"/>
          <w:lang w:val="en"/>
        </w:rPr>
        <w:t xml:space="preserve"> who has paid a refundable deposit</w:t>
      </w:r>
      <w:r w:rsidRPr="001C19A5">
        <w:rPr>
          <w:rStyle w:val="Strong"/>
          <w:b w:val="0"/>
          <w:sz w:val="24"/>
          <w:szCs w:val="24"/>
        </w:rPr>
        <w:t>,</w:t>
      </w:r>
      <w:r w:rsidRPr="001C19A5">
        <w:rPr>
          <w:color w:val="111111"/>
          <w:sz w:val="24"/>
          <w:szCs w:val="24"/>
          <w:lang w:val="en"/>
        </w:rPr>
        <w:t xml:space="preserve"> a bond or entry contribution requests the information and documents set out in section 57(1)(a)-(g) - (3), </w:t>
      </w:r>
      <w:r w:rsidR="000C4A59">
        <w:rPr>
          <w:color w:val="111111"/>
          <w:sz w:val="24"/>
          <w:szCs w:val="24"/>
          <w:lang w:val="en"/>
        </w:rPr>
        <w:t>a</w:t>
      </w:r>
      <w:r w:rsidRPr="001C19A5">
        <w:rPr>
          <w:color w:val="111111"/>
          <w:sz w:val="24"/>
          <w:szCs w:val="24"/>
          <w:lang w:val="en"/>
        </w:rPr>
        <w:t xml:space="preserve"> provider must provide it within seven days. That information includes the following:</w:t>
      </w:r>
    </w:p>
    <w:p w14:paraId="2BD00E4C" w14:textId="4BF82DFA"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summary of the permitted uses that refundable deposits and bonds have been used for in the previous financial year</w:t>
      </w:r>
    </w:p>
    <w:p w14:paraId="67C13194" w14:textId="012B677A"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information about whether the provider has complied with the prudential requirements and permitted uses for refundable deposits and bonds</w:t>
      </w:r>
    </w:p>
    <w:p w14:paraId="7997EEE7" w14:textId="64534865"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information about the number of refundable deposit balances and bond balances that were not refunded in accordance with the Act or, for entry contributions, a formal agreement</w:t>
      </w:r>
    </w:p>
    <w:p w14:paraId="54B50296" w14:textId="2465EEAA"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if refundable deposits and bonds have been invested in financial products other than through an ADI, a statement explaining the provider's investment objectives and the asset classes they may invest in</w:t>
      </w:r>
    </w:p>
    <w:p w14:paraId="3F311945" w14:textId="77777777"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copy of the independent audit opinion of the APCS from the previous financial year,</w:t>
      </w:r>
    </w:p>
    <w:p w14:paraId="59A351AB" w14:textId="5E6B2580"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the provider's most recent audited accounts or, if the service is part of a broader organisation, the statement relating to the aged care component</w:t>
      </w:r>
    </w:p>
    <w:p w14:paraId="6980F2A6" w14:textId="5369CEE2" w:rsidR="00C41979" w:rsidRPr="00B35C39" w:rsidRDefault="00C41979"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a copy of the resident's entry in the refundable deposit register, current at the time of the request</w:t>
      </w:r>
    </w:p>
    <w:p w14:paraId="1C0C08BA" w14:textId="036ECC05" w:rsidR="0005562C" w:rsidRPr="001C19A5" w:rsidRDefault="00322178" w:rsidP="0005562C">
      <w:pPr>
        <w:spacing w:before="40"/>
        <w:rPr>
          <w:sz w:val="18"/>
          <w:szCs w:val="18"/>
          <w:lang w:val="en"/>
        </w:rPr>
      </w:pPr>
      <w:r w:rsidRPr="001C19A5">
        <w:rPr>
          <w:rStyle w:val="Strong"/>
          <w:sz w:val="18"/>
          <w:szCs w:val="18"/>
          <w:lang w:val="en"/>
        </w:rPr>
        <w:t>R</w:t>
      </w:r>
      <w:r w:rsidR="0005562C" w:rsidRPr="001C19A5">
        <w:rPr>
          <w:rStyle w:val="Strong"/>
          <w:sz w:val="18"/>
          <w:szCs w:val="18"/>
          <w:lang w:val="en"/>
        </w:rPr>
        <w:t>eference</w:t>
      </w:r>
      <w:r w:rsidR="0005562C" w:rsidRPr="001C19A5">
        <w:rPr>
          <w:rStyle w:val="Strong"/>
          <w:b w:val="0"/>
          <w:sz w:val="18"/>
          <w:szCs w:val="18"/>
          <w:lang w:val="en"/>
        </w:rPr>
        <w:t>:</w:t>
      </w:r>
      <w:r w:rsidR="0005562C" w:rsidRPr="001C19A5">
        <w:rPr>
          <w:sz w:val="18"/>
          <w:szCs w:val="18"/>
          <w:lang w:val="en"/>
        </w:rPr>
        <w:t xml:space="preserve"> </w:t>
      </w:r>
      <w:hyperlink r:id="rId37" w:history="1">
        <w:r w:rsidR="0005562C" w:rsidRPr="001C19A5">
          <w:rPr>
            <w:rStyle w:val="Hyperlink"/>
            <w:color w:val="auto"/>
            <w:sz w:val="18"/>
            <w:szCs w:val="18"/>
            <w:u w:val="none"/>
            <w:lang w:val="en"/>
          </w:rPr>
          <w:t xml:space="preserve">Fees and Payments Principles </w:t>
        </w:r>
      </w:hyperlink>
      <w:r w:rsidR="0005562C" w:rsidRPr="001C19A5">
        <w:rPr>
          <w:sz w:val="18"/>
          <w:szCs w:val="18"/>
          <w:lang w:val="en"/>
        </w:rPr>
        <w:t>section 57</w:t>
      </w:r>
    </w:p>
    <w:p w14:paraId="14B78A1C" w14:textId="77777777" w:rsidR="0005562C" w:rsidRPr="002B7CED" w:rsidRDefault="0005562C" w:rsidP="002B7CED">
      <w:pPr>
        <w:spacing w:before="200" w:after="0"/>
        <w:rPr>
          <w:b/>
          <w:bCs/>
          <w:color w:val="0070C0"/>
          <w:sz w:val="26"/>
          <w:szCs w:val="26"/>
        </w:rPr>
      </w:pPr>
      <w:r w:rsidRPr="002B7CED">
        <w:rPr>
          <w:b/>
          <w:bCs/>
          <w:color w:val="0070C0"/>
          <w:sz w:val="26"/>
          <w:szCs w:val="26"/>
        </w:rPr>
        <w:t>Keeping records of disclosure to residents</w:t>
      </w:r>
    </w:p>
    <w:p w14:paraId="603A1309" w14:textId="19EAC70A" w:rsidR="0005562C" w:rsidRPr="001C19A5" w:rsidRDefault="0005562C" w:rsidP="00C61320">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Providers must demonstrate their compliance with the Disclosure Standard on an annual basis, as part of their APCS. To do this, and to provide evidence of compliance</w:t>
      </w:r>
      <w:r w:rsidR="000C4A59" w:rsidRPr="17F94A6F">
        <w:rPr>
          <w:rFonts w:asciiTheme="minorHAnsi" w:hAnsiTheme="minorHAnsi"/>
          <w:color w:val="111111"/>
          <w:lang w:val="en-US"/>
        </w:rPr>
        <w:t xml:space="preserve"> if requested</w:t>
      </w:r>
      <w:r w:rsidRPr="17F94A6F">
        <w:rPr>
          <w:rFonts w:asciiTheme="minorHAnsi" w:hAnsiTheme="minorHAnsi"/>
          <w:color w:val="111111"/>
          <w:lang w:val="en-US"/>
        </w:rPr>
        <w:t>, providers should keep records of the following types of information:</w:t>
      </w:r>
    </w:p>
    <w:p w14:paraId="2EF92952" w14:textId="0395F796"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number of requests made</w:t>
      </w:r>
    </w:p>
    <w:p w14:paraId="27B2FB98" w14:textId="1AF1EEC0"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whether the information was provided within seven day</w:t>
      </w:r>
      <w:r w:rsidR="000C459E">
        <w:rPr>
          <w:rFonts w:eastAsia="Calibri" w:cs="Arial"/>
          <w:sz w:val="24"/>
          <w:szCs w:val="24"/>
        </w:rPr>
        <w:t>s</w:t>
      </w:r>
    </w:p>
    <w:p w14:paraId="186AB0AA" w14:textId="77777777" w:rsidR="0005562C" w:rsidRPr="001C19A5" w:rsidRDefault="0005562C" w:rsidP="00C65486">
      <w:pPr>
        <w:spacing w:after="0" w:line="240" w:lineRule="auto"/>
        <w:rPr>
          <w:rStyle w:val="Strong"/>
          <w:b w:val="0"/>
          <w:bCs w:val="0"/>
          <w:color w:val="111111"/>
          <w:u w:val="single"/>
          <w:lang w:val="en"/>
        </w:rPr>
      </w:pPr>
      <w:r w:rsidRPr="001C19A5">
        <w:rPr>
          <w:color w:val="111111"/>
          <w:sz w:val="24"/>
          <w:szCs w:val="24"/>
          <w:lang w:val="en"/>
        </w:rPr>
        <w:lastRenderedPageBreak/>
        <w:t xml:space="preserve">A provider may want to suggest that information requests be made in writing for ease of processing. If a request is made in writing, </w:t>
      </w:r>
      <w:r w:rsidR="00EC251D" w:rsidRPr="001C19A5">
        <w:rPr>
          <w:color w:val="111111"/>
          <w:sz w:val="24"/>
          <w:szCs w:val="24"/>
          <w:lang w:val="en"/>
        </w:rPr>
        <w:t>a</w:t>
      </w:r>
      <w:r w:rsidRPr="001C19A5">
        <w:rPr>
          <w:color w:val="111111"/>
          <w:sz w:val="24"/>
          <w:szCs w:val="24"/>
          <w:lang w:val="en"/>
        </w:rPr>
        <w:t xml:space="preserve"> provider should keep a copy of it. If the request is not in writing, a provider may wish to make a note of the date the request was made, the type of information requested and the date the information was provided.</w:t>
      </w:r>
      <w:r w:rsidRPr="001C19A5">
        <w:rPr>
          <w:color w:val="111111"/>
          <w:lang w:val="en"/>
        </w:rPr>
        <w:br/>
      </w:r>
      <w:r w:rsidR="00322178" w:rsidRPr="001C19A5">
        <w:rPr>
          <w:b/>
          <w:bCs/>
          <w:sz w:val="18"/>
          <w:szCs w:val="18"/>
          <w:lang w:val="en"/>
        </w:rPr>
        <w:t>R</w:t>
      </w:r>
      <w:r w:rsidRPr="001C19A5">
        <w:rPr>
          <w:b/>
          <w:bCs/>
          <w:sz w:val="18"/>
          <w:szCs w:val="18"/>
          <w:lang w:val="en"/>
        </w:rPr>
        <w:t>eference</w:t>
      </w:r>
      <w:r w:rsidRPr="001C19A5">
        <w:rPr>
          <w:bCs/>
          <w:sz w:val="18"/>
          <w:szCs w:val="18"/>
          <w:lang w:val="en"/>
        </w:rPr>
        <w:t>:</w:t>
      </w:r>
      <w:r w:rsidRPr="001C19A5">
        <w:rPr>
          <w:color w:val="111111"/>
          <w:sz w:val="18"/>
          <w:szCs w:val="18"/>
          <w:lang w:val="en"/>
        </w:rPr>
        <w:t xml:space="preserve"> </w:t>
      </w:r>
      <w:r w:rsidRPr="001C19A5">
        <w:rPr>
          <w:rStyle w:val="Hyperlink"/>
          <w:color w:val="auto"/>
          <w:sz w:val="18"/>
          <w:szCs w:val="18"/>
          <w:u w:val="none"/>
        </w:rPr>
        <w:t>Fees and Payments Principles</w:t>
      </w:r>
      <w:r w:rsidRPr="001C19A5">
        <w:rPr>
          <w:sz w:val="18"/>
          <w:szCs w:val="18"/>
          <w:lang w:val="en"/>
        </w:rPr>
        <w:t xml:space="preserve"> </w:t>
      </w:r>
      <w:r w:rsidRPr="001C19A5">
        <w:rPr>
          <w:color w:val="111111"/>
          <w:sz w:val="18"/>
          <w:szCs w:val="18"/>
          <w:lang w:val="en"/>
        </w:rPr>
        <w:t>section 55</w:t>
      </w:r>
    </w:p>
    <w:p w14:paraId="5008374F" w14:textId="689D06FD" w:rsidR="0005562C" w:rsidRPr="002B7CED" w:rsidRDefault="0005562C" w:rsidP="002B7CED">
      <w:pPr>
        <w:spacing w:before="200" w:after="0"/>
        <w:rPr>
          <w:b/>
          <w:bCs/>
          <w:color w:val="0070C0"/>
          <w:sz w:val="26"/>
          <w:szCs w:val="26"/>
        </w:rPr>
      </w:pPr>
      <w:r w:rsidRPr="002B7CED">
        <w:rPr>
          <w:b/>
          <w:bCs/>
          <w:color w:val="0070C0"/>
          <w:sz w:val="26"/>
          <w:szCs w:val="26"/>
        </w:rPr>
        <w:t xml:space="preserve">Disclosure to prospective </w:t>
      </w:r>
      <w:r w:rsidR="009978D8" w:rsidRPr="002B7CED">
        <w:rPr>
          <w:b/>
          <w:bCs/>
          <w:color w:val="0070C0"/>
          <w:sz w:val="26"/>
          <w:szCs w:val="26"/>
        </w:rPr>
        <w:t>resident</w:t>
      </w:r>
      <w:r w:rsidRPr="002B7CED">
        <w:rPr>
          <w:b/>
          <w:bCs/>
          <w:color w:val="0070C0"/>
          <w:sz w:val="26"/>
          <w:szCs w:val="26"/>
        </w:rPr>
        <w:t xml:space="preserve">s </w:t>
      </w:r>
    </w:p>
    <w:p w14:paraId="663EAB76" w14:textId="36971D3E"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A prospective </w:t>
      </w:r>
      <w:r w:rsidR="009978D8">
        <w:rPr>
          <w:rFonts w:asciiTheme="minorHAnsi" w:hAnsiTheme="minorHAnsi"/>
          <w:color w:val="111111"/>
          <w:lang w:val="en-US"/>
        </w:rPr>
        <w:t>resident</w:t>
      </w:r>
      <w:r w:rsidRPr="17F94A6F">
        <w:rPr>
          <w:rFonts w:asciiTheme="minorHAnsi" w:hAnsiTheme="minorHAnsi"/>
          <w:color w:val="111111"/>
          <w:lang w:val="en-US"/>
        </w:rPr>
        <w:t xml:space="preserve"> is a person approved as a recipient of residential care and who is considering receiving residential care through that service. In the case of residential aged care services, a prospective </w:t>
      </w:r>
      <w:r w:rsidR="009978D8">
        <w:rPr>
          <w:rFonts w:asciiTheme="minorHAnsi" w:hAnsiTheme="minorHAnsi"/>
          <w:color w:val="111111"/>
          <w:lang w:val="en-US"/>
        </w:rPr>
        <w:t>resident</w:t>
      </w:r>
      <w:r w:rsidRPr="17F94A6F">
        <w:rPr>
          <w:rFonts w:asciiTheme="minorHAnsi" w:hAnsiTheme="minorHAnsi"/>
          <w:color w:val="111111"/>
          <w:lang w:val="en-US"/>
        </w:rPr>
        <w:t xml:space="preserve"> is someone who is approved </w:t>
      </w:r>
      <w:r w:rsidR="00356FCE">
        <w:rPr>
          <w:rFonts w:asciiTheme="minorHAnsi" w:hAnsiTheme="minorHAnsi"/>
          <w:color w:val="111111"/>
          <w:lang w:val="en-US"/>
        </w:rPr>
        <w:t>through the Single Assessment System</w:t>
      </w:r>
      <w:r w:rsidRPr="17F94A6F">
        <w:rPr>
          <w:rFonts w:asciiTheme="minorHAnsi" w:hAnsiTheme="minorHAnsi"/>
          <w:color w:val="111111"/>
          <w:lang w:val="en-US"/>
        </w:rPr>
        <w:t xml:space="preserve">. </w:t>
      </w:r>
      <w:r w:rsidR="00EC251D" w:rsidRPr="17F94A6F">
        <w:rPr>
          <w:rFonts w:asciiTheme="minorHAnsi" w:hAnsiTheme="minorHAnsi"/>
          <w:color w:val="111111"/>
          <w:lang w:val="en-US"/>
        </w:rPr>
        <w:t>A</w:t>
      </w:r>
      <w:r w:rsidRPr="17F94A6F">
        <w:rPr>
          <w:rFonts w:asciiTheme="minorHAnsi" w:hAnsiTheme="minorHAnsi"/>
          <w:color w:val="111111"/>
          <w:lang w:val="en-US"/>
        </w:rPr>
        <w:t xml:space="preserve"> provider might want to confirm that somebody is a prospective </w:t>
      </w:r>
      <w:r w:rsidR="009978D8">
        <w:rPr>
          <w:rFonts w:asciiTheme="minorHAnsi" w:hAnsiTheme="minorHAnsi"/>
          <w:color w:val="111111"/>
          <w:lang w:val="en-US"/>
        </w:rPr>
        <w:t>resident</w:t>
      </w:r>
      <w:r w:rsidRPr="17F94A6F">
        <w:rPr>
          <w:rFonts w:asciiTheme="minorHAnsi" w:hAnsiTheme="minorHAnsi"/>
          <w:color w:val="111111"/>
          <w:lang w:val="en-US"/>
        </w:rPr>
        <w:t xml:space="preserve"> if that person requests information.</w:t>
      </w:r>
    </w:p>
    <w:p w14:paraId="0D44BEF0" w14:textId="4798C7FB" w:rsidR="0005562C" w:rsidRPr="001C19A5" w:rsidRDefault="0005562C" w:rsidP="4F97C5A3">
      <w:pPr>
        <w:pStyle w:val="NormalWeb"/>
        <w:spacing w:after="120" w:line="240" w:lineRule="auto"/>
        <w:rPr>
          <w:rFonts w:asciiTheme="minorHAnsi" w:hAnsiTheme="minorHAnsi"/>
          <w:color w:val="111111"/>
          <w:lang w:val="en-US"/>
        </w:rPr>
      </w:pPr>
      <w:r w:rsidRPr="4F97C5A3">
        <w:rPr>
          <w:rFonts w:asciiTheme="minorHAnsi" w:hAnsiTheme="minorHAnsi"/>
          <w:color w:val="111111"/>
          <w:lang w:val="en-US"/>
        </w:rPr>
        <w:t xml:space="preserve">Prospective </w:t>
      </w:r>
      <w:r w:rsidR="009978D8" w:rsidRPr="4F97C5A3">
        <w:rPr>
          <w:rFonts w:asciiTheme="minorHAnsi" w:hAnsiTheme="minorHAnsi"/>
          <w:color w:val="111111"/>
          <w:lang w:val="en-US"/>
        </w:rPr>
        <w:t>resident</w:t>
      </w:r>
      <w:r w:rsidRPr="4F97C5A3">
        <w:rPr>
          <w:rFonts w:asciiTheme="minorHAnsi" w:hAnsiTheme="minorHAnsi"/>
          <w:color w:val="111111"/>
          <w:lang w:val="en-US"/>
        </w:rPr>
        <w:t xml:space="preserve">s (or their representatives) can request the information at section 57(1)(a)-(f), </w:t>
      </w:r>
      <w:r w:rsidR="0024134F" w:rsidRPr="4F97C5A3">
        <w:rPr>
          <w:rFonts w:asciiTheme="minorHAnsi" w:hAnsiTheme="minorHAnsi"/>
          <w:color w:val="111111"/>
          <w:lang w:val="en-US"/>
        </w:rPr>
        <w:t xml:space="preserve">of the </w:t>
      </w:r>
      <w:r w:rsidR="00C87A31" w:rsidRPr="4F97C5A3">
        <w:rPr>
          <w:rFonts w:asciiTheme="minorHAnsi" w:hAnsiTheme="minorHAnsi"/>
          <w:color w:val="111111"/>
          <w:lang w:val="en-US"/>
        </w:rPr>
        <w:t xml:space="preserve">Fees and Payments </w:t>
      </w:r>
      <w:r w:rsidR="0024134F" w:rsidRPr="4F97C5A3">
        <w:rPr>
          <w:rFonts w:asciiTheme="minorHAnsi" w:hAnsiTheme="minorHAnsi"/>
          <w:color w:val="111111"/>
          <w:lang w:val="en-US"/>
        </w:rPr>
        <w:t>Principles</w:t>
      </w:r>
      <w:r w:rsidRPr="4F97C5A3">
        <w:rPr>
          <w:rFonts w:asciiTheme="minorHAnsi" w:hAnsiTheme="minorHAnsi"/>
          <w:color w:val="111111"/>
          <w:lang w:val="en-US"/>
        </w:rPr>
        <w:t>.</w:t>
      </w:r>
    </w:p>
    <w:p w14:paraId="215DB456" w14:textId="1EB3BDFF"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If a prospective </w:t>
      </w:r>
      <w:r w:rsidR="009978D8">
        <w:rPr>
          <w:rFonts w:asciiTheme="minorHAnsi" w:hAnsiTheme="minorHAnsi"/>
          <w:color w:val="111111"/>
          <w:lang w:val="en-US"/>
        </w:rPr>
        <w:t>resident</w:t>
      </w:r>
      <w:r w:rsidRPr="17F94A6F">
        <w:rPr>
          <w:rFonts w:asciiTheme="minorHAnsi" w:hAnsiTheme="minorHAnsi"/>
          <w:color w:val="111111"/>
          <w:lang w:val="en-US"/>
        </w:rPr>
        <w:t xml:space="preserve"> (or their representative) requests any of the above </w:t>
      </w:r>
      <w:r w:rsidR="00FF3DC2" w:rsidRPr="17F94A6F">
        <w:rPr>
          <w:rFonts w:asciiTheme="minorHAnsi" w:hAnsiTheme="minorHAnsi"/>
          <w:color w:val="111111"/>
          <w:lang w:val="en-US"/>
        </w:rPr>
        <w:t>information,</w:t>
      </w:r>
      <w:r w:rsidRPr="17F94A6F">
        <w:rPr>
          <w:rFonts w:asciiTheme="minorHAnsi" w:hAnsiTheme="minorHAnsi"/>
          <w:color w:val="111111"/>
          <w:lang w:val="en-US"/>
        </w:rPr>
        <w:t xml:space="preserve"> then the provider must give the information to the prospective </w:t>
      </w:r>
      <w:r w:rsidR="009978D8">
        <w:rPr>
          <w:rFonts w:asciiTheme="minorHAnsi" w:hAnsiTheme="minorHAnsi"/>
          <w:color w:val="111111"/>
          <w:lang w:val="en-US"/>
        </w:rPr>
        <w:t>resident</w:t>
      </w:r>
      <w:r w:rsidRPr="17F94A6F">
        <w:rPr>
          <w:rFonts w:asciiTheme="minorHAnsi" w:hAnsiTheme="minorHAnsi"/>
          <w:color w:val="111111"/>
          <w:lang w:val="en-US"/>
        </w:rPr>
        <w:t xml:space="preserve"> within seven days of the request. This does not limit the information that </w:t>
      </w:r>
      <w:r w:rsidR="00EC251D" w:rsidRPr="17F94A6F">
        <w:rPr>
          <w:rFonts w:asciiTheme="minorHAnsi" w:hAnsiTheme="minorHAnsi"/>
          <w:color w:val="111111"/>
          <w:lang w:val="en-US"/>
        </w:rPr>
        <w:t>a</w:t>
      </w:r>
      <w:r w:rsidRPr="17F94A6F">
        <w:rPr>
          <w:rFonts w:asciiTheme="minorHAnsi" w:hAnsiTheme="minorHAnsi"/>
          <w:color w:val="111111"/>
          <w:lang w:val="en-US"/>
        </w:rPr>
        <w:t xml:space="preserve"> provider may voluntarily choose to give a prospective </w:t>
      </w:r>
      <w:r w:rsidR="009978D8">
        <w:rPr>
          <w:rFonts w:asciiTheme="minorHAnsi" w:hAnsiTheme="minorHAnsi"/>
          <w:color w:val="111111"/>
          <w:lang w:val="en-US"/>
        </w:rPr>
        <w:t>resident</w:t>
      </w:r>
      <w:r w:rsidRPr="17F94A6F">
        <w:rPr>
          <w:rFonts w:asciiTheme="minorHAnsi" w:hAnsiTheme="minorHAnsi"/>
          <w:color w:val="111111"/>
          <w:lang w:val="en-US"/>
        </w:rPr>
        <w:t>.</w:t>
      </w:r>
    </w:p>
    <w:p w14:paraId="22DC1518" w14:textId="5D2DE31C" w:rsidR="001E1ECA" w:rsidRPr="001C19A5" w:rsidRDefault="0005562C" w:rsidP="00176637">
      <w:pPr>
        <w:pStyle w:val="NormalWeb"/>
        <w:spacing w:after="120" w:line="240" w:lineRule="auto"/>
        <w:rPr>
          <w:rFonts w:asciiTheme="minorHAnsi" w:hAnsiTheme="minorHAnsi"/>
          <w:color w:val="111111"/>
          <w:sz w:val="22"/>
          <w:szCs w:val="22"/>
          <w:lang w:val="en"/>
        </w:rPr>
      </w:pPr>
      <w:r w:rsidRPr="001C19A5">
        <w:rPr>
          <w:rFonts w:asciiTheme="minorHAnsi" w:hAnsiTheme="minorHAnsi"/>
          <w:color w:val="111111"/>
          <w:lang w:val="en"/>
        </w:rPr>
        <w:t>As detailed in the previous section, providers will be required to attest to their compliance with the Disclosure Standard on an annual basis, as part of their</w:t>
      </w:r>
      <w:r w:rsidR="000D2C19">
        <w:rPr>
          <w:rFonts w:asciiTheme="minorHAnsi" w:hAnsiTheme="minorHAnsi"/>
          <w:color w:val="111111"/>
          <w:lang w:val="en"/>
        </w:rPr>
        <w:t xml:space="preserve"> </w:t>
      </w:r>
      <w:r w:rsidRPr="001C19A5">
        <w:rPr>
          <w:rFonts w:asciiTheme="minorHAnsi" w:hAnsiTheme="minorHAnsi"/>
          <w:color w:val="111111"/>
          <w:lang w:val="en"/>
        </w:rPr>
        <w:t xml:space="preserve">APCS. Providers will therefore need to keep records in order to be able to demonstrate their compliance with the requirement to provide information to prospective </w:t>
      </w:r>
      <w:r w:rsidR="009978D8">
        <w:rPr>
          <w:rFonts w:asciiTheme="minorHAnsi" w:hAnsiTheme="minorHAnsi"/>
          <w:color w:val="111111"/>
          <w:lang w:val="en"/>
        </w:rPr>
        <w:t>resident</w:t>
      </w:r>
      <w:r w:rsidRPr="001C19A5">
        <w:rPr>
          <w:rFonts w:asciiTheme="minorHAnsi" w:hAnsiTheme="minorHAnsi"/>
          <w:color w:val="111111"/>
          <w:lang w:val="en"/>
        </w:rPr>
        <w:t>s (or their representatives).</w:t>
      </w:r>
      <w:r w:rsidRPr="001C19A5">
        <w:rPr>
          <w:rFonts w:asciiTheme="minorHAnsi" w:hAnsiTheme="minorHAnsi"/>
          <w:color w:val="111111"/>
          <w:sz w:val="22"/>
          <w:szCs w:val="22"/>
          <w:lang w:val="en"/>
        </w:rPr>
        <w:br/>
      </w:r>
      <w:r w:rsidR="00322178" w:rsidRPr="002C4D55">
        <w:rPr>
          <w:rStyle w:val="Strong"/>
          <w:rFonts w:asciiTheme="minorHAnsi" w:hAnsiTheme="minorHAnsi"/>
          <w:color w:val="111111"/>
          <w:sz w:val="18"/>
          <w:szCs w:val="18"/>
          <w:lang w:val="en"/>
        </w:rPr>
        <w:t>R</w:t>
      </w:r>
      <w:r w:rsidRPr="002C4D55">
        <w:rPr>
          <w:rStyle w:val="Strong"/>
          <w:rFonts w:asciiTheme="minorHAnsi" w:hAnsiTheme="minorHAnsi"/>
          <w:color w:val="111111"/>
          <w:sz w:val="18"/>
          <w:szCs w:val="18"/>
          <w:lang w:val="en"/>
        </w:rPr>
        <w:t>eference:</w:t>
      </w:r>
      <w:r w:rsidRPr="002C4D55">
        <w:rPr>
          <w:rFonts w:asciiTheme="minorHAnsi" w:hAnsiTheme="minorHAnsi"/>
          <w:sz w:val="18"/>
          <w:szCs w:val="18"/>
          <w:lang w:val="en"/>
        </w:rPr>
        <w:t xml:space="preserve"> </w:t>
      </w:r>
      <w:r w:rsidRPr="002C4D55">
        <w:rPr>
          <w:rStyle w:val="Hyperlink"/>
          <w:rFonts w:asciiTheme="minorHAnsi" w:eastAsiaTheme="minorHAnsi" w:hAnsiTheme="minorHAnsi" w:cstheme="minorBidi"/>
          <w:color w:val="auto"/>
          <w:sz w:val="18"/>
          <w:szCs w:val="18"/>
          <w:u w:val="none"/>
          <w:lang w:eastAsia="en-US"/>
        </w:rPr>
        <w:t>Fees and Payments Principles</w:t>
      </w:r>
      <w:r w:rsidRPr="002C4D55">
        <w:rPr>
          <w:rFonts w:asciiTheme="minorHAnsi" w:hAnsiTheme="minorHAnsi"/>
          <w:sz w:val="18"/>
          <w:szCs w:val="18"/>
          <w:lang w:val="en"/>
        </w:rPr>
        <w:t xml:space="preserve"> </w:t>
      </w:r>
      <w:r w:rsidRPr="002C4D55">
        <w:rPr>
          <w:rFonts w:asciiTheme="minorHAnsi" w:hAnsiTheme="minorHAnsi"/>
          <w:color w:val="111111"/>
          <w:sz w:val="18"/>
          <w:szCs w:val="18"/>
          <w:lang w:val="en"/>
        </w:rPr>
        <w:t>section 57</w:t>
      </w:r>
    </w:p>
    <w:p w14:paraId="702208FE" w14:textId="14DE075B" w:rsidR="0005562C" w:rsidRPr="00866042" w:rsidRDefault="001D7E2D" w:rsidP="002B7CED">
      <w:pPr>
        <w:spacing w:before="200" w:after="0"/>
        <w:rPr>
          <w:b/>
          <w:bCs/>
          <w:color w:val="000000" w:themeColor="text1"/>
          <w:sz w:val="26"/>
          <w:szCs w:val="26"/>
        </w:rPr>
      </w:pPr>
      <w:r w:rsidRPr="004A1A40">
        <w:rPr>
          <w:b/>
          <w:bCs/>
          <w:color w:val="000000" w:themeColor="text1"/>
          <w:sz w:val="26"/>
          <w:szCs w:val="26"/>
        </w:rPr>
        <w:t xml:space="preserve">Please </w:t>
      </w:r>
      <w:r w:rsidR="009B44BE" w:rsidRPr="004A1A40">
        <w:rPr>
          <w:b/>
          <w:bCs/>
          <w:color w:val="000000" w:themeColor="text1"/>
          <w:sz w:val="26"/>
          <w:szCs w:val="26"/>
        </w:rPr>
        <w:t xml:space="preserve">refer to page </w:t>
      </w:r>
      <w:r w:rsidR="004C0AB6">
        <w:rPr>
          <w:b/>
          <w:bCs/>
          <w:color w:val="000000" w:themeColor="text1"/>
          <w:sz w:val="26"/>
          <w:szCs w:val="26"/>
        </w:rPr>
        <w:t>48</w:t>
      </w:r>
      <w:r w:rsidR="008A6AA0" w:rsidRPr="004A1A40">
        <w:rPr>
          <w:b/>
          <w:bCs/>
          <w:color w:val="000000" w:themeColor="text1"/>
          <w:sz w:val="26"/>
          <w:szCs w:val="26"/>
        </w:rPr>
        <w:t xml:space="preserve"> </w:t>
      </w:r>
      <w:r w:rsidR="00B6174D" w:rsidRPr="004A1A40">
        <w:rPr>
          <w:b/>
          <w:bCs/>
          <w:color w:val="000000" w:themeColor="text1"/>
          <w:sz w:val="26"/>
          <w:szCs w:val="26"/>
        </w:rPr>
        <w:t xml:space="preserve">for </w:t>
      </w:r>
      <w:r w:rsidR="000906A2" w:rsidRPr="004A1A40">
        <w:rPr>
          <w:b/>
          <w:bCs/>
          <w:color w:val="000000" w:themeColor="text1"/>
          <w:sz w:val="26"/>
          <w:szCs w:val="26"/>
        </w:rPr>
        <w:t>a</w:t>
      </w:r>
      <w:r w:rsidR="008E342A" w:rsidRPr="004A1A40">
        <w:rPr>
          <w:b/>
          <w:bCs/>
          <w:color w:val="000000" w:themeColor="text1"/>
          <w:sz w:val="26"/>
          <w:szCs w:val="26"/>
        </w:rPr>
        <w:t xml:space="preserve">n example of a </w:t>
      </w:r>
      <w:r w:rsidR="00B831DF" w:rsidRPr="004A1A40">
        <w:rPr>
          <w:b/>
          <w:bCs/>
          <w:color w:val="000000" w:themeColor="text1"/>
          <w:sz w:val="26"/>
          <w:szCs w:val="26"/>
        </w:rPr>
        <w:t xml:space="preserve">disclosure statement consistent with the </w:t>
      </w:r>
      <w:r w:rsidR="00716B9F" w:rsidRPr="004A1A40">
        <w:rPr>
          <w:b/>
          <w:bCs/>
          <w:color w:val="000000" w:themeColor="text1"/>
          <w:sz w:val="26"/>
          <w:szCs w:val="26"/>
        </w:rPr>
        <w:t>Aged Care Rules 2025.</w:t>
      </w:r>
    </w:p>
    <w:p w14:paraId="47E95016" w14:textId="59BD3D53" w:rsidR="009E79F8" w:rsidRPr="002B7CED" w:rsidRDefault="009E79F8" w:rsidP="002B7CED">
      <w:pPr>
        <w:spacing w:before="200" w:after="0"/>
        <w:rPr>
          <w:b/>
          <w:bCs/>
          <w:color w:val="0070C0"/>
          <w:sz w:val="26"/>
          <w:szCs w:val="26"/>
        </w:rPr>
      </w:pPr>
      <w:r w:rsidRPr="002B7CED">
        <w:rPr>
          <w:b/>
          <w:bCs/>
          <w:color w:val="0070C0"/>
          <w:sz w:val="26"/>
          <w:szCs w:val="26"/>
        </w:rPr>
        <w:t>Things you need to know</w:t>
      </w:r>
    </w:p>
    <w:p w14:paraId="5CB22DF6" w14:textId="77777777" w:rsidR="009E79F8" w:rsidRPr="001C19A5" w:rsidRDefault="009E79F8" w:rsidP="0075798D">
      <w:pPr>
        <w:pStyle w:val="NormalWeb"/>
        <w:spacing w:after="120" w:line="240" w:lineRule="auto"/>
        <w:rPr>
          <w:rFonts w:asciiTheme="minorHAnsi" w:hAnsiTheme="minorHAnsi" w:cs="Arial"/>
        </w:rPr>
      </w:pPr>
      <w:r w:rsidRPr="001C19A5">
        <w:rPr>
          <w:rFonts w:asciiTheme="minorHAnsi" w:hAnsiTheme="minorHAnsi" w:cs="Arial"/>
        </w:rPr>
        <w:t>The approach to recording the disclosure information is a matter for individual providers. In determining their approach, providers should consider:</w:t>
      </w:r>
    </w:p>
    <w:p w14:paraId="3A9A2BA1" w14:textId="414AECB2" w:rsidR="009E79F8" w:rsidRPr="00B2743B" w:rsidRDefault="009E79F8"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 xml:space="preserve">that they must be able to demonstrate their compliance with the Disclosure Standard to their auditor </w:t>
      </w:r>
    </w:p>
    <w:p w14:paraId="4788A398" w14:textId="7267457F" w:rsidR="009E79F8" w:rsidRPr="00B2743B" w:rsidRDefault="009E79F8"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 xml:space="preserve">that </w:t>
      </w:r>
      <w:r w:rsidR="00CF20F8" w:rsidRPr="00B2743B">
        <w:rPr>
          <w:rFonts w:eastAsia="Calibri" w:cs="Arial"/>
          <w:sz w:val="24"/>
          <w:szCs w:val="24"/>
        </w:rPr>
        <w:t>the Commission</w:t>
      </w:r>
      <w:r w:rsidRPr="00B2743B">
        <w:rPr>
          <w:rFonts w:eastAsia="Calibri" w:cs="Arial"/>
          <w:sz w:val="24"/>
          <w:szCs w:val="24"/>
        </w:rPr>
        <w:t xml:space="preserve"> monitors submission dates of the previous year’s APCS</w:t>
      </w:r>
    </w:p>
    <w:p w14:paraId="66DE8D30" w14:textId="5F95857B" w:rsidR="00CF20F8" w:rsidRPr="00B2743B" w:rsidRDefault="009E79F8"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that t</w:t>
      </w:r>
      <w:r w:rsidR="00CF20F8" w:rsidRPr="00B2743B">
        <w:rPr>
          <w:rFonts w:eastAsia="Calibri" w:cs="Arial"/>
          <w:sz w:val="24"/>
          <w:szCs w:val="24"/>
        </w:rPr>
        <w:t xml:space="preserve">he provider </w:t>
      </w:r>
      <w:r w:rsidRPr="00B2743B">
        <w:rPr>
          <w:rFonts w:eastAsia="Calibri" w:cs="Arial"/>
          <w:sz w:val="24"/>
          <w:szCs w:val="24"/>
        </w:rPr>
        <w:t xml:space="preserve">could </w:t>
      </w:r>
      <w:r w:rsidR="00CF20F8" w:rsidRPr="00B2743B">
        <w:rPr>
          <w:rFonts w:eastAsia="Calibri" w:cs="Arial"/>
          <w:sz w:val="24"/>
          <w:szCs w:val="24"/>
        </w:rPr>
        <w:t>be requested to provide its</w:t>
      </w:r>
      <w:r w:rsidRPr="00B2743B">
        <w:rPr>
          <w:rFonts w:eastAsia="Calibri" w:cs="Arial"/>
          <w:sz w:val="24"/>
          <w:szCs w:val="24"/>
        </w:rPr>
        <w:t xml:space="preserve"> disclosure records for monitoring and compliance purposes at any</w:t>
      </w:r>
      <w:r w:rsidR="00ED0BD1" w:rsidRPr="00B2743B">
        <w:rPr>
          <w:rFonts w:eastAsia="Calibri" w:cs="Arial"/>
          <w:sz w:val="24"/>
          <w:szCs w:val="24"/>
        </w:rPr>
        <w:t xml:space="preserve"> </w:t>
      </w:r>
      <w:r w:rsidRPr="00B2743B">
        <w:rPr>
          <w:rFonts w:eastAsia="Calibri" w:cs="Arial"/>
          <w:sz w:val="24"/>
          <w:szCs w:val="24"/>
        </w:rPr>
        <w:t>time</w:t>
      </w:r>
    </w:p>
    <w:p w14:paraId="355FAF5B" w14:textId="77777777" w:rsidR="00CF20F8" w:rsidRPr="002B7CED" w:rsidRDefault="00CF20F8"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2F5A3467" w14:textId="4A56DA7D" w:rsidR="00CF20F8" w:rsidRPr="00CF20F8" w:rsidRDefault="00F829B4" w:rsidP="002B7CED">
      <w:pPr>
        <w:pStyle w:val="NormalWeb"/>
        <w:spacing w:after="0" w:line="240" w:lineRule="auto"/>
        <w:rPr>
          <w:rFonts w:asciiTheme="minorHAnsi" w:hAnsiTheme="minorHAnsi" w:cs="Arial"/>
        </w:rPr>
      </w:pPr>
      <w:r w:rsidRPr="00CF20F8">
        <w:rPr>
          <w:rFonts w:asciiTheme="minorHAnsi" w:hAnsiTheme="minorHAnsi" w:cs="Arial"/>
        </w:rPr>
        <w:t>After considering the information provided under Compliance with the Disclosure Standard</w:t>
      </w:r>
      <w:r w:rsidR="00BB5758">
        <w:rPr>
          <w:rFonts w:asciiTheme="minorHAnsi" w:hAnsiTheme="minorHAnsi" w:cs="Arial"/>
        </w:rPr>
        <w:t>,</w:t>
      </w:r>
      <w:r w:rsidRPr="00CF20F8">
        <w:rPr>
          <w:rFonts w:asciiTheme="minorHAnsi" w:hAnsiTheme="minorHAnsi" w:cs="Arial"/>
        </w:rPr>
        <w:t xml:space="preserve"> </w:t>
      </w:r>
      <w:r w:rsidR="00BB5758" w:rsidRPr="001C19A5">
        <w:rPr>
          <w:rFonts w:asciiTheme="minorHAnsi" w:hAnsiTheme="minorHAnsi"/>
        </w:rPr>
        <w:t xml:space="preserve">did you comply with </w:t>
      </w:r>
      <w:r w:rsidR="00BB5758">
        <w:rPr>
          <w:rFonts w:asciiTheme="minorHAnsi" w:hAnsiTheme="minorHAnsi"/>
        </w:rPr>
        <w:t>all requirements of the</w:t>
      </w:r>
      <w:r w:rsidR="00BB5758" w:rsidRPr="001C19A5">
        <w:rPr>
          <w:rFonts w:asciiTheme="minorHAnsi" w:hAnsiTheme="minorHAnsi"/>
        </w:rPr>
        <w:t xml:space="preserve"> </w:t>
      </w:r>
      <w:r w:rsidRPr="00CF20F8">
        <w:rPr>
          <w:rFonts w:asciiTheme="minorHAnsi" w:hAnsiTheme="minorHAnsi" w:cs="Arial"/>
        </w:rPr>
        <w:t>Disclos</w:t>
      </w:r>
      <w:r w:rsidR="00A37762" w:rsidRPr="00CF20F8">
        <w:rPr>
          <w:rFonts w:asciiTheme="minorHAnsi" w:hAnsiTheme="minorHAnsi" w:cs="Arial"/>
        </w:rPr>
        <w:t>ure Standard for the full year?</w:t>
      </w:r>
    </w:p>
    <w:p w14:paraId="122742D4" w14:textId="31CFA668" w:rsidR="00BB5758" w:rsidRDefault="00F829B4" w:rsidP="00B35C39">
      <w:pPr>
        <w:pStyle w:val="NormalWeb"/>
        <w:spacing w:before="120" w:after="120" w:line="240" w:lineRule="auto"/>
        <w:rPr>
          <w:rFonts w:asciiTheme="minorHAnsi" w:hAnsiTheme="minorHAnsi" w:cs="Arial"/>
        </w:rPr>
      </w:pPr>
      <w:r w:rsidRPr="00CF20F8">
        <w:rPr>
          <w:rFonts w:asciiTheme="minorHAnsi" w:hAnsiTheme="minorHAnsi" w:cs="Arial"/>
        </w:rPr>
        <w:t>Respond Yes or No.  If you answer</w:t>
      </w:r>
      <w:r w:rsidR="00BB5758">
        <w:rPr>
          <w:rFonts w:asciiTheme="minorHAnsi" w:hAnsiTheme="minorHAnsi" w:cs="Arial"/>
        </w:rPr>
        <w:t>ed</w:t>
      </w:r>
      <w:r w:rsidRPr="00CF20F8">
        <w:rPr>
          <w:rFonts w:asciiTheme="minorHAnsi" w:hAnsiTheme="minorHAnsi" w:cs="Arial"/>
        </w:rPr>
        <w:t xml:space="preserve"> ‘NO’ you must submit a separate statement explaining</w:t>
      </w:r>
      <w:r w:rsidR="00BB5758">
        <w:rPr>
          <w:rFonts w:asciiTheme="minorHAnsi" w:hAnsiTheme="minorHAnsi" w:cs="Arial"/>
        </w:rPr>
        <w:t>:</w:t>
      </w:r>
    </w:p>
    <w:p w14:paraId="7EC52D8D" w14:textId="43408CEF" w:rsidR="00BB5758" w:rsidRPr="00B35C39" w:rsidRDefault="00BB5758" w:rsidP="00B35C39">
      <w:pPr>
        <w:numPr>
          <w:ilvl w:val="0"/>
          <w:numId w:val="9"/>
        </w:numPr>
        <w:tabs>
          <w:tab w:val="clear" w:pos="720"/>
        </w:tabs>
        <w:spacing w:after="0" w:line="240" w:lineRule="auto"/>
        <w:ind w:left="851" w:hanging="425"/>
        <w:rPr>
          <w:rFonts w:eastAsia="Calibri" w:cs="Arial"/>
        </w:rPr>
      </w:pPr>
      <w:r w:rsidRPr="00B35C39">
        <w:rPr>
          <w:rFonts w:eastAsia="Calibri" w:cs="Arial"/>
          <w:sz w:val="24"/>
          <w:szCs w:val="24"/>
        </w:rPr>
        <w:t>the total number of occasions on which</w:t>
      </w:r>
      <w:r w:rsidR="00374757" w:rsidRPr="00B35C39">
        <w:rPr>
          <w:rFonts w:eastAsia="Calibri" w:cs="Arial"/>
          <w:sz w:val="24"/>
          <w:szCs w:val="24"/>
        </w:rPr>
        <w:t xml:space="preserve"> you did not comply with the Standard</w:t>
      </w:r>
      <w:r w:rsidR="00F829B4" w:rsidRPr="00B35C39">
        <w:rPr>
          <w:rFonts w:eastAsia="Calibri" w:cs="Arial"/>
          <w:sz w:val="24"/>
          <w:szCs w:val="24"/>
        </w:rPr>
        <w:t xml:space="preserve"> </w:t>
      </w:r>
    </w:p>
    <w:p w14:paraId="5E34E76F" w14:textId="7EE21B5C" w:rsidR="00374757" w:rsidRPr="00B35C39" w:rsidRDefault="00F829B4" w:rsidP="00B35C39">
      <w:pPr>
        <w:numPr>
          <w:ilvl w:val="0"/>
          <w:numId w:val="9"/>
        </w:numPr>
        <w:tabs>
          <w:tab w:val="clear" w:pos="720"/>
        </w:tabs>
        <w:spacing w:after="0" w:line="240" w:lineRule="auto"/>
        <w:ind w:left="851" w:hanging="425"/>
        <w:rPr>
          <w:rFonts w:eastAsia="Calibri" w:cs="Arial"/>
        </w:rPr>
      </w:pPr>
      <w:r w:rsidRPr="00B35C39">
        <w:rPr>
          <w:rFonts w:eastAsia="Calibri" w:cs="Arial"/>
          <w:sz w:val="24"/>
          <w:szCs w:val="24"/>
        </w:rPr>
        <w:t xml:space="preserve">the reason or reasons for your failure to comply with the Standard </w:t>
      </w:r>
    </w:p>
    <w:p w14:paraId="313D65F4" w14:textId="29240DF4" w:rsidR="00F829B4" w:rsidRPr="00B35C39" w:rsidRDefault="00F829B4" w:rsidP="00B35C39">
      <w:pPr>
        <w:numPr>
          <w:ilvl w:val="0"/>
          <w:numId w:val="9"/>
        </w:numPr>
        <w:tabs>
          <w:tab w:val="clear" w:pos="720"/>
        </w:tabs>
        <w:spacing w:after="0" w:line="240" w:lineRule="auto"/>
        <w:ind w:left="851" w:hanging="425"/>
        <w:rPr>
          <w:rFonts w:eastAsia="Calibri" w:cs="Arial"/>
        </w:rPr>
      </w:pPr>
      <w:r w:rsidRPr="00B35C39">
        <w:rPr>
          <w:rFonts w:eastAsia="Calibri" w:cs="Arial"/>
          <w:sz w:val="24"/>
          <w:szCs w:val="24"/>
        </w:rPr>
        <w:t xml:space="preserve">in respect </w:t>
      </w:r>
      <w:r w:rsidR="00374757" w:rsidRPr="00B35C39">
        <w:rPr>
          <w:rFonts w:eastAsia="Calibri" w:cs="Arial"/>
          <w:sz w:val="24"/>
          <w:szCs w:val="24"/>
        </w:rPr>
        <w:t xml:space="preserve">of </w:t>
      </w:r>
      <w:r w:rsidRPr="00B35C39">
        <w:rPr>
          <w:rFonts w:eastAsia="Calibri" w:cs="Arial"/>
          <w:sz w:val="24"/>
          <w:szCs w:val="24"/>
        </w:rPr>
        <w:t>each reason provided – the total number of occasions of non-compliance attributable to the reason</w:t>
      </w:r>
    </w:p>
    <w:p w14:paraId="10741E4E" w14:textId="77777777" w:rsidR="007807DD" w:rsidRDefault="007807DD">
      <w:pPr>
        <w:rPr>
          <w:rFonts w:eastAsiaTheme="majorEastAsia" w:cstheme="majorBidi"/>
          <w:b/>
          <w:bCs/>
          <w:color w:val="0070C0"/>
          <w:sz w:val="32"/>
          <w:szCs w:val="32"/>
        </w:rPr>
      </w:pPr>
      <w:r>
        <w:rPr>
          <w:color w:val="0070C0"/>
          <w:sz w:val="32"/>
          <w:szCs w:val="32"/>
        </w:rPr>
        <w:br w:type="page"/>
      </w:r>
    </w:p>
    <w:p w14:paraId="1B7D169D" w14:textId="031324B6" w:rsidR="00ED0BD1" w:rsidRPr="00F829B4" w:rsidRDefault="00F829B4" w:rsidP="00236E93">
      <w:pPr>
        <w:pStyle w:val="Heading2"/>
        <w:spacing w:before="360" w:after="120"/>
        <w:rPr>
          <w:rFonts w:asciiTheme="minorHAnsi" w:hAnsiTheme="minorHAnsi"/>
          <w:color w:val="0070C0"/>
          <w:sz w:val="32"/>
          <w:szCs w:val="32"/>
        </w:rPr>
      </w:pPr>
      <w:r w:rsidRPr="00236E93">
        <w:rPr>
          <w:rFonts w:asciiTheme="minorHAnsi" w:hAnsiTheme="minorHAnsi"/>
          <w:color w:val="0070C0"/>
          <w:sz w:val="32"/>
          <w:szCs w:val="32"/>
        </w:rPr>
        <w:lastRenderedPageBreak/>
        <w:t>COMPLIANCE WITH REFUNDABLE ACCOMMODATION PAYMENT RESPONSIBILITIES</w:t>
      </w:r>
    </w:p>
    <w:p w14:paraId="28D937C3" w14:textId="77777777" w:rsidR="0005562C" w:rsidRPr="005D6669" w:rsidRDefault="00F829B4" w:rsidP="00B35C39">
      <w:pPr>
        <w:spacing w:before="200" w:after="0"/>
        <w:rPr>
          <w:color w:val="0070C0"/>
        </w:rPr>
      </w:pPr>
      <w:r w:rsidRPr="00B35C39">
        <w:rPr>
          <w:b/>
          <w:bCs/>
          <w:color w:val="0070C0"/>
          <w:sz w:val="26"/>
          <w:szCs w:val="26"/>
        </w:rPr>
        <w:t>COMPLIANCE WITH RULES AROUND CHARGING REFUNDABLE</w:t>
      </w:r>
      <w:r w:rsidR="00C56BA6" w:rsidRPr="00B35C39">
        <w:rPr>
          <w:b/>
          <w:bCs/>
          <w:color w:val="0070C0"/>
          <w:sz w:val="26"/>
          <w:szCs w:val="26"/>
        </w:rPr>
        <w:t xml:space="preserve"> DEPOSITS AND/OR BONDS</w:t>
      </w:r>
    </w:p>
    <w:p w14:paraId="303D0C8E" w14:textId="5F44A9B2" w:rsidR="0005562C" w:rsidRPr="001C19A5" w:rsidRDefault="0005562C" w:rsidP="00B35C39">
      <w:pPr>
        <w:pStyle w:val="Default"/>
        <w:spacing w:before="0"/>
        <w:rPr>
          <w:rFonts w:asciiTheme="minorHAnsi" w:hAnsiTheme="minorHAnsi"/>
        </w:rPr>
      </w:pPr>
      <w:r w:rsidRPr="001C19A5">
        <w:rPr>
          <w:rFonts w:asciiTheme="minorHAnsi" w:hAnsiTheme="minorHAnsi"/>
        </w:rPr>
        <w:t xml:space="preserve">If at any time during the financial year you were not permitted to charge refundable </w:t>
      </w:r>
      <w:r w:rsidR="00962691">
        <w:rPr>
          <w:rFonts w:asciiTheme="minorHAnsi" w:hAnsiTheme="minorHAnsi"/>
        </w:rPr>
        <w:t>accommodation</w:t>
      </w:r>
      <w:r w:rsidRPr="001C19A5">
        <w:rPr>
          <w:rFonts w:asciiTheme="minorHAnsi" w:hAnsiTheme="minorHAnsi"/>
        </w:rPr>
        <w:t xml:space="preserve"> payments for entry into one of your services, due to compliance action taken by the</w:t>
      </w:r>
      <w:r w:rsidR="00CF20F8">
        <w:rPr>
          <w:rFonts w:asciiTheme="minorHAnsi" w:hAnsiTheme="minorHAnsi"/>
        </w:rPr>
        <w:t xml:space="preserve"> Commission</w:t>
      </w:r>
      <w:r w:rsidRPr="001C19A5">
        <w:rPr>
          <w:rFonts w:asciiTheme="minorHAnsi" w:hAnsiTheme="minorHAnsi"/>
        </w:rPr>
        <w:t>, you must report the details of the service and the time period involved.</w:t>
      </w:r>
    </w:p>
    <w:p w14:paraId="31177FD3" w14:textId="77777777" w:rsidR="009E79F8" w:rsidRPr="002B7CED" w:rsidRDefault="009E79F8"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6D8F8C21" w14:textId="77777777" w:rsidR="00A37762" w:rsidRDefault="009E79F8" w:rsidP="005E3625">
      <w:pPr>
        <w:pStyle w:val="Tabletext"/>
        <w:spacing w:before="0" w:after="120"/>
        <w:rPr>
          <w:rFonts w:asciiTheme="minorHAnsi" w:hAnsiTheme="minorHAnsi" w:cs="Times New Roman"/>
          <w:sz w:val="24"/>
          <w:szCs w:val="24"/>
        </w:rPr>
      </w:pPr>
      <w:r w:rsidRPr="00C56BA6">
        <w:rPr>
          <w:rFonts w:asciiTheme="minorHAnsi" w:hAnsiTheme="minorHAnsi" w:cs="Times New Roman"/>
          <w:sz w:val="24"/>
          <w:szCs w:val="24"/>
        </w:rPr>
        <w:t>After considering the information provided under charging responsibilities</w:t>
      </w:r>
      <w:r w:rsidR="005E3625" w:rsidRPr="00C56BA6">
        <w:rPr>
          <w:rFonts w:asciiTheme="minorHAnsi" w:hAnsiTheme="minorHAnsi" w:cs="Times New Roman"/>
          <w:sz w:val="24"/>
          <w:szCs w:val="24"/>
        </w:rPr>
        <w:t xml:space="preserve"> respond</w:t>
      </w:r>
      <w:r w:rsidR="00ED0BD1" w:rsidRPr="00C56BA6">
        <w:rPr>
          <w:rFonts w:asciiTheme="minorHAnsi" w:hAnsiTheme="minorHAnsi" w:cs="Times New Roman"/>
          <w:sz w:val="24"/>
          <w:szCs w:val="24"/>
        </w:rPr>
        <w:t xml:space="preserve"> Yes</w:t>
      </w:r>
      <w:r w:rsidR="00C56BA6" w:rsidRPr="00C56BA6">
        <w:rPr>
          <w:rFonts w:asciiTheme="minorHAnsi" w:hAnsiTheme="minorHAnsi" w:cs="Times New Roman"/>
          <w:sz w:val="24"/>
          <w:szCs w:val="24"/>
        </w:rPr>
        <w:t xml:space="preserve"> or</w:t>
      </w:r>
      <w:r w:rsidR="000936F0" w:rsidRPr="00C56BA6">
        <w:rPr>
          <w:rFonts w:asciiTheme="minorHAnsi" w:hAnsiTheme="minorHAnsi" w:cs="Times New Roman"/>
          <w:sz w:val="24"/>
          <w:szCs w:val="24"/>
        </w:rPr>
        <w:t xml:space="preserve"> No</w:t>
      </w:r>
      <w:r w:rsidR="00C56BA6" w:rsidRPr="00C56BA6">
        <w:rPr>
          <w:rFonts w:asciiTheme="minorHAnsi" w:hAnsiTheme="minorHAnsi" w:cs="Times New Roman"/>
          <w:sz w:val="24"/>
          <w:szCs w:val="24"/>
        </w:rPr>
        <w:t>.</w:t>
      </w:r>
    </w:p>
    <w:p w14:paraId="36FFBCF5" w14:textId="3EFF4451" w:rsidR="00C56BA6" w:rsidRPr="00A37762" w:rsidRDefault="00ED0BD1" w:rsidP="005E3625">
      <w:pPr>
        <w:pStyle w:val="Tabletext"/>
        <w:spacing w:before="0" w:after="120"/>
        <w:rPr>
          <w:rFonts w:asciiTheme="minorHAnsi" w:hAnsiTheme="minorHAnsi" w:cs="Times New Roman"/>
          <w:sz w:val="24"/>
          <w:szCs w:val="24"/>
        </w:rPr>
      </w:pPr>
      <w:r w:rsidRPr="00C56BA6">
        <w:rPr>
          <w:rFonts w:asciiTheme="minorHAnsi" w:hAnsiTheme="minorHAnsi" w:cs="Times New Roman"/>
          <w:sz w:val="24"/>
          <w:szCs w:val="24"/>
        </w:rPr>
        <w:t>If you answer</w:t>
      </w:r>
      <w:r w:rsidR="00374757">
        <w:rPr>
          <w:rFonts w:asciiTheme="minorHAnsi" w:hAnsiTheme="minorHAnsi" w:cs="Times New Roman"/>
          <w:sz w:val="24"/>
          <w:szCs w:val="24"/>
        </w:rPr>
        <w:t>ed</w:t>
      </w:r>
      <w:r w:rsidRPr="00C56BA6">
        <w:rPr>
          <w:rFonts w:asciiTheme="minorHAnsi" w:hAnsiTheme="minorHAnsi" w:cs="Times New Roman"/>
          <w:sz w:val="24"/>
          <w:szCs w:val="24"/>
        </w:rPr>
        <w:t xml:space="preserve"> ‘</w:t>
      </w:r>
      <w:r w:rsidR="00236203" w:rsidRPr="00C56BA6">
        <w:rPr>
          <w:rFonts w:asciiTheme="minorHAnsi" w:hAnsiTheme="minorHAnsi" w:cs="Times New Roman"/>
          <w:sz w:val="24"/>
          <w:szCs w:val="24"/>
        </w:rPr>
        <w:t>YES’,</w:t>
      </w:r>
      <w:r w:rsidRPr="00C56BA6">
        <w:rPr>
          <w:rFonts w:asciiTheme="minorHAnsi" w:hAnsiTheme="minorHAnsi" w:cs="Times New Roman"/>
          <w:sz w:val="24"/>
          <w:szCs w:val="24"/>
        </w:rPr>
        <w:t xml:space="preserve"> you must submit a </w:t>
      </w:r>
      <w:r w:rsidR="00374757">
        <w:rPr>
          <w:rFonts w:asciiTheme="minorHAnsi" w:hAnsiTheme="minorHAnsi" w:cs="Times New Roman"/>
          <w:sz w:val="24"/>
          <w:szCs w:val="24"/>
        </w:rPr>
        <w:t xml:space="preserve">separate </w:t>
      </w:r>
      <w:r w:rsidRPr="00C56BA6">
        <w:rPr>
          <w:rFonts w:asciiTheme="minorHAnsi" w:hAnsiTheme="minorHAnsi" w:cs="Times New Roman"/>
          <w:sz w:val="24"/>
          <w:szCs w:val="24"/>
        </w:rPr>
        <w:t xml:space="preserve">statement explaining: </w:t>
      </w:r>
      <w:r w:rsidR="00C56BA6" w:rsidRPr="00C56BA6">
        <w:rPr>
          <w:i/>
          <w:iCs/>
          <w:color w:val="1F497D"/>
          <w:sz w:val="24"/>
          <w:szCs w:val="24"/>
        </w:rPr>
        <w:t xml:space="preserve"> </w:t>
      </w:r>
    </w:p>
    <w:p w14:paraId="0C00DD4C" w14:textId="77777777" w:rsidR="000D4EDC" w:rsidRPr="00B35C39" w:rsidRDefault="00C56BA6" w:rsidP="00B35C39">
      <w:pPr>
        <w:numPr>
          <w:ilvl w:val="0"/>
          <w:numId w:val="9"/>
        </w:numPr>
        <w:tabs>
          <w:tab w:val="clear" w:pos="720"/>
        </w:tabs>
        <w:spacing w:after="0" w:line="240" w:lineRule="auto"/>
        <w:ind w:left="851" w:hanging="425"/>
        <w:rPr>
          <w:rFonts w:eastAsia="Calibri"/>
          <w:sz w:val="24"/>
          <w:szCs w:val="24"/>
        </w:rPr>
      </w:pPr>
      <w:r w:rsidRPr="00B35C39">
        <w:rPr>
          <w:rFonts w:eastAsia="Calibri" w:cs="Arial"/>
          <w:sz w:val="24"/>
          <w:szCs w:val="24"/>
        </w:rPr>
        <w:t xml:space="preserve">the period or periods during which you were not permitted to charge a </w:t>
      </w:r>
      <w:r w:rsidR="000D4EDC" w:rsidRPr="00B35C39">
        <w:rPr>
          <w:rFonts w:eastAsia="Calibri" w:cs="Arial"/>
          <w:sz w:val="24"/>
          <w:szCs w:val="24"/>
        </w:rPr>
        <w:t>RAD and/or Bond</w:t>
      </w:r>
    </w:p>
    <w:p w14:paraId="18365B5E" w14:textId="51D1D559" w:rsidR="00C56BA6" w:rsidRPr="00B35C39" w:rsidRDefault="00C56BA6" w:rsidP="00B35C39">
      <w:pPr>
        <w:numPr>
          <w:ilvl w:val="0"/>
          <w:numId w:val="9"/>
        </w:numPr>
        <w:tabs>
          <w:tab w:val="clear" w:pos="720"/>
        </w:tabs>
        <w:spacing w:after="0" w:line="240" w:lineRule="auto"/>
        <w:ind w:left="851" w:hanging="425"/>
        <w:rPr>
          <w:rFonts w:eastAsia="Calibri"/>
          <w:sz w:val="24"/>
          <w:szCs w:val="24"/>
        </w:rPr>
      </w:pPr>
      <w:r w:rsidRPr="00B35C39">
        <w:rPr>
          <w:rFonts w:eastAsia="Calibri" w:cs="Arial"/>
          <w:sz w:val="24"/>
          <w:szCs w:val="24"/>
        </w:rPr>
        <w:t>the aged care service in respect of which each period specified applies</w:t>
      </w:r>
    </w:p>
    <w:p w14:paraId="15D98B4A" w14:textId="77777777" w:rsidR="00E4433B" w:rsidRPr="002B7CED" w:rsidRDefault="00F829B4" w:rsidP="002B7CED">
      <w:pPr>
        <w:pStyle w:val="Heading2"/>
        <w:spacing w:before="360"/>
        <w:rPr>
          <w:rFonts w:asciiTheme="minorHAnsi" w:hAnsiTheme="minorHAnsi"/>
          <w:color w:val="0070C0"/>
        </w:rPr>
      </w:pPr>
      <w:r w:rsidRPr="002B7CED">
        <w:rPr>
          <w:rFonts w:asciiTheme="minorHAnsi" w:hAnsiTheme="minorHAnsi"/>
          <w:color w:val="0070C0"/>
        </w:rPr>
        <w:t xml:space="preserve">COMPLIANCE WITH RULES AROUND BONDS </w:t>
      </w:r>
    </w:p>
    <w:p w14:paraId="788C2D08" w14:textId="1BF80B63" w:rsidR="005E3625" w:rsidRPr="001C19A5" w:rsidRDefault="00F829B4" w:rsidP="00B35C39">
      <w:pPr>
        <w:spacing w:after="0" w:line="240" w:lineRule="auto"/>
        <w:rPr>
          <w:b/>
          <w:color w:val="0070C0"/>
          <w:sz w:val="26"/>
          <w:szCs w:val="26"/>
        </w:rPr>
      </w:pPr>
      <w:r w:rsidRPr="00F829B4">
        <w:rPr>
          <w:b/>
          <w:color w:val="0070C0"/>
        </w:rPr>
        <w:t>(FOR RESIDENTS THAT FIRST ENTERED CARE BEFORE 1 JULY 2014 THAT HAVE OPTED TO KEEP THEIR EXISTING BOND AGREEMENT</w:t>
      </w:r>
      <w:r w:rsidR="00290E7A" w:rsidRPr="001C19A5">
        <w:rPr>
          <w:b/>
          <w:color w:val="0070C0"/>
          <w:sz w:val="26"/>
          <w:szCs w:val="26"/>
        </w:rPr>
        <w:t>)</w:t>
      </w:r>
    </w:p>
    <w:p w14:paraId="34A88F68" w14:textId="77777777" w:rsidR="0005562C" w:rsidRPr="001C19A5" w:rsidRDefault="0005562C" w:rsidP="0075798D">
      <w:pPr>
        <w:spacing w:after="120" w:line="240" w:lineRule="auto"/>
        <w:rPr>
          <w:rFonts w:cs="Arial"/>
          <w:color w:val="000000"/>
          <w:sz w:val="24"/>
          <w:szCs w:val="24"/>
          <w:lang w:val="en-US"/>
        </w:rPr>
      </w:pPr>
      <w:r w:rsidRPr="001C19A5">
        <w:rPr>
          <w:rFonts w:cs="Arial"/>
          <w:color w:val="000000"/>
          <w:sz w:val="24"/>
          <w:szCs w:val="24"/>
          <w:lang w:val="en-US"/>
        </w:rPr>
        <w:t>A provider has a responsibility with a residential or bond agreement to:</w:t>
      </w:r>
    </w:p>
    <w:p w14:paraId="41925A3B" w14:textId="20B4DB6E" w:rsidR="0005562C" w:rsidRPr="00B35C39" w:rsidRDefault="0005562C"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 xml:space="preserve">offer to enter into a resident agreement with the </w:t>
      </w:r>
      <w:r w:rsidR="009978D8" w:rsidRPr="00B35C39">
        <w:rPr>
          <w:rFonts w:eastAsia="Calibri" w:cs="Arial"/>
          <w:sz w:val="24"/>
          <w:szCs w:val="24"/>
        </w:rPr>
        <w:t>resident</w:t>
      </w:r>
      <w:r w:rsidRPr="00B35C39">
        <w:rPr>
          <w:rFonts w:eastAsia="Calibri" w:cs="Arial"/>
          <w:sz w:val="24"/>
          <w:szCs w:val="24"/>
        </w:rPr>
        <w:t xml:space="preserve">, and, if the </w:t>
      </w:r>
      <w:r w:rsidR="009978D8" w:rsidRPr="00B35C39">
        <w:rPr>
          <w:rFonts w:eastAsia="Calibri" w:cs="Arial"/>
          <w:sz w:val="24"/>
          <w:szCs w:val="24"/>
        </w:rPr>
        <w:t>resident</w:t>
      </w:r>
      <w:r w:rsidRPr="00B35C39">
        <w:rPr>
          <w:rFonts w:eastAsia="Calibri" w:cs="Arial"/>
          <w:sz w:val="24"/>
          <w:szCs w:val="24"/>
        </w:rPr>
        <w:t xml:space="preserve"> wishes, to enter into such an agreement </w:t>
      </w:r>
      <w:r w:rsidR="00C81CAA" w:rsidRPr="00B35C39">
        <w:rPr>
          <w:rFonts w:eastAsia="Calibri" w:cs="Arial"/>
          <w:sz w:val="24"/>
          <w:szCs w:val="24"/>
        </w:rPr>
        <w:t>(</w:t>
      </w:r>
      <w:r w:rsidRPr="00B35C39">
        <w:rPr>
          <w:rFonts w:eastAsia="Calibri" w:cs="Arial"/>
          <w:sz w:val="24"/>
          <w:szCs w:val="24"/>
        </w:rPr>
        <w:t>section 56-1(</w:t>
      </w:r>
      <w:r w:rsidR="00EB074C" w:rsidRPr="00B35C39">
        <w:rPr>
          <w:rFonts w:eastAsia="Calibri" w:cs="Arial"/>
          <w:sz w:val="24"/>
          <w:szCs w:val="24"/>
        </w:rPr>
        <w:t>h</w:t>
      </w:r>
      <w:r w:rsidRPr="00B35C39">
        <w:rPr>
          <w:rFonts w:eastAsia="Calibri" w:cs="Arial"/>
          <w:sz w:val="24"/>
          <w:szCs w:val="24"/>
        </w:rPr>
        <w:t>) of the Act</w:t>
      </w:r>
      <w:r w:rsidR="00C81CAA" w:rsidRPr="00B35C39">
        <w:rPr>
          <w:rFonts w:eastAsia="Calibri" w:cs="Arial"/>
          <w:sz w:val="24"/>
          <w:szCs w:val="24"/>
        </w:rPr>
        <w:t>)</w:t>
      </w:r>
    </w:p>
    <w:p w14:paraId="269C4DEC" w14:textId="5552C0FC" w:rsidR="0005562C" w:rsidRPr="00B35C39" w:rsidRDefault="0005562C" w:rsidP="00B35C39">
      <w:pPr>
        <w:numPr>
          <w:ilvl w:val="0"/>
          <w:numId w:val="9"/>
        </w:numPr>
        <w:tabs>
          <w:tab w:val="clear" w:pos="720"/>
        </w:tabs>
        <w:spacing w:after="0" w:line="240" w:lineRule="auto"/>
        <w:ind w:left="851" w:hanging="425"/>
        <w:rPr>
          <w:rFonts w:eastAsia="Calibri" w:cs="Arial"/>
        </w:rPr>
      </w:pPr>
      <w:r w:rsidRPr="00B35C39">
        <w:rPr>
          <w:rFonts w:eastAsia="Calibri" w:cs="Arial"/>
          <w:sz w:val="24"/>
          <w:szCs w:val="24"/>
        </w:rPr>
        <w:t xml:space="preserve">have entered into </w:t>
      </w:r>
      <w:r w:rsidR="00EC251D" w:rsidRPr="00B35C39">
        <w:rPr>
          <w:rFonts w:eastAsia="Calibri" w:cs="Arial"/>
          <w:sz w:val="24"/>
          <w:szCs w:val="24"/>
        </w:rPr>
        <w:t>a</w:t>
      </w:r>
      <w:r w:rsidRPr="00B35C39">
        <w:rPr>
          <w:rFonts w:eastAsia="Calibri" w:cs="Arial"/>
          <w:sz w:val="24"/>
          <w:szCs w:val="24"/>
        </w:rPr>
        <w:t xml:space="preserve"> bond agreement with the </w:t>
      </w:r>
      <w:r w:rsidR="009978D8" w:rsidRPr="00B35C39">
        <w:rPr>
          <w:rFonts w:eastAsia="Calibri" w:cs="Arial"/>
          <w:sz w:val="24"/>
          <w:szCs w:val="24"/>
        </w:rPr>
        <w:t>resident</w:t>
      </w:r>
      <w:r w:rsidRPr="00B35C39">
        <w:rPr>
          <w:rFonts w:eastAsia="Calibri" w:cs="Arial"/>
          <w:sz w:val="24"/>
          <w:szCs w:val="24"/>
        </w:rPr>
        <w:t xml:space="preserve"> before, or within 21 days after, the </w:t>
      </w:r>
      <w:r w:rsidR="009978D8" w:rsidRPr="00B35C39">
        <w:rPr>
          <w:rFonts w:eastAsia="Calibri" w:cs="Arial"/>
          <w:sz w:val="24"/>
          <w:szCs w:val="24"/>
        </w:rPr>
        <w:t>resident</w:t>
      </w:r>
      <w:r w:rsidRPr="00B35C39">
        <w:rPr>
          <w:rFonts w:eastAsia="Calibri" w:cs="Arial"/>
          <w:sz w:val="24"/>
          <w:szCs w:val="24"/>
        </w:rPr>
        <w:t xml:space="preserve"> entered the service </w:t>
      </w:r>
      <w:r w:rsidR="00C81CAA" w:rsidRPr="00B35C39">
        <w:rPr>
          <w:rFonts w:eastAsia="Calibri" w:cs="Arial"/>
          <w:sz w:val="24"/>
          <w:szCs w:val="24"/>
        </w:rPr>
        <w:t>(</w:t>
      </w:r>
      <w:r w:rsidRPr="00B35C39">
        <w:rPr>
          <w:rFonts w:eastAsia="Calibri" w:cs="Arial"/>
          <w:sz w:val="24"/>
          <w:szCs w:val="24"/>
        </w:rPr>
        <w:t xml:space="preserve">section 57-2(1)(e) of the </w:t>
      </w:r>
      <w:r w:rsidR="00EB074C" w:rsidRPr="00B35C39">
        <w:rPr>
          <w:rFonts w:eastAsia="Calibri" w:cs="Arial"/>
          <w:sz w:val="24"/>
          <w:szCs w:val="24"/>
        </w:rPr>
        <w:t xml:space="preserve">Aged Care (Transitional Provisions) </w:t>
      </w:r>
      <w:r w:rsidRPr="00B35C39">
        <w:rPr>
          <w:rFonts w:eastAsia="Calibri" w:cs="Arial"/>
          <w:sz w:val="24"/>
          <w:szCs w:val="24"/>
        </w:rPr>
        <w:t>Act</w:t>
      </w:r>
      <w:r w:rsidR="000B1615" w:rsidRPr="00B35C39">
        <w:rPr>
          <w:rFonts w:eastAsia="Calibri" w:cs="Arial"/>
          <w:sz w:val="24"/>
          <w:szCs w:val="24"/>
        </w:rPr>
        <w:t xml:space="preserve"> 1997 (the Transitional Provisions Act)</w:t>
      </w:r>
      <w:r w:rsidR="00D637E2" w:rsidRPr="00B35C39">
        <w:rPr>
          <w:rFonts w:eastAsia="Calibri" w:cs="Arial"/>
          <w:sz w:val="24"/>
          <w:szCs w:val="24"/>
        </w:rPr>
        <w:t>)</w:t>
      </w:r>
    </w:p>
    <w:p w14:paraId="34315A00" w14:textId="389E0F69" w:rsidR="00D37916" w:rsidRPr="00B35C39" w:rsidRDefault="00D637E2"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g</w:t>
      </w:r>
      <w:r w:rsidR="00B66D30" w:rsidRPr="00B35C39">
        <w:rPr>
          <w:rFonts w:eastAsia="Calibri" w:cs="Arial"/>
          <w:sz w:val="24"/>
          <w:szCs w:val="24"/>
        </w:rPr>
        <w:t xml:space="preserve">ive the resident </w:t>
      </w:r>
      <w:r w:rsidR="005373CE" w:rsidRPr="00B35C39">
        <w:rPr>
          <w:rFonts w:eastAsia="Calibri" w:cs="Arial"/>
          <w:sz w:val="24"/>
          <w:szCs w:val="24"/>
        </w:rPr>
        <w:t>the</w:t>
      </w:r>
      <w:r w:rsidR="00B66D30" w:rsidRPr="00B35C39">
        <w:rPr>
          <w:rFonts w:eastAsia="Calibri" w:cs="Arial"/>
          <w:sz w:val="24"/>
          <w:szCs w:val="24"/>
        </w:rPr>
        <w:t xml:space="preserve"> agreement to sign within 7 days a</w:t>
      </w:r>
      <w:r w:rsidR="0005562C" w:rsidRPr="00B35C39">
        <w:rPr>
          <w:rFonts w:eastAsia="Calibri" w:cs="Arial"/>
          <w:sz w:val="24"/>
          <w:szCs w:val="24"/>
        </w:rPr>
        <w:t>fter enter</w:t>
      </w:r>
      <w:r w:rsidR="005373CE" w:rsidRPr="00B35C39">
        <w:rPr>
          <w:rFonts w:eastAsia="Calibri" w:cs="Arial"/>
          <w:sz w:val="24"/>
          <w:szCs w:val="24"/>
        </w:rPr>
        <w:t>ing</w:t>
      </w:r>
      <w:r w:rsidR="0005562C" w:rsidRPr="00B35C39">
        <w:rPr>
          <w:rFonts w:eastAsia="Calibri" w:cs="Arial"/>
          <w:sz w:val="24"/>
          <w:szCs w:val="24"/>
        </w:rPr>
        <w:t xml:space="preserve"> into an agreement with the resident or their representative</w:t>
      </w:r>
    </w:p>
    <w:p w14:paraId="568320A2" w14:textId="1FF548EE" w:rsidR="00D37916" w:rsidRPr="0075798D" w:rsidRDefault="00D37916" w:rsidP="0075798D">
      <w:pPr>
        <w:autoSpaceDE w:val="0"/>
        <w:autoSpaceDN w:val="0"/>
        <w:adjustRightInd w:val="0"/>
        <w:spacing w:after="0" w:line="240" w:lineRule="auto"/>
        <w:ind w:left="425"/>
        <w:rPr>
          <w:rFonts w:cs="Helv"/>
          <w:color w:val="000000"/>
          <w:sz w:val="24"/>
          <w:szCs w:val="24"/>
        </w:rPr>
      </w:pPr>
      <w:r w:rsidRPr="0075798D">
        <w:rPr>
          <w:sz w:val="24"/>
          <w:szCs w:val="24"/>
        </w:rPr>
        <w:t xml:space="preserve">Note: </w:t>
      </w:r>
      <w:r w:rsidRPr="0075798D">
        <w:rPr>
          <w:rFonts w:cs="Helv"/>
          <w:color w:val="000000"/>
          <w:sz w:val="24"/>
          <w:szCs w:val="24"/>
        </w:rPr>
        <w:t xml:space="preserve">The bond agreement can be a separate </w:t>
      </w:r>
      <w:r w:rsidR="00236203" w:rsidRPr="0075798D">
        <w:rPr>
          <w:rFonts w:cs="Helv"/>
          <w:color w:val="000000"/>
          <w:sz w:val="24"/>
          <w:szCs w:val="24"/>
        </w:rPr>
        <w:t>document,</w:t>
      </w:r>
      <w:r w:rsidRPr="0075798D">
        <w:rPr>
          <w:rFonts w:cs="Helv"/>
          <w:color w:val="000000"/>
          <w:sz w:val="24"/>
          <w:szCs w:val="24"/>
        </w:rPr>
        <w:t xml:space="preserve"> or it can be incorporated into the resident agreement (section 57-10 of the </w:t>
      </w:r>
      <w:r w:rsidR="000B1615" w:rsidRPr="0075798D">
        <w:rPr>
          <w:color w:val="111111"/>
          <w:sz w:val="24"/>
          <w:szCs w:val="24"/>
          <w:lang w:val="en"/>
        </w:rPr>
        <w:t>Transitional Provisions Act</w:t>
      </w:r>
      <w:r w:rsidRPr="0075798D">
        <w:rPr>
          <w:rFonts w:cs="Helv"/>
          <w:color w:val="000000"/>
          <w:sz w:val="24"/>
          <w:szCs w:val="24"/>
        </w:rPr>
        <w:t>), within 21 days of the resident entering the service.</w:t>
      </w:r>
    </w:p>
    <w:p w14:paraId="3386922E" w14:textId="68A55D36" w:rsidR="0005562C" w:rsidRPr="002B7CED" w:rsidRDefault="0005562C" w:rsidP="002B7CED">
      <w:pPr>
        <w:spacing w:before="200" w:after="0"/>
        <w:rPr>
          <w:b/>
          <w:bCs/>
          <w:color w:val="0070C0"/>
          <w:sz w:val="26"/>
          <w:szCs w:val="26"/>
        </w:rPr>
      </w:pPr>
      <w:r w:rsidRPr="002B7CED">
        <w:rPr>
          <w:b/>
          <w:bCs/>
          <w:color w:val="0070C0"/>
          <w:sz w:val="26"/>
          <w:szCs w:val="26"/>
        </w:rPr>
        <w:t xml:space="preserve">Things </w:t>
      </w:r>
      <w:r w:rsidR="00D37916" w:rsidRPr="002B7CED">
        <w:rPr>
          <w:b/>
          <w:bCs/>
          <w:color w:val="0070C0"/>
          <w:sz w:val="26"/>
          <w:szCs w:val="26"/>
        </w:rPr>
        <w:t>you</w:t>
      </w:r>
      <w:r w:rsidRPr="002B7CED">
        <w:rPr>
          <w:b/>
          <w:bCs/>
          <w:color w:val="0070C0"/>
          <w:sz w:val="26"/>
          <w:szCs w:val="26"/>
        </w:rPr>
        <w:t xml:space="preserve"> need to know</w:t>
      </w:r>
    </w:p>
    <w:p w14:paraId="4CA2C0AF" w14:textId="6DDB76F9" w:rsidR="0005562C" w:rsidRPr="00B2743B" w:rsidRDefault="0005562C"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Providers must be able to demonstrate compliance with the bond agreement requirements to their auditor</w:t>
      </w:r>
    </w:p>
    <w:p w14:paraId="1AC6C87A" w14:textId="5DA6462A" w:rsidR="0005562C" w:rsidRPr="00B2743B" w:rsidRDefault="0063155B"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w:t>
      </w:r>
      <w:r w:rsidR="0005562C" w:rsidRPr="00B2743B">
        <w:rPr>
          <w:rFonts w:eastAsia="Calibri" w:cs="Arial"/>
          <w:sz w:val="24"/>
          <w:szCs w:val="24"/>
        </w:rPr>
        <w:t xml:space="preserve">he </w:t>
      </w:r>
      <w:r w:rsidR="00E4433B" w:rsidRPr="00B2743B">
        <w:rPr>
          <w:rFonts w:eastAsia="Calibri" w:cs="Arial"/>
          <w:sz w:val="24"/>
          <w:szCs w:val="24"/>
        </w:rPr>
        <w:t xml:space="preserve">provider could be requested to </w:t>
      </w:r>
      <w:r w:rsidR="0005562C" w:rsidRPr="00B2743B">
        <w:rPr>
          <w:rFonts w:eastAsia="Calibri" w:cs="Arial"/>
          <w:sz w:val="24"/>
          <w:szCs w:val="24"/>
        </w:rPr>
        <w:t>provide records</w:t>
      </w:r>
      <w:r w:rsidR="005B0EEF" w:rsidRPr="00B2743B">
        <w:rPr>
          <w:rFonts w:eastAsia="Calibri" w:cs="Arial"/>
          <w:sz w:val="24"/>
          <w:szCs w:val="24"/>
        </w:rPr>
        <w:t xml:space="preserve"> to the Commission</w:t>
      </w:r>
      <w:r w:rsidR="0005562C" w:rsidRPr="00B2743B">
        <w:rPr>
          <w:rFonts w:eastAsia="Calibri" w:cs="Arial"/>
          <w:sz w:val="24"/>
          <w:szCs w:val="24"/>
        </w:rPr>
        <w:t xml:space="preserve"> for monitoring and compliance purposes at </w:t>
      </w:r>
      <w:r w:rsidR="006621D7" w:rsidRPr="00B2743B">
        <w:rPr>
          <w:rFonts w:eastAsia="Calibri" w:cs="Arial"/>
          <w:sz w:val="24"/>
          <w:szCs w:val="24"/>
        </w:rPr>
        <w:t>any time</w:t>
      </w:r>
    </w:p>
    <w:p w14:paraId="5705AE0F"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0FF36911" w14:textId="4CB0CE2F" w:rsidR="0005562C" w:rsidRPr="001C19A5" w:rsidRDefault="0005562C" w:rsidP="00290E7A">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After considering the information provided under bond agreements</w:t>
      </w:r>
      <w:r w:rsidR="00E4433B">
        <w:rPr>
          <w:rFonts w:asciiTheme="minorHAnsi" w:hAnsiTheme="minorHAnsi" w:cs="Times New Roman"/>
          <w:sz w:val="24"/>
          <w:szCs w:val="24"/>
        </w:rPr>
        <w:t>,</w:t>
      </w:r>
      <w:r w:rsidRPr="001C19A5">
        <w:rPr>
          <w:rFonts w:asciiTheme="minorHAnsi" w:hAnsiTheme="minorHAnsi" w:cs="Times New Roman"/>
          <w:sz w:val="24"/>
          <w:szCs w:val="24"/>
        </w:rPr>
        <w:t xml:space="preserve"> </w:t>
      </w:r>
      <w:r w:rsidR="00E4433B">
        <w:rPr>
          <w:rFonts w:asciiTheme="minorHAnsi" w:hAnsiTheme="minorHAnsi" w:cs="Times New Roman"/>
          <w:sz w:val="24"/>
          <w:szCs w:val="24"/>
        </w:rPr>
        <w:t>r</w:t>
      </w:r>
      <w:r w:rsidRPr="001C19A5">
        <w:rPr>
          <w:rFonts w:asciiTheme="minorHAnsi" w:hAnsiTheme="minorHAnsi" w:cs="Times New Roman"/>
          <w:sz w:val="24"/>
          <w:szCs w:val="24"/>
        </w:rPr>
        <w:t>espond Yes</w:t>
      </w:r>
      <w:r w:rsidR="00ED0BD1" w:rsidRPr="001C19A5">
        <w:rPr>
          <w:rFonts w:asciiTheme="minorHAnsi" w:hAnsiTheme="minorHAnsi" w:cs="Times New Roman"/>
          <w:sz w:val="24"/>
          <w:szCs w:val="24"/>
        </w:rPr>
        <w:t xml:space="preserve">, </w:t>
      </w:r>
      <w:r w:rsidRPr="001C19A5">
        <w:rPr>
          <w:rFonts w:asciiTheme="minorHAnsi" w:hAnsiTheme="minorHAnsi" w:cs="Times New Roman"/>
          <w:sz w:val="24"/>
          <w:szCs w:val="24"/>
        </w:rPr>
        <w:t>No</w:t>
      </w:r>
      <w:r w:rsidR="00ED0BD1" w:rsidRPr="001C19A5">
        <w:rPr>
          <w:rFonts w:asciiTheme="minorHAnsi" w:hAnsiTheme="minorHAnsi" w:cs="Times New Roman"/>
          <w:sz w:val="24"/>
          <w:szCs w:val="24"/>
        </w:rPr>
        <w:t xml:space="preserve"> or N/A</w:t>
      </w:r>
      <w:r w:rsidR="00E4433B">
        <w:rPr>
          <w:rFonts w:asciiTheme="minorHAnsi" w:hAnsiTheme="minorHAnsi" w:cs="Times New Roman"/>
          <w:sz w:val="24"/>
          <w:szCs w:val="24"/>
        </w:rPr>
        <w:t>.</w:t>
      </w:r>
      <w:r w:rsidR="009E79F8" w:rsidRPr="001C19A5">
        <w:rPr>
          <w:rFonts w:asciiTheme="minorHAnsi" w:hAnsiTheme="minorHAnsi" w:cs="Times New Roman"/>
          <w:sz w:val="24"/>
          <w:szCs w:val="24"/>
        </w:rPr>
        <w:t xml:space="preserve"> </w:t>
      </w:r>
    </w:p>
    <w:p w14:paraId="08126F12" w14:textId="79FE06BF" w:rsidR="00E237C9" w:rsidRDefault="00E237C9" w:rsidP="00E237C9">
      <w:pPr>
        <w:pStyle w:val="Tabletext"/>
        <w:spacing w:before="0" w:after="120"/>
        <w:rPr>
          <w:rFonts w:asciiTheme="minorHAnsi" w:hAnsiTheme="minorHAnsi" w:cs="Times New Roman"/>
          <w:sz w:val="22"/>
          <w:szCs w:val="22"/>
        </w:rPr>
      </w:pPr>
      <w:r w:rsidRPr="00E172DE">
        <w:rPr>
          <w:rFonts w:asciiTheme="minorHAnsi" w:hAnsiTheme="minorHAnsi" w:cs="Times New Roman"/>
          <w:sz w:val="24"/>
          <w:szCs w:val="24"/>
        </w:rPr>
        <w:t xml:space="preserve">Only answer </w:t>
      </w:r>
      <w:r w:rsidR="00374757">
        <w:rPr>
          <w:rFonts w:asciiTheme="minorHAnsi" w:hAnsiTheme="minorHAnsi" w:cs="Times New Roman"/>
          <w:sz w:val="24"/>
          <w:szCs w:val="24"/>
        </w:rPr>
        <w:t>‘YES’ or ‘NO’</w:t>
      </w:r>
      <w:r w:rsidRPr="00E172DE">
        <w:rPr>
          <w:rFonts w:asciiTheme="minorHAnsi" w:hAnsiTheme="minorHAnsi" w:cs="Times New Roman"/>
          <w:sz w:val="24"/>
          <w:szCs w:val="24"/>
        </w:rPr>
        <w:t xml:space="preserve"> if you entered into a </w:t>
      </w:r>
      <w:r w:rsidR="005373CE">
        <w:rPr>
          <w:rFonts w:asciiTheme="minorHAnsi" w:hAnsiTheme="minorHAnsi" w:cs="Times New Roman"/>
          <w:sz w:val="24"/>
          <w:szCs w:val="24"/>
        </w:rPr>
        <w:t>b</w:t>
      </w:r>
      <w:r w:rsidRPr="00E172DE">
        <w:rPr>
          <w:rFonts w:asciiTheme="minorHAnsi" w:hAnsiTheme="minorHAnsi" w:cs="Times New Roman"/>
          <w:sz w:val="24"/>
          <w:szCs w:val="24"/>
        </w:rPr>
        <w:t>ond agreement</w:t>
      </w:r>
      <w:r w:rsidR="00F97C30" w:rsidRPr="003A116B">
        <w:rPr>
          <w:rFonts w:asciiTheme="minorHAnsi" w:hAnsiTheme="minorHAnsi" w:cs="Times New Roman"/>
          <w:sz w:val="24"/>
          <w:szCs w:val="24"/>
        </w:rPr>
        <w:t>, otherwise answer ‘N/A’.</w:t>
      </w:r>
    </w:p>
    <w:p w14:paraId="324EA0B1" w14:textId="6A9C2ADF" w:rsidR="001F1A6B" w:rsidRPr="002B7CED" w:rsidRDefault="00E172DE" w:rsidP="002B7CED">
      <w:pPr>
        <w:pStyle w:val="Heading2"/>
        <w:spacing w:before="360"/>
        <w:rPr>
          <w:rFonts w:asciiTheme="minorHAnsi" w:hAnsiTheme="minorHAnsi"/>
          <w:color w:val="0070C0"/>
        </w:rPr>
      </w:pPr>
      <w:r w:rsidRPr="002B7CED">
        <w:rPr>
          <w:rFonts w:asciiTheme="minorHAnsi" w:hAnsiTheme="minorHAnsi"/>
          <w:color w:val="0070C0"/>
        </w:rPr>
        <w:t>COMPLIANCE WITH RULES AROUND CHARGING ACCOMMODATION PAYMENTS</w:t>
      </w:r>
    </w:p>
    <w:p w14:paraId="688B567F" w14:textId="25CFDC99" w:rsidR="00B12238" w:rsidRDefault="00E172DE" w:rsidP="00B35C39">
      <w:pPr>
        <w:spacing w:after="0"/>
        <w:rPr>
          <w:b/>
          <w:bCs/>
          <w:color w:val="0070C0"/>
        </w:rPr>
      </w:pPr>
      <w:r w:rsidRPr="4E34EEE7">
        <w:rPr>
          <w:b/>
          <w:bCs/>
          <w:color w:val="0070C0"/>
        </w:rPr>
        <w:t>(FOR RESIDENTS WHO FIRST ENTERED CARE ON OR AFTER 1 JULY 2014)</w:t>
      </w:r>
    </w:p>
    <w:p w14:paraId="6C46E99D" w14:textId="17A3CFC9" w:rsidR="00A45F99" w:rsidRPr="001C19A5" w:rsidRDefault="002B7D68" w:rsidP="006D44B0">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If</w:t>
      </w:r>
      <w:r w:rsidR="006E2AAB">
        <w:rPr>
          <w:rFonts w:asciiTheme="minorHAnsi" w:hAnsiTheme="minorHAnsi" w:cs="Times New Roman"/>
          <w:sz w:val="24"/>
          <w:szCs w:val="24"/>
        </w:rPr>
        <w:t xml:space="preserve">, when </w:t>
      </w:r>
      <w:r w:rsidR="009779F2">
        <w:rPr>
          <w:rFonts w:asciiTheme="minorHAnsi" w:hAnsiTheme="minorHAnsi" w:cs="Times New Roman"/>
          <w:sz w:val="24"/>
          <w:szCs w:val="24"/>
        </w:rPr>
        <w:t xml:space="preserve">you </w:t>
      </w:r>
      <w:r w:rsidR="009779F2" w:rsidRPr="001C19A5">
        <w:rPr>
          <w:rFonts w:asciiTheme="minorHAnsi" w:hAnsiTheme="minorHAnsi" w:cs="Times New Roman"/>
          <w:sz w:val="24"/>
          <w:szCs w:val="24"/>
        </w:rPr>
        <w:t>charged</w:t>
      </w:r>
      <w:r w:rsidRPr="001C19A5">
        <w:rPr>
          <w:rFonts w:asciiTheme="minorHAnsi" w:hAnsiTheme="minorHAnsi" w:cs="Times New Roman"/>
          <w:sz w:val="24"/>
          <w:szCs w:val="24"/>
        </w:rPr>
        <w:t xml:space="preserve"> refundable deposits for a room, was the price </w:t>
      </w:r>
      <w:r w:rsidR="00EC251D" w:rsidRPr="001C19A5">
        <w:rPr>
          <w:rFonts w:asciiTheme="minorHAnsi" w:hAnsiTheme="minorHAnsi" w:cs="Times New Roman"/>
          <w:sz w:val="24"/>
          <w:szCs w:val="24"/>
        </w:rPr>
        <w:t>published before</w:t>
      </w:r>
      <w:r w:rsidRPr="001C19A5">
        <w:rPr>
          <w:rFonts w:asciiTheme="minorHAnsi" w:hAnsiTheme="minorHAnsi" w:cs="Times New Roman"/>
          <w:sz w:val="24"/>
          <w:szCs w:val="24"/>
        </w:rPr>
        <w:t xml:space="preserve"> doing so and was the resident charged, if so, did you only charge the amount published for that room on that day? Respond Yes</w:t>
      </w:r>
      <w:r w:rsidR="00CC2C28" w:rsidRPr="001C19A5">
        <w:rPr>
          <w:rFonts w:asciiTheme="minorHAnsi" w:hAnsiTheme="minorHAnsi" w:cs="Times New Roman"/>
          <w:sz w:val="24"/>
          <w:szCs w:val="24"/>
        </w:rPr>
        <w:t>, No or N/A.</w:t>
      </w:r>
    </w:p>
    <w:p w14:paraId="777D130F" w14:textId="34027F28" w:rsidR="00A45F99" w:rsidRPr="001C19A5" w:rsidRDefault="00CC2C28" w:rsidP="006D44B0">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 xml:space="preserve">Only answer </w:t>
      </w:r>
      <w:r w:rsidR="009E0026">
        <w:rPr>
          <w:rFonts w:asciiTheme="minorHAnsi" w:hAnsiTheme="minorHAnsi" w:cs="Times New Roman"/>
          <w:sz w:val="24"/>
          <w:szCs w:val="24"/>
        </w:rPr>
        <w:t>‘</w:t>
      </w:r>
      <w:r w:rsidRPr="001C19A5">
        <w:rPr>
          <w:rFonts w:asciiTheme="minorHAnsi" w:hAnsiTheme="minorHAnsi" w:cs="Times New Roman"/>
          <w:sz w:val="24"/>
          <w:szCs w:val="24"/>
        </w:rPr>
        <w:t>N/A</w:t>
      </w:r>
      <w:r w:rsidR="009E0026">
        <w:rPr>
          <w:rFonts w:asciiTheme="minorHAnsi" w:hAnsiTheme="minorHAnsi" w:cs="Times New Roman"/>
          <w:sz w:val="24"/>
          <w:szCs w:val="24"/>
        </w:rPr>
        <w:t>’</w:t>
      </w:r>
      <w:r w:rsidRPr="001C19A5">
        <w:rPr>
          <w:rFonts w:asciiTheme="minorHAnsi" w:hAnsiTheme="minorHAnsi" w:cs="Times New Roman"/>
          <w:sz w:val="24"/>
          <w:szCs w:val="24"/>
        </w:rPr>
        <w:t xml:space="preserve"> </w:t>
      </w:r>
      <w:r w:rsidR="000936F0" w:rsidRPr="001C19A5">
        <w:rPr>
          <w:rFonts w:asciiTheme="minorHAnsi" w:hAnsiTheme="minorHAnsi" w:cs="Times New Roman"/>
          <w:sz w:val="24"/>
          <w:szCs w:val="24"/>
        </w:rPr>
        <w:t>if you</w:t>
      </w:r>
      <w:r w:rsidRPr="001C19A5">
        <w:rPr>
          <w:rFonts w:asciiTheme="minorHAnsi" w:hAnsiTheme="minorHAnsi" w:cs="Times New Roman"/>
          <w:sz w:val="24"/>
          <w:szCs w:val="24"/>
        </w:rPr>
        <w:t xml:space="preserve"> </w:t>
      </w:r>
      <w:r w:rsidR="00B12238">
        <w:rPr>
          <w:rFonts w:asciiTheme="minorHAnsi" w:hAnsiTheme="minorHAnsi" w:cs="Times New Roman"/>
          <w:sz w:val="24"/>
          <w:szCs w:val="24"/>
        </w:rPr>
        <w:t>did not enter into any agreements</w:t>
      </w:r>
      <w:r w:rsidRPr="001C19A5">
        <w:rPr>
          <w:rFonts w:asciiTheme="minorHAnsi" w:hAnsiTheme="minorHAnsi" w:cs="Times New Roman"/>
          <w:sz w:val="24"/>
          <w:szCs w:val="24"/>
        </w:rPr>
        <w:t>.</w:t>
      </w:r>
    </w:p>
    <w:p w14:paraId="14511D5D" w14:textId="6A2B44AF" w:rsidR="002B7D68" w:rsidRPr="001C19A5" w:rsidRDefault="006621D7" w:rsidP="006D44B0">
      <w:pPr>
        <w:pStyle w:val="Tabletext"/>
        <w:spacing w:before="0" w:after="120"/>
        <w:rPr>
          <w:rFonts w:asciiTheme="minorHAnsi" w:hAnsiTheme="minorHAnsi" w:cs="Times New Roman"/>
          <w:sz w:val="24"/>
          <w:szCs w:val="24"/>
        </w:rPr>
      </w:pPr>
      <w:r w:rsidRPr="001C19A5">
        <w:rPr>
          <w:rFonts w:asciiTheme="minorHAnsi" w:hAnsiTheme="minorHAnsi" w:cs="Times New Roman"/>
          <w:sz w:val="24"/>
          <w:szCs w:val="24"/>
        </w:rPr>
        <w:t xml:space="preserve">If you answered </w:t>
      </w:r>
      <w:r w:rsidR="009E0026">
        <w:rPr>
          <w:rFonts w:asciiTheme="minorHAnsi" w:hAnsiTheme="minorHAnsi" w:cs="Times New Roman"/>
          <w:sz w:val="24"/>
          <w:szCs w:val="24"/>
        </w:rPr>
        <w:t>‘</w:t>
      </w:r>
      <w:r w:rsidRPr="001C19A5">
        <w:rPr>
          <w:rFonts w:asciiTheme="minorHAnsi" w:hAnsiTheme="minorHAnsi" w:cs="Times New Roman"/>
          <w:sz w:val="24"/>
          <w:szCs w:val="24"/>
        </w:rPr>
        <w:t>NO</w:t>
      </w:r>
      <w:r w:rsidR="009E0026">
        <w:rPr>
          <w:rFonts w:asciiTheme="minorHAnsi" w:hAnsiTheme="minorHAnsi" w:cs="Times New Roman"/>
          <w:sz w:val="24"/>
          <w:szCs w:val="24"/>
        </w:rPr>
        <w:t>’</w:t>
      </w:r>
      <w:r w:rsidRPr="001C19A5">
        <w:rPr>
          <w:rFonts w:asciiTheme="minorHAnsi" w:hAnsiTheme="minorHAnsi" w:cs="Times New Roman"/>
          <w:sz w:val="24"/>
          <w:szCs w:val="24"/>
        </w:rPr>
        <w:t xml:space="preserve"> you</w:t>
      </w:r>
      <w:r w:rsidR="00CC2C28" w:rsidRPr="001C19A5">
        <w:rPr>
          <w:rFonts w:asciiTheme="minorHAnsi" w:hAnsiTheme="minorHAnsi" w:cs="Times New Roman"/>
          <w:sz w:val="24"/>
          <w:szCs w:val="24"/>
        </w:rPr>
        <w:t xml:space="preserve"> must provide a separate statement with </w:t>
      </w:r>
      <w:r w:rsidR="00FE0901">
        <w:rPr>
          <w:rFonts w:asciiTheme="minorHAnsi" w:hAnsiTheme="minorHAnsi" w:cs="Times New Roman"/>
          <w:sz w:val="24"/>
          <w:szCs w:val="24"/>
        </w:rPr>
        <w:t xml:space="preserve">the following </w:t>
      </w:r>
      <w:r w:rsidR="00CC2C28" w:rsidRPr="001C19A5">
        <w:rPr>
          <w:rFonts w:asciiTheme="minorHAnsi" w:hAnsiTheme="minorHAnsi" w:cs="Times New Roman"/>
          <w:sz w:val="24"/>
          <w:szCs w:val="24"/>
        </w:rPr>
        <w:t>details:</w:t>
      </w:r>
    </w:p>
    <w:p w14:paraId="06E03674" w14:textId="3AEB7764" w:rsidR="00A45F99" w:rsidRPr="00B2743B" w:rsidRDefault="00FE0901"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lastRenderedPageBreak/>
        <w:t xml:space="preserve">the </w:t>
      </w:r>
      <w:r w:rsidR="00B12238" w:rsidRPr="00B2743B">
        <w:rPr>
          <w:rFonts w:eastAsia="Calibri" w:cs="Arial"/>
          <w:sz w:val="24"/>
          <w:szCs w:val="24"/>
        </w:rPr>
        <w:t xml:space="preserve">number of </w:t>
      </w:r>
      <w:r w:rsidR="00CC2C28" w:rsidRPr="00B2743B">
        <w:rPr>
          <w:rFonts w:eastAsia="Calibri" w:cs="Arial"/>
          <w:sz w:val="24"/>
          <w:szCs w:val="24"/>
        </w:rPr>
        <w:t xml:space="preserve">dates you </w:t>
      </w:r>
      <w:r w:rsidR="005373CE" w:rsidRPr="00B2743B">
        <w:rPr>
          <w:rFonts w:eastAsia="Calibri" w:cs="Arial"/>
          <w:sz w:val="24"/>
          <w:szCs w:val="24"/>
        </w:rPr>
        <w:t xml:space="preserve">did </w:t>
      </w:r>
      <w:r w:rsidR="00CC2C28" w:rsidRPr="00B2743B">
        <w:rPr>
          <w:rFonts w:eastAsia="Calibri" w:cs="Arial"/>
          <w:sz w:val="24"/>
          <w:szCs w:val="24"/>
        </w:rPr>
        <w:t xml:space="preserve">not comply with this </w:t>
      </w:r>
      <w:r w:rsidR="000936F0" w:rsidRPr="00B2743B">
        <w:rPr>
          <w:rFonts w:eastAsia="Calibri" w:cs="Arial"/>
          <w:sz w:val="24"/>
          <w:szCs w:val="24"/>
        </w:rPr>
        <w:t>rule i.e</w:t>
      </w:r>
      <w:r w:rsidR="00CC2C28" w:rsidRPr="00B2743B">
        <w:rPr>
          <w:rFonts w:eastAsia="Calibri" w:cs="Arial"/>
          <w:sz w:val="24"/>
          <w:szCs w:val="24"/>
        </w:rPr>
        <w:t>. My Aged Care Website, written material for prospective residents</w:t>
      </w:r>
      <w:r w:rsidR="009E0026" w:rsidRPr="00B2743B">
        <w:rPr>
          <w:rFonts w:eastAsia="Calibri" w:cs="Arial"/>
          <w:sz w:val="24"/>
          <w:szCs w:val="24"/>
        </w:rPr>
        <w:t>,</w:t>
      </w:r>
      <w:r w:rsidR="00CC2C28" w:rsidRPr="00B2743B">
        <w:rPr>
          <w:rFonts w:eastAsia="Calibri" w:cs="Arial"/>
          <w:sz w:val="24"/>
          <w:szCs w:val="24"/>
        </w:rPr>
        <w:t xml:space="preserve"> and/or </w:t>
      </w:r>
      <w:r w:rsidR="00A04262">
        <w:rPr>
          <w:rFonts w:eastAsia="Calibri" w:cs="Arial"/>
          <w:sz w:val="24"/>
          <w:szCs w:val="24"/>
        </w:rPr>
        <w:t>p</w:t>
      </w:r>
      <w:r w:rsidR="00CC2C28" w:rsidRPr="00B2743B">
        <w:rPr>
          <w:rFonts w:eastAsia="Calibri" w:cs="Arial"/>
          <w:sz w:val="24"/>
          <w:szCs w:val="24"/>
        </w:rPr>
        <w:t xml:space="preserve">rovider website  </w:t>
      </w:r>
    </w:p>
    <w:p w14:paraId="6295C66C" w14:textId="2E98F988" w:rsidR="00C61F95" w:rsidRPr="00B2743B" w:rsidRDefault="008B6416"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w:t>
      </w:r>
      <w:r w:rsidR="00CC2C28" w:rsidRPr="00B2743B">
        <w:rPr>
          <w:rFonts w:eastAsia="Calibri" w:cs="Arial"/>
          <w:sz w:val="24"/>
          <w:szCs w:val="24"/>
        </w:rPr>
        <w:t xml:space="preserve">he reason or reasons for failure to comply with this rule </w:t>
      </w:r>
    </w:p>
    <w:p w14:paraId="26EA059D" w14:textId="2CC4C8D9" w:rsidR="00CC2C28" w:rsidRPr="00B2743B" w:rsidRDefault="008B6416" w:rsidP="00B35C39">
      <w:pPr>
        <w:numPr>
          <w:ilvl w:val="0"/>
          <w:numId w:val="9"/>
        </w:numPr>
        <w:tabs>
          <w:tab w:val="clear" w:pos="720"/>
        </w:tabs>
        <w:spacing w:after="0" w:line="240" w:lineRule="auto"/>
        <w:ind w:left="851" w:hanging="425"/>
        <w:rPr>
          <w:rFonts w:cs="Arial"/>
          <w:sz w:val="24"/>
          <w:szCs w:val="24"/>
        </w:rPr>
      </w:pPr>
      <w:r w:rsidRPr="00B2743B">
        <w:rPr>
          <w:rFonts w:eastAsia="Calibri" w:cs="Arial"/>
          <w:sz w:val="24"/>
          <w:szCs w:val="24"/>
        </w:rPr>
        <w:t>t</w:t>
      </w:r>
      <w:r w:rsidR="00FE0901" w:rsidRPr="00B2743B">
        <w:rPr>
          <w:rFonts w:eastAsia="Calibri" w:cs="Arial"/>
          <w:sz w:val="24"/>
          <w:szCs w:val="24"/>
        </w:rPr>
        <w:t xml:space="preserve">he </w:t>
      </w:r>
      <w:r w:rsidR="00CC2C28" w:rsidRPr="00B2743B">
        <w:rPr>
          <w:rFonts w:eastAsia="Calibri" w:cs="Arial"/>
          <w:sz w:val="24"/>
          <w:szCs w:val="24"/>
        </w:rPr>
        <w:t xml:space="preserve">processes </w:t>
      </w:r>
      <w:r w:rsidR="009E0026" w:rsidRPr="00B2743B">
        <w:rPr>
          <w:rFonts w:eastAsia="Calibri" w:cs="Arial"/>
          <w:sz w:val="24"/>
          <w:szCs w:val="24"/>
        </w:rPr>
        <w:t xml:space="preserve">that are </w:t>
      </w:r>
      <w:r w:rsidR="00CC2C28" w:rsidRPr="00B2743B">
        <w:rPr>
          <w:rFonts w:eastAsia="Calibri" w:cs="Arial"/>
          <w:sz w:val="24"/>
          <w:szCs w:val="24"/>
        </w:rPr>
        <w:t>no</w:t>
      </w:r>
      <w:r w:rsidR="00C61F95" w:rsidRPr="00B2743B">
        <w:rPr>
          <w:rFonts w:eastAsia="Calibri" w:cs="Arial"/>
          <w:sz w:val="24"/>
          <w:szCs w:val="24"/>
        </w:rPr>
        <w:t>w</w:t>
      </w:r>
      <w:r w:rsidR="00CC2C28" w:rsidRPr="00B2743B">
        <w:rPr>
          <w:rFonts w:eastAsia="Calibri" w:cs="Arial"/>
          <w:sz w:val="24"/>
          <w:szCs w:val="24"/>
        </w:rPr>
        <w:t xml:space="preserve"> in place to ensure future </w:t>
      </w:r>
      <w:r w:rsidR="00C56BA6" w:rsidRPr="00B2743B">
        <w:rPr>
          <w:rFonts w:eastAsia="Calibri" w:cs="Arial"/>
          <w:sz w:val="24"/>
          <w:szCs w:val="24"/>
        </w:rPr>
        <w:t>compliance</w:t>
      </w:r>
    </w:p>
    <w:p w14:paraId="7AE60C7B" w14:textId="77777777" w:rsidR="0005562C" w:rsidRPr="00B34BF1" w:rsidRDefault="00E172DE" w:rsidP="00B35C39">
      <w:pPr>
        <w:pStyle w:val="Heading2"/>
        <w:rPr>
          <w:rFonts w:asciiTheme="minorHAnsi" w:hAnsiTheme="minorHAnsi"/>
          <w:color w:val="0070C0"/>
        </w:rPr>
      </w:pPr>
      <w:r w:rsidRPr="00B34BF1">
        <w:rPr>
          <w:rFonts w:asciiTheme="minorHAnsi" w:hAnsiTheme="minorHAnsi"/>
          <w:color w:val="0070C0"/>
        </w:rPr>
        <w:t>COMPLIANCE WITH REFUNDABLE DEPOSIT AGREEMENTS</w:t>
      </w:r>
    </w:p>
    <w:p w14:paraId="6679D094" w14:textId="4D172F6B" w:rsidR="0005562C" w:rsidRPr="001C19A5" w:rsidRDefault="0005562C" w:rsidP="0075798D">
      <w:pPr>
        <w:spacing w:after="120" w:line="240" w:lineRule="auto"/>
        <w:rPr>
          <w:iCs/>
          <w:sz w:val="24"/>
          <w:szCs w:val="24"/>
        </w:rPr>
      </w:pPr>
      <w:r w:rsidRPr="001C19A5">
        <w:rPr>
          <w:iCs/>
          <w:sz w:val="24"/>
          <w:szCs w:val="24"/>
        </w:rPr>
        <w:t xml:space="preserve">All people moving into an aged care home must be offered a resident agreement with their provider. This agreement covers </w:t>
      </w:r>
      <w:r w:rsidR="002B7D68" w:rsidRPr="001C19A5">
        <w:rPr>
          <w:iCs/>
          <w:sz w:val="24"/>
          <w:szCs w:val="24"/>
        </w:rPr>
        <w:t xml:space="preserve">items </w:t>
      </w:r>
      <w:r w:rsidRPr="001C19A5">
        <w:rPr>
          <w:iCs/>
          <w:sz w:val="24"/>
          <w:szCs w:val="24"/>
        </w:rPr>
        <w:t xml:space="preserve">like services, fees, and rights and responsibilities. It is a legal agreement between the resident and the provider. Information to be </w:t>
      </w:r>
      <w:r w:rsidR="004E4545">
        <w:rPr>
          <w:iCs/>
          <w:sz w:val="24"/>
          <w:szCs w:val="24"/>
        </w:rPr>
        <w:t>provided</w:t>
      </w:r>
      <w:r w:rsidRPr="001C19A5">
        <w:rPr>
          <w:iCs/>
          <w:sz w:val="24"/>
          <w:szCs w:val="24"/>
        </w:rPr>
        <w:t xml:space="preserve"> before </w:t>
      </w:r>
      <w:r w:rsidR="004E4545">
        <w:rPr>
          <w:iCs/>
          <w:sz w:val="24"/>
          <w:szCs w:val="24"/>
        </w:rPr>
        <w:t xml:space="preserve">a </w:t>
      </w:r>
      <w:r w:rsidRPr="001C19A5">
        <w:rPr>
          <w:iCs/>
          <w:sz w:val="24"/>
          <w:szCs w:val="24"/>
        </w:rPr>
        <w:t xml:space="preserve">person enters </w:t>
      </w:r>
      <w:r w:rsidR="004321D1">
        <w:rPr>
          <w:iCs/>
          <w:sz w:val="24"/>
          <w:szCs w:val="24"/>
        </w:rPr>
        <w:t xml:space="preserve">a </w:t>
      </w:r>
      <w:r w:rsidRPr="001C19A5">
        <w:rPr>
          <w:iCs/>
          <w:sz w:val="24"/>
          <w:szCs w:val="24"/>
        </w:rPr>
        <w:t>residential care service or eligible flexible care service in writing</w:t>
      </w:r>
      <w:r w:rsidR="004E4545">
        <w:rPr>
          <w:iCs/>
          <w:sz w:val="24"/>
          <w:szCs w:val="24"/>
        </w:rPr>
        <w:t xml:space="preserve"> include</w:t>
      </w:r>
      <w:r w:rsidRPr="001C19A5">
        <w:rPr>
          <w:iCs/>
          <w:sz w:val="24"/>
          <w:szCs w:val="24"/>
        </w:rPr>
        <w:t>:</w:t>
      </w:r>
    </w:p>
    <w:p w14:paraId="6A43AE61" w14:textId="4C4C740D"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a statement that, if the person pays part or all of his or her accommodation payment or accommodation contribution by refundable deposit, the provider will, within 7 days of receiving a request from the person, give the person the information and documents referred to under the Disclosure Statement</w:t>
      </w:r>
    </w:p>
    <w:p w14:paraId="4185BFAA" w14:textId="6C81D81B"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information about the interest rate payable if there is a delay in the payment of daily accommodation payments or daily accommodation contributions</w:t>
      </w:r>
    </w:p>
    <w:p w14:paraId="4316C356" w14:textId="051407F4"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the method and timing by which any overpaid accommodation payments or accommodation contributions will be refunded to the person</w:t>
      </w:r>
    </w:p>
    <w:p w14:paraId="5B508744" w14:textId="3ACDD292"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information about refund arrangements for refundable accommodation deposits and refundable accommodation contributions</w:t>
      </w:r>
    </w:p>
    <w:p w14:paraId="3B62316B" w14:textId="14966231"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the prudential arrangements applying to refundable accommodation deposits and refundable accommodation contributions</w:t>
      </w:r>
    </w:p>
    <w:p w14:paraId="410E970F" w14:textId="77777777" w:rsidR="00A4475E" w:rsidRPr="001C19A5" w:rsidRDefault="00A4475E" w:rsidP="00A4475E">
      <w:pPr>
        <w:pStyle w:val="paragraph"/>
        <w:spacing w:before="0" w:after="0"/>
        <w:rPr>
          <w:rFonts w:asciiTheme="minorHAnsi" w:hAnsiTheme="minorHAnsi"/>
          <w:iCs/>
        </w:rPr>
      </w:pPr>
    </w:p>
    <w:p w14:paraId="62A77D72" w14:textId="1132E6A3" w:rsidR="00622F57" w:rsidRDefault="0005562C" w:rsidP="00C65486">
      <w:pPr>
        <w:pStyle w:val="NormalWeb"/>
        <w:spacing w:after="0" w:line="240" w:lineRule="auto"/>
        <w:rPr>
          <w:rFonts w:asciiTheme="minorHAnsi" w:hAnsiTheme="minorHAnsi"/>
          <w:iCs/>
        </w:rPr>
      </w:pPr>
      <w:r w:rsidRPr="001C19A5">
        <w:rPr>
          <w:rFonts w:asciiTheme="minorHAnsi" w:hAnsiTheme="minorHAnsi"/>
          <w:iCs/>
        </w:rPr>
        <w:t xml:space="preserve">Other matters that must be set out in an accommodation agreement </w:t>
      </w:r>
      <w:r w:rsidR="00622F57">
        <w:rPr>
          <w:rFonts w:asciiTheme="minorHAnsi" w:hAnsiTheme="minorHAnsi"/>
          <w:iCs/>
        </w:rPr>
        <w:t>can be</w:t>
      </w:r>
      <w:r w:rsidR="008861DC">
        <w:rPr>
          <w:rFonts w:asciiTheme="minorHAnsi" w:hAnsiTheme="minorHAnsi"/>
          <w:iCs/>
        </w:rPr>
        <w:t xml:space="preserve"> found</w:t>
      </w:r>
      <w:r w:rsidR="00622F57">
        <w:rPr>
          <w:rFonts w:asciiTheme="minorHAnsi" w:hAnsiTheme="minorHAnsi"/>
          <w:iCs/>
        </w:rPr>
        <w:t xml:space="preserve"> </w:t>
      </w:r>
      <w:r w:rsidR="00D319F6">
        <w:rPr>
          <w:rFonts w:asciiTheme="minorHAnsi" w:hAnsiTheme="minorHAnsi" w:cstheme="minorHAnsi"/>
          <w:iCs/>
        </w:rPr>
        <w:t xml:space="preserve">in Part </w:t>
      </w:r>
      <w:r w:rsidR="00085A5A">
        <w:rPr>
          <w:rFonts w:asciiTheme="minorHAnsi" w:hAnsiTheme="minorHAnsi" w:cstheme="minorHAnsi"/>
          <w:iCs/>
        </w:rPr>
        <w:t>4 of the Fees and Payments Principles.</w:t>
      </w:r>
      <w:r w:rsidR="00D319F6" w:rsidRPr="00790E2E">
        <w:rPr>
          <w:rFonts w:asciiTheme="minorHAnsi" w:hAnsiTheme="minorHAnsi" w:cstheme="minorHAnsi"/>
          <w:iCs/>
        </w:rPr>
        <w:t xml:space="preserve"> </w:t>
      </w:r>
    </w:p>
    <w:p w14:paraId="3061CABF" w14:textId="2F7A3BA4" w:rsidR="0005562C" w:rsidRPr="001C19A5" w:rsidRDefault="002B7D68" w:rsidP="004E4545">
      <w:pPr>
        <w:pStyle w:val="NormalWeb"/>
        <w:spacing w:after="0" w:line="240" w:lineRule="auto"/>
        <w:rPr>
          <w:rFonts w:asciiTheme="minorHAnsi" w:hAnsiTheme="minorHAnsi"/>
          <w:iCs/>
          <w:sz w:val="18"/>
          <w:szCs w:val="18"/>
        </w:rPr>
      </w:pPr>
      <w:r w:rsidRPr="001C19A5">
        <w:rPr>
          <w:rFonts w:asciiTheme="minorHAnsi" w:hAnsiTheme="minorHAnsi"/>
          <w:b/>
          <w:color w:val="111111"/>
          <w:sz w:val="18"/>
          <w:szCs w:val="18"/>
          <w:lang w:val="en"/>
        </w:rPr>
        <w:t>R</w:t>
      </w:r>
      <w:r w:rsidR="0005562C" w:rsidRPr="001C19A5">
        <w:rPr>
          <w:rFonts w:asciiTheme="minorHAnsi" w:hAnsiTheme="minorHAnsi"/>
          <w:b/>
          <w:color w:val="111111"/>
          <w:sz w:val="18"/>
          <w:szCs w:val="18"/>
          <w:lang w:val="en"/>
        </w:rPr>
        <w:t>eference:</w:t>
      </w:r>
      <w:r w:rsidR="0005562C" w:rsidRPr="001C19A5">
        <w:rPr>
          <w:rFonts w:asciiTheme="minorHAnsi" w:hAnsiTheme="minorHAnsi"/>
          <w:color w:val="111111"/>
          <w:sz w:val="18"/>
          <w:szCs w:val="18"/>
          <w:lang w:val="en"/>
        </w:rPr>
        <w:t xml:space="preserve"> The Act </w:t>
      </w:r>
      <w:hyperlink r:id="rId38" w:anchor="_Toc406164538" w:history="1">
        <w:r w:rsidR="0005562C" w:rsidRPr="001C19A5">
          <w:rPr>
            <w:rFonts w:asciiTheme="minorHAnsi" w:hAnsiTheme="minorHAnsi"/>
            <w:color w:val="111111"/>
            <w:sz w:val="18"/>
            <w:szCs w:val="18"/>
            <w:lang w:val="en"/>
          </w:rPr>
          <w:t>Division 52F</w:t>
        </w:r>
      </w:hyperlink>
      <w:r w:rsidR="00635A27">
        <w:rPr>
          <w:rFonts w:asciiTheme="minorHAnsi" w:hAnsiTheme="minorHAnsi"/>
          <w:color w:val="111111"/>
          <w:sz w:val="18"/>
          <w:szCs w:val="18"/>
          <w:lang w:val="en"/>
        </w:rPr>
        <w:t xml:space="preserve"> and</w:t>
      </w:r>
      <w:r w:rsidR="0005562C" w:rsidRPr="001C19A5">
        <w:rPr>
          <w:rFonts w:asciiTheme="minorHAnsi" w:hAnsiTheme="minorHAnsi"/>
          <w:color w:val="111111"/>
          <w:sz w:val="18"/>
          <w:szCs w:val="18"/>
          <w:lang w:val="en"/>
        </w:rPr>
        <w:t xml:space="preserve"> Fees and Payments Principles section 17</w:t>
      </w:r>
    </w:p>
    <w:p w14:paraId="0FC3A78E" w14:textId="77777777" w:rsidR="004E4545" w:rsidRDefault="004E4545" w:rsidP="004E4545">
      <w:pPr>
        <w:spacing w:after="0" w:line="240" w:lineRule="auto"/>
        <w:rPr>
          <w:iCs/>
          <w:sz w:val="24"/>
          <w:szCs w:val="24"/>
        </w:rPr>
      </w:pPr>
    </w:p>
    <w:p w14:paraId="32ABC772" w14:textId="1C1293FA" w:rsidR="0005562C" w:rsidRPr="001C19A5" w:rsidRDefault="0005562C" w:rsidP="0005562C">
      <w:pPr>
        <w:rPr>
          <w:iCs/>
          <w:sz w:val="24"/>
          <w:szCs w:val="24"/>
        </w:rPr>
      </w:pPr>
      <w:r w:rsidRPr="001C19A5">
        <w:rPr>
          <w:iCs/>
          <w:sz w:val="24"/>
          <w:szCs w:val="24"/>
        </w:rPr>
        <w:t xml:space="preserve">The resident must have 28 days from the day of entry to </w:t>
      </w:r>
      <w:r w:rsidR="002824B2" w:rsidRPr="001C19A5">
        <w:rPr>
          <w:iCs/>
          <w:sz w:val="24"/>
          <w:szCs w:val="24"/>
        </w:rPr>
        <w:t xml:space="preserve">indicate </w:t>
      </w:r>
      <w:r w:rsidRPr="001C19A5">
        <w:rPr>
          <w:iCs/>
          <w:sz w:val="24"/>
          <w:szCs w:val="24"/>
        </w:rPr>
        <w:t>their preferred payment method.</w:t>
      </w:r>
    </w:p>
    <w:p w14:paraId="030F33E3" w14:textId="660F4D1B" w:rsidR="0005562C" w:rsidRPr="00B35C39" w:rsidRDefault="0005562C" w:rsidP="00B35C39">
      <w:pPr>
        <w:pStyle w:val="Heading2"/>
        <w:rPr>
          <w:b w:val="0"/>
          <w:bCs w:val="0"/>
          <w:color w:val="0070C0"/>
        </w:rPr>
      </w:pPr>
      <w:r w:rsidRPr="00B35C39">
        <w:rPr>
          <w:rFonts w:asciiTheme="minorHAnsi" w:hAnsiTheme="minorHAnsi"/>
          <w:color w:val="0070C0"/>
        </w:rPr>
        <w:t>Things you need to know</w:t>
      </w:r>
    </w:p>
    <w:p w14:paraId="79464C46" w14:textId="2E62C431" w:rsidR="0005562C" w:rsidRPr="00B35C39" w:rsidRDefault="00D01FF3"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p</w:t>
      </w:r>
      <w:r w:rsidR="0005562C" w:rsidRPr="00B35C39">
        <w:rPr>
          <w:rFonts w:eastAsia="Calibri" w:cs="Arial"/>
          <w:sz w:val="24"/>
          <w:szCs w:val="24"/>
        </w:rPr>
        <w:t>roviders must be able to demonstrate compliance with accommodation agreements requirements to their auditor</w:t>
      </w:r>
    </w:p>
    <w:p w14:paraId="18E91E35" w14:textId="0B1415C5" w:rsidR="0005562C" w:rsidRPr="00B35C39" w:rsidRDefault="00D01FF3"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p</w:t>
      </w:r>
      <w:r w:rsidR="004E4545" w:rsidRPr="00B35C39">
        <w:rPr>
          <w:rFonts w:eastAsia="Calibri" w:cs="Arial"/>
          <w:sz w:val="24"/>
          <w:szCs w:val="24"/>
        </w:rPr>
        <w:t>rovider</w:t>
      </w:r>
      <w:r w:rsidR="00D3389F" w:rsidRPr="00B35C39">
        <w:rPr>
          <w:rFonts w:eastAsia="Calibri" w:cs="Arial"/>
          <w:sz w:val="24"/>
          <w:szCs w:val="24"/>
        </w:rPr>
        <w:t>s</w:t>
      </w:r>
      <w:r w:rsidR="0005562C" w:rsidRPr="00B35C39">
        <w:rPr>
          <w:rFonts w:eastAsia="Calibri" w:cs="Arial"/>
          <w:sz w:val="24"/>
          <w:szCs w:val="24"/>
        </w:rPr>
        <w:t xml:space="preserve"> could </w:t>
      </w:r>
      <w:r w:rsidR="004E4545" w:rsidRPr="00B35C39">
        <w:rPr>
          <w:rFonts w:eastAsia="Calibri" w:cs="Arial"/>
          <w:sz w:val="24"/>
          <w:szCs w:val="24"/>
        </w:rPr>
        <w:t xml:space="preserve">be requested to </w:t>
      </w:r>
      <w:r w:rsidR="0005562C" w:rsidRPr="00B35C39">
        <w:rPr>
          <w:rFonts w:eastAsia="Calibri" w:cs="Arial"/>
          <w:sz w:val="24"/>
          <w:szCs w:val="24"/>
        </w:rPr>
        <w:t xml:space="preserve">provide records </w:t>
      </w:r>
      <w:r w:rsidR="000A657B" w:rsidRPr="00B35C39">
        <w:rPr>
          <w:rFonts w:eastAsia="Calibri" w:cs="Arial"/>
          <w:sz w:val="24"/>
          <w:szCs w:val="24"/>
        </w:rPr>
        <w:t xml:space="preserve">to the Commission </w:t>
      </w:r>
      <w:r w:rsidR="0005562C" w:rsidRPr="00B35C39">
        <w:rPr>
          <w:rFonts w:eastAsia="Calibri" w:cs="Arial"/>
          <w:sz w:val="24"/>
          <w:szCs w:val="24"/>
        </w:rPr>
        <w:t xml:space="preserve">for monitoring and compliance purposes at </w:t>
      </w:r>
      <w:r w:rsidR="006621D7" w:rsidRPr="00B35C39">
        <w:rPr>
          <w:rFonts w:eastAsia="Calibri" w:cs="Arial"/>
          <w:sz w:val="24"/>
          <w:szCs w:val="24"/>
        </w:rPr>
        <w:t>any time</w:t>
      </w:r>
    </w:p>
    <w:p w14:paraId="42389CB6"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Your response in the APCS</w:t>
      </w:r>
    </w:p>
    <w:p w14:paraId="10E0DA92" w14:textId="4A368417" w:rsidR="0005562C" w:rsidRDefault="005D2FC7" w:rsidP="004321D1">
      <w:pPr>
        <w:pStyle w:val="Tabletext"/>
        <w:spacing w:before="0" w:after="0"/>
        <w:rPr>
          <w:rFonts w:asciiTheme="minorHAnsi" w:hAnsiTheme="minorHAnsi" w:cs="Times New Roman"/>
          <w:sz w:val="24"/>
          <w:szCs w:val="24"/>
        </w:rPr>
      </w:pPr>
      <w:r w:rsidRPr="001C19A5">
        <w:rPr>
          <w:rFonts w:asciiTheme="minorHAnsi" w:hAnsiTheme="minorHAnsi" w:cs="Times New Roman"/>
          <w:sz w:val="24"/>
          <w:szCs w:val="24"/>
        </w:rPr>
        <w:t xml:space="preserve">After reading section 17 of the </w:t>
      </w:r>
      <w:r w:rsidR="00C87A31">
        <w:rPr>
          <w:rFonts w:asciiTheme="minorHAnsi" w:hAnsiTheme="minorHAnsi" w:cs="Times New Roman"/>
          <w:sz w:val="24"/>
          <w:szCs w:val="24"/>
        </w:rPr>
        <w:t xml:space="preserve">Fees and Payments </w:t>
      </w:r>
      <w:r w:rsidRPr="001C19A5">
        <w:rPr>
          <w:rFonts w:asciiTheme="minorHAnsi" w:hAnsiTheme="minorHAnsi" w:cs="Times New Roman"/>
          <w:sz w:val="24"/>
          <w:szCs w:val="24"/>
        </w:rPr>
        <w:t xml:space="preserve">Principles, consider if </w:t>
      </w:r>
      <w:r w:rsidR="00D3389F">
        <w:rPr>
          <w:rFonts w:asciiTheme="minorHAnsi" w:hAnsiTheme="minorHAnsi" w:cs="Times New Roman"/>
          <w:sz w:val="24"/>
          <w:szCs w:val="24"/>
        </w:rPr>
        <w:t xml:space="preserve">you </w:t>
      </w:r>
      <w:r w:rsidRPr="001C19A5">
        <w:rPr>
          <w:rFonts w:asciiTheme="minorHAnsi" w:hAnsiTheme="minorHAnsi" w:cs="Times New Roman"/>
          <w:sz w:val="24"/>
          <w:szCs w:val="24"/>
        </w:rPr>
        <w:t xml:space="preserve">met the requirements. </w:t>
      </w:r>
      <w:r w:rsidR="0005562C" w:rsidRPr="001C19A5">
        <w:rPr>
          <w:rFonts w:asciiTheme="minorHAnsi" w:hAnsiTheme="minorHAnsi" w:cs="Times New Roman"/>
          <w:sz w:val="24"/>
          <w:szCs w:val="24"/>
        </w:rPr>
        <w:t>Respond Yes or No</w:t>
      </w:r>
      <w:r w:rsidR="006D6BC0" w:rsidRPr="001C19A5">
        <w:rPr>
          <w:rFonts w:asciiTheme="minorHAnsi" w:hAnsiTheme="minorHAnsi" w:cs="Times New Roman"/>
          <w:sz w:val="24"/>
          <w:szCs w:val="24"/>
        </w:rPr>
        <w:t>.</w:t>
      </w:r>
    </w:p>
    <w:p w14:paraId="771AB872" w14:textId="77777777" w:rsidR="004321D1" w:rsidRDefault="004321D1" w:rsidP="004321D1">
      <w:pPr>
        <w:pStyle w:val="Tabletext"/>
        <w:spacing w:before="0" w:after="0"/>
        <w:rPr>
          <w:rFonts w:asciiTheme="minorHAnsi" w:hAnsiTheme="minorHAnsi" w:cs="Times New Roman"/>
          <w:sz w:val="24"/>
          <w:szCs w:val="24"/>
        </w:rPr>
      </w:pPr>
    </w:p>
    <w:p w14:paraId="1B883868" w14:textId="11E5044D" w:rsidR="004321D1" w:rsidRDefault="006E715C" w:rsidP="004321D1">
      <w:pPr>
        <w:pStyle w:val="Tabletext"/>
        <w:spacing w:before="0" w:after="0"/>
        <w:rPr>
          <w:rFonts w:asciiTheme="minorHAnsi" w:hAnsiTheme="minorHAnsi" w:cs="Times New Roman"/>
          <w:sz w:val="24"/>
          <w:szCs w:val="24"/>
        </w:rPr>
      </w:pPr>
      <w:r>
        <w:rPr>
          <w:rFonts w:asciiTheme="minorHAnsi" w:hAnsiTheme="minorHAnsi" w:cs="Times New Roman"/>
          <w:sz w:val="24"/>
          <w:szCs w:val="24"/>
        </w:rPr>
        <w:t>For each a</w:t>
      </w:r>
      <w:r w:rsidR="00C65486" w:rsidRPr="001B67C4">
        <w:rPr>
          <w:rFonts w:asciiTheme="minorHAnsi" w:hAnsiTheme="minorHAnsi" w:cs="Times New Roman"/>
          <w:sz w:val="24"/>
          <w:szCs w:val="24"/>
        </w:rPr>
        <w:t>greement entered into</w:t>
      </w:r>
      <w:r>
        <w:rPr>
          <w:rFonts w:asciiTheme="minorHAnsi" w:hAnsiTheme="minorHAnsi" w:cs="Times New Roman"/>
          <w:sz w:val="24"/>
          <w:szCs w:val="24"/>
        </w:rPr>
        <w:t>,</w:t>
      </w:r>
      <w:r w:rsidR="00C65486" w:rsidRPr="001B67C4">
        <w:rPr>
          <w:rFonts w:asciiTheme="minorHAnsi" w:hAnsiTheme="minorHAnsi" w:cs="Times New Roman"/>
          <w:sz w:val="24"/>
          <w:szCs w:val="24"/>
        </w:rPr>
        <w:t xml:space="preserve"> did you agree on the maximum amount that would be payable with the resident before entry in writing</w:t>
      </w:r>
      <w:r w:rsidR="004321D1">
        <w:rPr>
          <w:rFonts w:asciiTheme="minorHAnsi" w:hAnsiTheme="minorHAnsi" w:cs="Times New Roman"/>
          <w:sz w:val="24"/>
          <w:szCs w:val="24"/>
        </w:rPr>
        <w:t>?</w:t>
      </w:r>
      <w:r w:rsidR="00C65486" w:rsidRPr="001B67C4">
        <w:rPr>
          <w:rFonts w:asciiTheme="minorHAnsi" w:hAnsiTheme="minorHAnsi" w:cs="Times New Roman"/>
          <w:sz w:val="24"/>
          <w:szCs w:val="24"/>
        </w:rPr>
        <w:t xml:space="preserve"> Respond Yes or No.</w:t>
      </w:r>
    </w:p>
    <w:p w14:paraId="119F2330" w14:textId="77777777" w:rsidR="00E55452" w:rsidRDefault="00E55452" w:rsidP="004321D1">
      <w:pPr>
        <w:pStyle w:val="Tabletext"/>
        <w:spacing w:before="0" w:after="0"/>
        <w:rPr>
          <w:rFonts w:asciiTheme="minorHAnsi" w:hAnsiTheme="minorHAnsi" w:cs="Times New Roman"/>
          <w:sz w:val="24"/>
          <w:szCs w:val="24"/>
        </w:rPr>
      </w:pPr>
    </w:p>
    <w:p w14:paraId="63F8B6EC" w14:textId="12544F6D" w:rsidR="00931AA5" w:rsidRDefault="00C65486" w:rsidP="002B7CED">
      <w:pPr>
        <w:pStyle w:val="Tabletext"/>
        <w:spacing w:before="0" w:after="0"/>
        <w:rPr>
          <w:rFonts w:asciiTheme="minorHAnsi" w:hAnsiTheme="minorHAnsi" w:cs="Times New Roman"/>
          <w:sz w:val="24"/>
          <w:szCs w:val="24"/>
        </w:rPr>
      </w:pPr>
      <w:r w:rsidRPr="000B17AD">
        <w:rPr>
          <w:rFonts w:asciiTheme="minorHAnsi" w:hAnsiTheme="minorHAnsi" w:cs="Times New Roman"/>
          <w:sz w:val="24"/>
          <w:szCs w:val="24"/>
        </w:rPr>
        <w:t>Were all agreements entered into before or within 28 days from date of resident entry?  Respond Yes or No.</w:t>
      </w:r>
    </w:p>
    <w:p w14:paraId="578E71AC" w14:textId="77777777" w:rsidR="00931AA5" w:rsidRPr="007807DD" w:rsidRDefault="00112A0C" w:rsidP="007807DD">
      <w:pPr>
        <w:pStyle w:val="Heading2"/>
        <w:spacing w:before="360" w:after="120"/>
        <w:rPr>
          <w:rFonts w:asciiTheme="minorHAnsi" w:hAnsiTheme="minorHAnsi"/>
          <w:color w:val="0070C0"/>
          <w:sz w:val="32"/>
          <w:szCs w:val="32"/>
        </w:rPr>
      </w:pPr>
      <w:r w:rsidRPr="007807DD">
        <w:rPr>
          <w:rFonts w:asciiTheme="minorHAnsi" w:hAnsiTheme="minorHAnsi"/>
          <w:color w:val="0070C0"/>
          <w:sz w:val="32"/>
          <w:szCs w:val="32"/>
        </w:rPr>
        <w:t>COMPLIANCE WITH THE PROVISION OF OTHER CARE AND SERVICES FEES</w:t>
      </w:r>
    </w:p>
    <w:p w14:paraId="0EABB50B" w14:textId="63F4F3EF" w:rsidR="00E579AB" w:rsidRPr="000B17AD" w:rsidRDefault="00A306AC" w:rsidP="00931AA5">
      <w:pPr>
        <w:pStyle w:val="Tabletext"/>
        <w:spacing w:before="0" w:after="0"/>
        <w:rPr>
          <w:rFonts w:asciiTheme="minorHAnsi" w:hAnsiTheme="minorHAnsi" w:cs="Times New Roman"/>
          <w:color w:val="111111"/>
          <w:sz w:val="24"/>
          <w:szCs w:val="24"/>
          <w:lang w:val="en"/>
        </w:rPr>
      </w:pPr>
      <w:r w:rsidRPr="000B17AD">
        <w:rPr>
          <w:rFonts w:asciiTheme="minorHAnsi" w:hAnsiTheme="minorHAnsi" w:cs="Times New Roman"/>
          <w:color w:val="111111"/>
          <w:sz w:val="24"/>
          <w:szCs w:val="24"/>
          <w:lang w:val="en"/>
        </w:rPr>
        <w:t>The Act</w:t>
      </w:r>
      <w:r w:rsidR="00E579AB" w:rsidRPr="000B17AD">
        <w:rPr>
          <w:rFonts w:asciiTheme="minorHAnsi" w:hAnsiTheme="minorHAnsi" w:cs="Times New Roman"/>
          <w:color w:val="111111"/>
          <w:sz w:val="24"/>
          <w:szCs w:val="24"/>
          <w:lang w:val="en"/>
        </w:rPr>
        <w:t xml:space="preserve"> and the Transitional Provisions Act provide a complete scheme of fees that aged care pro</w:t>
      </w:r>
      <w:r w:rsidR="00602402" w:rsidRPr="000B17AD">
        <w:rPr>
          <w:rFonts w:asciiTheme="minorHAnsi" w:hAnsiTheme="minorHAnsi" w:cs="Times New Roman"/>
          <w:color w:val="111111"/>
          <w:sz w:val="24"/>
          <w:szCs w:val="24"/>
          <w:lang w:val="en"/>
        </w:rPr>
        <w:t>viders can charge to residents</w:t>
      </w:r>
      <w:r w:rsidR="00962691" w:rsidRPr="000B17AD">
        <w:rPr>
          <w:rFonts w:asciiTheme="minorHAnsi" w:hAnsiTheme="minorHAnsi" w:cs="Times New Roman"/>
          <w:color w:val="111111"/>
          <w:sz w:val="24"/>
          <w:szCs w:val="24"/>
          <w:lang w:val="en"/>
        </w:rPr>
        <w:t xml:space="preserve">. </w:t>
      </w:r>
      <w:r w:rsidR="00683ED4" w:rsidRPr="000B17AD">
        <w:rPr>
          <w:rFonts w:asciiTheme="minorHAnsi" w:hAnsiTheme="minorHAnsi" w:cs="Times New Roman"/>
          <w:color w:val="111111"/>
          <w:sz w:val="24"/>
          <w:szCs w:val="24"/>
          <w:lang w:val="en"/>
        </w:rPr>
        <w:t>Relevant provisions are</w:t>
      </w:r>
      <w:r w:rsidR="00602402" w:rsidRPr="000B17AD">
        <w:rPr>
          <w:rFonts w:asciiTheme="minorHAnsi" w:hAnsiTheme="minorHAnsi" w:cs="Times New Roman"/>
          <w:color w:val="111111"/>
          <w:sz w:val="24"/>
          <w:szCs w:val="24"/>
          <w:lang w:val="en"/>
        </w:rPr>
        <w:t xml:space="preserve"> </w:t>
      </w:r>
      <w:r w:rsidR="00E579AB" w:rsidRPr="000B17AD">
        <w:rPr>
          <w:rFonts w:asciiTheme="minorHAnsi" w:hAnsiTheme="minorHAnsi" w:cs="Times New Roman"/>
          <w:color w:val="111111"/>
          <w:sz w:val="24"/>
          <w:szCs w:val="24"/>
          <w:lang w:val="en"/>
        </w:rPr>
        <w:t xml:space="preserve">found in Division 52C and Division 56 of the Act and Division </w:t>
      </w:r>
      <w:r w:rsidR="00171E76" w:rsidRPr="000B17AD">
        <w:rPr>
          <w:rFonts w:asciiTheme="minorHAnsi" w:hAnsiTheme="minorHAnsi" w:cs="Times New Roman"/>
          <w:color w:val="111111"/>
          <w:sz w:val="24"/>
          <w:szCs w:val="24"/>
          <w:lang w:val="en"/>
        </w:rPr>
        <w:t>5</w:t>
      </w:r>
      <w:r w:rsidR="00171E76">
        <w:rPr>
          <w:rFonts w:asciiTheme="minorHAnsi" w:hAnsiTheme="minorHAnsi" w:cs="Times New Roman"/>
          <w:color w:val="111111"/>
          <w:sz w:val="24"/>
          <w:szCs w:val="24"/>
          <w:lang w:val="en"/>
        </w:rPr>
        <w:t>7</w:t>
      </w:r>
      <w:r w:rsidR="00171E76" w:rsidRPr="000B17AD">
        <w:rPr>
          <w:rFonts w:asciiTheme="minorHAnsi" w:hAnsiTheme="minorHAnsi" w:cs="Times New Roman"/>
          <w:color w:val="111111"/>
          <w:sz w:val="24"/>
          <w:szCs w:val="24"/>
          <w:lang w:val="en"/>
        </w:rPr>
        <w:t xml:space="preserve"> </w:t>
      </w:r>
      <w:r w:rsidR="00E579AB" w:rsidRPr="000B17AD">
        <w:rPr>
          <w:rFonts w:asciiTheme="minorHAnsi" w:hAnsiTheme="minorHAnsi" w:cs="Times New Roman"/>
          <w:color w:val="111111"/>
          <w:sz w:val="24"/>
          <w:szCs w:val="24"/>
          <w:lang w:val="en"/>
        </w:rPr>
        <w:t xml:space="preserve">and Division </w:t>
      </w:r>
      <w:r w:rsidR="00171E76" w:rsidRPr="000B17AD">
        <w:rPr>
          <w:rFonts w:asciiTheme="minorHAnsi" w:hAnsiTheme="minorHAnsi" w:cs="Times New Roman"/>
          <w:color w:val="111111"/>
          <w:sz w:val="24"/>
          <w:szCs w:val="24"/>
          <w:lang w:val="en"/>
        </w:rPr>
        <w:t>5</w:t>
      </w:r>
      <w:r w:rsidR="00171E76">
        <w:rPr>
          <w:rFonts w:asciiTheme="minorHAnsi" w:hAnsiTheme="minorHAnsi" w:cs="Times New Roman"/>
          <w:color w:val="111111"/>
          <w:sz w:val="24"/>
          <w:szCs w:val="24"/>
          <w:lang w:val="en"/>
        </w:rPr>
        <w:t>8</w:t>
      </w:r>
      <w:r w:rsidR="00171E76" w:rsidRPr="000B17AD">
        <w:rPr>
          <w:rFonts w:asciiTheme="minorHAnsi" w:hAnsiTheme="minorHAnsi" w:cs="Times New Roman"/>
          <w:color w:val="111111"/>
          <w:sz w:val="24"/>
          <w:szCs w:val="24"/>
          <w:lang w:val="en"/>
        </w:rPr>
        <w:t xml:space="preserve"> </w:t>
      </w:r>
      <w:r w:rsidR="00E579AB" w:rsidRPr="000B17AD">
        <w:rPr>
          <w:rFonts w:asciiTheme="minorHAnsi" w:hAnsiTheme="minorHAnsi" w:cs="Times New Roman"/>
          <w:color w:val="111111"/>
          <w:sz w:val="24"/>
          <w:szCs w:val="24"/>
          <w:lang w:val="en"/>
        </w:rPr>
        <w:t>of the Transitional Provisions Act.</w:t>
      </w:r>
    </w:p>
    <w:p w14:paraId="6C4D2D80" w14:textId="3619F523" w:rsidR="00683ED4" w:rsidRPr="000B17AD" w:rsidRDefault="00683ED4" w:rsidP="00E25150">
      <w:pPr>
        <w:spacing w:before="120" w:after="120" w:line="240" w:lineRule="auto"/>
        <w:rPr>
          <w:rFonts w:eastAsia="Times New Roman" w:cs="Times New Roman"/>
          <w:color w:val="111111"/>
          <w:sz w:val="24"/>
          <w:szCs w:val="24"/>
          <w:lang w:val="en" w:eastAsia="en-AU"/>
        </w:rPr>
      </w:pPr>
      <w:r w:rsidRPr="000B17AD">
        <w:rPr>
          <w:rFonts w:eastAsia="Times New Roman" w:cs="Times New Roman"/>
          <w:color w:val="111111"/>
          <w:sz w:val="24"/>
          <w:szCs w:val="24"/>
          <w:lang w:val="en" w:eastAsia="en-AU"/>
        </w:rPr>
        <w:lastRenderedPageBreak/>
        <w:t>It is a provider’s responsibility to ensure that any fees they charge to residents are consistent with aged care legislation.</w:t>
      </w:r>
    </w:p>
    <w:p w14:paraId="67D784C7" w14:textId="77777777" w:rsidR="00251D48" w:rsidRPr="00B35C39" w:rsidRDefault="00551EA4" w:rsidP="00B35C39">
      <w:pPr>
        <w:pStyle w:val="Heading2"/>
        <w:rPr>
          <w:b w:val="0"/>
          <w:bCs w:val="0"/>
          <w:color w:val="0070C0"/>
        </w:rPr>
      </w:pPr>
      <w:r w:rsidRPr="00B35C39">
        <w:rPr>
          <w:rFonts w:asciiTheme="minorHAnsi" w:hAnsiTheme="minorHAnsi"/>
          <w:color w:val="0070C0"/>
        </w:rPr>
        <w:t>What types of services cannot attract additional fees?</w:t>
      </w:r>
    </w:p>
    <w:p w14:paraId="520DBB1B" w14:textId="113BF0B9" w:rsidR="00551EA4" w:rsidRPr="000B17AD" w:rsidRDefault="00551EA4" w:rsidP="17F94A6F">
      <w:pPr>
        <w:spacing w:after="120" w:line="240" w:lineRule="auto"/>
        <w:outlineLvl w:val="1"/>
        <w:rPr>
          <w:rFonts w:eastAsia="Times New Roman" w:cs="Times New Roman"/>
          <w:color w:val="111111"/>
          <w:sz w:val="24"/>
          <w:szCs w:val="24"/>
          <w:lang w:val="en-US" w:eastAsia="en-AU"/>
        </w:rPr>
      </w:pPr>
      <w:r w:rsidRPr="17F94A6F">
        <w:rPr>
          <w:rFonts w:eastAsia="Times New Roman" w:cs="Times New Roman"/>
          <w:color w:val="111111"/>
          <w:sz w:val="24"/>
          <w:szCs w:val="24"/>
          <w:lang w:val="en-US" w:eastAsia="en-AU"/>
        </w:rPr>
        <w:t>Additional fees cannot be charged where they do not provide a direct benefit to the individual or the resident cannot take up or make use of the services, or where the activities or services subject to the fee are part of the normal operation of an aged care home and fall within the scope of specified care and services</w:t>
      </w:r>
      <w:r w:rsidR="00EE6362" w:rsidRPr="17F94A6F">
        <w:rPr>
          <w:rFonts w:eastAsia="Times New Roman" w:cs="Times New Roman"/>
          <w:color w:val="111111"/>
          <w:sz w:val="24"/>
          <w:szCs w:val="24"/>
          <w:lang w:val="en-US" w:eastAsia="en-AU"/>
        </w:rPr>
        <w:t>.</w:t>
      </w:r>
    </w:p>
    <w:p w14:paraId="73CFDB77" w14:textId="77777777" w:rsidR="00551EA4" w:rsidRPr="00B35C39" w:rsidRDefault="00551EA4" w:rsidP="00B35C39">
      <w:pPr>
        <w:pStyle w:val="Heading2"/>
        <w:rPr>
          <w:b w:val="0"/>
          <w:bCs w:val="0"/>
          <w:color w:val="0070C0"/>
        </w:rPr>
      </w:pPr>
      <w:r w:rsidRPr="00B35C39">
        <w:rPr>
          <w:rFonts w:asciiTheme="minorHAnsi" w:hAnsiTheme="minorHAnsi"/>
          <w:color w:val="0070C0"/>
        </w:rPr>
        <w:t>Providers cannot charge additional fees for:</w:t>
      </w:r>
    </w:p>
    <w:p w14:paraId="08234A36" w14:textId="766E3642" w:rsidR="00551EA4" w:rsidRPr="000B17AD" w:rsidRDefault="00551EA4" w:rsidP="001A3223">
      <w:pPr>
        <w:pStyle w:val="ListParagraph"/>
        <w:numPr>
          <w:ilvl w:val="0"/>
          <w:numId w:val="18"/>
        </w:numPr>
        <w:spacing w:before="0" w:after="0" w:line="0" w:lineRule="atLeast"/>
        <w:ind w:left="851" w:hanging="425"/>
        <w:rPr>
          <w:rFonts w:asciiTheme="minorHAnsi" w:eastAsia="Times New Roman" w:hAnsiTheme="minorHAnsi"/>
          <w:color w:val="111111"/>
          <w:sz w:val="24"/>
          <w:szCs w:val="24"/>
          <w:lang w:val="en-US" w:eastAsia="en-AU"/>
        </w:rPr>
      </w:pPr>
      <w:r w:rsidRPr="17F94A6F">
        <w:rPr>
          <w:rFonts w:asciiTheme="minorHAnsi" w:eastAsia="Times New Roman" w:hAnsiTheme="minorHAnsi"/>
          <w:color w:val="111111"/>
          <w:sz w:val="24"/>
          <w:szCs w:val="24"/>
          <w:lang w:val="en-US" w:eastAsia="en-AU"/>
        </w:rPr>
        <w:t>items listed in Schedule 1</w:t>
      </w:r>
      <w:r w:rsidR="009D6C09" w:rsidRPr="17F94A6F">
        <w:rPr>
          <w:rFonts w:asciiTheme="minorHAnsi" w:eastAsia="Times New Roman" w:hAnsiTheme="minorHAnsi"/>
          <w:color w:val="111111"/>
          <w:sz w:val="24"/>
          <w:szCs w:val="24"/>
          <w:lang w:val="en-US" w:eastAsia="en-AU"/>
        </w:rPr>
        <w:t>, Specified Care and services</w:t>
      </w:r>
      <w:r w:rsidRPr="17F94A6F">
        <w:rPr>
          <w:rFonts w:asciiTheme="minorHAnsi" w:eastAsia="Times New Roman" w:hAnsiTheme="minorHAnsi"/>
          <w:color w:val="111111"/>
          <w:sz w:val="24"/>
          <w:szCs w:val="24"/>
          <w:lang w:val="en-US" w:eastAsia="en-AU"/>
        </w:rPr>
        <w:t xml:space="preserve"> of the </w:t>
      </w:r>
      <w:r w:rsidR="00333991" w:rsidRPr="17F94A6F">
        <w:rPr>
          <w:rFonts w:asciiTheme="minorHAnsi" w:eastAsia="Times New Roman" w:hAnsiTheme="minorHAnsi"/>
          <w:i/>
          <w:iCs/>
          <w:color w:val="111111"/>
          <w:sz w:val="24"/>
          <w:szCs w:val="24"/>
          <w:lang w:val="en-US" w:eastAsia="en-AU"/>
        </w:rPr>
        <w:t xml:space="preserve">Quality of Care </w:t>
      </w:r>
      <w:r w:rsidRPr="17F94A6F">
        <w:rPr>
          <w:rFonts w:asciiTheme="minorHAnsi" w:eastAsia="Times New Roman" w:hAnsiTheme="minorHAnsi"/>
          <w:i/>
          <w:iCs/>
          <w:color w:val="111111"/>
          <w:sz w:val="24"/>
          <w:szCs w:val="24"/>
          <w:lang w:val="en-US" w:eastAsia="en-AU"/>
        </w:rPr>
        <w:t>Principles</w:t>
      </w:r>
      <w:r w:rsidR="00333991" w:rsidRPr="17F94A6F">
        <w:rPr>
          <w:rFonts w:asciiTheme="minorHAnsi" w:eastAsia="Times New Roman" w:hAnsiTheme="minorHAnsi"/>
          <w:i/>
          <w:iCs/>
          <w:color w:val="111111"/>
          <w:sz w:val="24"/>
          <w:szCs w:val="24"/>
          <w:lang w:val="en-US" w:eastAsia="en-AU"/>
        </w:rPr>
        <w:t xml:space="preserve"> </w:t>
      </w:r>
      <w:r w:rsidR="00E55452" w:rsidRPr="17F94A6F">
        <w:rPr>
          <w:rFonts w:asciiTheme="minorHAnsi" w:eastAsia="Times New Roman" w:hAnsiTheme="minorHAnsi"/>
          <w:i/>
          <w:iCs/>
          <w:color w:val="111111"/>
          <w:sz w:val="24"/>
          <w:szCs w:val="24"/>
          <w:lang w:val="en-US" w:eastAsia="en-AU"/>
        </w:rPr>
        <w:t>2014</w:t>
      </w:r>
      <w:r w:rsidR="00E55452" w:rsidRPr="17F94A6F">
        <w:rPr>
          <w:rFonts w:asciiTheme="minorHAnsi" w:eastAsia="Times New Roman" w:hAnsiTheme="minorHAnsi"/>
          <w:color w:val="111111"/>
          <w:sz w:val="24"/>
          <w:szCs w:val="24"/>
          <w:lang w:val="en-US" w:eastAsia="en-AU"/>
        </w:rPr>
        <w:t xml:space="preserve"> (</w:t>
      </w:r>
      <w:r w:rsidRPr="17F94A6F">
        <w:rPr>
          <w:rFonts w:asciiTheme="minorHAnsi" w:eastAsia="Times New Roman" w:hAnsiTheme="minorHAnsi"/>
          <w:color w:val="111111"/>
          <w:sz w:val="24"/>
          <w:szCs w:val="24"/>
          <w:lang w:val="en-US" w:eastAsia="en-AU"/>
        </w:rPr>
        <w:t>some exceptions apply for items in Part 3)</w:t>
      </w:r>
    </w:p>
    <w:p w14:paraId="4CE2B556" w14:textId="5538930D" w:rsidR="00551EA4" w:rsidRPr="000B17AD" w:rsidRDefault="00551EA4" w:rsidP="001A3223">
      <w:pPr>
        <w:pStyle w:val="ListParagraph"/>
        <w:numPr>
          <w:ilvl w:val="0"/>
          <w:numId w:val="18"/>
        </w:numPr>
        <w:spacing w:before="0" w:after="0" w:line="0" w:lineRule="atLeast"/>
        <w:ind w:left="851" w:hanging="425"/>
        <w:rPr>
          <w:rFonts w:asciiTheme="minorHAnsi" w:eastAsia="Times New Roman" w:hAnsiTheme="minorHAnsi"/>
          <w:color w:val="111111"/>
          <w:sz w:val="24"/>
          <w:szCs w:val="24"/>
          <w:lang w:val="en" w:eastAsia="en-AU"/>
        </w:rPr>
      </w:pPr>
      <w:r w:rsidRPr="4E34EEE7">
        <w:rPr>
          <w:rFonts w:asciiTheme="minorHAnsi" w:eastAsia="Times New Roman" w:hAnsiTheme="minorHAnsi"/>
          <w:color w:val="111111"/>
          <w:sz w:val="24"/>
          <w:szCs w:val="24"/>
          <w:lang w:val="en" w:eastAsia="en-AU"/>
        </w:rPr>
        <w:t>other services or activities that would form part of the general operation of the aged care home</w:t>
      </w:r>
    </w:p>
    <w:p w14:paraId="3053752B" w14:textId="385A7253" w:rsidR="00251D48" w:rsidRPr="000B17AD" w:rsidRDefault="00551EA4" w:rsidP="001A3223">
      <w:pPr>
        <w:pStyle w:val="ListParagraph"/>
        <w:numPr>
          <w:ilvl w:val="0"/>
          <w:numId w:val="18"/>
        </w:numPr>
        <w:spacing w:before="0" w:after="120" w:line="0" w:lineRule="atLeast"/>
        <w:ind w:left="850" w:hanging="425"/>
        <w:rPr>
          <w:rFonts w:asciiTheme="minorHAnsi" w:eastAsia="Times New Roman" w:hAnsiTheme="minorHAnsi"/>
          <w:color w:val="111111"/>
          <w:sz w:val="24"/>
          <w:szCs w:val="24"/>
          <w:lang w:val="en-US" w:eastAsia="en-AU"/>
        </w:rPr>
      </w:pPr>
      <w:r w:rsidRPr="17F94A6F">
        <w:rPr>
          <w:rFonts w:asciiTheme="minorHAnsi" w:eastAsia="Times New Roman" w:hAnsiTheme="minorHAnsi"/>
          <w:color w:val="111111"/>
          <w:sz w:val="24"/>
          <w:szCs w:val="24"/>
          <w:lang w:val="en-US" w:eastAsia="en-AU"/>
        </w:rPr>
        <w:t>services that are required to be delivered as part of a provider’s responsibilities</w:t>
      </w:r>
    </w:p>
    <w:p w14:paraId="0CC2ACB2" w14:textId="77777777" w:rsidR="00551EA4" w:rsidRPr="000B17AD" w:rsidRDefault="00551EA4" w:rsidP="17F94A6F">
      <w:pPr>
        <w:spacing w:after="120" w:line="240" w:lineRule="auto"/>
        <w:rPr>
          <w:rFonts w:eastAsia="Times New Roman" w:cs="Times New Roman"/>
          <w:color w:val="111111"/>
          <w:sz w:val="24"/>
          <w:szCs w:val="24"/>
          <w:lang w:val="en-US" w:eastAsia="en-AU"/>
        </w:rPr>
      </w:pPr>
      <w:r w:rsidRPr="17F94A6F">
        <w:rPr>
          <w:rFonts w:eastAsia="Times New Roman" w:cs="Times New Roman"/>
          <w:color w:val="111111"/>
          <w:sz w:val="24"/>
          <w:szCs w:val="24"/>
          <w:lang w:val="en-US" w:eastAsia="en-AU"/>
        </w:rPr>
        <w:t>Examples of ‘other care and services’ for which charging of additional fees to residents is not permitted include, but are not limited to:</w:t>
      </w:r>
    </w:p>
    <w:p w14:paraId="2367D360" w14:textId="45194DEA" w:rsidR="00551EA4" w:rsidRPr="00B35C39" w:rsidRDefault="00551EA4"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maintenance inside and outside the aged care home</w:t>
      </w:r>
    </w:p>
    <w:p w14:paraId="6124D1E1" w14:textId="76CED48F" w:rsidR="00551EA4" w:rsidRPr="00B35C39" w:rsidRDefault="00551EA4"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any repairs or replacements necessary because of normal wear and tear</w:t>
      </w:r>
    </w:p>
    <w:p w14:paraId="5C9493EE" w14:textId="142CCFE4" w:rsidR="00551EA4" w:rsidRPr="00B35C39" w:rsidRDefault="00551EA4"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general refurbishment of the resident’s room after they have left the aged care home</w:t>
      </w:r>
    </w:p>
    <w:p w14:paraId="4AFC0094" w14:textId="51254031" w:rsidR="00551EA4" w:rsidRPr="00B35C39" w:rsidRDefault="00551EA4"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 xml:space="preserve">services or activities that would form part of the general operation of the aged care home, or are required </w:t>
      </w:r>
      <w:r w:rsidR="00AE7D00" w:rsidRPr="00B35C39">
        <w:rPr>
          <w:rFonts w:eastAsia="Calibri" w:cs="Arial"/>
          <w:sz w:val="24"/>
          <w:szCs w:val="24"/>
        </w:rPr>
        <w:t>to</w:t>
      </w:r>
      <w:r w:rsidRPr="00B35C39">
        <w:rPr>
          <w:rFonts w:eastAsia="Calibri" w:cs="Arial"/>
          <w:sz w:val="24"/>
          <w:szCs w:val="24"/>
        </w:rPr>
        <w:t xml:space="preserve"> deliver residential care to the individual</w:t>
      </w:r>
    </w:p>
    <w:p w14:paraId="40AF15EB" w14:textId="39D92033" w:rsidR="00551EA4" w:rsidRPr="00B35C39" w:rsidRDefault="00551EA4"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employment of administration staff where the staff member is primarily undertaking activities related to the general operation of the aged care home</w:t>
      </w:r>
    </w:p>
    <w:p w14:paraId="17E89E48" w14:textId="44004B57" w:rsidR="00E579AB" w:rsidRPr="00B35C39" w:rsidRDefault="00551EA4" w:rsidP="00B35C39">
      <w:pPr>
        <w:numPr>
          <w:ilvl w:val="0"/>
          <w:numId w:val="9"/>
        </w:numPr>
        <w:tabs>
          <w:tab w:val="clear" w:pos="720"/>
        </w:tabs>
        <w:spacing w:after="120" w:line="240" w:lineRule="auto"/>
        <w:ind w:left="851" w:hanging="425"/>
        <w:rPr>
          <w:rFonts w:eastAsia="Calibri" w:cs="Arial"/>
          <w:sz w:val="24"/>
          <w:szCs w:val="24"/>
        </w:rPr>
      </w:pPr>
      <w:r w:rsidRPr="00B35C39">
        <w:rPr>
          <w:rFonts w:eastAsia="Calibri" w:cs="Arial"/>
          <w:sz w:val="24"/>
          <w:szCs w:val="24"/>
        </w:rPr>
        <w:t>capital costs, asset management or replacement</w:t>
      </w:r>
    </w:p>
    <w:p w14:paraId="520CF5B0" w14:textId="77777777" w:rsidR="004616B0" w:rsidRPr="000B17AD" w:rsidRDefault="000B17AD" w:rsidP="17F94A6F">
      <w:pPr>
        <w:spacing w:after="120" w:line="240" w:lineRule="auto"/>
        <w:rPr>
          <w:rFonts w:eastAsia="Times New Roman" w:cs="Times New Roman"/>
          <w:color w:val="111111"/>
          <w:sz w:val="24"/>
          <w:szCs w:val="24"/>
          <w:lang w:val="en-US" w:eastAsia="en-AU"/>
        </w:rPr>
      </w:pPr>
      <w:r w:rsidRPr="72B07D5D">
        <w:rPr>
          <w:rFonts w:eastAsia="Times New Roman" w:cs="Times New Roman"/>
          <w:color w:val="111111"/>
          <w:sz w:val="24"/>
          <w:szCs w:val="24"/>
          <w:lang w:val="en-US" w:eastAsia="en-AU"/>
        </w:rPr>
        <w:t>‘Asset replacement charges’, ‘capital refurbishment fees’, ‘security deposits’ and similar fees are not permitted by aged care legislation. </w:t>
      </w:r>
      <w:r w:rsidR="004616B0" w:rsidRPr="72B07D5D">
        <w:rPr>
          <w:rFonts w:eastAsia="Times New Roman" w:cs="Times New Roman"/>
          <w:color w:val="111111"/>
          <w:sz w:val="24"/>
          <w:szCs w:val="24"/>
          <w:lang w:val="en-US" w:eastAsia="en-AU"/>
        </w:rPr>
        <w:t>Providers are not permitted to charge fees other than those set out by the legislation. </w:t>
      </w:r>
    </w:p>
    <w:p w14:paraId="563A505B" w14:textId="7852DC0B" w:rsidR="00683ED4" w:rsidRPr="00FA381C" w:rsidRDefault="00683ED4" w:rsidP="00776681">
      <w:pPr>
        <w:spacing w:after="120" w:line="240" w:lineRule="auto"/>
        <w:rPr>
          <w:rFonts w:ascii="Helvetica" w:hAnsi="Helvetica"/>
          <w:color w:val="FF0000"/>
          <w:sz w:val="20"/>
          <w:szCs w:val="20"/>
          <w:lang w:val="en" w:eastAsia="en-AU"/>
        </w:rPr>
      </w:pPr>
      <w:r w:rsidRPr="000B17AD">
        <w:rPr>
          <w:rFonts w:eastAsia="Times New Roman" w:cs="Times New Roman"/>
          <w:color w:val="111111"/>
          <w:sz w:val="24"/>
          <w:szCs w:val="24"/>
          <w:lang w:val="en" w:eastAsia="en-AU"/>
        </w:rPr>
        <w:t xml:space="preserve">It is a provider’s responsibility to obtain agreement from residents before delivering any care or services for which </w:t>
      </w:r>
      <w:r w:rsidR="004321D1">
        <w:rPr>
          <w:rFonts w:eastAsia="Times New Roman" w:cs="Times New Roman"/>
          <w:color w:val="111111"/>
          <w:sz w:val="24"/>
          <w:szCs w:val="24"/>
          <w:lang w:val="en" w:eastAsia="en-AU"/>
        </w:rPr>
        <w:t>they</w:t>
      </w:r>
      <w:r w:rsidR="004321D1" w:rsidRPr="000B17AD">
        <w:rPr>
          <w:rFonts w:eastAsia="Times New Roman" w:cs="Times New Roman"/>
          <w:color w:val="111111"/>
          <w:sz w:val="24"/>
          <w:szCs w:val="24"/>
          <w:lang w:val="en" w:eastAsia="en-AU"/>
        </w:rPr>
        <w:t xml:space="preserve"> </w:t>
      </w:r>
      <w:r w:rsidRPr="000B17AD">
        <w:rPr>
          <w:rFonts w:eastAsia="Times New Roman" w:cs="Times New Roman"/>
          <w:color w:val="111111"/>
          <w:sz w:val="24"/>
          <w:szCs w:val="24"/>
          <w:lang w:val="en" w:eastAsia="en-AU"/>
        </w:rPr>
        <w:t>propose to charge additional fees.</w:t>
      </w:r>
      <w:r w:rsidRPr="00FA381C">
        <w:rPr>
          <w:iCs/>
          <w:color w:val="FF0000"/>
          <w:sz w:val="24"/>
          <w:szCs w:val="24"/>
        </w:rPr>
        <w:t xml:space="preserve"> </w:t>
      </w:r>
      <w:r w:rsidRPr="000B17AD">
        <w:rPr>
          <w:rFonts w:eastAsia="Times New Roman" w:cs="Times New Roman"/>
          <w:sz w:val="24"/>
          <w:szCs w:val="24"/>
          <w:lang w:eastAsia="en-AU"/>
        </w:rPr>
        <w:t>If fees for additional services are not included in the resident agreement, then providers should ensure that residents are given a list or schedule of the services available and the cost of each item. It is a provider’s responsibility to provide residents with an itemised account and this should be provided for each period (e.g. month) in which the resident purchased goods or accessed services.</w:t>
      </w:r>
    </w:p>
    <w:p w14:paraId="162990B9" w14:textId="6D90D5B1" w:rsidR="00683ED4" w:rsidRPr="000B17AD" w:rsidRDefault="00683ED4" w:rsidP="17F94A6F">
      <w:pPr>
        <w:spacing w:after="120" w:line="240" w:lineRule="auto"/>
        <w:rPr>
          <w:rFonts w:eastAsia="Times New Roman" w:cs="Times New Roman"/>
          <w:color w:val="111111"/>
          <w:sz w:val="24"/>
          <w:szCs w:val="24"/>
          <w:lang w:val="en-US" w:eastAsia="en-AU"/>
        </w:rPr>
      </w:pPr>
      <w:r w:rsidRPr="17F94A6F">
        <w:rPr>
          <w:rFonts w:eastAsia="Times New Roman" w:cs="Times New Roman"/>
          <w:color w:val="111111"/>
          <w:sz w:val="24"/>
          <w:szCs w:val="24"/>
          <w:lang w:val="en-US" w:eastAsia="en-AU"/>
        </w:rPr>
        <w:t xml:space="preserve">Providers are not permitted to charge fees above the maximum amount worked out under the Act and Transitional Provisions Act for services or activities that are part of the normal operation of an aged care home, or are required to be delivered as part of a provider’s responsibilities. In some circumstances providers may charge additional fees for ‘other care or services’ where the resident receives a direct benefit or has the capacity to take up or make use of the services. This differs from extra service fees that are charged for rooms within aged care homes (either individual rooms or across the home) that have been granted extra service status by the </w:t>
      </w:r>
      <w:r w:rsidR="006E715C" w:rsidRPr="17F94A6F">
        <w:rPr>
          <w:rFonts w:eastAsia="Times New Roman" w:cs="Times New Roman"/>
          <w:color w:val="111111"/>
          <w:sz w:val="24"/>
          <w:szCs w:val="24"/>
          <w:lang w:val="en-US" w:eastAsia="en-AU"/>
        </w:rPr>
        <w:t>D</w:t>
      </w:r>
      <w:r w:rsidRPr="17F94A6F">
        <w:rPr>
          <w:rFonts w:eastAsia="Times New Roman" w:cs="Times New Roman"/>
          <w:color w:val="111111"/>
          <w:sz w:val="24"/>
          <w:szCs w:val="24"/>
          <w:lang w:val="en-US" w:eastAsia="en-AU"/>
        </w:rPr>
        <w:t>epartment. Extra service fees are for higher standards of food, accommodation and hotel-type services</w:t>
      </w:r>
      <w:r w:rsidR="004321D1" w:rsidRPr="17F94A6F">
        <w:rPr>
          <w:rFonts w:eastAsia="Times New Roman" w:cs="Times New Roman"/>
          <w:color w:val="111111"/>
          <w:sz w:val="24"/>
          <w:szCs w:val="24"/>
          <w:lang w:val="en-US" w:eastAsia="en-AU"/>
        </w:rPr>
        <w:t>,</w:t>
      </w:r>
      <w:r w:rsidRPr="17F94A6F">
        <w:rPr>
          <w:rFonts w:eastAsia="Times New Roman" w:cs="Times New Roman"/>
          <w:color w:val="111111"/>
          <w:sz w:val="24"/>
          <w:szCs w:val="24"/>
          <w:lang w:val="en-US" w:eastAsia="en-AU"/>
        </w:rPr>
        <w:t xml:space="preserve"> but not for care.</w:t>
      </w:r>
    </w:p>
    <w:p w14:paraId="5A1EB966" w14:textId="7D422D0D" w:rsidR="00CC1EBE" w:rsidRPr="00113FCD" w:rsidRDefault="00A23321" w:rsidP="00CC1EBE">
      <w:pPr>
        <w:spacing w:after="0" w:line="240" w:lineRule="auto"/>
        <w:rPr>
          <w:rFonts w:eastAsia="Times New Roman" w:cs="Times New Roman"/>
          <w:color w:val="111111"/>
          <w:sz w:val="24"/>
          <w:szCs w:val="24"/>
          <w:lang w:val="en" w:eastAsia="en-AU"/>
        </w:rPr>
      </w:pPr>
      <w:r w:rsidRPr="00B35C39">
        <w:rPr>
          <w:rFonts w:eastAsiaTheme="majorEastAsia" w:cstheme="majorBidi"/>
          <w:b/>
          <w:bCs/>
          <w:color w:val="0070C0"/>
          <w:sz w:val="26"/>
          <w:szCs w:val="26"/>
        </w:rPr>
        <w:t>What does this mean</w:t>
      </w:r>
      <w:r w:rsidR="00E151B5" w:rsidRPr="00B35C39">
        <w:rPr>
          <w:rFonts w:eastAsiaTheme="majorEastAsia" w:cstheme="majorBidi"/>
          <w:b/>
          <w:bCs/>
          <w:color w:val="0070C0"/>
          <w:sz w:val="26"/>
          <w:szCs w:val="26"/>
        </w:rPr>
        <w:t xml:space="preserve"> practically</w:t>
      </w:r>
      <w:r w:rsidRPr="00B35C39">
        <w:rPr>
          <w:rFonts w:eastAsiaTheme="majorEastAsia" w:cstheme="majorBidi"/>
          <w:b/>
          <w:bCs/>
          <w:color w:val="0070C0"/>
          <w:sz w:val="26"/>
          <w:szCs w:val="26"/>
        </w:rPr>
        <w:t>?</w:t>
      </w:r>
      <w:r w:rsidR="004321D1">
        <w:rPr>
          <w:rFonts w:eastAsiaTheme="majorEastAsia" w:cstheme="majorBidi"/>
          <w:b/>
          <w:bCs/>
          <w:color w:val="0070C0"/>
          <w:sz w:val="26"/>
          <w:szCs w:val="26"/>
        </w:rPr>
        <w:br/>
      </w:r>
      <w:r w:rsidR="00CC1EBE">
        <w:rPr>
          <w:rFonts w:eastAsia="Times New Roman" w:cs="Times New Roman"/>
          <w:color w:val="111111"/>
          <w:sz w:val="24"/>
          <w:szCs w:val="24"/>
          <w:lang w:val="en" w:eastAsia="en-AU"/>
        </w:rPr>
        <w:t>The below</w:t>
      </w:r>
      <w:r w:rsidR="00CC1EBE" w:rsidRPr="00113FCD">
        <w:rPr>
          <w:rFonts w:eastAsia="Times New Roman" w:cs="Times New Roman"/>
          <w:color w:val="111111"/>
          <w:sz w:val="24"/>
          <w:szCs w:val="24"/>
          <w:lang w:val="en" w:eastAsia="en-AU"/>
        </w:rPr>
        <w:t xml:space="preserve"> is not </w:t>
      </w:r>
      <w:r w:rsidR="00CC1EBE">
        <w:rPr>
          <w:rFonts w:eastAsia="Times New Roman" w:cs="Times New Roman"/>
          <w:color w:val="111111"/>
          <w:sz w:val="24"/>
          <w:szCs w:val="24"/>
          <w:lang w:val="en" w:eastAsia="en-AU"/>
        </w:rPr>
        <w:t xml:space="preserve">an </w:t>
      </w:r>
      <w:r w:rsidR="00CC1EBE" w:rsidRPr="00113FCD">
        <w:rPr>
          <w:rFonts w:eastAsia="Times New Roman" w:cs="Times New Roman"/>
          <w:color w:val="111111"/>
          <w:sz w:val="24"/>
          <w:szCs w:val="24"/>
          <w:lang w:val="en" w:eastAsia="en-AU"/>
        </w:rPr>
        <w:t>exhaustive list of what can or cannot be charged</w:t>
      </w:r>
      <w:r w:rsidR="00CC1EBE">
        <w:rPr>
          <w:rFonts w:eastAsia="Times New Roman" w:cs="Times New Roman"/>
          <w:color w:val="111111"/>
          <w:sz w:val="24"/>
          <w:szCs w:val="24"/>
          <w:lang w:val="en" w:eastAsia="en-AU"/>
        </w:rPr>
        <w:t xml:space="preserve">. It is only a </w:t>
      </w:r>
      <w:r w:rsidR="00CC1EBE" w:rsidRPr="00113FCD">
        <w:rPr>
          <w:rFonts w:eastAsia="Times New Roman" w:cs="Times New Roman"/>
          <w:color w:val="111111"/>
          <w:sz w:val="24"/>
          <w:szCs w:val="24"/>
          <w:lang w:val="en" w:eastAsia="en-AU"/>
        </w:rPr>
        <w:t>guide.</w:t>
      </w:r>
    </w:p>
    <w:p w14:paraId="7F1B13E1" w14:textId="36FD62FC" w:rsidR="00E151B5" w:rsidRPr="004321D1" w:rsidRDefault="00E151B5" w:rsidP="00C27917">
      <w:pPr>
        <w:spacing w:before="120" w:after="120" w:line="300" w:lineRule="atLeast"/>
        <w:rPr>
          <w:rFonts w:eastAsiaTheme="majorEastAsia" w:cstheme="majorBidi"/>
          <w:b/>
          <w:bCs/>
          <w:color w:val="0070C0"/>
          <w:sz w:val="26"/>
          <w:szCs w:val="26"/>
        </w:rPr>
      </w:pPr>
      <w:r w:rsidRPr="000B17AD">
        <w:rPr>
          <w:rFonts w:eastAsia="Times New Roman" w:cs="Times New Roman"/>
          <w:color w:val="111111"/>
          <w:sz w:val="24"/>
          <w:szCs w:val="24"/>
          <w:lang w:val="en" w:eastAsia="en-AU"/>
        </w:rPr>
        <w:t>A provider cannot charge a resident for:</w:t>
      </w:r>
    </w:p>
    <w:p w14:paraId="4CD6A66F" w14:textId="0561739C"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registering the resident for a place on a waiting list</w:t>
      </w:r>
    </w:p>
    <w:p w14:paraId="61BBC85D" w14:textId="069CE411"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lastRenderedPageBreak/>
        <w:t>preparing the resident agreement</w:t>
      </w:r>
    </w:p>
    <w:p w14:paraId="7C028208" w14:textId="1C9C6115"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preparing invoices and statements for the resident’s care</w:t>
      </w:r>
    </w:p>
    <w:p w14:paraId="07435C7A" w14:textId="5CF07552" w:rsidR="00E151B5" w:rsidRPr="00B35C39" w:rsidRDefault="00D50DF7"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r</w:t>
      </w:r>
      <w:r w:rsidR="00E151B5" w:rsidRPr="00B35C39">
        <w:rPr>
          <w:rFonts w:eastAsia="Calibri" w:cs="Arial"/>
          <w:sz w:val="24"/>
          <w:szCs w:val="24"/>
        </w:rPr>
        <w:t>esident</w:t>
      </w:r>
      <w:r w:rsidRPr="00B35C39">
        <w:rPr>
          <w:rFonts w:eastAsia="Calibri" w:cs="Arial"/>
          <w:sz w:val="24"/>
          <w:szCs w:val="24"/>
        </w:rPr>
        <w:t>’</w:t>
      </w:r>
      <w:r w:rsidR="00E151B5" w:rsidRPr="00B35C39">
        <w:rPr>
          <w:rFonts w:eastAsia="Calibri" w:cs="Arial"/>
          <w:sz w:val="24"/>
          <w:szCs w:val="24"/>
        </w:rPr>
        <w:t xml:space="preserve">s </w:t>
      </w:r>
      <w:r w:rsidRPr="00B35C39">
        <w:rPr>
          <w:rFonts w:eastAsia="Calibri" w:cs="Arial"/>
          <w:sz w:val="24"/>
          <w:szCs w:val="24"/>
        </w:rPr>
        <w:t>h</w:t>
      </w:r>
      <w:r w:rsidR="00E151B5" w:rsidRPr="00B35C39">
        <w:rPr>
          <w:rFonts w:eastAsia="Calibri" w:cs="Arial"/>
          <w:sz w:val="24"/>
          <w:szCs w:val="24"/>
        </w:rPr>
        <w:t>andbook</w:t>
      </w:r>
    </w:p>
    <w:p w14:paraId="3E3F79A1" w14:textId="0FD1C560"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informing the resident of meetings</w:t>
      </w:r>
    </w:p>
    <w:p w14:paraId="2429F001" w14:textId="3F4B6E81"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booking fees</w:t>
      </w:r>
    </w:p>
    <w:p w14:paraId="77E91A05" w14:textId="77777777"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excludes recipients of residential respite care</w:t>
      </w:r>
    </w:p>
    <w:p w14:paraId="449832D8" w14:textId="2BE37DF7" w:rsidR="00E151B5" w:rsidRPr="000B17AD" w:rsidRDefault="00E151B5" w:rsidP="40B9380F">
      <w:pPr>
        <w:pStyle w:val="ListParagraph"/>
        <w:numPr>
          <w:ilvl w:val="0"/>
          <w:numId w:val="18"/>
        </w:numPr>
        <w:spacing w:before="0" w:after="120" w:line="0" w:lineRule="atLeast"/>
        <w:ind w:left="850" w:hanging="425"/>
        <w:contextualSpacing w:val="0"/>
        <w:rPr>
          <w:rFonts w:asciiTheme="minorHAnsi" w:eastAsia="Times New Roman" w:hAnsiTheme="minorHAnsi"/>
          <w:color w:val="111111"/>
          <w:sz w:val="24"/>
          <w:szCs w:val="24"/>
          <w:lang w:val="en-US" w:eastAsia="en-AU"/>
        </w:rPr>
      </w:pPr>
      <w:r w:rsidRPr="40B9380F">
        <w:rPr>
          <w:rFonts w:asciiTheme="minorHAnsi" w:eastAsia="Times New Roman" w:hAnsiTheme="minorHAnsi"/>
          <w:color w:val="111111"/>
          <w:sz w:val="24"/>
          <w:szCs w:val="24"/>
          <w:lang w:val="en-US" w:eastAsia="en-AU"/>
        </w:rPr>
        <w:t>translated material in the resident’s preferred language explaining basic matters such as resident rights and responsibilities, complaints processes, food menus, and daily activity program</w:t>
      </w:r>
    </w:p>
    <w:p w14:paraId="1DE35A38" w14:textId="77777777" w:rsidR="00E151B5" w:rsidRPr="00113FCD" w:rsidRDefault="00E151B5" w:rsidP="00C27917">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 charge a resident for:</w:t>
      </w:r>
    </w:p>
    <w:p w14:paraId="0B2D63B7" w14:textId="6CEAE6C8" w:rsidR="00A27450"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 xml:space="preserve">management of a resident trust account where such arrangements are </w:t>
      </w:r>
      <w:r w:rsidR="00236203" w:rsidRPr="00B35C39">
        <w:rPr>
          <w:rFonts w:eastAsia="Calibri" w:cs="Arial"/>
          <w:sz w:val="24"/>
          <w:szCs w:val="24"/>
        </w:rPr>
        <w:t>voluntary</w:t>
      </w:r>
      <w:r w:rsidR="004A08B4" w:rsidRPr="00B35C39">
        <w:rPr>
          <w:rFonts w:eastAsia="Calibri" w:cs="Arial"/>
          <w:sz w:val="24"/>
          <w:szCs w:val="24"/>
        </w:rPr>
        <w:t>. However,</w:t>
      </w:r>
      <w:r w:rsidR="00FF003D" w:rsidRPr="00B35C39">
        <w:rPr>
          <w:rFonts w:eastAsia="Calibri" w:cs="Arial"/>
          <w:sz w:val="24"/>
          <w:szCs w:val="24"/>
        </w:rPr>
        <w:t xml:space="preserve"> </w:t>
      </w:r>
      <w:r w:rsidRPr="00B35C39">
        <w:rPr>
          <w:rFonts w:eastAsia="Calibri" w:cs="Arial"/>
          <w:sz w:val="24"/>
          <w:szCs w:val="24"/>
        </w:rPr>
        <w:t>the resident must have the choice to handle their finances without placing their money in a trust account with the provider</w:t>
      </w:r>
    </w:p>
    <w:p w14:paraId="6757093E" w14:textId="77777777" w:rsidR="00E151B5" w:rsidRPr="00B35C39" w:rsidRDefault="00E151B5" w:rsidP="002B7CED">
      <w:pPr>
        <w:spacing w:before="200" w:after="0"/>
        <w:rPr>
          <w:rFonts w:eastAsiaTheme="majorEastAsia" w:cstheme="majorBidi"/>
          <w:b/>
          <w:bCs/>
          <w:color w:val="0070C0"/>
          <w:sz w:val="26"/>
          <w:szCs w:val="26"/>
        </w:rPr>
      </w:pPr>
      <w:r w:rsidRPr="00B35C39">
        <w:rPr>
          <w:rFonts w:eastAsiaTheme="majorEastAsia" w:cstheme="majorBidi"/>
          <w:b/>
          <w:bCs/>
          <w:color w:val="0070C0"/>
          <w:sz w:val="26"/>
          <w:szCs w:val="26"/>
        </w:rPr>
        <w:t>Maintenance of buildings and grounds</w:t>
      </w:r>
    </w:p>
    <w:p w14:paraId="110A7E58" w14:textId="77777777" w:rsidR="00E151B5" w:rsidRPr="00113FCD" w:rsidRDefault="00E151B5" w:rsidP="00E151B5">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5A9DC23F" w14:textId="4E53F16B"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gardening</w:t>
      </w:r>
    </w:p>
    <w:p w14:paraId="7131C147" w14:textId="44D8DAF0"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maintenance inside and outside the residential care service</w:t>
      </w:r>
    </w:p>
    <w:p w14:paraId="1CD0AB32" w14:textId="77777777"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any repairs and replacements necessary because of normal wear and tear</w:t>
      </w:r>
    </w:p>
    <w:p w14:paraId="0C444DF2" w14:textId="71454BC7" w:rsidR="00931AA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excludes repairs and replacements necessary because of intentional damage</w:t>
      </w:r>
    </w:p>
    <w:p w14:paraId="336EF9E8" w14:textId="77777777" w:rsidR="00E151B5" w:rsidRPr="002B7CED" w:rsidRDefault="00E151B5" w:rsidP="002B7CED">
      <w:pPr>
        <w:spacing w:before="200" w:after="0"/>
        <w:rPr>
          <w:b/>
          <w:bCs/>
          <w:color w:val="0070C0"/>
          <w:sz w:val="26"/>
          <w:szCs w:val="26"/>
        </w:rPr>
      </w:pPr>
      <w:r w:rsidRPr="002B7CED">
        <w:rPr>
          <w:b/>
          <w:bCs/>
          <w:color w:val="0070C0"/>
          <w:sz w:val="26"/>
          <w:szCs w:val="26"/>
        </w:rPr>
        <w:t>Utilitie</w:t>
      </w:r>
      <w:r w:rsidR="00113FCD" w:rsidRPr="002B7CED">
        <w:rPr>
          <w:b/>
          <w:bCs/>
          <w:color w:val="0070C0"/>
          <w:sz w:val="26"/>
          <w:szCs w:val="26"/>
        </w:rPr>
        <w:t>s such as electricity and water</w:t>
      </w:r>
    </w:p>
    <w:p w14:paraId="43760D93" w14:textId="77777777" w:rsidR="00E151B5" w:rsidRPr="00113FCD" w:rsidRDefault="00E151B5" w:rsidP="00931AA5">
      <w:pPr>
        <w:spacing w:after="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22F3A781" w14:textId="1281ECF8" w:rsidR="00E151B5" w:rsidRPr="00113FCD" w:rsidRDefault="00E151B5" w:rsidP="001A3223">
      <w:pPr>
        <w:pStyle w:val="ListParagraph"/>
        <w:numPr>
          <w:ilvl w:val="0"/>
          <w:numId w:val="18"/>
        </w:numPr>
        <w:spacing w:before="0" w:after="0" w:line="0" w:lineRule="atLeast"/>
        <w:ind w:left="851" w:hanging="425"/>
        <w:rPr>
          <w:rFonts w:asciiTheme="minorHAnsi" w:eastAsia="Times New Roman" w:hAnsiTheme="minorHAnsi"/>
          <w:color w:val="111111"/>
          <w:sz w:val="24"/>
          <w:szCs w:val="24"/>
          <w:lang w:val="en" w:eastAsia="en-AU"/>
        </w:rPr>
      </w:pPr>
      <w:r w:rsidRPr="4E34EEE7">
        <w:rPr>
          <w:rFonts w:asciiTheme="minorHAnsi" w:eastAsia="Times New Roman" w:hAnsiTheme="minorHAnsi"/>
          <w:color w:val="111111"/>
          <w:sz w:val="24"/>
          <w:szCs w:val="24"/>
          <w:lang w:val="en" w:eastAsia="en-AU"/>
        </w:rPr>
        <w:t>inspection of the provider’s electrical equipment for work health and safety purposes</w:t>
      </w:r>
    </w:p>
    <w:p w14:paraId="786DD74D" w14:textId="77777777"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testing and tagging of electrical equipment</w:t>
      </w:r>
    </w:p>
    <w:p w14:paraId="28E9A434" w14:textId="2F83709D"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telephone sockets</w:t>
      </w:r>
    </w:p>
    <w:p w14:paraId="264D22DA" w14:textId="438A664D"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 xml:space="preserve">access to a pay </w:t>
      </w:r>
      <w:r w:rsidR="00E55452" w:rsidRPr="00B35C39">
        <w:rPr>
          <w:rFonts w:eastAsia="Calibri" w:cs="Arial"/>
          <w:sz w:val="24"/>
          <w:szCs w:val="24"/>
        </w:rPr>
        <w:t>telephone</w:t>
      </w:r>
    </w:p>
    <w:p w14:paraId="783ED55E" w14:textId="60840C4D"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heating and cooling the residential care service to provide a comfortable environment for residents</w:t>
      </w:r>
    </w:p>
    <w:p w14:paraId="1D8C5EA0" w14:textId="77777777"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excludes running costs of personal heating or cooling units provided and operated by the resident in addition to an effective heating or cooling system provided by the residential care service</w:t>
      </w:r>
    </w:p>
    <w:p w14:paraId="64A0147D" w14:textId="1B70C722" w:rsidR="00A27450" w:rsidRPr="00FF003D" w:rsidRDefault="00E151B5" w:rsidP="001A3223">
      <w:pPr>
        <w:pStyle w:val="ListParagraph"/>
        <w:numPr>
          <w:ilvl w:val="0"/>
          <w:numId w:val="18"/>
        </w:numPr>
        <w:spacing w:before="0" w:after="120" w:line="0" w:lineRule="atLeast"/>
        <w:ind w:left="850" w:hanging="425"/>
        <w:rPr>
          <w:rFonts w:asciiTheme="minorHAnsi" w:eastAsia="Times New Roman" w:hAnsiTheme="minorHAnsi"/>
          <w:color w:val="111111"/>
          <w:sz w:val="24"/>
          <w:szCs w:val="24"/>
          <w:lang w:val="en" w:eastAsia="en-AU"/>
        </w:rPr>
      </w:pPr>
      <w:r w:rsidRPr="4E34EEE7">
        <w:rPr>
          <w:rFonts w:asciiTheme="minorHAnsi" w:eastAsia="Times New Roman" w:hAnsiTheme="minorHAnsi"/>
          <w:color w:val="111111"/>
          <w:sz w:val="24"/>
          <w:szCs w:val="24"/>
          <w:lang w:val="en" w:eastAsia="en-AU"/>
        </w:rPr>
        <w:t>moving a resident from one bed or room to another within the residential care service when the move is not at the resident’s request</w:t>
      </w:r>
      <w:r>
        <w:br/>
      </w:r>
      <w:r w:rsidR="00FF003D" w:rsidRPr="4E34EEE7">
        <w:rPr>
          <w:rFonts w:asciiTheme="minorHAnsi" w:eastAsia="Times New Roman" w:hAnsiTheme="minorHAnsi"/>
          <w:i/>
          <w:iCs/>
          <w:color w:val="111111"/>
          <w:sz w:val="24"/>
          <w:szCs w:val="24"/>
          <w:lang w:val="en" w:eastAsia="en-AU"/>
        </w:rPr>
        <w:t>C</w:t>
      </w:r>
      <w:r w:rsidRPr="4E34EEE7">
        <w:rPr>
          <w:rFonts w:asciiTheme="minorHAnsi" w:eastAsia="Times New Roman" w:hAnsiTheme="minorHAnsi"/>
          <w:i/>
          <w:iCs/>
          <w:color w:val="111111"/>
          <w:sz w:val="24"/>
          <w:szCs w:val="24"/>
          <w:lang w:val="en" w:eastAsia="en-AU"/>
        </w:rPr>
        <w:t xml:space="preserve">onditions apply to moving a resident within the residential care service – see section 10 of the User Rights Principles 2014 and section 17 of the </w:t>
      </w:r>
      <w:r w:rsidR="009D6C09" w:rsidRPr="4E34EEE7">
        <w:rPr>
          <w:rFonts w:asciiTheme="minorHAnsi" w:eastAsia="Times New Roman" w:hAnsiTheme="minorHAnsi"/>
          <w:i/>
          <w:iCs/>
          <w:color w:val="111111"/>
          <w:sz w:val="24"/>
          <w:szCs w:val="24"/>
          <w:lang w:val="en" w:eastAsia="en-AU"/>
        </w:rPr>
        <w:t xml:space="preserve">Fees and Payments </w:t>
      </w:r>
      <w:r w:rsidRPr="4E34EEE7">
        <w:rPr>
          <w:rFonts w:asciiTheme="minorHAnsi" w:eastAsia="Times New Roman" w:hAnsiTheme="minorHAnsi"/>
          <w:i/>
          <w:iCs/>
          <w:color w:val="111111"/>
          <w:sz w:val="24"/>
          <w:szCs w:val="24"/>
          <w:lang w:val="en" w:eastAsia="en-AU"/>
        </w:rPr>
        <w:t>Principles for details.</w:t>
      </w:r>
    </w:p>
    <w:p w14:paraId="239C2D9A" w14:textId="77777777" w:rsidR="007807DD" w:rsidRDefault="007807DD">
      <w:pPr>
        <w:rPr>
          <w:rFonts w:eastAsiaTheme="majorEastAsia" w:cstheme="majorBidi"/>
          <w:b/>
          <w:bCs/>
          <w:color w:val="0070C0"/>
          <w:sz w:val="26"/>
          <w:szCs w:val="26"/>
        </w:rPr>
      </w:pPr>
      <w:r>
        <w:rPr>
          <w:color w:val="0070C0"/>
        </w:rPr>
        <w:br w:type="page"/>
      </w:r>
    </w:p>
    <w:p w14:paraId="4A132F46" w14:textId="68912743" w:rsidR="0093612C" w:rsidRPr="007807DD" w:rsidRDefault="007807DD" w:rsidP="007807DD">
      <w:pPr>
        <w:pStyle w:val="Heading2"/>
        <w:spacing w:before="360"/>
        <w:rPr>
          <w:rFonts w:asciiTheme="minorHAnsi" w:hAnsiTheme="minorHAnsi"/>
          <w:color w:val="0070C0"/>
        </w:rPr>
      </w:pPr>
      <w:r w:rsidRPr="007807DD">
        <w:rPr>
          <w:rFonts w:asciiTheme="minorHAnsi" w:hAnsiTheme="minorHAnsi"/>
          <w:color w:val="0070C0"/>
        </w:rPr>
        <w:lastRenderedPageBreak/>
        <w:t>SCHEDULE 1, PART 1 OF THE QUALITY OF CARE PRINCIPLES SPECIFIES THE HOTEL SERVICES THAT MUST BE PROVIDED FOR ALL RESIDENTS WHO NEED THEM, AS FOLLOWS:</w:t>
      </w:r>
    </w:p>
    <w:p w14:paraId="6C3EE755" w14:textId="44CE62E5" w:rsidR="00E151B5" w:rsidRPr="002B7CED" w:rsidRDefault="00E151B5" w:rsidP="002B7CED">
      <w:pPr>
        <w:spacing w:before="200" w:after="0"/>
        <w:rPr>
          <w:b/>
          <w:bCs/>
          <w:color w:val="0070C0"/>
          <w:sz w:val="26"/>
          <w:szCs w:val="26"/>
        </w:rPr>
      </w:pPr>
      <w:r w:rsidRPr="002B7CED">
        <w:rPr>
          <w:b/>
          <w:bCs/>
          <w:color w:val="0070C0"/>
          <w:sz w:val="26"/>
          <w:szCs w:val="26"/>
        </w:rPr>
        <w:t>Furnishings</w:t>
      </w:r>
      <w:r w:rsidR="0093612C" w:rsidRPr="002B7CED">
        <w:rPr>
          <w:b/>
          <w:bCs/>
          <w:color w:val="0070C0"/>
          <w:sz w:val="26"/>
          <w:szCs w:val="26"/>
        </w:rPr>
        <w:t xml:space="preserve"> – Part 1.4</w:t>
      </w:r>
    </w:p>
    <w:p w14:paraId="443DA59C" w14:textId="77777777" w:rsidR="001855F6" w:rsidRPr="00113FCD" w:rsidRDefault="00E151B5" w:rsidP="00B35C39">
      <w:pPr>
        <w:spacing w:after="0"/>
        <w:rPr>
          <w:rFonts w:eastAsia="Times New Roman" w:cs="Times New Roman"/>
          <w:color w:val="111111"/>
          <w:sz w:val="24"/>
          <w:szCs w:val="24"/>
          <w:lang w:val="en-US" w:eastAsia="en-AU"/>
        </w:rPr>
      </w:pPr>
      <w:r w:rsidRPr="40B9380F">
        <w:rPr>
          <w:rFonts w:eastAsia="Times New Roman" w:cs="Times New Roman"/>
          <w:color w:val="111111"/>
          <w:sz w:val="24"/>
          <w:szCs w:val="24"/>
          <w:lang w:val="en-US" w:eastAsia="en-AU"/>
        </w:rPr>
        <w:t>Bedside lockers, chairs with arms, containers for personal laundry, dining, lounge and recreational furnishings, draw-screens (for shared rooms), wardrobe space and towel rails.</w:t>
      </w:r>
    </w:p>
    <w:p w14:paraId="0C0723B9" w14:textId="35C63843" w:rsidR="00E151B5" w:rsidRPr="00B35C39" w:rsidRDefault="000C459E" w:rsidP="00B35C39">
      <w:pPr>
        <w:numPr>
          <w:ilvl w:val="0"/>
          <w:numId w:val="9"/>
        </w:numPr>
        <w:tabs>
          <w:tab w:val="clear" w:pos="720"/>
        </w:tabs>
        <w:spacing w:before="120" w:after="120" w:line="240" w:lineRule="auto"/>
        <w:ind w:left="851" w:hanging="425"/>
        <w:rPr>
          <w:rFonts w:eastAsia="Calibri" w:cs="Arial"/>
          <w:sz w:val="24"/>
          <w:szCs w:val="24"/>
        </w:rPr>
      </w:pPr>
      <w:r w:rsidRPr="00B35C39">
        <w:rPr>
          <w:rFonts w:eastAsia="Calibri" w:cs="Arial"/>
          <w:sz w:val="24"/>
          <w:szCs w:val="24"/>
        </w:rPr>
        <w:t>e</w:t>
      </w:r>
      <w:r w:rsidR="00E151B5" w:rsidRPr="00B35C39">
        <w:rPr>
          <w:rFonts w:eastAsia="Calibri" w:cs="Arial"/>
          <w:sz w:val="24"/>
          <w:szCs w:val="24"/>
        </w:rPr>
        <w:t xml:space="preserve">xcludes furnishings a </w:t>
      </w:r>
      <w:r w:rsidR="009978D8" w:rsidRPr="00B35C39">
        <w:rPr>
          <w:rFonts w:eastAsia="Calibri" w:cs="Arial"/>
          <w:sz w:val="24"/>
          <w:szCs w:val="24"/>
        </w:rPr>
        <w:t>resident</w:t>
      </w:r>
      <w:r w:rsidR="00E151B5" w:rsidRPr="00B35C39">
        <w:rPr>
          <w:rFonts w:eastAsia="Calibri" w:cs="Arial"/>
          <w:sz w:val="24"/>
          <w:szCs w:val="24"/>
        </w:rPr>
        <w:t xml:space="preserve"> chooses to provide</w:t>
      </w:r>
    </w:p>
    <w:p w14:paraId="08F21FB7" w14:textId="77777777" w:rsidR="00E151B5" w:rsidRPr="00113FCD" w:rsidRDefault="00E151B5" w:rsidP="00CE0125">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4BB7691A" w14:textId="77777777" w:rsidR="001855F6"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a chair with arms to meet the resident’s care, safety and comfort needs</w:t>
      </w:r>
    </w:p>
    <w:p w14:paraId="5647D812" w14:textId="194610EA"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 xml:space="preserve">if the resident is unable to walk or move about independently and cannot use a conventional </w:t>
      </w:r>
      <w:r w:rsidR="006C24AB" w:rsidRPr="00B35C39">
        <w:rPr>
          <w:rFonts w:eastAsia="Calibri" w:cs="Arial"/>
          <w:sz w:val="24"/>
          <w:szCs w:val="24"/>
        </w:rPr>
        <w:t>armchair</w:t>
      </w:r>
      <w:r w:rsidRPr="00B35C39">
        <w:rPr>
          <w:rFonts w:eastAsia="Calibri" w:cs="Arial"/>
          <w:sz w:val="24"/>
          <w:szCs w:val="24"/>
        </w:rPr>
        <w:t xml:space="preserve">, includes an </w:t>
      </w:r>
      <w:r w:rsidR="00BA1A7E" w:rsidRPr="00B35C39">
        <w:rPr>
          <w:rFonts w:eastAsia="Calibri" w:cs="Arial"/>
          <w:sz w:val="24"/>
          <w:szCs w:val="24"/>
        </w:rPr>
        <w:t>armchair</w:t>
      </w:r>
      <w:r w:rsidRPr="00B35C39">
        <w:rPr>
          <w:rFonts w:eastAsia="Calibri" w:cs="Arial"/>
          <w:sz w:val="24"/>
          <w:szCs w:val="24"/>
        </w:rPr>
        <w:t xml:space="preserve"> with particular features to meet the resident’s needs, such as an air, water or gel chair</w:t>
      </w:r>
    </w:p>
    <w:p w14:paraId="1D390B46" w14:textId="68CB4AD3" w:rsidR="00E151B5" w:rsidRPr="002B7CED" w:rsidRDefault="00E151B5" w:rsidP="002B7CED">
      <w:pPr>
        <w:spacing w:before="200" w:after="0"/>
        <w:rPr>
          <w:b/>
          <w:bCs/>
          <w:color w:val="0070C0"/>
          <w:sz w:val="26"/>
          <w:szCs w:val="26"/>
        </w:rPr>
      </w:pPr>
      <w:r w:rsidRPr="002B7CED">
        <w:rPr>
          <w:b/>
          <w:bCs/>
          <w:color w:val="0070C0"/>
          <w:sz w:val="26"/>
          <w:szCs w:val="26"/>
        </w:rPr>
        <w:t>Bedding</w:t>
      </w:r>
      <w:r w:rsidR="0093612C" w:rsidRPr="002B7CED">
        <w:rPr>
          <w:b/>
          <w:bCs/>
          <w:color w:val="0070C0"/>
          <w:sz w:val="26"/>
          <w:szCs w:val="26"/>
        </w:rPr>
        <w:t xml:space="preserve"> – Part 1.5</w:t>
      </w:r>
    </w:p>
    <w:p w14:paraId="30724303" w14:textId="77777777" w:rsidR="00E151B5" w:rsidRPr="00113FCD" w:rsidRDefault="00E151B5" w:rsidP="00892A47">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Beds and mattresses, bed linen, blankets, and absorbent or waterproof sheeting.</w:t>
      </w:r>
    </w:p>
    <w:p w14:paraId="2A81A7FA" w14:textId="77777777" w:rsidR="00E151B5" w:rsidRPr="00113FCD" w:rsidRDefault="00E151B5" w:rsidP="00CE0125">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4B15EC26" w14:textId="77777777"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a bed, a mattress and pillows that meet the resident’s care, safety and comfort needs</w:t>
      </w:r>
    </w:p>
    <w:p w14:paraId="23114ED7" w14:textId="77777777" w:rsidR="001855F6"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as required a bed with particular features that meets the resident’s needs, for example to accommodate the resident’s height or weight.</w:t>
      </w:r>
    </w:p>
    <w:p w14:paraId="6A0A4A32" w14:textId="29EA02DC" w:rsidR="00E151B5" w:rsidRPr="002B7CED" w:rsidRDefault="00E151B5" w:rsidP="002B7CED">
      <w:pPr>
        <w:spacing w:before="200" w:after="0"/>
        <w:rPr>
          <w:b/>
          <w:bCs/>
          <w:color w:val="0070C0"/>
          <w:sz w:val="26"/>
          <w:szCs w:val="26"/>
        </w:rPr>
      </w:pPr>
      <w:r w:rsidRPr="002B7CED">
        <w:rPr>
          <w:b/>
          <w:bCs/>
          <w:color w:val="0070C0"/>
          <w:sz w:val="26"/>
          <w:szCs w:val="26"/>
        </w:rPr>
        <w:t>Cleaning services, goods and facilities</w:t>
      </w:r>
      <w:r w:rsidR="0093612C" w:rsidRPr="002B7CED">
        <w:rPr>
          <w:b/>
          <w:bCs/>
          <w:color w:val="0070C0"/>
          <w:sz w:val="26"/>
          <w:szCs w:val="26"/>
        </w:rPr>
        <w:t xml:space="preserve"> – Part 1.6</w:t>
      </w:r>
    </w:p>
    <w:p w14:paraId="27CD53EE" w14:textId="77777777" w:rsidR="00E151B5" w:rsidRPr="00113FCD" w:rsidRDefault="00E151B5" w:rsidP="00357ECE">
      <w:pPr>
        <w:spacing w:after="120"/>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Cleanliness and tidiness of the entire residential care service.</w:t>
      </w:r>
    </w:p>
    <w:p w14:paraId="0B199D4B" w14:textId="456BF06B" w:rsidR="00931AA5"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t>e</w:t>
      </w:r>
      <w:r w:rsidR="00E151B5" w:rsidRPr="00B35C39">
        <w:rPr>
          <w:rFonts w:eastAsia="Calibri" w:cs="Arial"/>
          <w:sz w:val="24"/>
          <w:szCs w:val="24"/>
        </w:rPr>
        <w:t xml:space="preserve">xcludes a </w:t>
      </w:r>
      <w:r w:rsidR="009978D8" w:rsidRPr="00B35C39">
        <w:rPr>
          <w:rFonts w:eastAsia="Calibri" w:cs="Arial"/>
          <w:sz w:val="24"/>
          <w:szCs w:val="24"/>
        </w:rPr>
        <w:t>resident</w:t>
      </w:r>
      <w:r w:rsidR="00E151B5" w:rsidRPr="00B35C39">
        <w:rPr>
          <w:rFonts w:eastAsia="Calibri" w:cs="Arial"/>
          <w:sz w:val="24"/>
          <w:szCs w:val="24"/>
        </w:rPr>
        <w:t xml:space="preserve">’s personal area if the </w:t>
      </w:r>
      <w:r w:rsidR="009978D8" w:rsidRPr="00B35C39">
        <w:rPr>
          <w:rFonts w:eastAsia="Calibri" w:cs="Arial"/>
          <w:sz w:val="24"/>
          <w:szCs w:val="24"/>
        </w:rPr>
        <w:t>resident</w:t>
      </w:r>
      <w:r w:rsidR="00E151B5" w:rsidRPr="00B35C39">
        <w:rPr>
          <w:rFonts w:eastAsia="Calibri" w:cs="Arial"/>
          <w:sz w:val="24"/>
          <w:szCs w:val="24"/>
        </w:rPr>
        <w:t xml:space="preserve"> chooses and is able to maintain this </w:t>
      </w:r>
      <w:r w:rsidR="008F55D7" w:rsidRPr="00B35C39">
        <w:rPr>
          <w:rFonts w:eastAsia="Calibri" w:cs="Arial"/>
          <w:sz w:val="24"/>
          <w:szCs w:val="24"/>
        </w:rPr>
        <w:t>themselves</w:t>
      </w:r>
    </w:p>
    <w:p w14:paraId="70B3F2D3" w14:textId="77777777" w:rsidR="00E151B5" w:rsidRPr="00113FCD" w:rsidRDefault="00E151B5" w:rsidP="00357ECE">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42778BC7" w14:textId="0D840FB9"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cleaning the resident’s room and ensuite</w:t>
      </w:r>
    </w:p>
    <w:p w14:paraId="7F3A2655" w14:textId="1E5BD1C0" w:rsidR="001855F6"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any cleaning materials for the use of the resident if the resident chooses to maintain their personal area</w:t>
      </w:r>
    </w:p>
    <w:p w14:paraId="74DD914C" w14:textId="11002AA1" w:rsidR="000D4EDC"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cleaning floor coverings</w:t>
      </w:r>
      <w:r w:rsidR="00A27450" w:rsidRPr="00B35C39">
        <w:rPr>
          <w:rFonts w:eastAsia="Calibri" w:cs="Arial"/>
          <w:sz w:val="24"/>
          <w:szCs w:val="24"/>
        </w:rPr>
        <w:t xml:space="preserve">, </w:t>
      </w:r>
      <w:r w:rsidRPr="00B35C39">
        <w:rPr>
          <w:rFonts w:eastAsia="Calibri" w:cs="Arial"/>
          <w:sz w:val="24"/>
          <w:szCs w:val="24"/>
        </w:rPr>
        <w:t>includes carpets</w:t>
      </w:r>
    </w:p>
    <w:p w14:paraId="731C0BB7" w14:textId="5F357F89" w:rsidR="00E151B5" w:rsidRPr="002B7CED" w:rsidRDefault="00E151B5" w:rsidP="002B7CED">
      <w:pPr>
        <w:spacing w:before="200" w:after="0"/>
        <w:rPr>
          <w:b/>
          <w:bCs/>
          <w:color w:val="0070C0"/>
          <w:sz w:val="26"/>
          <w:szCs w:val="26"/>
        </w:rPr>
      </w:pPr>
      <w:r w:rsidRPr="002B7CED">
        <w:rPr>
          <w:b/>
          <w:bCs/>
          <w:color w:val="0070C0"/>
          <w:sz w:val="26"/>
          <w:szCs w:val="26"/>
        </w:rPr>
        <w:t>Waste disposal</w:t>
      </w:r>
      <w:r w:rsidR="00E25150" w:rsidRPr="002B7CED">
        <w:rPr>
          <w:b/>
          <w:bCs/>
          <w:color w:val="0070C0"/>
          <w:sz w:val="26"/>
          <w:szCs w:val="26"/>
        </w:rPr>
        <w:t xml:space="preserve"> </w:t>
      </w:r>
      <w:r w:rsidR="004321D1" w:rsidRPr="002B7CED">
        <w:rPr>
          <w:b/>
          <w:bCs/>
          <w:color w:val="0070C0"/>
          <w:sz w:val="26"/>
          <w:szCs w:val="26"/>
        </w:rPr>
        <w:t>–</w:t>
      </w:r>
      <w:r w:rsidR="0093612C" w:rsidRPr="002B7CED">
        <w:rPr>
          <w:b/>
          <w:bCs/>
          <w:color w:val="0070C0"/>
          <w:sz w:val="26"/>
          <w:szCs w:val="26"/>
        </w:rPr>
        <w:t>Part 1.7</w:t>
      </w:r>
    </w:p>
    <w:p w14:paraId="0418EF22" w14:textId="03971F46" w:rsidR="001B4A03" w:rsidRDefault="001B4A03" w:rsidP="00357ECE">
      <w:pPr>
        <w:spacing w:after="120" w:line="240" w:lineRule="auto"/>
        <w:rPr>
          <w:rFonts w:eastAsia="Times New Roman" w:cs="Times New Roman"/>
          <w:color w:val="111111"/>
          <w:sz w:val="24"/>
          <w:szCs w:val="24"/>
          <w:lang w:val="en" w:eastAsia="en-AU"/>
        </w:rPr>
      </w:pPr>
      <w:r w:rsidRPr="00E50E6B">
        <w:rPr>
          <w:rFonts w:eastAsia="Times New Roman" w:cs="Times New Roman"/>
          <w:color w:val="111111"/>
          <w:sz w:val="24"/>
          <w:szCs w:val="24"/>
          <w:lang w:val="en" w:eastAsia="en-AU"/>
        </w:rPr>
        <w:t>Safe disposal of organic and inorganic waste material.</w:t>
      </w:r>
    </w:p>
    <w:p w14:paraId="3FC60F91" w14:textId="377DC557" w:rsidR="00A27450" w:rsidRPr="00D50DF7" w:rsidRDefault="000C459E" w:rsidP="001A3223">
      <w:pPr>
        <w:pStyle w:val="ListParagraph"/>
        <w:numPr>
          <w:ilvl w:val="0"/>
          <w:numId w:val="42"/>
        </w:numPr>
        <w:spacing w:before="0" w:after="120" w:line="240" w:lineRule="auto"/>
        <w:ind w:left="709" w:hanging="425"/>
        <w:rPr>
          <w:rFonts w:asciiTheme="minorHAnsi" w:eastAsia="Times New Roman" w:hAnsiTheme="minorHAnsi"/>
          <w:color w:val="111111"/>
          <w:sz w:val="24"/>
          <w:szCs w:val="24"/>
          <w:lang w:val="en-US" w:eastAsia="en-AU"/>
        </w:rPr>
      </w:pPr>
      <w:r>
        <w:rPr>
          <w:rFonts w:asciiTheme="minorHAnsi" w:eastAsia="Times New Roman" w:hAnsiTheme="minorHAnsi"/>
          <w:color w:val="111111"/>
          <w:sz w:val="24"/>
          <w:szCs w:val="24"/>
          <w:lang w:val="en-US" w:eastAsia="en-AU"/>
        </w:rPr>
        <w:t>a</w:t>
      </w:r>
      <w:r w:rsidR="00E151B5" w:rsidRPr="00D50DF7">
        <w:rPr>
          <w:rFonts w:asciiTheme="minorHAnsi" w:eastAsia="Times New Roman" w:hAnsiTheme="minorHAnsi"/>
          <w:color w:val="111111"/>
          <w:sz w:val="24"/>
          <w:szCs w:val="24"/>
          <w:lang w:val="en-US" w:eastAsia="en-AU"/>
        </w:rPr>
        <w:t xml:space="preserve"> provid</w:t>
      </w:r>
      <w:r w:rsidR="004321D1" w:rsidRPr="00D50DF7">
        <w:rPr>
          <w:rFonts w:asciiTheme="minorHAnsi" w:eastAsia="Times New Roman" w:hAnsiTheme="minorHAnsi"/>
          <w:color w:val="111111"/>
          <w:sz w:val="24"/>
          <w:szCs w:val="24"/>
          <w:lang w:val="en-US" w:eastAsia="en-AU"/>
        </w:rPr>
        <w:t xml:space="preserve">er cannot charge a resident for </w:t>
      </w:r>
      <w:r w:rsidR="00E151B5" w:rsidRPr="00D50DF7">
        <w:rPr>
          <w:rFonts w:asciiTheme="minorHAnsi" w:eastAsia="Times New Roman" w:hAnsiTheme="minorHAnsi"/>
          <w:color w:val="111111"/>
          <w:sz w:val="24"/>
          <w:szCs w:val="24"/>
          <w:lang w:val="en-US" w:eastAsia="en-AU"/>
        </w:rPr>
        <w:t>safe disposal of sharps and contaminated waste.</w:t>
      </w:r>
    </w:p>
    <w:p w14:paraId="2C500BA3" w14:textId="25E231DE" w:rsidR="00E151B5" w:rsidRPr="002B7CED" w:rsidRDefault="00E151B5" w:rsidP="002B7CED">
      <w:pPr>
        <w:spacing w:before="200" w:after="0"/>
        <w:rPr>
          <w:b/>
          <w:bCs/>
          <w:color w:val="0070C0"/>
          <w:sz w:val="26"/>
          <w:szCs w:val="26"/>
        </w:rPr>
      </w:pPr>
      <w:r w:rsidRPr="002B7CED">
        <w:rPr>
          <w:b/>
          <w:bCs/>
          <w:color w:val="0070C0"/>
          <w:sz w:val="26"/>
          <w:szCs w:val="26"/>
        </w:rPr>
        <w:t>General laundry</w:t>
      </w:r>
      <w:r w:rsidR="0093612C" w:rsidRPr="002B7CED">
        <w:rPr>
          <w:b/>
          <w:bCs/>
          <w:color w:val="0070C0"/>
          <w:sz w:val="26"/>
          <w:szCs w:val="26"/>
        </w:rPr>
        <w:t xml:space="preserve"> – Part 1.8</w:t>
      </w:r>
    </w:p>
    <w:p w14:paraId="15DB3D84" w14:textId="77777777" w:rsidR="00E151B5" w:rsidRPr="00113FCD" w:rsidRDefault="00E151B5" w:rsidP="40B9380F">
      <w:pPr>
        <w:spacing w:after="120" w:line="240" w:lineRule="auto"/>
        <w:rPr>
          <w:rFonts w:eastAsia="Times New Roman" w:cs="Times New Roman"/>
          <w:color w:val="111111"/>
          <w:sz w:val="24"/>
          <w:szCs w:val="24"/>
          <w:lang w:val="en-US" w:eastAsia="en-AU"/>
        </w:rPr>
      </w:pPr>
      <w:r w:rsidRPr="40B9380F">
        <w:rPr>
          <w:rFonts w:eastAsia="Times New Roman" w:cs="Times New Roman"/>
          <w:color w:val="111111"/>
          <w:sz w:val="24"/>
          <w:szCs w:val="24"/>
          <w:lang w:val="en-US" w:eastAsia="en-AU"/>
        </w:rPr>
        <w:t>Heavy laundry facilities and services, and personal laundry services, including laundering of clothing that can be machine washed.</w:t>
      </w:r>
    </w:p>
    <w:p w14:paraId="16D3A781" w14:textId="53DEDA29" w:rsidR="00056B54" w:rsidRPr="00E50E6B" w:rsidRDefault="000C459E" w:rsidP="001A3223">
      <w:pPr>
        <w:pStyle w:val="ListParagraph"/>
        <w:numPr>
          <w:ilvl w:val="0"/>
          <w:numId w:val="42"/>
        </w:numPr>
        <w:spacing w:before="0" w:after="120" w:line="240" w:lineRule="auto"/>
        <w:ind w:left="709" w:hanging="425"/>
        <w:rPr>
          <w:rFonts w:asciiTheme="minorHAnsi" w:eastAsia="Times New Roman" w:hAnsiTheme="minorHAnsi"/>
          <w:color w:val="111111"/>
          <w:sz w:val="24"/>
          <w:szCs w:val="24"/>
          <w:lang w:val="en-US" w:eastAsia="en-AU"/>
        </w:rPr>
      </w:pPr>
      <w:r>
        <w:rPr>
          <w:rFonts w:asciiTheme="minorHAnsi" w:eastAsia="Times New Roman" w:hAnsiTheme="minorHAnsi"/>
          <w:color w:val="111111"/>
          <w:sz w:val="24"/>
          <w:szCs w:val="24"/>
          <w:lang w:val="en-US" w:eastAsia="en-AU"/>
        </w:rPr>
        <w:t>e</w:t>
      </w:r>
      <w:r w:rsidR="00E151B5" w:rsidRPr="3A670EAA">
        <w:rPr>
          <w:rFonts w:asciiTheme="minorHAnsi" w:eastAsia="Times New Roman" w:hAnsiTheme="minorHAnsi"/>
          <w:color w:val="111111"/>
          <w:sz w:val="24"/>
          <w:szCs w:val="24"/>
          <w:lang w:val="en-US" w:eastAsia="en-AU"/>
        </w:rPr>
        <w:t xml:space="preserve">xcludes cleaning of clothing requiring dry cleaning or another special cleaning process, and personal laundry if a </w:t>
      </w:r>
      <w:r w:rsidR="009978D8">
        <w:rPr>
          <w:rFonts w:asciiTheme="minorHAnsi" w:eastAsia="Times New Roman" w:hAnsiTheme="minorHAnsi"/>
          <w:color w:val="111111"/>
          <w:sz w:val="24"/>
          <w:szCs w:val="24"/>
          <w:lang w:val="en-US" w:eastAsia="en-AU"/>
        </w:rPr>
        <w:t>resident</w:t>
      </w:r>
      <w:r w:rsidR="00E151B5" w:rsidRPr="3A670EAA">
        <w:rPr>
          <w:rFonts w:asciiTheme="minorHAnsi" w:eastAsia="Times New Roman" w:hAnsiTheme="minorHAnsi"/>
          <w:color w:val="111111"/>
          <w:sz w:val="24"/>
          <w:szCs w:val="24"/>
          <w:lang w:val="en-US" w:eastAsia="en-AU"/>
        </w:rPr>
        <w:t xml:space="preserve"> chooses and is able to do this </w:t>
      </w:r>
      <w:r w:rsidR="005B7F69" w:rsidRPr="3A670EAA">
        <w:rPr>
          <w:rFonts w:asciiTheme="minorHAnsi" w:eastAsia="Times New Roman" w:hAnsiTheme="minorHAnsi"/>
          <w:color w:val="111111"/>
          <w:sz w:val="24"/>
          <w:szCs w:val="24"/>
          <w:lang w:val="en-US" w:eastAsia="en-AU"/>
        </w:rPr>
        <w:t>themselves</w:t>
      </w:r>
      <w:r w:rsidR="00E151B5" w:rsidRPr="3A670EAA">
        <w:rPr>
          <w:rFonts w:asciiTheme="minorHAnsi" w:eastAsia="Times New Roman" w:hAnsiTheme="minorHAnsi"/>
          <w:color w:val="111111"/>
          <w:sz w:val="24"/>
          <w:szCs w:val="24"/>
          <w:lang w:val="en-US" w:eastAsia="en-AU"/>
        </w:rPr>
        <w:t>.</w:t>
      </w:r>
    </w:p>
    <w:p w14:paraId="7FBED2C1" w14:textId="5631AA4E" w:rsidR="00A27450" w:rsidRPr="00671111" w:rsidRDefault="00E151B5" w:rsidP="00357ECE">
      <w:pPr>
        <w:spacing w:after="120" w:line="240" w:lineRule="auto"/>
        <w:rPr>
          <w:rFonts w:eastAsia="Times New Roman" w:cs="Times New Roman"/>
          <w:color w:val="111111"/>
          <w:sz w:val="24"/>
          <w:szCs w:val="24"/>
          <w:lang w:val="en-US" w:eastAsia="en-AU"/>
        </w:rPr>
      </w:pPr>
      <w:r w:rsidRPr="00671111">
        <w:rPr>
          <w:rFonts w:eastAsia="Times New Roman" w:cs="Times New Roman"/>
          <w:color w:val="111111"/>
          <w:sz w:val="24"/>
          <w:szCs w:val="24"/>
          <w:lang w:val="en-US" w:eastAsia="en-AU"/>
        </w:rPr>
        <w:t>A provider cannot charge a resident for:</w:t>
      </w:r>
    </w:p>
    <w:p w14:paraId="56A83A10" w14:textId="00B8668A" w:rsidR="00E151B5" w:rsidRPr="00113FCD" w:rsidRDefault="00E151B5" w:rsidP="001A3223">
      <w:pPr>
        <w:pStyle w:val="ListParagraph"/>
        <w:numPr>
          <w:ilvl w:val="0"/>
          <w:numId w:val="42"/>
        </w:numPr>
        <w:spacing w:before="0" w:after="0" w:line="240" w:lineRule="auto"/>
        <w:ind w:left="709" w:hanging="425"/>
        <w:rPr>
          <w:rFonts w:asciiTheme="minorHAnsi" w:eastAsia="Times New Roman" w:hAnsiTheme="minorHAnsi"/>
          <w:color w:val="111111"/>
          <w:sz w:val="24"/>
          <w:szCs w:val="24"/>
          <w:lang w:val="en" w:eastAsia="en-AU"/>
        </w:rPr>
      </w:pPr>
      <w:r w:rsidRPr="00113FCD">
        <w:rPr>
          <w:rFonts w:asciiTheme="minorHAnsi" w:eastAsia="Times New Roman" w:hAnsiTheme="minorHAnsi"/>
          <w:color w:val="111111"/>
          <w:sz w:val="24"/>
          <w:szCs w:val="24"/>
          <w:lang w:val="en" w:eastAsia="en-AU"/>
        </w:rPr>
        <w:t>general laundry, including washing and ironing clot</w:t>
      </w:r>
      <w:r w:rsidR="00A27450" w:rsidRPr="00113FCD">
        <w:rPr>
          <w:rFonts w:asciiTheme="minorHAnsi" w:eastAsia="Times New Roman" w:hAnsiTheme="minorHAnsi"/>
          <w:color w:val="111111"/>
          <w:sz w:val="24"/>
          <w:szCs w:val="24"/>
          <w:lang w:val="en" w:eastAsia="en-AU"/>
        </w:rPr>
        <w:t>hing that can be machine washed (</w:t>
      </w:r>
      <w:r w:rsidRPr="00113FCD">
        <w:rPr>
          <w:rFonts w:asciiTheme="minorHAnsi" w:eastAsia="Times New Roman" w:hAnsiTheme="minorHAnsi"/>
          <w:color w:val="111111"/>
          <w:sz w:val="24"/>
          <w:szCs w:val="24"/>
          <w:lang w:val="en" w:eastAsia="en-AU"/>
        </w:rPr>
        <w:t>excludes hand-washing items of the resident’s clothing</w:t>
      </w:r>
      <w:r w:rsidR="00A27450" w:rsidRPr="00113FCD">
        <w:rPr>
          <w:rFonts w:asciiTheme="minorHAnsi" w:eastAsia="Times New Roman" w:hAnsiTheme="minorHAnsi"/>
          <w:color w:val="111111"/>
          <w:sz w:val="24"/>
          <w:szCs w:val="24"/>
          <w:lang w:val="en" w:eastAsia="en-AU"/>
        </w:rPr>
        <w:t>)</w:t>
      </w:r>
    </w:p>
    <w:p w14:paraId="0EC84CB6" w14:textId="77777777" w:rsidR="00E151B5" w:rsidRPr="00113FCD" w:rsidRDefault="00E151B5" w:rsidP="001A3223">
      <w:pPr>
        <w:pStyle w:val="ListParagraph"/>
        <w:numPr>
          <w:ilvl w:val="0"/>
          <w:numId w:val="42"/>
        </w:numPr>
        <w:spacing w:before="0" w:after="0" w:line="240" w:lineRule="auto"/>
        <w:ind w:left="709" w:hanging="425"/>
        <w:rPr>
          <w:rFonts w:asciiTheme="minorHAnsi" w:eastAsia="Times New Roman" w:hAnsiTheme="minorHAnsi"/>
          <w:color w:val="111111"/>
          <w:sz w:val="24"/>
          <w:szCs w:val="24"/>
          <w:lang w:val="en-US" w:eastAsia="en-AU"/>
        </w:rPr>
      </w:pPr>
      <w:r w:rsidRPr="17F94A6F">
        <w:rPr>
          <w:rFonts w:asciiTheme="minorHAnsi" w:eastAsia="Times New Roman" w:hAnsiTheme="minorHAnsi"/>
          <w:color w:val="111111"/>
          <w:sz w:val="24"/>
          <w:szCs w:val="24"/>
          <w:lang w:val="en-US" w:eastAsia="en-AU"/>
        </w:rPr>
        <w:t>a system to identify the resident’s laundry items</w:t>
      </w:r>
      <w:r w:rsidR="00A27450" w:rsidRPr="17F94A6F">
        <w:rPr>
          <w:rFonts w:asciiTheme="minorHAnsi" w:eastAsia="Times New Roman" w:hAnsiTheme="minorHAnsi"/>
          <w:color w:val="111111"/>
          <w:sz w:val="24"/>
          <w:szCs w:val="24"/>
          <w:lang w:val="en-US" w:eastAsia="en-AU"/>
        </w:rPr>
        <w:t xml:space="preserve"> (</w:t>
      </w:r>
      <w:r w:rsidRPr="17F94A6F">
        <w:rPr>
          <w:rFonts w:asciiTheme="minorHAnsi" w:eastAsia="Times New Roman" w:hAnsiTheme="minorHAnsi"/>
          <w:color w:val="111111"/>
          <w:sz w:val="24"/>
          <w:szCs w:val="24"/>
          <w:lang w:val="en-US" w:eastAsia="en-AU"/>
        </w:rPr>
        <w:t>excludes an effective alternative system of the resident’s own choice</w:t>
      </w:r>
      <w:r w:rsidR="00A27450" w:rsidRPr="17F94A6F">
        <w:rPr>
          <w:rFonts w:asciiTheme="minorHAnsi" w:eastAsia="Times New Roman" w:hAnsiTheme="minorHAnsi"/>
          <w:color w:val="111111"/>
          <w:sz w:val="24"/>
          <w:szCs w:val="24"/>
          <w:lang w:val="en-US" w:eastAsia="en-AU"/>
        </w:rPr>
        <w:t>)</w:t>
      </w:r>
      <w:r w:rsidRPr="17F94A6F">
        <w:rPr>
          <w:rFonts w:asciiTheme="minorHAnsi" w:eastAsia="Times New Roman" w:hAnsiTheme="minorHAnsi"/>
          <w:color w:val="111111"/>
          <w:sz w:val="24"/>
          <w:szCs w:val="24"/>
          <w:lang w:val="en-US" w:eastAsia="en-AU"/>
        </w:rPr>
        <w:t xml:space="preserve"> </w:t>
      </w:r>
    </w:p>
    <w:p w14:paraId="35338DE0" w14:textId="4BE82DFC"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lastRenderedPageBreak/>
        <w:t>for example, a provider may charge a resident additional fees if the resident requests use of woven name tapes when the provider normally uses a laundry marking pen to ensure identification of residents’ laundry</w:t>
      </w:r>
    </w:p>
    <w:p w14:paraId="15D6A737" w14:textId="5E6D8742" w:rsidR="00E151B5" w:rsidRPr="002B7CED" w:rsidRDefault="00E151B5" w:rsidP="002B7CED">
      <w:pPr>
        <w:spacing w:before="200" w:after="0"/>
        <w:rPr>
          <w:b/>
          <w:bCs/>
          <w:color w:val="0070C0"/>
          <w:sz w:val="26"/>
          <w:szCs w:val="26"/>
        </w:rPr>
      </w:pPr>
      <w:r w:rsidRPr="002B7CED">
        <w:rPr>
          <w:b/>
          <w:bCs/>
          <w:color w:val="0070C0"/>
          <w:sz w:val="26"/>
          <w:szCs w:val="26"/>
        </w:rPr>
        <w:t>Toiletry goods</w:t>
      </w:r>
      <w:r w:rsidR="0093612C" w:rsidRPr="002B7CED">
        <w:rPr>
          <w:b/>
          <w:bCs/>
          <w:color w:val="0070C0"/>
          <w:sz w:val="26"/>
          <w:szCs w:val="26"/>
        </w:rPr>
        <w:t xml:space="preserve"> – Part 1.9</w:t>
      </w:r>
    </w:p>
    <w:p w14:paraId="66D99E7A" w14:textId="77777777" w:rsidR="00A27450" w:rsidRPr="00113FCD" w:rsidRDefault="00E151B5" w:rsidP="17F94A6F">
      <w:pPr>
        <w:spacing w:after="120" w:line="240" w:lineRule="auto"/>
        <w:rPr>
          <w:rFonts w:eastAsia="Times New Roman" w:cs="Times New Roman"/>
          <w:color w:val="111111"/>
          <w:sz w:val="24"/>
          <w:szCs w:val="24"/>
          <w:lang w:val="en-US" w:eastAsia="en-AU"/>
        </w:rPr>
      </w:pPr>
      <w:r w:rsidRPr="17F94A6F">
        <w:rPr>
          <w:rFonts w:eastAsia="Times New Roman" w:cs="Times New Roman"/>
          <w:color w:val="111111"/>
          <w:sz w:val="24"/>
          <w:szCs w:val="24"/>
          <w:lang w:val="en-US" w:eastAsia="en-AU"/>
        </w:rPr>
        <w:t>Bath towels, face washers, soap, toilet paper, tissues, toothpaste, toothbrushes, denture cleaning preparations, mouthwashes, moisturiser, shampoo, conditioner, shaving cream, disposable razors and deodorant.</w:t>
      </w:r>
    </w:p>
    <w:p w14:paraId="45A1A2AF" w14:textId="77777777" w:rsidR="00A27450" w:rsidRPr="00113FCD" w:rsidRDefault="00E151B5" w:rsidP="00357ECE">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64EAF0C8" w14:textId="615CFF40" w:rsidR="00A27450"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suitable soap, or soap substitute, if the resident’s care needs mean the resident cannot use the soap normally provided</w:t>
      </w:r>
    </w:p>
    <w:p w14:paraId="2424275D" w14:textId="47B928C5"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denture cleaning products</w:t>
      </w:r>
    </w:p>
    <w:p w14:paraId="1A06D42F" w14:textId="02754663" w:rsidR="00A27450"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excludes personal denture containers</w:t>
      </w:r>
    </w:p>
    <w:p w14:paraId="1306C7CC" w14:textId="3E292330" w:rsidR="00E151B5" w:rsidRPr="002B7CED" w:rsidRDefault="00E151B5" w:rsidP="002B7CED">
      <w:pPr>
        <w:spacing w:before="200" w:after="0"/>
        <w:rPr>
          <w:b/>
          <w:bCs/>
          <w:color w:val="0070C0"/>
          <w:sz w:val="26"/>
          <w:szCs w:val="26"/>
        </w:rPr>
      </w:pPr>
      <w:r w:rsidRPr="002B7CED">
        <w:rPr>
          <w:b/>
          <w:bCs/>
          <w:color w:val="0070C0"/>
          <w:sz w:val="26"/>
          <w:szCs w:val="26"/>
        </w:rPr>
        <w:t>Meals and refreshments</w:t>
      </w:r>
      <w:r w:rsidR="0093612C" w:rsidRPr="002B7CED">
        <w:rPr>
          <w:b/>
          <w:bCs/>
          <w:color w:val="0070C0"/>
          <w:sz w:val="26"/>
          <w:szCs w:val="26"/>
        </w:rPr>
        <w:t xml:space="preserve"> – Part 1.10</w:t>
      </w:r>
    </w:p>
    <w:p w14:paraId="062BA3D8" w14:textId="191B0D62" w:rsidR="00E151B5" w:rsidRPr="00B35C39" w:rsidRDefault="0049495B"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m</w:t>
      </w:r>
      <w:r w:rsidR="00E151B5" w:rsidRPr="00B35C39">
        <w:rPr>
          <w:rFonts w:eastAsia="Calibri" w:cs="Arial"/>
          <w:sz w:val="24"/>
          <w:szCs w:val="24"/>
        </w:rPr>
        <w:t xml:space="preserve">eals of adequate variety, quality and quantity for each </w:t>
      </w:r>
      <w:r w:rsidR="009978D8" w:rsidRPr="00B35C39">
        <w:rPr>
          <w:rFonts w:eastAsia="Calibri" w:cs="Arial"/>
          <w:sz w:val="24"/>
          <w:szCs w:val="24"/>
        </w:rPr>
        <w:t>resident</w:t>
      </w:r>
      <w:r w:rsidR="00E151B5" w:rsidRPr="00B35C39">
        <w:rPr>
          <w:rFonts w:eastAsia="Calibri" w:cs="Arial"/>
          <w:sz w:val="24"/>
          <w:szCs w:val="24"/>
        </w:rPr>
        <w:t xml:space="preserve">, served each day at times generally acceptable to both </w:t>
      </w:r>
      <w:r w:rsidR="009978D8" w:rsidRPr="00B35C39">
        <w:rPr>
          <w:rFonts w:eastAsia="Calibri" w:cs="Arial"/>
          <w:sz w:val="24"/>
          <w:szCs w:val="24"/>
        </w:rPr>
        <w:t>resident</w:t>
      </w:r>
      <w:r w:rsidR="00E151B5" w:rsidRPr="00B35C39">
        <w:rPr>
          <w:rFonts w:eastAsia="Calibri" w:cs="Arial"/>
          <w:sz w:val="24"/>
          <w:szCs w:val="24"/>
        </w:rPr>
        <w:t>s and management, and generally consisting of 3 meals per day plus morning tea, afternoon tea and supper</w:t>
      </w:r>
    </w:p>
    <w:p w14:paraId="53395AED" w14:textId="038AD921" w:rsidR="00E151B5" w:rsidRPr="00B35C39" w:rsidRDefault="0049495B"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s</w:t>
      </w:r>
      <w:r w:rsidR="00E151B5" w:rsidRPr="00B35C39">
        <w:rPr>
          <w:rFonts w:eastAsia="Calibri" w:cs="Arial"/>
          <w:sz w:val="24"/>
          <w:szCs w:val="24"/>
        </w:rPr>
        <w:t>pecial dietary requirements, having regard to either medical need or religious or cultural observance</w:t>
      </w:r>
    </w:p>
    <w:p w14:paraId="5A621E8C" w14:textId="5BE40BFE" w:rsidR="00A0214A" w:rsidRPr="00B35C39" w:rsidRDefault="47C5F112" w:rsidP="00B35C39">
      <w:pPr>
        <w:numPr>
          <w:ilvl w:val="0"/>
          <w:numId w:val="9"/>
        </w:numPr>
        <w:tabs>
          <w:tab w:val="clear" w:pos="720"/>
        </w:tabs>
        <w:spacing w:after="120" w:line="240" w:lineRule="auto"/>
        <w:ind w:left="851" w:hanging="425"/>
        <w:rPr>
          <w:rFonts w:eastAsia="Calibri" w:cs="Arial"/>
          <w:sz w:val="24"/>
          <w:szCs w:val="24"/>
        </w:rPr>
      </w:pPr>
      <w:r w:rsidRPr="1028C40E">
        <w:rPr>
          <w:rFonts w:eastAsia="Calibri" w:cs="Arial"/>
          <w:sz w:val="24"/>
          <w:szCs w:val="24"/>
        </w:rPr>
        <w:t>f</w:t>
      </w:r>
      <w:r w:rsidR="4201EBDF" w:rsidRPr="1028C40E">
        <w:rPr>
          <w:rFonts w:eastAsia="Calibri" w:cs="Arial"/>
          <w:sz w:val="24"/>
          <w:szCs w:val="24"/>
        </w:rPr>
        <w:t>ood, including fruit of adequate variety, quality and quantity, and non</w:t>
      </w:r>
      <w:r w:rsidR="66021844" w:rsidRPr="1028C40E">
        <w:rPr>
          <w:rFonts w:eastAsia="Calibri" w:cs="Arial"/>
          <w:sz w:val="24"/>
          <w:szCs w:val="24"/>
        </w:rPr>
        <w:t>-</w:t>
      </w:r>
      <w:r w:rsidR="4201EBDF" w:rsidRPr="1028C40E">
        <w:rPr>
          <w:rFonts w:eastAsia="Calibri" w:cs="Arial"/>
          <w:sz w:val="24"/>
          <w:szCs w:val="24"/>
        </w:rPr>
        <w:t>alcoholic beverages, including fruit juice</w:t>
      </w:r>
      <w:r w:rsidR="00E151B5" w:rsidRPr="00B35C39">
        <w:rPr>
          <w:rFonts w:eastAsia="Calibri" w:cs="Arial"/>
          <w:sz w:val="24"/>
          <w:szCs w:val="24"/>
        </w:rPr>
        <w:noBreakHyphen/>
        <w:t>alcoholic beverages, including fruit juice</w:t>
      </w:r>
    </w:p>
    <w:p w14:paraId="013AC2A5" w14:textId="77777777" w:rsidR="00E151B5" w:rsidRPr="00113FCD" w:rsidRDefault="00E151B5" w:rsidP="00357ECE">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4649E8FE" w14:textId="3E4D1D95" w:rsidR="00E151B5" w:rsidRPr="00113FCD" w:rsidRDefault="00E151B5" w:rsidP="001A3223">
      <w:pPr>
        <w:pStyle w:val="ListParagraph"/>
        <w:widowControl w:val="0"/>
        <w:numPr>
          <w:ilvl w:val="0"/>
          <w:numId w:val="46"/>
        </w:numPr>
        <w:suppressAutoHyphens/>
        <w:autoSpaceDE w:val="0"/>
        <w:autoSpaceDN w:val="0"/>
        <w:adjustRightInd w:val="0"/>
        <w:spacing w:before="0" w:after="0" w:line="240" w:lineRule="auto"/>
        <w:ind w:left="714" w:hanging="357"/>
        <w:textAlignment w:val="center"/>
        <w:rPr>
          <w:rFonts w:asciiTheme="minorHAnsi" w:eastAsia="Times New Roman" w:hAnsiTheme="minorHAnsi"/>
          <w:color w:val="111111"/>
          <w:sz w:val="24"/>
          <w:szCs w:val="24"/>
          <w:lang w:val="en-US" w:eastAsia="en-AU"/>
        </w:rPr>
      </w:pPr>
      <w:r w:rsidRPr="17F94A6F">
        <w:rPr>
          <w:rFonts w:asciiTheme="minorHAnsi" w:eastAsia="Times New Roman" w:hAnsiTheme="minorHAnsi"/>
          <w:color w:val="111111"/>
          <w:sz w:val="24"/>
          <w:szCs w:val="24"/>
          <w:lang w:val="en-US" w:eastAsia="en-AU"/>
        </w:rPr>
        <w:t>quality food in accordance with the resident’s individual nutritional needs</w:t>
      </w:r>
    </w:p>
    <w:p w14:paraId="1C7C22D5" w14:textId="77777777" w:rsidR="00A0214A"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consultation with residents in menu planning</w:t>
      </w:r>
    </w:p>
    <w:p w14:paraId="6150FA0D" w14:textId="77777777" w:rsidR="00E151B5" w:rsidRPr="00113FCD" w:rsidRDefault="00E151B5" w:rsidP="001A3223">
      <w:pPr>
        <w:pStyle w:val="ListParagraph"/>
        <w:widowControl w:val="0"/>
        <w:numPr>
          <w:ilvl w:val="1"/>
          <w:numId w:val="37"/>
        </w:numPr>
        <w:suppressAutoHyphens/>
        <w:autoSpaceDE w:val="0"/>
        <w:autoSpaceDN w:val="0"/>
        <w:adjustRightInd w:val="0"/>
        <w:spacing w:after="0" w:line="240" w:lineRule="auto"/>
        <w:ind w:left="709" w:hanging="283"/>
        <w:textAlignment w:val="center"/>
        <w:rPr>
          <w:rFonts w:asciiTheme="minorHAnsi" w:eastAsia="Times New Roman" w:hAnsiTheme="minorHAnsi"/>
          <w:color w:val="111111"/>
          <w:sz w:val="24"/>
          <w:szCs w:val="24"/>
          <w:lang w:val="en-US" w:eastAsia="en-AU"/>
        </w:rPr>
      </w:pPr>
      <w:r w:rsidRPr="17F94A6F">
        <w:rPr>
          <w:rFonts w:asciiTheme="minorHAnsi" w:eastAsia="Times New Roman" w:hAnsiTheme="minorHAnsi"/>
          <w:color w:val="111111"/>
          <w:sz w:val="24"/>
          <w:szCs w:val="24"/>
          <w:lang w:val="en-US" w:eastAsia="en-AU"/>
        </w:rPr>
        <w:t>special dietary items to meet the resident’s individual medical, cultural or religious needs</w:t>
      </w:r>
    </w:p>
    <w:p w14:paraId="7A95B928" w14:textId="77777777"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for example, vegetarian, kosher, halal food to meet cultural or religious needs</w:t>
      </w:r>
    </w:p>
    <w:p w14:paraId="5CED3E12" w14:textId="77777777"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gluten free food, low fat food and thickened drinks to meet medical needs</w:t>
      </w:r>
    </w:p>
    <w:p w14:paraId="14733333" w14:textId="6856E0EC" w:rsidR="00E151B5" w:rsidRPr="00B35C39" w:rsidRDefault="00E151B5"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includes nutritional supplements, if the resident is assessed by an appropriate health practitioner</w:t>
      </w:r>
      <w:r w:rsidR="00634275" w:rsidRPr="00B35C39">
        <w:rPr>
          <w:rFonts w:ascii="Calibri" w:hAnsi="Calibri" w:cs="Calibri"/>
          <w:color w:val="313131"/>
          <w:shd w:val="clear" w:color="auto" w:fill="FFFFFF"/>
        </w:rPr>
        <w:t xml:space="preserve"> </w:t>
      </w:r>
      <w:r w:rsidRPr="00B35C39">
        <w:rPr>
          <w:rFonts w:ascii="Calibri" w:hAnsi="Calibri" w:cs="Calibri"/>
          <w:color w:val="313131"/>
          <w:shd w:val="clear" w:color="auto" w:fill="FFFFFF"/>
        </w:rPr>
        <w:t>as requiring a special dietary supplement to ensure their adequate nutrition and hydration</w:t>
      </w:r>
    </w:p>
    <w:p w14:paraId="227FEC44" w14:textId="6A6AB051" w:rsidR="00E151B5" w:rsidRPr="002B7CED" w:rsidRDefault="009978D8" w:rsidP="002B7CED">
      <w:pPr>
        <w:spacing w:before="200" w:after="0"/>
        <w:rPr>
          <w:b/>
          <w:bCs/>
          <w:color w:val="0070C0"/>
          <w:sz w:val="26"/>
          <w:szCs w:val="26"/>
        </w:rPr>
      </w:pPr>
      <w:r w:rsidRPr="002B7CED">
        <w:rPr>
          <w:b/>
          <w:bCs/>
          <w:color w:val="0070C0"/>
          <w:sz w:val="26"/>
          <w:szCs w:val="26"/>
        </w:rPr>
        <w:t>Resident</w:t>
      </w:r>
      <w:r w:rsidR="00E151B5" w:rsidRPr="002B7CED">
        <w:rPr>
          <w:b/>
          <w:bCs/>
          <w:color w:val="0070C0"/>
          <w:sz w:val="26"/>
          <w:szCs w:val="26"/>
        </w:rPr>
        <w:t xml:space="preserve"> social activities</w:t>
      </w:r>
      <w:r w:rsidR="0093612C" w:rsidRPr="002B7CED">
        <w:rPr>
          <w:b/>
          <w:bCs/>
          <w:color w:val="0070C0"/>
          <w:sz w:val="26"/>
          <w:szCs w:val="26"/>
        </w:rPr>
        <w:t xml:space="preserve"> – Part 1.11</w:t>
      </w:r>
    </w:p>
    <w:p w14:paraId="160EC36D" w14:textId="4FC27DF2" w:rsidR="007477AE" w:rsidRPr="00725DFE" w:rsidRDefault="00E46176" w:rsidP="003C716B">
      <w:pPr>
        <w:spacing w:after="120" w:line="240" w:lineRule="auto"/>
        <w:rPr>
          <w:rFonts w:eastAsia="Times New Roman" w:cs="Times New Roman"/>
          <w:color w:val="111111"/>
          <w:sz w:val="24"/>
          <w:szCs w:val="24"/>
          <w:lang w:val="en-US" w:eastAsia="en-AU"/>
        </w:rPr>
      </w:pPr>
      <w:r w:rsidRPr="00725DFE">
        <w:rPr>
          <w:rFonts w:eastAsia="Times New Roman" w:cs="Times New Roman"/>
          <w:color w:val="111111"/>
          <w:sz w:val="24"/>
          <w:szCs w:val="24"/>
          <w:lang w:val="en-US" w:eastAsia="en-AU"/>
        </w:rPr>
        <w:t xml:space="preserve">Programs to encourage </w:t>
      </w:r>
      <w:r w:rsidR="009978D8">
        <w:rPr>
          <w:rFonts w:eastAsia="Times New Roman" w:cs="Times New Roman"/>
          <w:color w:val="111111"/>
          <w:sz w:val="24"/>
          <w:szCs w:val="24"/>
          <w:lang w:val="en-US" w:eastAsia="en-AU"/>
        </w:rPr>
        <w:t>resident</w:t>
      </w:r>
      <w:r w:rsidRPr="00725DFE">
        <w:rPr>
          <w:rFonts w:eastAsia="Times New Roman" w:cs="Times New Roman"/>
          <w:color w:val="111111"/>
          <w:sz w:val="24"/>
          <w:szCs w:val="24"/>
          <w:lang w:val="en-US" w:eastAsia="en-AU"/>
        </w:rPr>
        <w:t>s to take part in social activities that promote and protect their dignity, and to take part in community life outside the residential care service.</w:t>
      </w:r>
    </w:p>
    <w:p w14:paraId="2097C426" w14:textId="77777777" w:rsidR="00E151B5" w:rsidRPr="00113FCD" w:rsidRDefault="00E151B5" w:rsidP="00357ECE">
      <w:pPr>
        <w:spacing w:after="120" w:line="240" w:lineRule="auto"/>
        <w:rPr>
          <w:rFonts w:eastAsia="Times New Roman" w:cs="Times New Roman"/>
          <w:color w:val="111111"/>
          <w:sz w:val="24"/>
          <w:szCs w:val="24"/>
          <w:lang w:val="en" w:eastAsia="en-AU"/>
        </w:rPr>
      </w:pPr>
      <w:r w:rsidRPr="00113FCD">
        <w:rPr>
          <w:rFonts w:eastAsia="Times New Roman" w:cs="Times New Roman"/>
          <w:color w:val="111111"/>
          <w:sz w:val="24"/>
          <w:szCs w:val="24"/>
          <w:lang w:val="en" w:eastAsia="en-AU"/>
        </w:rPr>
        <w:t>A provider cannot charge a resident for:</w:t>
      </w:r>
    </w:p>
    <w:p w14:paraId="794C984E" w14:textId="77777777"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developing and delivering social activity programs in accordance with the resident’s needs, wishes and abilities</w:t>
      </w:r>
    </w:p>
    <w:p w14:paraId="0A7BD283" w14:textId="77777777"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includes consultation with the resident and/or their representative in program planning</w:t>
      </w:r>
    </w:p>
    <w:p w14:paraId="4B47ADE7" w14:textId="398FF95C" w:rsidR="00E151B5" w:rsidRPr="00B35C39" w:rsidRDefault="00E151B5"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excludes outing costs, for example transport, entry fees and purchased food</w:t>
      </w:r>
    </w:p>
    <w:p w14:paraId="1EA4E493" w14:textId="1AAC6006" w:rsidR="00DA3800" w:rsidRPr="002B7CED" w:rsidRDefault="00DA3800" w:rsidP="002B7CED">
      <w:pPr>
        <w:spacing w:before="200" w:after="0"/>
        <w:rPr>
          <w:b/>
          <w:bCs/>
          <w:color w:val="0070C0"/>
          <w:sz w:val="26"/>
          <w:szCs w:val="26"/>
        </w:rPr>
      </w:pPr>
      <w:r w:rsidRPr="002B7CED">
        <w:rPr>
          <w:b/>
          <w:bCs/>
          <w:color w:val="0070C0"/>
          <w:sz w:val="26"/>
          <w:szCs w:val="26"/>
        </w:rPr>
        <w:t>Things you need to know</w:t>
      </w:r>
    </w:p>
    <w:p w14:paraId="7FA35037" w14:textId="613B413E" w:rsidR="008E7E5A"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t>p</w:t>
      </w:r>
      <w:r w:rsidR="008E7E5A" w:rsidRPr="00B35C39">
        <w:rPr>
          <w:rFonts w:eastAsia="Calibri" w:cs="Arial"/>
          <w:sz w:val="24"/>
          <w:szCs w:val="24"/>
        </w:rPr>
        <w:t xml:space="preserve">roviders must </w:t>
      </w:r>
      <w:r w:rsidR="00A50DD6" w:rsidRPr="00B35C39">
        <w:rPr>
          <w:rFonts w:eastAsia="Calibri" w:cs="Arial"/>
          <w:sz w:val="24"/>
          <w:szCs w:val="24"/>
        </w:rPr>
        <w:t>ensure that</w:t>
      </w:r>
      <w:r w:rsidR="008E7E5A" w:rsidRPr="00B35C39">
        <w:rPr>
          <w:rFonts w:eastAsia="Calibri" w:cs="Arial"/>
          <w:sz w:val="24"/>
          <w:szCs w:val="24"/>
        </w:rPr>
        <w:t xml:space="preserve"> </w:t>
      </w:r>
      <w:r w:rsidR="00B40675" w:rsidRPr="00B35C39">
        <w:rPr>
          <w:rFonts w:eastAsia="Calibri" w:cs="Arial"/>
          <w:sz w:val="24"/>
          <w:szCs w:val="24"/>
        </w:rPr>
        <w:t xml:space="preserve">all </w:t>
      </w:r>
      <w:r w:rsidR="00D1169B" w:rsidRPr="00B35C39">
        <w:rPr>
          <w:rFonts w:eastAsia="Calibri" w:cs="Arial"/>
          <w:sz w:val="24"/>
          <w:szCs w:val="24"/>
        </w:rPr>
        <w:t xml:space="preserve">residents, upon entry to a facility, are assessed against all additional services listed in their agreement for which there is a fee </w:t>
      </w:r>
      <w:r w:rsidR="00B40675" w:rsidRPr="00B35C39">
        <w:rPr>
          <w:rFonts w:eastAsia="Calibri" w:cs="Arial"/>
          <w:sz w:val="24"/>
          <w:szCs w:val="24"/>
        </w:rPr>
        <w:t xml:space="preserve">and the services, if any, that </w:t>
      </w:r>
      <w:r w:rsidR="00A50DD6" w:rsidRPr="00B35C39">
        <w:rPr>
          <w:rFonts w:eastAsia="Calibri" w:cs="Arial"/>
          <w:sz w:val="24"/>
          <w:szCs w:val="24"/>
        </w:rPr>
        <w:t>provide a</w:t>
      </w:r>
      <w:r w:rsidR="00B40675" w:rsidRPr="00B35C39">
        <w:rPr>
          <w:rFonts w:eastAsia="Calibri" w:cs="Arial"/>
          <w:sz w:val="24"/>
          <w:szCs w:val="24"/>
        </w:rPr>
        <w:t xml:space="preserve"> direct benefit </w:t>
      </w:r>
      <w:r w:rsidR="00A50DD6" w:rsidRPr="00B35C39">
        <w:rPr>
          <w:rFonts w:eastAsia="Calibri" w:cs="Arial"/>
          <w:sz w:val="24"/>
          <w:szCs w:val="24"/>
        </w:rPr>
        <w:t xml:space="preserve">to </w:t>
      </w:r>
      <w:r w:rsidR="00B40675" w:rsidRPr="00B35C39">
        <w:rPr>
          <w:rFonts w:eastAsia="Calibri" w:cs="Arial"/>
          <w:sz w:val="24"/>
          <w:szCs w:val="24"/>
        </w:rPr>
        <w:t xml:space="preserve">and </w:t>
      </w:r>
      <w:r w:rsidR="00A50DD6" w:rsidRPr="00B35C39">
        <w:rPr>
          <w:rFonts w:eastAsia="Calibri" w:cs="Arial"/>
          <w:sz w:val="24"/>
          <w:szCs w:val="24"/>
        </w:rPr>
        <w:t xml:space="preserve">can be used </w:t>
      </w:r>
      <w:r w:rsidR="00B40675" w:rsidRPr="00B35C39">
        <w:rPr>
          <w:rFonts w:eastAsia="Calibri" w:cs="Arial"/>
          <w:sz w:val="24"/>
          <w:szCs w:val="24"/>
        </w:rPr>
        <w:t>by the resident</w:t>
      </w:r>
      <w:r w:rsidR="00D6159E" w:rsidRPr="00B35C39">
        <w:rPr>
          <w:rFonts w:eastAsia="Calibri" w:cs="Arial"/>
          <w:sz w:val="24"/>
          <w:szCs w:val="24"/>
        </w:rPr>
        <w:t xml:space="preserve"> are</w:t>
      </w:r>
      <w:r w:rsidR="00B40675" w:rsidRPr="00B35C39">
        <w:rPr>
          <w:rFonts w:eastAsia="Calibri" w:cs="Arial"/>
          <w:sz w:val="24"/>
          <w:szCs w:val="24"/>
        </w:rPr>
        <w:t xml:space="preserve"> identified</w:t>
      </w:r>
      <w:r w:rsidR="00D1169B" w:rsidRPr="00B35C39">
        <w:rPr>
          <w:rFonts w:eastAsia="Calibri" w:cs="Arial"/>
          <w:sz w:val="24"/>
          <w:szCs w:val="24"/>
        </w:rPr>
        <w:t>.</w:t>
      </w:r>
    </w:p>
    <w:p w14:paraId="01F63FE7" w14:textId="042B0C44" w:rsidR="00D1169B"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lastRenderedPageBreak/>
        <w:t>p</w:t>
      </w:r>
      <w:r w:rsidR="00D1169B" w:rsidRPr="00B35C39">
        <w:rPr>
          <w:rFonts w:eastAsia="Calibri" w:cs="Arial"/>
          <w:sz w:val="24"/>
          <w:szCs w:val="24"/>
        </w:rPr>
        <w:t xml:space="preserve">roviders must </w:t>
      </w:r>
      <w:r w:rsidR="00A50DD6" w:rsidRPr="00B35C39">
        <w:rPr>
          <w:rFonts w:eastAsia="Calibri" w:cs="Arial"/>
          <w:sz w:val="24"/>
          <w:szCs w:val="24"/>
        </w:rPr>
        <w:t>ensure</w:t>
      </w:r>
      <w:r w:rsidR="00D1169B" w:rsidRPr="00B35C39">
        <w:rPr>
          <w:rFonts w:eastAsia="Calibri" w:cs="Arial"/>
          <w:sz w:val="24"/>
          <w:szCs w:val="24"/>
        </w:rPr>
        <w:t xml:space="preserve"> that residents</w:t>
      </w:r>
      <w:r w:rsidR="00B40675" w:rsidRPr="00B35C39">
        <w:rPr>
          <w:rFonts w:eastAsia="Calibri" w:cs="Arial"/>
          <w:sz w:val="24"/>
          <w:szCs w:val="24"/>
        </w:rPr>
        <w:t>,</w:t>
      </w:r>
      <w:r w:rsidR="00D1169B" w:rsidRPr="00B35C39">
        <w:rPr>
          <w:rFonts w:eastAsia="Calibri" w:cs="Arial"/>
          <w:sz w:val="24"/>
          <w:szCs w:val="24"/>
        </w:rPr>
        <w:t xml:space="preserve"> upon entry </w:t>
      </w:r>
      <w:r w:rsidR="00B40675" w:rsidRPr="00B35C39">
        <w:rPr>
          <w:rFonts w:eastAsia="Calibri" w:cs="Arial"/>
          <w:sz w:val="24"/>
          <w:szCs w:val="24"/>
        </w:rPr>
        <w:t xml:space="preserve">to a facility, are only </w:t>
      </w:r>
      <w:r w:rsidR="00D1169B" w:rsidRPr="00B35C39">
        <w:rPr>
          <w:rFonts w:eastAsia="Calibri" w:cs="Arial"/>
          <w:sz w:val="24"/>
          <w:szCs w:val="24"/>
        </w:rPr>
        <w:t xml:space="preserve">charged a fee for </w:t>
      </w:r>
      <w:r w:rsidR="00A50DD6" w:rsidRPr="00B35C39">
        <w:rPr>
          <w:rFonts w:eastAsia="Calibri" w:cs="Arial"/>
          <w:sz w:val="24"/>
          <w:szCs w:val="24"/>
        </w:rPr>
        <w:t>agreed additional</w:t>
      </w:r>
      <w:r w:rsidR="00D1169B" w:rsidRPr="00B35C39">
        <w:rPr>
          <w:rFonts w:eastAsia="Calibri" w:cs="Arial"/>
          <w:sz w:val="24"/>
          <w:szCs w:val="24"/>
        </w:rPr>
        <w:t xml:space="preserve"> services</w:t>
      </w:r>
      <w:r w:rsidR="00A50DD6" w:rsidRPr="00B35C39">
        <w:rPr>
          <w:rFonts w:eastAsia="Calibri" w:cs="Arial"/>
          <w:sz w:val="24"/>
          <w:szCs w:val="24"/>
        </w:rPr>
        <w:t xml:space="preserve"> that have been identified as providing a direct benefit to the resident and are capable of being used by the resident</w:t>
      </w:r>
    </w:p>
    <w:p w14:paraId="70EA52B8" w14:textId="33248577" w:rsidR="00B40675"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t>p</w:t>
      </w:r>
      <w:r w:rsidR="00B40675" w:rsidRPr="00B35C39">
        <w:rPr>
          <w:rFonts w:eastAsia="Calibri" w:cs="Arial"/>
          <w:sz w:val="24"/>
          <w:szCs w:val="24"/>
        </w:rPr>
        <w:t>roviders must have systems in place to continue to monitor and assess its residents to determine their capacity to utilise and benefit from the agree</w:t>
      </w:r>
      <w:r w:rsidR="00A50DD6" w:rsidRPr="00B35C39">
        <w:rPr>
          <w:rFonts w:eastAsia="Calibri" w:cs="Arial"/>
          <w:sz w:val="24"/>
          <w:szCs w:val="24"/>
        </w:rPr>
        <w:t>d</w:t>
      </w:r>
      <w:r w:rsidR="00B40675" w:rsidRPr="00B35C39">
        <w:rPr>
          <w:rFonts w:eastAsia="Calibri" w:cs="Arial"/>
          <w:sz w:val="24"/>
          <w:szCs w:val="24"/>
        </w:rPr>
        <w:t xml:space="preserve"> additional services</w:t>
      </w:r>
    </w:p>
    <w:p w14:paraId="36E1A715" w14:textId="7D890A57" w:rsidR="00DA3800"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t>p</w:t>
      </w:r>
      <w:r w:rsidR="00DA3800" w:rsidRPr="00B35C39">
        <w:rPr>
          <w:rFonts w:eastAsia="Calibri" w:cs="Arial"/>
          <w:sz w:val="24"/>
          <w:szCs w:val="24"/>
        </w:rPr>
        <w:t xml:space="preserve">roviders must be able to demonstrate compliance with </w:t>
      </w:r>
      <w:r w:rsidR="00A55F74" w:rsidRPr="00B35C39">
        <w:rPr>
          <w:rFonts w:eastAsia="Calibri" w:cs="Arial"/>
          <w:sz w:val="24"/>
          <w:szCs w:val="24"/>
        </w:rPr>
        <w:t>the charging of other care or services fees</w:t>
      </w:r>
      <w:r w:rsidR="006320CB" w:rsidRPr="00B35C39">
        <w:rPr>
          <w:rFonts w:eastAsia="Calibri" w:cs="Arial"/>
          <w:sz w:val="24"/>
          <w:szCs w:val="24"/>
        </w:rPr>
        <w:t>, including providing residents with an itemised account,</w:t>
      </w:r>
      <w:r w:rsidR="00A55F74" w:rsidRPr="00B35C39">
        <w:rPr>
          <w:rFonts w:eastAsia="Calibri" w:cs="Arial"/>
          <w:sz w:val="24"/>
          <w:szCs w:val="24"/>
        </w:rPr>
        <w:t xml:space="preserve"> </w:t>
      </w:r>
      <w:r w:rsidR="00DA3800" w:rsidRPr="00B35C39">
        <w:rPr>
          <w:rFonts w:eastAsia="Calibri" w:cs="Arial"/>
          <w:sz w:val="24"/>
          <w:szCs w:val="24"/>
        </w:rPr>
        <w:t>to their auditor</w:t>
      </w:r>
    </w:p>
    <w:p w14:paraId="09D395A4" w14:textId="2E2840EC" w:rsidR="00DA3800" w:rsidRPr="00B35C39" w:rsidRDefault="000C459E" w:rsidP="00B35C39">
      <w:pPr>
        <w:numPr>
          <w:ilvl w:val="0"/>
          <w:numId w:val="9"/>
        </w:numPr>
        <w:tabs>
          <w:tab w:val="clear" w:pos="720"/>
        </w:tabs>
        <w:spacing w:after="0" w:line="240" w:lineRule="auto"/>
        <w:ind w:left="851" w:hanging="425"/>
        <w:rPr>
          <w:rFonts w:eastAsia="Calibri" w:cs="Arial"/>
          <w:sz w:val="24"/>
          <w:szCs w:val="24"/>
        </w:rPr>
      </w:pPr>
      <w:r>
        <w:rPr>
          <w:rFonts w:eastAsia="Calibri" w:cs="Arial"/>
          <w:sz w:val="24"/>
          <w:szCs w:val="24"/>
        </w:rPr>
        <w:t>t</w:t>
      </w:r>
      <w:r w:rsidR="00DA3800" w:rsidRPr="00B35C39">
        <w:rPr>
          <w:rFonts w:eastAsia="Calibri" w:cs="Arial"/>
          <w:sz w:val="24"/>
          <w:szCs w:val="24"/>
        </w:rPr>
        <w:t xml:space="preserve">he </w:t>
      </w:r>
      <w:r w:rsidR="003E298C" w:rsidRPr="00B35C39">
        <w:rPr>
          <w:rFonts w:eastAsia="Calibri" w:cs="Arial"/>
          <w:sz w:val="24"/>
          <w:szCs w:val="24"/>
        </w:rPr>
        <w:t>provider</w:t>
      </w:r>
      <w:r w:rsidR="00DA3800" w:rsidRPr="00B35C39">
        <w:rPr>
          <w:rFonts w:eastAsia="Calibri" w:cs="Arial"/>
          <w:sz w:val="24"/>
          <w:szCs w:val="24"/>
        </w:rPr>
        <w:t xml:space="preserve"> could</w:t>
      </w:r>
      <w:r w:rsidR="003E298C" w:rsidRPr="00B35C39">
        <w:rPr>
          <w:rFonts w:eastAsia="Calibri" w:cs="Arial"/>
          <w:sz w:val="24"/>
          <w:szCs w:val="24"/>
        </w:rPr>
        <w:t xml:space="preserve"> be requested</w:t>
      </w:r>
      <w:r w:rsidR="00DA3800" w:rsidRPr="00B35C39">
        <w:rPr>
          <w:rFonts w:eastAsia="Calibri" w:cs="Arial"/>
          <w:sz w:val="24"/>
          <w:szCs w:val="24"/>
        </w:rPr>
        <w:t xml:space="preserve"> to provide records for monitoring and compliance purposes at any time</w:t>
      </w:r>
    </w:p>
    <w:p w14:paraId="15207339" w14:textId="77777777" w:rsidR="00DA3800" w:rsidRPr="002B7CED" w:rsidRDefault="00DA3800" w:rsidP="002B7CED">
      <w:pPr>
        <w:spacing w:before="200" w:after="0"/>
        <w:rPr>
          <w:b/>
          <w:bCs/>
          <w:color w:val="E36C0A" w:themeColor="accent6" w:themeShade="BF"/>
          <w:sz w:val="26"/>
          <w:szCs w:val="26"/>
        </w:rPr>
      </w:pPr>
      <w:r w:rsidRPr="002B7CED">
        <w:rPr>
          <w:b/>
          <w:bCs/>
          <w:color w:val="E36C0A" w:themeColor="accent6" w:themeShade="BF"/>
          <w:sz w:val="26"/>
          <w:szCs w:val="26"/>
        </w:rPr>
        <w:t>Your response in the APCS</w:t>
      </w:r>
    </w:p>
    <w:p w14:paraId="18F0FF7E" w14:textId="77777777" w:rsidR="00DA3800" w:rsidRPr="000164DB" w:rsidRDefault="00DA3800" w:rsidP="17F94A6F">
      <w:pPr>
        <w:spacing w:after="0" w:line="0" w:lineRule="atLeast"/>
        <w:rPr>
          <w:rFonts w:eastAsia="Times New Roman"/>
          <w:color w:val="111111"/>
          <w:sz w:val="24"/>
          <w:szCs w:val="24"/>
          <w:lang w:val="en-US" w:eastAsia="en-AU"/>
        </w:rPr>
      </w:pPr>
      <w:r w:rsidRPr="17F94A6F">
        <w:rPr>
          <w:rFonts w:eastAsia="Times New Roman"/>
          <w:color w:val="111111"/>
          <w:sz w:val="24"/>
          <w:szCs w:val="24"/>
          <w:lang w:val="en-US" w:eastAsia="en-AU"/>
        </w:rPr>
        <w:t xml:space="preserve">After </w:t>
      </w:r>
      <w:r w:rsidR="003D2C49" w:rsidRPr="17F94A6F">
        <w:rPr>
          <w:rFonts w:eastAsia="Times New Roman"/>
          <w:color w:val="111111"/>
          <w:sz w:val="24"/>
          <w:szCs w:val="24"/>
          <w:lang w:val="en-US" w:eastAsia="en-AU"/>
        </w:rPr>
        <w:t xml:space="preserve">considering the </w:t>
      </w:r>
      <w:r w:rsidR="00113FCD" w:rsidRPr="17F94A6F">
        <w:rPr>
          <w:rFonts w:eastAsia="Times New Roman"/>
          <w:color w:val="111111"/>
          <w:sz w:val="24"/>
          <w:szCs w:val="24"/>
          <w:lang w:val="en-US" w:eastAsia="en-AU"/>
        </w:rPr>
        <w:t>above</w:t>
      </w:r>
      <w:r w:rsidR="003D2C49" w:rsidRPr="17F94A6F">
        <w:rPr>
          <w:rFonts w:eastAsia="Times New Roman"/>
          <w:color w:val="111111"/>
          <w:sz w:val="24"/>
          <w:szCs w:val="24"/>
          <w:lang w:val="en-US" w:eastAsia="en-AU"/>
        </w:rPr>
        <w:t xml:space="preserve"> guidance</w:t>
      </w:r>
      <w:r w:rsidRPr="17F94A6F">
        <w:rPr>
          <w:rFonts w:eastAsia="Times New Roman"/>
          <w:color w:val="111111"/>
          <w:sz w:val="24"/>
          <w:szCs w:val="24"/>
          <w:lang w:val="en-US" w:eastAsia="en-AU"/>
        </w:rPr>
        <w:t xml:space="preserve">, </w:t>
      </w:r>
      <w:r w:rsidR="00B56E46" w:rsidRPr="17F94A6F">
        <w:rPr>
          <w:rFonts w:eastAsia="Times New Roman"/>
          <w:color w:val="111111"/>
          <w:sz w:val="24"/>
          <w:szCs w:val="24"/>
          <w:lang w:val="en-US" w:eastAsia="en-AU"/>
        </w:rPr>
        <w:t>regarding fees and charges, r</w:t>
      </w:r>
      <w:r w:rsidRPr="17F94A6F">
        <w:rPr>
          <w:rFonts w:eastAsia="Times New Roman"/>
          <w:color w:val="111111"/>
          <w:sz w:val="24"/>
          <w:szCs w:val="24"/>
          <w:lang w:val="en-US" w:eastAsia="en-AU"/>
        </w:rPr>
        <w:t>espond Yes or No.</w:t>
      </w:r>
    </w:p>
    <w:p w14:paraId="70863792" w14:textId="40E389C8" w:rsidR="000164DB" w:rsidRPr="000164DB" w:rsidRDefault="000164DB" w:rsidP="3A670EAA">
      <w:pPr>
        <w:pStyle w:val="Tabletext"/>
        <w:spacing w:before="0" w:after="120"/>
        <w:rPr>
          <w:rFonts w:asciiTheme="minorHAnsi" w:hAnsiTheme="minorHAnsi" w:cs="Times New Roman"/>
          <w:color w:val="000000"/>
          <w:sz w:val="24"/>
          <w:szCs w:val="24"/>
          <w:lang w:val="en-US" w:eastAsia="en-US"/>
        </w:rPr>
      </w:pPr>
      <w:r w:rsidRPr="3A670EAA">
        <w:rPr>
          <w:rFonts w:asciiTheme="minorHAnsi" w:hAnsiTheme="minorHAnsi" w:cs="Times New Roman"/>
          <w:color w:val="000000" w:themeColor="text1"/>
          <w:sz w:val="24"/>
          <w:szCs w:val="24"/>
          <w:lang w:val="en-US" w:eastAsia="en-US"/>
        </w:rPr>
        <w:t>If you answered ‘</w:t>
      </w:r>
      <w:r w:rsidR="00B83B51" w:rsidRPr="3A670EAA">
        <w:rPr>
          <w:rFonts w:asciiTheme="minorHAnsi" w:hAnsiTheme="minorHAnsi" w:cs="Times New Roman"/>
          <w:color w:val="000000" w:themeColor="text1"/>
          <w:sz w:val="24"/>
          <w:szCs w:val="24"/>
          <w:lang w:val="en-US" w:eastAsia="en-US"/>
        </w:rPr>
        <w:t>YES’,</w:t>
      </w:r>
      <w:r w:rsidRPr="3A670EAA">
        <w:rPr>
          <w:rFonts w:asciiTheme="minorHAnsi" w:hAnsiTheme="minorHAnsi" w:cs="Times New Roman"/>
          <w:color w:val="000000" w:themeColor="text1"/>
          <w:sz w:val="24"/>
          <w:szCs w:val="24"/>
          <w:lang w:val="en-US" w:eastAsia="en-US"/>
        </w:rPr>
        <w:t xml:space="preserve"> you must submit a separate statement with the following details:</w:t>
      </w:r>
    </w:p>
    <w:p w14:paraId="680EE215" w14:textId="0573D7A6" w:rsidR="000164DB" w:rsidRPr="00B35C39" w:rsidRDefault="002A304E"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w:t>
      </w:r>
      <w:r w:rsidR="000164DB" w:rsidRPr="00B35C39">
        <w:rPr>
          <w:rFonts w:eastAsia="Calibri" w:cs="Arial"/>
          <w:sz w:val="24"/>
          <w:szCs w:val="24"/>
        </w:rPr>
        <w:t xml:space="preserve">he total value of </w:t>
      </w:r>
      <w:r w:rsidR="00DF7360" w:rsidRPr="00B35C39">
        <w:rPr>
          <w:rFonts w:eastAsia="Calibri" w:cs="Arial"/>
          <w:sz w:val="24"/>
          <w:szCs w:val="24"/>
        </w:rPr>
        <w:t xml:space="preserve">each such </w:t>
      </w:r>
      <w:r w:rsidR="000164DB" w:rsidRPr="00B35C39">
        <w:rPr>
          <w:rFonts w:eastAsia="Calibri" w:cs="Arial"/>
          <w:sz w:val="24"/>
          <w:szCs w:val="24"/>
        </w:rPr>
        <w:t>fee received during the financial year</w:t>
      </w:r>
    </w:p>
    <w:p w14:paraId="1E043E2F" w14:textId="4824AE8E" w:rsidR="000164DB" w:rsidRPr="00B35C39" w:rsidRDefault="002A304E"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w:t>
      </w:r>
      <w:r w:rsidR="000164DB" w:rsidRPr="00B35C39">
        <w:rPr>
          <w:rFonts w:eastAsia="Calibri" w:cs="Arial"/>
          <w:sz w:val="24"/>
          <w:szCs w:val="24"/>
        </w:rPr>
        <w:t>he reason for charging or the intended use of these fees or charges</w:t>
      </w:r>
    </w:p>
    <w:p w14:paraId="23D262E6" w14:textId="424960B7" w:rsidR="00D45418" w:rsidRPr="00B35C39" w:rsidRDefault="002A304E"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t>t</w:t>
      </w:r>
      <w:r w:rsidR="00A73CCB" w:rsidRPr="00B35C39">
        <w:rPr>
          <w:rFonts w:eastAsia="Calibri" w:cs="Arial"/>
          <w:sz w:val="24"/>
          <w:szCs w:val="24"/>
        </w:rPr>
        <w:t xml:space="preserve">he </w:t>
      </w:r>
      <w:r w:rsidR="00D45418" w:rsidRPr="00B35C39">
        <w:rPr>
          <w:rFonts w:eastAsia="Calibri" w:cs="Arial"/>
          <w:sz w:val="24"/>
          <w:szCs w:val="24"/>
        </w:rPr>
        <w:t xml:space="preserve">steps have you taken or are taking to refund these fees </w:t>
      </w:r>
      <w:r w:rsidR="00A73CCB" w:rsidRPr="00B35C39">
        <w:rPr>
          <w:rFonts w:eastAsia="Calibri" w:cs="Arial"/>
          <w:sz w:val="24"/>
          <w:szCs w:val="24"/>
        </w:rPr>
        <w:t xml:space="preserve">or </w:t>
      </w:r>
      <w:r w:rsidR="00D45418" w:rsidRPr="00B35C39">
        <w:rPr>
          <w:rFonts w:eastAsia="Calibri" w:cs="Arial"/>
          <w:sz w:val="24"/>
          <w:szCs w:val="24"/>
        </w:rPr>
        <w:t>charges</w:t>
      </w:r>
    </w:p>
    <w:p w14:paraId="5928D284" w14:textId="0AAEAA3D" w:rsidR="00DA3800" w:rsidRPr="005D6669" w:rsidRDefault="002A304E" w:rsidP="00B35C39">
      <w:pPr>
        <w:numPr>
          <w:ilvl w:val="0"/>
          <w:numId w:val="9"/>
        </w:numPr>
        <w:tabs>
          <w:tab w:val="clear" w:pos="720"/>
        </w:tabs>
        <w:spacing w:after="0" w:line="240" w:lineRule="auto"/>
        <w:ind w:left="851" w:hanging="425"/>
        <w:rPr>
          <w:rFonts w:cs="Arial"/>
          <w:sz w:val="24"/>
          <w:szCs w:val="24"/>
        </w:rPr>
      </w:pPr>
      <w:r w:rsidRPr="00B35C39">
        <w:rPr>
          <w:rFonts w:eastAsia="Calibri" w:cs="Arial"/>
          <w:sz w:val="24"/>
          <w:szCs w:val="24"/>
        </w:rPr>
        <w:t>t</w:t>
      </w:r>
      <w:r w:rsidR="00A73CCB" w:rsidRPr="00B35C39">
        <w:rPr>
          <w:rFonts w:eastAsia="Calibri" w:cs="Arial"/>
          <w:sz w:val="24"/>
          <w:szCs w:val="24"/>
        </w:rPr>
        <w:t xml:space="preserve">he </w:t>
      </w:r>
      <w:r w:rsidR="000164DB" w:rsidRPr="00B35C39">
        <w:rPr>
          <w:rFonts w:eastAsia="Calibri" w:cs="Arial"/>
          <w:sz w:val="24"/>
          <w:szCs w:val="24"/>
        </w:rPr>
        <w:t xml:space="preserve">processes </w:t>
      </w:r>
      <w:r w:rsidR="00A73CCB" w:rsidRPr="00B35C39">
        <w:rPr>
          <w:rFonts w:eastAsia="Calibri" w:cs="Arial"/>
          <w:sz w:val="24"/>
          <w:szCs w:val="24"/>
        </w:rPr>
        <w:t xml:space="preserve">that </w:t>
      </w:r>
      <w:r w:rsidR="000164DB" w:rsidRPr="00B35C39">
        <w:rPr>
          <w:rFonts w:eastAsia="Calibri" w:cs="Arial"/>
          <w:sz w:val="24"/>
          <w:szCs w:val="24"/>
        </w:rPr>
        <w:t>are now in place to ensure future compliance</w:t>
      </w:r>
    </w:p>
    <w:p w14:paraId="0E20FE4E" w14:textId="77777777" w:rsidR="00D45418" w:rsidRDefault="00D45418" w:rsidP="00D45418">
      <w:pPr>
        <w:spacing w:after="0" w:line="0" w:lineRule="atLeast"/>
        <w:rPr>
          <w:sz w:val="24"/>
          <w:szCs w:val="24"/>
        </w:rPr>
      </w:pPr>
    </w:p>
    <w:p w14:paraId="0527B942" w14:textId="1F102856" w:rsidR="00D45418" w:rsidRDefault="00D45418" w:rsidP="00ED0D52">
      <w:pPr>
        <w:pStyle w:val="NormalWeb"/>
        <w:spacing w:after="120" w:line="240" w:lineRule="auto"/>
        <w:rPr>
          <w:rFonts w:asciiTheme="minorHAnsi" w:hAnsiTheme="minorHAnsi"/>
          <w:iCs/>
        </w:rPr>
      </w:pPr>
      <w:r w:rsidRPr="00D6159E">
        <w:rPr>
          <w:rFonts w:asciiTheme="minorHAnsi" w:hAnsiTheme="minorHAnsi"/>
          <w:iCs/>
        </w:rPr>
        <w:t>Please note that the total value of each such fee received during the financial year is not to be completed at the resident level (</w:t>
      </w:r>
      <w:r w:rsidR="00AB79C8" w:rsidRPr="00D6159E">
        <w:rPr>
          <w:rFonts w:asciiTheme="minorHAnsi" w:hAnsiTheme="minorHAnsi"/>
          <w:iCs/>
        </w:rPr>
        <w:t>i.e.,</w:t>
      </w:r>
      <w:r w:rsidRPr="00D6159E">
        <w:rPr>
          <w:rFonts w:asciiTheme="minorHAnsi" w:hAnsiTheme="minorHAnsi"/>
          <w:iCs/>
        </w:rPr>
        <w:t xml:space="preserve"> Mrs Smith $500, Mr Jones $1,000) but at fee type level (</w:t>
      </w:r>
      <w:r w:rsidR="00AB79C8" w:rsidRPr="00D6159E">
        <w:rPr>
          <w:rFonts w:asciiTheme="minorHAnsi" w:hAnsiTheme="minorHAnsi"/>
          <w:iCs/>
        </w:rPr>
        <w:t>i.e.,</w:t>
      </w:r>
      <w:r w:rsidRPr="00D6159E">
        <w:rPr>
          <w:rFonts w:asciiTheme="minorHAnsi" w:hAnsiTheme="minorHAnsi"/>
          <w:iCs/>
        </w:rPr>
        <w:t xml:space="preserve"> 1. Asset Replacement Charge: $500,000</w:t>
      </w:r>
      <w:r w:rsidR="003E298C">
        <w:rPr>
          <w:rFonts w:asciiTheme="minorHAnsi" w:hAnsiTheme="minorHAnsi"/>
          <w:iCs/>
        </w:rPr>
        <w:t xml:space="preserve">, 2. Documents Completion Fee: </w:t>
      </w:r>
      <w:r w:rsidRPr="00D6159E">
        <w:rPr>
          <w:rFonts w:asciiTheme="minorHAnsi" w:hAnsiTheme="minorHAnsi"/>
          <w:iCs/>
        </w:rPr>
        <w:t>$50,000).</w:t>
      </w:r>
    </w:p>
    <w:p w14:paraId="536C72CC" w14:textId="77777777" w:rsidR="007807DD" w:rsidRDefault="007807DD">
      <w:pPr>
        <w:rPr>
          <w:rFonts w:eastAsiaTheme="majorEastAsia" w:cstheme="majorBidi"/>
          <w:b/>
          <w:bCs/>
          <w:color w:val="0070C0"/>
          <w:sz w:val="32"/>
          <w:szCs w:val="32"/>
        </w:rPr>
      </w:pPr>
      <w:r>
        <w:rPr>
          <w:color w:val="0070C0"/>
          <w:sz w:val="32"/>
          <w:szCs w:val="32"/>
        </w:rPr>
        <w:br w:type="page"/>
      </w:r>
    </w:p>
    <w:p w14:paraId="34234892" w14:textId="63B5E058" w:rsidR="00E237C9" w:rsidRPr="00236E93" w:rsidRDefault="00E237C9" w:rsidP="00236E93">
      <w:pPr>
        <w:pStyle w:val="Heading2"/>
        <w:spacing w:before="360" w:after="120"/>
        <w:rPr>
          <w:rFonts w:asciiTheme="minorHAnsi" w:hAnsiTheme="minorHAnsi"/>
          <w:color w:val="0070C0"/>
          <w:sz w:val="32"/>
          <w:szCs w:val="32"/>
        </w:rPr>
      </w:pPr>
      <w:r w:rsidRPr="00236E93">
        <w:rPr>
          <w:rFonts w:asciiTheme="minorHAnsi" w:hAnsiTheme="minorHAnsi"/>
          <w:color w:val="0070C0"/>
          <w:sz w:val="32"/>
          <w:szCs w:val="32"/>
        </w:rPr>
        <w:lastRenderedPageBreak/>
        <w:t>COMPLIANCE WITH REFU</w:t>
      </w:r>
      <w:r w:rsidR="00E172DE" w:rsidRPr="00236E93">
        <w:rPr>
          <w:rFonts w:asciiTheme="minorHAnsi" w:hAnsiTheme="minorHAnsi"/>
          <w:color w:val="0070C0"/>
          <w:sz w:val="32"/>
          <w:szCs w:val="32"/>
        </w:rPr>
        <w:t>ND</w:t>
      </w:r>
      <w:r w:rsidRPr="00236E93">
        <w:rPr>
          <w:rFonts w:asciiTheme="minorHAnsi" w:hAnsiTheme="minorHAnsi"/>
          <w:color w:val="0070C0"/>
          <w:sz w:val="32"/>
          <w:szCs w:val="32"/>
        </w:rPr>
        <w:t xml:space="preserve">ING </w:t>
      </w:r>
      <w:r w:rsidR="00A73CCB" w:rsidRPr="00236E93">
        <w:rPr>
          <w:rFonts w:asciiTheme="minorHAnsi" w:hAnsiTheme="minorHAnsi"/>
          <w:color w:val="0070C0"/>
          <w:sz w:val="32"/>
          <w:szCs w:val="32"/>
        </w:rPr>
        <w:t xml:space="preserve">RESPONSIBILITIES </w:t>
      </w:r>
    </w:p>
    <w:p w14:paraId="48A3E1D4" w14:textId="44DBE4B1" w:rsidR="0005562C" w:rsidRPr="002C1C57" w:rsidRDefault="0005562C" w:rsidP="00236E93">
      <w:pPr>
        <w:pStyle w:val="Heading2"/>
        <w:spacing w:before="0"/>
        <w:rPr>
          <w:rFonts w:asciiTheme="minorHAnsi" w:hAnsiTheme="minorHAnsi"/>
          <w:color w:val="0070C0"/>
        </w:rPr>
      </w:pPr>
      <w:r w:rsidRPr="002C1C57">
        <w:rPr>
          <w:rFonts w:asciiTheme="minorHAnsi" w:hAnsiTheme="minorHAnsi"/>
          <w:color w:val="0070C0"/>
        </w:rPr>
        <w:t xml:space="preserve">Refundable </w:t>
      </w:r>
      <w:r w:rsidR="004D20CD" w:rsidRPr="002C1C57">
        <w:rPr>
          <w:rFonts w:asciiTheme="minorHAnsi" w:hAnsiTheme="minorHAnsi"/>
          <w:color w:val="0070C0"/>
        </w:rPr>
        <w:t>Accommodation Payments</w:t>
      </w:r>
      <w:r w:rsidRPr="002C1C57">
        <w:rPr>
          <w:rFonts w:asciiTheme="minorHAnsi" w:hAnsiTheme="minorHAnsi"/>
          <w:color w:val="0070C0"/>
        </w:rPr>
        <w:t xml:space="preserve"> – </w:t>
      </w:r>
      <w:r w:rsidR="00C656D5" w:rsidRPr="002C1C57">
        <w:rPr>
          <w:rFonts w:asciiTheme="minorHAnsi" w:hAnsiTheme="minorHAnsi"/>
          <w:color w:val="0070C0"/>
        </w:rPr>
        <w:t>refund due</w:t>
      </w:r>
      <w:r w:rsidR="006005FA" w:rsidRPr="002C1C57">
        <w:rPr>
          <w:rFonts w:asciiTheme="minorHAnsi" w:hAnsiTheme="minorHAnsi"/>
          <w:color w:val="0070C0"/>
        </w:rPr>
        <w:t xml:space="preserve"> dates</w:t>
      </w:r>
    </w:p>
    <w:p w14:paraId="521B6538" w14:textId="4EDC1C40" w:rsidR="0005562C" w:rsidRDefault="0005562C" w:rsidP="00176637">
      <w:pPr>
        <w:pStyle w:val="NormalWeb"/>
        <w:spacing w:after="120" w:line="240" w:lineRule="auto"/>
        <w:rPr>
          <w:rFonts w:asciiTheme="minorHAnsi" w:hAnsiTheme="minorHAnsi"/>
          <w:iCs/>
        </w:rPr>
      </w:pPr>
      <w:r w:rsidRPr="001C19A5">
        <w:rPr>
          <w:rFonts w:asciiTheme="minorHAnsi" w:hAnsiTheme="minorHAnsi"/>
          <w:iCs/>
        </w:rPr>
        <w:t>The refundable deposit and bond balances must be refunded</w:t>
      </w:r>
      <w:r w:rsidR="00D82711">
        <w:rPr>
          <w:rFonts w:asciiTheme="minorHAnsi" w:hAnsiTheme="minorHAnsi"/>
          <w:iCs/>
        </w:rPr>
        <w:t xml:space="preserve"> when a person transfers to another service, permanently leaves care or passes away. </w:t>
      </w:r>
      <w:r w:rsidRPr="001C19A5">
        <w:rPr>
          <w:rFonts w:asciiTheme="minorHAnsi" w:hAnsiTheme="minorHAnsi"/>
          <w:iCs/>
        </w:rPr>
        <w:t xml:space="preserve"> </w:t>
      </w:r>
      <w:r w:rsidR="00A4394D">
        <w:rPr>
          <w:rFonts w:asciiTheme="minorHAnsi" w:hAnsiTheme="minorHAnsi"/>
          <w:iCs/>
        </w:rPr>
        <w:t xml:space="preserve"> The refund due date depends on how a person exists care, how many days’ notice you receive or if you are shown a grant of probate or letter of administration from the person’s estate.</w:t>
      </w:r>
    </w:p>
    <w:p w14:paraId="7AE5DF9F" w14:textId="755E4E7E" w:rsidR="00A4394D" w:rsidRPr="001C19A5" w:rsidRDefault="00A4394D" w:rsidP="00176637">
      <w:pPr>
        <w:pStyle w:val="NormalWeb"/>
        <w:spacing w:after="120" w:line="240" w:lineRule="auto"/>
        <w:rPr>
          <w:rFonts w:asciiTheme="minorHAnsi" w:hAnsiTheme="minorHAnsi"/>
          <w:iCs/>
        </w:rPr>
      </w:pPr>
      <w:r>
        <w:rPr>
          <w:noProof/>
        </w:rPr>
        <w:drawing>
          <wp:inline distT="0" distB="0" distL="0" distR="0" wp14:anchorId="3DF6250F" wp14:editId="5F722B37">
            <wp:extent cx="6119495" cy="2476500"/>
            <wp:effectExtent l="0" t="0" r="0" b="0"/>
            <wp:docPr id="155455586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55863" name="Picture 1" descr="A screenshot of a computer screen&#10;&#10;Description automatically generated"/>
                    <pic:cNvPicPr/>
                  </pic:nvPicPr>
                  <pic:blipFill>
                    <a:blip r:embed="rId39"/>
                    <a:stretch>
                      <a:fillRect/>
                    </a:stretch>
                  </pic:blipFill>
                  <pic:spPr>
                    <a:xfrm>
                      <a:off x="0" y="0"/>
                      <a:ext cx="6119495" cy="2476500"/>
                    </a:xfrm>
                    <a:prstGeom prst="rect">
                      <a:avLst/>
                    </a:prstGeom>
                  </pic:spPr>
                </pic:pic>
              </a:graphicData>
            </a:graphic>
          </wp:inline>
        </w:drawing>
      </w:r>
    </w:p>
    <w:p w14:paraId="3698A30B" w14:textId="3F15CE3E" w:rsidR="0005562C" w:rsidRPr="001C19A5" w:rsidRDefault="0005562C" w:rsidP="00176637">
      <w:pPr>
        <w:pStyle w:val="NormalWeb"/>
        <w:spacing w:before="120" w:after="0" w:line="240" w:lineRule="auto"/>
        <w:rPr>
          <w:rFonts w:asciiTheme="minorHAnsi" w:hAnsiTheme="minorHAnsi"/>
          <w:iCs/>
        </w:rPr>
      </w:pPr>
      <w:r w:rsidRPr="001C19A5">
        <w:rPr>
          <w:rFonts w:asciiTheme="minorHAnsi" w:hAnsiTheme="minorHAnsi"/>
          <w:iCs/>
        </w:rPr>
        <w:t xml:space="preserve">In any other case, the refundable deposit is to be paid within 14 days of the </w:t>
      </w:r>
      <w:r w:rsidR="009978D8">
        <w:rPr>
          <w:rFonts w:asciiTheme="minorHAnsi" w:hAnsiTheme="minorHAnsi"/>
          <w:iCs/>
        </w:rPr>
        <w:t>resident</w:t>
      </w:r>
      <w:r w:rsidRPr="001C19A5">
        <w:rPr>
          <w:rFonts w:asciiTheme="minorHAnsi" w:hAnsiTheme="minorHAnsi"/>
          <w:iCs/>
        </w:rPr>
        <w:t xml:space="preserve"> ceasing to be provided with residential care or flexible care.</w:t>
      </w:r>
    </w:p>
    <w:p w14:paraId="18B39F03" w14:textId="4A0B0529" w:rsidR="0005562C" w:rsidRPr="001C19A5" w:rsidRDefault="00A73000" w:rsidP="0005562C">
      <w:pPr>
        <w:pStyle w:val="NormalWeb"/>
        <w:spacing w:before="40" w:after="120" w:line="240" w:lineRule="auto"/>
        <w:rPr>
          <w:rFonts w:asciiTheme="minorHAnsi" w:hAnsiTheme="minorHAnsi"/>
          <w:iCs/>
        </w:rPr>
      </w:pPr>
      <w:r w:rsidRPr="001C19A5">
        <w:rPr>
          <w:rStyle w:val="Strong"/>
          <w:rFonts w:asciiTheme="minorHAnsi" w:hAnsiTheme="minorHAnsi"/>
          <w:color w:val="111111"/>
          <w:sz w:val="18"/>
          <w:szCs w:val="18"/>
          <w:lang w:val="en"/>
        </w:rPr>
        <w:t>R</w:t>
      </w:r>
      <w:r w:rsidR="0005562C" w:rsidRPr="001C19A5">
        <w:rPr>
          <w:rStyle w:val="Strong"/>
          <w:rFonts w:asciiTheme="minorHAnsi" w:hAnsiTheme="minorHAnsi"/>
          <w:color w:val="111111"/>
          <w:sz w:val="18"/>
          <w:szCs w:val="18"/>
          <w:lang w:val="en"/>
        </w:rPr>
        <w:t>efer</w:t>
      </w:r>
      <w:r w:rsidR="0005562C" w:rsidRPr="001C19A5">
        <w:rPr>
          <w:rStyle w:val="Strong"/>
          <w:rFonts w:asciiTheme="minorHAnsi" w:hAnsiTheme="minorHAnsi"/>
          <w:sz w:val="18"/>
          <w:szCs w:val="18"/>
          <w:lang w:val="en"/>
        </w:rPr>
        <w:t>ence:</w:t>
      </w:r>
      <w:r w:rsidR="0005562C" w:rsidRPr="001C19A5">
        <w:rPr>
          <w:rFonts w:asciiTheme="minorHAnsi" w:hAnsiTheme="minorHAnsi"/>
          <w:sz w:val="18"/>
          <w:szCs w:val="18"/>
          <w:lang w:val="en"/>
        </w:rPr>
        <w:t xml:space="preserve"> </w:t>
      </w:r>
      <w:r w:rsidR="005E566F">
        <w:rPr>
          <w:rFonts w:asciiTheme="minorHAnsi" w:hAnsiTheme="minorHAnsi"/>
          <w:sz w:val="18"/>
          <w:szCs w:val="18"/>
          <w:lang w:val="en"/>
        </w:rPr>
        <w:t xml:space="preserve">The </w:t>
      </w:r>
      <w:r w:rsidR="0005562C" w:rsidRPr="001C19A5">
        <w:rPr>
          <w:rFonts w:asciiTheme="minorHAnsi" w:hAnsiTheme="minorHAnsi"/>
          <w:sz w:val="18"/>
          <w:szCs w:val="18"/>
          <w:lang w:val="en"/>
        </w:rPr>
        <w:t xml:space="preserve">Act </w:t>
      </w:r>
      <w:hyperlink r:id="rId40" w:anchor="_Toc406164880" w:history="1">
        <w:r w:rsidR="0005562C" w:rsidRPr="001C19A5">
          <w:rPr>
            <w:rStyle w:val="Hyperlink"/>
            <w:rFonts w:asciiTheme="minorHAnsi" w:hAnsiTheme="minorHAnsi"/>
            <w:color w:val="auto"/>
            <w:sz w:val="18"/>
            <w:szCs w:val="18"/>
            <w:u w:val="none"/>
            <w:lang w:val="en"/>
          </w:rPr>
          <w:t>section 52P-1</w:t>
        </w:r>
      </w:hyperlink>
    </w:p>
    <w:p w14:paraId="3DE7EA8A" w14:textId="2C32649F" w:rsidR="0005562C" w:rsidRPr="002C1C57" w:rsidRDefault="0005562C" w:rsidP="002C1C57">
      <w:pPr>
        <w:pStyle w:val="Heading2"/>
        <w:spacing w:before="360"/>
        <w:rPr>
          <w:rFonts w:asciiTheme="minorHAnsi" w:hAnsiTheme="minorHAnsi"/>
          <w:color w:val="0070C0"/>
        </w:rPr>
      </w:pPr>
      <w:r w:rsidRPr="002C1C57">
        <w:rPr>
          <w:rFonts w:asciiTheme="minorHAnsi" w:hAnsiTheme="minorHAnsi"/>
          <w:color w:val="0070C0"/>
        </w:rPr>
        <w:t xml:space="preserve">Payment of </w:t>
      </w:r>
      <w:r w:rsidR="008222AD" w:rsidRPr="002C1C57">
        <w:rPr>
          <w:rFonts w:asciiTheme="minorHAnsi" w:hAnsiTheme="minorHAnsi"/>
          <w:color w:val="0070C0"/>
        </w:rPr>
        <w:t>i</w:t>
      </w:r>
      <w:r w:rsidRPr="002C1C57">
        <w:rPr>
          <w:rFonts w:asciiTheme="minorHAnsi" w:hAnsiTheme="minorHAnsi"/>
          <w:color w:val="0070C0"/>
        </w:rPr>
        <w:t xml:space="preserve">nterest </w:t>
      </w:r>
      <w:r w:rsidR="004D20CD" w:rsidRPr="002C1C57">
        <w:rPr>
          <w:rFonts w:asciiTheme="minorHAnsi" w:hAnsiTheme="minorHAnsi"/>
          <w:color w:val="0070C0"/>
        </w:rPr>
        <w:t>–</w:t>
      </w:r>
      <w:r w:rsidRPr="002C1C57">
        <w:rPr>
          <w:rFonts w:asciiTheme="minorHAnsi" w:hAnsiTheme="minorHAnsi"/>
          <w:color w:val="0070C0"/>
        </w:rPr>
        <w:t xml:space="preserve"> </w:t>
      </w:r>
      <w:r w:rsidR="004D20CD" w:rsidRPr="002C1C57">
        <w:rPr>
          <w:rFonts w:asciiTheme="minorHAnsi" w:hAnsiTheme="minorHAnsi"/>
          <w:color w:val="0070C0"/>
        </w:rPr>
        <w:t>accommodation payment</w:t>
      </w:r>
      <w:r w:rsidRPr="002C1C57">
        <w:rPr>
          <w:rFonts w:asciiTheme="minorHAnsi" w:hAnsiTheme="minorHAnsi"/>
          <w:color w:val="0070C0"/>
        </w:rPr>
        <w:t xml:space="preserve"> refunds</w:t>
      </w:r>
    </w:p>
    <w:p w14:paraId="22FE9AC4" w14:textId="3EB4C63F" w:rsidR="00B45465" w:rsidRPr="002B7CED" w:rsidRDefault="00B45465" w:rsidP="002B7CED">
      <w:pPr>
        <w:spacing w:before="200" w:after="0"/>
        <w:rPr>
          <w:b/>
          <w:bCs/>
          <w:color w:val="0070C0"/>
          <w:sz w:val="26"/>
          <w:szCs w:val="26"/>
        </w:rPr>
      </w:pPr>
      <w:r w:rsidRPr="002B7CED">
        <w:rPr>
          <w:b/>
          <w:bCs/>
          <w:color w:val="0070C0"/>
          <w:sz w:val="26"/>
          <w:szCs w:val="26"/>
        </w:rPr>
        <w:t>Interest types</w:t>
      </w:r>
    </w:p>
    <w:p w14:paraId="051D8FAC" w14:textId="170DD2AB" w:rsidR="0005562C" w:rsidRDefault="00B45465" w:rsidP="00176637">
      <w:pPr>
        <w:spacing w:after="120" w:line="240" w:lineRule="auto"/>
        <w:rPr>
          <w:iCs/>
          <w:sz w:val="24"/>
          <w:szCs w:val="24"/>
        </w:rPr>
      </w:pPr>
      <w:r>
        <w:rPr>
          <w:iCs/>
          <w:sz w:val="24"/>
          <w:szCs w:val="24"/>
        </w:rPr>
        <w:t xml:space="preserve">You may need to pay interest on a person’s refundable deposit at the time you refund it. If interest is payable, you need to calculate this at the base interest rate (BIR) and the maximum permissible interest rate (MPIR) if necessary. </w:t>
      </w:r>
      <w:r w:rsidR="006317D6">
        <w:rPr>
          <w:iCs/>
          <w:sz w:val="24"/>
          <w:szCs w:val="24"/>
        </w:rPr>
        <w:t xml:space="preserve">Include the day of the refund in your interest calculations for </w:t>
      </w:r>
      <w:r w:rsidR="0005562C" w:rsidRPr="001C19A5">
        <w:rPr>
          <w:iCs/>
          <w:sz w:val="24"/>
          <w:szCs w:val="24"/>
        </w:rPr>
        <w:t xml:space="preserve">the refundable deposit balance, bond balance or entry contribution. </w:t>
      </w:r>
    </w:p>
    <w:p w14:paraId="5827B893" w14:textId="0F263801" w:rsidR="006317D6" w:rsidRPr="002B7CED" w:rsidRDefault="006317D6" w:rsidP="002B7CED">
      <w:pPr>
        <w:spacing w:before="200" w:after="0"/>
        <w:rPr>
          <w:b/>
          <w:bCs/>
          <w:color w:val="0070C0"/>
          <w:sz w:val="26"/>
          <w:szCs w:val="26"/>
        </w:rPr>
      </w:pPr>
      <w:r w:rsidRPr="002B7CED">
        <w:rPr>
          <w:b/>
          <w:bCs/>
          <w:color w:val="0070C0"/>
          <w:sz w:val="26"/>
          <w:szCs w:val="26"/>
        </w:rPr>
        <w:t>Base interest calculation</w:t>
      </w:r>
    </w:p>
    <w:p w14:paraId="640A28D9" w14:textId="453ABCE3" w:rsidR="00DE04D6" w:rsidRPr="001C19A5" w:rsidRDefault="00F01AC3" w:rsidP="00F01AC3">
      <w:pPr>
        <w:spacing w:after="120" w:line="240" w:lineRule="auto"/>
        <w:rPr>
          <w:iCs/>
          <w:sz w:val="24"/>
          <w:szCs w:val="24"/>
        </w:rPr>
      </w:pPr>
      <w:r w:rsidRPr="00F01AC3">
        <w:rPr>
          <w:iCs/>
          <w:sz w:val="24"/>
          <w:szCs w:val="24"/>
        </w:rPr>
        <w:t>If you need to pay interest, you need to calculate</w:t>
      </w:r>
      <w:r w:rsidR="006317D6">
        <w:rPr>
          <w:iCs/>
          <w:sz w:val="24"/>
          <w:szCs w:val="24"/>
        </w:rPr>
        <w:t xml:space="preserve"> the base interest on a person’s refundable deposit from the day after </w:t>
      </w:r>
      <w:r w:rsidR="007A5451">
        <w:rPr>
          <w:iCs/>
          <w:sz w:val="24"/>
          <w:szCs w:val="24"/>
        </w:rPr>
        <w:t xml:space="preserve">the </w:t>
      </w:r>
      <w:r w:rsidR="006317D6">
        <w:rPr>
          <w:iCs/>
          <w:sz w:val="24"/>
          <w:szCs w:val="24"/>
        </w:rPr>
        <w:t xml:space="preserve">refund event, until the end of the refund period. The number of days you pay interest for is the same as the number of days you hold the refundable deposit during this period. </w:t>
      </w:r>
    </w:p>
    <w:p w14:paraId="4A4774BC" w14:textId="79A77DF6" w:rsidR="006317D6" w:rsidRPr="002B7CED" w:rsidRDefault="00DE04D6" w:rsidP="002B7CED">
      <w:pPr>
        <w:spacing w:before="200" w:after="0"/>
        <w:rPr>
          <w:b/>
          <w:bCs/>
          <w:color w:val="0070C0"/>
          <w:sz w:val="26"/>
          <w:szCs w:val="26"/>
        </w:rPr>
      </w:pPr>
      <w:r w:rsidRPr="002B7CED">
        <w:rPr>
          <w:b/>
          <w:bCs/>
          <w:color w:val="0070C0"/>
          <w:sz w:val="26"/>
          <w:szCs w:val="26"/>
        </w:rPr>
        <w:t>Maximum permissible</w:t>
      </w:r>
      <w:r w:rsidR="006317D6" w:rsidRPr="002B7CED">
        <w:rPr>
          <w:b/>
          <w:bCs/>
          <w:color w:val="0070C0"/>
          <w:sz w:val="26"/>
          <w:szCs w:val="26"/>
        </w:rPr>
        <w:t xml:space="preserve"> interest calculation</w:t>
      </w:r>
    </w:p>
    <w:p w14:paraId="73A40EDD" w14:textId="094EFA36" w:rsidR="00DE04D6" w:rsidRPr="007B70FB" w:rsidRDefault="002659BF" w:rsidP="00BD2059">
      <w:pPr>
        <w:spacing w:after="120" w:line="240" w:lineRule="auto"/>
        <w:rPr>
          <w:iCs/>
          <w:sz w:val="24"/>
          <w:szCs w:val="24"/>
        </w:rPr>
      </w:pPr>
      <w:r>
        <w:rPr>
          <w:iCs/>
          <w:sz w:val="24"/>
          <w:szCs w:val="24"/>
        </w:rPr>
        <w:t>You need to pay m</w:t>
      </w:r>
      <w:r w:rsidR="00DE04D6" w:rsidRPr="007B70FB">
        <w:rPr>
          <w:iCs/>
          <w:sz w:val="24"/>
          <w:szCs w:val="24"/>
        </w:rPr>
        <w:t xml:space="preserve">aximum permissible interest on a person’s refundable deposit from the day after the refund period until the day you refund the refundable deposit. The number of days you pay </w:t>
      </w:r>
      <w:r w:rsidR="00BD2059" w:rsidRPr="007B70FB">
        <w:rPr>
          <w:iCs/>
          <w:sz w:val="24"/>
          <w:szCs w:val="24"/>
        </w:rPr>
        <w:t xml:space="preserve">the maximum permissible </w:t>
      </w:r>
      <w:r w:rsidR="00DE04D6" w:rsidRPr="007B70FB">
        <w:rPr>
          <w:iCs/>
          <w:sz w:val="24"/>
          <w:szCs w:val="24"/>
        </w:rPr>
        <w:t>interest for is the same as the number of days you hold the refundable deposit after the refund due date.</w:t>
      </w:r>
    </w:p>
    <w:p w14:paraId="6C7A30FB" w14:textId="542FAB11" w:rsidR="006317D6" w:rsidRPr="001C19A5" w:rsidRDefault="00DE04D6" w:rsidP="00BD2059">
      <w:pPr>
        <w:spacing w:after="120" w:line="240" w:lineRule="auto"/>
        <w:rPr>
          <w:iCs/>
          <w:sz w:val="24"/>
          <w:szCs w:val="24"/>
        </w:rPr>
      </w:pPr>
      <w:r>
        <w:rPr>
          <w:iCs/>
          <w:sz w:val="24"/>
          <w:szCs w:val="24"/>
        </w:rPr>
        <w:t>The base interest and maximum permissible interest calculations are a set formula (Fees and Payments Principles s69).</w:t>
      </w:r>
    </w:p>
    <w:p w14:paraId="5055DD4D" w14:textId="63407CAC" w:rsidR="0005562C" w:rsidRPr="002B7CED" w:rsidRDefault="0005562C" w:rsidP="002B7CED">
      <w:pPr>
        <w:spacing w:before="200" w:after="0"/>
        <w:rPr>
          <w:b/>
          <w:bCs/>
          <w:color w:val="0070C0"/>
          <w:sz w:val="26"/>
          <w:szCs w:val="26"/>
        </w:rPr>
      </w:pPr>
      <w:r w:rsidRPr="002B7CED">
        <w:rPr>
          <w:b/>
          <w:bCs/>
          <w:color w:val="0070C0"/>
          <w:sz w:val="26"/>
          <w:szCs w:val="26"/>
        </w:rPr>
        <w:t>Providers pay interest with respect to entry contributions</w:t>
      </w:r>
    </w:p>
    <w:p w14:paraId="0917ABFE" w14:textId="77777777" w:rsidR="0005562C" w:rsidRPr="00B35C39" w:rsidRDefault="0005562C" w:rsidP="00B35C39">
      <w:pPr>
        <w:numPr>
          <w:ilvl w:val="0"/>
          <w:numId w:val="9"/>
        </w:numPr>
        <w:tabs>
          <w:tab w:val="clear" w:pos="720"/>
        </w:tabs>
        <w:spacing w:after="0" w:line="240" w:lineRule="auto"/>
        <w:ind w:left="851" w:hanging="425"/>
        <w:rPr>
          <w:rFonts w:eastAsia="Calibri" w:cs="Arial"/>
          <w:sz w:val="24"/>
          <w:szCs w:val="24"/>
        </w:rPr>
      </w:pPr>
      <w:r w:rsidRPr="00B35C39">
        <w:rPr>
          <w:rFonts w:eastAsia="Calibri" w:cs="Arial"/>
          <w:sz w:val="24"/>
          <w:szCs w:val="24"/>
        </w:rPr>
        <w:lastRenderedPageBreak/>
        <w:t>the MPIR for entry contributions refunded from the day after the refund date (in accordance with the formal agreement) and ending on the day the entry contribution balance is refunded.</w:t>
      </w:r>
    </w:p>
    <w:p w14:paraId="6C2DDAA8" w14:textId="4CF86B1B" w:rsidR="0005562C" w:rsidRPr="001C19A5" w:rsidRDefault="00EC251D" w:rsidP="0005562C">
      <w:pPr>
        <w:tabs>
          <w:tab w:val="left" w:pos="4678"/>
        </w:tabs>
        <w:spacing w:after="0"/>
        <w:rPr>
          <w:iCs/>
          <w:sz w:val="18"/>
          <w:szCs w:val="18"/>
        </w:rPr>
      </w:pPr>
      <w:r w:rsidRPr="001C19A5">
        <w:rPr>
          <w:rStyle w:val="Strong"/>
          <w:color w:val="111111"/>
          <w:sz w:val="18"/>
          <w:szCs w:val="18"/>
          <w:lang w:val="en"/>
        </w:rPr>
        <w:t>Reference</w:t>
      </w:r>
      <w:r w:rsidR="0005562C" w:rsidRPr="001C19A5">
        <w:rPr>
          <w:rStyle w:val="Strong"/>
          <w:color w:val="111111"/>
          <w:sz w:val="18"/>
          <w:szCs w:val="18"/>
          <w:lang w:val="en"/>
        </w:rPr>
        <w:t>:</w:t>
      </w:r>
      <w:r w:rsidR="0005562C" w:rsidRPr="001C19A5">
        <w:rPr>
          <w:rStyle w:val="Strong"/>
          <w:color w:val="111111"/>
          <w:sz w:val="18"/>
          <w:szCs w:val="18"/>
        </w:rPr>
        <w:t xml:space="preserve"> </w:t>
      </w:r>
      <w:r w:rsidR="00F604D5" w:rsidRPr="00F604D5">
        <w:rPr>
          <w:rStyle w:val="Strong"/>
          <w:b w:val="0"/>
          <w:bCs w:val="0"/>
          <w:color w:val="111111"/>
          <w:sz w:val="18"/>
          <w:szCs w:val="18"/>
        </w:rPr>
        <w:t>The</w:t>
      </w:r>
      <w:r w:rsidR="00F604D5">
        <w:rPr>
          <w:rStyle w:val="Strong"/>
          <w:color w:val="111111"/>
          <w:sz w:val="18"/>
          <w:szCs w:val="18"/>
        </w:rPr>
        <w:t xml:space="preserve"> </w:t>
      </w:r>
      <w:r w:rsidR="0005562C" w:rsidRPr="001C19A5">
        <w:rPr>
          <w:rStyle w:val="Strong"/>
          <w:b w:val="0"/>
          <w:color w:val="111111"/>
          <w:sz w:val="18"/>
          <w:szCs w:val="18"/>
        </w:rPr>
        <w:t xml:space="preserve">Act section </w:t>
      </w:r>
      <w:r w:rsidR="0005562C" w:rsidRPr="001C19A5">
        <w:rPr>
          <w:rStyle w:val="Strong"/>
          <w:b w:val="0"/>
          <w:color w:val="111111"/>
          <w:sz w:val="18"/>
          <w:szCs w:val="18"/>
          <w:lang w:val="en"/>
        </w:rPr>
        <w:t>52P-3, Fees and Payments Principles</w:t>
      </w:r>
      <w:r w:rsidR="009733BE">
        <w:rPr>
          <w:rStyle w:val="Strong"/>
          <w:b w:val="0"/>
          <w:color w:val="111111"/>
          <w:sz w:val="18"/>
          <w:szCs w:val="18"/>
          <w:lang w:val="en"/>
        </w:rPr>
        <w:t xml:space="preserve"> </w:t>
      </w:r>
      <w:hyperlink r:id="rId41" w:anchor="_Toc391026175" w:history="1">
        <w:r w:rsidR="009733BE" w:rsidRPr="001C19A5">
          <w:rPr>
            <w:rStyle w:val="Strong"/>
            <w:b w:val="0"/>
            <w:color w:val="111111"/>
            <w:sz w:val="18"/>
            <w:szCs w:val="18"/>
            <w:lang w:val="en"/>
          </w:rPr>
          <w:t>Part 7</w:t>
        </w:r>
      </w:hyperlink>
      <w:r w:rsidR="009733BE" w:rsidRPr="001C19A5">
        <w:rPr>
          <w:rStyle w:val="Strong"/>
          <w:b w:val="0"/>
          <w:color w:val="111111"/>
          <w:sz w:val="18"/>
          <w:szCs w:val="18"/>
          <w:lang w:val="en"/>
        </w:rPr>
        <w:t>,</w:t>
      </w:r>
      <w:r w:rsidR="009733BE" w:rsidRPr="009733BE">
        <w:t xml:space="preserve"> </w:t>
      </w:r>
      <w:hyperlink r:id="rId42" w:anchor="_Toc391026176" w:history="1">
        <w:r w:rsidR="009733BE" w:rsidRPr="001C19A5">
          <w:rPr>
            <w:rStyle w:val="Strong"/>
            <w:b w:val="0"/>
            <w:color w:val="111111"/>
            <w:sz w:val="18"/>
            <w:szCs w:val="18"/>
            <w:lang w:val="en"/>
          </w:rPr>
          <w:t>Division 1</w:t>
        </w:r>
      </w:hyperlink>
    </w:p>
    <w:p w14:paraId="362A3F64" w14:textId="0FD72140" w:rsidR="0005562C" w:rsidRPr="00B34BF1" w:rsidRDefault="0005562C" w:rsidP="002B7CED">
      <w:pPr>
        <w:pStyle w:val="Heading2"/>
        <w:spacing w:before="360"/>
        <w:rPr>
          <w:rFonts w:asciiTheme="minorHAnsi" w:hAnsiTheme="minorHAnsi"/>
          <w:color w:val="0070C0"/>
        </w:rPr>
      </w:pPr>
      <w:r w:rsidRPr="00B34BF1">
        <w:rPr>
          <w:rFonts w:asciiTheme="minorHAnsi" w:hAnsiTheme="minorHAnsi"/>
          <w:color w:val="0070C0"/>
        </w:rPr>
        <w:t xml:space="preserve">Application of </w:t>
      </w:r>
      <w:r w:rsidR="000E7E01">
        <w:rPr>
          <w:rFonts w:asciiTheme="minorHAnsi" w:hAnsiTheme="minorHAnsi"/>
          <w:color w:val="0070C0"/>
        </w:rPr>
        <w:t>i</w:t>
      </w:r>
      <w:r w:rsidRPr="00B34BF1">
        <w:rPr>
          <w:rFonts w:asciiTheme="minorHAnsi" w:hAnsiTheme="minorHAnsi"/>
          <w:color w:val="0070C0"/>
        </w:rPr>
        <w:t xml:space="preserve">nterest </w:t>
      </w:r>
    </w:p>
    <w:p w14:paraId="0DCEA996" w14:textId="0EE09164" w:rsidR="0005562C" w:rsidRPr="001C19A5" w:rsidRDefault="0005562C" w:rsidP="002B7CED">
      <w:pPr>
        <w:spacing w:before="200" w:after="0"/>
        <w:rPr>
          <w:noProof/>
          <w:color w:val="0099CC"/>
        </w:rPr>
      </w:pPr>
      <w:r w:rsidRPr="002B7CED">
        <w:rPr>
          <w:b/>
          <w:bCs/>
          <w:color w:val="0070C0"/>
          <w:sz w:val="26"/>
          <w:szCs w:val="26"/>
        </w:rPr>
        <w:t xml:space="preserve">If the </w:t>
      </w:r>
      <w:r w:rsidR="009978D8" w:rsidRPr="002B7CED">
        <w:rPr>
          <w:b/>
          <w:bCs/>
          <w:color w:val="0070C0"/>
          <w:sz w:val="26"/>
          <w:szCs w:val="26"/>
        </w:rPr>
        <w:t>resident</w:t>
      </w:r>
      <w:r w:rsidRPr="002B7CED">
        <w:rPr>
          <w:b/>
          <w:bCs/>
          <w:color w:val="0070C0"/>
          <w:sz w:val="26"/>
          <w:szCs w:val="26"/>
        </w:rPr>
        <w:t xml:space="preserve"> dies</w:t>
      </w:r>
      <w:r w:rsidR="00B34BF1" w:rsidRPr="00B34BF1">
        <w:rPr>
          <w:noProof/>
          <w:color w:val="0070C0"/>
        </w:rPr>
        <w:tab/>
      </w:r>
    </w:p>
    <w:p w14:paraId="4C4C9331" w14:textId="3DFF038B" w:rsidR="0005562C" w:rsidRPr="001C19A5" w:rsidRDefault="0005562C" w:rsidP="00176637">
      <w:pPr>
        <w:spacing w:after="120" w:line="240" w:lineRule="auto"/>
        <w:rPr>
          <w:iCs/>
          <w:sz w:val="24"/>
          <w:szCs w:val="24"/>
        </w:rPr>
      </w:pPr>
      <w:r w:rsidRPr="001C19A5">
        <w:rPr>
          <w:iCs/>
          <w:sz w:val="24"/>
          <w:szCs w:val="24"/>
        </w:rPr>
        <w:t>The rate of BIR is the BIR applicable on the day after probate or letters of administration are shown to the provider.</w:t>
      </w:r>
    </w:p>
    <w:p w14:paraId="30B7A561" w14:textId="77777777" w:rsidR="0005562C" w:rsidRPr="001C19A5" w:rsidRDefault="0005562C" w:rsidP="00176637">
      <w:pPr>
        <w:spacing w:after="120" w:line="240" w:lineRule="auto"/>
        <w:rPr>
          <w:iCs/>
          <w:sz w:val="24"/>
          <w:szCs w:val="24"/>
        </w:rPr>
      </w:pPr>
      <w:r w:rsidRPr="001C19A5">
        <w:rPr>
          <w:iCs/>
          <w:sz w:val="24"/>
          <w:szCs w:val="24"/>
        </w:rPr>
        <w:t xml:space="preserve">If the provider refunds the refundable deposit or bond balance before the end of 14 days after the provider has been shown probate or letters of administration, then the provider pays BIR for the period commencing on the day after the resident died and finishing on the day the refundable deposit or bond balance is actually refunded. </w:t>
      </w:r>
    </w:p>
    <w:p w14:paraId="10504745" w14:textId="07999297" w:rsidR="0005562C" w:rsidRPr="001C19A5" w:rsidRDefault="0005562C" w:rsidP="00176637">
      <w:pPr>
        <w:spacing w:after="120" w:line="240" w:lineRule="auto"/>
        <w:rPr>
          <w:iCs/>
          <w:sz w:val="24"/>
          <w:szCs w:val="24"/>
        </w:rPr>
      </w:pPr>
      <w:r w:rsidRPr="001C19A5">
        <w:rPr>
          <w:iCs/>
          <w:sz w:val="24"/>
          <w:szCs w:val="24"/>
        </w:rPr>
        <w:t xml:space="preserve">No MPIR is payable </w:t>
      </w:r>
      <w:r w:rsidR="00F73176">
        <w:rPr>
          <w:iCs/>
          <w:sz w:val="24"/>
          <w:szCs w:val="24"/>
        </w:rPr>
        <w:t>where</w:t>
      </w:r>
      <w:r w:rsidR="00F73176" w:rsidRPr="001C19A5">
        <w:rPr>
          <w:iCs/>
          <w:sz w:val="24"/>
          <w:szCs w:val="24"/>
        </w:rPr>
        <w:t xml:space="preserve"> </w:t>
      </w:r>
      <w:r w:rsidRPr="001C19A5">
        <w:rPr>
          <w:iCs/>
          <w:sz w:val="24"/>
          <w:szCs w:val="24"/>
        </w:rPr>
        <w:t>the provider has refunded the refundable deposit or bond balance within the legislated timeframe.</w:t>
      </w:r>
    </w:p>
    <w:p w14:paraId="72CACB0D" w14:textId="77777777" w:rsidR="0005562C" w:rsidRPr="001C19A5" w:rsidRDefault="0005562C" w:rsidP="00357ECE">
      <w:pPr>
        <w:spacing w:after="120" w:line="240" w:lineRule="auto"/>
        <w:rPr>
          <w:iCs/>
          <w:sz w:val="24"/>
          <w:szCs w:val="24"/>
        </w:rPr>
      </w:pPr>
      <w:r w:rsidRPr="001C19A5">
        <w:rPr>
          <w:iCs/>
          <w:sz w:val="24"/>
          <w:szCs w:val="24"/>
        </w:rPr>
        <w:t>If the provider does not refund the refundable deposit balance or bond balance within 14 days after being shown probate or letters of administration, then the provider must pay:</w:t>
      </w:r>
    </w:p>
    <w:p w14:paraId="68DC9945" w14:textId="5BA018BF" w:rsidR="0005562C" w:rsidRPr="001C19A5" w:rsidRDefault="0005562C" w:rsidP="001A3223">
      <w:pPr>
        <w:pStyle w:val="ListParagraph"/>
        <w:numPr>
          <w:ilvl w:val="0"/>
          <w:numId w:val="28"/>
        </w:numPr>
        <w:spacing w:after="0" w:line="240" w:lineRule="auto"/>
        <w:ind w:left="851" w:hanging="357"/>
        <w:rPr>
          <w:rFonts w:asciiTheme="minorHAnsi" w:hAnsiTheme="minorHAnsi"/>
          <w:iCs/>
          <w:sz w:val="24"/>
          <w:szCs w:val="24"/>
        </w:rPr>
      </w:pPr>
      <w:r w:rsidRPr="001C19A5">
        <w:rPr>
          <w:rFonts w:asciiTheme="minorHAnsi" w:hAnsiTheme="minorHAnsi"/>
          <w:iCs/>
          <w:sz w:val="24"/>
          <w:szCs w:val="24"/>
        </w:rPr>
        <w:t>BIR for the period from the day after the resident died to the end of 14 days after being shown probate or letters of administration</w:t>
      </w:r>
    </w:p>
    <w:p w14:paraId="71F0ED77" w14:textId="73D61F14" w:rsidR="0005562C" w:rsidRPr="001C19A5" w:rsidRDefault="0005562C" w:rsidP="001A3223">
      <w:pPr>
        <w:pStyle w:val="ListParagraph"/>
        <w:numPr>
          <w:ilvl w:val="0"/>
          <w:numId w:val="28"/>
        </w:numPr>
        <w:spacing w:before="0" w:after="120" w:line="240" w:lineRule="auto"/>
        <w:ind w:left="851" w:hanging="357"/>
        <w:rPr>
          <w:rFonts w:asciiTheme="minorHAnsi" w:hAnsiTheme="minorHAnsi"/>
          <w:iCs/>
          <w:sz w:val="24"/>
          <w:szCs w:val="24"/>
        </w:rPr>
      </w:pPr>
      <w:r w:rsidRPr="001C19A5">
        <w:rPr>
          <w:rFonts w:asciiTheme="minorHAnsi" w:hAnsiTheme="minorHAnsi"/>
          <w:iCs/>
          <w:sz w:val="24"/>
          <w:szCs w:val="24"/>
        </w:rPr>
        <w:t>MPIR for the period commencing on the day after the refundable deposit or bond balance should have been refunded and finishing on the day the refundable deposit or bond balance is actually refunded</w:t>
      </w:r>
    </w:p>
    <w:p w14:paraId="42D2E2AB" w14:textId="4D3B79A0" w:rsidR="0005562C" w:rsidRDefault="0005562C" w:rsidP="00176637">
      <w:pPr>
        <w:spacing w:after="120" w:line="240" w:lineRule="auto"/>
        <w:rPr>
          <w:iCs/>
          <w:sz w:val="24"/>
          <w:szCs w:val="24"/>
        </w:rPr>
      </w:pPr>
      <w:r w:rsidRPr="001C19A5">
        <w:rPr>
          <w:iCs/>
          <w:sz w:val="24"/>
          <w:szCs w:val="24"/>
        </w:rPr>
        <w:t xml:space="preserve">A provider can decide to refund a refundable deposit or bond balance </w:t>
      </w:r>
      <w:r w:rsidR="006675D6">
        <w:rPr>
          <w:iCs/>
          <w:sz w:val="24"/>
          <w:szCs w:val="24"/>
        </w:rPr>
        <w:t>without</w:t>
      </w:r>
      <w:r w:rsidRPr="001C19A5">
        <w:rPr>
          <w:iCs/>
          <w:sz w:val="24"/>
          <w:szCs w:val="24"/>
        </w:rPr>
        <w:t xml:space="preserve"> being shown probate or letters of administration.</w:t>
      </w:r>
    </w:p>
    <w:p w14:paraId="2F4E9E74" w14:textId="0DED8CAD" w:rsidR="0005562C" w:rsidRPr="001C19A5" w:rsidRDefault="0005562C" w:rsidP="00176637">
      <w:pPr>
        <w:spacing w:after="120" w:line="240" w:lineRule="auto"/>
        <w:rPr>
          <w:iCs/>
          <w:sz w:val="24"/>
          <w:szCs w:val="24"/>
        </w:rPr>
      </w:pPr>
      <w:r w:rsidRPr="001C19A5">
        <w:rPr>
          <w:b/>
          <w:bCs/>
          <w:iCs/>
          <w:sz w:val="24"/>
          <w:szCs w:val="24"/>
          <w:lang w:val="en"/>
        </w:rPr>
        <w:t>Example:</w:t>
      </w:r>
      <w:r w:rsidRPr="001C19A5">
        <w:rPr>
          <w:iCs/>
          <w:sz w:val="24"/>
          <w:szCs w:val="24"/>
          <w:lang w:val="en"/>
        </w:rPr>
        <w:t xml:space="preserve"> </w:t>
      </w:r>
      <w:r w:rsidR="008F091A">
        <w:rPr>
          <w:iCs/>
          <w:sz w:val="24"/>
          <w:szCs w:val="24"/>
          <w:lang w:val="en"/>
        </w:rPr>
        <w:t>Ken passes away</w:t>
      </w:r>
      <w:r w:rsidRPr="001C19A5">
        <w:rPr>
          <w:iCs/>
          <w:sz w:val="24"/>
          <w:szCs w:val="24"/>
          <w:lang w:val="en"/>
        </w:rPr>
        <w:t xml:space="preserve"> on </w:t>
      </w:r>
      <w:r w:rsidR="00DF1167">
        <w:rPr>
          <w:iCs/>
          <w:sz w:val="24"/>
          <w:szCs w:val="24"/>
          <w:lang w:val="en"/>
        </w:rPr>
        <w:t>23 June</w:t>
      </w:r>
      <w:r w:rsidRPr="001C19A5">
        <w:rPr>
          <w:iCs/>
          <w:sz w:val="24"/>
          <w:szCs w:val="24"/>
          <w:lang w:val="en"/>
        </w:rPr>
        <w:t xml:space="preserve"> </w:t>
      </w:r>
      <w:r w:rsidR="001B1AD4">
        <w:rPr>
          <w:iCs/>
          <w:sz w:val="24"/>
          <w:szCs w:val="24"/>
          <w:lang w:val="en"/>
        </w:rPr>
        <w:t>202</w:t>
      </w:r>
      <w:r w:rsidR="00D40500">
        <w:rPr>
          <w:iCs/>
          <w:sz w:val="24"/>
          <w:szCs w:val="24"/>
          <w:lang w:val="en"/>
        </w:rPr>
        <w:t>3</w:t>
      </w:r>
      <w:r w:rsidR="001B1AD4" w:rsidRPr="001C19A5">
        <w:rPr>
          <w:iCs/>
          <w:sz w:val="24"/>
          <w:szCs w:val="24"/>
          <w:lang w:val="en"/>
        </w:rPr>
        <w:t xml:space="preserve"> </w:t>
      </w:r>
      <w:r w:rsidRPr="001C19A5">
        <w:rPr>
          <w:iCs/>
          <w:sz w:val="24"/>
          <w:szCs w:val="24"/>
          <w:lang w:val="en"/>
        </w:rPr>
        <w:t>and probate was sho</w:t>
      </w:r>
      <w:r w:rsidR="004D03E1">
        <w:rPr>
          <w:iCs/>
          <w:sz w:val="24"/>
          <w:szCs w:val="24"/>
          <w:lang w:val="en"/>
        </w:rPr>
        <w:t xml:space="preserve">wn to the provider on </w:t>
      </w:r>
      <w:r w:rsidR="007A3C96">
        <w:rPr>
          <w:iCs/>
          <w:sz w:val="24"/>
          <w:szCs w:val="24"/>
          <w:lang w:val="en"/>
        </w:rPr>
        <w:t>1</w:t>
      </w:r>
      <w:r w:rsidRPr="001C19A5">
        <w:rPr>
          <w:iCs/>
          <w:sz w:val="24"/>
          <w:szCs w:val="24"/>
          <w:lang w:val="en"/>
        </w:rPr>
        <w:t xml:space="preserve"> August </w:t>
      </w:r>
      <w:r w:rsidR="001B1AD4">
        <w:rPr>
          <w:iCs/>
          <w:sz w:val="24"/>
          <w:szCs w:val="24"/>
          <w:lang w:val="en"/>
        </w:rPr>
        <w:t>202</w:t>
      </w:r>
      <w:r w:rsidR="00D40500">
        <w:rPr>
          <w:iCs/>
          <w:sz w:val="24"/>
          <w:szCs w:val="24"/>
          <w:lang w:val="en"/>
        </w:rPr>
        <w:t>3</w:t>
      </w:r>
      <w:r w:rsidRPr="001C19A5">
        <w:rPr>
          <w:iCs/>
          <w:sz w:val="24"/>
          <w:szCs w:val="24"/>
          <w:lang w:val="en"/>
        </w:rPr>
        <w:t>. The refundable deposit</w:t>
      </w:r>
      <w:r w:rsidRPr="001C19A5">
        <w:rPr>
          <w:iCs/>
          <w:sz w:val="24"/>
          <w:szCs w:val="24"/>
        </w:rPr>
        <w:t xml:space="preserve"> </w:t>
      </w:r>
      <w:r w:rsidRPr="001C19A5">
        <w:rPr>
          <w:iCs/>
          <w:sz w:val="24"/>
          <w:szCs w:val="24"/>
          <w:lang w:val="en"/>
        </w:rPr>
        <w:t xml:space="preserve">balance was due to be refunded by </w:t>
      </w:r>
      <w:r w:rsidR="009A12CB">
        <w:rPr>
          <w:iCs/>
          <w:sz w:val="24"/>
          <w:szCs w:val="24"/>
          <w:lang w:val="en"/>
        </w:rPr>
        <w:t>15 August</w:t>
      </w:r>
      <w:r w:rsidRPr="001C19A5">
        <w:rPr>
          <w:iCs/>
          <w:sz w:val="24"/>
          <w:szCs w:val="24"/>
          <w:lang w:val="en"/>
        </w:rPr>
        <w:t xml:space="preserve"> </w:t>
      </w:r>
      <w:r w:rsidR="001B1AD4">
        <w:rPr>
          <w:iCs/>
          <w:sz w:val="24"/>
          <w:szCs w:val="24"/>
          <w:lang w:val="en"/>
        </w:rPr>
        <w:t>202</w:t>
      </w:r>
      <w:r w:rsidR="00D40500">
        <w:rPr>
          <w:iCs/>
          <w:sz w:val="24"/>
          <w:szCs w:val="24"/>
          <w:lang w:val="en"/>
        </w:rPr>
        <w:t>3</w:t>
      </w:r>
      <w:r w:rsidRPr="001C19A5">
        <w:rPr>
          <w:iCs/>
          <w:sz w:val="24"/>
          <w:szCs w:val="24"/>
          <w:lang w:val="en"/>
        </w:rPr>
        <w:t xml:space="preserve">, 14 days after probate was shown. </w:t>
      </w:r>
    </w:p>
    <w:p w14:paraId="762183EE" w14:textId="75EB93F0" w:rsidR="0005562C" w:rsidRPr="00B35C39" w:rsidRDefault="0047365C"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i</w:t>
      </w:r>
      <w:r w:rsidR="0005562C" w:rsidRPr="00B35C39">
        <w:rPr>
          <w:rFonts w:asciiTheme="minorHAnsi" w:hAnsiTheme="minorHAnsi"/>
          <w:iCs/>
          <w:sz w:val="24"/>
          <w:szCs w:val="24"/>
        </w:rPr>
        <w:t>f the provider refunds the refundable deposit</w:t>
      </w:r>
      <w:r w:rsidR="0005562C" w:rsidRPr="001C19A5">
        <w:rPr>
          <w:rFonts w:asciiTheme="minorHAnsi" w:hAnsiTheme="minorHAnsi"/>
          <w:iCs/>
          <w:sz w:val="24"/>
          <w:szCs w:val="24"/>
        </w:rPr>
        <w:t xml:space="preserve"> </w:t>
      </w:r>
      <w:r w:rsidR="0005562C" w:rsidRPr="00B35C39">
        <w:rPr>
          <w:rFonts w:asciiTheme="minorHAnsi" w:hAnsiTheme="minorHAnsi"/>
          <w:iCs/>
          <w:sz w:val="24"/>
          <w:szCs w:val="24"/>
        </w:rPr>
        <w:t xml:space="preserve">balance on </w:t>
      </w:r>
      <w:r w:rsidR="002315C7" w:rsidRPr="00B35C39">
        <w:rPr>
          <w:rFonts w:asciiTheme="minorHAnsi" w:hAnsiTheme="minorHAnsi"/>
          <w:iCs/>
          <w:sz w:val="24"/>
          <w:szCs w:val="24"/>
        </w:rPr>
        <w:t>14 August 2023</w:t>
      </w:r>
      <w:r w:rsidR="0005562C" w:rsidRPr="00B35C39">
        <w:rPr>
          <w:rFonts w:asciiTheme="minorHAnsi" w:hAnsiTheme="minorHAnsi"/>
          <w:iCs/>
          <w:sz w:val="24"/>
          <w:szCs w:val="24"/>
        </w:rPr>
        <w:t xml:space="preserve">, then BIR is payable for the period </w:t>
      </w:r>
      <w:r w:rsidR="00F050E2" w:rsidRPr="00B35C39">
        <w:rPr>
          <w:rFonts w:asciiTheme="minorHAnsi" w:hAnsiTheme="minorHAnsi"/>
          <w:iCs/>
          <w:sz w:val="24"/>
          <w:szCs w:val="24"/>
        </w:rPr>
        <w:t>24</w:t>
      </w:r>
      <w:r w:rsidR="00A539D8" w:rsidRPr="00B35C39">
        <w:rPr>
          <w:rFonts w:asciiTheme="minorHAnsi" w:hAnsiTheme="minorHAnsi"/>
          <w:iCs/>
          <w:sz w:val="24"/>
          <w:szCs w:val="24"/>
        </w:rPr>
        <w:t xml:space="preserve"> June 2023</w:t>
      </w:r>
      <w:r w:rsidR="0005562C" w:rsidRPr="00B35C39">
        <w:rPr>
          <w:rFonts w:asciiTheme="minorHAnsi" w:hAnsiTheme="minorHAnsi"/>
          <w:iCs/>
          <w:sz w:val="24"/>
          <w:szCs w:val="24"/>
        </w:rPr>
        <w:t>-</w:t>
      </w:r>
      <w:r w:rsidR="00A539D8" w:rsidRPr="00B35C39">
        <w:rPr>
          <w:rFonts w:asciiTheme="minorHAnsi" w:hAnsiTheme="minorHAnsi"/>
          <w:iCs/>
          <w:sz w:val="24"/>
          <w:szCs w:val="24"/>
        </w:rPr>
        <w:t>14 August 2023</w:t>
      </w:r>
      <w:r w:rsidR="0005562C" w:rsidRPr="00B35C39">
        <w:rPr>
          <w:rFonts w:asciiTheme="minorHAnsi" w:hAnsiTheme="minorHAnsi"/>
          <w:iCs/>
          <w:sz w:val="24"/>
          <w:szCs w:val="24"/>
        </w:rPr>
        <w:t xml:space="preserve">, at the BIR rate current at </w:t>
      </w:r>
      <w:r w:rsidR="002824B2" w:rsidRPr="00B35C39">
        <w:rPr>
          <w:rFonts w:asciiTheme="minorHAnsi" w:hAnsiTheme="minorHAnsi"/>
          <w:iCs/>
          <w:sz w:val="24"/>
          <w:szCs w:val="24"/>
        </w:rPr>
        <w:br/>
      </w:r>
      <w:r w:rsidR="007519EC" w:rsidRPr="00B35C39">
        <w:rPr>
          <w:rFonts w:asciiTheme="minorHAnsi" w:hAnsiTheme="minorHAnsi"/>
          <w:iCs/>
          <w:sz w:val="24"/>
          <w:szCs w:val="24"/>
        </w:rPr>
        <w:t>2</w:t>
      </w:r>
      <w:r w:rsidR="0005562C" w:rsidRPr="00B35C39">
        <w:rPr>
          <w:rFonts w:asciiTheme="minorHAnsi" w:hAnsiTheme="minorHAnsi"/>
          <w:iCs/>
          <w:sz w:val="24"/>
          <w:szCs w:val="24"/>
        </w:rPr>
        <w:t xml:space="preserve"> August </w:t>
      </w:r>
      <w:r w:rsidR="001B1AD4" w:rsidRPr="00B35C39">
        <w:rPr>
          <w:rFonts w:asciiTheme="minorHAnsi" w:hAnsiTheme="minorHAnsi"/>
          <w:iCs/>
          <w:sz w:val="24"/>
          <w:szCs w:val="24"/>
        </w:rPr>
        <w:t>202</w:t>
      </w:r>
      <w:r w:rsidR="00D40500" w:rsidRPr="00B35C39">
        <w:rPr>
          <w:rFonts w:asciiTheme="minorHAnsi" w:hAnsiTheme="minorHAnsi"/>
          <w:iCs/>
          <w:sz w:val="24"/>
          <w:szCs w:val="24"/>
        </w:rPr>
        <w:t>3</w:t>
      </w:r>
    </w:p>
    <w:p w14:paraId="46359BD9" w14:textId="17BBE28D" w:rsidR="001E75F0" w:rsidRPr="00B35C39" w:rsidRDefault="0047365C"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i</w:t>
      </w:r>
      <w:r w:rsidR="0005562C" w:rsidRPr="00B35C39">
        <w:rPr>
          <w:rFonts w:asciiTheme="minorHAnsi" w:hAnsiTheme="minorHAnsi"/>
          <w:iCs/>
          <w:sz w:val="24"/>
          <w:szCs w:val="24"/>
        </w:rPr>
        <w:t>f the provider refunds the refundable deposit</w:t>
      </w:r>
      <w:r w:rsidR="0005562C" w:rsidRPr="001C19A5">
        <w:rPr>
          <w:rFonts w:asciiTheme="minorHAnsi" w:hAnsiTheme="minorHAnsi"/>
          <w:iCs/>
          <w:sz w:val="24"/>
          <w:szCs w:val="24"/>
        </w:rPr>
        <w:t xml:space="preserve"> </w:t>
      </w:r>
      <w:r w:rsidR="0005562C" w:rsidRPr="00B35C39">
        <w:rPr>
          <w:rFonts w:asciiTheme="minorHAnsi" w:hAnsiTheme="minorHAnsi"/>
          <w:iCs/>
          <w:sz w:val="24"/>
          <w:szCs w:val="24"/>
        </w:rPr>
        <w:t xml:space="preserve">balance on 10 September </w:t>
      </w:r>
      <w:r w:rsidR="000352BB" w:rsidRPr="00B35C39">
        <w:rPr>
          <w:rFonts w:asciiTheme="minorHAnsi" w:hAnsiTheme="minorHAnsi"/>
          <w:iCs/>
          <w:sz w:val="24"/>
          <w:szCs w:val="24"/>
        </w:rPr>
        <w:t>202</w:t>
      </w:r>
      <w:r w:rsidR="00D40500" w:rsidRPr="00B35C39">
        <w:rPr>
          <w:rFonts w:asciiTheme="minorHAnsi" w:hAnsiTheme="minorHAnsi"/>
          <w:iCs/>
          <w:sz w:val="24"/>
          <w:szCs w:val="24"/>
        </w:rPr>
        <w:t>3</w:t>
      </w:r>
      <w:r w:rsidR="0005562C" w:rsidRPr="00B35C39">
        <w:rPr>
          <w:rFonts w:asciiTheme="minorHAnsi" w:hAnsiTheme="minorHAnsi"/>
          <w:iCs/>
          <w:sz w:val="24"/>
          <w:szCs w:val="24"/>
        </w:rPr>
        <w:t xml:space="preserve">, BIR is payable for the period </w:t>
      </w:r>
      <w:r w:rsidR="007519EC" w:rsidRPr="00B35C39">
        <w:rPr>
          <w:rFonts w:asciiTheme="minorHAnsi" w:hAnsiTheme="minorHAnsi"/>
          <w:iCs/>
          <w:sz w:val="24"/>
          <w:szCs w:val="24"/>
        </w:rPr>
        <w:t xml:space="preserve">24 June 2023-15 August 2023 </w:t>
      </w:r>
      <w:r w:rsidR="0005562C" w:rsidRPr="00B35C39">
        <w:rPr>
          <w:rFonts w:asciiTheme="minorHAnsi" w:hAnsiTheme="minorHAnsi"/>
          <w:iCs/>
          <w:sz w:val="24"/>
          <w:szCs w:val="24"/>
        </w:rPr>
        <w:t xml:space="preserve">and MPIR is payable </w:t>
      </w:r>
      <w:r w:rsidR="00501324" w:rsidRPr="00B35C39">
        <w:rPr>
          <w:rFonts w:asciiTheme="minorHAnsi" w:hAnsiTheme="minorHAnsi"/>
          <w:iCs/>
          <w:sz w:val="24"/>
          <w:szCs w:val="24"/>
        </w:rPr>
        <w:br/>
      </w:r>
      <w:r w:rsidR="00310FCA" w:rsidRPr="00B35C39">
        <w:rPr>
          <w:rFonts w:asciiTheme="minorHAnsi" w:hAnsiTheme="minorHAnsi"/>
          <w:iCs/>
          <w:sz w:val="24"/>
          <w:szCs w:val="24"/>
        </w:rPr>
        <w:t>16</w:t>
      </w:r>
      <w:r w:rsidR="0005562C" w:rsidRPr="00B35C39">
        <w:rPr>
          <w:rFonts w:asciiTheme="minorHAnsi" w:hAnsiTheme="minorHAnsi"/>
          <w:iCs/>
          <w:sz w:val="24"/>
          <w:szCs w:val="24"/>
        </w:rPr>
        <w:t>-</w:t>
      </w:r>
      <w:r w:rsidR="00310FCA" w:rsidRPr="00B35C39">
        <w:rPr>
          <w:rFonts w:asciiTheme="minorHAnsi" w:hAnsiTheme="minorHAnsi"/>
          <w:iCs/>
          <w:sz w:val="24"/>
          <w:szCs w:val="24"/>
        </w:rPr>
        <w:t>20</w:t>
      </w:r>
      <w:r w:rsidR="0005562C" w:rsidRPr="00B35C39">
        <w:rPr>
          <w:rFonts w:asciiTheme="minorHAnsi" w:hAnsiTheme="minorHAnsi"/>
          <w:iCs/>
          <w:sz w:val="24"/>
          <w:szCs w:val="24"/>
        </w:rPr>
        <w:t xml:space="preserve"> </w:t>
      </w:r>
      <w:r w:rsidR="00310FCA" w:rsidRPr="00B35C39">
        <w:rPr>
          <w:rFonts w:asciiTheme="minorHAnsi" w:hAnsiTheme="minorHAnsi"/>
          <w:iCs/>
          <w:sz w:val="24"/>
          <w:szCs w:val="24"/>
        </w:rPr>
        <w:t>August</w:t>
      </w:r>
      <w:r w:rsidR="0005562C" w:rsidRPr="00B35C39">
        <w:rPr>
          <w:rFonts w:asciiTheme="minorHAnsi" w:hAnsiTheme="minorHAnsi"/>
          <w:iCs/>
          <w:sz w:val="24"/>
          <w:szCs w:val="24"/>
        </w:rPr>
        <w:t xml:space="preserve"> </w:t>
      </w:r>
      <w:r w:rsidR="000352BB" w:rsidRPr="00B35C39">
        <w:rPr>
          <w:rFonts w:asciiTheme="minorHAnsi" w:hAnsiTheme="minorHAnsi"/>
          <w:iCs/>
          <w:sz w:val="24"/>
          <w:szCs w:val="24"/>
        </w:rPr>
        <w:t>202</w:t>
      </w:r>
      <w:r w:rsidR="00D40500" w:rsidRPr="00B35C39">
        <w:rPr>
          <w:rFonts w:asciiTheme="minorHAnsi" w:hAnsiTheme="minorHAnsi"/>
          <w:iCs/>
          <w:sz w:val="24"/>
          <w:szCs w:val="24"/>
        </w:rPr>
        <w:t>3</w:t>
      </w:r>
      <w:r w:rsidR="0005562C" w:rsidRPr="00B35C39">
        <w:rPr>
          <w:rFonts w:asciiTheme="minorHAnsi" w:hAnsiTheme="minorHAnsi"/>
          <w:iCs/>
          <w:sz w:val="24"/>
          <w:szCs w:val="24"/>
        </w:rPr>
        <w:t>.</w:t>
      </w:r>
      <w:r w:rsidR="005D7973" w:rsidRPr="00B35C39">
        <w:rPr>
          <w:rFonts w:asciiTheme="minorHAnsi" w:hAnsiTheme="minorHAnsi"/>
          <w:iCs/>
          <w:sz w:val="24"/>
          <w:szCs w:val="24"/>
        </w:rPr>
        <w:t xml:space="preserve"> BIR is paid at the BIR rate current at </w:t>
      </w:r>
      <w:r w:rsidR="005D7973" w:rsidRPr="00B35C39">
        <w:rPr>
          <w:rFonts w:asciiTheme="minorHAnsi" w:hAnsiTheme="minorHAnsi"/>
          <w:iCs/>
          <w:sz w:val="24"/>
          <w:szCs w:val="24"/>
        </w:rPr>
        <w:br/>
        <w:t>2 August 2023</w:t>
      </w:r>
      <w:r w:rsidR="007862F6" w:rsidRPr="00B35C39">
        <w:rPr>
          <w:rFonts w:asciiTheme="minorHAnsi" w:hAnsiTheme="minorHAnsi"/>
          <w:iCs/>
          <w:sz w:val="24"/>
          <w:szCs w:val="24"/>
        </w:rPr>
        <w:t>, MPIR is paid at the MPIR rate current at 16 August 2023</w:t>
      </w:r>
    </w:p>
    <w:p w14:paraId="48883EBA" w14:textId="3A1FCAA9" w:rsidR="001132ED" w:rsidRPr="002B7CED" w:rsidRDefault="001132ED" w:rsidP="002B7CED">
      <w:pPr>
        <w:spacing w:before="200" w:after="0"/>
        <w:rPr>
          <w:b/>
          <w:bCs/>
          <w:color w:val="0070C0"/>
          <w:sz w:val="26"/>
          <w:szCs w:val="26"/>
        </w:rPr>
      </w:pPr>
      <w:r w:rsidRPr="002B7CED">
        <w:rPr>
          <w:b/>
          <w:bCs/>
          <w:color w:val="0070C0"/>
          <w:sz w:val="26"/>
          <w:szCs w:val="26"/>
        </w:rPr>
        <w:t xml:space="preserve">If the </w:t>
      </w:r>
      <w:r w:rsidR="009978D8" w:rsidRPr="002B7CED">
        <w:rPr>
          <w:b/>
          <w:bCs/>
          <w:color w:val="0070C0"/>
          <w:sz w:val="26"/>
          <w:szCs w:val="26"/>
        </w:rPr>
        <w:t>resident</w:t>
      </w:r>
      <w:r w:rsidRPr="002B7CED">
        <w:rPr>
          <w:b/>
          <w:bCs/>
          <w:color w:val="0070C0"/>
          <w:sz w:val="26"/>
          <w:szCs w:val="26"/>
        </w:rPr>
        <w:t xml:space="preserve"> transfers to another service</w:t>
      </w:r>
    </w:p>
    <w:p w14:paraId="06BBBC25" w14:textId="64A9B88B" w:rsidR="0005562C" w:rsidRPr="001C19A5" w:rsidRDefault="0005562C" w:rsidP="00176637">
      <w:pPr>
        <w:spacing w:after="120" w:line="240" w:lineRule="auto"/>
        <w:rPr>
          <w:iCs/>
          <w:sz w:val="24"/>
          <w:szCs w:val="24"/>
        </w:rPr>
      </w:pPr>
      <w:r w:rsidRPr="00AA6EA4">
        <w:rPr>
          <w:b/>
          <w:bCs/>
          <w:iCs/>
          <w:sz w:val="24"/>
          <w:szCs w:val="24"/>
        </w:rPr>
        <w:t xml:space="preserve">If the resident gives more than 14 </w:t>
      </w:r>
      <w:r w:rsidR="00A73000" w:rsidRPr="00AA6EA4">
        <w:rPr>
          <w:b/>
          <w:bCs/>
          <w:iCs/>
          <w:sz w:val="24"/>
          <w:szCs w:val="24"/>
        </w:rPr>
        <w:t>days’ notice</w:t>
      </w:r>
      <w:r w:rsidRPr="00AA6EA4">
        <w:rPr>
          <w:b/>
          <w:bCs/>
          <w:iCs/>
          <w:sz w:val="24"/>
          <w:szCs w:val="24"/>
        </w:rPr>
        <w:t xml:space="preserve"> of moving to another service</w:t>
      </w:r>
      <w:r w:rsidRPr="001C19A5">
        <w:rPr>
          <w:iCs/>
          <w:sz w:val="24"/>
          <w:szCs w:val="24"/>
        </w:rPr>
        <w:t>, then the refundable deposit or bond balance is due to be refunded on the day that the resident leaves the service.</w:t>
      </w:r>
    </w:p>
    <w:p w14:paraId="6B2D787C" w14:textId="77777777" w:rsidR="0005562C" w:rsidRPr="001C19A5" w:rsidRDefault="0005562C" w:rsidP="00176637">
      <w:pPr>
        <w:spacing w:after="120" w:line="240" w:lineRule="auto"/>
        <w:rPr>
          <w:iCs/>
          <w:sz w:val="24"/>
          <w:szCs w:val="24"/>
        </w:rPr>
      </w:pPr>
      <w:r w:rsidRPr="001C19A5">
        <w:rPr>
          <w:iCs/>
          <w:sz w:val="24"/>
          <w:szCs w:val="24"/>
        </w:rPr>
        <w:t xml:space="preserve">If the provider refunds the refundable deposit or bond balance on the day the resident leaves the service, then they will not have to pay any interest. </w:t>
      </w:r>
    </w:p>
    <w:p w14:paraId="4A740ADB" w14:textId="4B234DF2" w:rsidR="0005562C" w:rsidRPr="001C19A5" w:rsidRDefault="0005562C" w:rsidP="00176637">
      <w:pPr>
        <w:spacing w:after="120" w:line="240" w:lineRule="auto"/>
        <w:rPr>
          <w:iCs/>
          <w:sz w:val="24"/>
          <w:szCs w:val="24"/>
        </w:rPr>
      </w:pPr>
      <w:r w:rsidRPr="001C19A5">
        <w:rPr>
          <w:iCs/>
          <w:sz w:val="24"/>
          <w:szCs w:val="24"/>
        </w:rPr>
        <w:t>If the provider does not refund the refundable deposit or bond balance by the time the resident leaves the service, then the provider must pay the interest calculated at the MPIR for the period starting the day after the resident leaves the service and ending on the day the refundable deposit or bond balance is actually refunded.</w:t>
      </w:r>
    </w:p>
    <w:p w14:paraId="60D15D48" w14:textId="1346AFA1" w:rsidR="0005562C" w:rsidRPr="001C19A5" w:rsidRDefault="0005562C" w:rsidP="00611E0D">
      <w:pPr>
        <w:spacing w:after="120" w:line="240" w:lineRule="auto"/>
        <w:rPr>
          <w:iCs/>
          <w:sz w:val="24"/>
          <w:szCs w:val="24"/>
        </w:rPr>
      </w:pPr>
      <w:r w:rsidRPr="001C19A5">
        <w:rPr>
          <w:b/>
          <w:iCs/>
          <w:sz w:val="24"/>
          <w:szCs w:val="24"/>
        </w:rPr>
        <w:lastRenderedPageBreak/>
        <w:t>Example:</w:t>
      </w:r>
      <w:r w:rsidRPr="001C19A5">
        <w:rPr>
          <w:iCs/>
          <w:sz w:val="24"/>
          <w:szCs w:val="24"/>
        </w:rPr>
        <w:t xml:space="preserve"> On 1 August </w:t>
      </w:r>
      <w:r w:rsidR="000352BB">
        <w:rPr>
          <w:iCs/>
          <w:sz w:val="24"/>
          <w:szCs w:val="24"/>
        </w:rPr>
        <w:t>202</w:t>
      </w:r>
      <w:r w:rsidR="00D40500">
        <w:rPr>
          <w:iCs/>
          <w:sz w:val="24"/>
          <w:szCs w:val="24"/>
        </w:rPr>
        <w:t>3</w:t>
      </w:r>
      <w:r w:rsidRPr="001C19A5">
        <w:rPr>
          <w:iCs/>
          <w:sz w:val="24"/>
          <w:szCs w:val="24"/>
        </w:rPr>
        <w:t xml:space="preserve">, John told Scott's Aged Care Service that he would move to Andy's Aged Care Service on 16 August </w:t>
      </w:r>
      <w:r w:rsidR="000352BB">
        <w:rPr>
          <w:iCs/>
          <w:sz w:val="24"/>
          <w:szCs w:val="24"/>
        </w:rPr>
        <w:t>202</w:t>
      </w:r>
      <w:r w:rsidR="00D40500">
        <w:rPr>
          <w:iCs/>
          <w:sz w:val="24"/>
          <w:szCs w:val="24"/>
        </w:rPr>
        <w:t>3</w:t>
      </w:r>
      <w:r w:rsidR="004D03E1">
        <w:rPr>
          <w:iCs/>
          <w:sz w:val="24"/>
          <w:szCs w:val="24"/>
        </w:rPr>
        <w:t xml:space="preserve">. He moves on 16 August </w:t>
      </w:r>
      <w:r w:rsidR="000352BB">
        <w:rPr>
          <w:iCs/>
          <w:sz w:val="24"/>
          <w:szCs w:val="24"/>
        </w:rPr>
        <w:t>202</w:t>
      </w:r>
      <w:r w:rsidR="00D40500">
        <w:rPr>
          <w:iCs/>
          <w:sz w:val="24"/>
          <w:szCs w:val="24"/>
        </w:rPr>
        <w:t>3</w:t>
      </w:r>
      <w:r w:rsidR="004D03E1">
        <w:rPr>
          <w:iCs/>
          <w:sz w:val="24"/>
          <w:szCs w:val="24"/>
        </w:rPr>
        <w:t xml:space="preserve">. </w:t>
      </w:r>
      <w:r w:rsidRPr="001C19A5">
        <w:rPr>
          <w:iCs/>
          <w:sz w:val="24"/>
          <w:szCs w:val="24"/>
        </w:rPr>
        <w:t xml:space="preserve">If Scott's Aged Care Service gave the </w:t>
      </w:r>
      <w:r w:rsidR="00621C26" w:rsidRPr="001C19A5">
        <w:rPr>
          <w:rFonts w:eastAsia="Times New Roman"/>
          <w:iCs/>
          <w:sz w:val="24"/>
          <w:szCs w:val="24"/>
          <w:lang w:val="en" w:eastAsia="en-AU"/>
        </w:rPr>
        <w:t>refundable deposit</w:t>
      </w:r>
      <w:r w:rsidR="00621C26" w:rsidRPr="001C19A5">
        <w:rPr>
          <w:iCs/>
          <w:sz w:val="24"/>
          <w:szCs w:val="24"/>
        </w:rPr>
        <w:t xml:space="preserve"> </w:t>
      </w:r>
      <w:r w:rsidR="00621C26" w:rsidRPr="001C19A5">
        <w:rPr>
          <w:iCs/>
          <w:sz w:val="24"/>
          <w:szCs w:val="24"/>
          <w:lang w:val="en"/>
        </w:rPr>
        <w:t>balance</w:t>
      </w:r>
      <w:r w:rsidRPr="001C19A5">
        <w:rPr>
          <w:iCs/>
          <w:sz w:val="24"/>
          <w:szCs w:val="24"/>
        </w:rPr>
        <w:t xml:space="preserve"> to John on: </w:t>
      </w:r>
    </w:p>
    <w:p w14:paraId="5AF4784F" w14:textId="0C4F5C99" w:rsidR="0005562C" w:rsidRPr="00B35C39" w:rsidRDefault="0005562C" w:rsidP="00B35C39">
      <w:pPr>
        <w:pStyle w:val="ListParagraph"/>
        <w:numPr>
          <w:ilvl w:val="0"/>
          <w:numId w:val="28"/>
        </w:numPr>
        <w:spacing w:after="0" w:line="240" w:lineRule="auto"/>
        <w:ind w:left="851" w:hanging="357"/>
        <w:rPr>
          <w:rFonts w:asciiTheme="minorHAnsi" w:hAnsiTheme="minorHAnsi"/>
          <w:iCs/>
          <w:sz w:val="24"/>
          <w:szCs w:val="24"/>
        </w:rPr>
      </w:pPr>
      <w:r w:rsidRPr="00B35C39">
        <w:rPr>
          <w:rFonts w:asciiTheme="minorHAnsi" w:hAnsiTheme="minorHAnsi"/>
          <w:iCs/>
          <w:sz w:val="24"/>
          <w:szCs w:val="24"/>
        </w:rPr>
        <w:t xml:space="preserve">16 August </w:t>
      </w:r>
      <w:r w:rsidR="000352BB" w:rsidRPr="00B35C39">
        <w:rPr>
          <w:rFonts w:asciiTheme="minorHAnsi" w:hAnsiTheme="minorHAnsi"/>
          <w:iCs/>
          <w:sz w:val="24"/>
          <w:szCs w:val="24"/>
        </w:rPr>
        <w:t>202</w:t>
      </w:r>
      <w:r w:rsidR="00D40500" w:rsidRPr="00B35C39">
        <w:rPr>
          <w:rFonts w:asciiTheme="minorHAnsi" w:hAnsiTheme="minorHAnsi"/>
          <w:iCs/>
          <w:sz w:val="24"/>
          <w:szCs w:val="24"/>
        </w:rPr>
        <w:t>3</w:t>
      </w:r>
      <w:r w:rsidRPr="00B35C39">
        <w:rPr>
          <w:rFonts w:asciiTheme="minorHAnsi" w:hAnsiTheme="minorHAnsi"/>
          <w:iCs/>
          <w:sz w:val="24"/>
          <w:szCs w:val="24"/>
        </w:rPr>
        <w:t>, then no interest would be payable</w:t>
      </w:r>
    </w:p>
    <w:p w14:paraId="6FB850C7" w14:textId="4D04F62D" w:rsidR="0005562C" w:rsidRPr="00B35C39" w:rsidRDefault="0005562C" w:rsidP="00B35C39">
      <w:pPr>
        <w:pStyle w:val="ListParagraph"/>
        <w:numPr>
          <w:ilvl w:val="0"/>
          <w:numId w:val="28"/>
        </w:numPr>
        <w:spacing w:after="120" w:line="240" w:lineRule="auto"/>
        <w:ind w:left="851" w:hanging="357"/>
        <w:rPr>
          <w:rFonts w:asciiTheme="minorHAnsi" w:hAnsiTheme="minorHAnsi"/>
          <w:iCs/>
          <w:sz w:val="24"/>
          <w:szCs w:val="24"/>
        </w:rPr>
      </w:pPr>
      <w:r w:rsidRPr="00B35C39">
        <w:rPr>
          <w:rFonts w:asciiTheme="minorHAnsi" w:hAnsiTheme="minorHAnsi"/>
          <w:iCs/>
          <w:sz w:val="24"/>
          <w:szCs w:val="24"/>
        </w:rPr>
        <w:t xml:space="preserve">25 August </w:t>
      </w:r>
      <w:r w:rsidR="000352BB" w:rsidRPr="00B35C39">
        <w:rPr>
          <w:rFonts w:asciiTheme="minorHAnsi" w:hAnsiTheme="minorHAnsi"/>
          <w:iCs/>
          <w:sz w:val="24"/>
          <w:szCs w:val="24"/>
        </w:rPr>
        <w:t>202</w:t>
      </w:r>
      <w:r w:rsidR="00D40500" w:rsidRPr="00B35C39">
        <w:rPr>
          <w:rFonts w:asciiTheme="minorHAnsi" w:hAnsiTheme="minorHAnsi"/>
          <w:iCs/>
          <w:sz w:val="24"/>
          <w:szCs w:val="24"/>
        </w:rPr>
        <w:t>3</w:t>
      </w:r>
      <w:r w:rsidRPr="00B35C39">
        <w:rPr>
          <w:rFonts w:asciiTheme="minorHAnsi" w:hAnsiTheme="minorHAnsi"/>
          <w:iCs/>
          <w:sz w:val="24"/>
          <w:szCs w:val="24"/>
        </w:rPr>
        <w:t xml:space="preserve">, then MPIR is payable for the period 17-25 August </w:t>
      </w:r>
      <w:r w:rsidR="000352BB" w:rsidRPr="00B35C39">
        <w:rPr>
          <w:rFonts w:asciiTheme="minorHAnsi" w:hAnsiTheme="minorHAnsi"/>
          <w:iCs/>
          <w:sz w:val="24"/>
          <w:szCs w:val="24"/>
        </w:rPr>
        <w:t>202</w:t>
      </w:r>
      <w:r w:rsidR="00D40500" w:rsidRPr="00B35C39">
        <w:rPr>
          <w:rFonts w:asciiTheme="minorHAnsi" w:hAnsiTheme="minorHAnsi"/>
          <w:iCs/>
          <w:sz w:val="24"/>
          <w:szCs w:val="24"/>
        </w:rPr>
        <w:t>3</w:t>
      </w:r>
      <w:r w:rsidR="00A1044F" w:rsidRPr="00B35C39">
        <w:rPr>
          <w:rFonts w:asciiTheme="minorHAnsi" w:hAnsiTheme="minorHAnsi"/>
          <w:iCs/>
          <w:sz w:val="24"/>
          <w:szCs w:val="24"/>
        </w:rPr>
        <w:t xml:space="preserve"> at the MPIR rate current at 17 August 2023</w:t>
      </w:r>
      <w:r w:rsidR="000352BB" w:rsidRPr="00B35C39">
        <w:rPr>
          <w:rFonts w:asciiTheme="minorHAnsi" w:hAnsiTheme="minorHAnsi"/>
          <w:iCs/>
          <w:sz w:val="24"/>
          <w:szCs w:val="24"/>
        </w:rPr>
        <w:t xml:space="preserve"> </w:t>
      </w:r>
      <w:r w:rsidRPr="00B35C39">
        <w:rPr>
          <w:rFonts w:asciiTheme="minorHAnsi" w:hAnsiTheme="minorHAnsi"/>
          <w:iCs/>
          <w:sz w:val="24"/>
          <w:szCs w:val="24"/>
        </w:rPr>
        <w:t xml:space="preserve">- </w:t>
      </w:r>
      <w:r w:rsidR="000473A3" w:rsidRPr="00B35C39">
        <w:rPr>
          <w:rFonts w:asciiTheme="minorHAnsi" w:hAnsiTheme="minorHAnsi"/>
          <w:iCs/>
          <w:sz w:val="24"/>
          <w:szCs w:val="24"/>
        </w:rPr>
        <w:t>i.e.,</w:t>
      </w:r>
      <w:r w:rsidRPr="00B35C39">
        <w:rPr>
          <w:rFonts w:asciiTheme="minorHAnsi" w:hAnsiTheme="minorHAnsi"/>
          <w:iCs/>
          <w:sz w:val="24"/>
          <w:szCs w:val="24"/>
        </w:rPr>
        <w:t xml:space="preserve"> from the day after John left the service until the </w:t>
      </w:r>
      <w:r w:rsidR="00621C26" w:rsidRPr="00B35C39">
        <w:rPr>
          <w:rFonts w:asciiTheme="minorHAnsi" w:hAnsiTheme="minorHAnsi"/>
          <w:iCs/>
          <w:sz w:val="24"/>
          <w:szCs w:val="24"/>
        </w:rPr>
        <w:t>refundable deposit</w:t>
      </w:r>
      <w:r w:rsidR="00621C26" w:rsidRPr="001C19A5">
        <w:rPr>
          <w:rFonts w:asciiTheme="minorHAnsi" w:hAnsiTheme="minorHAnsi"/>
          <w:iCs/>
          <w:sz w:val="24"/>
          <w:szCs w:val="24"/>
        </w:rPr>
        <w:t xml:space="preserve"> </w:t>
      </w:r>
      <w:r w:rsidR="00621C26" w:rsidRPr="00B35C39">
        <w:rPr>
          <w:rFonts w:asciiTheme="minorHAnsi" w:hAnsiTheme="minorHAnsi"/>
          <w:iCs/>
          <w:sz w:val="24"/>
          <w:szCs w:val="24"/>
        </w:rPr>
        <w:t>balance</w:t>
      </w:r>
      <w:r w:rsidRPr="00B35C39">
        <w:rPr>
          <w:rFonts w:asciiTheme="minorHAnsi" w:hAnsiTheme="minorHAnsi"/>
          <w:iCs/>
          <w:sz w:val="24"/>
          <w:szCs w:val="24"/>
        </w:rPr>
        <w:t xml:space="preserve"> is refunded</w:t>
      </w:r>
    </w:p>
    <w:p w14:paraId="4E4AE333" w14:textId="757C1464" w:rsidR="0005562C" w:rsidRPr="001C19A5" w:rsidRDefault="0005562C" w:rsidP="00176637">
      <w:pPr>
        <w:spacing w:after="120" w:line="240" w:lineRule="auto"/>
        <w:rPr>
          <w:iCs/>
          <w:sz w:val="24"/>
          <w:szCs w:val="24"/>
        </w:rPr>
      </w:pPr>
      <w:r w:rsidRPr="00AA6EA4">
        <w:rPr>
          <w:b/>
          <w:bCs/>
          <w:iCs/>
          <w:sz w:val="24"/>
          <w:szCs w:val="24"/>
        </w:rPr>
        <w:t xml:space="preserve">If the resident provides notice within 14 </w:t>
      </w:r>
      <w:r w:rsidR="00A73000" w:rsidRPr="00AA6EA4">
        <w:rPr>
          <w:b/>
          <w:bCs/>
          <w:iCs/>
          <w:sz w:val="24"/>
          <w:szCs w:val="24"/>
        </w:rPr>
        <w:t>days</w:t>
      </w:r>
      <w:r w:rsidRPr="00AA6EA4">
        <w:rPr>
          <w:b/>
          <w:bCs/>
          <w:iCs/>
          <w:sz w:val="24"/>
          <w:szCs w:val="24"/>
        </w:rPr>
        <w:t xml:space="preserve"> </w:t>
      </w:r>
      <w:r w:rsidR="004D62EF" w:rsidRPr="00AA6EA4">
        <w:rPr>
          <w:b/>
          <w:bCs/>
          <w:iCs/>
          <w:sz w:val="24"/>
          <w:szCs w:val="24"/>
        </w:rPr>
        <w:t>of moving to another service</w:t>
      </w:r>
      <w:r w:rsidRPr="001C19A5">
        <w:rPr>
          <w:iCs/>
          <w:sz w:val="24"/>
          <w:szCs w:val="24"/>
        </w:rPr>
        <w:t>, then the refundable deposit or bond balance must be refunded within 14 days after the day on which notice was given. If the refundable deposit or bond balance is refunded within 14 days, then BIR is payable from the day after the resident leaves the service until the end of 14 days after the resident provided notice or until the refundable deposit or bond balance is paid.</w:t>
      </w:r>
    </w:p>
    <w:p w14:paraId="29FAEC9A" w14:textId="77777777" w:rsidR="0005562C" w:rsidRPr="001C19A5" w:rsidRDefault="0005562C" w:rsidP="00176637">
      <w:pPr>
        <w:spacing w:after="120" w:line="240" w:lineRule="auto"/>
        <w:rPr>
          <w:iCs/>
          <w:sz w:val="24"/>
          <w:szCs w:val="24"/>
        </w:rPr>
      </w:pPr>
      <w:r w:rsidRPr="001C19A5">
        <w:rPr>
          <w:iCs/>
          <w:sz w:val="24"/>
          <w:szCs w:val="24"/>
        </w:rPr>
        <w:t xml:space="preserve">If the provider does not refund the refundable deposit or bond balance within 14 days of when the notice was given, then the provider must pay the MPIR for the period commencing on the day after 14 </w:t>
      </w:r>
      <w:r w:rsidR="00A73000" w:rsidRPr="001C19A5">
        <w:rPr>
          <w:iCs/>
          <w:sz w:val="24"/>
          <w:szCs w:val="24"/>
        </w:rPr>
        <w:t>days’ notice</w:t>
      </w:r>
      <w:r w:rsidRPr="001C19A5">
        <w:rPr>
          <w:iCs/>
          <w:sz w:val="24"/>
          <w:szCs w:val="24"/>
        </w:rPr>
        <w:t xml:space="preserve"> was given and ending on the day the refundable deposit or bond balance is actually refunded.</w:t>
      </w:r>
    </w:p>
    <w:p w14:paraId="1A5397F4" w14:textId="1BF327DE" w:rsidR="0005562C" w:rsidRPr="001C19A5" w:rsidRDefault="0005562C" w:rsidP="00D466EB">
      <w:pPr>
        <w:spacing w:after="120" w:line="240" w:lineRule="auto"/>
        <w:rPr>
          <w:iCs/>
          <w:sz w:val="24"/>
          <w:szCs w:val="24"/>
        </w:rPr>
      </w:pPr>
      <w:r w:rsidRPr="001C19A5">
        <w:rPr>
          <w:b/>
          <w:iCs/>
          <w:sz w:val="24"/>
          <w:szCs w:val="24"/>
        </w:rPr>
        <w:t>Example:</w:t>
      </w:r>
      <w:r w:rsidRPr="001C19A5">
        <w:rPr>
          <w:iCs/>
          <w:sz w:val="24"/>
          <w:szCs w:val="24"/>
        </w:rPr>
        <w:t xml:space="preserve"> On 10 August </w:t>
      </w:r>
      <w:r w:rsidR="000352BB">
        <w:rPr>
          <w:iCs/>
          <w:sz w:val="24"/>
          <w:szCs w:val="24"/>
        </w:rPr>
        <w:t>202</w:t>
      </w:r>
      <w:r w:rsidR="00D40500">
        <w:rPr>
          <w:iCs/>
          <w:sz w:val="24"/>
          <w:szCs w:val="24"/>
        </w:rPr>
        <w:t>3</w:t>
      </w:r>
      <w:r w:rsidRPr="001C19A5">
        <w:rPr>
          <w:iCs/>
          <w:sz w:val="24"/>
          <w:szCs w:val="24"/>
        </w:rPr>
        <w:t xml:space="preserve">, Fred told Georgie's Aged Care Service that he was moving to Sunset Aged Care Service on 15 August </w:t>
      </w:r>
      <w:r w:rsidR="000352BB">
        <w:rPr>
          <w:iCs/>
          <w:sz w:val="24"/>
          <w:szCs w:val="24"/>
        </w:rPr>
        <w:t>202</w:t>
      </w:r>
      <w:r w:rsidR="00D40500">
        <w:rPr>
          <w:iCs/>
          <w:sz w:val="24"/>
          <w:szCs w:val="24"/>
        </w:rPr>
        <w:t>3</w:t>
      </w:r>
      <w:r w:rsidRPr="001C19A5">
        <w:rPr>
          <w:iCs/>
          <w:sz w:val="24"/>
          <w:szCs w:val="24"/>
        </w:rPr>
        <w:t xml:space="preserve">. He moves on 15 August </w:t>
      </w:r>
      <w:r w:rsidR="000352BB">
        <w:rPr>
          <w:iCs/>
          <w:sz w:val="24"/>
          <w:szCs w:val="24"/>
        </w:rPr>
        <w:t>202</w:t>
      </w:r>
      <w:r w:rsidR="00D40500">
        <w:rPr>
          <w:iCs/>
          <w:sz w:val="24"/>
          <w:szCs w:val="24"/>
        </w:rPr>
        <w:t>3</w:t>
      </w:r>
      <w:r w:rsidRPr="001C19A5">
        <w:rPr>
          <w:iCs/>
          <w:sz w:val="24"/>
          <w:szCs w:val="24"/>
        </w:rPr>
        <w:t xml:space="preserve">. If Georgie's Aged Care Service gave the </w:t>
      </w:r>
      <w:r w:rsidR="00621C26" w:rsidRPr="001C19A5">
        <w:rPr>
          <w:rFonts w:eastAsia="Times New Roman"/>
          <w:iCs/>
          <w:sz w:val="24"/>
          <w:szCs w:val="24"/>
          <w:lang w:val="en" w:eastAsia="en-AU"/>
        </w:rPr>
        <w:t>refundable deposit</w:t>
      </w:r>
      <w:r w:rsidR="00621C26" w:rsidRPr="001C19A5">
        <w:rPr>
          <w:iCs/>
          <w:sz w:val="24"/>
          <w:szCs w:val="24"/>
        </w:rPr>
        <w:t xml:space="preserve"> </w:t>
      </w:r>
      <w:r w:rsidR="00621C26" w:rsidRPr="001C19A5">
        <w:rPr>
          <w:iCs/>
          <w:sz w:val="24"/>
          <w:szCs w:val="24"/>
          <w:lang w:val="en"/>
        </w:rPr>
        <w:t>balance</w:t>
      </w:r>
      <w:r w:rsidRPr="001C19A5">
        <w:rPr>
          <w:iCs/>
          <w:sz w:val="24"/>
          <w:szCs w:val="24"/>
        </w:rPr>
        <w:t xml:space="preserve"> to Fred on: </w:t>
      </w:r>
    </w:p>
    <w:p w14:paraId="13F93479" w14:textId="392AA89B" w:rsidR="0005562C" w:rsidRPr="001C19A5" w:rsidRDefault="0005562C" w:rsidP="00B35C39">
      <w:pPr>
        <w:pStyle w:val="ListParagraph"/>
        <w:numPr>
          <w:ilvl w:val="0"/>
          <w:numId w:val="28"/>
        </w:numPr>
        <w:spacing w:after="0" w:line="240" w:lineRule="auto"/>
        <w:ind w:left="851" w:hanging="357"/>
        <w:rPr>
          <w:rFonts w:asciiTheme="minorHAnsi" w:hAnsiTheme="minorHAnsi"/>
          <w:iCs/>
          <w:sz w:val="24"/>
          <w:szCs w:val="24"/>
        </w:rPr>
      </w:pPr>
      <w:r w:rsidRPr="001C19A5">
        <w:rPr>
          <w:rFonts w:asciiTheme="minorHAnsi" w:hAnsiTheme="minorHAnsi"/>
          <w:iCs/>
          <w:sz w:val="24"/>
          <w:szCs w:val="24"/>
        </w:rPr>
        <w:t xml:space="preserve">15 August </w:t>
      </w:r>
      <w:r w:rsidR="000352BB">
        <w:rPr>
          <w:rFonts w:asciiTheme="minorHAnsi" w:hAnsiTheme="minorHAnsi"/>
          <w:iCs/>
          <w:sz w:val="24"/>
          <w:szCs w:val="24"/>
        </w:rPr>
        <w:t>202</w:t>
      </w:r>
      <w:r w:rsidR="00D40500">
        <w:rPr>
          <w:rFonts w:asciiTheme="minorHAnsi" w:hAnsiTheme="minorHAnsi"/>
          <w:iCs/>
          <w:sz w:val="24"/>
          <w:szCs w:val="24"/>
        </w:rPr>
        <w:t>3</w:t>
      </w:r>
      <w:r w:rsidRPr="001C19A5">
        <w:rPr>
          <w:rFonts w:asciiTheme="minorHAnsi" w:hAnsiTheme="minorHAnsi"/>
          <w:iCs/>
          <w:sz w:val="24"/>
          <w:szCs w:val="24"/>
        </w:rPr>
        <w:t>, then no interest is payable</w:t>
      </w:r>
    </w:p>
    <w:p w14:paraId="5A5ECEB6" w14:textId="34932717" w:rsidR="0005562C" w:rsidRPr="001C19A5" w:rsidRDefault="0005562C" w:rsidP="00B35C39">
      <w:pPr>
        <w:pStyle w:val="ListParagraph"/>
        <w:numPr>
          <w:ilvl w:val="0"/>
          <w:numId w:val="28"/>
        </w:numPr>
        <w:spacing w:after="0" w:line="240" w:lineRule="auto"/>
        <w:ind w:left="851" w:hanging="357"/>
        <w:rPr>
          <w:rFonts w:asciiTheme="minorHAnsi" w:hAnsiTheme="minorHAnsi"/>
          <w:iCs/>
          <w:sz w:val="24"/>
          <w:szCs w:val="24"/>
        </w:rPr>
      </w:pPr>
      <w:r w:rsidRPr="001C19A5">
        <w:rPr>
          <w:rFonts w:asciiTheme="minorHAnsi" w:hAnsiTheme="minorHAnsi"/>
          <w:iCs/>
          <w:sz w:val="24"/>
          <w:szCs w:val="24"/>
        </w:rPr>
        <w:t xml:space="preserve">18 August </w:t>
      </w:r>
      <w:r w:rsidR="000352BB">
        <w:rPr>
          <w:rFonts w:asciiTheme="minorHAnsi" w:hAnsiTheme="minorHAnsi"/>
          <w:iCs/>
          <w:sz w:val="24"/>
          <w:szCs w:val="24"/>
        </w:rPr>
        <w:t>202</w:t>
      </w:r>
      <w:r w:rsidR="00D40500">
        <w:rPr>
          <w:rFonts w:asciiTheme="minorHAnsi" w:hAnsiTheme="minorHAnsi"/>
          <w:iCs/>
          <w:sz w:val="24"/>
          <w:szCs w:val="24"/>
        </w:rPr>
        <w:t>3</w:t>
      </w:r>
      <w:r w:rsidRPr="001C19A5">
        <w:rPr>
          <w:rFonts w:asciiTheme="minorHAnsi" w:hAnsiTheme="minorHAnsi"/>
          <w:iCs/>
          <w:sz w:val="24"/>
          <w:szCs w:val="24"/>
        </w:rPr>
        <w:t>, then BIR is payable for 3 days</w:t>
      </w:r>
    </w:p>
    <w:p w14:paraId="022D0446" w14:textId="7CB41FE2" w:rsidR="0005562C" w:rsidRPr="001C19A5" w:rsidRDefault="0005562C" w:rsidP="00B35C39">
      <w:pPr>
        <w:pStyle w:val="ListParagraph"/>
        <w:numPr>
          <w:ilvl w:val="0"/>
          <w:numId w:val="28"/>
        </w:numPr>
        <w:spacing w:after="120" w:line="240" w:lineRule="auto"/>
        <w:ind w:left="851" w:hanging="357"/>
        <w:rPr>
          <w:rFonts w:asciiTheme="minorHAnsi" w:hAnsiTheme="minorHAnsi"/>
          <w:iCs/>
          <w:sz w:val="24"/>
          <w:szCs w:val="24"/>
        </w:rPr>
      </w:pPr>
      <w:r w:rsidRPr="001C19A5">
        <w:rPr>
          <w:rFonts w:asciiTheme="minorHAnsi" w:hAnsiTheme="minorHAnsi"/>
          <w:iCs/>
          <w:sz w:val="24"/>
          <w:szCs w:val="24"/>
        </w:rPr>
        <w:t xml:space="preserve">28 August </w:t>
      </w:r>
      <w:r w:rsidR="000352BB">
        <w:rPr>
          <w:rFonts w:asciiTheme="minorHAnsi" w:hAnsiTheme="minorHAnsi"/>
          <w:iCs/>
          <w:sz w:val="24"/>
          <w:szCs w:val="24"/>
        </w:rPr>
        <w:t>202</w:t>
      </w:r>
      <w:r w:rsidR="00D40500">
        <w:rPr>
          <w:rFonts w:asciiTheme="minorHAnsi" w:hAnsiTheme="minorHAnsi"/>
          <w:iCs/>
          <w:sz w:val="24"/>
          <w:szCs w:val="24"/>
        </w:rPr>
        <w:t>3</w:t>
      </w:r>
      <w:r w:rsidRPr="001C19A5">
        <w:rPr>
          <w:rFonts w:asciiTheme="minorHAnsi" w:hAnsiTheme="minorHAnsi"/>
          <w:iCs/>
          <w:sz w:val="24"/>
          <w:szCs w:val="24"/>
        </w:rPr>
        <w:t xml:space="preserve">, then BIR is payable for the period 16-24 August </w:t>
      </w:r>
      <w:r w:rsidR="000352BB">
        <w:rPr>
          <w:rFonts w:asciiTheme="minorHAnsi" w:hAnsiTheme="minorHAnsi"/>
          <w:iCs/>
          <w:sz w:val="24"/>
          <w:szCs w:val="24"/>
        </w:rPr>
        <w:t>202</w:t>
      </w:r>
      <w:r w:rsidR="00D40500">
        <w:rPr>
          <w:rFonts w:asciiTheme="minorHAnsi" w:hAnsiTheme="minorHAnsi"/>
          <w:iCs/>
          <w:sz w:val="24"/>
          <w:szCs w:val="24"/>
        </w:rPr>
        <w:t>3</w:t>
      </w:r>
      <w:r w:rsidR="000352BB" w:rsidRPr="001C19A5">
        <w:rPr>
          <w:rFonts w:asciiTheme="minorHAnsi" w:hAnsiTheme="minorHAnsi"/>
          <w:iCs/>
          <w:sz w:val="24"/>
          <w:szCs w:val="24"/>
        </w:rPr>
        <w:t xml:space="preserve"> </w:t>
      </w:r>
      <w:r w:rsidRPr="001C19A5">
        <w:rPr>
          <w:rFonts w:asciiTheme="minorHAnsi" w:hAnsiTheme="minorHAnsi"/>
          <w:iCs/>
          <w:sz w:val="24"/>
          <w:szCs w:val="24"/>
        </w:rPr>
        <w:t xml:space="preserve">and MPIR is payable for the period 25-28 August </w:t>
      </w:r>
      <w:r w:rsidR="000352BB">
        <w:rPr>
          <w:rFonts w:asciiTheme="minorHAnsi" w:hAnsiTheme="minorHAnsi"/>
          <w:iCs/>
          <w:sz w:val="24"/>
          <w:szCs w:val="24"/>
        </w:rPr>
        <w:t>202</w:t>
      </w:r>
      <w:r w:rsidR="00D40500">
        <w:rPr>
          <w:rFonts w:asciiTheme="minorHAnsi" w:hAnsiTheme="minorHAnsi"/>
          <w:iCs/>
          <w:sz w:val="24"/>
          <w:szCs w:val="24"/>
        </w:rPr>
        <w:t>3</w:t>
      </w:r>
    </w:p>
    <w:p w14:paraId="2C145F1E" w14:textId="7658E22F" w:rsidR="0005562C" w:rsidRPr="001C19A5" w:rsidRDefault="00785F4F" w:rsidP="00176637">
      <w:pPr>
        <w:spacing w:after="120" w:line="240" w:lineRule="auto"/>
        <w:rPr>
          <w:iCs/>
          <w:sz w:val="24"/>
          <w:szCs w:val="24"/>
        </w:rPr>
      </w:pPr>
      <w:r w:rsidRPr="00AA6EA4">
        <w:rPr>
          <w:b/>
          <w:bCs/>
          <w:iCs/>
          <w:sz w:val="24"/>
          <w:szCs w:val="24"/>
        </w:rPr>
        <w:t>If the</w:t>
      </w:r>
      <w:r w:rsidR="0005562C" w:rsidRPr="00AA6EA4">
        <w:rPr>
          <w:b/>
          <w:bCs/>
          <w:iCs/>
          <w:sz w:val="24"/>
          <w:szCs w:val="24"/>
        </w:rPr>
        <w:t xml:space="preserve"> resident</w:t>
      </w:r>
      <w:r w:rsidRPr="00AA6EA4">
        <w:rPr>
          <w:b/>
          <w:bCs/>
          <w:iCs/>
          <w:sz w:val="24"/>
          <w:szCs w:val="24"/>
        </w:rPr>
        <w:t xml:space="preserve"> </w:t>
      </w:r>
      <w:r w:rsidR="0005562C" w:rsidRPr="00AA6EA4">
        <w:rPr>
          <w:b/>
          <w:bCs/>
          <w:iCs/>
          <w:sz w:val="24"/>
          <w:szCs w:val="24"/>
        </w:rPr>
        <w:t xml:space="preserve">leaves </w:t>
      </w:r>
      <w:r w:rsidR="00EB6D2E" w:rsidRPr="00AA6EA4">
        <w:rPr>
          <w:b/>
          <w:bCs/>
          <w:iCs/>
          <w:sz w:val="24"/>
          <w:szCs w:val="24"/>
        </w:rPr>
        <w:t xml:space="preserve">your </w:t>
      </w:r>
      <w:r w:rsidR="0005562C" w:rsidRPr="00AA6EA4">
        <w:rPr>
          <w:b/>
          <w:bCs/>
          <w:iCs/>
          <w:sz w:val="24"/>
          <w:szCs w:val="24"/>
        </w:rPr>
        <w:t>service to move to another service without giving any notice</w:t>
      </w:r>
      <w:r w:rsidR="006F68FA">
        <w:rPr>
          <w:iCs/>
          <w:sz w:val="24"/>
          <w:szCs w:val="24"/>
        </w:rPr>
        <w:t xml:space="preserve">, then </w:t>
      </w:r>
      <w:r>
        <w:rPr>
          <w:iCs/>
          <w:sz w:val="24"/>
          <w:szCs w:val="24"/>
        </w:rPr>
        <w:t>t</w:t>
      </w:r>
      <w:r w:rsidR="0005562C" w:rsidRPr="001C19A5">
        <w:rPr>
          <w:iCs/>
          <w:sz w:val="24"/>
          <w:szCs w:val="24"/>
        </w:rPr>
        <w:t xml:space="preserve">he refundable deposit or bond balance must be refunded within 14 days of the day after the resident leaves the service. If the refundable deposit or bond balance is refunded within the 14 days, then the provider pays BIR for the period commencing the day after the resident left the service and finishing on the day the provider actually refunded the refundable deposit or bond balance. </w:t>
      </w:r>
    </w:p>
    <w:p w14:paraId="2491D67F" w14:textId="08A02E60" w:rsidR="0005562C" w:rsidRPr="001C19A5" w:rsidRDefault="0005562C" w:rsidP="00176637">
      <w:pPr>
        <w:spacing w:after="120" w:line="240" w:lineRule="auto"/>
        <w:rPr>
          <w:iCs/>
          <w:sz w:val="24"/>
          <w:szCs w:val="24"/>
        </w:rPr>
      </w:pPr>
      <w:r w:rsidRPr="001C19A5">
        <w:rPr>
          <w:iCs/>
          <w:sz w:val="24"/>
          <w:szCs w:val="24"/>
        </w:rPr>
        <w:t xml:space="preserve">If the provider does not refund the refundable deposit or bond balance within the </w:t>
      </w:r>
      <w:r w:rsidR="002C25EE" w:rsidRPr="001C19A5">
        <w:rPr>
          <w:iCs/>
          <w:sz w:val="24"/>
          <w:szCs w:val="24"/>
        </w:rPr>
        <w:t>14-day</w:t>
      </w:r>
      <w:r w:rsidRPr="001C19A5">
        <w:rPr>
          <w:iCs/>
          <w:sz w:val="24"/>
          <w:szCs w:val="24"/>
        </w:rPr>
        <w:t xml:space="preserve"> period, then the provider pays BIR for the period from the day after the resident left the service to the expiration of 14 days and MPIR for the period commencing on the day after the refundable deposit or bond balance should have been refunded and finishing on the day the refundable deposit or bond balance is actually refunded.</w:t>
      </w:r>
    </w:p>
    <w:p w14:paraId="09DE7C63" w14:textId="60DE11BB" w:rsidR="0005562C" w:rsidRPr="001C19A5" w:rsidRDefault="0005562C" w:rsidP="00D466EB">
      <w:pPr>
        <w:spacing w:after="120" w:line="240" w:lineRule="auto"/>
        <w:rPr>
          <w:iCs/>
          <w:sz w:val="24"/>
          <w:szCs w:val="24"/>
        </w:rPr>
      </w:pPr>
      <w:r w:rsidRPr="001C19A5">
        <w:rPr>
          <w:b/>
          <w:iCs/>
          <w:sz w:val="24"/>
          <w:szCs w:val="24"/>
        </w:rPr>
        <w:t>Example:</w:t>
      </w:r>
      <w:r w:rsidRPr="001C19A5">
        <w:rPr>
          <w:iCs/>
          <w:sz w:val="24"/>
          <w:szCs w:val="24"/>
        </w:rPr>
        <w:t xml:space="preserve"> Bob left Rosie's Aged Care Service on 10 July </w:t>
      </w:r>
      <w:r w:rsidR="000352BB">
        <w:rPr>
          <w:iCs/>
          <w:sz w:val="24"/>
          <w:szCs w:val="24"/>
        </w:rPr>
        <w:t>202</w:t>
      </w:r>
      <w:r w:rsidR="00D40500">
        <w:rPr>
          <w:iCs/>
          <w:sz w:val="24"/>
          <w:szCs w:val="24"/>
        </w:rPr>
        <w:t>3</w:t>
      </w:r>
      <w:r w:rsidR="000352BB" w:rsidRPr="001C19A5">
        <w:rPr>
          <w:iCs/>
          <w:sz w:val="24"/>
          <w:szCs w:val="24"/>
        </w:rPr>
        <w:t xml:space="preserve"> </w:t>
      </w:r>
      <w:r w:rsidRPr="001C19A5">
        <w:rPr>
          <w:iCs/>
          <w:sz w:val="24"/>
          <w:szCs w:val="24"/>
        </w:rPr>
        <w:t xml:space="preserve">to move to another service and did not provide any notice. If the </w:t>
      </w:r>
      <w:r w:rsidR="00621C26" w:rsidRPr="001C19A5">
        <w:rPr>
          <w:rFonts w:eastAsia="Times New Roman"/>
          <w:iCs/>
          <w:sz w:val="24"/>
          <w:szCs w:val="24"/>
          <w:lang w:val="en" w:eastAsia="en-AU"/>
        </w:rPr>
        <w:t>refundable deposit</w:t>
      </w:r>
      <w:r w:rsidR="00621C26" w:rsidRPr="001C19A5">
        <w:rPr>
          <w:iCs/>
          <w:sz w:val="24"/>
          <w:szCs w:val="24"/>
        </w:rPr>
        <w:t xml:space="preserve"> </w:t>
      </w:r>
      <w:r w:rsidR="00621C26" w:rsidRPr="001C19A5">
        <w:rPr>
          <w:iCs/>
          <w:sz w:val="24"/>
          <w:szCs w:val="24"/>
          <w:lang w:val="en"/>
        </w:rPr>
        <w:t>balance</w:t>
      </w:r>
      <w:r w:rsidRPr="001C19A5">
        <w:rPr>
          <w:iCs/>
          <w:sz w:val="24"/>
          <w:szCs w:val="24"/>
        </w:rPr>
        <w:t xml:space="preserve"> was refunded on: </w:t>
      </w:r>
    </w:p>
    <w:p w14:paraId="3756A8EC" w14:textId="5B11139F" w:rsidR="0005562C" w:rsidRPr="00B2743B" w:rsidRDefault="0005562C" w:rsidP="00B35C39">
      <w:pPr>
        <w:pStyle w:val="ListParagraph"/>
        <w:numPr>
          <w:ilvl w:val="0"/>
          <w:numId w:val="28"/>
        </w:numPr>
        <w:spacing w:after="0" w:line="240" w:lineRule="auto"/>
        <w:ind w:left="851" w:hanging="357"/>
        <w:rPr>
          <w:rFonts w:asciiTheme="minorHAnsi" w:hAnsiTheme="minorHAnsi"/>
          <w:iCs/>
          <w:sz w:val="24"/>
          <w:szCs w:val="24"/>
        </w:rPr>
      </w:pPr>
      <w:r w:rsidRPr="00B2743B">
        <w:rPr>
          <w:rFonts w:asciiTheme="minorHAnsi" w:hAnsiTheme="minorHAnsi"/>
          <w:iCs/>
          <w:sz w:val="24"/>
          <w:szCs w:val="24"/>
        </w:rPr>
        <w:t xml:space="preserve">15 July </w:t>
      </w:r>
      <w:r w:rsidR="000352BB" w:rsidRPr="00B2743B">
        <w:rPr>
          <w:rFonts w:asciiTheme="minorHAnsi" w:hAnsiTheme="minorHAnsi"/>
          <w:iCs/>
          <w:sz w:val="24"/>
          <w:szCs w:val="24"/>
        </w:rPr>
        <w:t>202</w:t>
      </w:r>
      <w:r w:rsidR="00D40500" w:rsidRPr="00B2743B">
        <w:rPr>
          <w:rFonts w:asciiTheme="minorHAnsi" w:hAnsiTheme="minorHAnsi"/>
          <w:iCs/>
          <w:sz w:val="24"/>
          <w:szCs w:val="24"/>
        </w:rPr>
        <w:t>3</w:t>
      </w:r>
      <w:r w:rsidRPr="00B2743B">
        <w:rPr>
          <w:rFonts w:asciiTheme="minorHAnsi" w:hAnsiTheme="minorHAnsi"/>
          <w:iCs/>
          <w:sz w:val="24"/>
          <w:szCs w:val="24"/>
        </w:rPr>
        <w:t xml:space="preserve">, then BIR is payable from 11 July </w:t>
      </w:r>
      <w:r w:rsidR="000352BB" w:rsidRPr="00B2743B">
        <w:rPr>
          <w:rFonts w:asciiTheme="minorHAnsi" w:hAnsiTheme="minorHAnsi"/>
          <w:iCs/>
          <w:sz w:val="24"/>
          <w:szCs w:val="24"/>
        </w:rPr>
        <w:t>202</w:t>
      </w:r>
      <w:r w:rsidR="00D40500" w:rsidRPr="00B2743B">
        <w:rPr>
          <w:rFonts w:asciiTheme="minorHAnsi" w:hAnsiTheme="minorHAnsi"/>
          <w:iCs/>
          <w:sz w:val="24"/>
          <w:szCs w:val="24"/>
        </w:rPr>
        <w:t>3</w:t>
      </w:r>
      <w:r w:rsidR="000352BB" w:rsidRPr="00B2743B">
        <w:rPr>
          <w:rFonts w:asciiTheme="minorHAnsi" w:hAnsiTheme="minorHAnsi"/>
          <w:iCs/>
          <w:sz w:val="24"/>
          <w:szCs w:val="24"/>
        </w:rPr>
        <w:t xml:space="preserve"> </w:t>
      </w:r>
      <w:r w:rsidRPr="00B2743B">
        <w:rPr>
          <w:rFonts w:asciiTheme="minorHAnsi" w:hAnsiTheme="minorHAnsi"/>
          <w:iCs/>
          <w:sz w:val="24"/>
          <w:szCs w:val="24"/>
        </w:rPr>
        <w:t xml:space="preserve">until the </w:t>
      </w:r>
      <w:r w:rsidR="00621C26" w:rsidRPr="00B35C39">
        <w:rPr>
          <w:rFonts w:asciiTheme="minorHAnsi" w:hAnsiTheme="minorHAnsi"/>
          <w:iCs/>
          <w:sz w:val="24"/>
          <w:szCs w:val="24"/>
        </w:rPr>
        <w:t>refundable deposit</w:t>
      </w:r>
      <w:r w:rsidR="00621C26" w:rsidRPr="00B2743B">
        <w:rPr>
          <w:rFonts w:asciiTheme="minorHAnsi" w:hAnsiTheme="minorHAnsi"/>
          <w:iCs/>
          <w:sz w:val="24"/>
          <w:szCs w:val="24"/>
        </w:rPr>
        <w:t xml:space="preserve"> </w:t>
      </w:r>
      <w:r w:rsidR="00621C26" w:rsidRPr="00B35C39">
        <w:rPr>
          <w:rFonts w:asciiTheme="minorHAnsi" w:hAnsiTheme="minorHAnsi"/>
          <w:iCs/>
          <w:sz w:val="24"/>
          <w:szCs w:val="24"/>
        </w:rPr>
        <w:t>balance</w:t>
      </w:r>
      <w:r w:rsidRPr="00B2743B">
        <w:rPr>
          <w:rFonts w:asciiTheme="minorHAnsi" w:hAnsiTheme="minorHAnsi"/>
          <w:iCs/>
          <w:sz w:val="24"/>
          <w:szCs w:val="24"/>
        </w:rPr>
        <w:t xml:space="preserve"> was actually refunded on 15 July </w:t>
      </w:r>
      <w:r w:rsidR="009D79EC" w:rsidRPr="00B2743B">
        <w:rPr>
          <w:rFonts w:asciiTheme="minorHAnsi" w:hAnsiTheme="minorHAnsi"/>
          <w:iCs/>
          <w:sz w:val="24"/>
          <w:szCs w:val="24"/>
        </w:rPr>
        <w:t>202</w:t>
      </w:r>
      <w:r w:rsidR="00D40500" w:rsidRPr="00B2743B">
        <w:rPr>
          <w:rFonts w:asciiTheme="minorHAnsi" w:hAnsiTheme="minorHAnsi"/>
          <w:iCs/>
          <w:sz w:val="24"/>
          <w:szCs w:val="24"/>
        </w:rPr>
        <w:t>3</w:t>
      </w:r>
    </w:p>
    <w:p w14:paraId="129B401A" w14:textId="62BAC55F" w:rsidR="0005562C" w:rsidRDefault="0005562C" w:rsidP="00B35C39">
      <w:pPr>
        <w:pStyle w:val="ListParagraph"/>
        <w:numPr>
          <w:ilvl w:val="0"/>
          <w:numId w:val="28"/>
        </w:numPr>
        <w:spacing w:after="0" w:line="240" w:lineRule="auto"/>
        <w:ind w:left="851" w:hanging="357"/>
        <w:rPr>
          <w:rFonts w:asciiTheme="minorHAnsi" w:hAnsiTheme="minorHAnsi"/>
          <w:iCs/>
          <w:sz w:val="24"/>
          <w:szCs w:val="24"/>
        </w:rPr>
      </w:pPr>
      <w:r w:rsidRPr="001C19A5">
        <w:rPr>
          <w:rFonts w:asciiTheme="minorHAnsi" w:hAnsiTheme="minorHAnsi"/>
          <w:iCs/>
          <w:sz w:val="24"/>
          <w:szCs w:val="24"/>
        </w:rPr>
        <w:t xml:space="preserve">28 July </w:t>
      </w:r>
      <w:r w:rsidR="000352BB">
        <w:rPr>
          <w:rFonts w:asciiTheme="minorHAnsi" w:hAnsiTheme="minorHAnsi"/>
          <w:iCs/>
          <w:sz w:val="24"/>
          <w:szCs w:val="24"/>
        </w:rPr>
        <w:t>2020</w:t>
      </w:r>
      <w:r w:rsidRPr="001C19A5">
        <w:rPr>
          <w:rFonts w:asciiTheme="minorHAnsi" w:hAnsiTheme="minorHAnsi"/>
          <w:iCs/>
          <w:sz w:val="24"/>
          <w:szCs w:val="24"/>
        </w:rPr>
        <w:t xml:space="preserve">, then BIR is payable for the period 11-24 July </w:t>
      </w:r>
      <w:r w:rsidR="000352BB">
        <w:rPr>
          <w:rFonts w:asciiTheme="minorHAnsi" w:hAnsiTheme="minorHAnsi"/>
          <w:iCs/>
          <w:sz w:val="24"/>
          <w:szCs w:val="24"/>
        </w:rPr>
        <w:t>202</w:t>
      </w:r>
      <w:r w:rsidR="00D40500">
        <w:rPr>
          <w:rFonts w:asciiTheme="minorHAnsi" w:hAnsiTheme="minorHAnsi"/>
          <w:iCs/>
          <w:sz w:val="24"/>
          <w:szCs w:val="24"/>
        </w:rPr>
        <w:t>3</w:t>
      </w:r>
      <w:r w:rsidR="000352BB" w:rsidRPr="001C19A5">
        <w:rPr>
          <w:rFonts w:asciiTheme="minorHAnsi" w:hAnsiTheme="minorHAnsi"/>
          <w:iCs/>
          <w:sz w:val="24"/>
          <w:szCs w:val="24"/>
        </w:rPr>
        <w:t xml:space="preserve"> </w:t>
      </w:r>
      <w:r w:rsidRPr="001C19A5">
        <w:rPr>
          <w:rFonts w:asciiTheme="minorHAnsi" w:hAnsiTheme="minorHAnsi"/>
          <w:iCs/>
          <w:sz w:val="24"/>
          <w:szCs w:val="24"/>
        </w:rPr>
        <w:t xml:space="preserve">and MPIR is payable for the period 25-28 July </w:t>
      </w:r>
      <w:r w:rsidR="000352BB">
        <w:rPr>
          <w:rFonts w:asciiTheme="minorHAnsi" w:hAnsiTheme="minorHAnsi"/>
          <w:iCs/>
          <w:sz w:val="24"/>
          <w:szCs w:val="24"/>
        </w:rPr>
        <w:t>202</w:t>
      </w:r>
      <w:r w:rsidR="00D40500">
        <w:rPr>
          <w:rFonts w:asciiTheme="minorHAnsi" w:hAnsiTheme="minorHAnsi"/>
          <w:iCs/>
          <w:sz w:val="24"/>
          <w:szCs w:val="24"/>
        </w:rPr>
        <w:t>3</w:t>
      </w:r>
    </w:p>
    <w:p w14:paraId="6BF96010" w14:textId="74AB379A" w:rsidR="0070527B" w:rsidRPr="002B7CED" w:rsidRDefault="0070527B" w:rsidP="002B7CED">
      <w:pPr>
        <w:spacing w:before="200" w:after="0"/>
        <w:rPr>
          <w:b/>
          <w:bCs/>
          <w:color w:val="0070C0"/>
          <w:sz w:val="26"/>
          <w:szCs w:val="26"/>
        </w:rPr>
      </w:pPr>
      <w:r w:rsidRPr="002B7CED">
        <w:rPr>
          <w:b/>
          <w:bCs/>
          <w:color w:val="0070C0"/>
          <w:sz w:val="26"/>
          <w:szCs w:val="26"/>
        </w:rPr>
        <w:t xml:space="preserve">If the </w:t>
      </w:r>
      <w:r w:rsidR="009978D8" w:rsidRPr="002B7CED">
        <w:rPr>
          <w:b/>
          <w:bCs/>
          <w:color w:val="0070C0"/>
          <w:sz w:val="26"/>
          <w:szCs w:val="26"/>
        </w:rPr>
        <w:t>resident</w:t>
      </w:r>
      <w:r w:rsidRPr="002B7CED">
        <w:rPr>
          <w:b/>
          <w:bCs/>
          <w:color w:val="0070C0"/>
          <w:sz w:val="26"/>
          <w:szCs w:val="26"/>
        </w:rPr>
        <w:t xml:space="preserve"> </w:t>
      </w:r>
      <w:r w:rsidR="00BE1606" w:rsidRPr="002B7CED">
        <w:rPr>
          <w:b/>
          <w:bCs/>
          <w:color w:val="0070C0"/>
          <w:sz w:val="26"/>
          <w:szCs w:val="26"/>
        </w:rPr>
        <w:t>permanently leaves your service</w:t>
      </w:r>
      <w:r w:rsidR="002D7206" w:rsidRPr="002B7CED">
        <w:rPr>
          <w:b/>
          <w:bCs/>
          <w:color w:val="0070C0"/>
          <w:sz w:val="26"/>
          <w:szCs w:val="26"/>
        </w:rPr>
        <w:t xml:space="preserve"> </w:t>
      </w:r>
      <w:r w:rsidR="00EC4328" w:rsidRPr="002B7CED">
        <w:rPr>
          <w:b/>
          <w:bCs/>
          <w:color w:val="0070C0"/>
          <w:sz w:val="26"/>
          <w:szCs w:val="26"/>
        </w:rPr>
        <w:t xml:space="preserve">(for a reason other than </w:t>
      </w:r>
      <w:r w:rsidR="000B3ABD" w:rsidRPr="002B7CED">
        <w:rPr>
          <w:b/>
          <w:bCs/>
          <w:color w:val="0070C0"/>
          <w:sz w:val="26"/>
          <w:szCs w:val="26"/>
        </w:rPr>
        <w:t xml:space="preserve">moving to </w:t>
      </w:r>
      <w:r w:rsidR="002D7206" w:rsidRPr="002B7CED">
        <w:rPr>
          <w:b/>
          <w:bCs/>
          <w:color w:val="0070C0"/>
          <w:sz w:val="26"/>
          <w:szCs w:val="26"/>
        </w:rPr>
        <w:t>another service to receive residential care</w:t>
      </w:r>
      <w:r w:rsidR="000B3ABD" w:rsidRPr="002B7CED">
        <w:rPr>
          <w:b/>
          <w:bCs/>
          <w:color w:val="0070C0"/>
          <w:sz w:val="26"/>
          <w:szCs w:val="26"/>
        </w:rPr>
        <w:t>)</w:t>
      </w:r>
    </w:p>
    <w:p w14:paraId="58E73947" w14:textId="24AA03F1" w:rsidR="0070527B" w:rsidRPr="001C19A5" w:rsidRDefault="0070527B" w:rsidP="0070527B">
      <w:pPr>
        <w:spacing w:after="120" w:line="240" w:lineRule="auto"/>
        <w:rPr>
          <w:iCs/>
          <w:sz w:val="24"/>
          <w:szCs w:val="24"/>
        </w:rPr>
      </w:pPr>
      <w:r w:rsidRPr="001C19A5">
        <w:rPr>
          <w:iCs/>
          <w:sz w:val="24"/>
          <w:szCs w:val="24"/>
        </w:rPr>
        <w:t xml:space="preserve">The rate of BIR is the BIR applicable on the day after </w:t>
      </w:r>
      <w:r w:rsidR="00782A4D">
        <w:rPr>
          <w:iCs/>
          <w:sz w:val="24"/>
          <w:szCs w:val="24"/>
        </w:rPr>
        <w:t>the resident leaves</w:t>
      </w:r>
      <w:r w:rsidR="004D40FE">
        <w:rPr>
          <w:iCs/>
          <w:sz w:val="24"/>
          <w:szCs w:val="24"/>
        </w:rPr>
        <w:t xml:space="preserve">. </w:t>
      </w:r>
    </w:p>
    <w:p w14:paraId="398D2F30" w14:textId="42F1B415" w:rsidR="0070527B" w:rsidRDefault="0070527B" w:rsidP="0070527B">
      <w:pPr>
        <w:spacing w:after="120" w:line="240" w:lineRule="auto"/>
        <w:rPr>
          <w:iCs/>
          <w:sz w:val="24"/>
          <w:szCs w:val="24"/>
        </w:rPr>
      </w:pPr>
      <w:r w:rsidRPr="001C19A5">
        <w:rPr>
          <w:iCs/>
          <w:sz w:val="24"/>
          <w:szCs w:val="24"/>
        </w:rPr>
        <w:t xml:space="preserve">If the provider refunds the refundable deposit or bond balance before the end of 14 days after the </w:t>
      </w:r>
      <w:r w:rsidR="00E774EE">
        <w:rPr>
          <w:iCs/>
          <w:sz w:val="24"/>
          <w:szCs w:val="24"/>
        </w:rPr>
        <w:t>resident permanently leaves</w:t>
      </w:r>
      <w:r w:rsidRPr="001C19A5">
        <w:rPr>
          <w:iCs/>
          <w:sz w:val="24"/>
          <w:szCs w:val="24"/>
        </w:rPr>
        <w:t xml:space="preserve">, then the provider pays BIR for the period commencing on the day </w:t>
      </w:r>
      <w:r w:rsidRPr="001C19A5">
        <w:rPr>
          <w:iCs/>
          <w:sz w:val="24"/>
          <w:szCs w:val="24"/>
        </w:rPr>
        <w:lastRenderedPageBreak/>
        <w:t xml:space="preserve">after the resident </w:t>
      </w:r>
      <w:r w:rsidR="00E774EE">
        <w:rPr>
          <w:iCs/>
          <w:sz w:val="24"/>
          <w:szCs w:val="24"/>
        </w:rPr>
        <w:t>leaves</w:t>
      </w:r>
      <w:r w:rsidRPr="001C19A5">
        <w:rPr>
          <w:iCs/>
          <w:sz w:val="24"/>
          <w:szCs w:val="24"/>
        </w:rPr>
        <w:t xml:space="preserve"> and finishing on the day the refundable deposit or bond balance is actually refunded.</w:t>
      </w:r>
    </w:p>
    <w:p w14:paraId="7E21326F" w14:textId="3714809C" w:rsidR="00A3135B" w:rsidRPr="001C19A5" w:rsidRDefault="00A3135B" w:rsidP="00D466EB">
      <w:pPr>
        <w:spacing w:after="120" w:line="240" w:lineRule="auto"/>
        <w:rPr>
          <w:iCs/>
          <w:sz w:val="24"/>
          <w:szCs w:val="24"/>
        </w:rPr>
      </w:pPr>
      <w:r w:rsidRPr="001C19A5">
        <w:rPr>
          <w:iCs/>
          <w:sz w:val="24"/>
          <w:szCs w:val="24"/>
        </w:rPr>
        <w:t xml:space="preserve">If the provider does not refund the refundable deposit balance or bond balance within 14 days after </w:t>
      </w:r>
      <w:r>
        <w:rPr>
          <w:iCs/>
          <w:sz w:val="24"/>
          <w:szCs w:val="24"/>
        </w:rPr>
        <w:t xml:space="preserve">the resident </w:t>
      </w:r>
      <w:r w:rsidR="009458FA">
        <w:rPr>
          <w:iCs/>
          <w:sz w:val="24"/>
          <w:szCs w:val="24"/>
        </w:rPr>
        <w:t>permanently leaves</w:t>
      </w:r>
      <w:r w:rsidRPr="001C19A5">
        <w:rPr>
          <w:iCs/>
          <w:sz w:val="24"/>
          <w:szCs w:val="24"/>
        </w:rPr>
        <w:t>, then the provider must pay:</w:t>
      </w:r>
    </w:p>
    <w:p w14:paraId="5A98DB23" w14:textId="10C99831" w:rsidR="00A3135B" w:rsidRPr="001C19A5" w:rsidRDefault="00A3135B" w:rsidP="00B35C39">
      <w:pPr>
        <w:pStyle w:val="ListParagraph"/>
        <w:numPr>
          <w:ilvl w:val="0"/>
          <w:numId w:val="28"/>
        </w:numPr>
        <w:spacing w:after="0" w:line="240" w:lineRule="auto"/>
        <w:ind w:left="851" w:hanging="357"/>
        <w:rPr>
          <w:rFonts w:asciiTheme="minorHAnsi" w:hAnsiTheme="minorHAnsi"/>
          <w:iCs/>
          <w:sz w:val="24"/>
          <w:szCs w:val="24"/>
        </w:rPr>
      </w:pPr>
      <w:r w:rsidRPr="001C19A5">
        <w:rPr>
          <w:rFonts w:asciiTheme="minorHAnsi" w:hAnsiTheme="minorHAnsi"/>
          <w:iCs/>
          <w:sz w:val="24"/>
          <w:szCs w:val="24"/>
        </w:rPr>
        <w:t xml:space="preserve">BIR for the period from the day after the resident </w:t>
      </w:r>
      <w:r w:rsidR="009458FA">
        <w:rPr>
          <w:rFonts w:asciiTheme="minorHAnsi" w:hAnsiTheme="minorHAnsi"/>
          <w:iCs/>
          <w:sz w:val="24"/>
          <w:szCs w:val="24"/>
        </w:rPr>
        <w:t>leaves</w:t>
      </w:r>
      <w:r w:rsidRPr="001C19A5">
        <w:rPr>
          <w:rFonts w:asciiTheme="minorHAnsi" w:hAnsiTheme="minorHAnsi"/>
          <w:iCs/>
          <w:sz w:val="24"/>
          <w:szCs w:val="24"/>
        </w:rPr>
        <w:t xml:space="preserve"> to the end of 14 days after </w:t>
      </w:r>
      <w:r w:rsidR="00B2397E">
        <w:rPr>
          <w:rFonts w:asciiTheme="minorHAnsi" w:hAnsiTheme="minorHAnsi"/>
          <w:iCs/>
          <w:sz w:val="24"/>
          <w:szCs w:val="24"/>
        </w:rPr>
        <w:t>the resident left residential care</w:t>
      </w:r>
    </w:p>
    <w:p w14:paraId="351BAFA6" w14:textId="7FD6DA25" w:rsidR="00A3135B" w:rsidRPr="00B2743B" w:rsidRDefault="00A3135B" w:rsidP="00B35C39">
      <w:pPr>
        <w:pStyle w:val="ListParagraph"/>
        <w:numPr>
          <w:ilvl w:val="0"/>
          <w:numId w:val="28"/>
        </w:numPr>
        <w:spacing w:after="120" w:line="240" w:lineRule="auto"/>
        <w:ind w:left="851" w:hanging="357"/>
        <w:rPr>
          <w:rFonts w:asciiTheme="minorHAnsi" w:hAnsiTheme="minorHAnsi"/>
          <w:iCs/>
          <w:sz w:val="24"/>
          <w:szCs w:val="24"/>
        </w:rPr>
      </w:pPr>
      <w:r w:rsidRPr="00B2743B">
        <w:rPr>
          <w:rFonts w:asciiTheme="minorHAnsi" w:hAnsiTheme="minorHAnsi"/>
          <w:iCs/>
          <w:sz w:val="24"/>
          <w:szCs w:val="24"/>
        </w:rPr>
        <w:t>MPIR for the period commencing on the day after the refundable deposit or bond balance should have been refunded and finishing on the day the refundable deposit or bond balance is actually refunded</w:t>
      </w:r>
    </w:p>
    <w:p w14:paraId="11905B38" w14:textId="0511B7D3" w:rsidR="3EF96BDE" w:rsidRDefault="3EF96BDE" w:rsidP="2E613A2D">
      <w:pPr>
        <w:spacing w:after="120" w:line="240" w:lineRule="auto"/>
        <w:rPr>
          <w:sz w:val="24"/>
          <w:szCs w:val="24"/>
        </w:rPr>
      </w:pPr>
      <w:r w:rsidRPr="2E613A2D">
        <w:rPr>
          <w:b/>
          <w:bCs/>
          <w:sz w:val="24"/>
          <w:szCs w:val="24"/>
        </w:rPr>
        <w:t xml:space="preserve">Example: </w:t>
      </w:r>
      <w:r w:rsidRPr="2E613A2D">
        <w:rPr>
          <w:rFonts w:ascii="Calibri" w:eastAsia="Calibri" w:hAnsi="Calibri"/>
          <w:sz w:val="24"/>
          <w:szCs w:val="24"/>
        </w:rPr>
        <w:t>Jenny leaves your service to live with her son. She gives notice on 31/12/2022 that her last day is 28/02/2023.</w:t>
      </w:r>
      <w:r w:rsidR="506D9B81" w:rsidRPr="2E613A2D">
        <w:rPr>
          <w:rFonts w:ascii="Calibri" w:eastAsia="Calibri" w:hAnsi="Calibri"/>
          <w:sz w:val="24"/>
          <w:szCs w:val="24"/>
        </w:rPr>
        <w:t xml:space="preserve"> </w:t>
      </w:r>
      <w:r w:rsidR="506D9B81" w:rsidRPr="2E613A2D">
        <w:rPr>
          <w:sz w:val="24"/>
          <w:szCs w:val="24"/>
          <w:lang w:val="en"/>
        </w:rPr>
        <w:t>The refundable deposit</w:t>
      </w:r>
      <w:r w:rsidR="506D9B81" w:rsidRPr="2E613A2D">
        <w:rPr>
          <w:sz w:val="24"/>
          <w:szCs w:val="24"/>
        </w:rPr>
        <w:t xml:space="preserve"> </w:t>
      </w:r>
      <w:r w:rsidR="506D9B81" w:rsidRPr="2E613A2D">
        <w:rPr>
          <w:sz w:val="24"/>
          <w:szCs w:val="24"/>
          <w:lang w:val="en"/>
        </w:rPr>
        <w:t>balance was due to be refunded by</w:t>
      </w:r>
      <w:r w:rsidR="5D51D70B" w:rsidRPr="2E613A2D">
        <w:rPr>
          <w:sz w:val="24"/>
          <w:szCs w:val="24"/>
          <w:lang w:val="en"/>
        </w:rPr>
        <w:t xml:space="preserve"> 14/03/2023.</w:t>
      </w:r>
      <w:r w:rsidR="3B93E00E" w:rsidRPr="2E613A2D">
        <w:rPr>
          <w:sz w:val="24"/>
          <w:szCs w:val="24"/>
          <w:lang w:val="en"/>
        </w:rPr>
        <w:t xml:space="preserve"> </w:t>
      </w:r>
      <w:r w:rsidR="3B93E00E" w:rsidRPr="2E613A2D">
        <w:rPr>
          <w:sz w:val="24"/>
          <w:szCs w:val="24"/>
        </w:rPr>
        <w:t xml:space="preserve">If the </w:t>
      </w:r>
      <w:r w:rsidR="3B93E00E" w:rsidRPr="2E613A2D">
        <w:rPr>
          <w:rFonts w:eastAsia="Times New Roman"/>
          <w:sz w:val="24"/>
          <w:szCs w:val="24"/>
          <w:lang w:val="en" w:eastAsia="en-AU"/>
        </w:rPr>
        <w:t>refundable deposit</w:t>
      </w:r>
      <w:r w:rsidR="3B93E00E" w:rsidRPr="2E613A2D">
        <w:rPr>
          <w:sz w:val="24"/>
          <w:szCs w:val="24"/>
        </w:rPr>
        <w:t xml:space="preserve"> </w:t>
      </w:r>
      <w:r w:rsidR="3B93E00E" w:rsidRPr="2E613A2D">
        <w:rPr>
          <w:sz w:val="24"/>
          <w:szCs w:val="24"/>
          <w:lang w:val="en"/>
        </w:rPr>
        <w:t>balance</w:t>
      </w:r>
      <w:r w:rsidR="3B93E00E" w:rsidRPr="2E613A2D">
        <w:rPr>
          <w:sz w:val="24"/>
          <w:szCs w:val="24"/>
        </w:rPr>
        <w:t xml:space="preserve"> was refunded on: </w:t>
      </w:r>
    </w:p>
    <w:p w14:paraId="608ECE74" w14:textId="69CA4BC4" w:rsidR="3B93E00E" w:rsidRPr="00B2743B" w:rsidRDefault="3B93E00E" w:rsidP="00B35C39">
      <w:pPr>
        <w:pStyle w:val="ListParagraph"/>
        <w:numPr>
          <w:ilvl w:val="0"/>
          <w:numId w:val="28"/>
        </w:numPr>
        <w:spacing w:after="0" w:line="240" w:lineRule="auto"/>
        <w:ind w:left="851" w:hanging="357"/>
        <w:rPr>
          <w:rFonts w:asciiTheme="minorHAnsi" w:hAnsiTheme="minorHAnsi"/>
          <w:iCs/>
          <w:sz w:val="24"/>
          <w:szCs w:val="24"/>
        </w:rPr>
      </w:pPr>
      <w:r w:rsidRPr="00B2743B">
        <w:rPr>
          <w:rFonts w:asciiTheme="minorHAnsi" w:hAnsiTheme="minorHAnsi"/>
          <w:iCs/>
          <w:sz w:val="24"/>
          <w:szCs w:val="24"/>
        </w:rPr>
        <w:t xml:space="preserve">10 March 2023, then BIR is payable from </w:t>
      </w:r>
      <w:r w:rsidR="2F8F8383" w:rsidRPr="00B2743B">
        <w:rPr>
          <w:rFonts w:asciiTheme="minorHAnsi" w:hAnsiTheme="minorHAnsi"/>
          <w:iCs/>
          <w:sz w:val="24"/>
          <w:szCs w:val="24"/>
        </w:rPr>
        <w:t xml:space="preserve">1 March </w:t>
      </w:r>
      <w:r w:rsidRPr="00B2743B">
        <w:rPr>
          <w:rFonts w:asciiTheme="minorHAnsi" w:hAnsiTheme="minorHAnsi"/>
          <w:iCs/>
          <w:sz w:val="24"/>
          <w:szCs w:val="24"/>
        </w:rPr>
        <w:t xml:space="preserve">2023 until the </w:t>
      </w:r>
      <w:r w:rsidRPr="00B35C39">
        <w:rPr>
          <w:rFonts w:asciiTheme="minorHAnsi" w:hAnsiTheme="minorHAnsi"/>
          <w:iCs/>
          <w:sz w:val="24"/>
          <w:szCs w:val="24"/>
        </w:rPr>
        <w:t>refundable deposit</w:t>
      </w:r>
      <w:r w:rsidRPr="00B2743B">
        <w:rPr>
          <w:rFonts w:asciiTheme="minorHAnsi" w:hAnsiTheme="minorHAnsi"/>
          <w:iCs/>
          <w:sz w:val="24"/>
          <w:szCs w:val="24"/>
        </w:rPr>
        <w:t xml:space="preserve"> </w:t>
      </w:r>
      <w:r w:rsidRPr="00B35C39">
        <w:rPr>
          <w:rFonts w:asciiTheme="minorHAnsi" w:hAnsiTheme="minorHAnsi"/>
          <w:iCs/>
          <w:sz w:val="24"/>
          <w:szCs w:val="24"/>
        </w:rPr>
        <w:t>balance</w:t>
      </w:r>
      <w:r w:rsidRPr="00B2743B">
        <w:rPr>
          <w:rFonts w:asciiTheme="minorHAnsi" w:hAnsiTheme="minorHAnsi"/>
          <w:iCs/>
          <w:sz w:val="24"/>
          <w:szCs w:val="24"/>
        </w:rPr>
        <w:t xml:space="preserve"> was actually refunded on 1</w:t>
      </w:r>
      <w:r w:rsidR="07B66E7A" w:rsidRPr="00B2743B">
        <w:rPr>
          <w:rFonts w:asciiTheme="minorHAnsi" w:hAnsiTheme="minorHAnsi"/>
          <w:iCs/>
          <w:sz w:val="24"/>
          <w:szCs w:val="24"/>
        </w:rPr>
        <w:t>0</w:t>
      </w:r>
      <w:r w:rsidRPr="00B2743B">
        <w:rPr>
          <w:rFonts w:asciiTheme="minorHAnsi" w:hAnsiTheme="minorHAnsi"/>
          <w:iCs/>
          <w:sz w:val="24"/>
          <w:szCs w:val="24"/>
        </w:rPr>
        <w:t xml:space="preserve"> </w:t>
      </w:r>
      <w:r w:rsidR="5A5A24AC" w:rsidRPr="00B2743B">
        <w:rPr>
          <w:rFonts w:asciiTheme="minorHAnsi" w:hAnsiTheme="minorHAnsi"/>
          <w:iCs/>
          <w:sz w:val="24"/>
          <w:szCs w:val="24"/>
        </w:rPr>
        <w:t>March</w:t>
      </w:r>
      <w:r w:rsidRPr="00B2743B">
        <w:rPr>
          <w:rFonts w:asciiTheme="minorHAnsi" w:hAnsiTheme="minorHAnsi"/>
          <w:iCs/>
          <w:sz w:val="24"/>
          <w:szCs w:val="24"/>
        </w:rPr>
        <w:t>2023</w:t>
      </w:r>
    </w:p>
    <w:p w14:paraId="6F4D18DE" w14:textId="76A39213" w:rsidR="3B93E00E" w:rsidRPr="00B2743B" w:rsidRDefault="3B93E00E" w:rsidP="00B35C39">
      <w:pPr>
        <w:pStyle w:val="ListParagraph"/>
        <w:numPr>
          <w:ilvl w:val="0"/>
          <w:numId w:val="28"/>
        </w:numPr>
        <w:spacing w:after="0" w:line="240" w:lineRule="auto"/>
        <w:ind w:left="851" w:hanging="357"/>
        <w:rPr>
          <w:rFonts w:asciiTheme="minorHAnsi" w:hAnsiTheme="minorHAnsi"/>
          <w:iCs/>
          <w:sz w:val="24"/>
          <w:szCs w:val="24"/>
        </w:rPr>
      </w:pPr>
      <w:r w:rsidRPr="00B2743B">
        <w:rPr>
          <w:rFonts w:asciiTheme="minorHAnsi" w:hAnsiTheme="minorHAnsi"/>
          <w:iCs/>
          <w:sz w:val="24"/>
          <w:szCs w:val="24"/>
        </w:rPr>
        <w:t>2</w:t>
      </w:r>
      <w:r w:rsidR="24BD4419" w:rsidRPr="00B2743B">
        <w:rPr>
          <w:rFonts w:asciiTheme="minorHAnsi" w:hAnsiTheme="minorHAnsi"/>
          <w:iCs/>
          <w:sz w:val="24"/>
          <w:szCs w:val="24"/>
        </w:rPr>
        <w:t>1</w:t>
      </w:r>
      <w:r w:rsidRPr="00B2743B">
        <w:rPr>
          <w:rFonts w:asciiTheme="minorHAnsi" w:hAnsiTheme="minorHAnsi"/>
          <w:iCs/>
          <w:sz w:val="24"/>
          <w:szCs w:val="24"/>
        </w:rPr>
        <w:t xml:space="preserve"> </w:t>
      </w:r>
      <w:r w:rsidR="6A3071C1" w:rsidRPr="00B2743B">
        <w:rPr>
          <w:rFonts w:asciiTheme="minorHAnsi" w:hAnsiTheme="minorHAnsi"/>
          <w:iCs/>
          <w:sz w:val="24"/>
          <w:szCs w:val="24"/>
        </w:rPr>
        <w:t xml:space="preserve">March </w:t>
      </w:r>
      <w:r w:rsidRPr="00B2743B">
        <w:rPr>
          <w:rFonts w:asciiTheme="minorHAnsi" w:hAnsiTheme="minorHAnsi"/>
          <w:iCs/>
          <w:sz w:val="24"/>
          <w:szCs w:val="24"/>
        </w:rPr>
        <w:t>202</w:t>
      </w:r>
      <w:r w:rsidR="639E31D7" w:rsidRPr="00B2743B">
        <w:rPr>
          <w:rFonts w:asciiTheme="minorHAnsi" w:hAnsiTheme="minorHAnsi"/>
          <w:iCs/>
          <w:sz w:val="24"/>
          <w:szCs w:val="24"/>
        </w:rPr>
        <w:t>3</w:t>
      </w:r>
      <w:r w:rsidRPr="00B2743B">
        <w:rPr>
          <w:rFonts w:asciiTheme="minorHAnsi" w:hAnsiTheme="minorHAnsi"/>
          <w:iCs/>
          <w:sz w:val="24"/>
          <w:szCs w:val="24"/>
        </w:rPr>
        <w:t>, then BIR is payable for the period</w:t>
      </w:r>
      <w:r w:rsidR="6291BAF4" w:rsidRPr="00B2743B">
        <w:rPr>
          <w:rFonts w:asciiTheme="minorHAnsi" w:hAnsiTheme="minorHAnsi"/>
          <w:iCs/>
          <w:sz w:val="24"/>
          <w:szCs w:val="24"/>
        </w:rPr>
        <w:t xml:space="preserve"> </w:t>
      </w:r>
      <w:r w:rsidR="6DE2E28B" w:rsidRPr="00B2743B">
        <w:rPr>
          <w:rFonts w:asciiTheme="minorHAnsi" w:hAnsiTheme="minorHAnsi"/>
          <w:iCs/>
          <w:sz w:val="24"/>
          <w:szCs w:val="24"/>
        </w:rPr>
        <w:t xml:space="preserve">1-14 </w:t>
      </w:r>
      <w:r w:rsidR="6291BAF4" w:rsidRPr="00B2743B">
        <w:rPr>
          <w:rFonts w:asciiTheme="minorHAnsi" w:hAnsiTheme="minorHAnsi"/>
          <w:iCs/>
          <w:sz w:val="24"/>
          <w:szCs w:val="24"/>
        </w:rPr>
        <w:t xml:space="preserve">March </w:t>
      </w:r>
      <w:r w:rsidRPr="00B2743B">
        <w:rPr>
          <w:rFonts w:asciiTheme="minorHAnsi" w:hAnsiTheme="minorHAnsi"/>
          <w:iCs/>
          <w:sz w:val="24"/>
          <w:szCs w:val="24"/>
        </w:rPr>
        <w:t xml:space="preserve">2023 and MPIR is payable for the period </w:t>
      </w:r>
      <w:r w:rsidR="3A53AB93" w:rsidRPr="00B2743B">
        <w:rPr>
          <w:rFonts w:asciiTheme="minorHAnsi" w:hAnsiTheme="minorHAnsi"/>
          <w:iCs/>
          <w:sz w:val="24"/>
          <w:szCs w:val="24"/>
        </w:rPr>
        <w:t>1</w:t>
      </w:r>
      <w:r w:rsidRPr="00B2743B">
        <w:rPr>
          <w:rFonts w:asciiTheme="minorHAnsi" w:hAnsiTheme="minorHAnsi"/>
          <w:iCs/>
          <w:sz w:val="24"/>
          <w:szCs w:val="24"/>
        </w:rPr>
        <w:t>5-2</w:t>
      </w:r>
      <w:r w:rsidR="2B345C05" w:rsidRPr="00B2743B">
        <w:rPr>
          <w:rFonts w:asciiTheme="minorHAnsi" w:hAnsiTheme="minorHAnsi"/>
          <w:iCs/>
          <w:sz w:val="24"/>
          <w:szCs w:val="24"/>
        </w:rPr>
        <w:t>1</w:t>
      </w:r>
      <w:r w:rsidRPr="00B2743B">
        <w:rPr>
          <w:rFonts w:asciiTheme="minorHAnsi" w:hAnsiTheme="minorHAnsi"/>
          <w:iCs/>
          <w:sz w:val="24"/>
          <w:szCs w:val="24"/>
        </w:rPr>
        <w:t xml:space="preserve"> </w:t>
      </w:r>
      <w:r w:rsidR="34A98838" w:rsidRPr="00B2743B">
        <w:rPr>
          <w:rFonts w:asciiTheme="minorHAnsi" w:hAnsiTheme="minorHAnsi"/>
          <w:iCs/>
          <w:sz w:val="24"/>
          <w:szCs w:val="24"/>
        </w:rPr>
        <w:t>March</w:t>
      </w:r>
      <w:r w:rsidRPr="00B2743B">
        <w:rPr>
          <w:rFonts w:asciiTheme="minorHAnsi" w:hAnsiTheme="minorHAnsi"/>
          <w:iCs/>
          <w:sz w:val="24"/>
          <w:szCs w:val="24"/>
        </w:rPr>
        <w:t>2023</w:t>
      </w:r>
    </w:p>
    <w:p w14:paraId="5E1F82E4" w14:textId="02F01428" w:rsidR="0005562C" w:rsidRPr="002B7CED" w:rsidRDefault="0005562C" w:rsidP="002B7CED">
      <w:pPr>
        <w:spacing w:before="200" w:after="0"/>
        <w:rPr>
          <w:b/>
          <w:bCs/>
          <w:color w:val="0070C0"/>
          <w:sz w:val="26"/>
          <w:szCs w:val="26"/>
        </w:rPr>
      </w:pPr>
      <w:r w:rsidRPr="002B7CED">
        <w:rPr>
          <w:b/>
          <w:bCs/>
          <w:color w:val="0070C0"/>
          <w:sz w:val="26"/>
          <w:szCs w:val="26"/>
        </w:rPr>
        <w:t>Things you need to know</w:t>
      </w:r>
    </w:p>
    <w:p w14:paraId="61DD7359" w14:textId="569A5181" w:rsidR="00ED6BE7" w:rsidRPr="00D466EB" w:rsidRDefault="00CE304A"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b</w:t>
      </w:r>
      <w:r w:rsidR="00ED6BE7" w:rsidRPr="00D466EB">
        <w:rPr>
          <w:rFonts w:asciiTheme="minorHAnsi" w:hAnsiTheme="minorHAnsi"/>
          <w:iCs/>
          <w:sz w:val="24"/>
          <w:szCs w:val="24"/>
        </w:rPr>
        <w:t>efore calculating interest on a refundable deposit, all approved deductions should be made.</w:t>
      </w:r>
    </w:p>
    <w:p w14:paraId="79ED3E4A" w14:textId="1D66B599" w:rsidR="0005562C" w:rsidRPr="00D466EB" w:rsidRDefault="00CE304A"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p</w:t>
      </w:r>
      <w:r w:rsidR="0005562C" w:rsidRPr="00D466EB">
        <w:rPr>
          <w:rFonts w:asciiTheme="minorHAnsi" w:hAnsiTheme="minorHAnsi"/>
          <w:iCs/>
          <w:sz w:val="24"/>
          <w:szCs w:val="24"/>
        </w:rPr>
        <w:t>roviders must be able to demonstrate compliance with refunding responsibilities requirements to their auditor</w:t>
      </w:r>
    </w:p>
    <w:p w14:paraId="1D7B9871" w14:textId="4A275AEC" w:rsidR="0005562C" w:rsidRPr="00D466EB" w:rsidRDefault="00CE304A"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t</w:t>
      </w:r>
      <w:r w:rsidR="0005562C" w:rsidRPr="00D466EB">
        <w:rPr>
          <w:rFonts w:asciiTheme="minorHAnsi" w:hAnsiTheme="minorHAnsi"/>
          <w:iCs/>
          <w:sz w:val="24"/>
          <w:szCs w:val="24"/>
        </w:rPr>
        <w:t xml:space="preserve">he </w:t>
      </w:r>
      <w:r w:rsidR="00501324" w:rsidRPr="00D466EB">
        <w:rPr>
          <w:rFonts w:asciiTheme="minorHAnsi" w:hAnsiTheme="minorHAnsi"/>
          <w:iCs/>
          <w:sz w:val="24"/>
          <w:szCs w:val="24"/>
        </w:rPr>
        <w:t xml:space="preserve">provider could be requested to </w:t>
      </w:r>
      <w:r w:rsidR="0005562C" w:rsidRPr="00D466EB">
        <w:rPr>
          <w:rFonts w:asciiTheme="minorHAnsi" w:hAnsiTheme="minorHAnsi"/>
          <w:iCs/>
          <w:sz w:val="24"/>
          <w:szCs w:val="24"/>
        </w:rPr>
        <w:t xml:space="preserve">provide records </w:t>
      </w:r>
      <w:r w:rsidR="00F1633A" w:rsidRPr="00D466EB">
        <w:rPr>
          <w:rFonts w:asciiTheme="minorHAnsi" w:hAnsiTheme="minorHAnsi"/>
          <w:iCs/>
          <w:sz w:val="24"/>
          <w:szCs w:val="24"/>
        </w:rPr>
        <w:t xml:space="preserve">to the Commission </w:t>
      </w:r>
      <w:r w:rsidR="0005562C" w:rsidRPr="00D466EB">
        <w:rPr>
          <w:rFonts w:asciiTheme="minorHAnsi" w:hAnsiTheme="minorHAnsi"/>
          <w:iCs/>
          <w:sz w:val="24"/>
          <w:szCs w:val="24"/>
        </w:rPr>
        <w:t>for monitoring and compliance purposes at any</w:t>
      </w:r>
      <w:r w:rsidR="00943845" w:rsidRPr="00D466EB">
        <w:rPr>
          <w:rFonts w:asciiTheme="minorHAnsi" w:hAnsiTheme="minorHAnsi"/>
          <w:iCs/>
          <w:sz w:val="24"/>
          <w:szCs w:val="24"/>
        </w:rPr>
        <w:t xml:space="preserve"> </w:t>
      </w:r>
      <w:r w:rsidR="0005562C" w:rsidRPr="00D466EB">
        <w:rPr>
          <w:rFonts w:asciiTheme="minorHAnsi" w:hAnsiTheme="minorHAnsi"/>
          <w:iCs/>
          <w:sz w:val="24"/>
          <w:szCs w:val="24"/>
        </w:rPr>
        <w:t>time</w:t>
      </w:r>
    </w:p>
    <w:p w14:paraId="29AE1274" w14:textId="3F44A557" w:rsidR="00344BE6" w:rsidRPr="00D466EB" w:rsidRDefault="00CE304A" w:rsidP="00B35C39">
      <w:pPr>
        <w:pStyle w:val="ListParagraph"/>
        <w:numPr>
          <w:ilvl w:val="0"/>
          <w:numId w:val="28"/>
        </w:numPr>
        <w:spacing w:after="0" w:line="240" w:lineRule="auto"/>
        <w:ind w:left="851" w:hanging="357"/>
        <w:rPr>
          <w:rFonts w:asciiTheme="minorHAnsi" w:hAnsiTheme="minorHAnsi"/>
          <w:iCs/>
          <w:sz w:val="24"/>
          <w:szCs w:val="24"/>
        </w:rPr>
      </w:pPr>
      <w:r>
        <w:rPr>
          <w:rFonts w:asciiTheme="minorHAnsi" w:hAnsiTheme="minorHAnsi"/>
          <w:iCs/>
          <w:sz w:val="24"/>
          <w:szCs w:val="24"/>
        </w:rPr>
        <w:t>a</w:t>
      </w:r>
      <w:r w:rsidR="00344BE6" w:rsidRPr="00D466EB">
        <w:rPr>
          <w:rFonts w:asciiTheme="minorHAnsi" w:hAnsiTheme="minorHAnsi"/>
          <w:iCs/>
          <w:sz w:val="24"/>
          <w:szCs w:val="24"/>
        </w:rPr>
        <w:t>ll interest owed (base and/or maximum permissible interest) to the resident must be refunded at the same time the refundable accommodation payment balance is refunded</w:t>
      </w:r>
    </w:p>
    <w:p w14:paraId="2993EEC2" w14:textId="77777777" w:rsidR="0005562C" w:rsidRPr="002B7CED" w:rsidRDefault="0005562C"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2B3B5BCC" w14:textId="1DBDCE65" w:rsidR="005D2FC7" w:rsidRPr="001C19A5" w:rsidRDefault="006D6BC0" w:rsidP="00E172DE">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 xml:space="preserve">After considering the information provided for refunding responsibility </w:t>
      </w:r>
      <w:r w:rsidRPr="00FC5348">
        <w:rPr>
          <w:rFonts w:asciiTheme="minorHAnsi" w:hAnsiTheme="minorHAnsi" w:cs="Times New Roman"/>
          <w:b/>
          <w:color w:val="000000"/>
          <w:sz w:val="24"/>
          <w:szCs w:val="24"/>
          <w:lang w:val="en-US" w:eastAsia="en-US"/>
        </w:rPr>
        <w:t>timeframes</w:t>
      </w:r>
      <w:r w:rsidR="00501324">
        <w:rPr>
          <w:rFonts w:asciiTheme="minorHAnsi" w:hAnsiTheme="minorHAnsi" w:cs="Times New Roman"/>
          <w:color w:val="000000"/>
          <w:sz w:val="24"/>
          <w:szCs w:val="24"/>
          <w:lang w:val="en-US" w:eastAsia="en-US"/>
        </w:rPr>
        <w:t>,</w:t>
      </w:r>
      <w:r w:rsidRPr="001C19A5">
        <w:rPr>
          <w:rFonts w:asciiTheme="minorHAnsi" w:hAnsiTheme="minorHAnsi" w:cs="Times New Roman"/>
          <w:color w:val="000000"/>
          <w:sz w:val="24"/>
          <w:szCs w:val="24"/>
          <w:lang w:val="en-US" w:eastAsia="en-US"/>
        </w:rPr>
        <w:t xml:space="preserve"> </w:t>
      </w:r>
      <w:r w:rsidR="00501324">
        <w:rPr>
          <w:rFonts w:asciiTheme="minorHAnsi" w:hAnsiTheme="minorHAnsi" w:cs="Times New Roman"/>
          <w:color w:val="000000"/>
          <w:sz w:val="24"/>
          <w:szCs w:val="24"/>
          <w:lang w:val="en-US" w:eastAsia="en-US"/>
        </w:rPr>
        <w:t>r</w:t>
      </w:r>
      <w:r w:rsidRPr="001C19A5">
        <w:rPr>
          <w:rFonts w:asciiTheme="minorHAnsi" w:hAnsiTheme="minorHAnsi" w:cs="Times New Roman"/>
          <w:color w:val="000000"/>
          <w:sz w:val="24"/>
          <w:szCs w:val="24"/>
          <w:lang w:val="en-US" w:eastAsia="en-US"/>
        </w:rPr>
        <w:t>espond Yes</w:t>
      </w:r>
      <w:r w:rsidR="000936F0" w:rsidRPr="001C19A5">
        <w:rPr>
          <w:rFonts w:asciiTheme="minorHAnsi" w:hAnsiTheme="minorHAnsi" w:cs="Times New Roman"/>
          <w:color w:val="000000"/>
          <w:sz w:val="24"/>
          <w:szCs w:val="24"/>
          <w:lang w:val="en-US" w:eastAsia="en-US"/>
        </w:rPr>
        <w:t>, No</w:t>
      </w:r>
      <w:r w:rsidRPr="001C19A5">
        <w:rPr>
          <w:rFonts w:asciiTheme="minorHAnsi" w:hAnsiTheme="minorHAnsi" w:cs="Times New Roman"/>
          <w:color w:val="000000"/>
          <w:sz w:val="24"/>
          <w:szCs w:val="24"/>
          <w:lang w:val="en-US" w:eastAsia="en-US"/>
        </w:rPr>
        <w:t xml:space="preserve"> or N/</w:t>
      </w:r>
      <w:r w:rsidR="00C665D3" w:rsidRPr="001C19A5">
        <w:rPr>
          <w:rFonts w:asciiTheme="minorHAnsi" w:hAnsiTheme="minorHAnsi" w:cs="Times New Roman"/>
          <w:color w:val="000000"/>
          <w:sz w:val="24"/>
          <w:szCs w:val="24"/>
          <w:lang w:val="en-US" w:eastAsia="en-US"/>
        </w:rPr>
        <w:t xml:space="preserve">A. </w:t>
      </w:r>
    </w:p>
    <w:p w14:paraId="1F3D7A5A" w14:textId="15A3A799" w:rsidR="005D2FC7" w:rsidRPr="001C19A5" w:rsidRDefault="006D6BC0" w:rsidP="00E172DE">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 xml:space="preserve">Only answer </w:t>
      </w:r>
      <w:r w:rsidR="00A73CCB">
        <w:rPr>
          <w:rFonts w:asciiTheme="minorHAnsi" w:hAnsiTheme="minorHAnsi" w:cs="Times New Roman"/>
          <w:color w:val="000000"/>
          <w:sz w:val="24"/>
          <w:szCs w:val="24"/>
          <w:lang w:val="en-US" w:eastAsia="en-US"/>
        </w:rPr>
        <w:t>‘</w:t>
      </w:r>
      <w:r w:rsidRPr="001C19A5">
        <w:rPr>
          <w:rFonts w:asciiTheme="minorHAnsi" w:hAnsiTheme="minorHAnsi" w:cs="Times New Roman"/>
          <w:color w:val="000000"/>
          <w:sz w:val="24"/>
          <w:szCs w:val="24"/>
          <w:lang w:val="en-US" w:eastAsia="en-US"/>
        </w:rPr>
        <w:t>N/A</w:t>
      </w:r>
      <w:r w:rsidR="00A73CCB">
        <w:rPr>
          <w:rFonts w:asciiTheme="minorHAnsi" w:hAnsiTheme="minorHAnsi" w:cs="Times New Roman"/>
          <w:color w:val="000000"/>
          <w:sz w:val="24"/>
          <w:szCs w:val="24"/>
          <w:lang w:val="en-US" w:eastAsia="en-US"/>
        </w:rPr>
        <w:t>’</w:t>
      </w:r>
      <w:r w:rsidRPr="001C19A5">
        <w:rPr>
          <w:rFonts w:asciiTheme="minorHAnsi" w:hAnsiTheme="minorHAnsi" w:cs="Times New Roman"/>
          <w:color w:val="000000"/>
          <w:sz w:val="24"/>
          <w:szCs w:val="24"/>
          <w:lang w:val="en-US" w:eastAsia="en-US"/>
        </w:rPr>
        <w:t xml:space="preserve"> if refundable deposits or bonds were not required to be refunded</w:t>
      </w:r>
      <w:r w:rsidR="00C665D3" w:rsidRPr="001C19A5">
        <w:rPr>
          <w:rFonts w:asciiTheme="minorHAnsi" w:hAnsiTheme="minorHAnsi" w:cs="Times New Roman"/>
          <w:color w:val="000000"/>
          <w:sz w:val="24"/>
          <w:szCs w:val="24"/>
          <w:lang w:val="en-US" w:eastAsia="en-US"/>
        </w:rPr>
        <w:t xml:space="preserve">. </w:t>
      </w:r>
    </w:p>
    <w:p w14:paraId="148B8EFD" w14:textId="084FFDAF" w:rsidR="006D6BC0" w:rsidRPr="001C19A5" w:rsidRDefault="006D6BC0" w:rsidP="00E172DE">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If you answered ‘NO’ you must submit a separate statement with the following details</w:t>
      </w:r>
      <w:r w:rsidR="00632749">
        <w:rPr>
          <w:rFonts w:asciiTheme="minorHAnsi" w:hAnsiTheme="minorHAnsi" w:cs="Times New Roman"/>
          <w:color w:val="000000"/>
          <w:sz w:val="24"/>
          <w:szCs w:val="24"/>
          <w:lang w:val="en-US" w:eastAsia="en-US"/>
        </w:rPr>
        <w:t>:</w:t>
      </w:r>
    </w:p>
    <w:p w14:paraId="48F92D8B" w14:textId="097B99EA"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c</w:t>
      </w:r>
      <w:r w:rsidR="006D6BC0" w:rsidRPr="005C569E">
        <w:rPr>
          <w:rFonts w:asciiTheme="minorHAnsi" w:hAnsiTheme="minorHAnsi"/>
          <w:iCs/>
          <w:sz w:val="24"/>
          <w:szCs w:val="24"/>
        </w:rPr>
        <w:t xml:space="preserve">lient </w:t>
      </w:r>
      <w:r>
        <w:rPr>
          <w:rFonts w:asciiTheme="minorHAnsi" w:hAnsiTheme="minorHAnsi"/>
          <w:iCs/>
          <w:sz w:val="24"/>
          <w:szCs w:val="24"/>
        </w:rPr>
        <w:t>n</w:t>
      </w:r>
      <w:r w:rsidR="006D6BC0" w:rsidRPr="005C569E">
        <w:rPr>
          <w:rFonts w:asciiTheme="minorHAnsi" w:hAnsiTheme="minorHAnsi"/>
          <w:iCs/>
          <w:sz w:val="24"/>
          <w:szCs w:val="24"/>
        </w:rPr>
        <w:t>umber</w:t>
      </w:r>
    </w:p>
    <w:p w14:paraId="1A54F8BA" w14:textId="5D00F89F" w:rsidR="006D6BC0" w:rsidRPr="005C569E" w:rsidRDefault="009978D8"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resident</w:t>
      </w:r>
      <w:r w:rsidR="006D6BC0" w:rsidRPr="005C569E">
        <w:rPr>
          <w:rFonts w:asciiTheme="minorHAnsi" w:hAnsiTheme="minorHAnsi"/>
          <w:iCs/>
          <w:sz w:val="24"/>
          <w:szCs w:val="24"/>
        </w:rPr>
        <w:t xml:space="preserve"> </w:t>
      </w:r>
      <w:r w:rsidR="00632749">
        <w:rPr>
          <w:rFonts w:asciiTheme="minorHAnsi" w:hAnsiTheme="minorHAnsi"/>
          <w:iCs/>
          <w:sz w:val="24"/>
          <w:szCs w:val="24"/>
        </w:rPr>
        <w:t>n</w:t>
      </w:r>
      <w:r w:rsidR="006D6BC0" w:rsidRPr="005C569E">
        <w:rPr>
          <w:rFonts w:asciiTheme="minorHAnsi" w:hAnsiTheme="minorHAnsi"/>
          <w:iCs/>
          <w:sz w:val="24"/>
          <w:szCs w:val="24"/>
        </w:rPr>
        <w:t>ame</w:t>
      </w:r>
    </w:p>
    <w:p w14:paraId="48D6B922" w14:textId="75810874"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r</w:t>
      </w:r>
      <w:r w:rsidR="006D6BC0" w:rsidRPr="005C569E">
        <w:rPr>
          <w:rFonts w:asciiTheme="minorHAnsi" w:hAnsiTheme="minorHAnsi"/>
          <w:iCs/>
          <w:sz w:val="24"/>
          <w:szCs w:val="24"/>
        </w:rPr>
        <w:t xml:space="preserve">eason for refund i.e. death, </w:t>
      </w:r>
      <w:r w:rsidR="000936F0" w:rsidRPr="005C569E">
        <w:rPr>
          <w:rFonts w:asciiTheme="minorHAnsi" w:hAnsiTheme="minorHAnsi"/>
          <w:iCs/>
          <w:sz w:val="24"/>
          <w:szCs w:val="24"/>
        </w:rPr>
        <w:t>transfer</w:t>
      </w:r>
      <w:r w:rsidR="006D6BC0" w:rsidRPr="005C569E">
        <w:rPr>
          <w:rFonts w:asciiTheme="minorHAnsi" w:hAnsiTheme="minorHAnsi"/>
          <w:iCs/>
          <w:sz w:val="24"/>
          <w:szCs w:val="24"/>
        </w:rPr>
        <w:t xml:space="preserve"> or left service</w:t>
      </w:r>
    </w:p>
    <w:p w14:paraId="708924B7" w14:textId="58220819"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d</w:t>
      </w:r>
      <w:r w:rsidR="006D6BC0" w:rsidRPr="005C569E">
        <w:rPr>
          <w:rFonts w:asciiTheme="minorHAnsi" w:hAnsiTheme="minorHAnsi"/>
          <w:iCs/>
          <w:sz w:val="24"/>
          <w:szCs w:val="24"/>
        </w:rPr>
        <w:t>ate refund was due</w:t>
      </w:r>
    </w:p>
    <w:p w14:paraId="585278BD" w14:textId="1DF21BB7"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d</w:t>
      </w:r>
      <w:r w:rsidR="006D6BC0" w:rsidRPr="005C569E">
        <w:rPr>
          <w:rFonts w:asciiTheme="minorHAnsi" w:hAnsiTheme="minorHAnsi"/>
          <w:iCs/>
          <w:sz w:val="24"/>
          <w:szCs w:val="24"/>
        </w:rPr>
        <w:t>ate of refund</w:t>
      </w:r>
    </w:p>
    <w:p w14:paraId="6EEED907" w14:textId="0E1B76FF"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t</w:t>
      </w:r>
      <w:r w:rsidR="006D6BC0" w:rsidRPr="005C569E">
        <w:rPr>
          <w:rFonts w:asciiTheme="minorHAnsi" w:hAnsiTheme="minorHAnsi"/>
          <w:iCs/>
          <w:sz w:val="24"/>
          <w:szCs w:val="24"/>
        </w:rPr>
        <w:t>he reason or reasons for failure to comply</w:t>
      </w:r>
    </w:p>
    <w:p w14:paraId="5C08D0BC" w14:textId="0D01661B"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w</w:t>
      </w:r>
      <w:r w:rsidR="006D6BC0" w:rsidRPr="005C569E">
        <w:rPr>
          <w:rFonts w:asciiTheme="minorHAnsi" w:hAnsiTheme="minorHAnsi"/>
          <w:iCs/>
          <w:sz w:val="24"/>
          <w:szCs w:val="24"/>
        </w:rPr>
        <w:t>hen the noted non-compliance</w:t>
      </w:r>
      <w:r w:rsidR="00632749">
        <w:rPr>
          <w:rFonts w:asciiTheme="minorHAnsi" w:hAnsiTheme="minorHAnsi"/>
          <w:iCs/>
          <w:sz w:val="24"/>
          <w:szCs w:val="24"/>
        </w:rPr>
        <w:t>(s)</w:t>
      </w:r>
      <w:r w:rsidR="00785F4F">
        <w:rPr>
          <w:rFonts w:asciiTheme="minorHAnsi" w:hAnsiTheme="minorHAnsi"/>
          <w:iCs/>
          <w:sz w:val="24"/>
          <w:szCs w:val="24"/>
        </w:rPr>
        <w:t xml:space="preserve"> </w:t>
      </w:r>
      <w:r w:rsidR="00632749">
        <w:rPr>
          <w:rFonts w:asciiTheme="minorHAnsi" w:hAnsiTheme="minorHAnsi"/>
          <w:iCs/>
          <w:sz w:val="24"/>
          <w:szCs w:val="24"/>
        </w:rPr>
        <w:t>was</w:t>
      </w:r>
      <w:r w:rsidR="006D6BC0" w:rsidRPr="005C569E">
        <w:rPr>
          <w:rFonts w:asciiTheme="minorHAnsi" w:hAnsiTheme="minorHAnsi"/>
          <w:iCs/>
          <w:sz w:val="24"/>
          <w:szCs w:val="24"/>
        </w:rPr>
        <w:t xml:space="preserve"> remedied</w:t>
      </w:r>
    </w:p>
    <w:p w14:paraId="593CAB6A" w14:textId="21E927D2" w:rsidR="006D6BC0" w:rsidRPr="005C569E" w:rsidRDefault="0068367F" w:rsidP="001A3223">
      <w:pPr>
        <w:pStyle w:val="ListParagraph"/>
        <w:numPr>
          <w:ilvl w:val="0"/>
          <w:numId w:val="31"/>
        </w:numPr>
        <w:spacing w:before="0" w:after="0" w:line="240" w:lineRule="auto"/>
        <w:ind w:left="851" w:hanging="425"/>
        <w:rPr>
          <w:rFonts w:asciiTheme="minorHAnsi" w:hAnsiTheme="minorHAnsi"/>
          <w:iCs/>
          <w:sz w:val="24"/>
          <w:szCs w:val="24"/>
        </w:rPr>
      </w:pPr>
      <w:r>
        <w:rPr>
          <w:rFonts w:asciiTheme="minorHAnsi" w:hAnsiTheme="minorHAnsi"/>
          <w:iCs/>
          <w:sz w:val="24"/>
          <w:szCs w:val="24"/>
        </w:rPr>
        <w:t>t</w:t>
      </w:r>
      <w:r w:rsidR="00632749">
        <w:rPr>
          <w:rFonts w:asciiTheme="minorHAnsi" w:hAnsiTheme="minorHAnsi"/>
          <w:iCs/>
          <w:sz w:val="24"/>
          <w:szCs w:val="24"/>
        </w:rPr>
        <w:t>he</w:t>
      </w:r>
      <w:r w:rsidR="00632749" w:rsidRPr="005C569E">
        <w:rPr>
          <w:rFonts w:asciiTheme="minorHAnsi" w:hAnsiTheme="minorHAnsi"/>
          <w:iCs/>
          <w:sz w:val="24"/>
          <w:szCs w:val="24"/>
        </w:rPr>
        <w:t xml:space="preserve"> </w:t>
      </w:r>
      <w:r w:rsidR="000936F0" w:rsidRPr="005C569E">
        <w:rPr>
          <w:rFonts w:asciiTheme="minorHAnsi" w:hAnsiTheme="minorHAnsi"/>
          <w:iCs/>
          <w:sz w:val="24"/>
          <w:szCs w:val="24"/>
        </w:rPr>
        <w:t xml:space="preserve">processes </w:t>
      </w:r>
      <w:r w:rsidR="00632749">
        <w:rPr>
          <w:rFonts w:asciiTheme="minorHAnsi" w:hAnsiTheme="minorHAnsi"/>
          <w:iCs/>
          <w:sz w:val="24"/>
          <w:szCs w:val="24"/>
        </w:rPr>
        <w:t>that are now</w:t>
      </w:r>
      <w:r w:rsidR="000936F0" w:rsidRPr="005C569E">
        <w:rPr>
          <w:rFonts w:asciiTheme="minorHAnsi" w:hAnsiTheme="minorHAnsi"/>
          <w:iCs/>
          <w:sz w:val="24"/>
          <w:szCs w:val="24"/>
        </w:rPr>
        <w:t xml:space="preserve"> in place to ensure future compliance</w:t>
      </w:r>
    </w:p>
    <w:p w14:paraId="0788E9A9" w14:textId="1CA15CF8" w:rsidR="00E172DE" w:rsidRPr="002B7CED" w:rsidRDefault="00E172DE" w:rsidP="002B7CED">
      <w:pPr>
        <w:spacing w:before="200" w:after="0"/>
        <w:rPr>
          <w:b/>
          <w:bCs/>
          <w:color w:val="0070C0"/>
          <w:sz w:val="26"/>
          <w:szCs w:val="26"/>
        </w:rPr>
      </w:pPr>
      <w:r w:rsidRPr="002B7CED">
        <w:rPr>
          <w:b/>
          <w:bCs/>
          <w:color w:val="0070C0"/>
          <w:sz w:val="26"/>
          <w:szCs w:val="26"/>
        </w:rPr>
        <w:t>Things you need to know</w:t>
      </w:r>
    </w:p>
    <w:p w14:paraId="2A78BE4E" w14:textId="1AC69DCB" w:rsidR="006D6BC0" w:rsidRPr="001C19A5" w:rsidRDefault="006D6BC0" w:rsidP="002B7CED">
      <w:pPr>
        <w:pStyle w:val="Default"/>
        <w:spacing w:before="0"/>
        <w:rPr>
          <w:rFonts w:asciiTheme="minorHAnsi" w:hAnsiTheme="minorHAnsi"/>
        </w:rPr>
      </w:pPr>
      <w:r w:rsidRPr="001C19A5">
        <w:rPr>
          <w:rFonts w:asciiTheme="minorHAnsi" w:hAnsiTheme="minorHAnsi"/>
        </w:rPr>
        <w:t>All interest owed (</w:t>
      </w:r>
      <w:r w:rsidR="004D03E1">
        <w:rPr>
          <w:rFonts w:asciiTheme="minorHAnsi" w:hAnsiTheme="minorHAnsi"/>
        </w:rPr>
        <w:t>BIR/MPIR</w:t>
      </w:r>
      <w:r w:rsidRPr="001C19A5">
        <w:rPr>
          <w:rFonts w:asciiTheme="minorHAnsi" w:hAnsiTheme="minorHAnsi"/>
        </w:rPr>
        <w:t xml:space="preserve">) to the resident must be refunded at the same time the </w:t>
      </w:r>
      <w:r w:rsidR="004D03E1">
        <w:rPr>
          <w:rFonts w:asciiTheme="minorHAnsi" w:hAnsiTheme="minorHAnsi"/>
        </w:rPr>
        <w:t xml:space="preserve">refundable </w:t>
      </w:r>
      <w:r w:rsidR="00206795">
        <w:rPr>
          <w:rFonts w:asciiTheme="minorHAnsi" w:hAnsiTheme="minorHAnsi"/>
        </w:rPr>
        <w:t>accommodation payment balance is refunded. If you do</w:t>
      </w:r>
      <w:r w:rsidRPr="001C19A5">
        <w:rPr>
          <w:rFonts w:asciiTheme="minorHAnsi" w:hAnsiTheme="minorHAnsi"/>
        </w:rPr>
        <w:t xml:space="preserve"> not refund all applicable interest to </w:t>
      </w:r>
      <w:r w:rsidR="00206795">
        <w:rPr>
          <w:rFonts w:asciiTheme="minorHAnsi" w:hAnsiTheme="minorHAnsi"/>
        </w:rPr>
        <w:t>the resident the day you refund</w:t>
      </w:r>
      <w:r w:rsidRPr="001C19A5">
        <w:rPr>
          <w:rFonts w:asciiTheme="minorHAnsi" w:hAnsiTheme="minorHAnsi"/>
        </w:rPr>
        <w:t xml:space="preserve"> the balance you must provide details</w:t>
      </w:r>
      <w:r w:rsidR="000936F0" w:rsidRPr="001C19A5">
        <w:rPr>
          <w:rFonts w:asciiTheme="minorHAnsi" w:hAnsiTheme="minorHAnsi"/>
          <w:b/>
        </w:rPr>
        <w:t>.</w:t>
      </w:r>
      <w:r w:rsidRPr="001C19A5">
        <w:rPr>
          <w:rFonts w:asciiTheme="minorHAnsi" w:hAnsiTheme="minorHAnsi"/>
        </w:rPr>
        <w:t xml:space="preserve"> </w:t>
      </w:r>
    </w:p>
    <w:p w14:paraId="75297BDE" w14:textId="77777777" w:rsidR="00E172DE" w:rsidRPr="002B7CED" w:rsidRDefault="00E172DE"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5381E311" w14:textId="10ED0520" w:rsidR="005D2FC7" w:rsidRPr="001C19A5" w:rsidRDefault="009838B8" w:rsidP="005D2FC7">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lastRenderedPageBreak/>
        <w:t xml:space="preserve">After considering the information provided for refunding responsibilities around </w:t>
      </w:r>
      <w:r w:rsidR="00501324" w:rsidRPr="00015721">
        <w:rPr>
          <w:rFonts w:asciiTheme="minorHAnsi" w:hAnsiTheme="minorHAnsi" w:cs="Times New Roman"/>
          <w:b/>
          <w:color w:val="000000"/>
          <w:sz w:val="24"/>
          <w:szCs w:val="24"/>
          <w:lang w:val="en-US" w:eastAsia="en-US"/>
        </w:rPr>
        <w:t>interest</w:t>
      </w:r>
      <w:r w:rsidR="00501324">
        <w:rPr>
          <w:rFonts w:asciiTheme="minorHAnsi" w:hAnsiTheme="minorHAnsi" w:cs="Times New Roman"/>
          <w:color w:val="000000"/>
          <w:sz w:val="24"/>
          <w:szCs w:val="24"/>
          <w:lang w:val="en-US" w:eastAsia="en-US"/>
        </w:rPr>
        <w:t>,</w:t>
      </w:r>
      <w:r w:rsidR="000936F0" w:rsidRPr="001C19A5">
        <w:rPr>
          <w:rFonts w:asciiTheme="minorHAnsi" w:hAnsiTheme="minorHAnsi" w:cs="Times New Roman"/>
          <w:color w:val="000000"/>
          <w:sz w:val="24"/>
          <w:szCs w:val="24"/>
          <w:lang w:val="en-US" w:eastAsia="en-US"/>
        </w:rPr>
        <w:t xml:space="preserve"> </w:t>
      </w:r>
      <w:r w:rsidR="00501324">
        <w:rPr>
          <w:rFonts w:asciiTheme="minorHAnsi" w:hAnsiTheme="minorHAnsi" w:cs="Times New Roman"/>
          <w:color w:val="000000"/>
          <w:sz w:val="24"/>
          <w:szCs w:val="24"/>
          <w:lang w:val="en-US" w:eastAsia="en-US"/>
        </w:rPr>
        <w:t>r</w:t>
      </w:r>
      <w:r w:rsidRPr="001C19A5">
        <w:rPr>
          <w:rFonts w:asciiTheme="minorHAnsi" w:hAnsiTheme="minorHAnsi" w:cs="Times New Roman"/>
          <w:color w:val="000000"/>
          <w:sz w:val="24"/>
          <w:szCs w:val="24"/>
          <w:lang w:val="en-US" w:eastAsia="en-US"/>
        </w:rPr>
        <w:t>espond Yes</w:t>
      </w:r>
      <w:r w:rsidR="000936F0" w:rsidRPr="001C19A5">
        <w:rPr>
          <w:rFonts w:asciiTheme="minorHAnsi" w:hAnsiTheme="minorHAnsi" w:cs="Times New Roman"/>
          <w:color w:val="000000"/>
          <w:sz w:val="24"/>
          <w:szCs w:val="24"/>
          <w:lang w:val="en-US" w:eastAsia="en-US"/>
        </w:rPr>
        <w:t>, No</w:t>
      </w:r>
      <w:r w:rsidRPr="001C19A5">
        <w:rPr>
          <w:rFonts w:asciiTheme="minorHAnsi" w:hAnsiTheme="minorHAnsi" w:cs="Times New Roman"/>
          <w:color w:val="000000"/>
          <w:sz w:val="24"/>
          <w:szCs w:val="24"/>
          <w:lang w:val="en-US" w:eastAsia="en-US"/>
        </w:rPr>
        <w:t xml:space="preserve"> or N/</w:t>
      </w:r>
      <w:r w:rsidR="00C665D3" w:rsidRPr="001C19A5">
        <w:rPr>
          <w:rFonts w:asciiTheme="minorHAnsi" w:hAnsiTheme="minorHAnsi" w:cs="Times New Roman"/>
          <w:color w:val="000000"/>
          <w:sz w:val="24"/>
          <w:szCs w:val="24"/>
          <w:lang w:val="en-US" w:eastAsia="en-US"/>
        </w:rPr>
        <w:t xml:space="preserve">A. </w:t>
      </w:r>
    </w:p>
    <w:p w14:paraId="38F0E0E9" w14:textId="5CB8DD92" w:rsidR="009838B8" w:rsidRPr="001C19A5" w:rsidRDefault="009838B8" w:rsidP="005D2FC7">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Only answer N/A if refundable deposits or bonds did not require interest to be paid. If you have answered ‘NO’ you must submit a separate statement with the following details</w:t>
      </w:r>
      <w:r w:rsidR="00E41FC0">
        <w:rPr>
          <w:rFonts w:asciiTheme="minorHAnsi" w:hAnsiTheme="minorHAnsi" w:cs="Times New Roman"/>
          <w:color w:val="000000"/>
          <w:sz w:val="24"/>
          <w:szCs w:val="24"/>
          <w:lang w:val="en-US" w:eastAsia="en-US"/>
        </w:rPr>
        <w:t xml:space="preserve"> for each instance of non-compliance</w:t>
      </w:r>
      <w:r w:rsidRPr="001C19A5">
        <w:rPr>
          <w:rFonts w:asciiTheme="minorHAnsi" w:hAnsiTheme="minorHAnsi" w:cs="Times New Roman"/>
          <w:color w:val="000000"/>
          <w:sz w:val="24"/>
          <w:szCs w:val="24"/>
          <w:lang w:val="en-US" w:eastAsia="en-US"/>
        </w:rPr>
        <w:t>:</w:t>
      </w:r>
    </w:p>
    <w:p w14:paraId="0BF12D67" w14:textId="31A9E811" w:rsidR="009838B8" w:rsidRPr="005D6909" w:rsidRDefault="00BF458A" w:rsidP="00B35C39">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c</w:t>
      </w:r>
      <w:r w:rsidR="009838B8" w:rsidRPr="005D6909">
        <w:rPr>
          <w:rFonts w:asciiTheme="minorHAnsi" w:hAnsiTheme="minorHAnsi"/>
          <w:iCs/>
          <w:sz w:val="24"/>
          <w:szCs w:val="24"/>
        </w:rPr>
        <w:t xml:space="preserve">lient </w:t>
      </w:r>
      <w:r w:rsidRPr="005D6909">
        <w:rPr>
          <w:rFonts w:asciiTheme="minorHAnsi" w:hAnsiTheme="minorHAnsi"/>
          <w:iCs/>
          <w:sz w:val="24"/>
          <w:szCs w:val="24"/>
        </w:rPr>
        <w:t>n</w:t>
      </w:r>
      <w:r w:rsidR="009838B8" w:rsidRPr="005D6909">
        <w:rPr>
          <w:rFonts w:asciiTheme="minorHAnsi" w:hAnsiTheme="minorHAnsi"/>
          <w:iCs/>
          <w:sz w:val="24"/>
          <w:szCs w:val="24"/>
        </w:rPr>
        <w:t>umber</w:t>
      </w:r>
    </w:p>
    <w:p w14:paraId="3E678B54" w14:textId="2D5B9DFD" w:rsidR="009838B8" w:rsidRPr="005D6909" w:rsidRDefault="009978D8"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resident</w:t>
      </w:r>
      <w:r w:rsidR="009838B8" w:rsidRPr="005D6909">
        <w:rPr>
          <w:rFonts w:asciiTheme="minorHAnsi" w:hAnsiTheme="minorHAnsi"/>
          <w:iCs/>
          <w:sz w:val="24"/>
          <w:szCs w:val="24"/>
        </w:rPr>
        <w:t xml:space="preserve"> </w:t>
      </w:r>
      <w:r w:rsidR="00BF458A" w:rsidRPr="005D6909">
        <w:rPr>
          <w:rFonts w:asciiTheme="minorHAnsi" w:hAnsiTheme="minorHAnsi"/>
          <w:iCs/>
          <w:sz w:val="24"/>
          <w:szCs w:val="24"/>
        </w:rPr>
        <w:t>n</w:t>
      </w:r>
      <w:r w:rsidR="009838B8" w:rsidRPr="005D6909">
        <w:rPr>
          <w:rFonts w:asciiTheme="minorHAnsi" w:hAnsiTheme="minorHAnsi"/>
          <w:iCs/>
          <w:sz w:val="24"/>
          <w:szCs w:val="24"/>
        </w:rPr>
        <w:t>ame</w:t>
      </w:r>
    </w:p>
    <w:p w14:paraId="2558F739" w14:textId="0E7DE4D9" w:rsidR="009838B8" w:rsidRPr="005D690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r</w:t>
      </w:r>
      <w:r w:rsidR="009838B8" w:rsidRPr="005D6909">
        <w:rPr>
          <w:rFonts w:asciiTheme="minorHAnsi" w:hAnsiTheme="minorHAnsi"/>
          <w:iCs/>
          <w:sz w:val="24"/>
          <w:szCs w:val="24"/>
        </w:rPr>
        <w:t xml:space="preserve">eason for refund i.e. death, </w:t>
      </w:r>
      <w:r w:rsidR="000936F0" w:rsidRPr="005D6909">
        <w:rPr>
          <w:rFonts w:asciiTheme="minorHAnsi" w:hAnsiTheme="minorHAnsi"/>
          <w:iCs/>
          <w:sz w:val="24"/>
          <w:szCs w:val="24"/>
        </w:rPr>
        <w:t>transfer</w:t>
      </w:r>
      <w:r w:rsidR="009838B8" w:rsidRPr="005D6909">
        <w:rPr>
          <w:rFonts w:asciiTheme="minorHAnsi" w:hAnsiTheme="minorHAnsi"/>
          <w:iCs/>
          <w:sz w:val="24"/>
          <w:szCs w:val="24"/>
        </w:rPr>
        <w:t xml:space="preserve"> or left service</w:t>
      </w:r>
    </w:p>
    <w:p w14:paraId="61111A26" w14:textId="3DEED2D8" w:rsidR="009838B8" w:rsidRPr="005D690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d</w:t>
      </w:r>
      <w:r w:rsidR="009838B8" w:rsidRPr="005D6909">
        <w:rPr>
          <w:rFonts w:asciiTheme="minorHAnsi" w:hAnsiTheme="minorHAnsi"/>
          <w:iCs/>
          <w:sz w:val="24"/>
          <w:szCs w:val="24"/>
        </w:rPr>
        <w:t>ate refund was due</w:t>
      </w:r>
    </w:p>
    <w:p w14:paraId="682518D7" w14:textId="5E38A3C0" w:rsidR="009838B8" w:rsidRPr="005D690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d</w:t>
      </w:r>
      <w:r w:rsidR="009838B8" w:rsidRPr="005D6909">
        <w:rPr>
          <w:rFonts w:asciiTheme="minorHAnsi" w:hAnsiTheme="minorHAnsi"/>
          <w:iCs/>
          <w:sz w:val="24"/>
          <w:szCs w:val="24"/>
        </w:rPr>
        <w:t>ate of refund</w:t>
      </w:r>
    </w:p>
    <w:p w14:paraId="7236E5AA" w14:textId="7A205087" w:rsidR="009838B8" w:rsidRPr="005D690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t</w:t>
      </w:r>
      <w:r w:rsidR="009838B8" w:rsidRPr="005D6909">
        <w:rPr>
          <w:rFonts w:asciiTheme="minorHAnsi" w:hAnsiTheme="minorHAnsi"/>
          <w:iCs/>
          <w:sz w:val="24"/>
          <w:szCs w:val="24"/>
        </w:rPr>
        <w:t>he reason or reasons for failure to comply</w:t>
      </w:r>
    </w:p>
    <w:p w14:paraId="3F15AABC" w14:textId="75BA60A0" w:rsidR="009838B8" w:rsidRPr="005D690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w</w:t>
      </w:r>
      <w:r w:rsidR="009838B8" w:rsidRPr="005D6909">
        <w:rPr>
          <w:rFonts w:asciiTheme="minorHAnsi" w:hAnsiTheme="minorHAnsi"/>
          <w:iCs/>
          <w:sz w:val="24"/>
          <w:szCs w:val="24"/>
        </w:rPr>
        <w:t>hen the noted non-compliance</w:t>
      </w:r>
      <w:r w:rsidR="00632749" w:rsidRPr="005D6909">
        <w:rPr>
          <w:rFonts w:asciiTheme="minorHAnsi" w:hAnsiTheme="minorHAnsi"/>
          <w:iCs/>
          <w:sz w:val="24"/>
          <w:szCs w:val="24"/>
        </w:rPr>
        <w:t>(s) was</w:t>
      </w:r>
      <w:r w:rsidR="009838B8" w:rsidRPr="005D6909">
        <w:rPr>
          <w:rFonts w:asciiTheme="minorHAnsi" w:hAnsiTheme="minorHAnsi"/>
          <w:iCs/>
          <w:sz w:val="24"/>
          <w:szCs w:val="24"/>
        </w:rPr>
        <w:t xml:space="preserve"> remedied</w:t>
      </w:r>
    </w:p>
    <w:p w14:paraId="3D43D16D" w14:textId="1EAB00B7" w:rsidR="0005562C" w:rsidRPr="00B35C39" w:rsidRDefault="00BF458A"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t</w:t>
      </w:r>
      <w:r w:rsidR="00632749" w:rsidRPr="005D6909">
        <w:rPr>
          <w:rFonts w:asciiTheme="minorHAnsi" w:hAnsiTheme="minorHAnsi"/>
          <w:iCs/>
          <w:sz w:val="24"/>
          <w:szCs w:val="24"/>
        </w:rPr>
        <w:t xml:space="preserve">he </w:t>
      </w:r>
      <w:r w:rsidR="000936F0" w:rsidRPr="005D6909">
        <w:rPr>
          <w:rFonts w:asciiTheme="minorHAnsi" w:hAnsiTheme="minorHAnsi"/>
          <w:iCs/>
          <w:sz w:val="24"/>
          <w:szCs w:val="24"/>
        </w:rPr>
        <w:t xml:space="preserve">processes </w:t>
      </w:r>
      <w:r w:rsidR="00632749" w:rsidRPr="005D6909">
        <w:rPr>
          <w:rFonts w:asciiTheme="minorHAnsi" w:hAnsiTheme="minorHAnsi"/>
          <w:iCs/>
          <w:sz w:val="24"/>
          <w:szCs w:val="24"/>
        </w:rPr>
        <w:t xml:space="preserve">that </w:t>
      </w:r>
      <w:r w:rsidR="000936F0" w:rsidRPr="005D6909">
        <w:rPr>
          <w:rFonts w:asciiTheme="minorHAnsi" w:hAnsiTheme="minorHAnsi"/>
          <w:iCs/>
          <w:sz w:val="24"/>
          <w:szCs w:val="24"/>
        </w:rPr>
        <w:t>are</w:t>
      </w:r>
      <w:r w:rsidR="009838B8" w:rsidRPr="00B35C39">
        <w:rPr>
          <w:rFonts w:asciiTheme="minorHAnsi" w:hAnsiTheme="minorHAnsi"/>
          <w:iCs/>
          <w:sz w:val="24"/>
          <w:szCs w:val="24"/>
        </w:rPr>
        <w:t xml:space="preserve"> </w:t>
      </w:r>
      <w:r w:rsidR="00632749" w:rsidRPr="00B35C39">
        <w:rPr>
          <w:rFonts w:asciiTheme="minorHAnsi" w:hAnsiTheme="minorHAnsi"/>
          <w:iCs/>
          <w:sz w:val="24"/>
          <w:szCs w:val="24"/>
        </w:rPr>
        <w:t xml:space="preserve">now </w:t>
      </w:r>
      <w:r w:rsidR="009838B8" w:rsidRPr="00B35C39">
        <w:rPr>
          <w:rFonts w:asciiTheme="minorHAnsi" w:hAnsiTheme="minorHAnsi"/>
          <w:iCs/>
          <w:sz w:val="24"/>
          <w:szCs w:val="24"/>
        </w:rPr>
        <w:t xml:space="preserve">in place to </w:t>
      </w:r>
      <w:r w:rsidR="000936F0" w:rsidRPr="00B35C39">
        <w:rPr>
          <w:rFonts w:asciiTheme="minorHAnsi" w:hAnsiTheme="minorHAnsi"/>
          <w:iCs/>
          <w:sz w:val="24"/>
          <w:szCs w:val="24"/>
        </w:rPr>
        <w:t>ensure</w:t>
      </w:r>
      <w:r w:rsidR="009838B8" w:rsidRPr="00B35C39">
        <w:rPr>
          <w:rFonts w:asciiTheme="minorHAnsi" w:hAnsiTheme="minorHAnsi"/>
          <w:iCs/>
          <w:sz w:val="24"/>
          <w:szCs w:val="24"/>
        </w:rPr>
        <w:t xml:space="preserve"> future </w:t>
      </w:r>
      <w:r w:rsidR="000936F0" w:rsidRPr="00B35C39">
        <w:rPr>
          <w:rFonts w:asciiTheme="minorHAnsi" w:hAnsiTheme="minorHAnsi"/>
          <w:iCs/>
          <w:sz w:val="24"/>
          <w:szCs w:val="24"/>
        </w:rPr>
        <w:t>compliance</w:t>
      </w:r>
    </w:p>
    <w:p w14:paraId="6DC62859" w14:textId="77777777" w:rsidR="009838B8" w:rsidRPr="002B7CED" w:rsidRDefault="009838B8" w:rsidP="002B7CED">
      <w:pPr>
        <w:spacing w:before="200" w:after="0"/>
        <w:rPr>
          <w:b/>
          <w:bCs/>
          <w:color w:val="0070C0"/>
          <w:sz w:val="26"/>
          <w:szCs w:val="26"/>
        </w:rPr>
      </w:pPr>
      <w:r w:rsidRPr="002B7CED">
        <w:rPr>
          <w:b/>
          <w:bCs/>
          <w:color w:val="0070C0"/>
          <w:sz w:val="26"/>
          <w:szCs w:val="26"/>
        </w:rPr>
        <w:t xml:space="preserve">Entry Contribution refund periods </w:t>
      </w:r>
    </w:p>
    <w:p w14:paraId="6606D1CB" w14:textId="77777777" w:rsidR="009838B8" w:rsidRDefault="009838B8" w:rsidP="002B7CED">
      <w:pPr>
        <w:pStyle w:val="Default"/>
        <w:spacing w:before="0"/>
        <w:rPr>
          <w:rFonts w:asciiTheme="minorHAnsi" w:hAnsiTheme="minorHAnsi"/>
        </w:rPr>
      </w:pPr>
      <w:r w:rsidRPr="001C19A5">
        <w:rPr>
          <w:rFonts w:asciiTheme="minorHAnsi" w:hAnsiTheme="minorHAnsi"/>
        </w:rPr>
        <w:t xml:space="preserve">The refund day for entry contribution refunds should be set out in the formal agreement. </w:t>
      </w:r>
    </w:p>
    <w:p w14:paraId="2EAB5581" w14:textId="3AC71BB9" w:rsidR="00E172DE" w:rsidRPr="002B7CED" w:rsidRDefault="00E172DE" w:rsidP="002B7CED">
      <w:pPr>
        <w:spacing w:before="200" w:after="0"/>
        <w:rPr>
          <w:b/>
          <w:bCs/>
          <w:color w:val="0070C0"/>
          <w:sz w:val="26"/>
          <w:szCs w:val="26"/>
        </w:rPr>
      </w:pPr>
      <w:r w:rsidRPr="002B7CED">
        <w:rPr>
          <w:b/>
          <w:bCs/>
          <w:color w:val="0070C0"/>
          <w:sz w:val="26"/>
          <w:szCs w:val="26"/>
        </w:rPr>
        <w:t>Things you need to know</w:t>
      </w:r>
    </w:p>
    <w:p w14:paraId="7DFBF9E5" w14:textId="48EA74C3" w:rsidR="009838B8" w:rsidRDefault="009838B8" w:rsidP="002B7CED">
      <w:pPr>
        <w:pStyle w:val="Default"/>
        <w:spacing w:before="0"/>
        <w:rPr>
          <w:rFonts w:asciiTheme="minorHAnsi" w:hAnsiTheme="minorHAnsi"/>
        </w:rPr>
      </w:pPr>
      <w:r w:rsidRPr="001C19A5">
        <w:rPr>
          <w:rFonts w:asciiTheme="minorHAnsi" w:hAnsiTheme="minorHAnsi"/>
        </w:rPr>
        <w:t>Base interest is not applicable to entry contributions, but the applicable MPIR</w:t>
      </w:r>
      <w:r w:rsidR="00785F4F">
        <w:rPr>
          <w:rFonts w:asciiTheme="minorHAnsi" w:hAnsiTheme="minorHAnsi"/>
        </w:rPr>
        <w:t xml:space="preserve"> is payable</w:t>
      </w:r>
      <w:r w:rsidRPr="001C19A5">
        <w:rPr>
          <w:rFonts w:asciiTheme="minorHAnsi" w:hAnsiTheme="minorHAnsi"/>
        </w:rPr>
        <w:t xml:space="preserve"> if the entry contribution was not refunded in the agreed period. MPIR should be calculated from the day after the entry contribution was due to be refunded, up to and including the day of refund.</w:t>
      </w:r>
    </w:p>
    <w:p w14:paraId="46AEC3B2" w14:textId="77777777" w:rsidR="00E172DE" w:rsidRPr="002B7CED" w:rsidRDefault="00E172DE"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39966718" w14:textId="290BE522" w:rsidR="00E172DE" w:rsidRDefault="009838B8" w:rsidP="00E172DE">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 xml:space="preserve">After considering the information provided for </w:t>
      </w:r>
      <w:r w:rsidR="000936F0" w:rsidRPr="001C19A5">
        <w:rPr>
          <w:rFonts w:asciiTheme="minorHAnsi" w:hAnsiTheme="minorHAnsi" w:cs="Times New Roman"/>
          <w:color w:val="000000"/>
          <w:sz w:val="24"/>
          <w:szCs w:val="24"/>
          <w:lang w:val="en-US" w:eastAsia="en-US"/>
        </w:rPr>
        <w:t>refunding entry</w:t>
      </w:r>
      <w:r w:rsidRPr="001C19A5">
        <w:rPr>
          <w:rFonts w:asciiTheme="minorHAnsi" w:hAnsiTheme="minorHAnsi" w:cs="Times New Roman"/>
          <w:color w:val="000000"/>
          <w:sz w:val="24"/>
          <w:szCs w:val="24"/>
          <w:lang w:val="en-US" w:eastAsia="en-US"/>
        </w:rPr>
        <w:t xml:space="preserve"> </w:t>
      </w:r>
      <w:r w:rsidR="000936F0" w:rsidRPr="001C19A5">
        <w:rPr>
          <w:rFonts w:asciiTheme="minorHAnsi" w:hAnsiTheme="minorHAnsi" w:cs="Times New Roman"/>
          <w:color w:val="000000"/>
          <w:sz w:val="24"/>
          <w:szCs w:val="24"/>
          <w:lang w:val="en-US" w:eastAsia="en-US"/>
        </w:rPr>
        <w:t>contribution responsibilities</w:t>
      </w:r>
      <w:r w:rsidRPr="001C19A5">
        <w:rPr>
          <w:rFonts w:asciiTheme="minorHAnsi" w:hAnsiTheme="minorHAnsi" w:cs="Times New Roman"/>
          <w:color w:val="000000"/>
          <w:sz w:val="24"/>
          <w:szCs w:val="24"/>
          <w:lang w:val="en-US" w:eastAsia="en-US"/>
        </w:rPr>
        <w:t xml:space="preserve"> around </w:t>
      </w:r>
      <w:r w:rsidR="000936F0" w:rsidRPr="001C19A5">
        <w:rPr>
          <w:rFonts w:asciiTheme="minorHAnsi" w:hAnsiTheme="minorHAnsi" w:cs="Times New Roman"/>
          <w:color w:val="000000"/>
          <w:sz w:val="24"/>
          <w:szCs w:val="24"/>
          <w:lang w:val="en-US" w:eastAsia="en-US"/>
        </w:rPr>
        <w:t>interest</w:t>
      </w:r>
      <w:r w:rsidR="00501324">
        <w:rPr>
          <w:rFonts w:asciiTheme="minorHAnsi" w:hAnsiTheme="minorHAnsi" w:cs="Times New Roman"/>
          <w:color w:val="000000"/>
          <w:sz w:val="24"/>
          <w:szCs w:val="24"/>
          <w:lang w:val="en-US" w:eastAsia="en-US"/>
        </w:rPr>
        <w:t>,</w:t>
      </w:r>
      <w:r w:rsidR="000936F0" w:rsidRPr="001C19A5">
        <w:rPr>
          <w:rFonts w:asciiTheme="minorHAnsi" w:hAnsiTheme="minorHAnsi" w:cs="Times New Roman"/>
          <w:color w:val="000000"/>
          <w:sz w:val="24"/>
          <w:szCs w:val="24"/>
          <w:lang w:val="en-US" w:eastAsia="en-US"/>
        </w:rPr>
        <w:t xml:space="preserve"> </w:t>
      </w:r>
      <w:r w:rsidR="00501324">
        <w:rPr>
          <w:rFonts w:asciiTheme="minorHAnsi" w:hAnsiTheme="minorHAnsi" w:cs="Times New Roman"/>
          <w:color w:val="000000"/>
          <w:sz w:val="24"/>
          <w:szCs w:val="24"/>
          <w:lang w:val="en-US" w:eastAsia="en-US"/>
        </w:rPr>
        <w:t>r</w:t>
      </w:r>
      <w:r w:rsidRPr="001C19A5">
        <w:rPr>
          <w:rFonts w:asciiTheme="minorHAnsi" w:hAnsiTheme="minorHAnsi" w:cs="Times New Roman"/>
          <w:color w:val="000000"/>
          <w:sz w:val="24"/>
          <w:szCs w:val="24"/>
          <w:lang w:val="en-US" w:eastAsia="en-US"/>
        </w:rPr>
        <w:t>espond Yes</w:t>
      </w:r>
      <w:r w:rsidR="000936F0" w:rsidRPr="001C19A5">
        <w:rPr>
          <w:rFonts w:asciiTheme="minorHAnsi" w:hAnsiTheme="minorHAnsi" w:cs="Times New Roman"/>
          <w:color w:val="000000"/>
          <w:sz w:val="24"/>
          <w:szCs w:val="24"/>
          <w:lang w:val="en-US" w:eastAsia="en-US"/>
        </w:rPr>
        <w:t>, No</w:t>
      </w:r>
      <w:r w:rsidRPr="001C19A5">
        <w:rPr>
          <w:rFonts w:asciiTheme="minorHAnsi" w:hAnsiTheme="minorHAnsi" w:cs="Times New Roman"/>
          <w:color w:val="000000"/>
          <w:sz w:val="24"/>
          <w:szCs w:val="24"/>
          <w:lang w:val="en-US" w:eastAsia="en-US"/>
        </w:rPr>
        <w:t xml:space="preserve"> or N/</w:t>
      </w:r>
      <w:r w:rsidR="00C665D3" w:rsidRPr="001C19A5">
        <w:rPr>
          <w:rFonts w:asciiTheme="minorHAnsi" w:hAnsiTheme="minorHAnsi" w:cs="Times New Roman"/>
          <w:color w:val="000000"/>
          <w:sz w:val="24"/>
          <w:szCs w:val="24"/>
          <w:lang w:val="en-US" w:eastAsia="en-US"/>
        </w:rPr>
        <w:t xml:space="preserve">A. </w:t>
      </w:r>
    </w:p>
    <w:p w14:paraId="59FDDEFB" w14:textId="48621AA6" w:rsidR="00E172DE" w:rsidRDefault="009838B8" w:rsidP="00E172DE">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Only answer N/A if refundable deposits or bonds did not require interest to be paid</w:t>
      </w:r>
      <w:r w:rsidR="00C665D3" w:rsidRPr="001C19A5">
        <w:rPr>
          <w:rFonts w:asciiTheme="minorHAnsi" w:hAnsiTheme="minorHAnsi" w:cs="Times New Roman"/>
          <w:color w:val="000000"/>
          <w:sz w:val="24"/>
          <w:szCs w:val="24"/>
          <w:lang w:val="en-US" w:eastAsia="en-US"/>
        </w:rPr>
        <w:t xml:space="preserve">. </w:t>
      </w:r>
    </w:p>
    <w:p w14:paraId="7B602629" w14:textId="76A52F36" w:rsidR="009838B8" w:rsidRPr="001C19A5" w:rsidRDefault="009838B8" w:rsidP="00B35C39">
      <w:pPr>
        <w:pStyle w:val="Tabletext"/>
        <w:spacing w:before="0" w:after="120"/>
        <w:rPr>
          <w:rFonts w:asciiTheme="minorHAnsi" w:hAnsiTheme="minorHAnsi" w:cs="Times New Roman"/>
          <w:color w:val="000000"/>
          <w:sz w:val="24"/>
          <w:szCs w:val="24"/>
          <w:lang w:val="en-US" w:eastAsia="en-US"/>
        </w:rPr>
      </w:pPr>
      <w:r w:rsidRPr="001C19A5">
        <w:rPr>
          <w:rFonts w:asciiTheme="minorHAnsi" w:hAnsiTheme="minorHAnsi" w:cs="Times New Roman"/>
          <w:color w:val="000000"/>
          <w:sz w:val="24"/>
          <w:szCs w:val="24"/>
          <w:lang w:val="en-US" w:eastAsia="en-US"/>
        </w:rPr>
        <w:t>If you answered ‘NO’ you must submit a separate statement with the following details:</w:t>
      </w:r>
    </w:p>
    <w:p w14:paraId="32A4F113" w14:textId="7CF322B9" w:rsidR="009838B8" w:rsidRPr="005D6909" w:rsidRDefault="009272FF" w:rsidP="00B35C39">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c</w:t>
      </w:r>
      <w:r w:rsidR="009838B8" w:rsidRPr="005D6909">
        <w:rPr>
          <w:rFonts w:asciiTheme="minorHAnsi" w:hAnsiTheme="minorHAnsi"/>
          <w:iCs/>
          <w:sz w:val="24"/>
          <w:szCs w:val="24"/>
        </w:rPr>
        <w:t xml:space="preserve">lient </w:t>
      </w:r>
      <w:r w:rsidRPr="005D6909">
        <w:rPr>
          <w:rFonts w:asciiTheme="minorHAnsi" w:hAnsiTheme="minorHAnsi"/>
          <w:iCs/>
          <w:sz w:val="24"/>
          <w:szCs w:val="24"/>
        </w:rPr>
        <w:t>n</w:t>
      </w:r>
      <w:r w:rsidR="009838B8" w:rsidRPr="005D6909">
        <w:rPr>
          <w:rFonts w:asciiTheme="minorHAnsi" w:hAnsiTheme="minorHAnsi"/>
          <w:iCs/>
          <w:sz w:val="24"/>
          <w:szCs w:val="24"/>
        </w:rPr>
        <w:t>umber</w:t>
      </w:r>
    </w:p>
    <w:p w14:paraId="7CC13B3E" w14:textId="69078C0C" w:rsidR="009838B8" w:rsidRPr="005D6909" w:rsidRDefault="009978D8"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resident</w:t>
      </w:r>
      <w:r w:rsidR="009838B8" w:rsidRPr="005D6909">
        <w:rPr>
          <w:rFonts w:asciiTheme="minorHAnsi" w:hAnsiTheme="minorHAnsi"/>
          <w:iCs/>
          <w:sz w:val="24"/>
          <w:szCs w:val="24"/>
        </w:rPr>
        <w:t xml:space="preserve"> </w:t>
      </w:r>
      <w:r w:rsidR="00632749" w:rsidRPr="005D6909">
        <w:rPr>
          <w:rFonts w:asciiTheme="minorHAnsi" w:hAnsiTheme="minorHAnsi"/>
          <w:iCs/>
          <w:sz w:val="24"/>
          <w:szCs w:val="24"/>
        </w:rPr>
        <w:t>n</w:t>
      </w:r>
      <w:r w:rsidR="009838B8" w:rsidRPr="005D6909">
        <w:rPr>
          <w:rFonts w:asciiTheme="minorHAnsi" w:hAnsiTheme="minorHAnsi"/>
          <w:iCs/>
          <w:sz w:val="24"/>
          <w:szCs w:val="24"/>
        </w:rPr>
        <w:t>ame</w:t>
      </w:r>
    </w:p>
    <w:p w14:paraId="1C0AB575" w14:textId="2724B18E" w:rsidR="009838B8" w:rsidRPr="005D690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r</w:t>
      </w:r>
      <w:r w:rsidR="009838B8" w:rsidRPr="005D6909">
        <w:rPr>
          <w:rFonts w:asciiTheme="minorHAnsi" w:hAnsiTheme="minorHAnsi"/>
          <w:iCs/>
          <w:sz w:val="24"/>
          <w:szCs w:val="24"/>
        </w:rPr>
        <w:t xml:space="preserve">eason for refund </w:t>
      </w:r>
      <w:r w:rsidR="002736CF" w:rsidRPr="005D6909">
        <w:rPr>
          <w:rFonts w:asciiTheme="minorHAnsi" w:hAnsiTheme="minorHAnsi"/>
          <w:iCs/>
          <w:sz w:val="24"/>
          <w:szCs w:val="24"/>
        </w:rPr>
        <w:t>i.e.,</w:t>
      </w:r>
      <w:r w:rsidR="009838B8" w:rsidRPr="005D6909">
        <w:rPr>
          <w:rFonts w:asciiTheme="minorHAnsi" w:hAnsiTheme="minorHAnsi"/>
          <w:iCs/>
          <w:sz w:val="24"/>
          <w:szCs w:val="24"/>
        </w:rPr>
        <w:t xml:space="preserve"> death, </w:t>
      </w:r>
      <w:r w:rsidR="000936F0" w:rsidRPr="005D6909">
        <w:rPr>
          <w:rFonts w:asciiTheme="minorHAnsi" w:hAnsiTheme="minorHAnsi"/>
          <w:iCs/>
          <w:sz w:val="24"/>
          <w:szCs w:val="24"/>
        </w:rPr>
        <w:t>transfer</w:t>
      </w:r>
      <w:r w:rsidR="009838B8" w:rsidRPr="005D6909">
        <w:rPr>
          <w:rFonts w:asciiTheme="minorHAnsi" w:hAnsiTheme="minorHAnsi"/>
          <w:iCs/>
          <w:sz w:val="24"/>
          <w:szCs w:val="24"/>
        </w:rPr>
        <w:t xml:space="preserve"> or left service</w:t>
      </w:r>
    </w:p>
    <w:p w14:paraId="61E00DC3" w14:textId="7B7A8A9D" w:rsidR="009838B8" w:rsidRPr="005D690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d</w:t>
      </w:r>
      <w:r w:rsidR="009838B8" w:rsidRPr="005D6909">
        <w:rPr>
          <w:rFonts w:asciiTheme="minorHAnsi" w:hAnsiTheme="minorHAnsi"/>
          <w:iCs/>
          <w:sz w:val="24"/>
          <w:szCs w:val="24"/>
        </w:rPr>
        <w:t>ate refund was due</w:t>
      </w:r>
    </w:p>
    <w:p w14:paraId="6B7CDDE2" w14:textId="0C28312C" w:rsidR="009838B8" w:rsidRPr="005D690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d</w:t>
      </w:r>
      <w:r w:rsidR="009838B8" w:rsidRPr="005D6909">
        <w:rPr>
          <w:rFonts w:asciiTheme="minorHAnsi" w:hAnsiTheme="minorHAnsi"/>
          <w:iCs/>
          <w:sz w:val="24"/>
          <w:szCs w:val="24"/>
        </w:rPr>
        <w:t>ate of refund</w:t>
      </w:r>
    </w:p>
    <w:p w14:paraId="30592475" w14:textId="20AF9D09" w:rsidR="009838B8" w:rsidRPr="005D690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t</w:t>
      </w:r>
      <w:r w:rsidR="009838B8" w:rsidRPr="005D6909">
        <w:rPr>
          <w:rFonts w:asciiTheme="minorHAnsi" w:hAnsiTheme="minorHAnsi"/>
          <w:iCs/>
          <w:sz w:val="24"/>
          <w:szCs w:val="24"/>
        </w:rPr>
        <w:t>he reason or reasons for failure to comply</w:t>
      </w:r>
    </w:p>
    <w:p w14:paraId="66D871FF" w14:textId="17292651" w:rsidR="009838B8" w:rsidRPr="005D690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w</w:t>
      </w:r>
      <w:r w:rsidR="009838B8" w:rsidRPr="005D6909">
        <w:rPr>
          <w:rFonts w:asciiTheme="minorHAnsi" w:hAnsiTheme="minorHAnsi"/>
          <w:iCs/>
          <w:sz w:val="24"/>
          <w:szCs w:val="24"/>
        </w:rPr>
        <w:t>hen the noted non-compliance</w:t>
      </w:r>
      <w:r w:rsidR="00E0315F" w:rsidRPr="005D6909">
        <w:rPr>
          <w:rFonts w:asciiTheme="minorHAnsi" w:hAnsiTheme="minorHAnsi"/>
          <w:iCs/>
          <w:sz w:val="24"/>
          <w:szCs w:val="24"/>
        </w:rPr>
        <w:t>(s)</w:t>
      </w:r>
      <w:r w:rsidR="009838B8" w:rsidRPr="005D6909">
        <w:rPr>
          <w:rFonts w:asciiTheme="minorHAnsi" w:hAnsiTheme="minorHAnsi"/>
          <w:iCs/>
          <w:sz w:val="24"/>
          <w:szCs w:val="24"/>
        </w:rPr>
        <w:t xml:space="preserve"> </w:t>
      </w:r>
      <w:r w:rsidR="00785F4F" w:rsidRPr="005D6909">
        <w:rPr>
          <w:rFonts w:asciiTheme="minorHAnsi" w:hAnsiTheme="minorHAnsi"/>
          <w:iCs/>
          <w:sz w:val="24"/>
          <w:szCs w:val="24"/>
        </w:rPr>
        <w:t xml:space="preserve">was </w:t>
      </w:r>
      <w:r w:rsidR="009838B8" w:rsidRPr="005D6909">
        <w:rPr>
          <w:rFonts w:asciiTheme="minorHAnsi" w:hAnsiTheme="minorHAnsi"/>
          <w:iCs/>
          <w:sz w:val="24"/>
          <w:szCs w:val="24"/>
        </w:rPr>
        <w:t>remedied</w:t>
      </w:r>
    </w:p>
    <w:p w14:paraId="189A2725" w14:textId="331A6889" w:rsidR="009838B8" w:rsidRPr="00B35C39" w:rsidRDefault="009272FF" w:rsidP="001A3223">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t</w:t>
      </w:r>
      <w:r w:rsidR="00785F4F" w:rsidRPr="005D6909">
        <w:rPr>
          <w:rFonts w:asciiTheme="minorHAnsi" w:hAnsiTheme="minorHAnsi"/>
          <w:iCs/>
          <w:sz w:val="24"/>
          <w:szCs w:val="24"/>
        </w:rPr>
        <w:t xml:space="preserve">he </w:t>
      </w:r>
      <w:r w:rsidR="000936F0" w:rsidRPr="005D6909">
        <w:rPr>
          <w:rFonts w:asciiTheme="minorHAnsi" w:hAnsiTheme="minorHAnsi"/>
          <w:iCs/>
          <w:sz w:val="24"/>
          <w:szCs w:val="24"/>
        </w:rPr>
        <w:t>processes</w:t>
      </w:r>
      <w:r w:rsidR="00E0315F" w:rsidRPr="005D6909">
        <w:rPr>
          <w:rFonts w:asciiTheme="minorHAnsi" w:hAnsiTheme="minorHAnsi"/>
          <w:iCs/>
          <w:sz w:val="24"/>
          <w:szCs w:val="24"/>
        </w:rPr>
        <w:t xml:space="preserve"> that</w:t>
      </w:r>
      <w:r w:rsidR="00E0315F" w:rsidRPr="00B35C39">
        <w:rPr>
          <w:rFonts w:asciiTheme="minorHAnsi" w:hAnsiTheme="minorHAnsi"/>
          <w:iCs/>
          <w:sz w:val="24"/>
          <w:szCs w:val="24"/>
        </w:rPr>
        <w:t xml:space="preserve"> are now</w:t>
      </w:r>
      <w:r w:rsidR="000936F0" w:rsidRPr="00B35C39">
        <w:rPr>
          <w:rFonts w:asciiTheme="minorHAnsi" w:hAnsiTheme="minorHAnsi"/>
          <w:iCs/>
          <w:sz w:val="24"/>
          <w:szCs w:val="24"/>
        </w:rPr>
        <w:t xml:space="preserve"> </w:t>
      </w:r>
      <w:r w:rsidR="009838B8" w:rsidRPr="00B35C39">
        <w:rPr>
          <w:rFonts w:asciiTheme="minorHAnsi" w:hAnsiTheme="minorHAnsi"/>
          <w:iCs/>
          <w:sz w:val="24"/>
          <w:szCs w:val="24"/>
        </w:rPr>
        <w:t xml:space="preserve">in place to </w:t>
      </w:r>
      <w:r w:rsidR="000936F0" w:rsidRPr="00B35C39">
        <w:rPr>
          <w:rFonts w:asciiTheme="minorHAnsi" w:hAnsiTheme="minorHAnsi"/>
          <w:iCs/>
          <w:sz w:val="24"/>
          <w:szCs w:val="24"/>
        </w:rPr>
        <w:t>ensure</w:t>
      </w:r>
      <w:r w:rsidR="009838B8" w:rsidRPr="00B35C39">
        <w:rPr>
          <w:rFonts w:asciiTheme="minorHAnsi" w:hAnsiTheme="minorHAnsi"/>
          <w:iCs/>
          <w:sz w:val="24"/>
          <w:szCs w:val="24"/>
        </w:rPr>
        <w:t xml:space="preserve"> future </w:t>
      </w:r>
      <w:r w:rsidR="000936F0" w:rsidRPr="00B35C39">
        <w:rPr>
          <w:rFonts w:asciiTheme="minorHAnsi" w:hAnsiTheme="minorHAnsi"/>
          <w:iCs/>
          <w:sz w:val="24"/>
          <w:szCs w:val="24"/>
        </w:rPr>
        <w:t>compliance</w:t>
      </w:r>
      <w:r w:rsidR="00785F4F" w:rsidRPr="00B35C39">
        <w:rPr>
          <w:rFonts w:asciiTheme="minorHAnsi" w:hAnsiTheme="minorHAnsi"/>
          <w:iCs/>
          <w:sz w:val="24"/>
          <w:szCs w:val="24"/>
        </w:rPr>
        <w:t>.</w:t>
      </w:r>
    </w:p>
    <w:p w14:paraId="0D841649" w14:textId="77777777" w:rsidR="007807DD" w:rsidRPr="00B35C39" w:rsidRDefault="007807DD" w:rsidP="00B35C39">
      <w:pPr>
        <w:pStyle w:val="ListParagraph"/>
        <w:numPr>
          <w:ilvl w:val="0"/>
          <w:numId w:val="31"/>
        </w:numPr>
        <w:spacing w:before="0" w:after="0" w:line="240" w:lineRule="auto"/>
        <w:ind w:left="851" w:hanging="425"/>
        <w:rPr>
          <w:iCs/>
          <w:sz w:val="24"/>
          <w:szCs w:val="24"/>
        </w:rPr>
      </w:pPr>
      <w:r w:rsidRPr="00B35C39">
        <w:rPr>
          <w:rFonts w:asciiTheme="minorHAnsi" w:hAnsiTheme="minorHAnsi"/>
          <w:iCs/>
          <w:sz w:val="24"/>
          <w:szCs w:val="24"/>
        </w:rPr>
        <w:br w:type="page"/>
      </w:r>
    </w:p>
    <w:p w14:paraId="6CDC724F" w14:textId="027CEC5B" w:rsidR="0005562C" w:rsidRPr="00236E93" w:rsidRDefault="00E172DE" w:rsidP="00236E93">
      <w:pPr>
        <w:pStyle w:val="Heading2"/>
        <w:spacing w:before="360" w:after="120"/>
        <w:rPr>
          <w:rFonts w:asciiTheme="minorHAnsi" w:hAnsiTheme="minorHAnsi"/>
          <w:color w:val="0070C0"/>
          <w:sz w:val="32"/>
          <w:szCs w:val="32"/>
        </w:rPr>
      </w:pPr>
      <w:r w:rsidRPr="00236E93">
        <w:rPr>
          <w:rFonts w:asciiTheme="minorHAnsi" w:hAnsiTheme="minorHAnsi"/>
          <w:color w:val="0070C0"/>
          <w:sz w:val="32"/>
          <w:szCs w:val="32"/>
        </w:rPr>
        <w:lastRenderedPageBreak/>
        <w:t xml:space="preserve">COMPLIANCE WITH PERMITTED USES FOR ACCOMMODATION PAYMENTS </w:t>
      </w:r>
    </w:p>
    <w:p w14:paraId="601A1F8F" w14:textId="77777777" w:rsidR="0005562C" w:rsidRPr="002B7CED" w:rsidRDefault="0005562C" w:rsidP="00FA592C">
      <w:pPr>
        <w:spacing w:after="0"/>
        <w:rPr>
          <w:b/>
          <w:bCs/>
          <w:color w:val="0070C0"/>
          <w:sz w:val="26"/>
          <w:szCs w:val="26"/>
        </w:rPr>
      </w:pPr>
      <w:r w:rsidRPr="002B7CED">
        <w:rPr>
          <w:b/>
          <w:bCs/>
          <w:color w:val="0070C0"/>
          <w:sz w:val="26"/>
          <w:szCs w:val="26"/>
        </w:rPr>
        <w:t xml:space="preserve">Permitted uses of refundable </w:t>
      </w:r>
      <w:r w:rsidR="00206795" w:rsidRPr="002B7CED">
        <w:rPr>
          <w:b/>
          <w:bCs/>
          <w:color w:val="0070C0"/>
          <w:sz w:val="26"/>
          <w:szCs w:val="26"/>
        </w:rPr>
        <w:t xml:space="preserve">accommodation </w:t>
      </w:r>
      <w:r w:rsidRPr="002B7CED">
        <w:rPr>
          <w:b/>
          <w:bCs/>
          <w:color w:val="0070C0"/>
          <w:sz w:val="26"/>
          <w:szCs w:val="26"/>
        </w:rPr>
        <w:t>deposits</w:t>
      </w:r>
    </w:p>
    <w:p w14:paraId="6539894A" w14:textId="1C5812B8" w:rsidR="0005562C" w:rsidRPr="001C19A5" w:rsidRDefault="0005562C" w:rsidP="0005562C">
      <w:pPr>
        <w:pStyle w:val="NormalWeb"/>
        <w:spacing w:after="0" w:line="240" w:lineRule="auto"/>
        <w:rPr>
          <w:rFonts w:asciiTheme="minorHAnsi" w:hAnsiTheme="minorHAnsi"/>
          <w:iCs/>
        </w:rPr>
      </w:pPr>
      <w:r w:rsidRPr="001C19A5">
        <w:rPr>
          <w:rFonts w:asciiTheme="minorHAnsi" w:hAnsiTheme="minorHAnsi"/>
          <w:b/>
          <w:iCs/>
        </w:rPr>
        <w:t>Permitted uses are limited to:</w:t>
      </w:r>
    </w:p>
    <w:p w14:paraId="6B54BBA4" w14:textId="68A0205F" w:rsidR="0005562C" w:rsidRPr="005D690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capital expenditure for residential or flexible care that is reasonable in the circumstances</w:t>
      </w:r>
    </w:p>
    <w:p w14:paraId="2CAF61AA" w14:textId="45BC6CA0" w:rsidR="0005562C" w:rsidRPr="005D690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investment in particular financial products</w:t>
      </w:r>
    </w:p>
    <w:p w14:paraId="5F427D90" w14:textId="77777777" w:rsidR="0005562C" w:rsidRPr="005D690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5D6909">
        <w:rPr>
          <w:rFonts w:asciiTheme="minorHAnsi" w:hAnsiTheme="minorHAnsi"/>
          <w:iCs/>
          <w:sz w:val="24"/>
          <w:szCs w:val="24"/>
        </w:rPr>
        <w:t xml:space="preserve">loans for: </w:t>
      </w:r>
    </w:p>
    <w:p w14:paraId="14D7F01B" w14:textId="6206CC14"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capital expenditure</w:t>
      </w:r>
    </w:p>
    <w:p w14:paraId="3B22F9C6" w14:textId="39D006DD"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investments in particular financial products</w:t>
      </w:r>
    </w:p>
    <w:p w14:paraId="47D50316" w14:textId="77777777"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refunding refundable deposits, bond balances or entry contributions, and</w:t>
      </w:r>
    </w:p>
    <w:p w14:paraId="51E43AE2" w14:textId="7CA41FD4"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repaying debt accrued for the purposes of capital expenditure or for refunding bond balances</w:t>
      </w:r>
    </w:p>
    <w:p w14:paraId="3BB3CC6A" w14:textId="3F65F629"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refunds of refundable deposits, bonds or entry contribution balances</w:t>
      </w:r>
    </w:p>
    <w:p w14:paraId="7BB5CFF4" w14:textId="45A15D55"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repayment of debt accrued for the purposes of capital expenditure or for refunding refundable deposits or bond balances</w:t>
      </w:r>
    </w:p>
    <w:p w14:paraId="08F7AE7E" w14:textId="5A8668EF"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repayment of debt that accrued before 1 October 2011 if accrued for the purposes of providing aged care to residents</w:t>
      </w:r>
    </w:p>
    <w:p w14:paraId="20EDCC27" w14:textId="7174779B"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reasonable business losses during the first 12 months that the provider operates a residential or flexible aged care service</w:t>
      </w:r>
    </w:p>
    <w:p w14:paraId="5DBDA65E" w14:textId="276D4590" w:rsidR="00C62C3A"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investments of refundable deposits or bonds into RCDFs (see section 52N-1, Act)</w:t>
      </w:r>
    </w:p>
    <w:p w14:paraId="4FA458D0" w14:textId="087CA1C9" w:rsidR="002134CE" w:rsidRPr="005C569E" w:rsidRDefault="00F6228E" w:rsidP="005C569E">
      <w:pPr>
        <w:spacing w:after="0" w:line="240" w:lineRule="auto"/>
        <w:rPr>
          <w:rFonts w:eastAsia="Times New Roman"/>
          <w:iCs/>
          <w:sz w:val="18"/>
          <w:szCs w:val="18"/>
          <w:lang w:eastAsia="en-AU"/>
        </w:rPr>
      </w:pPr>
      <w:r w:rsidRPr="001C19A5">
        <w:rPr>
          <w:rStyle w:val="Strong"/>
          <w:color w:val="111111"/>
          <w:sz w:val="18"/>
          <w:szCs w:val="18"/>
          <w:lang w:val="en"/>
        </w:rPr>
        <w:t>R</w:t>
      </w:r>
      <w:r w:rsidR="0005562C" w:rsidRPr="001C19A5">
        <w:rPr>
          <w:rStyle w:val="Strong"/>
          <w:color w:val="111111"/>
          <w:sz w:val="18"/>
          <w:szCs w:val="18"/>
          <w:lang w:val="en"/>
        </w:rPr>
        <w:t>eference:</w:t>
      </w:r>
      <w:r w:rsidR="0005562C" w:rsidRPr="001C19A5">
        <w:rPr>
          <w:color w:val="111111"/>
          <w:sz w:val="18"/>
          <w:szCs w:val="18"/>
          <w:lang w:val="en"/>
        </w:rPr>
        <w:t xml:space="preserve"> </w:t>
      </w:r>
      <w:r w:rsidR="00F3639B">
        <w:rPr>
          <w:color w:val="111111"/>
          <w:sz w:val="18"/>
          <w:szCs w:val="18"/>
          <w:lang w:val="en"/>
        </w:rPr>
        <w:t xml:space="preserve">The </w:t>
      </w:r>
      <w:r w:rsidR="0005562C" w:rsidRPr="001C19A5">
        <w:rPr>
          <w:sz w:val="18"/>
          <w:szCs w:val="18"/>
          <w:lang w:val="en"/>
        </w:rPr>
        <w:t xml:space="preserve">Act </w:t>
      </w:r>
      <w:hyperlink r:id="rId43" w:anchor="_Toc406164877" w:history="1">
        <w:r w:rsidR="0005562C" w:rsidRPr="001C19A5">
          <w:rPr>
            <w:rStyle w:val="Hyperlink"/>
            <w:color w:val="auto"/>
            <w:sz w:val="18"/>
            <w:szCs w:val="18"/>
            <w:u w:val="none"/>
            <w:lang w:val="en"/>
          </w:rPr>
          <w:t>section 52N-1</w:t>
        </w:r>
      </w:hyperlink>
    </w:p>
    <w:p w14:paraId="6EEFF648" w14:textId="77777777" w:rsidR="0005562C" w:rsidRPr="00B34BF1" w:rsidRDefault="000D58C0" w:rsidP="002C1C57">
      <w:pPr>
        <w:pStyle w:val="Heading2"/>
        <w:spacing w:before="360"/>
        <w:rPr>
          <w:rFonts w:asciiTheme="minorHAnsi" w:hAnsiTheme="minorHAnsi"/>
          <w:color w:val="0070C0"/>
        </w:rPr>
      </w:pPr>
      <w:r w:rsidRPr="00B34BF1">
        <w:rPr>
          <w:rFonts w:asciiTheme="minorHAnsi" w:hAnsiTheme="minorHAnsi"/>
          <w:color w:val="0070C0"/>
        </w:rPr>
        <w:t>APPLICATION OF EXPENDITURE ON PERMITTED USES</w:t>
      </w:r>
    </w:p>
    <w:p w14:paraId="06C81661" w14:textId="77777777" w:rsidR="0005562C" w:rsidRPr="002B7CED" w:rsidRDefault="0005562C" w:rsidP="00FA592C">
      <w:pPr>
        <w:spacing w:after="0"/>
        <w:rPr>
          <w:b/>
          <w:bCs/>
          <w:color w:val="0070C0"/>
          <w:sz w:val="26"/>
          <w:szCs w:val="26"/>
        </w:rPr>
      </w:pPr>
      <w:r w:rsidRPr="002B7CED">
        <w:rPr>
          <w:b/>
          <w:bCs/>
          <w:color w:val="0070C0"/>
          <w:sz w:val="26"/>
          <w:szCs w:val="26"/>
        </w:rPr>
        <w:t>Capital expenditure</w:t>
      </w:r>
    </w:p>
    <w:p w14:paraId="450F4235" w14:textId="77777777" w:rsidR="0005562C" w:rsidRPr="001C19A5" w:rsidRDefault="0005562C" w:rsidP="00176637">
      <w:pPr>
        <w:pStyle w:val="NormalWeb"/>
        <w:spacing w:after="120" w:line="240" w:lineRule="auto"/>
        <w:rPr>
          <w:rFonts w:asciiTheme="minorHAnsi" w:hAnsiTheme="minorHAnsi"/>
          <w:color w:val="111111"/>
          <w:lang w:val="en"/>
        </w:rPr>
      </w:pPr>
      <w:r w:rsidRPr="001C19A5">
        <w:rPr>
          <w:rFonts w:asciiTheme="minorHAnsi" w:hAnsiTheme="minorHAnsi"/>
          <w:iCs/>
        </w:rPr>
        <w:t>The primary policy intent of refundable deposits and bonds is to provide providers with a source of capital funding for investment in residential and flexible aged care infrastructure. Capital expenditure improves services for residents and provides asset backing to support the refund of refundable deposits and bond balances. Capital expenditure is broadly defined and includes ancillary expenses directly linked to capital expenditure.</w:t>
      </w:r>
    </w:p>
    <w:p w14:paraId="756BC337" w14:textId="77777777" w:rsidR="0005562C" w:rsidRPr="001C19A5" w:rsidRDefault="0005562C" w:rsidP="00176637">
      <w:pPr>
        <w:pStyle w:val="NormalWeb"/>
        <w:spacing w:after="0" w:line="240" w:lineRule="auto"/>
        <w:rPr>
          <w:rFonts w:asciiTheme="minorHAnsi" w:hAnsiTheme="minorHAnsi"/>
          <w:iCs/>
        </w:rPr>
      </w:pPr>
      <w:r w:rsidRPr="001C19A5">
        <w:rPr>
          <w:rFonts w:asciiTheme="minorHAnsi" w:hAnsiTheme="minorHAnsi"/>
          <w:iCs/>
        </w:rPr>
        <w:t>Providers may use refundable deposits or bonds, if it is reasonable under the circumstances, for expenditure to:</w:t>
      </w:r>
    </w:p>
    <w:p w14:paraId="422D1EA0" w14:textId="1C1D6CE6"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acquire land on which an existing residential or flexible aged care service is built</w:t>
      </w:r>
    </w:p>
    <w:p w14:paraId="57FCAD86" w14:textId="2FE76323"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acquire land for building residential care services or flexible care services</w:t>
      </w:r>
    </w:p>
    <w:p w14:paraId="1399DFE0" w14:textId="5AD2F64D"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acquire, build or significantly alter premises for providing residential care or flexible care</w:t>
      </w:r>
    </w:p>
    <w:p w14:paraId="112E40F6" w14:textId="3C647DDC"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acquire or install furniture, fittings or equipment used in providing residential care or flexible care. This is a permitted use where the premises are initially erected or following an extension, a significant alteration or significant refurbishment</w:t>
      </w:r>
    </w:p>
    <w:p w14:paraId="367ED3C4" w14:textId="77777777" w:rsidR="0005562C" w:rsidRPr="00B35C39"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B35C39">
        <w:rPr>
          <w:rFonts w:asciiTheme="minorHAnsi" w:hAnsiTheme="minorHAnsi"/>
          <w:iCs/>
          <w:sz w:val="24"/>
          <w:szCs w:val="24"/>
        </w:rPr>
        <w:t>pay for costs that are directly attributable to the above expenditure (see section 52N-1(2), Act, and Part 6, Fees and Payments Principles.</w:t>
      </w:r>
    </w:p>
    <w:p w14:paraId="3A8EDB19" w14:textId="4DCA730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In administering and enforcing the permitted use requirements, the </w:t>
      </w:r>
      <w:r w:rsidR="00501324">
        <w:rPr>
          <w:rFonts w:asciiTheme="minorHAnsi" w:hAnsiTheme="minorHAnsi"/>
          <w:iCs/>
        </w:rPr>
        <w:t>Commission</w:t>
      </w:r>
      <w:r w:rsidR="00F80E64" w:rsidRPr="001C19A5">
        <w:rPr>
          <w:rFonts w:asciiTheme="minorHAnsi" w:hAnsiTheme="minorHAnsi"/>
          <w:iCs/>
        </w:rPr>
        <w:t xml:space="preserve"> will</w:t>
      </w:r>
      <w:r w:rsidRPr="001C19A5">
        <w:rPr>
          <w:rFonts w:asciiTheme="minorHAnsi" w:hAnsiTheme="minorHAnsi"/>
          <w:iCs/>
        </w:rPr>
        <w:t xml:space="preserve"> principally focus on the primary use or purpose of the capital expenditure. In order to meet the requirements, the primary use or purpose of the capital expenditure must be for the delivery of residential or flexible care services.</w:t>
      </w:r>
    </w:p>
    <w:p w14:paraId="15782035"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The use of infrastructure funded by refundable deposits or bonds for non-residential or flexible care services would be acceptable provided it is an incidental or ancillary use.</w:t>
      </w:r>
    </w:p>
    <w:p w14:paraId="3C7847BA" w14:textId="77777777" w:rsidR="002134CE"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The use of refundable deposits or bonds for capital expenditure is only permitted if it is reasonable under the circumstances. The inclusion of this 'reasonableness test' (which is commonly used in </w:t>
      </w:r>
      <w:r w:rsidRPr="001C19A5">
        <w:rPr>
          <w:rFonts w:asciiTheme="minorHAnsi" w:hAnsiTheme="minorHAnsi"/>
          <w:iCs/>
        </w:rPr>
        <w:lastRenderedPageBreak/>
        <w:t>legislation and readily interpreted by courts) is to avoid providers using refundable deposits or bonds for other than their intended purposes. It also affords protection against paying above market rates for capital it</w:t>
      </w:r>
      <w:r w:rsidR="00251D48">
        <w:rPr>
          <w:rFonts w:asciiTheme="minorHAnsi" w:hAnsiTheme="minorHAnsi"/>
          <w:iCs/>
        </w:rPr>
        <w:t>ems and other associated costs.</w:t>
      </w:r>
    </w:p>
    <w:p w14:paraId="6D64866E" w14:textId="7B2B1C2A"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For example, providers are able to use refundable deposits or bonds to acquire land on which premises for providing residential or flexible care services are to be built, and expenditure directly attributable to such an acquisition, if the expenditure is reasonable. In order for this reasonableness to be demonstrated, the </w:t>
      </w:r>
      <w:r w:rsidR="00501324">
        <w:rPr>
          <w:rFonts w:asciiTheme="minorHAnsi" w:hAnsiTheme="minorHAnsi"/>
          <w:iCs/>
        </w:rPr>
        <w:t>provider</w:t>
      </w:r>
      <w:r w:rsidRPr="001C19A5">
        <w:rPr>
          <w:rFonts w:asciiTheme="minorHAnsi" w:hAnsiTheme="minorHAnsi"/>
          <w:iCs/>
        </w:rPr>
        <w:t xml:space="preserve"> may</w:t>
      </w:r>
      <w:r w:rsidR="00501324">
        <w:rPr>
          <w:rFonts w:asciiTheme="minorHAnsi" w:hAnsiTheme="minorHAnsi"/>
          <w:iCs/>
        </w:rPr>
        <w:t xml:space="preserve"> be</w:t>
      </w:r>
      <w:r w:rsidRPr="001C19A5">
        <w:rPr>
          <w:rFonts w:asciiTheme="minorHAnsi" w:hAnsiTheme="minorHAnsi"/>
          <w:iCs/>
        </w:rPr>
        <w:t xml:space="preserve"> request</w:t>
      </w:r>
      <w:r w:rsidR="00501324">
        <w:rPr>
          <w:rFonts w:asciiTheme="minorHAnsi" w:hAnsiTheme="minorHAnsi"/>
          <w:iCs/>
        </w:rPr>
        <w:t>ed to provide</w:t>
      </w:r>
      <w:r w:rsidRPr="001C19A5">
        <w:rPr>
          <w:rFonts w:asciiTheme="minorHAnsi" w:hAnsiTheme="minorHAnsi"/>
          <w:iCs/>
        </w:rPr>
        <w:t xml:space="preserve"> documented evidence to demonstrate the intention to use the land for building premises for providing residential or flexible care such as development approvals, evidence of land zoning, architects plans, feasibility stud</w:t>
      </w:r>
      <w:r w:rsidR="00B85324">
        <w:rPr>
          <w:rFonts w:asciiTheme="minorHAnsi" w:hAnsiTheme="minorHAnsi"/>
          <w:iCs/>
        </w:rPr>
        <w:t xml:space="preserve">ies and contracts of sale. The provider </w:t>
      </w:r>
      <w:r w:rsidRPr="001C19A5">
        <w:rPr>
          <w:rFonts w:asciiTheme="minorHAnsi" w:hAnsiTheme="minorHAnsi"/>
          <w:iCs/>
        </w:rPr>
        <w:t>might also</w:t>
      </w:r>
      <w:r w:rsidR="00B85324">
        <w:rPr>
          <w:rFonts w:asciiTheme="minorHAnsi" w:hAnsiTheme="minorHAnsi"/>
          <w:iCs/>
        </w:rPr>
        <w:t xml:space="preserve"> be</w:t>
      </w:r>
      <w:r w:rsidRPr="001C19A5">
        <w:rPr>
          <w:rFonts w:asciiTheme="minorHAnsi" w:hAnsiTheme="minorHAnsi"/>
          <w:iCs/>
        </w:rPr>
        <w:t xml:space="preserve"> request</w:t>
      </w:r>
      <w:r w:rsidR="00B85324">
        <w:rPr>
          <w:rFonts w:asciiTheme="minorHAnsi" w:hAnsiTheme="minorHAnsi"/>
          <w:iCs/>
        </w:rPr>
        <w:t>ed to provide</w:t>
      </w:r>
      <w:r w:rsidRPr="001C19A5">
        <w:rPr>
          <w:rFonts w:asciiTheme="minorHAnsi" w:hAnsiTheme="minorHAnsi"/>
          <w:iCs/>
        </w:rPr>
        <w:t xml:space="preserve"> evidence of the market value of the land at the time of purchase.</w:t>
      </w:r>
    </w:p>
    <w:p w14:paraId="44861E53" w14:textId="62E413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Refundable deposits or bonds must not be used for paying unreasonable fees to building contractors or others. For example, it is expected that any </w:t>
      </w:r>
      <w:r w:rsidR="009207B2" w:rsidRPr="001C19A5">
        <w:rPr>
          <w:rFonts w:asciiTheme="minorHAnsi" w:hAnsiTheme="minorHAnsi"/>
          <w:iCs/>
        </w:rPr>
        <w:t>architects’</w:t>
      </w:r>
      <w:r w:rsidRPr="001C19A5">
        <w:rPr>
          <w:rFonts w:asciiTheme="minorHAnsi" w:hAnsiTheme="minorHAnsi"/>
          <w:iCs/>
        </w:rPr>
        <w:t xml:space="preserve"> fees would be directly attributable to the erection or significant alteration of an aged care service. However, in order for refundable deposits or bonds to be used to meet such an expense, the fees must be reasonable in the circumstances, </w:t>
      </w:r>
      <w:r w:rsidR="009207B2" w:rsidRPr="001C19A5">
        <w:rPr>
          <w:rFonts w:asciiTheme="minorHAnsi" w:hAnsiTheme="minorHAnsi"/>
          <w:iCs/>
        </w:rPr>
        <w:t>i.e.,</w:t>
      </w:r>
      <w:r w:rsidRPr="001C19A5">
        <w:rPr>
          <w:rFonts w:asciiTheme="minorHAnsi" w:hAnsiTheme="minorHAnsi"/>
          <w:iCs/>
        </w:rPr>
        <w:t xml:space="preserve"> they must be charged at commercial, arms' length rates. It would be unreasonable for a provider to pay inflated fees to related parties who may provide services to the provider (for example, partners or family members who are also builders or architects).</w:t>
      </w:r>
    </w:p>
    <w:p w14:paraId="68463370" w14:textId="77777777" w:rsidR="0005562C" w:rsidRPr="001C19A5" w:rsidRDefault="0005562C" w:rsidP="0005562C">
      <w:pPr>
        <w:pStyle w:val="NormalWeb"/>
        <w:spacing w:after="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A provider with three residential aged care services intends to build another residential aged care service nearby. The following are examples of what would constitute permitted capital expenditure of refundable deposits or bonds:</w:t>
      </w:r>
    </w:p>
    <w:p w14:paraId="68302EFF" w14:textId="763D2AA6" w:rsidR="0005562C" w:rsidRPr="001C19A5" w:rsidRDefault="0005562C" w:rsidP="009F0B97">
      <w:pPr>
        <w:pStyle w:val="ListParagraph"/>
        <w:numPr>
          <w:ilvl w:val="0"/>
          <w:numId w:val="31"/>
        </w:numPr>
        <w:spacing w:after="0" w:line="240" w:lineRule="auto"/>
        <w:ind w:left="851" w:hanging="425"/>
        <w:rPr>
          <w:rFonts w:asciiTheme="minorHAnsi" w:hAnsiTheme="minorHAnsi"/>
          <w:iCs/>
          <w:sz w:val="24"/>
          <w:szCs w:val="24"/>
        </w:rPr>
      </w:pPr>
      <w:r w:rsidRPr="001C19A5">
        <w:rPr>
          <w:rFonts w:asciiTheme="minorHAnsi" w:hAnsiTheme="minorHAnsi"/>
          <w:iCs/>
          <w:sz w:val="24"/>
          <w:szCs w:val="24"/>
        </w:rPr>
        <w:t>the initial purchase of the land</w:t>
      </w:r>
    </w:p>
    <w:p w14:paraId="1B87C847" w14:textId="239A1852" w:rsidR="0005562C" w:rsidRPr="001C19A5" w:rsidRDefault="0005562C" w:rsidP="001A3223">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architect and other professional fees</w:t>
      </w:r>
    </w:p>
    <w:p w14:paraId="431B04E3" w14:textId="69A3B88F" w:rsidR="0005562C" w:rsidRPr="001C19A5" w:rsidRDefault="0005562C" w:rsidP="001A3223">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council fees</w:t>
      </w:r>
    </w:p>
    <w:p w14:paraId="7E976209" w14:textId="69C86DD9" w:rsidR="0005562C" w:rsidRPr="001C19A5" w:rsidRDefault="0005562C" w:rsidP="001A3223">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site remediation</w:t>
      </w:r>
    </w:p>
    <w:p w14:paraId="1098F0DA" w14:textId="492B0C5A" w:rsidR="0005562C" w:rsidRPr="001C19A5" w:rsidRDefault="0005562C" w:rsidP="001A3223">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foundation works</w:t>
      </w:r>
    </w:p>
    <w:p w14:paraId="565C9F27" w14:textId="1385AF77" w:rsidR="0005562C" w:rsidRPr="001C19A5" w:rsidRDefault="0005562C" w:rsidP="001A3223">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construction of the service</w:t>
      </w:r>
    </w:p>
    <w:p w14:paraId="3A5291B5" w14:textId="77777777" w:rsidR="0005562C" w:rsidRPr="001C19A5" w:rsidRDefault="0005562C" w:rsidP="009F0B97">
      <w:pPr>
        <w:pStyle w:val="ListParagraph"/>
        <w:numPr>
          <w:ilvl w:val="0"/>
          <w:numId w:val="31"/>
        </w:numPr>
        <w:spacing w:before="0" w:after="120" w:line="240" w:lineRule="auto"/>
        <w:ind w:left="851" w:hanging="425"/>
        <w:rPr>
          <w:rFonts w:asciiTheme="minorHAnsi" w:hAnsiTheme="minorHAnsi"/>
          <w:iCs/>
          <w:sz w:val="24"/>
          <w:szCs w:val="24"/>
        </w:rPr>
      </w:pPr>
      <w:r w:rsidRPr="001C19A5">
        <w:rPr>
          <w:rFonts w:asciiTheme="minorHAnsi" w:hAnsiTheme="minorHAnsi"/>
          <w:iCs/>
          <w:sz w:val="24"/>
          <w:szCs w:val="24"/>
        </w:rPr>
        <w:t>installation and purchase of furniture, fittings and equipment.</w:t>
      </w:r>
    </w:p>
    <w:p w14:paraId="0CAC8DDF"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During the design of the building, the provider asks their architect and construction team to add an additional room, for use as a General Practitioner/Nurse Practitioner/allied health professional consultation room for residents. Since the primary purpose of the building is for the provision of residential aged care, the provider may use refundable deposits or bonds to pay for the capital works associated with the General Practitioner/Nurse Practitioner/allied health professional consultation room.</w:t>
      </w:r>
    </w:p>
    <w:p w14:paraId="52CB5191" w14:textId="77777777" w:rsidR="0005562C" w:rsidRPr="00B85324" w:rsidRDefault="0005562C" w:rsidP="00B85324">
      <w:pPr>
        <w:pStyle w:val="NormalWeb"/>
        <w:spacing w:after="120" w:line="240" w:lineRule="auto"/>
        <w:rPr>
          <w:rFonts w:asciiTheme="minorHAnsi" w:hAnsiTheme="minorHAnsi"/>
          <w:iCs/>
        </w:rPr>
      </w:pPr>
      <w:r w:rsidRPr="00B85324">
        <w:rPr>
          <w:rFonts w:asciiTheme="minorHAnsi" w:hAnsiTheme="minorHAnsi"/>
          <w:b/>
          <w:iCs/>
        </w:rPr>
        <w:t>Example:</w:t>
      </w:r>
      <w:r w:rsidRPr="00B85324">
        <w:rPr>
          <w:rFonts w:asciiTheme="minorHAnsi" w:hAnsiTheme="minorHAnsi"/>
          <w:iCs/>
        </w:rPr>
        <w:t xml:space="preserve"> A provider would like to significantly refurbish its service. The provider has arranged for all residents to move temporarily to other services during the refurbishment. A supermarket and restaurant have approached the provider and offered to rent the ground floor space, which would also be refurbished. The provider is permitted to use refundable deposits or bonds to pay for the significant refurbishment of premises used to provide residential aged care. However, it would not be permitted to use refundable deposits or bonds to pay for the refurbishment of the space used by the supermarket and restaurant.</w:t>
      </w:r>
    </w:p>
    <w:p w14:paraId="5D05124C" w14:textId="77777777" w:rsidR="0005562C" w:rsidRPr="001C19A5" w:rsidRDefault="0005562C" w:rsidP="0005562C">
      <w:pPr>
        <w:pStyle w:val="NormalWeb"/>
        <w:spacing w:after="12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A provider enters into a lease arrangement for an old building where the provider plans to operate a residential aged care service. The provider has approval to significantly alter the premises by adding a new wing to the service as well as refurbishing the entire building. These would all be permitted uses of refundable deposits or bonds.</w:t>
      </w:r>
    </w:p>
    <w:p w14:paraId="269BD9A8" w14:textId="6DC51078" w:rsidR="0005562C" w:rsidRPr="001C19A5" w:rsidRDefault="0005562C" w:rsidP="0005562C">
      <w:pPr>
        <w:pStyle w:val="NormalWeb"/>
        <w:spacing w:after="120" w:line="240" w:lineRule="auto"/>
        <w:rPr>
          <w:rFonts w:asciiTheme="minorHAnsi" w:hAnsiTheme="minorHAnsi"/>
          <w:sz w:val="18"/>
          <w:szCs w:val="18"/>
          <w:u w:val="single"/>
          <w:lang w:val="en"/>
        </w:rPr>
      </w:pPr>
      <w:r w:rsidRPr="001C19A5">
        <w:rPr>
          <w:rFonts w:asciiTheme="minorHAnsi" w:hAnsiTheme="minorHAnsi"/>
          <w:b/>
          <w:bCs/>
        </w:rPr>
        <w:t>Example:</w:t>
      </w:r>
      <w:r w:rsidRPr="001C19A5">
        <w:rPr>
          <w:rFonts w:asciiTheme="minorHAnsi" w:hAnsiTheme="minorHAnsi"/>
          <w:iCs/>
        </w:rPr>
        <w:t xml:space="preserve"> A provider wants to use refundable deposits or bonds to purchase the land and buildings of an existing aged care service from another provider. This would be a permitted use of </w:t>
      </w:r>
      <w:r w:rsidRPr="001C19A5">
        <w:rPr>
          <w:rFonts w:asciiTheme="minorHAnsi" w:hAnsiTheme="minorHAnsi"/>
          <w:iCs/>
        </w:rPr>
        <w:lastRenderedPageBreak/>
        <w:t>refundable deposits or bonds.</w:t>
      </w:r>
      <w:r w:rsidRPr="001C19A5">
        <w:rPr>
          <w:rFonts w:asciiTheme="minorHAnsi" w:hAnsiTheme="minorHAnsi"/>
          <w:i/>
          <w:iCs/>
        </w:rPr>
        <w:br/>
      </w:r>
      <w:r w:rsidR="00F6228E" w:rsidRPr="001C19A5">
        <w:rPr>
          <w:rStyle w:val="Strong"/>
          <w:rFonts w:asciiTheme="minorHAnsi" w:hAnsiTheme="minorHAnsi"/>
          <w:sz w:val="18"/>
          <w:szCs w:val="18"/>
          <w:lang w:val="en"/>
        </w:rPr>
        <w:t>R</w:t>
      </w:r>
      <w:r w:rsidRPr="001C19A5">
        <w:rPr>
          <w:rStyle w:val="Strong"/>
          <w:rFonts w:asciiTheme="minorHAnsi" w:hAnsiTheme="minorHAnsi"/>
          <w:sz w:val="18"/>
          <w:szCs w:val="18"/>
          <w:lang w:val="en"/>
        </w:rPr>
        <w:t>eference:</w:t>
      </w:r>
      <w:r w:rsidRPr="001C19A5">
        <w:rPr>
          <w:rFonts w:asciiTheme="minorHAnsi" w:hAnsiTheme="minorHAnsi"/>
          <w:sz w:val="18"/>
          <w:szCs w:val="18"/>
          <w:lang w:val="en"/>
        </w:rPr>
        <w:t xml:space="preserve"> </w:t>
      </w:r>
      <w:r w:rsidR="00F3639B">
        <w:rPr>
          <w:rFonts w:asciiTheme="minorHAnsi" w:hAnsiTheme="minorHAnsi"/>
          <w:sz w:val="18"/>
          <w:szCs w:val="18"/>
          <w:lang w:val="en"/>
        </w:rPr>
        <w:t xml:space="preserve">The </w:t>
      </w:r>
      <w:r w:rsidRPr="001C19A5">
        <w:rPr>
          <w:rFonts w:asciiTheme="minorHAnsi" w:hAnsiTheme="minorHAnsi"/>
          <w:sz w:val="18"/>
          <w:szCs w:val="18"/>
          <w:lang w:val="en"/>
        </w:rPr>
        <w:t xml:space="preserve">Act 1997 </w:t>
      </w:r>
      <w:hyperlink r:id="rId44" w:anchor="_Toc406164877" w:history="1">
        <w:r w:rsidRPr="001C19A5">
          <w:rPr>
            <w:rStyle w:val="Hyperlink"/>
            <w:rFonts w:asciiTheme="minorHAnsi" w:hAnsiTheme="minorHAnsi"/>
            <w:color w:val="auto"/>
            <w:sz w:val="18"/>
            <w:szCs w:val="18"/>
            <w:u w:val="none"/>
            <w:lang w:val="en"/>
          </w:rPr>
          <w:t>section 52N-1</w:t>
        </w:r>
      </w:hyperlink>
      <w:r w:rsidRPr="001C19A5">
        <w:rPr>
          <w:rFonts w:asciiTheme="minorHAnsi" w:hAnsiTheme="minorHAnsi"/>
          <w:sz w:val="18"/>
          <w:szCs w:val="18"/>
          <w:lang w:val="en"/>
        </w:rPr>
        <w:t>, Fees and Payments Principles Part 6</w:t>
      </w:r>
    </w:p>
    <w:p w14:paraId="43F9D906" w14:textId="77777777" w:rsidR="0005562C" w:rsidRPr="002B7CED" w:rsidRDefault="0005562C" w:rsidP="002B7CED">
      <w:pPr>
        <w:spacing w:before="200" w:after="0"/>
        <w:rPr>
          <w:b/>
          <w:bCs/>
          <w:color w:val="0070C0"/>
          <w:sz w:val="26"/>
          <w:szCs w:val="26"/>
        </w:rPr>
      </w:pPr>
      <w:r w:rsidRPr="002B7CED">
        <w:rPr>
          <w:b/>
          <w:bCs/>
          <w:color w:val="0070C0"/>
          <w:sz w:val="26"/>
          <w:szCs w:val="26"/>
        </w:rPr>
        <w:t>What is not capital expenditure?</w:t>
      </w:r>
    </w:p>
    <w:p w14:paraId="63079099" w14:textId="6E185D04"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Except for reasonable business losses in the first 12 months of operating a service (see section 61, Fees and Payments Principles), refundable deposits or bonds must not be used for routine repairs or maintenance such as painting, plumbing, electrical work, gardening or vehicle leasing. </w:t>
      </w:r>
      <w:r w:rsidR="00B85324">
        <w:rPr>
          <w:rFonts w:asciiTheme="minorHAnsi" w:hAnsiTheme="minorHAnsi"/>
          <w:iCs/>
        </w:rPr>
        <w:t>R</w:t>
      </w:r>
      <w:r w:rsidRPr="001C19A5">
        <w:rPr>
          <w:rFonts w:asciiTheme="minorHAnsi" w:hAnsiTheme="minorHAnsi"/>
          <w:iCs/>
        </w:rPr>
        <w:t>efundable deposits or bonds must not be used to cover the normal day to day costs of operating a service such as staff wages or the purchase of consumables.</w:t>
      </w:r>
    </w:p>
    <w:p w14:paraId="34431A1F"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Refundable deposits or bonds must not be used for routine replacement of furniture items such as wardrobes or lounges. It is expected that providers would use operational budgets to replace worn furniture. By contrast, if a significant refurbishment is planned whereby, for example, all furniture is removed and replaced, this would constitute a significant refurbishment and refundable deposits or bonds could be used for this purpose (as it is improving the capital value of the service). Similarly, if a provider were to repair an existing call bell system this would not be capital expenditure for which refundable deposits or bonds can be used. However, if the provider were to replace the call bell system with an entirely new and improved system and this represented a significant capital outlay then refundable deposits or bonds could be used for this purpose.</w:t>
      </w:r>
    </w:p>
    <w:p w14:paraId="0D4DD741" w14:textId="33C14948"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In determining whether or not expenditure is significant, the </w:t>
      </w:r>
      <w:r w:rsidR="00B85324">
        <w:rPr>
          <w:rFonts w:asciiTheme="minorHAnsi" w:hAnsiTheme="minorHAnsi"/>
          <w:iCs/>
        </w:rPr>
        <w:t>Commission</w:t>
      </w:r>
      <w:r w:rsidRPr="001C19A5">
        <w:rPr>
          <w:rFonts w:asciiTheme="minorHAnsi" w:hAnsiTheme="minorHAnsi"/>
          <w:iCs/>
        </w:rPr>
        <w:t xml:space="preserve"> will take into account the circumstances of the investment and whether or not the expenditure was reasonable in the circumstances.</w:t>
      </w:r>
    </w:p>
    <w:p w14:paraId="7E4790BB" w14:textId="389B089C"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A provider wants to replace one lifting device in one of its residential aged care services. It would be expected that the provider would use its operational budget to replace this piece of equipment. By contrast, if the provider replace</w:t>
      </w:r>
      <w:r w:rsidR="00814109">
        <w:rPr>
          <w:rFonts w:asciiTheme="minorHAnsi" w:hAnsiTheme="minorHAnsi"/>
          <w:iCs/>
        </w:rPr>
        <w:t>s</w:t>
      </w:r>
      <w:r w:rsidRPr="001C19A5">
        <w:rPr>
          <w:rFonts w:asciiTheme="minorHAnsi" w:hAnsiTheme="minorHAnsi"/>
          <w:iCs/>
        </w:rPr>
        <w:t xml:space="preserve"> all lifting devices as part of a significant refurbishment or alteration, refundable deposits or bonds could be used for this purpose.</w:t>
      </w:r>
    </w:p>
    <w:p w14:paraId="1A885803" w14:textId="62CB9CBC"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A provider wishes to replace the bus used for the transport of residents to social events and appointments. As this bus is not furniture, fittings or equipment for premises used or proposed to be used for providing residential care or flexible </w:t>
      </w:r>
      <w:r w:rsidR="009207B2" w:rsidRPr="001C19A5">
        <w:rPr>
          <w:rFonts w:asciiTheme="minorHAnsi" w:hAnsiTheme="minorHAnsi"/>
          <w:iCs/>
        </w:rPr>
        <w:t>care and</w:t>
      </w:r>
      <w:r w:rsidRPr="001C19A5">
        <w:rPr>
          <w:rFonts w:asciiTheme="minorHAnsi" w:hAnsiTheme="minorHAnsi"/>
          <w:iCs/>
        </w:rPr>
        <w:t xml:space="preserve"> could not be considered to be purchased following a significant alteration or a significant refurbishment of a premises used for providing care, its purchase or leasing is not a permitted use. Sources of funding other than </w:t>
      </w:r>
      <w:r w:rsidR="00BB155A">
        <w:rPr>
          <w:rFonts w:asciiTheme="minorHAnsi" w:hAnsiTheme="minorHAnsi"/>
          <w:iCs/>
        </w:rPr>
        <w:t>refundable accommodation payment</w:t>
      </w:r>
      <w:r w:rsidRPr="001C19A5">
        <w:rPr>
          <w:rFonts w:asciiTheme="minorHAnsi" w:hAnsiTheme="minorHAnsi"/>
          <w:iCs/>
        </w:rPr>
        <w:t xml:space="preserve"> bonds are available for the purchase or leasing of a facility bus. Such funding includes accommodation charges, retention amounts and interest earned on the investment of refundable deposits or bonds.</w:t>
      </w:r>
    </w:p>
    <w:p w14:paraId="7BA52B26" w14:textId="77777777" w:rsidR="0005562C" w:rsidRPr="001C19A5" w:rsidRDefault="0005562C" w:rsidP="00176637">
      <w:pPr>
        <w:pStyle w:val="NormalWeb"/>
        <w:spacing w:after="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A provider wishes to construct independent living units adjacent to one of its residential aged care services. As independent living units are not used in providing residential or flexible care, using refundable deposits or bonds for this purpose is not permitted. Independent living units do not fall within the definition of capital expenditure at section 52N-1(2) of the Act as they are not premises for providing residential care or flexible care.</w:t>
      </w:r>
    </w:p>
    <w:p w14:paraId="0A755CA0" w14:textId="77777777" w:rsidR="0005562C" w:rsidRPr="001C19A5" w:rsidRDefault="00F6228E" w:rsidP="17F94A6F">
      <w:pPr>
        <w:spacing w:after="0"/>
        <w:rPr>
          <w:rStyle w:val="Strong"/>
          <w:color w:val="111111"/>
          <w:sz w:val="18"/>
          <w:szCs w:val="18"/>
          <w:lang w:val="en-US"/>
        </w:rPr>
      </w:pPr>
      <w:r w:rsidRPr="17F94A6F">
        <w:rPr>
          <w:rStyle w:val="Strong"/>
          <w:color w:val="111111"/>
          <w:sz w:val="18"/>
          <w:szCs w:val="18"/>
          <w:lang w:val="en-US"/>
        </w:rPr>
        <w:t>R</w:t>
      </w:r>
      <w:r w:rsidR="0005562C" w:rsidRPr="17F94A6F">
        <w:rPr>
          <w:rStyle w:val="Strong"/>
          <w:color w:val="111111"/>
          <w:sz w:val="18"/>
          <w:szCs w:val="18"/>
          <w:lang w:val="en-US"/>
        </w:rPr>
        <w:t xml:space="preserve">eference: </w:t>
      </w:r>
      <w:r w:rsidR="0005562C" w:rsidRPr="17F94A6F">
        <w:rPr>
          <w:rStyle w:val="Strong"/>
          <w:b w:val="0"/>
          <w:bCs w:val="0"/>
          <w:color w:val="111111"/>
          <w:sz w:val="18"/>
          <w:szCs w:val="18"/>
          <w:lang w:val="en-US"/>
        </w:rPr>
        <w:t xml:space="preserve">Aged Care Act 1997 </w:t>
      </w:r>
      <w:hyperlink r:id="rId45" w:anchor="_Toc406164877">
        <w:r w:rsidR="0005562C" w:rsidRPr="17F94A6F">
          <w:rPr>
            <w:rStyle w:val="Strong"/>
            <w:b w:val="0"/>
            <w:bCs w:val="0"/>
            <w:color w:val="111111"/>
            <w:sz w:val="18"/>
            <w:szCs w:val="18"/>
            <w:lang w:val="en-US"/>
          </w:rPr>
          <w:t>section 52N-1</w:t>
        </w:r>
      </w:hyperlink>
      <w:r w:rsidR="0005562C" w:rsidRPr="17F94A6F">
        <w:rPr>
          <w:rStyle w:val="Strong"/>
          <w:b w:val="0"/>
          <w:bCs w:val="0"/>
          <w:color w:val="111111"/>
          <w:sz w:val="18"/>
          <w:szCs w:val="18"/>
          <w:lang w:val="en-US"/>
        </w:rPr>
        <w:t>, Fees and Payments Principles section 61</w:t>
      </w:r>
    </w:p>
    <w:p w14:paraId="536F1780" w14:textId="217ABDFE" w:rsidR="0005562C" w:rsidRPr="002B7CED" w:rsidRDefault="0005562C" w:rsidP="002B7CED">
      <w:pPr>
        <w:spacing w:before="200" w:after="0"/>
        <w:rPr>
          <w:b/>
          <w:bCs/>
          <w:color w:val="0070C0"/>
          <w:sz w:val="26"/>
          <w:szCs w:val="26"/>
        </w:rPr>
      </w:pPr>
      <w:r w:rsidRPr="002B7CED">
        <w:rPr>
          <w:b/>
          <w:bCs/>
          <w:color w:val="0070C0"/>
          <w:sz w:val="26"/>
          <w:szCs w:val="26"/>
        </w:rPr>
        <w:t xml:space="preserve">Investment in </w:t>
      </w:r>
      <w:r w:rsidR="008222AD" w:rsidRPr="002B7CED">
        <w:rPr>
          <w:b/>
          <w:bCs/>
          <w:color w:val="0070C0"/>
          <w:sz w:val="26"/>
          <w:szCs w:val="26"/>
        </w:rPr>
        <w:t>f</w:t>
      </w:r>
      <w:r w:rsidRPr="002B7CED">
        <w:rPr>
          <w:b/>
          <w:bCs/>
          <w:color w:val="0070C0"/>
          <w:sz w:val="26"/>
          <w:szCs w:val="26"/>
        </w:rPr>
        <w:t xml:space="preserve">inancial </w:t>
      </w:r>
      <w:r w:rsidR="008222AD" w:rsidRPr="002B7CED">
        <w:rPr>
          <w:b/>
          <w:bCs/>
          <w:color w:val="0070C0"/>
          <w:sz w:val="26"/>
          <w:szCs w:val="26"/>
        </w:rPr>
        <w:t>p</w:t>
      </w:r>
      <w:r w:rsidRPr="002B7CED">
        <w:rPr>
          <w:b/>
          <w:bCs/>
          <w:color w:val="0070C0"/>
          <w:sz w:val="26"/>
          <w:szCs w:val="26"/>
        </w:rPr>
        <w:t>roducts</w:t>
      </w:r>
    </w:p>
    <w:p w14:paraId="67E57E3C" w14:textId="77777777" w:rsidR="002134CE" w:rsidRPr="001C19A5" w:rsidRDefault="0005562C" w:rsidP="0005562C">
      <w:pPr>
        <w:pStyle w:val="NormalWeb"/>
        <w:spacing w:after="120" w:line="240" w:lineRule="auto"/>
        <w:rPr>
          <w:rStyle w:val="Strong"/>
          <w:rFonts w:asciiTheme="minorHAnsi" w:hAnsiTheme="minorHAnsi"/>
          <w:b w:val="0"/>
          <w:bCs w:val="0"/>
          <w:iCs/>
        </w:rPr>
      </w:pPr>
      <w:r w:rsidRPr="001C19A5">
        <w:rPr>
          <w:rFonts w:asciiTheme="minorHAnsi" w:hAnsiTheme="minorHAnsi"/>
          <w:iCs/>
        </w:rPr>
        <w:t>Where refundable deposits or bonds are not immediately required for other permitted uses, providers may choose to invest them in order to generate additional income. Providers are able to invest refundable deposits or bonds in a broad range of permitted financial products.</w:t>
      </w:r>
    </w:p>
    <w:p w14:paraId="6A28C3D9" w14:textId="77777777" w:rsidR="0005562C" w:rsidRPr="002B7CED" w:rsidRDefault="0005562C" w:rsidP="002B7CED">
      <w:pPr>
        <w:spacing w:before="200" w:after="0"/>
        <w:rPr>
          <w:b/>
          <w:bCs/>
          <w:color w:val="0070C0"/>
          <w:sz w:val="26"/>
          <w:szCs w:val="26"/>
        </w:rPr>
      </w:pPr>
      <w:r w:rsidRPr="002B7CED">
        <w:rPr>
          <w:b/>
          <w:bCs/>
          <w:color w:val="0070C0"/>
          <w:sz w:val="26"/>
          <w:szCs w:val="26"/>
        </w:rPr>
        <w:t>What financial products can providers invest in?</w:t>
      </w:r>
    </w:p>
    <w:p w14:paraId="38EE45EE"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Where refundable deposits or bonds are not immediately required for other permitted uses, investing the refundable deposits or bonds to generate additional income is a legitimate use. </w:t>
      </w:r>
      <w:r w:rsidRPr="001C19A5">
        <w:rPr>
          <w:rFonts w:asciiTheme="minorHAnsi" w:hAnsiTheme="minorHAnsi"/>
          <w:iCs/>
        </w:rPr>
        <w:lastRenderedPageBreak/>
        <w:t>Refundable deposits or bonds may be invested in a broad range of financial products, subject to the provider being able to demonstrate it has an appropriate level of risk management in place. The use of the profit from these investments is not regulated by the Act.</w:t>
      </w:r>
    </w:p>
    <w:p w14:paraId="27FD9D18" w14:textId="6EF49D45"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Given that refundable deposit</w:t>
      </w:r>
      <w:r w:rsidR="00823340">
        <w:rPr>
          <w:rFonts w:asciiTheme="minorHAnsi" w:hAnsiTheme="minorHAnsi"/>
          <w:iCs/>
        </w:rPr>
        <w:t>s</w:t>
      </w:r>
      <w:r w:rsidRPr="001C19A5">
        <w:rPr>
          <w:rFonts w:asciiTheme="minorHAnsi" w:hAnsiTheme="minorHAnsi"/>
          <w:iCs/>
        </w:rPr>
        <w:t xml:space="preserve"> and balances must be refunded within statutory timeframes, a provider must consider the impact of investment risks on its ability to refund refundable deposits or bond balances as they become due.</w:t>
      </w:r>
    </w:p>
    <w:p w14:paraId="47806F32" w14:textId="6D876F65"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When deciding whether or not to invest in financial products, and the classes of financial products to invest in, providers should consider their business model, liquidity needs, and the risks of such investments to their liquidity and capacity to meet refundable deposit or bond balance refunds as, and when, they become due.</w:t>
      </w:r>
    </w:p>
    <w:p w14:paraId="2536A3F6" w14:textId="7FC96269" w:rsidR="0005562C" w:rsidRPr="001C19A5" w:rsidRDefault="0005562C" w:rsidP="0005562C">
      <w:pPr>
        <w:pStyle w:val="NormalWeb"/>
        <w:spacing w:after="0" w:line="240" w:lineRule="auto"/>
        <w:rPr>
          <w:rFonts w:asciiTheme="minorHAnsi" w:hAnsiTheme="minorHAnsi"/>
          <w:iCs/>
        </w:rPr>
      </w:pPr>
      <w:r w:rsidRPr="001C19A5">
        <w:rPr>
          <w:rFonts w:asciiTheme="minorHAnsi" w:hAnsiTheme="minorHAnsi"/>
          <w:iCs/>
        </w:rPr>
        <w:t xml:space="preserve">Permitted financial products are (within the meaning of section 764A, </w:t>
      </w:r>
      <w:r w:rsidRPr="001C19A5">
        <w:rPr>
          <w:rFonts w:asciiTheme="minorHAnsi" w:hAnsiTheme="minorHAnsi"/>
          <w:i/>
        </w:rPr>
        <w:t>Corporations Act 2001</w:t>
      </w:r>
      <w:r w:rsidR="003D19D2">
        <w:rPr>
          <w:rFonts w:asciiTheme="minorHAnsi" w:hAnsiTheme="minorHAnsi"/>
          <w:i/>
        </w:rPr>
        <w:t xml:space="preserve"> </w:t>
      </w:r>
      <w:r w:rsidR="003D19D2">
        <w:rPr>
          <w:rFonts w:asciiTheme="minorHAnsi" w:hAnsiTheme="minorHAnsi"/>
        </w:rPr>
        <w:t>(Corporations Act))</w:t>
      </w:r>
      <w:r w:rsidRPr="00612E8F">
        <w:rPr>
          <w:rFonts w:asciiTheme="minorHAnsi" w:hAnsiTheme="minorHAnsi"/>
        </w:rPr>
        <w:t>:</w:t>
      </w:r>
    </w:p>
    <w:p w14:paraId="3C3CE331" w14:textId="59322B37" w:rsidR="0005562C" w:rsidRPr="001C19A5" w:rsidRDefault="0005562C" w:rsidP="001A3223">
      <w:pPr>
        <w:pStyle w:val="ListParagraph"/>
        <w:numPr>
          <w:ilvl w:val="0"/>
          <w:numId w:val="18"/>
        </w:numPr>
        <w:spacing w:after="0" w:line="0" w:lineRule="atLeast"/>
        <w:ind w:left="851" w:hanging="425"/>
        <w:rPr>
          <w:rFonts w:asciiTheme="minorHAnsi" w:eastAsia="Times New Roman" w:hAnsiTheme="minorHAnsi"/>
          <w:iCs/>
          <w:sz w:val="24"/>
          <w:szCs w:val="24"/>
          <w:lang w:eastAsia="en-AU"/>
        </w:rPr>
      </w:pPr>
      <w:r w:rsidRPr="4E34EEE7">
        <w:rPr>
          <w:rFonts w:asciiTheme="minorHAnsi" w:eastAsia="Times New Roman" w:hAnsiTheme="minorHAnsi"/>
          <w:sz w:val="24"/>
          <w:szCs w:val="24"/>
          <w:lang w:eastAsia="en-AU"/>
        </w:rPr>
        <w:t>deposits with an ADI made available in the course of its banking business (</w:t>
      </w:r>
      <w:r w:rsidR="009207B2" w:rsidRPr="4E34EEE7">
        <w:rPr>
          <w:rFonts w:asciiTheme="minorHAnsi" w:eastAsia="Times New Roman" w:hAnsiTheme="minorHAnsi"/>
          <w:sz w:val="24"/>
          <w:szCs w:val="24"/>
          <w:lang w:eastAsia="en-AU"/>
        </w:rPr>
        <w:t>e.g.,</w:t>
      </w:r>
      <w:r w:rsidRPr="4E34EEE7">
        <w:rPr>
          <w:rFonts w:asciiTheme="minorHAnsi" w:eastAsia="Times New Roman" w:hAnsiTheme="minorHAnsi"/>
          <w:sz w:val="24"/>
          <w:szCs w:val="24"/>
          <w:lang w:eastAsia="en-AU"/>
        </w:rPr>
        <w:t xml:space="preserve"> </w:t>
      </w:r>
      <w:r w:rsidRPr="4E34EEE7">
        <w:rPr>
          <w:rFonts w:asciiTheme="minorHAnsi" w:eastAsia="Times New Roman" w:hAnsiTheme="minorHAnsi"/>
          <w:b/>
          <w:bCs/>
          <w:sz w:val="24"/>
          <w:szCs w:val="24"/>
          <w:lang w:eastAsia="en-AU"/>
        </w:rPr>
        <w:t>deposits in bank accounts and term deposits</w:t>
      </w:r>
      <w:r w:rsidRPr="4E34EEE7">
        <w:rPr>
          <w:rFonts w:asciiTheme="minorHAnsi" w:eastAsia="Times New Roman" w:hAnsiTheme="minorHAnsi"/>
          <w:sz w:val="24"/>
          <w:szCs w:val="24"/>
          <w:lang w:eastAsia="en-AU"/>
        </w:rPr>
        <w:t>)</w:t>
      </w:r>
    </w:p>
    <w:p w14:paraId="6C5BA498" w14:textId="77777777" w:rsidR="0089381E" w:rsidRPr="0089381E" w:rsidRDefault="00E65050" w:rsidP="001A3223">
      <w:pPr>
        <w:pStyle w:val="ListParagraph"/>
        <w:numPr>
          <w:ilvl w:val="0"/>
          <w:numId w:val="18"/>
        </w:numPr>
        <w:spacing w:before="0" w:after="0" w:line="0" w:lineRule="atLeast"/>
        <w:ind w:left="851" w:hanging="425"/>
        <w:rPr>
          <w:rFonts w:asciiTheme="minorHAnsi" w:eastAsia="Times New Roman" w:hAnsiTheme="minorHAnsi"/>
          <w:iCs/>
          <w:sz w:val="24"/>
          <w:szCs w:val="24"/>
          <w:lang w:eastAsia="en-AU"/>
        </w:rPr>
      </w:pPr>
      <w:r w:rsidRPr="00E65050">
        <w:rPr>
          <w:rFonts w:asciiTheme="minorHAnsi" w:eastAsia="Times New Roman" w:hAnsiTheme="minorHAnsi"/>
          <w:sz w:val="24"/>
          <w:szCs w:val="24"/>
          <w:lang w:eastAsia="en-AU"/>
        </w:rPr>
        <w:t>a debenture, stock or bond issued or proposed to be issued by the Commonwealth, a State or a Territory</w:t>
      </w:r>
    </w:p>
    <w:p w14:paraId="5C190CF9" w14:textId="7CCF3480" w:rsidR="006C00B1" w:rsidRPr="00F73356" w:rsidRDefault="009747BF" w:rsidP="001A3223">
      <w:pPr>
        <w:pStyle w:val="ListParagraph"/>
        <w:numPr>
          <w:ilvl w:val="0"/>
          <w:numId w:val="18"/>
        </w:numPr>
        <w:spacing w:before="0" w:after="0" w:line="0" w:lineRule="atLeast"/>
        <w:ind w:left="851" w:hanging="425"/>
        <w:rPr>
          <w:rFonts w:asciiTheme="minorHAnsi" w:eastAsia="Times New Roman" w:hAnsiTheme="minorHAnsi"/>
          <w:iCs/>
          <w:sz w:val="24"/>
          <w:szCs w:val="24"/>
          <w:lang w:eastAsia="en-AU"/>
        </w:rPr>
      </w:pPr>
      <w:r w:rsidRPr="009747BF">
        <w:rPr>
          <w:rFonts w:asciiTheme="minorHAnsi" w:eastAsia="Times New Roman" w:hAnsiTheme="minorHAnsi"/>
          <w:sz w:val="24"/>
          <w:szCs w:val="24"/>
          <w:lang w:eastAsia="en-AU"/>
        </w:rPr>
        <w:t xml:space="preserve">a security, other than a security of a kind specified in the Fees and Payments </w:t>
      </w:r>
      <w:r w:rsidR="00F73356">
        <w:rPr>
          <w:rFonts w:asciiTheme="minorHAnsi" w:eastAsia="Times New Roman" w:hAnsiTheme="minorHAnsi"/>
          <w:sz w:val="24"/>
          <w:szCs w:val="24"/>
          <w:lang w:eastAsia="en-AU"/>
        </w:rPr>
        <w:t>P</w:t>
      </w:r>
      <w:r w:rsidRPr="009747BF">
        <w:rPr>
          <w:rFonts w:asciiTheme="minorHAnsi" w:eastAsia="Times New Roman" w:hAnsiTheme="minorHAnsi"/>
          <w:sz w:val="24"/>
          <w:szCs w:val="24"/>
          <w:lang w:eastAsia="en-AU"/>
        </w:rPr>
        <w:t>rinciples</w:t>
      </w:r>
    </w:p>
    <w:p w14:paraId="2686CE3B" w14:textId="2F90EE43" w:rsidR="00F73356" w:rsidRPr="006C00B1" w:rsidRDefault="00F73356" w:rsidP="001A3223">
      <w:pPr>
        <w:pStyle w:val="ListParagraph"/>
        <w:numPr>
          <w:ilvl w:val="0"/>
          <w:numId w:val="18"/>
        </w:numPr>
        <w:spacing w:before="0" w:after="0" w:line="0" w:lineRule="atLeast"/>
        <w:ind w:left="851" w:hanging="425"/>
        <w:rPr>
          <w:rFonts w:asciiTheme="minorHAnsi" w:eastAsia="Times New Roman" w:hAnsiTheme="minorHAnsi"/>
          <w:iCs/>
          <w:sz w:val="24"/>
          <w:szCs w:val="24"/>
          <w:lang w:eastAsia="en-AU"/>
        </w:rPr>
      </w:pPr>
      <w:r w:rsidRPr="00F73356">
        <w:rPr>
          <w:rFonts w:asciiTheme="minorHAnsi" w:eastAsia="Times New Roman" w:hAnsiTheme="minorHAnsi"/>
          <w:iCs/>
          <w:sz w:val="24"/>
          <w:szCs w:val="24"/>
          <w:lang w:eastAsia="en-AU"/>
        </w:rPr>
        <w:t>any of the following in relation to a registered scheme:</w:t>
      </w:r>
    </w:p>
    <w:p w14:paraId="30F2B096" w14:textId="74B0CC05" w:rsidR="00C526BD" w:rsidRPr="00C526BD" w:rsidRDefault="00C526BD" w:rsidP="00F73356">
      <w:pPr>
        <w:pStyle w:val="ListParagraph"/>
        <w:spacing w:after="0" w:line="0" w:lineRule="atLeast"/>
        <w:ind w:left="927"/>
        <w:rPr>
          <w:rFonts w:asciiTheme="minorHAnsi" w:eastAsia="Times New Roman" w:hAnsiTheme="minorHAnsi"/>
          <w:sz w:val="24"/>
          <w:szCs w:val="24"/>
          <w:lang w:eastAsia="en-AU"/>
        </w:rPr>
      </w:pPr>
      <w:r w:rsidRPr="00C526BD">
        <w:rPr>
          <w:rFonts w:asciiTheme="minorHAnsi" w:eastAsia="Times New Roman" w:hAnsiTheme="minorHAnsi"/>
          <w:sz w:val="24"/>
          <w:szCs w:val="24"/>
          <w:lang w:eastAsia="en-AU"/>
        </w:rPr>
        <w:t xml:space="preserve"> (i) an interest in the scheme</w:t>
      </w:r>
    </w:p>
    <w:p w14:paraId="1F1FCB59" w14:textId="1A5F627D" w:rsidR="00C526BD" w:rsidRPr="00F73356" w:rsidRDefault="00C526BD" w:rsidP="00F73356">
      <w:pPr>
        <w:pStyle w:val="ListParagraph"/>
        <w:spacing w:after="0" w:line="0" w:lineRule="atLeast"/>
        <w:ind w:left="927"/>
        <w:rPr>
          <w:rFonts w:asciiTheme="minorHAnsi" w:eastAsia="Times New Roman" w:hAnsiTheme="minorHAnsi"/>
          <w:sz w:val="24"/>
          <w:szCs w:val="24"/>
          <w:lang w:eastAsia="en-AU"/>
        </w:rPr>
      </w:pPr>
      <w:r w:rsidRPr="00F73356">
        <w:rPr>
          <w:rFonts w:eastAsia="Times New Roman"/>
          <w:sz w:val="24"/>
          <w:szCs w:val="24"/>
          <w:lang w:eastAsia="en-AU"/>
        </w:rPr>
        <w:t xml:space="preserve"> (ii) a legal or equitable right or interest in an interest covered by subparagraph (i)</w:t>
      </w:r>
    </w:p>
    <w:p w14:paraId="5D90F8CC" w14:textId="2D89CBE2" w:rsidR="00F73356" w:rsidRDefault="00C526BD" w:rsidP="00F73356">
      <w:pPr>
        <w:pStyle w:val="ListParagraph"/>
        <w:spacing w:after="0" w:line="0" w:lineRule="atLeast"/>
        <w:ind w:left="927"/>
        <w:rPr>
          <w:rFonts w:eastAsia="Times New Roman"/>
          <w:sz w:val="24"/>
          <w:szCs w:val="24"/>
          <w:lang w:eastAsia="en-AU"/>
        </w:rPr>
      </w:pPr>
      <w:r w:rsidRPr="00F73356">
        <w:rPr>
          <w:rFonts w:eastAsia="Times New Roman"/>
          <w:sz w:val="24"/>
          <w:szCs w:val="24"/>
          <w:lang w:eastAsia="en-AU"/>
        </w:rPr>
        <w:t>(iii) an option to acquire, by way of issue, an interest or right covered by subparagraph (i) or (ii)</w:t>
      </w:r>
    </w:p>
    <w:p w14:paraId="08A20124" w14:textId="58521087" w:rsidR="001732CF" w:rsidRDefault="001732CF" w:rsidP="001A3223">
      <w:pPr>
        <w:pStyle w:val="ListParagraph"/>
        <w:numPr>
          <w:ilvl w:val="0"/>
          <w:numId w:val="18"/>
        </w:numPr>
        <w:spacing w:before="0" w:after="0" w:line="0" w:lineRule="atLeast"/>
        <w:ind w:left="851" w:hanging="425"/>
        <w:rPr>
          <w:rFonts w:asciiTheme="minorHAnsi" w:eastAsia="Times New Roman" w:hAnsiTheme="minorHAnsi"/>
          <w:sz w:val="24"/>
          <w:szCs w:val="24"/>
          <w:lang w:eastAsia="en-AU"/>
        </w:rPr>
      </w:pPr>
      <w:r w:rsidRPr="001732CF">
        <w:rPr>
          <w:rFonts w:asciiTheme="minorHAnsi" w:eastAsia="Times New Roman" w:hAnsiTheme="minorHAnsi"/>
          <w:sz w:val="24"/>
          <w:szCs w:val="24"/>
          <w:lang w:eastAsia="en-AU"/>
        </w:rPr>
        <w:t>a financial product specified in the Fees and Payments Principles</w:t>
      </w:r>
    </w:p>
    <w:p w14:paraId="675E45BD" w14:textId="5FF82459" w:rsidR="00EB48C2" w:rsidRPr="001732CF" w:rsidRDefault="00EB48C2" w:rsidP="00B35C39">
      <w:pPr>
        <w:pStyle w:val="ListParagraph"/>
        <w:numPr>
          <w:ilvl w:val="0"/>
          <w:numId w:val="18"/>
        </w:numPr>
        <w:spacing w:before="0" w:after="120" w:line="0" w:lineRule="atLeast"/>
        <w:ind w:left="851" w:hanging="425"/>
        <w:rPr>
          <w:rFonts w:asciiTheme="minorHAnsi" w:eastAsia="Times New Roman" w:hAnsiTheme="minorHAnsi"/>
          <w:sz w:val="24"/>
          <w:szCs w:val="24"/>
          <w:lang w:eastAsia="en-AU"/>
        </w:rPr>
      </w:pPr>
      <w:r w:rsidRPr="4E34EEE7">
        <w:rPr>
          <w:rFonts w:asciiTheme="minorHAnsi" w:eastAsia="Times New Roman" w:hAnsiTheme="minorHAnsi"/>
          <w:sz w:val="24"/>
          <w:szCs w:val="24"/>
          <w:lang w:eastAsia="en-AU"/>
        </w:rPr>
        <w:t>unregistered managed investment schemes established for the purpose of investment in residential or flexible aged care</w:t>
      </w:r>
      <w:r w:rsidR="00B01D2C">
        <w:rPr>
          <w:rFonts w:asciiTheme="minorHAnsi" w:eastAsia="Times New Roman" w:hAnsiTheme="minorHAnsi"/>
          <w:sz w:val="24"/>
          <w:szCs w:val="24"/>
          <w:lang w:eastAsia="en-AU"/>
        </w:rPr>
        <w:t>.</w:t>
      </w:r>
    </w:p>
    <w:p w14:paraId="2B00FCD3" w14:textId="6BD14590"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Where a provider invests refundable deposits or bonds in investments other than deposits with an</w:t>
      </w:r>
      <w:r w:rsidR="00F07C7B">
        <w:rPr>
          <w:rFonts w:asciiTheme="minorHAnsi" w:hAnsiTheme="minorHAnsi"/>
          <w:iCs/>
        </w:rPr>
        <w:t xml:space="preserve"> ADI </w:t>
      </w:r>
      <w:r w:rsidRPr="001C19A5">
        <w:rPr>
          <w:rFonts w:asciiTheme="minorHAnsi" w:hAnsiTheme="minorHAnsi"/>
          <w:iCs/>
        </w:rPr>
        <w:t xml:space="preserve">made available in the course of its banking business, the investment risk must be assessed and managed through the Governance Standard, including an IMS (see </w:t>
      </w:r>
      <w:r w:rsidR="00CC70D5" w:rsidRPr="001C19A5">
        <w:rPr>
          <w:rFonts w:asciiTheme="minorHAnsi" w:hAnsiTheme="minorHAnsi"/>
          <w:iCs/>
        </w:rPr>
        <w:t xml:space="preserve">section 52N1-2(b), and section </w:t>
      </w:r>
      <w:r w:rsidRPr="001C19A5">
        <w:rPr>
          <w:rFonts w:asciiTheme="minorHAnsi" w:hAnsiTheme="minorHAnsi"/>
          <w:iCs/>
        </w:rPr>
        <w:t xml:space="preserve">52N-1(3), </w:t>
      </w:r>
      <w:r w:rsidR="00E41FC0">
        <w:rPr>
          <w:rFonts w:asciiTheme="minorHAnsi" w:hAnsiTheme="minorHAnsi"/>
          <w:iCs/>
        </w:rPr>
        <w:t xml:space="preserve">of the </w:t>
      </w:r>
      <w:r w:rsidRPr="001C19A5">
        <w:rPr>
          <w:rFonts w:asciiTheme="minorHAnsi" w:hAnsiTheme="minorHAnsi"/>
          <w:iCs/>
        </w:rPr>
        <w:t>Act).</w:t>
      </w:r>
    </w:p>
    <w:p w14:paraId="5FF004B7" w14:textId="16A8C07C"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Financial products are listed in section 764A of the Corporations Act. Not all financial products listed in section 764A of the Corporations Act are permitted uses of refundable deposits or bonds. For example, investment in derivatives is not a permitted use of refundable deposits or bonds. Providers may wish to seek</w:t>
      </w:r>
      <w:r w:rsidR="0081233B">
        <w:rPr>
          <w:rFonts w:asciiTheme="minorHAnsi" w:hAnsiTheme="minorHAnsi"/>
          <w:iCs/>
        </w:rPr>
        <w:t xml:space="preserve"> their own</w:t>
      </w:r>
      <w:r w:rsidRPr="001C19A5">
        <w:rPr>
          <w:rFonts w:asciiTheme="minorHAnsi" w:hAnsiTheme="minorHAnsi"/>
          <w:iCs/>
        </w:rPr>
        <w:t xml:space="preserve"> professional advice if unsure whether a financial product is a permitted use for refundable deposits or bonds.</w:t>
      </w:r>
    </w:p>
    <w:p w14:paraId="15F1C70F" w14:textId="3651E46F"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 xml:space="preserve">Providers investing refundable deposits or bonds in financial products, other than a deposit with an ADI, are required to have in place an IMS prior to making such investments. An IMS is also required where a provider invests in </w:t>
      </w:r>
      <w:r w:rsidR="003245CE">
        <w:rPr>
          <w:rFonts w:asciiTheme="minorHAnsi" w:hAnsiTheme="minorHAnsi"/>
          <w:iCs/>
        </w:rPr>
        <w:t>RCDF</w:t>
      </w:r>
      <w:r w:rsidR="00206795">
        <w:rPr>
          <w:rFonts w:asciiTheme="minorHAnsi" w:hAnsiTheme="minorHAnsi"/>
          <w:iCs/>
        </w:rPr>
        <w:t xml:space="preserve"> (see section on </w:t>
      </w:r>
      <w:r w:rsidR="005C4B9F">
        <w:rPr>
          <w:rFonts w:asciiTheme="minorHAnsi" w:hAnsiTheme="minorHAnsi"/>
          <w:iCs/>
        </w:rPr>
        <w:t>i</w:t>
      </w:r>
      <w:r w:rsidRPr="001C19A5">
        <w:rPr>
          <w:rFonts w:asciiTheme="minorHAnsi" w:hAnsiTheme="minorHAnsi"/>
          <w:iCs/>
        </w:rPr>
        <w:t>nvestments of refundable deposits or bonds into RCDFs further in this chapter</w:t>
      </w:r>
      <w:r w:rsidR="00C2206A">
        <w:rPr>
          <w:rFonts w:asciiTheme="minorHAnsi" w:hAnsiTheme="minorHAnsi"/>
          <w:iCs/>
        </w:rPr>
        <w:t>)</w:t>
      </w:r>
      <w:r w:rsidRPr="001C19A5">
        <w:rPr>
          <w:rFonts w:asciiTheme="minorHAnsi" w:hAnsiTheme="minorHAnsi"/>
          <w:iCs/>
        </w:rPr>
        <w:t>.</w:t>
      </w:r>
    </w:p>
    <w:p w14:paraId="776E5779" w14:textId="77777777" w:rsidR="0005562C" w:rsidRPr="001C19A5" w:rsidRDefault="0005562C" w:rsidP="00176637">
      <w:pPr>
        <w:pStyle w:val="NormalWeb"/>
        <w:spacing w:after="120" w:line="240" w:lineRule="auto"/>
        <w:rPr>
          <w:rFonts w:asciiTheme="minorHAnsi" w:hAnsiTheme="minorHAnsi"/>
          <w:bCs/>
        </w:rPr>
      </w:pPr>
      <w:r w:rsidRPr="001C19A5">
        <w:rPr>
          <w:rFonts w:asciiTheme="minorHAnsi" w:hAnsiTheme="minorHAnsi"/>
          <w:b/>
        </w:rPr>
        <w:t>Example:</w:t>
      </w:r>
      <w:r w:rsidRPr="001C19A5">
        <w:rPr>
          <w:rFonts w:asciiTheme="minorHAnsi" w:hAnsiTheme="minorHAnsi"/>
          <w:bCs/>
        </w:rPr>
        <w:t xml:space="preserve"> Provider ACMI Pty Ltd is in negotiations with provider ACE Pty Ltd to fully acquire ACE Pty Ltd. ACE Pty Ltd is registered under the Corporations Act and has 100 issued shares. ACMI Pty Ltd may use refundable deposits or bonds to purchase the issued shares in ACE Pty Ltd at an agreed price.</w:t>
      </w:r>
    </w:p>
    <w:p w14:paraId="5F1EB2AB" w14:textId="21E2F7F8" w:rsidR="002134CE" w:rsidRDefault="0005562C" w:rsidP="00176637">
      <w:pPr>
        <w:pStyle w:val="NormalWeb"/>
        <w:spacing w:after="120" w:line="240" w:lineRule="auto"/>
        <w:rPr>
          <w:rFonts w:asciiTheme="minorHAnsi" w:hAnsiTheme="minorHAnsi"/>
          <w:bCs/>
        </w:rPr>
      </w:pPr>
      <w:r w:rsidRPr="001C19A5">
        <w:rPr>
          <w:rFonts w:asciiTheme="minorHAnsi" w:hAnsiTheme="minorHAnsi"/>
          <w:b/>
        </w:rPr>
        <w:t>Example:</w:t>
      </w:r>
      <w:r w:rsidRPr="001C19A5">
        <w:rPr>
          <w:rFonts w:asciiTheme="minorHAnsi" w:hAnsiTheme="minorHAnsi"/>
          <w:bCs/>
        </w:rPr>
        <w:t xml:space="preserve"> A provider has taken $5 million in bonds since 1 October 2011. Their normal business practice is to place a portion of their bonds into a bank account to ensure they have sufficient liquidity to refund bonds as they fall due. They would also like to invest $500,000 in shares in a </w:t>
      </w:r>
      <w:r w:rsidR="00B14464" w:rsidRPr="001C19A5">
        <w:rPr>
          <w:rFonts w:asciiTheme="minorHAnsi" w:hAnsiTheme="minorHAnsi"/>
          <w:bCs/>
        </w:rPr>
        <w:t>blue-chip</w:t>
      </w:r>
      <w:r w:rsidRPr="001C19A5">
        <w:rPr>
          <w:rFonts w:asciiTheme="minorHAnsi" w:hAnsiTheme="minorHAnsi"/>
          <w:bCs/>
        </w:rPr>
        <w:t xml:space="preserve"> company</w:t>
      </w:r>
      <w:r w:rsidR="00B706AE">
        <w:rPr>
          <w:rFonts w:asciiTheme="minorHAnsi" w:hAnsiTheme="minorHAnsi"/>
          <w:bCs/>
        </w:rPr>
        <w:t>,</w:t>
      </w:r>
      <w:r w:rsidRPr="001C19A5">
        <w:rPr>
          <w:rFonts w:asciiTheme="minorHAnsi" w:hAnsiTheme="minorHAnsi"/>
          <w:bCs/>
        </w:rPr>
        <w:t xml:space="preserve"> and a further $500,000 in an unregistered managed investment scheme that </w:t>
      </w:r>
      <w:r w:rsidRPr="001C19A5">
        <w:rPr>
          <w:rFonts w:asciiTheme="minorHAnsi" w:hAnsiTheme="minorHAnsi"/>
          <w:bCs/>
        </w:rPr>
        <w:lastRenderedPageBreak/>
        <w:t xml:space="preserve">complies with the requirements for such schemes in the Corporations </w:t>
      </w:r>
      <w:r w:rsidR="009207B2" w:rsidRPr="001C19A5">
        <w:rPr>
          <w:rFonts w:asciiTheme="minorHAnsi" w:hAnsiTheme="minorHAnsi"/>
          <w:bCs/>
        </w:rPr>
        <w:t>Act</w:t>
      </w:r>
      <w:r w:rsidR="009207B2">
        <w:rPr>
          <w:rFonts w:asciiTheme="minorHAnsi" w:hAnsiTheme="minorHAnsi"/>
          <w:bCs/>
        </w:rPr>
        <w:t xml:space="preserve"> and</w:t>
      </w:r>
      <w:r w:rsidRPr="001C19A5">
        <w:rPr>
          <w:rFonts w:asciiTheme="minorHAnsi" w:hAnsiTheme="minorHAnsi"/>
          <w:bCs/>
        </w:rPr>
        <w:t xml:space="preserve"> was established for the purpose of investment in residential aged care services. </w:t>
      </w:r>
    </w:p>
    <w:p w14:paraId="37B931BF" w14:textId="619E1FFF" w:rsidR="0005562C" w:rsidRPr="001C19A5" w:rsidRDefault="0005562C" w:rsidP="00176637">
      <w:pPr>
        <w:pStyle w:val="NormalWeb"/>
        <w:spacing w:after="120" w:line="240" w:lineRule="auto"/>
        <w:rPr>
          <w:rFonts w:asciiTheme="minorHAnsi" w:hAnsiTheme="minorHAnsi"/>
          <w:bCs/>
        </w:rPr>
      </w:pPr>
      <w:r w:rsidRPr="001C19A5">
        <w:rPr>
          <w:rFonts w:asciiTheme="minorHAnsi" w:hAnsiTheme="minorHAnsi"/>
          <w:bCs/>
        </w:rPr>
        <w:t>In doing so</w:t>
      </w:r>
      <w:r w:rsidR="00EF707E">
        <w:rPr>
          <w:rFonts w:asciiTheme="minorHAnsi" w:hAnsiTheme="minorHAnsi"/>
          <w:bCs/>
        </w:rPr>
        <w:t>,</w:t>
      </w:r>
      <w:r w:rsidRPr="001C19A5">
        <w:rPr>
          <w:rFonts w:asciiTheme="minorHAnsi" w:hAnsiTheme="minorHAnsi"/>
          <w:bCs/>
        </w:rPr>
        <w:t xml:space="preserve"> this provider will have invested their bonds in permitted financial products.</w:t>
      </w:r>
    </w:p>
    <w:p w14:paraId="56B64E3E" w14:textId="77777777" w:rsidR="0005562C" w:rsidRPr="001C19A5" w:rsidRDefault="0005562C" w:rsidP="00176637">
      <w:pPr>
        <w:pStyle w:val="NormalWeb"/>
        <w:spacing w:after="120" w:line="240" w:lineRule="auto"/>
        <w:rPr>
          <w:rFonts w:asciiTheme="minorHAnsi" w:hAnsiTheme="minorHAnsi"/>
          <w:bCs/>
        </w:rPr>
      </w:pPr>
      <w:r w:rsidRPr="001C19A5">
        <w:rPr>
          <w:rFonts w:asciiTheme="minorHAnsi" w:hAnsiTheme="minorHAnsi"/>
          <w:bCs/>
        </w:rPr>
        <w:t>Since the provider has invested in financial products other than deposits with an ADI, it will need to implement an IMS prior to making such investments.</w:t>
      </w:r>
    </w:p>
    <w:p w14:paraId="2AE482E8" w14:textId="77777777" w:rsidR="0005562C" w:rsidRPr="001C19A5" w:rsidRDefault="0005562C" w:rsidP="00176637">
      <w:pPr>
        <w:pStyle w:val="NormalWeb"/>
        <w:spacing w:after="120" w:line="240" w:lineRule="auto"/>
        <w:rPr>
          <w:rFonts w:asciiTheme="minorHAnsi" w:hAnsiTheme="minorHAnsi"/>
          <w:bCs/>
        </w:rPr>
      </w:pPr>
      <w:r w:rsidRPr="001C19A5">
        <w:rPr>
          <w:rFonts w:asciiTheme="minorHAnsi" w:hAnsiTheme="minorHAnsi"/>
          <w:b/>
        </w:rPr>
        <w:t>Example:</w:t>
      </w:r>
      <w:r w:rsidRPr="001C19A5">
        <w:rPr>
          <w:rFonts w:asciiTheme="minorHAnsi" w:hAnsiTheme="minorHAnsi"/>
          <w:bCs/>
        </w:rPr>
        <w:t xml:space="preserve"> The executive decision makers of a provider wish to invest in an unregistered managed investment scheme established for the purpose of providing capital for the development of retirement villages. Investing bonds in such an unregistered managed investment scheme would not be a permitted use, as a retirement village is not a residential or flexible aged care service.</w:t>
      </w:r>
    </w:p>
    <w:p w14:paraId="1B7EC4B7" w14:textId="05152844" w:rsidR="0005562C" w:rsidRPr="001C19A5" w:rsidRDefault="00F6228E" w:rsidP="0005562C">
      <w:pPr>
        <w:pStyle w:val="NormalWeb"/>
        <w:spacing w:after="40" w:line="240" w:lineRule="auto"/>
        <w:rPr>
          <w:rFonts w:asciiTheme="minorHAnsi" w:hAnsiTheme="minorHAnsi"/>
          <w:iCs/>
          <w:sz w:val="18"/>
          <w:szCs w:val="18"/>
          <w:lang w:val="en"/>
        </w:rPr>
      </w:pPr>
      <w:r w:rsidRPr="001C19A5">
        <w:rPr>
          <w:rStyle w:val="Strong"/>
          <w:rFonts w:asciiTheme="minorHAnsi" w:hAnsiTheme="minorHAnsi"/>
          <w:iCs/>
          <w:sz w:val="18"/>
          <w:szCs w:val="18"/>
          <w:lang w:val="en"/>
        </w:rPr>
        <w:t>R</w:t>
      </w:r>
      <w:r w:rsidR="0005562C" w:rsidRPr="001C19A5">
        <w:rPr>
          <w:rStyle w:val="Strong"/>
          <w:rFonts w:asciiTheme="minorHAnsi" w:hAnsiTheme="minorHAnsi"/>
          <w:iCs/>
          <w:sz w:val="18"/>
          <w:szCs w:val="18"/>
          <w:lang w:val="en"/>
        </w:rPr>
        <w:t>eference:</w:t>
      </w:r>
      <w:r w:rsidR="0005562C" w:rsidRPr="001C19A5">
        <w:rPr>
          <w:rFonts w:asciiTheme="minorHAnsi" w:hAnsiTheme="minorHAnsi"/>
          <w:iCs/>
          <w:sz w:val="18"/>
          <w:szCs w:val="18"/>
          <w:lang w:val="en"/>
        </w:rPr>
        <w:t xml:space="preserve"> </w:t>
      </w:r>
      <w:r w:rsidR="0092095A">
        <w:rPr>
          <w:rFonts w:asciiTheme="minorHAnsi" w:hAnsiTheme="minorHAnsi"/>
          <w:iCs/>
          <w:sz w:val="18"/>
          <w:szCs w:val="18"/>
          <w:lang w:val="en"/>
        </w:rPr>
        <w:t xml:space="preserve">The </w:t>
      </w:r>
      <w:r w:rsidR="0005562C" w:rsidRPr="001C19A5">
        <w:rPr>
          <w:rFonts w:asciiTheme="minorHAnsi" w:hAnsiTheme="minorHAnsi"/>
          <w:iCs/>
          <w:sz w:val="18"/>
          <w:szCs w:val="18"/>
          <w:lang w:val="en"/>
        </w:rPr>
        <w:t xml:space="preserve">Act </w:t>
      </w:r>
      <w:hyperlink r:id="rId46" w:anchor="_Toc406164877" w:history="1">
        <w:r w:rsidR="0005562C" w:rsidRPr="001C19A5">
          <w:rPr>
            <w:rStyle w:val="Hyperlink"/>
            <w:rFonts w:asciiTheme="minorHAnsi" w:hAnsiTheme="minorHAnsi"/>
            <w:iCs/>
            <w:color w:val="auto"/>
            <w:sz w:val="18"/>
            <w:szCs w:val="18"/>
            <w:u w:val="none"/>
            <w:lang w:val="en"/>
          </w:rPr>
          <w:t>section 52N-1</w:t>
        </w:r>
      </w:hyperlink>
      <w:r w:rsidR="0005562C" w:rsidRPr="001C19A5">
        <w:rPr>
          <w:rFonts w:asciiTheme="minorHAnsi" w:hAnsiTheme="minorHAnsi"/>
          <w:iCs/>
          <w:sz w:val="18"/>
          <w:szCs w:val="18"/>
          <w:lang w:val="en"/>
        </w:rPr>
        <w:t xml:space="preserve"> and </w:t>
      </w:r>
      <w:hyperlink r:id="rId47" w:history="1">
        <w:r w:rsidR="0005562C" w:rsidRPr="001C19A5">
          <w:rPr>
            <w:rStyle w:val="Hyperlink"/>
            <w:rFonts w:asciiTheme="minorHAnsi" w:hAnsiTheme="minorHAnsi"/>
            <w:i/>
            <w:iCs/>
            <w:color w:val="auto"/>
            <w:sz w:val="18"/>
            <w:szCs w:val="18"/>
            <w:u w:val="none"/>
            <w:lang w:val="en"/>
          </w:rPr>
          <w:t>Corporations Act 2001</w:t>
        </w:r>
      </w:hyperlink>
      <w:r w:rsidR="0005562C" w:rsidRPr="001C19A5">
        <w:rPr>
          <w:rFonts w:asciiTheme="minorHAnsi" w:hAnsiTheme="minorHAnsi"/>
          <w:iCs/>
          <w:sz w:val="18"/>
          <w:szCs w:val="18"/>
          <w:lang w:val="en"/>
        </w:rPr>
        <w:t xml:space="preserve"> s</w:t>
      </w:r>
      <w:r w:rsidR="00F3639B">
        <w:rPr>
          <w:rFonts w:asciiTheme="minorHAnsi" w:hAnsiTheme="minorHAnsi"/>
          <w:iCs/>
          <w:sz w:val="18"/>
          <w:szCs w:val="18"/>
          <w:lang w:val="en"/>
        </w:rPr>
        <w:t>ection</w:t>
      </w:r>
      <w:r w:rsidR="0005562C" w:rsidRPr="001C19A5">
        <w:rPr>
          <w:rFonts w:asciiTheme="minorHAnsi" w:hAnsiTheme="minorHAnsi"/>
          <w:iCs/>
          <w:sz w:val="18"/>
          <w:szCs w:val="18"/>
          <w:lang w:val="en"/>
        </w:rPr>
        <w:t xml:space="preserve"> 764A</w:t>
      </w:r>
    </w:p>
    <w:p w14:paraId="694D706D" w14:textId="65F8BB1B" w:rsidR="0005562C" w:rsidRPr="002B7CED" w:rsidRDefault="0005562C" w:rsidP="002B7CED">
      <w:pPr>
        <w:spacing w:before="200" w:after="0"/>
        <w:rPr>
          <w:b/>
          <w:bCs/>
          <w:color w:val="0070C0"/>
          <w:sz w:val="26"/>
          <w:szCs w:val="26"/>
        </w:rPr>
      </w:pPr>
      <w:r w:rsidRPr="002B7CED">
        <w:rPr>
          <w:b/>
          <w:bCs/>
          <w:color w:val="0070C0"/>
          <w:sz w:val="26"/>
          <w:szCs w:val="26"/>
        </w:rPr>
        <w:t xml:space="preserve">Amounts </w:t>
      </w:r>
      <w:r w:rsidR="005C4B9F" w:rsidRPr="002B7CED">
        <w:rPr>
          <w:b/>
          <w:bCs/>
          <w:color w:val="0070C0"/>
          <w:sz w:val="26"/>
          <w:szCs w:val="26"/>
        </w:rPr>
        <w:t>r</w:t>
      </w:r>
      <w:r w:rsidRPr="002B7CED">
        <w:rPr>
          <w:b/>
          <w:bCs/>
          <w:color w:val="0070C0"/>
          <w:sz w:val="26"/>
          <w:szCs w:val="26"/>
        </w:rPr>
        <w:t xml:space="preserve">eturned </w:t>
      </w:r>
      <w:r w:rsidR="00A5136A" w:rsidRPr="002B7CED">
        <w:rPr>
          <w:b/>
          <w:bCs/>
          <w:color w:val="0070C0"/>
          <w:sz w:val="26"/>
          <w:szCs w:val="26"/>
        </w:rPr>
        <w:t>f</w:t>
      </w:r>
      <w:r w:rsidRPr="002B7CED">
        <w:rPr>
          <w:b/>
          <w:bCs/>
          <w:color w:val="0070C0"/>
          <w:sz w:val="26"/>
          <w:szCs w:val="26"/>
        </w:rPr>
        <w:t xml:space="preserve">rom the </w:t>
      </w:r>
      <w:r w:rsidR="005C4B9F" w:rsidRPr="002B7CED">
        <w:rPr>
          <w:b/>
          <w:bCs/>
          <w:color w:val="0070C0"/>
          <w:sz w:val="26"/>
          <w:szCs w:val="26"/>
        </w:rPr>
        <w:t>s</w:t>
      </w:r>
      <w:r w:rsidRPr="002B7CED">
        <w:rPr>
          <w:b/>
          <w:bCs/>
          <w:color w:val="0070C0"/>
          <w:sz w:val="26"/>
          <w:szCs w:val="26"/>
        </w:rPr>
        <w:t xml:space="preserve">ale, </w:t>
      </w:r>
      <w:r w:rsidR="005C4B9F" w:rsidRPr="002B7CED">
        <w:rPr>
          <w:b/>
          <w:bCs/>
          <w:color w:val="0070C0"/>
          <w:sz w:val="26"/>
          <w:szCs w:val="26"/>
        </w:rPr>
        <w:t>d</w:t>
      </w:r>
      <w:r w:rsidRPr="002B7CED">
        <w:rPr>
          <w:b/>
          <w:bCs/>
          <w:color w:val="0070C0"/>
          <w:sz w:val="26"/>
          <w:szCs w:val="26"/>
        </w:rPr>
        <w:t xml:space="preserve">isposal or </w:t>
      </w:r>
      <w:r w:rsidR="005C4B9F" w:rsidRPr="002B7CED">
        <w:rPr>
          <w:b/>
          <w:bCs/>
          <w:color w:val="0070C0"/>
          <w:sz w:val="26"/>
          <w:szCs w:val="26"/>
        </w:rPr>
        <w:t>r</w:t>
      </w:r>
      <w:r w:rsidRPr="002B7CED">
        <w:rPr>
          <w:b/>
          <w:bCs/>
          <w:color w:val="0070C0"/>
          <w:sz w:val="26"/>
          <w:szCs w:val="26"/>
        </w:rPr>
        <w:t xml:space="preserve">edemption of </w:t>
      </w:r>
      <w:r w:rsidR="005C4B9F" w:rsidRPr="002B7CED">
        <w:rPr>
          <w:b/>
          <w:bCs/>
          <w:color w:val="0070C0"/>
          <w:sz w:val="26"/>
          <w:szCs w:val="26"/>
        </w:rPr>
        <w:t>p</w:t>
      </w:r>
      <w:r w:rsidRPr="002B7CED">
        <w:rPr>
          <w:b/>
          <w:bCs/>
          <w:color w:val="0070C0"/>
          <w:sz w:val="26"/>
          <w:szCs w:val="26"/>
        </w:rPr>
        <w:t xml:space="preserve">ermitted </w:t>
      </w:r>
      <w:r w:rsidR="005C4B9F" w:rsidRPr="002B7CED">
        <w:rPr>
          <w:b/>
          <w:bCs/>
          <w:color w:val="0070C0"/>
          <w:sz w:val="26"/>
          <w:szCs w:val="26"/>
        </w:rPr>
        <w:t>f</w:t>
      </w:r>
      <w:r w:rsidRPr="002B7CED">
        <w:rPr>
          <w:b/>
          <w:bCs/>
          <w:color w:val="0070C0"/>
          <w:sz w:val="26"/>
          <w:szCs w:val="26"/>
        </w:rPr>
        <w:t xml:space="preserve">inancial </w:t>
      </w:r>
      <w:r w:rsidR="005C4B9F" w:rsidRPr="002B7CED">
        <w:rPr>
          <w:b/>
          <w:bCs/>
          <w:color w:val="0070C0"/>
          <w:sz w:val="26"/>
          <w:szCs w:val="26"/>
        </w:rPr>
        <w:t>p</w:t>
      </w:r>
      <w:r w:rsidRPr="002B7CED">
        <w:rPr>
          <w:b/>
          <w:bCs/>
          <w:color w:val="0070C0"/>
          <w:sz w:val="26"/>
          <w:szCs w:val="26"/>
        </w:rPr>
        <w:t>roducts</w:t>
      </w:r>
    </w:p>
    <w:p w14:paraId="5ADEFE88"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iCs/>
        </w:rPr>
        <w:t>When refundable deposits or bonds have been invested in permitted financial products and the products are sold, disposed of or redeemed, the provider must use the original amount invested from refundable deposits or bonds for permitted uses. There are no restrictions on the profit made from investment in permitted financial products. The requirements regarding the permitted uses of refundable deposits or bonds continue to apply regardless of how many investments are made using the same refundable deposit or bond amount.</w:t>
      </w:r>
    </w:p>
    <w:p w14:paraId="627D546F" w14:textId="77777777" w:rsidR="0005562C" w:rsidRPr="001C19A5" w:rsidRDefault="0005562C" w:rsidP="00176637">
      <w:pPr>
        <w:pStyle w:val="NormalWeb"/>
        <w:spacing w:after="12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In accordance with their IMS, a provider has invested $20 million of refundable deposits or bonds in shares in blue chip companies. The executive decision makers of the provider decide to sell the shares for $22 million. The $2 million profit can be used at the provider's discretion. However, the principal amount of $20 million (the refundable deposit/ bond amount invested) must only be used for permitted uses.</w:t>
      </w:r>
    </w:p>
    <w:p w14:paraId="7D1D1CEF" w14:textId="35BE4631" w:rsidR="0005562C" w:rsidRPr="002B7CED" w:rsidRDefault="0005562C" w:rsidP="002B7CED">
      <w:pPr>
        <w:spacing w:before="200" w:after="0"/>
        <w:rPr>
          <w:b/>
          <w:bCs/>
          <w:color w:val="0070C0"/>
          <w:sz w:val="26"/>
          <w:szCs w:val="26"/>
        </w:rPr>
      </w:pPr>
      <w:r w:rsidRPr="002B7CED">
        <w:rPr>
          <w:b/>
          <w:bCs/>
          <w:color w:val="0070C0"/>
          <w:sz w:val="26"/>
          <w:szCs w:val="26"/>
        </w:rPr>
        <w:t xml:space="preserve">Using </w:t>
      </w:r>
      <w:r w:rsidR="008222AD" w:rsidRPr="002B7CED">
        <w:rPr>
          <w:b/>
          <w:bCs/>
          <w:color w:val="0070C0"/>
          <w:sz w:val="26"/>
          <w:szCs w:val="26"/>
        </w:rPr>
        <w:t>r</w:t>
      </w:r>
      <w:r w:rsidRPr="002B7CED">
        <w:rPr>
          <w:b/>
          <w:bCs/>
          <w:color w:val="0070C0"/>
          <w:sz w:val="26"/>
          <w:szCs w:val="26"/>
        </w:rPr>
        <w:t xml:space="preserve">efundable </w:t>
      </w:r>
      <w:r w:rsidR="008222AD" w:rsidRPr="002B7CED">
        <w:rPr>
          <w:b/>
          <w:bCs/>
          <w:color w:val="0070C0"/>
          <w:sz w:val="26"/>
          <w:szCs w:val="26"/>
        </w:rPr>
        <w:t>d</w:t>
      </w:r>
      <w:r w:rsidRPr="002B7CED">
        <w:rPr>
          <w:b/>
          <w:bCs/>
          <w:color w:val="0070C0"/>
          <w:sz w:val="26"/>
          <w:szCs w:val="26"/>
        </w:rPr>
        <w:t xml:space="preserve">eposits or </w:t>
      </w:r>
      <w:r w:rsidR="008222AD" w:rsidRPr="002B7CED">
        <w:rPr>
          <w:b/>
          <w:bCs/>
          <w:color w:val="0070C0"/>
          <w:sz w:val="26"/>
          <w:szCs w:val="26"/>
        </w:rPr>
        <w:t>b</w:t>
      </w:r>
      <w:r w:rsidRPr="002B7CED">
        <w:rPr>
          <w:b/>
          <w:bCs/>
          <w:color w:val="0070C0"/>
          <w:sz w:val="26"/>
          <w:szCs w:val="26"/>
        </w:rPr>
        <w:t xml:space="preserve">onds to </w:t>
      </w:r>
      <w:r w:rsidR="00C67479" w:rsidRPr="002B7CED">
        <w:rPr>
          <w:b/>
          <w:bCs/>
          <w:color w:val="0070C0"/>
          <w:sz w:val="26"/>
          <w:szCs w:val="26"/>
        </w:rPr>
        <w:t>m</w:t>
      </w:r>
      <w:r w:rsidRPr="002B7CED">
        <w:rPr>
          <w:b/>
          <w:bCs/>
          <w:color w:val="0070C0"/>
          <w:sz w:val="26"/>
          <w:szCs w:val="26"/>
        </w:rPr>
        <w:t xml:space="preserve">ake </w:t>
      </w:r>
      <w:r w:rsidR="00C67479" w:rsidRPr="002B7CED">
        <w:rPr>
          <w:b/>
          <w:bCs/>
          <w:color w:val="0070C0"/>
          <w:sz w:val="26"/>
          <w:szCs w:val="26"/>
        </w:rPr>
        <w:t>l</w:t>
      </w:r>
      <w:r w:rsidRPr="002B7CED">
        <w:rPr>
          <w:b/>
          <w:bCs/>
          <w:color w:val="0070C0"/>
          <w:sz w:val="26"/>
          <w:szCs w:val="26"/>
        </w:rPr>
        <w:t>oans</w:t>
      </w:r>
    </w:p>
    <w:p w14:paraId="60EBEB44" w14:textId="77777777" w:rsidR="0005562C" w:rsidRPr="001C19A5" w:rsidRDefault="0005562C" w:rsidP="0005562C">
      <w:pPr>
        <w:pStyle w:val="NormalWeb"/>
        <w:spacing w:after="120" w:line="240" w:lineRule="auto"/>
        <w:rPr>
          <w:rFonts w:asciiTheme="minorHAnsi" w:hAnsiTheme="minorHAnsi"/>
          <w:iCs/>
        </w:rPr>
      </w:pPr>
      <w:r w:rsidRPr="001C19A5">
        <w:rPr>
          <w:rFonts w:asciiTheme="minorHAnsi" w:hAnsiTheme="minorHAnsi"/>
          <w:iCs/>
        </w:rPr>
        <w:t>The permitted use arrangements recognise the diversity of providers and the wide range of corporate structures that are utilised within the aged care sector. The arrangements ensure that there is flexibility to move refundable deposits or bonds between different entities, provided appropriate safeguards are in place.</w:t>
      </w:r>
    </w:p>
    <w:p w14:paraId="55AD8604" w14:textId="77777777" w:rsidR="0005562C" w:rsidRPr="001C19A5" w:rsidRDefault="0005562C" w:rsidP="00C62C3A">
      <w:pPr>
        <w:pStyle w:val="NormalWeb"/>
        <w:spacing w:after="0" w:line="240" w:lineRule="auto"/>
        <w:rPr>
          <w:rFonts w:asciiTheme="minorHAnsi" w:hAnsiTheme="minorHAnsi"/>
          <w:iCs/>
        </w:rPr>
      </w:pPr>
      <w:r w:rsidRPr="001C19A5">
        <w:rPr>
          <w:rFonts w:asciiTheme="minorHAnsi" w:hAnsiTheme="minorHAnsi"/>
          <w:iCs/>
        </w:rPr>
        <w:t>Providers may use refundable deposits or bonds to make a loan that meets the following conditions:</w:t>
      </w:r>
    </w:p>
    <w:p w14:paraId="7CFB1A05" w14:textId="5F50F0F2" w:rsidR="0005562C" w:rsidRPr="002567A4" w:rsidRDefault="0005562C" w:rsidP="001A3223">
      <w:pPr>
        <w:pStyle w:val="ListParagraph"/>
        <w:numPr>
          <w:ilvl w:val="0"/>
          <w:numId w:val="31"/>
        </w:numPr>
        <w:spacing w:after="120" w:line="240" w:lineRule="auto"/>
        <w:ind w:left="851" w:hanging="425"/>
        <w:rPr>
          <w:rFonts w:asciiTheme="minorHAnsi" w:hAnsiTheme="minorHAnsi"/>
          <w:iCs/>
          <w:sz w:val="24"/>
          <w:szCs w:val="24"/>
        </w:rPr>
      </w:pPr>
      <w:r w:rsidRPr="002567A4">
        <w:rPr>
          <w:rFonts w:asciiTheme="minorHAnsi" w:hAnsiTheme="minorHAnsi"/>
          <w:iCs/>
          <w:sz w:val="24"/>
          <w:szCs w:val="24"/>
        </w:rPr>
        <w:t>the loan is not made to an individual</w:t>
      </w:r>
    </w:p>
    <w:p w14:paraId="48223876" w14:textId="77777777" w:rsidR="0005562C" w:rsidRPr="001C19A5" w:rsidRDefault="0005562C" w:rsidP="00093008">
      <w:pPr>
        <w:pStyle w:val="NormalWeb"/>
        <w:spacing w:after="120" w:line="240" w:lineRule="auto"/>
        <w:rPr>
          <w:rFonts w:asciiTheme="minorHAnsi" w:hAnsiTheme="minorHAnsi"/>
          <w:iCs/>
        </w:rPr>
      </w:pPr>
      <w:r w:rsidRPr="001C19A5">
        <w:rPr>
          <w:rFonts w:asciiTheme="minorHAnsi" w:hAnsiTheme="minorHAnsi"/>
          <w:b/>
          <w:bCs/>
        </w:rPr>
        <w:t>Example:</w:t>
      </w:r>
      <w:r w:rsidRPr="001C19A5">
        <w:rPr>
          <w:rFonts w:asciiTheme="minorHAnsi" w:hAnsiTheme="minorHAnsi"/>
          <w:iCs/>
        </w:rPr>
        <w:t xml:space="preserve"> Provider ACMI Pty Ltd wants to use refundable deposits or bonds to make a loan to ACE, a partnership operated by a number of individuals. The loan would be made on a commercial basis and covered by a written agreement, with the ultimate use of refundable deposits or bonds being for the construction of another residential aged care facility to be operated by the provider.</w:t>
      </w:r>
    </w:p>
    <w:p w14:paraId="63DCF070" w14:textId="77777777" w:rsidR="0005562C" w:rsidRPr="001C19A5" w:rsidRDefault="0005562C" w:rsidP="00093008">
      <w:pPr>
        <w:pStyle w:val="NormalWeb"/>
        <w:spacing w:after="0" w:line="240" w:lineRule="auto"/>
        <w:rPr>
          <w:rFonts w:asciiTheme="minorHAnsi" w:hAnsiTheme="minorHAnsi"/>
          <w:iCs/>
        </w:rPr>
      </w:pPr>
      <w:r w:rsidRPr="001C19A5">
        <w:rPr>
          <w:rFonts w:asciiTheme="minorHAnsi" w:hAnsiTheme="minorHAnsi"/>
          <w:iCs/>
        </w:rPr>
        <w:t>The provider is permitted to use refundable deposits or bonds to fund a loan made for the construction of a new residential aged care facility whereby that loan is made on a commercial basis and covered by a written agreement. However, a provider is not permitted to use refundable deposits or bonds to make a loan to an individual. A partnership is not a separate legal entity from the individuals who form it; rather the term describes the legal relationship between those individuals. If ACMI Pty Ltd was to make a loan to ACE, the legal entities to whom the loan would be given would be those individuals in the partnership. As such, ACMI Pty Ltd cannot lend the money to ACE.</w:t>
      </w:r>
    </w:p>
    <w:p w14:paraId="2E00F645" w14:textId="3F384EF4" w:rsidR="002134CE" w:rsidRPr="005C569E" w:rsidRDefault="0005562C" w:rsidP="001A3223">
      <w:pPr>
        <w:pStyle w:val="ListParagraph"/>
        <w:numPr>
          <w:ilvl w:val="0"/>
          <w:numId w:val="31"/>
        </w:numPr>
        <w:spacing w:after="120" w:line="240" w:lineRule="auto"/>
        <w:ind w:left="851" w:hanging="425"/>
        <w:rPr>
          <w:rFonts w:asciiTheme="minorHAnsi" w:hAnsiTheme="minorHAnsi"/>
          <w:iCs/>
          <w:sz w:val="24"/>
          <w:szCs w:val="24"/>
        </w:rPr>
      </w:pPr>
      <w:r w:rsidRPr="001C19A5">
        <w:rPr>
          <w:rFonts w:asciiTheme="minorHAnsi" w:hAnsiTheme="minorHAnsi"/>
          <w:iCs/>
          <w:sz w:val="24"/>
          <w:szCs w:val="24"/>
        </w:rPr>
        <w:t>the loan is made on a commercial basis</w:t>
      </w:r>
    </w:p>
    <w:p w14:paraId="75F47906" w14:textId="77777777" w:rsidR="0005562C" w:rsidRPr="001C19A5" w:rsidRDefault="0005562C" w:rsidP="00093008">
      <w:pPr>
        <w:pStyle w:val="NormalWeb"/>
        <w:spacing w:after="0" w:line="240" w:lineRule="auto"/>
        <w:rPr>
          <w:rFonts w:asciiTheme="minorHAnsi" w:hAnsiTheme="minorHAnsi"/>
          <w:iCs/>
        </w:rPr>
      </w:pPr>
      <w:r w:rsidRPr="001C19A5">
        <w:rPr>
          <w:rFonts w:asciiTheme="minorHAnsi" w:hAnsiTheme="minorHAnsi"/>
          <w:b/>
          <w:bCs/>
        </w:rPr>
        <w:lastRenderedPageBreak/>
        <w:t>Explanation:</w:t>
      </w:r>
      <w:r w:rsidRPr="001C19A5">
        <w:rPr>
          <w:rFonts w:asciiTheme="minorHAnsi" w:hAnsiTheme="minorHAnsi"/>
          <w:iCs/>
        </w:rPr>
        <w:t xml:space="preserve"> A loan is made on a commercial basis if the borrower and the lender, even if they are related parties, deal with one another at arm's length, i.e. in a way that independent parties would normally deal with one another. The written loan agreement will include a legal requirement to repay the loan within a specified period, a method for working out the interest payable on the loan and an appropriate guarantor or other security. An interest free loan, or a loan with no security or backed only by a letter of comfort, or a loan for an indefinite period would not be a loan made on a normal commercial basis.</w:t>
      </w:r>
    </w:p>
    <w:p w14:paraId="3ED3D1B7" w14:textId="6E39B4B7" w:rsidR="0005562C" w:rsidRPr="001C19A5" w:rsidRDefault="0005562C" w:rsidP="00421DD6">
      <w:pPr>
        <w:pStyle w:val="ListParagraph"/>
        <w:numPr>
          <w:ilvl w:val="0"/>
          <w:numId w:val="31"/>
        </w:numPr>
        <w:spacing w:after="0" w:line="240" w:lineRule="auto"/>
        <w:ind w:left="851" w:hanging="425"/>
        <w:rPr>
          <w:rFonts w:asciiTheme="minorHAnsi" w:hAnsiTheme="minorHAnsi"/>
          <w:iCs/>
          <w:sz w:val="24"/>
          <w:szCs w:val="24"/>
        </w:rPr>
      </w:pPr>
      <w:r w:rsidRPr="001C19A5">
        <w:rPr>
          <w:rFonts w:asciiTheme="minorHAnsi" w:hAnsiTheme="minorHAnsi"/>
          <w:iCs/>
          <w:sz w:val="24"/>
          <w:szCs w:val="24"/>
        </w:rPr>
        <w:t>there is a written agreement in relation to the loan</w:t>
      </w:r>
    </w:p>
    <w:p w14:paraId="5F21411B" w14:textId="0213CE66" w:rsidR="0005562C" w:rsidRPr="001C19A5" w:rsidRDefault="0005562C" w:rsidP="00B35C39">
      <w:pPr>
        <w:pStyle w:val="ListParagraph"/>
        <w:numPr>
          <w:ilvl w:val="0"/>
          <w:numId w:val="31"/>
        </w:numPr>
        <w:spacing w:before="0" w:after="0" w:line="240" w:lineRule="auto"/>
        <w:ind w:left="851" w:hanging="425"/>
        <w:rPr>
          <w:rFonts w:asciiTheme="minorHAnsi" w:hAnsiTheme="minorHAnsi"/>
          <w:iCs/>
          <w:sz w:val="24"/>
          <w:szCs w:val="24"/>
        </w:rPr>
      </w:pPr>
      <w:r w:rsidRPr="001C19A5">
        <w:rPr>
          <w:rFonts w:asciiTheme="minorHAnsi" w:hAnsiTheme="minorHAnsi"/>
          <w:iCs/>
          <w:sz w:val="24"/>
          <w:szCs w:val="24"/>
        </w:rPr>
        <w:t xml:space="preserve">it is a condition </w:t>
      </w:r>
      <w:r w:rsidR="008222AD">
        <w:rPr>
          <w:rFonts w:asciiTheme="minorHAnsi" w:hAnsiTheme="minorHAnsi"/>
          <w:iCs/>
          <w:sz w:val="24"/>
          <w:szCs w:val="24"/>
        </w:rPr>
        <w:t>in</w:t>
      </w:r>
      <w:r w:rsidR="008222AD" w:rsidRPr="001C19A5">
        <w:rPr>
          <w:rFonts w:asciiTheme="minorHAnsi" w:hAnsiTheme="minorHAnsi"/>
          <w:iCs/>
          <w:sz w:val="24"/>
          <w:szCs w:val="24"/>
        </w:rPr>
        <w:t xml:space="preserve"> </w:t>
      </w:r>
      <w:r w:rsidRPr="001C19A5">
        <w:rPr>
          <w:rFonts w:asciiTheme="minorHAnsi" w:hAnsiTheme="minorHAnsi"/>
          <w:iCs/>
          <w:sz w:val="24"/>
          <w:szCs w:val="24"/>
        </w:rPr>
        <w:t xml:space="preserve">the written agreement that the money loaned will only be used for: </w:t>
      </w:r>
    </w:p>
    <w:p w14:paraId="19CB8AAB" w14:textId="36D6B4A9"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capital expenditure as defined by the Fees and Payments Principles</w:t>
      </w:r>
    </w:p>
    <w:p w14:paraId="30937E24" w14:textId="65DD8BB0"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investment in financial products defined by section 52N-1 of the Act</w:t>
      </w:r>
    </w:p>
    <w:p w14:paraId="255AF183" w14:textId="7F44C609"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refunding refundable deposits/ bond balances or entry contribution balances</w:t>
      </w:r>
    </w:p>
    <w:p w14:paraId="2CEFFE8A" w14:textId="0C6E4514" w:rsidR="0005562C" w:rsidRPr="00B35C39" w:rsidRDefault="0005562C"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repaying debt that is accrued for the purposes of capital expenditure (as defined by section 52N-1, Act) or refunding refundable deposits or bond balances</w:t>
      </w:r>
    </w:p>
    <w:p w14:paraId="0E04C6B5" w14:textId="12CFF421" w:rsidR="0005562C" w:rsidRPr="005D6669" w:rsidRDefault="0005562C" w:rsidP="00B35C39">
      <w:pPr>
        <w:pStyle w:val="ListParagraph"/>
        <w:numPr>
          <w:ilvl w:val="0"/>
          <w:numId w:val="31"/>
        </w:numPr>
        <w:spacing w:before="0" w:after="120" w:line="240" w:lineRule="auto"/>
        <w:ind w:left="851" w:hanging="425"/>
        <w:rPr>
          <w:iCs/>
          <w:sz w:val="24"/>
          <w:szCs w:val="24"/>
        </w:rPr>
      </w:pPr>
      <w:r w:rsidRPr="00B35C39">
        <w:rPr>
          <w:rFonts w:asciiTheme="minorHAnsi" w:hAnsiTheme="minorHAnsi"/>
          <w:iCs/>
          <w:sz w:val="24"/>
          <w:szCs w:val="24"/>
        </w:rPr>
        <w:t xml:space="preserve">the agreement includes any other conditions specified in the Fees and Payments Principles (see section 52N-1(2)(c) </w:t>
      </w:r>
      <w:r w:rsidR="00E41FC0" w:rsidRPr="00B35C39">
        <w:rPr>
          <w:rFonts w:asciiTheme="minorHAnsi" w:hAnsiTheme="minorHAnsi"/>
          <w:iCs/>
          <w:sz w:val="24"/>
          <w:szCs w:val="24"/>
        </w:rPr>
        <w:t xml:space="preserve">of the </w:t>
      </w:r>
      <w:r w:rsidRPr="00B35C39">
        <w:rPr>
          <w:rFonts w:asciiTheme="minorHAnsi" w:hAnsiTheme="minorHAnsi"/>
          <w:iCs/>
          <w:sz w:val="24"/>
          <w:szCs w:val="24"/>
        </w:rPr>
        <w:t>Act)</w:t>
      </w:r>
    </w:p>
    <w:p w14:paraId="6847C7AC" w14:textId="05C31E7A" w:rsidR="0005562C" w:rsidRPr="001C19A5" w:rsidRDefault="00F6228E" w:rsidP="0005562C">
      <w:pPr>
        <w:rPr>
          <w:iCs/>
          <w:sz w:val="18"/>
          <w:szCs w:val="18"/>
        </w:rPr>
      </w:pPr>
      <w:r w:rsidRPr="001C19A5">
        <w:rPr>
          <w:rStyle w:val="Strong"/>
          <w:sz w:val="18"/>
          <w:szCs w:val="18"/>
          <w:lang w:val="en"/>
        </w:rPr>
        <w:t>R</w:t>
      </w:r>
      <w:r w:rsidR="0005562C" w:rsidRPr="001C19A5">
        <w:rPr>
          <w:rStyle w:val="Strong"/>
          <w:sz w:val="18"/>
          <w:szCs w:val="18"/>
          <w:lang w:val="en"/>
        </w:rPr>
        <w:t>eference:</w:t>
      </w:r>
      <w:r w:rsidR="0005562C" w:rsidRPr="001C19A5">
        <w:rPr>
          <w:sz w:val="18"/>
          <w:szCs w:val="18"/>
          <w:lang w:val="en"/>
        </w:rPr>
        <w:t xml:space="preserve"> </w:t>
      </w:r>
      <w:r w:rsidR="006B2D8E">
        <w:rPr>
          <w:sz w:val="18"/>
          <w:szCs w:val="18"/>
          <w:lang w:val="en"/>
        </w:rPr>
        <w:t xml:space="preserve">The Act </w:t>
      </w:r>
      <w:hyperlink r:id="rId48" w:anchor="_Toc406164877" w:history="1">
        <w:r w:rsidR="0005562C" w:rsidRPr="001C19A5">
          <w:rPr>
            <w:rStyle w:val="Hyperlink"/>
            <w:color w:val="auto"/>
            <w:sz w:val="18"/>
            <w:szCs w:val="18"/>
            <w:u w:val="none"/>
            <w:lang w:val="en"/>
          </w:rPr>
          <w:t>section 52N-1</w:t>
        </w:r>
      </w:hyperlink>
    </w:p>
    <w:p w14:paraId="0D8065CC" w14:textId="13D45E58" w:rsidR="0005562C" w:rsidRPr="002B7CED" w:rsidRDefault="0005562C" w:rsidP="002B7CED">
      <w:pPr>
        <w:spacing w:before="200" w:after="0"/>
        <w:rPr>
          <w:b/>
          <w:bCs/>
          <w:color w:val="0070C0"/>
          <w:sz w:val="26"/>
          <w:szCs w:val="26"/>
        </w:rPr>
      </w:pPr>
      <w:r w:rsidRPr="002B7CED">
        <w:rPr>
          <w:b/>
          <w:bCs/>
          <w:color w:val="0070C0"/>
          <w:sz w:val="26"/>
          <w:szCs w:val="26"/>
        </w:rPr>
        <w:t xml:space="preserve">Refunding </w:t>
      </w:r>
      <w:r w:rsidR="008222AD" w:rsidRPr="002B7CED">
        <w:rPr>
          <w:b/>
          <w:bCs/>
          <w:color w:val="0070C0"/>
          <w:sz w:val="26"/>
          <w:szCs w:val="26"/>
        </w:rPr>
        <w:t>r</w:t>
      </w:r>
      <w:r w:rsidRPr="002B7CED">
        <w:rPr>
          <w:b/>
          <w:bCs/>
          <w:color w:val="0070C0"/>
          <w:sz w:val="26"/>
          <w:szCs w:val="26"/>
        </w:rPr>
        <w:t xml:space="preserve">efundable </w:t>
      </w:r>
      <w:r w:rsidR="008222AD" w:rsidRPr="002B7CED">
        <w:rPr>
          <w:b/>
          <w:bCs/>
          <w:color w:val="0070C0"/>
          <w:sz w:val="26"/>
          <w:szCs w:val="26"/>
        </w:rPr>
        <w:t>d</w:t>
      </w:r>
      <w:r w:rsidRPr="002B7CED">
        <w:rPr>
          <w:b/>
          <w:bCs/>
          <w:color w:val="0070C0"/>
          <w:sz w:val="26"/>
          <w:szCs w:val="26"/>
        </w:rPr>
        <w:t xml:space="preserve">eposits and </w:t>
      </w:r>
      <w:r w:rsidR="008222AD" w:rsidRPr="002B7CED">
        <w:rPr>
          <w:b/>
          <w:bCs/>
          <w:color w:val="0070C0"/>
          <w:sz w:val="26"/>
          <w:szCs w:val="26"/>
        </w:rPr>
        <w:t>b</w:t>
      </w:r>
      <w:r w:rsidRPr="002B7CED">
        <w:rPr>
          <w:b/>
          <w:bCs/>
          <w:color w:val="0070C0"/>
          <w:sz w:val="26"/>
          <w:szCs w:val="26"/>
        </w:rPr>
        <w:t>onds</w:t>
      </w:r>
    </w:p>
    <w:p w14:paraId="11CE0B32" w14:textId="77777777" w:rsidR="0005562C" w:rsidRPr="001C19A5" w:rsidRDefault="0005562C" w:rsidP="0005562C">
      <w:pPr>
        <w:pStyle w:val="NormalWeb"/>
        <w:spacing w:after="120" w:line="240" w:lineRule="auto"/>
        <w:rPr>
          <w:rFonts w:asciiTheme="minorHAnsi" w:hAnsiTheme="minorHAnsi"/>
          <w:iCs/>
        </w:rPr>
      </w:pPr>
      <w:r w:rsidRPr="001C19A5">
        <w:rPr>
          <w:rFonts w:asciiTheme="minorHAnsi" w:hAnsiTheme="minorHAnsi"/>
          <w:iCs/>
        </w:rPr>
        <w:t>It is a permitted use for refundable deposits or bonds to be used to refund refundable deposits or bond balances or entry contribution balances.</w:t>
      </w:r>
    </w:p>
    <w:p w14:paraId="2890269A" w14:textId="77777777" w:rsidR="0005562C" w:rsidRPr="00B34BF1" w:rsidRDefault="0005562C" w:rsidP="00CC70D5">
      <w:pPr>
        <w:spacing w:after="120" w:line="240" w:lineRule="auto"/>
        <w:rPr>
          <w:b/>
          <w:color w:val="0070C0"/>
          <w:sz w:val="24"/>
          <w:szCs w:val="24"/>
        </w:rPr>
      </w:pPr>
      <w:r w:rsidRPr="00B34BF1">
        <w:rPr>
          <w:b/>
          <w:color w:val="0070C0"/>
          <w:sz w:val="24"/>
          <w:szCs w:val="24"/>
        </w:rPr>
        <w:t>Repayment of debt accrued for the purposes of capital expenditure or refunding of refundable deposits or bonds</w:t>
      </w:r>
    </w:p>
    <w:p w14:paraId="3D25A695" w14:textId="77777777" w:rsidR="0005562C" w:rsidRPr="001C19A5" w:rsidRDefault="0005562C" w:rsidP="00CC70D5">
      <w:pPr>
        <w:pStyle w:val="NormalWeb"/>
        <w:spacing w:after="120" w:line="240" w:lineRule="auto"/>
        <w:rPr>
          <w:rFonts w:asciiTheme="minorHAnsi" w:hAnsiTheme="minorHAnsi"/>
          <w:iCs/>
        </w:rPr>
      </w:pPr>
      <w:r w:rsidRPr="001C19A5">
        <w:rPr>
          <w:rFonts w:asciiTheme="minorHAnsi" w:hAnsiTheme="minorHAnsi"/>
          <w:iCs/>
        </w:rPr>
        <w:t>If a provider accrues debt from capital expenditure (see above section for what constitutes capital expenditure) or from refunding refundable deposits or bond balances, it is a permitted use for refundable deposits or bonds to be used to repay this debt.</w:t>
      </w:r>
    </w:p>
    <w:p w14:paraId="6874644A" w14:textId="77777777" w:rsidR="0005562C" w:rsidRPr="00B34BF1" w:rsidRDefault="0005562C" w:rsidP="00CC70D5">
      <w:pPr>
        <w:spacing w:after="120" w:line="240" w:lineRule="auto"/>
        <w:rPr>
          <w:b/>
          <w:color w:val="0070C0"/>
          <w:sz w:val="24"/>
          <w:szCs w:val="24"/>
        </w:rPr>
      </w:pPr>
      <w:r w:rsidRPr="00B34BF1">
        <w:rPr>
          <w:b/>
          <w:color w:val="0070C0"/>
          <w:sz w:val="24"/>
          <w:szCs w:val="24"/>
        </w:rPr>
        <w:t>Repayment of debt accrued before 1 October 2011 for the purposes of providing aged care to residents</w:t>
      </w:r>
    </w:p>
    <w:p w14:paraId="543853A2" w14:textId="77777777" w:rsidR="0005562C" w:rsidRPr="001C19A5" w:rsidRDefault="0005562C" w:rsidP="0005562C">
      <w:pPr>
        <w:pStyle w:val="NormalWeb"/>
        <w:spacing w:after="120" w:line="240" w:lineRule="auto"/>
        <w:rPr>
          <w:rFonts w:asciiTheme="minorHAnsi" w:hAnsiTheme="minorHAnsi"/>
          <w:iCs/>
        </w:rPr>
      </w:pPr>
      <w:r w:rsidRPr="001C19A5">
        <w:rPr>
          <w:rFonts w:asciiTheme="minorHAnsi" w:hAnsiTheme="minorHAnsi"/>
          <w:iCs/>
        </w:rPr>
        <w:t>If a provider has accrued debt before 1 October 2011 incurred for the purpose of providing aged care, it is a permitted use for bonds to be used to repay this debt.</w:t>
      </w:r>
    </w:p>
    <w:p w14:paraId="0FED4525" w14:textId="0C874CB1" w:rsidR="0005562C" w:rsidRPr="00D65955" w:rsidRDefault="0005562C" w:rsidP="00D65955">
      <w:pPr>
        <w:spacing w:after="120" w:line="240" w:lineRule="auto"/>
        <w:rPr>
          <w:b/>
          <w:color w:val="0070C0"/>
          <w:sz w:val="24"/>
          <w:szCs w:val="24"/>
        </w:rPr>
      </w:pPr>
      <w:r w:rsidRPr="00D65955">
        <w:rPr>
          <w:b/>
          <w:color w:val="0070C0"/>
          <w:sz w:val="24"/>
          <w:szCs w:val="24"/>
        </w:rPr>
        <w:t xml:space="preserve">Investments of </w:t>
      </w:r>
      <w:r w:rsidR="008222AD">
        <w:rPr>
          <w:b/>
          <w:color w:val="0070C0"/>
          <w:sz w:val="24"/>
          <w:szCs w:val="24"/>
        </w:rPr>
        <w:t>b</w:t>
      </w:r>
      <w:r w:rsidRPr="00D65955">
        <w:rPr>
          <w:b/>
          <w:color w:val="0070C0"/>
          <w:sz w:val="24"/>
          <w:szCs w:val="24"/>
        </w:rPr>
        <w:t xml:space="preserve">onds into Religious Charitable Development Funds </w:t>
      </w:r>
    </w:p>
    <w:p w14:paraId="1C82675F" w14:textId="2A57D8F3" w:rsidR="0005562C" w:rsidRPr="001C19A5" w:rsidRDefault="0005562C" w:rsidP="0005562C">
      <w:pPr>
        <w:pStyle w:val="NormalWeb"/>
        <w:spacing w:after="120" w:line="240" w:lineRule="auto"/>
        <w:rPr>
          <w:rFonts w:asciiTheme="minorHAnsi" w:hAnsiTheme="minorHAnsi"/>
          <w:iCs/>
        </w:rPr>
      </w:pPr>
      <w:r w:rsidRPr="001C19A5">
        <w:rPr>
          <w:rFonts w:asciiTheme="minorHAnsi" w:hAnsiTheme="minorHAnsi"/>
          <w:iCs/>
        </w:rPr>
        <w:t xml:space="preserve">RCDFs are established by religious and charitable organisations for the purpose of seeking investments from the public to help further the funds' religious and charitable goals and objectives. This fundraising activity meets the definition of banking business under the </w:t>
      </w:r>
      <w:r w:rsidRPr="001C19A5">
        <w:rPr>
          <w:rFonts w:asciiTheme="minorHAnsi" w:hAnsiTheme="minorHAnsi"/>
          <w:i/>
        </w:rPr>
        <w:t>Banking Act 1959</w:t>
      </w:r>
      <w:r w:rsidRPr="001C19A5">
        <w:rPr>
          <w:rFonts w:asciiTheme="minorHAnsi" w:hAnsiTheme="minorHAnsi"/>
          <w:iCs/>
        </w:rPr>
        <w:t xml:space="preserve">. The Australian Prudential Regulation Authority has exempted RCDFs from the requirement to be authorised under the Banking Act where specified conditions are met. RCDFs that refundable deposits or bonds may be invested into are listed in Schedule </w:t>
      </w:r>
      <w:r w:rsidR="00E654B6">
        <w:rPr>
          <w:rFonts w:asciiTheme="minorHAnsi" w:hAnsiTheme="minorHAnsi"/>
          <w:iCs/>
        </w:rPr>
        <w:t>2</w:t>
      </w:r>
      <w:r w:rsidR="00E654B6" w:rsidRPr="001C19A5">
        <w:rPr>
          <w:rFonts w:asciiTheme="minorHAnsi" w:hAnsiTheme="minorHAnsi"/>
          <w:iCs/>
        </w:rPr>
        <w:t xml:space="preserve"> </w:t>
      </w:r>
      <w:r w:rsidRPr="001C19A5">
        <w:rPr>
          <w:rFonts w:asciiTheme="minorHAnsi" w:hAnsiTheme="minorHAnsi"/>
          <w:iCs/>
        </w:rPr>
        <w:t xml:space="preserve">of the </w:t>
      </w:r>
      <w:r w:rsidRPr="001C19A5">
        <w:rPr>
          <w:rFonts w:asciiTheme="minorHAnsi" w:hAnsiTheme="minorHAnsi"/>
          <w:i/>
          <w:iCs/>
        </w:rPr>
        <w:t xml:space="preserve">Banking Exemption No 1 of </w:t>
      </w:r>
      <w:r w:rsidR="009F39DB" w:rsidRPr="00EB5A10">
        <w:rPr>
          <w:rFonts w:asciiTheme="minorHAnsi" w:hAnsiTheme="minorHAnsi"/>
          <w:i/>
          <w:iCs/>
        </w:rPr>
        <w:t>20</w:t>
      </w:r>
      <w:r w:rsidR="009F39DB">
        <w:rPr>
          <w:rFonts w:asciiTheme="minorHAnsi" w:hAnsiTheme="minorHAnsi"/>
          <w:i/>
          <w:iCs/>
        </w:rPr>
        <w:t>21</w:t>
      </w:r>
      <w:r w:rsidRPr="00EB5A10">
        <w:rPr>
          <w:rFonts w:asciiTheme="minorHAnsi" w:hAnsiTheme="minorHAnsi"/>
          <w:iCs/>
        </w:rPr>
        <w:t>.</w:t>
      </w:r>
      <w:r w:rsidRPr="001C19A5">
        <w:rPr>
          <w:rFonts w:asciiTheme="minorHAnsi" w:hAnsiTheme="minorHAnsi"/>
          <w:iCs/>
        </w:rPr>
        <w:t xml:space="preserve"> The deposit of refundable deposits or bonds into RCDFs is a permitted use only when covered by an IMS. For further information about an Investment Management Strategy, see section on Investment Management Strategy further in this </w:t>
      </w:r>
      <w:r w:rsidR="00015721">
        <w:rPr>
          <w:rFonts w:asciiTheme="minorHAnsi" w:hAnsiTheme="minorHAnsi"/>
          <w:iCs/>
        </w:rPr>
        <w:t>guide</w:t>
      </w:r>
      <w:r w:rsidRPr="001C19A5">
        <w:rPr>
          <w:rFonts w:asciiTheme="minorHAnsi" w:hAnsiTheme="minorHAnsi"/>
          <w:iCs/>
        </w:rPr>
        <w:t>.</w:t>
      </w:r>
    </w:p>
    <w:p w14:paraId="51C47390" w14:textId="77777777" w:rsidR="002134CE" w:rsidRPr="005C569E" w:rsidRDefault="00F6228E" w:rsidP="0005562C">
      <w:pPr>
        <w:pStyle w:val="NormalWeb"/>
        <w:spacing w:after="120" w:line="240" w:lineRule="auto"/>
        <w:rPr>
          <w:rStyle w:val="Strong"/>
          <w:rFonts w:asciiTheme="minorHAnsi" w:hAnsiTheme="minorHAnsi"/>
          <w:b w:val="0"/>
          <w:i/>
          <w:sz w:val="18"/>
          <w:szCs w:val="18"/>
          <w:lang w:val="en"/>
        </w:rPr>
      </w:pPr>
      <w:r w:rsidRPr="001C19A5">
        <w:rPr>
          <w:rStyle w:val="Strong"/>
          <w:rFonts w:asciiTheme="minorHAnsi" w:hAnsiTheme="minorHAnsi"/>
          <w:sz w:val="18"/>
          <w:szCs w:val="18"/>
          <w:lang w:val="en"/>
        </w:rPr>
        <w:t>R</w:t>
      </w:r>
      <w:r w:rsidR="0005562C" w:rsidRPr="001C19A5">
        <w:rPr>
          <w:rStyle w:val="Strong"/>
          <w:rFonts w:asciiTheme="minorHAnsi" w:hAnsiTheme="minorHAnsi"/>
          <w:sz w:val="18"/>
          <w:szCs w:val="18"/>
          <w:lang w:val="en"/>
        </w:rPr>
        <w:t xml:space="preserve">eference: </w:t>
      </w:r>
      <w:hyperlink r:id="rId49" w:history="1">
        <w:r w:rsidR="0005562C" w:rsidRPr="001C19A5">
          <w:rPr>
            <w:rStyle w:val="Strong"/>
            <w:rFonts w:asciiTheme="minorHAnsi" w:hAnsiTheme="minorHAnsi"/>
            <w:b w:val="0"/>
            <w:i/>
            <w:sz w:val="18"/>
            <w:szCs w:val="18"/>
            <w:lang w:val="en"/>
          </w:rPr>
          <w:t>Banking Act 1959</w:t>
        </w:r>
      </w:hyperlink>
    </w:p>
    <w:p w14:paraId="78924329" w14:textId="6CF4E238" w:rsidR="0005562C" w:rsidRPr="002B7CED" w:rsidRDefault="0005562C" w:rsidP="002B7CED">
      <w:pPr>
        <w:spacing w:before="200" w:after="0"/>
        <w:rPr>
          <w:b/>
          <w:bCs/>
          <w:color w:val="0070C0"/>
          <w:sz w:val="26"/>
          <w:szCs w:val="26"/>
        </w:rPr>
      </w:pPr>
      <w:r w:rsidRPr="002B7CED">
        <w:rPr>
          <w:b/>
          <w:bCs/>
          <w:color w:val="0070C0"/>
          <w:sz w:val="26"/>
          <w:szCs w:val="26"/>
        </w:rPr>
        <w:t xml:space="preserve">Reasonable </w:t>
      </w:r>
      <w:r w:rsidR="008222AD" w:rsidRPr="002B7CED">
        <w:rPr>
          <w:b/>
          <w:bCs/>
          <w:color w:val="0070C0"/>
          <w:sz w:val="26"/>
          <w:szCs w:val="26"/>
        </w:rPr>
        <w:t>b</w:t>
      </w:r>
      <w:r w:rsidRPr="002B7CED">
        <w:rPr>
          <w:b/>
          <w:bCs/>
          <w:color w:val="0070C0"/>
          <w:sz w:val="26"/>
          <w:szCs w:val="26"/>
        </w:rPr>
        <w:t xml:space="preserve">usiness </w:t>
      </w:r>
      <w:r w:rsidR="008222AD" w:rsidRPr="002B7CED">
        <w:rPr>
          <w:b/>
          <w:bCs/>
          <w:color w:val="0070C0"/>
          <w:sz w:val="26"/>
          <w:szCs w:val="26"/>
        </w:rPr>
        <w:t>l</w:t>
      </w:r>
      <w:r w:rsidRPr="002B7CED">
        <w:rPr>
          <w:b/>
          <w:bCs/>
          <w:color w:val="0070C0"/>
          <w:sz w:val="26"/>
          <w:szCs w:val="26"/>
        </w:rPr>
        <w:t xml:space="preserve">osses during the </w:t>
      </w:r>
      <w:r w:rsidR="008222AD" w:rsidRPr="002B7CED">
        <w:rPr>
          <w:b/>
          <w:bCs/>
          <w:color w:val="0070C0"/>
          <w:sz w:val="26"/>
          <w:szCs w:val="26"/>
        </w:rPr>
        <w:t>f</w:t>
      </w:r>
      <w:r w:rsidRPr="002B7CED">
        <w:rPr>
          <w:b/>
          <w:bCs/>
          <w:color w:val="0070C0"/>
          <w:sz w:val="26"/>
          <w:szCs w:val="26"/>
        </w:rPr>
        <w:t xml:space="preserve">irst 12 </w:t>
      </w:r>
      <w:r w:rsidR="008222AD" w:rsidRPr="002B7CED">
        <w:rPr>
          <w:b/>
          <w:bCs/>
          <w:color w:val="0070C0"/>
          <w:sz w:val="26"/>
          <w:szCs w:val="26"/>
        </w:rPr>
        <w:t>m</w:t>
      </w:r>
      <w:r w:rsidRPr="002B7CED">
        <w:rPr>
          <w:b/>
          <w:bCs/>
          <w:color w:val="0070C0"/>
          <w:sz w:val="26"/>
          <w:szCs w:val="26"/>
        </w:rPr>
        <w:t xml:space="preserve">onths of a </w:t>
      </w:r>
      <w:r w:rsidR="008222AD" w:rsidRPr="002B7CED">
        <w:rPr>
          <w:b/>
          <w:bCs/>
          <w:color w:val="0070C0"/>
          <w:sz w:val="26"/>
          <w:szCs w:val="26"/>
        </w:rPr>
        <w:t>p</w:t>
      </w:r>
      <w:r w:rsidRPr="002B7CED">
        <w:rPr>
          <w:b/>
          <w:bCs/>
          <w:color w:val="0070C0"/>
          <w:sz w:val="26"/>
          <w:szCs w:val="26"/>
        </w:rPr>
        <w:t xml:space="preserve">rovider </w:t>
      </w:r>
      <w:r w:rsidR="008222AD" w:rsidRPr="002B7CED">
        <w:rPr>
          <w:b/>
          <w:bCs/>
          <w:color w:val="0070C0"/>
          <w:sz w:val="26"/>
          <w:szCs w:val="26"/>
        </w:rPr>
        <w:t>o</w:t>
      </w:r>
      <w:r w:rsidRPr="002B7CED">
        <w:rPr>
          <w:b/>
          <w:bCs/>
          <w:color w:val="0070C0"/>
          <w:sz w:val="26"/>
          <w:szCs w:val="26"/>
        </w:rPr>
        <w:t xml:space="preserve">perating a </w:t>
      </w:r>
      <w:r w:rsidR="008222AD" w:rsidRPr="002B7CED">
        <w:rPr>
          <w:b/>
          <w:bCs/>
          <w:color w:val="0070C0"/>
          <w:sz w:val="26"/>
          <w:szCs w:val="26"/>
        </w:rPr>
        <w:t>s</w:t>
      </w:r>
      <w:r w:rsidRPr="002B7CED">
        <w:rPr>
          <w:b/>
          <w:bCs/>
          <w:color w:val="0070C0"/>
          <w:sz w:val="26"/>
          <w:szCs w:val="26"/>
        </w:rPr>
        <w:t>ervice</w:t>
      </w:r>
    </w:p>
    <w:p w14:paraId="1E2772A9" w14:textId="3D28D2BD" w:rsidR="0005562C" w:rsidRPr="001C19A5" w:rsidRDefault="0005562C" w:rsidP="00093008">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 xml:space="preserve">The permitted use requirements reflect the intended purposes for refundable deposits or bonds, </w:t>
      </w:r>
      <w:r w:rsidR="000473A3" w:rsidRPr="001C19A5">
        <w:rPr>
          <w:rFonts w:asciiTheme="minorHAnsi" w:hAnsiTheme="minorHAnsi"/>
          <w:color w:val="111111"/>
          <w:lang w:val="en"/>
        </w:rPr>
        <w:t>i.e.,</w:t>
      </w:r>
      <w:r w:rsidRPr="001C19A5">
        <w:rPr>
          <w:rFonts w:asciiTheme="minorHAnsi" w:hAnsiTheme="minorHAnsi"/>
          <w:color w:val="111111"/>
          <w:lang w:val="en"/>
        </w:rPr>
        <w:t xml:space="preserve"> to provide a source of capital funding for investment in aged care infrastructure (not operational costs). However, </w:t>
      </w:r>
      <w:r w:rsidRPr="00671BC6">
        <w:rPr>
          <w:rFonts w:asciiTheme="minorHAnsi" w:hAnsiTheme="minorHAnsi"/>
          <w:color w:val="111111"/>
        </w:rPr>
        <w:t>recognising</w:t>
      </w:r>
      <w:r w:rsidRPr="001C19A5">
        <w:rPr>
          <w:rFonts w:asciiTheme="minorHAnsi" w:hAnsiTheme="minorHAnsi"/>
          <w:color w:val="111111"/>
          <w:lang w:val="en"/>
        </w:rPr>
        <w:t xml:space="preserve"> that the construction of a new aged care service or the acquisition of an existing aged care service may involve losses in the initial stages of operation, </w:t>
      </w:r>
      <w:r w:rsidRPr="001C19A5">
        <w:rPr>
          <w:rFonts w:asciiTheme="minorHAnsi" w:hAnsiTheme="minorHAnsi"/>
          <w:color w:val="111111"/>
          <w:lang w:val="en"/>
        </w:rPr>
        <w:lastRenderedPageBreak/>
        <w:t>and that these losses are closely related to the capital investment, a time limited capacity to use refundable deposits or bonds to support operational costs is available.</w:t>
      </w:r>
    </w:p>
    <w:p w14:paraId="6A666D1F" w14:textId="77777777" w:rsidR="0005562C" w:rsidRPr="001C19A5" w:rsidRDefault="0005562C"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Business losses may be incurred during the start-up of a residential or flexible care service, including where a new service opens or where a provider makes changes to the business operations of a newly purchased existing service. It is permitted for a provider to use refundable deposits or bonds to meet reasonable business losses of that service for the first 12 months of that service beginning to be operated by the new provider. If using refundable deposits or bonds to meet reasonable business losses, the provider must ensure that they have sufficient liquidity to repay refundable deposits or bond balances as, and when, they fall due.</w:t>
      </w:r>
    </w:p>
    <w:p w14:paraId="76753326" w14:textId="71C05698" w:rsidR="0005562C" w:rsidRPr="001C19A5" w:rsidRDefault="0005562C" w:rsidP="17F94A6F">
      <w:pPr>
        <w:pStyle w:val="NormalWeb"/>
        <w:spacing w:after="120" w:line="240" w:lineRule="auto"/>
        <w:rPr>
          <w:rFonts w:asciiTheme="minorHAnsi" w:hAnsiTheme="minorHAnsi"/>
          <w:lang w:val="en-US"/>
        </w:rPr>
      </w:pPr>
      <w:r w:rsidRPr="17F94A6F">
        <w:rPr>
          <w:rStyle w:val="Strong"/>
          <w:rFonts w:asciiTheme="minorHAnsi" w:hAnsiTheme="minorHAnsi"/>
          <w:lang w:val="en-US"/>
        </w:rPr>
        <w:t>Example:</w:t>
      </w:r>
      <w:r w:rsidRPr="17F94A6F">
        <w:rPr>
          <w:rFonts w:asciiTheme="minorHAnsi" w:hAnsiTheme="minorHAnsi"/>
          <w:lang w:val="en-US"/>
        </w:rPr>
        <w:t xml:space="preserve"> On 9 March </w:t>
      </w:r>
      <w:r w:rsidR="00AB31D5" w:rsidRPr="17F94A6F">
        <w:rPr>
          <w:rFonts w:asciiTheme="minorHAnsi" w:hAnsiTheme="minorHAnsi"/>
          <w:lang w:val="en-US"/>
        </w:rPr>
        <w:t>20</w:t>
      </w:r>
      <w:r w:rsidR="00D40500">
        <w:rPr>
          <w:rFonts w:asciiTheme="minorHAnsi" w:hAnsiTheme="minorHAnsi"/>
          <w:lang w:val="en-US"/>
        </w:rPr>
        <w:t>23</w:t>
      </w:r>
      <w:r w:rsidRPr="17F94A6F">
        <w:rPr>
          <w:rFonts w:asciiTheme="minorHAnsi" w:hAnsiTheme="minorHAnsi"/>
          <w:lang w:val="en-US"/>
        </w:rPr>
        <w:t xml:space="preserve">, a provider opens a new residential care service. The executive decision makers of the provider wish to use refundable deposits or bonds to pay for the recruitment, training and retention of staff in anticipation of projected occupancy. The provider may use refundable deposits or bonds to meet such operational losses up to and including </w:t>
      </w:r>
      <w:r w:rsidR="00F6228E" w:rsidRPr="17F94A6F">
        <w:rPr>
          <w:rFonts w:asciiTheme="minorHAnsi" w:hAnsiTheme="minorHAnsi"/>
          <w:lang w:val="en-US"/>
        </w:rPr>
        <w:t xml:space="preserve">8 March </w:t>
      </w:r>
      <w:r w:rsidR="00AB31D5" w:rsidRPr="17F94A6F">
        <w:rPr>
          <w:rFonts w:asciiTheme="minorHAnsi" w:hAnsiTheme="minorHAnsi"/>
          <w:lang w:val="en-US"/>
        </w:rPr>
        <w:t>202</w:t>
      </w:r>
      <w:r w:rsidR="00D40500">
        <w:rPr>
          <w:rFonts w:asciiTheme="minorHAnsi" w:hAnsiTheme="minorHAnsi"/>
          <w:lang w:val="en-US"/>
        </w:rPr>
        <w:t>4</w:t>
      </w:r>
      <w:r w:rsidR="00F6228E" w:rsidRPr="17F94A6F">
        <w:rPr>
          <w:rFonts w:asciiTheme="minorHAnsi" w:hAnsiTheme="minorHAnsi"/>
          <w:lang w:val="en-US"/>
        </w:rPr>
        <w:t>.</w:t>
      </w:r>
    </w:p>
    <w:p w14:paraId="4940FDE4" w14:textId="2DA1EC24" w:rsidR="0005562C" w:rsidRPr="001C19A5" w:rsidRDefault="0005562C" w:rsidP="17F94A6F">
      <w:pPr>
        <w:pStyle w:val="NormalWeb"/>
        <w:spacing w:after="120" w:line="240" w:lineRule="auto"/>
        <w:rPr>
          <w:rFonts w:asciiTheme="minorHAnsi" w:hAnsiTheme="minorHAnsi"/>
          <w:lang w:val="en-US"/>
        </w:rPr>
      </w:pPr>
      <w:r w:rsidRPr="17F94A6F">
        <w:rPr>
          <w:rStyle w:val="Strong"/>
          <w:rFonts w:asciiTheme="minorHAnsi" w:hAnsiTheme="minorHAnsi"/>
          <w:lang w:val="en-US"/>
        </w:rPr>
        <w:t>Example:</w:t>
      </w:r>
      <w:r w:rsidRPr="17F94A6F">
        <w:rPr>
          <w:rFonts w:asciiTheme="minorHAnsi" w:hAnsiTheme="minorHAnsi"/>
          <w:lang w:val="en-US"/>
        </w:rPr>
        <w:t xml:space="preserve"> On 25 January </w:t>
      </w:r>
      <w:r w:rsidR="00AB31D5" w:rsidRPr="17F94A6F">
        <w:rPr>
          <w:rFonts w:asciiTheme="minorHAnsi" w:hAnsiTheme="minorHAnsi"/>
          <w:lang w:val="en-US"/>
        </w:rPr>
        <w:t>20</w:t>
      </w:r>
      <w:r w:rsidR="00D40500">
        <w:rPr>
          <w:rFonts w:asciiTheme="minorHAnsi" w:hAnsiTheme="minorHAnsi"/>
          <w:lang w:val="en-US"/>
        </w:rPr>
        <w:t>23</w:t>
      </w:r>
      <w:r w:rsidRPr="17F94A6F">
        <w:rPr>
          <w:rFonts w:asciiTheme="minorHAnsi" w:hAnsiTheme="minorHAnsi"/>
          <w:lang w:val="en-US"/>
        </w:rPr>
        <w:t xml:space="preserve">, provider Acme Pty Ltd purchases the existing residential care service from provider Ace Pty Ltd who is experiencing financial difficulty. Acme Pty Ltd can use refundable deposits or bonds to purchase the land and buildings and fund costs directly attributable to purchasing the residential care service. The executive decision makers of Acme Pty Ltd also want to use refundable deposits or bonds to improve the business operations of the purchased service. Acme Pty Ltd may use refundable deposits or bonds to establish new record keeping systems and to cover other operational losses up to and including 24 January </w:t>
      </w:r>
      <w:r w:rsidR="00AB31D5" w:rsidRPr="17F94A6F">
        <w:rPr>
          <w:rFonts w:asciiTheme="minorHAnsi" w:hAnsiTheme="minorHAnsi"/>
          <w:lang w:val="en-US"/>
        </w:rPr>
        <w:t>202</w:t>
      </w:r>
      <w:r w:rsidR="00D40500">
        <w:rPr>
          <w:rFonts w:asciiTheme="minorHAnsi" w:hAnsiTheme="minorHAnsi"/>
          <w:lang w:val="en-US"/>
        </w:rPr>
        <w:t>4</w:t>
      </w:r>
      <w:r w:rsidRPr="17F94A6F">
        <w:rPr>
          <w:rFonts w:asciiTheme="minorHAnsi" w:hAnsiTheme="minorHAnsi"/>
          <w:lang w:val="en-US"/>
        </w:rPr>
        <w:t>.</w:t>
      </w:r>
    </w:p>
    <w:p w14:paraId="5D58FD2D" w14:textId="07BDE283" w:rsidR="002134CE" w:rsidRPr="005C569E" w:rsidRDefault="00F6228E" w:rsidP="005C569E">
      <w:pPr>
        <w:pStyle w:val="NormalWeb"/>
        <w:spacing w:before="120" w:after="0" w:line="240" w:lineRule="auto"/>
        <w:rPr>
          <w:rFonts w:asciiTheme="minorHAnsi" w:hAnsiTheme="minorHAnsi"/>
          <w:sz w:val="18"/>
          <w:szCs w:val="18"/>
          <w:lang w:val="en"/>
        </w:rPr>
      </w:pPr>
      <w:r w:rsidRPr="001C19A5">
        <w:rPr>
          <w:rStyle w:val="Strong"/>
          <w:rFonts w:asciiTheme="minorHAnsi" w:hAnsiTheme="minorHAnsi"/>
          <w:sz w:val="18"/>
          <w:szCs w:val="18"/>
          <w:lang w:val="en"/>
        </w:rPr>
        <w:t>R</w:t>
      </w:r>
      <w:r w:rsidR="0005562C" w:rsidRPr="001C19A5">
        <w:rPr>
          <w:rStyle w:val="Strong"/>
          <w:rFonts w:asciiTheme="minorHAnsi" w:hAnsiTheme="minorHAnsi"/>
          <w:sz w:val="18"/>
          <w:szCs w:val="18"/>
          <w:lang w:val="en"/>
        </w:rPr>
        <w:t>eference:</w:t>
      </w:r>
      <w:r w:rsidR="0005562C" w:rsidRPr="001C19A5">
        <w:rPr>
          <w:rFonts w:asciiTheme="minorHAnsi" w:hAnsiTheme="minorHAnsi"/>
          <w:sz w:val="18"/>
          <w:szCs w:val="18"/>
          <w:lang w:val="en"/>
        </w:rPr>
        <w:t xml:space="preserve"> </w:t>
      </w:r>
      <w:r w:rsidR="006B2D8E">
        <w:rPr>
          <w:rFonts w:asciiTheme="minorHAnsi" w:hAnsiTheme="minorHAnsi"/>
          <w:sz w:val="18"/>
          <w:szCs w:val="18"/>
          <w:lang w:val="en"/>
        </w:rPr>
        <w:t xml:space="preserve">The </w:t>
      </w:r>
      <w:r w:rsidR="0005562C" w:rsidRPr="001C19A5">
        <w:rPr>
          <w:rFonts w:asciiTheme="minorHAnsi" w:hAnsiTheme="minorHAnsi"/>
          <w:sz w:val="18"/>
          <w:szCs w:val="18"/>
          <w:lang w:val="en"/>
        </w:rPr>
        <w:t xml:space="preserve">Act </w:t>
      </w:r>
      <w:hyperlink r:id="rId50" w:anchor="_Toc406164877" w:history="1">
        <w:r w:rsidR="0005562C" w:rsidRPr="001C19A5">
          <w:rPr>
            <w:rStyle w:val="Hyperlink"/>
            <w:rFonts w:asciiTheme="minorHAnsi" w:hAnsiTheme="minorHAnsi"/>
            <w:color w:val="auto"/>
            <w:sz w:val="18"/>
            <w:szCs w:val="18"/>
            <w:u w:val="none"/>
            <w:lang w:val="en"/>
          </w:rPr>
          <w:t>section 52N-1</w:t>
        </w:r>
      </w:hyperlink>
      <w:r w:rsidR="0005562C" w:rsidRPr="001C19A5">
        <w:rPr>
          <w:rFonts w:asciiTheme="minorHAnsi" w:hAnsiTheme="minorHAnsi"/>
          <w:sz w:val="18"/>
          <w:szCs w:val="18"/>
          <w:lang w:val="en"/>
        </w:rPr>
        <w:t xml:space="preserve">, </w:t>
      </w:r>
      <w:hyperlink r:id="rId51" w:history="1">
        <w:r w:rsidR="0005562C" w:rsidRPr="001C19A5">
          <w:rPr>
            <w:rStyle w:val="Hyperlink"/>
            <w:rFonts w:asciiTheme="minorHAnsi" w:hAnsiTheme="minorHAnsi"/>
            <w:i/>
            <w:color w:val="auto"/>
            <w:sz w:val="18"/>
            <w:szCs w:val="18"/>
            <w:u w:val="none"/>
            <w:lang w:val="en"/>
          </w:rPr>
          <w:t>Corporations Act 2001</w:t>
        </w:r>
      </w:hyperlink>
      <w:r w:rsidR="0005562C" w:rsidRPr="001C19A5">
        <w:rPr>
          <w:rFonts w:asciiTheme="minorHAnsi" w:hAnsiTheme="minorHAnsi"/>
          <w:sz w:val="18"/>
          <w:szCs w:val="18"/>
          <w:lang w:val="en"/>
        </w:rPr>
        <w:t xml:space="preserve"> section 764A, </w:t>
      </w:r>
      <w:hyperlink r:id="rId52" w:history="1">
        <w:r w:rsidR="0005562C" w:rsidRPr="001C19A5">
          <w:rPr>
            <w:rStyle w:val="Hyperlink"/>
            <w:rFonts w:asciiTheme="minorHAnsi" w:hAnsiTheme="minorHAnsi"/>
            <w:i/>
            <w:color w:val="auto"/>
            <w:sz w:val="18"/>
            <w:szCs w:val="18"/>
            <w:u w:val="none"/>
            <w:lang w:val="en"/>
          </w:rPr>
          <w:t>Banking Act 1959</w:t>
        </w:r>
      </w:hyperlink>
      <w:r w:rsidR="0005562C" w:rsidRPr="001C19A5">
        <w:rPr>
          <w:rStyle w:val="Hyperlink"/>
          <w:rFonts w:asciiTheme="minorHAnsi" w:hAnsiTheme="minorHAnsi"/>
          <w:i/>
          <w:color w:val="auto"/>
          <w:sz w:val="18"/>
          <w:szCs w:val="18"/>
          <w:u w:val="none"/>
          <w:lang w:val="en"/>
        </w:rPr>
        <w:t>,</w:t>
      </w:r>
      <w:r w:rsidR="0005562C" w:rsidRPr="001C19A5">
        <w:rPr>
          <w:rFonts w:asciiTheme="minorHAnsi" w:hAnsiTheme="minorHAnsi"/>
          <w:sz w:val="18"/>
          <w:szCs w:val="18"/>
          <w:lang w:val="en"/>
        </w:rPr>
        <w:t xml:space="preserve"> </w:t>
      </w:r>
      <w:hyperlink r:id="rId53" w:history="1">
        <w:r w:rsidR="0005562C" w:rsidRPr="001C19A5">
          <w:rPr>
            <w:rStyle w:val="Hyperlink"/>
            <w:rFonts w:asciiTheme="minorHAnsi" w:hAnsiTheme="minorHAnsi"/>
            <w:i/>
            <w:color w:val="auto"/>
            <w:sz w:val="18"/>
            <w:szCs w:val="18"/>
            <w:u w:val="none"/>
            <w:lang w:val="en"/>
          </w:rPr>
          <w:t>Retirement Savings Accounts Act 1997</w:t>
        </w:r>
      </w:hyperlink>
      <w:r w:rsidR="0005562C" w:rsidRPr="001C19A5">
        <w:rPr>
          <w:rStyle w:val="Hyperlink"/>
          <w:rFonts w:asciiTheme="minorHAnsi" w:hAnsiTheme="minorHAnsi"/>
          <w:i/>
          <w:color w:val="auto"/>
          <w:sz w:val="18"/>
          <w:szCs w:val="18"/>
          <w:u w:val="none"/>
          <w:lang w:val="en"/>
        </w:rPr>
        <w:t>,</w:t>
      </w:r>
      <w:r w:rsidR="0005562C" w:rsidRPr="001C19A5">
        <w:rPr>
          <w:rFonts w:asciiTheme="minorHAnsi" w:hAnsiTheme="minorHAnsi"/>
          <w:sz w:val="18"/>
          <w:szCs w:val="18"/>
          <w:lang w:val="en"/>
        </w:rPr>
        <w:t xml:space="preserve"> </w:t>
      </w:r>
      <w:r w:rsidR="006B2D8E">
        <w:rPr>
          <w:rFonts w:asciiTheme="minorHAnsi" w:hAnsiTheme="minorHAnsi"/>
          <w:sz w:val="18"/>
          <w:szCs w:val="18"/>
          <w:lang w:val="en"/>
        </w:rPr>
        <w:t xml:space="preserve">and </w:t>
      </w:r>
      <w:hyperlink r:id="rId54" w:history="1">
        <w:r w:rsidR="0005562C" w:rsidRPr="001C19A5">
          <w:rPr>
            <w:rStyle w:val="Hyperlink"/>
            <w:rFonts w:asciiTheme="minorHAnsi" w:hAnsiTheme="minorHAnsi"/>
            <w:color w:val="auto"/>
            <w:sz w:val="18"/>
            <w:szCs w:val="18"/>
            <w:u w:val="none"/>
            <w:lang w:val="en"/>
          </w:rPr>
          <w:t xml:space="preserve">Fees and Payments Principles </w:t>
        </w:r>
      </w:hyperlink>
    </w:p>
    <w:p w14:paraId="39F59006" w14:textId="086C00AD" w:rsidR="0063654F" w:rsidRPr="002B7CED" w:rsidRDefault="0063654F" w:rsidP="002B7CED">
      <w:pPr>
        <w:spacing w:before="200" w:after="0"/>
        <w:rPr>
          <w:b/>
          <w:bCs/>
          <w:color w:val="0070C0"/>
          <w:sz w:val="26"/>
          <w:szCs w:val="26"/>
        </w:rPr>
      </w:pPr>
      <w:r w:rsidRPr="002B7CED">
        <w:rPr>
          <w:b/>
          <w:bCs/>
          <w:color w:val="0070C0"/>
          <w:sz w:val="26"/>
          <w:szCs w:val="26"/>
        </w:rPr>
        <w:t xml:space="preserve">Offences </w:t>
      </w:r>
      <w:r w:rsidR="008222AD" w:rsidRPr="002B7CED">
        <w:rPr>
          <w:b/>
          <w:bCs/>
          <w:color w:val="0070C0"/>
          <w:sz w:val="26"/>
          <w:szCs w:val="26"/>
        </w:rPr>
        <w:t>r</w:t>
      </w:r>
      <w:r w:rsidRPr="002B7CED">
        <w:rPr>
          <w:b/>
          <w:bCs/>
          <w:color w:val="0070C0"/>
          <w:sz w:val="26"/>
          <w:szCs w:val="26"/>
        </w:rPr>
        <w:t xml:space="preserve">elating to </w:t>
      </w:r>
      <w:r w:rsidR="008222AD" w:rsidRPr="002B7CED">
        <w:rPr>
          <w:b/>
          <w:bCs/>
          <w:color w:val="0070C0"/>
          <w:sz w:val="26"/>
          <w:szCs w:val="26"/>
        </w:rPr>
        <w:t>n</w:t>
      </w:r>
      <w:r w:rsidRPr="002B7CED">
        <w:rPr>
          <w:b/>
          <w:bCs/>
          <w:color w:val="0070C0"/>
          <w:sz w:val="26"/>
          <w:szCs w:val="26"/>
        </w:rPr>
        <w:t>on-</w:t>
      </w:r>
      <w:r w:rsidR="008222AD" w:rsidRPr="002B7CED">
        <w:rPr>
          <w:b/>
          <w:bCs/>
          <w:color w:val="0070C0"/>
          <w:sz w:val="26"/>
          <w:szCs w:val="26"/>
        </w:rPr>
        <w:t>p</w:t>
      </w:r>
      <w:r w:rsidRPr="002B7CED">
        <w:rPr>
          <w:b/>
          <w:bCs/>
          <w:color w:val="0070C0"/>
          <w:sz w:val="26"/>
          <w:szCs w:val="26"/>
        </w:rPr>
        <w:t xml:space="preserve">ermitted </w:t>
      </w:r>
      <w:r w:rsidR="008222AD" w:rsidRPr="002B7CED">
        <w:rPr>
          <w:b/>
          <w:bCs/>
          <w:color w:val="0070C0"/>
          <w:sz w:val="26"/>
          <w:szCs w:val="26"/>
        </w:rPr>
        <w:t>u</w:t>
      </w:r>
      <w:r w:rsidRPr="002B7CED">
        <w:rPr>
          <w:b/>
          <w:bCs/>
          <w:color w:val="0070C0"/>
          <w:sz w:val="26"/>
          <w:szCs w:val="26"/>
        </w:rPr>
        <w:t xml:space="preserve">se of </w:t>
      </w:r>
      <w:r w:rsidR="008222AD" w:rsidRPr="002B7CED">
        <w:rPr>
          <w:b/>
          <w:bCs/>
          <w:color w:val="0070C0"/>
          <w:sz w:val="26"/>
          <w:szCs w:val="26"/>
        </w:rPr>
        <w:t>r</w:t>
      </w:r>
      <w:r w:rsidRPr="002B7CED">
        <w:rPr>
          <w:b/>
          <w:bCs/>
          <w:color w:val="0070C0"/>
          <w:sz w:val="26"/>
          <w:szCs w:val="26"/>
        </w:rPr>
        <w:t xml:space="preserve">efundable </w:t>
      </w:r>
      <w:r w:rsidR="008222AD" w:rsidRPr="002B7CED">
        <w:rPr>
          <w:b/>
          <w:bCs/>
          <w:color w:val="0070C0"/>
          <w:sz w:val="26"/>
          <w:szCs w:val="26"/>
        </w:rPr>
        <w:t>d</w:t>
      </w:r>
      <w:r w:rsidRPr="002B7CED">
        <w:rPr>
          <w:b/>
          <w:bCs/>
          <w:color w:val="0070C0"/>
          <w:sz w:val="26"/>
          <w:szCs w:val="26"/>
        </w:rPr>
        <w:t xml:space="preserve">eposits and </w:t>
      </w:r>
      <w:r w:rsidR="008222AD" w:rsidRPr="002B7CED">
        <w:rPr>
          <w:b/>
          <w:bCs/>
          <w:color w:val="0070C0"/>
          <w:sz w:val="26"/>
          <w:szCs w:val="26"/>
        </w:rPr>
        <w:t>b</w:t>
      </w:r>
      <w:r w:rsidRPr="002B7CED">
        <w:rPr>
          <w:b/>
          <w:bCs/>
          <w:color w:val="0070C0"/>
          <w:sz w:val="26"/>
          <w:szCs w:val="26"/>
        </w:rPr>
        <w:t>onds</w:t>
      </w:r>
    </w:p>
    <w:p w14:paraId="1CA30681" w14:textId="72B95F3F"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Criminal offences for s</w:t>
      </w:r>
      <w:r w:rsidR="00E31058" w:rsidRPr="17F94A6F">
        <w:rPr>
          <w:rFonts w:asciiTheme="minorHAnsi" w:hAnsiTheme="minorHAnsi"/>
          <w:color w:val="111111"/>
          <w:lang w:val="en-US"/>
        </w:rPr>
        <w:t xml:space="preserve">erious non-compliance </w:t>
      </w:r>
      <w:r w:rsidR="00A02D08" w:rsidRPr="17F94A6F">
        <w:rPr>
          <w:rFonts w:asciiTheme="minorHAnsi" w:hAnsiTheme="minorHAnsi"/>
          <w:color w:val="111111"/>
          <w:lang w:val="en-US"/>
        </w:rPr>
        <w:t xml:space="preserve">are intended </w:t>
      </w:r>
      <w:r w:rsidR="00A02D08" w:rsidRPr="17F94A6F">
        <w:rPr>
          <w:rFonts w:ascii="Calibri" w:hAnsi="Calibri"/>
          <w:color w:val="111111"/>
          <w:lang w:val="en-US"/>
        </w:rPr>
        <w:t>to discourage providers from using refundable deposits and bonds for purposes that are not permitted and to build consumer confidence in paying refundable deposits and bonds.</w:t>
      </w:r>
      <w:r w:rsidRPr="17F94A6F">
        <w:rPr>
          <w:rFonts w:asciiTheme="minorHAnsi" w:hAnsiTheme="minorHAnsi"/>
          <w:color w:val="111111"/>
          <w:lang w:val="en-US"/>
        </w:rPr>
        <w:t xml:space="preserve"> It clearly reinforces the importance of appropriately managing refundable deposit and bond funds (see section 52N-2,</w:t>
      </w:r>
      <w:r w:rsidR="006A13C6" w:rsidRPr="17F94A6F">
        <w:rPr>
          <w:rFonts w:asciiTheme="minorHAnsi" w:hAnsiTheme="minorHAnsi"/>
          <w:color w:val="111111"/>
          <w:lang w:val="en-US"/>
        </w:rPr>
        <w:t xml:space="preserve"> the</w:t>
      </w:r>
      <w:r w:rsidRPr="17F94A6F">
        <w:rPr>
          <w:rFonts w:asciiTheme="minorHAnsi" w:hAnsiTheme="minorHAnsi"/>
          <w:color w:val="111111"/>
          <w:lang w:val="en-US"/>
        </w:rPr>
        <w:t xml:space="preserve"> Act).</w:t>
      </w:r>
    </w:p>
    <w:p w14:paraId="353D51EA" w14:textId="67AF7865"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Providers commit a criminal offence if they misuse refundable deposits or bonds and, within </w:t>
      </w:r>
      <w:r w:rsidR="00486712" w:rsidRPr="17F94A6F">
        <w:rPr>
          <w:rFonts w:asciiTheme="minorHAnsi" w:hAnsiTheme="minorHAnsi"/>
          <w:color w:val="111111"/>
          <w:lang w:val="en-US"/>
        </w:rPr>
        <w:t>five</w:t>
      </w:r>
      <w:r w:rsidRPr="17F94A6F">
        <w:rPr>
          <w:rFonts w:asciiTheme="minorHAnsi" w:hAnsiTheme="minorHAnsi"/>
          <w:color w:val="111111"/>
          <w:lang w:val="en-US"/>
        </w:rPr>
        <w:t xml:space="preserve"> years of the misuse occurring, both suffer an insolvency event and owe refundable deposit/bond balance refunds. Offences apply to both providers and to key personnel who knew about the </w:t>
      </w:r>
      <w:r w:rsidR="00EB2DF6" w:rsidRPr="17F94A6F">
        <w:rPr>
          <w:rFonts w:asciiTheme="minorHAnsi" w:hAnsiTheme="minorHAnsi"/>
          <w:color w:val="111111"/>
          <w:lang w:val="en-US"/>
        </w:rPr>
        <w:t>misuse or</w:t>
      </w:r>
      <w:r w:rsidRPr="17F94A6F">
        <w:rPr>
          <w:rFonts w:asciiTheme="minorHAnsi" w:hAnsiTheme="minorHAnsi"/>
          <w:color w:val="111111"/>
          <w:lang w:val="en-US"/>
        </w:rPr>
        <w:t xml:space="preserve"> were reckless or negligent as to whether the refundable deposits or bonds were being </w:t>
      </w:r>
      <w:r w:rsidR="00C665D3" w:rsidRPr="17F94A6F">
        <w:rPr>
          <w:rFonts w:asciiTheme="minorHAnsi" w:hAnsiTheme="minorHAnsi"/>
          <w:color w:val="111111"/>
          <w:lang w:val="en-US"/>
        </w:rPr>
        <w:t>misused if</w:t>
      </w:r>
      <w:r w:rsidRPr="17F94A6F">
        <w:rPr>
          <w:rFonts w:asciiTheme="minorHAnsi" w:hAnsiTheme="minorHAnsi"/>
          <w:color w:val="111111"/>
          <w:lang w:val="en-US"/>
        </w:rPr>
        <w:t xml:space="preserve"> they could have taken steps to prevent the misuse but failed to do so.</w:t>
      </w:r>
    </w:p>
    <w:p w14:paraId="0C7C49B0" w14:textId="36A21AB9"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The offences are intended to reinforce the significance of providers' obligations to their residents in dealing appropriately with residents' funds and ensuring that refund obligations are met. They are not intended to be used in circumstances where a breach has been minor and unintentional. Rather, they are structured to ensure that they only become available in the most extreme of circumstances </w:t>
      </w:r>
      <w:r w:rsidR="00413426" w:rsidRPr="17F94A6F">
        <w:rPr>
          <w:rFonts w:asciiTheme="minorHAnsi" w:hAnsiTheme="minorHAnsi"/>
          <w:color w:val="111111"/>
          <w:lang w:val="en-US"/>
        </w:rPr>
        <w:t xml:space="preserve">– where </w:t>
      </w:r>
      <w:r w:rsidRPr="17F94A6F">
        <w:rPr>
          <w:rFonts w:asciiTheme="minorHAnsi" w:hAnsiTheme="minorHAnsi"/>
          <w:color w:val="111111"/>
          <w:lang w:val="en-US"/>
        </w:rPr>
        <w:t>a provider has failed to comply with their statutory obligations on the use of refundable deposits or bonds and they have not met their refund obligations to residents.</w:t>
      </w:r>
    </w:p>
    <w:p w14:paraId="1723A9F3" w14:textId="4E055BDB"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 xml:space="preserve">It is not necessary that the non-permitted use of the refundable deposit or bond can be shown to have actually caused the provider's insolvency, but simply that there was a non-permitted use and there was also an insolvency event (and failure to repay one or more refundable deposits or bonds) within </w:t>
      </w:r>
      <w:r w:rsidR="00486712" w:rsidRPr="17F94A6F">
        <w:rPr>
          <w:rFonts w:asciiTheme="minorHAnsi" w:hAnsiTheme="minorHAnsi"/>
          <w:color w:val="111111"/>
          <w:lang w:val="en-US"/>
        </w:rPr>
        <w:t>five</w:t>
      </w:r>
      <w:r w:rsidRPr="17F94A6F">
        <w:rPr>
          <w:rFonts w:asciiTheme="minorHAnsi" w:hAnsiTheme="minorHAnsi"/>
          <w:color w:val="111111"/>
          <w:lang w:val="en-US"/>
        </w:rPr>
        <w:t xml:space="preserve"> years.</w:t>
      </w:r>
    </w:p>
    <w:p w14:paraId="4E3B8DEB" w14:textId="5FCBB1F4" w:rsidR="0063654F" w:rsidRPr="001C19A5" w:rsidRDefault="0063654F" w:rsidP="00093008">
      <w:pPr>
        <w:pStyle w:val="NormalWeb"/>
        <w:spacing w:after="120" w:line="240" w:lineRule="auto"/>
        <w:rPr>
          <w:rFonts w:asciiTheme="minorHAnsi" w:hAnsiTheme="minorHAnsi"/>
          <w:color w:val="111111"/>
          <w:lang w:val="en"/>
        </w:rPr>
      </w:pPr>
      <w:r w:rsidRPr="001C19A5">
        <w:rPr>
          <w:rFonts w:asciiTheme="minorHAnsi" w:hAnsiTheme="minorHAnsi"/>
          <w:color w:val="111111"/>
          <w:lang w:val="en"/>
        </w:rPr>
        <w:t xml:space="preserve">The penalties can only apply to key personnel where they have known that refundable deposits or bonds are being used for non-permitted purposes, they have not taken reasonable steps to </w:t>
      </w:r>
      <w:r w:rsidRPr="001C19A5">
        <w:rPr>
          <w:rFonts w:asciiTheme="minorHAnsi" w:hAnsiTheme="minorHAnsi"/>
          <w:color w:val="111111"/>
          <w:lang w:val="en"/>
        </w:rPr>
        <w:lastRenderedPageBreak/>
        <w:t xml:space="preserve">prevent the misuse of refundable deposits or bonds and, within </w:t>
      </w:r>
      <w:r w:rsidR="00486712">
        <w:rPr>
          <w:rFonts w:asciiTheme="minorHAnsi" w:hAnsiTheme="minorHAnsi"/>
          <w:color w:val="111111"/>
          <w:lang w:val="en"/>
        </w:rPr>
        <w:t>five</w:t>
      </w:r>
      <w:r w:rsidRPr="001C19A5">
        <w:rPr>
          <w:rFonts w:asciiTheme="minorHAnsi" w:hAnsiTheme="minorHAnsi"/>
          <w:color w:val="111111"/>
          <w:lang w:val="en"/>
        </w:rPr>
        <w:t xml:space="preserve"> years of the misuse,</w:t>
      </w:r>
      <w:r w:rsidR="00875F4B">
        <w:rPr>
          <w:rFonts w:asciiTheme="minorHAnsi" w:hAnsiTheme="minorHAnsi"/>
          <w:color w:val="111111"/>
          <w:lang w:val="en"/>
        </w:rPr>
        <w:t xml:space="preserve"> and there has been an insolvency event</w:t>
      </w:r>
      <w:r w:rsidRPr="001C19A5">
        <w:rPr>
          <w:rFonts w:asciiTheme="minorHAnsi" w:hAnsiTheme="minorHAnsi"/>
          <w:color w:val="111111"/>
          <w:lang w:val="en"/>
        </w:rPr>
        <w:t xml:space="preserve"> while owing refunds of refundable deposits or bonds.</w:t>
      </w:r>
    </w:p>
    <w:p w14:paraId="5DC04484" w14:textId="77777777" w:rsidR="0063654F" w:rsidRPr="001C19A5" w:rsidRDefault="0063654F" w:rsidP="0063654F">
      <w:pPr>
        <w:pStyle w:val="NormalWeb"/>
        <w:spacing w:after="0" w:line="240" w:lineRule="auto"/>
        <w:rPr>
          <w:rFonts w:asciiTheme="minorHAnsi" w:hAnsiTheme="minorHAnsi"/>
          <w:color w:val="111111"/>
          <w:lang w:val="en"/>
        </w:rPr>
      </w:pPr>
      <w:r w:rsidRPr="001C19A5">
        <w:rPr>
          <w:rFonts w:asciiTheme="minorHAnsi" w:hAnsiTheme="minorHAnsi"/>
          <w:color w:val="111111"/>
          <w:lang w:val="en"/>
        </w:rPr>
        <w:t>An individual commits an offence (punishable by up to two years imprisonment) if:</w:t>
      </w:r>
    </w:p>
    <w:p w14:paraId="3411551E" w14:textId="7D5CC2D7" w:rsidR="0063654F" w:rsidRPr="00B35C39" w:rsidRDefault="0063654F" w:rsidP="00B35C39">
      <w:pPr>
        <w:pStyle w:val="ListParagraph"/>
        <w:numPr>
          <w:ilvl w:val="0"/>
          <w:numId w:val="31"/>
        </w:numPr>
        <w:spacing w:after="0" w:line="240" w:lineRule="auto"/>
        <w:ind w:left="851" w:hanging="425"/>
        <w:rPr>
          <w:rFonts w:asciiTheme="minorHAnsi" w:hAnsiTheme="minorHAnsi"/>
          <w:color w:val="111111"/>
          <w:sz w:val="24"/>
          <w:szCs w:val="24"/>
          <w:lang w:val="en-US"/>
        </w:rPr>
      </w:pPr>
      <w:r w:rsidRPr="00B35C39">
        <w:rPr>
          <w:rFonts w:asciiTheme="minorHAnsi" w:hAnsiTheme="minorHAnsi"/>
          <w:color w:val="111111"/>
          <w:sz w:val="24"/>
          <w:szCs w:val="24"/>
          <w:lang w:val="en-US"/>
        </w:rPr>
        <w:t xml:space="preserve">the individual is one of the key personnel of a provider or former provider (noting that key personnel is defined by a person's role and not through notifying the </w:t>
      </w:r>
      <w:r w:rsidR="00D65955" w:rsidRPr="00B35C39">
        <w:rPr>
          <w:rFonts w:asciiTheme="minorHAnsi" w:hAnsiTheme="minorHAnsi"/>
          <w:color w:val="111111"/>
          <w:sz w:val="24"/>
          <w:szCs w:val="24"/>
          <w:lang w:val="en-US"/>
        </w:rPr>
        <w:t>Commission</w:t>
      </w:r>
      <w:r w:rsidRPr="00B35C39">
        <w:rPr>
          <w:rFonts w:asciiTheme="minorHAnsi" w:hAnsiTheme="minorHAnsi"/>
          <w:color w:val="111111"/>
          <w:sz w:val="24"/>
          <w:szCs w:val="24"/>
          <w:lang w:val="en-US"/>
        </w:rPr>
        <w:t xml:space="preserve"> of their key personnel status)</w:t>
      </w:r>
    </w:p>
    <w:p w14:paraId="17FB3F96" w14:textId="6AABA33F" w:rsidR="0063654F" w:rsidRPr="00B35C39" w:rsidRDefault="0063654F" w:rsidP="00B35C39">
      <w:pPr>
        <w:pStyle w:val="ListParagraph"/>
        <w:numPr>
          <w:ilvl w:val="0"/>
          <w:numId w:val="31"/>
        </w:numPr>
        <w:spacing w:before="0" w:after="0" w:line="240" w:lineRule="auto"/>
        <w:ind w:left="851" w:hanging="425"/>
        <w:rPr>
          <w:rFonts w:asciiTheme="minorHAnsi" w:hAnsiTheme="minorHAnsi"/>
          <w:color w:val="111111"/>
          <w:sz w:val="24"/>
          <w:szCs w:val="24"/>
          <w:lang w:val="en-US"/>
        </w:rPr>
      </w:pPr>
      <w:r w:rsidRPr="00B35C39">
        <w:rPr>
          <w:rFonts w:asciiTheme="minorHAnsi" w:hAnsiTheme="minorHAnsi"/>
          <w:color w:val="111111"/>
          <w:sz w:val="24"/>
          <w:szCs w:val="24"/>
          <w:lang w:val="en-US"/>
        </w:rPr>
        <w:t>the provider or former provider uses a refundable deposit or bond for a non-permitted use</w:t>
      </w:r>
    </w:p>
    <w:p w14:paraId="1CC30F3F" w14:textId="55A28C84" w:rsidR="0063654F" w:rsidRPr="00421DD6" w:rsidRDefault="0063654F" w:rsidP="00B35C39">
      <w:pPr>
        <w:pStyle w:val="ListParagraph"/>
        <w:numPr>
          <w:ilvl w:val="0"/>
          <w:numId w:val="31"/>
        </w:numPr>
        <w:spacing w:before="0" w:after="0" w:line="240" w:lineRule="auto"/>
        <w:ind w:left="851" w:hanging="425"/>
        <w:rPr>
          <w:rFonts w:asciiTheme="minorHAnsi" w:hAnsiTheme="minorHAnsi"/>
          <w:color w:val="111111"/>
          <w:sz w:val="24"/>
          <w:szCs w:val="24"/>
          <w:lang w:val="en-US"/>
        </w:rPr>
      </w:pPr>
      <w:r w:rsidRPr="00421DD6">
        <w:rPr>
          <w:rFonts w:asciiTheme="minorHAnsi" w:hAnsiTheme="minorHAnsi"/>
          <w:color w:val="111111"/>
          <w:sz w:val="24"/>
          <w:szCs w:val="24"/>
          <w:lang w:val="en-US"/>
        </w:rPr>
        <w:t>the individual knew that, or was reckless or negligent as to whether, the refundable deposit or bond would be used for a purpose that was not permitted. Strict liability applies to this element of the offence</w:t>
      </w:r>
    </w:p>
    <w:p w14:paraId="022CAEBF" w14:textId="57F57B9E" w:rsidR="0063654F" w:rsidRPr="00421DD6" w:rsidRDefault="0063654F" w:rsidP="00B35C39">
      <w:pPr>
        <w:pStyle w:val="ListParagraph"/>
        <w:numPr>
          <w:ilvl w:val="0"/>
          <w:numId w:val="31"/>
        </w:numPr>
        <w:spacing w:before="0" w:after="0" w:line="240" w:lineRule="auto"/>
        <w:ind w:left="851" w:hanging="425"/>
        <w:rPr>
          <w:rFonts w:asciiTheme="minorHAnsi" w:hAnsiTheme="minorHAnsi"/>
          <w:color w:val="111111"/>
          <w:sz w:val="24"/>
          <w:szCs w:val="24"/>
          <w:lang w:val="en-US"/>
        </w:rPr>
      </w:pPr>
      <w:r w:rsidRPr="00421DD6">
        <w:rPr>
          <w:rFonts w:asciiTheme="minorHAnsi" w:hAnsiTheme="minorHAnsi"/>
          <w:color w:val="111111"/>
          <w:sz w:val="24"/>
          <w:szCs w:val="24"/>
          <w:lang w:val="en-US"/>
        </w:rPr>
        <w:t>the individual was in a position to influence the conduct of the entity in relation to the use of the refundable deposit or bond</w:t>
      </w:r>
    </w:p>
    <w:p w14:paraId="0738741C" w14:textId="7F944A2A" w:rsidR="0063654F" w:rsidRPr="00421DD6" w:rsidRDefault="0063654F" w:rsidP="00B35C39">
      <w:pPr>
        <w:pStyle w:val="ListParagraph"/>
        <w:numPr>
          <w:ilvl w:val="0"/>
          <w:numId w:val="31"/>
        </w:numPr>
        <w:spacing w:before="0" w:after="0" w:line="240" w:lineRule="auto"/>
        <w:ind w:left="851" w:hanging="425"/>
        <w:rPr>
          <w:rFonts w:asciiTheme="minorHAnsi" w:hAnsiTheme="minorHAnsi"/>
          <w:color w:val="111111"/>
          <w:sz w:val="24"/>
          <w:szCs w:val="24"/>
          <w:lang w:val="en-US"/>
        </w:rPr>
      </w:pPr>
      <w:r w:rsidRPr="00421DD6">
        <w:rPr>
          <w:rFonts w:asciiTheme="minorHAnsi" w:hAnsiTheme="minorHAnsi"/>
          <w:color w:val="111111"/>
          <w:sz w:val="24"/>
          <w:szCs w:val="24"/>
          <w:lang w:val="en-US"/>
        </w:rPr>
        <w:t>the individual failed to take all reasonable steps to prevent the misuse of the refundable deposit or bond</w:t>
      </w:r>
    </w:p>
    <w:p w14:paraId="1BCB1BC9" w14:textId="76EE316E" w:rsidR="0063654F" w:rsidRPr="001C19A5" w:rsidRDefault="0063654F" w:rsidP="40B9380F">
      <w:pPr>
        <w:pStyle w:val="ListParagraph"/>
        <w:numPr>
          <w:ilvl w:val="0"/>
          <w:numId w:val="33"/>
        </w:numPr>
        <w:tabs>
          <w:tab w:val="clear" w:pos="720"/>
        </w:tabs>
        <w:spacing w:before="0" w:after="0" w:line="240" w:lineRule="auto"/>
        <w:ind w:left="851" w:hanging="425"/>
        <w:rPr>
          <w:rFonts w:asciiTheme="minorHAnsi" w:hAnsiTheme="minorHAnsi"/>
          <w:color w:val="111111"/>
          <w:sz w:val="24"/>
          <w:szCs w:val="24"/>
          <w:lang w:val="en-US"/>
        </w:rPr>
      </w:pPr>
      <w:r w:rsidRPr="40B9380F">
        <w:rPr>
          <w:rFonts w:asciiTheme="minorHAnsi" w:hAnsiTheme="minorHAnsi"/>
          <w:color w:val="111111"/>
          <w:sz w:val="24"/>
          <w:szCs w:val="24"/>
          <w:lang w:val="en-US"/>
        </w:rPr>
        <w:t xml:space="preserve">within </w:t>
      </w:r>
      <w:r w:rsidR="0070116F" w:rsidRPr="40B9380F">
        <w:rPr>
          <w:rFonts w:asciiTheme="minorHAnsi" w:hAnsiTheme="minorHAnsi"/>
          <w:color w:val="111111"/>
          <w:sz w:val="24"/>
          <w:szCs w:val="24"/>
          <w:lang w:val="en-US"/>
        </w:rPr>
        <w:t>five</w:t>
      </w:r>
      <w:r w:rsidRPr="40B9380F">
        <w:rPr>
          <w:rFonts w:asciiTheme="minorHAnsi" w:hAnsiTheme="minorHAnsi"/>
          <w:color w:val="111111"/>
          <w:sz w:val="24"/>
          <w:szCs w:val="24"/>
          <w:lang w:val="en-US"/>
        </w:rPr>
        <w:t xml:space="preserve"> years of the non-permitted use of the refundable deposit or bond, the Refundable Deposit/Bond Guarantee Scheme was triggered. In other words, an insolvency event (within the meaning of the </w:t>
      </w:r>
      <w:hyperlink r:id="rId55">
        <w:r w:rsidRPr="40B9380F">
          <w:rPr>
            <w:rStyle w:val="Hyperlink"/>
            <w:rFonts w:asciiTheme="minorHAnsi" w:hAnsiTheme="minorHAnsi"/>
            <w:i/>
            <w:iCs/>
            <w:sz w:val="24"/>
            <w:szCs w:val="24"/>
            <w:u w:val="none"/>
            <w:lang w:val="en-US"/>
          </w:rPr>
          <w:t>Aged Care (Accommodation Payment Security) Act 2006</w:t>
        </w:r>
      </w:hyperlink>
      <w:r w:rsidRPr="40B9380F">
        <w:rPr>
          <w:rFonts w:asciiTheme="minorHAnsi" w:hAnsiTheme="minorHAnsi"/>
          <w:i/>
          <w:iCs/>
          <w:sz w:val="24"/>
          <w:szCs w:val="24"/>
          <w:lang w:val="en-US"/>
        </w:rPr>
        <w:t xml:space="preserve">) </w:t>
      </w:r>
      <w:r w:rsidRPr="40B9380F">
        <w:rPr>
          <w:rFonts w:asciiTheme="minorHAnsi" w:hAnsiTheme="minorHAnsi"/>
          <w:color w:val="111111"/>
          <w:sz w:val="24"/>
          <w:szCs w:val="24"/>
          <w:lang w:val="en-US"/>
        </w:rPr>
        <w:t>has occurred in relation to the provider or former provider and there is at least one outstanding refundable deposit/bond balance. Strict liability applies to this element of the offence</w:t>
      </w:r>
    </w:p>
    <w:p w14:paraId="59F5AEAC" w14:textId="5B1BFBEF" w:rsidR="0063654F" w:rsidRPr="00B35C39" w:rsidRDefault="0063654F" w:rsidP="00B35C39">
      <w:pPr>
        <w:pStyle w:val="ListParagraph"/>
        <w:numPr>
          <w:ilvl w:val="0"/>
          <w:numId w:val="18"/>
        </w:numPr>
        <w:spacing w:before="0" w:after="120" w:line="0" w:lineRule="atLeast"/>
        <w:ind w:left="851" w:hanging="425"/>
        <w:rPr>
          <w:rFonts w:asciiTheme="minorHAnsi" w:hAnsiTheme="minorHAnsi" w:cs="Arial"/>
          <w:sz w:val="24"/>
          <w:szCs w:val="24"/>
        </w:rPr>
      </w:pPr>
      <w:r w:rsidRPr="00B35C39">
        <w:rPr>
          <w:rFonts w:asciiTheme="minorHAnsi" w:hAnsiTheme="minorHAnsi" w:cs="Arial"/>
          <w:sz w:val="24"/>
          <w:szCs w:val="24"/>
        </w:rPr>
        <w:t>at the time that the refundable deposits or bonds was used for the non-permitted use, the provider (or former provider) was a corporation. Strict liability also applies to this element of the offence</w:t>
      </w:r>
    </w:p>
    <w:p w14:paraId="413AE413" w14:textId="77777777"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An individual convicted of such an offence would automatically become a disqualified individual for the purposes of the Act and would be unable to be one of the key personnel of any other provider.</w:t>
      </w:r>
    </w:p>
    <w:p w14:paraId="0B4C7822" w14:textId="77777777" w:rsidR="0063654F" w:rsidRPr="001C19A5" w:rsidRDefault="0063654F" w:rsidP="17F94A6F">
      <w:pPr>
        <w:pStyle w:val="NormalWeb"/>
        <w:spacing w:after="120" w:line="240" w:lineRule="auto"/>
        <w:rPr>
          <w:rFonts w:asciiTheme="minorHAnsi" w:hAnsiTheme="minorHAnsi"/>
          <w:color w:val="111111"/>
          <w:lang w:val="en-US"/>
        </w:rPr>
      </w:pPr>
      <w:r w:rsidRPr="17F94A6F">
        <w:rPr>
          <w:rFonts w:asciiTheme="minorHAnsi" w:hAnsiTheme="minorHAnsi"/>
          <w:color w:val="111111"/>
          <w:lang w:val="en-US"/>
        </w:rPr>
        <w:t>Providers can avoid potential liability for an offence by using refundable deposits and bonds for permitted uses only.</w:t>
      </w:r>
    </w:p>
    <w:p w14:paraId="0FA971EB" w14:textId="77777777" w:rsidR="0063654F" w:rsidRPr="001C19A5" w:rsidRDefault="0063654F" w:rsidP="17F94A6F">
      <w:pPr>
        <w:pStyle w:val="NormalWeb"/>
        <w:spacing w:after="0" w:line="240" w:lineRule="auto"/>
        <w:rPr>
          <w:rFonts w:asciiTheme="minorHAnsi" w:hAnsiTheme="minorHAnsi"/>
          <w:color w:val="111111"/>
          <w:lang w:val="en-US"/>
        </w:rPr>
      </w:pPr>
      <w:r w:rsidRPr="17F94A6F">
        <w:rPr>
          <w:rFonts w:asciiTheme="minorHAnsi" w:hAnsiTheme="minorHAnsi"/>
          <w:color w:val="111111"/>
          <w:lang w:val="en-US"/>
        </w:rPr>
        <w:t>Regardless of whether or not a provider has failed financially, sanctions can be imposed if providers do not comply with one or more of their prudential obligations.</w:t>
      </w:r>
    </w:p>
    <w:p w14:paraId="7283F55F" w14:textId="289D8785" w:rsidR="0063654F" w:rsidRPr="001C19A5" w:rsidRDefault="00F6228E" w:rsidP="0063654F">
      <w:pPr>
        <w:pStyle w:val="NormalWeb"/>
        <w:spacing w:after="120" w:line="240" w:lineRule="auto"/>
        <w:rPr>
          <w:rFonts w:asciiTheme="minorHAnsi" w:hAnsiTheme="minorHAnsi"/>
          <w:color w:val="111111"/>
          <w:sz w:val="18"/>
          <w:szCs w:val="18"/>
          <w:lang w:val="en"/>
        </w:rPr>
      </w:pPr>
      <w:r w:rsidRPr="001C19A5">
        <w:rPr>
          <w:rStyle w:val="Strong"/>
          <w:rFonts w:asciiTheme="minorHAnsi" w:hAnsiTheme="minorHAnsi"/>
          <w:color w:val="111111"/>
          <w:sz w:val="18"/>
          <w:szCs w:val="18"/>
          <w:lang w:val="en"/>
        </w:rPr>
        <w:t>R</w:t>
      </w:r>
      <w:r w:rsidR="0063654F" w:rsidRPr="001C19A5">
        <w:rPr>
          <w:rStyle w:val="Strong"/>
          <w:rFonts w:asciiTheme="minorHAnsi" w:hAnsiTheme="minorHAnsi"/>
          <w:color w:val="111111"/>
          <w:sz w:val="18"/>
          <w:szCs w:val="18"/>
          <w:lang w:val="en"/>
        </w:rPr>
        <w:t>eference</w:t>
      </w:r>
      <w:r w:rsidR="0063654F" w:rsidRPr="001C19A5">
        <w:rPr>
          <w:rStyle w:val="Strong"/>
          <w:rFonts w:asciiTheme="minorHAnsi" w:hAnsiTheme="minorHAnsi"/>
          <w:sz w:val="18"/>
          <w:szCs w:val="18"/>
          <w:lang w:val="en"/>
        </w:rPr>
        <w:t>:</w:t>
      </w:r>
      <w:r w:rsidR="0063654F" w:rsidRPr="001C19A5">
        <w:rPr>
          <w:rFonts w:asciiTheme="minorHAnsi" w:hAnsiTheme="minorHAnsi"/>
          <w:sz w:val="18"/>
          <w:szCs w:val="18"/>
          <w:lang w:val="en"/>
        </w:rPr>
        <w:t xml:space="preserve"> </w:t>
      </w:r>
      <w:r w:rsidR="006B2D8E">
        <w:rPr>
          <w:rFonts w:asciiTheme="minorHAnsi" w:hAnsiTheme="minorHAnsi"/>
          <w:sz w:val="18"/>
          <w:szCs w:val="18"/>
          <w:lang w:val="en"/>
        </w:rPr>
        <w:t xml:space="preserve">The </w:t>
      </w:r>
      <w:r w:rsidR="0063654F" w:rsidRPr="001C19A5">
        <w:rPr>
          <w:rFonts w:asciiTheme="minorHAnsi" w:hAnsiTheme="minorHAnsi"/>
          <w:sz w:val="18"/>
          <w:szCs w:val="18"/>
          <w:lang w:val="en"/>
        </w:rPr>
        <w:t xml:space="preserve">Act </w:t>
      </w:r>
      <w:hyperlink r:id="rId56" w:anchor="_Toc406164877" w:history="1">
        <w:r w:rsidR="0063654F" w:rsidRPr="001C19A5">
          <w:rPr>
            <w:rStyle w:val="Hyperlink"/>
            <w:rFonts w:asciiTheme="minorHAnsi" w:hAnsiTheme="minorHAnsi"/>
            <w:color w:val="auto"/>
            <w:sz w:val="18"/>
            <w:szCs w:val="18"/>
            <w:u w:val="none"/>
            <w:lang w:val="en"/>
          </w:rPr>
          <w:t>section 52N-2</w:t>
        </w:r>
      </w:hyperlink>
      <w:r w:rsidR="0063654F" w:rsidRPr="001C19A5">
        <w:rPr>
          <w:rStyle w:val="Hyperlink"/>
          <w:rFonts w:asciiTheme="minorHAnsi" w:hAnsiTheme="minorHAnsi"/>
          <w:color w:val="auto"/>
          <w:sz w:val="18"/>
          <w:szCs w:val="18"/>
          <w:u w:val="none"/>
          <w:lang w:val="en"/>
        </w:rPr>
        <w:t xml:space="preserve">, </w:t>
      </w:r>
      <w:hyperlink r:id="rId57" w:history="1">
        <w:r w:rsidR="0063654F" w:rsidRPr="001C19A5">
          <w:rPr>
            <w:rStyle w:val="Hyperlink"/>
            <w:rFonts w:asciiTheme="minorHAnsi" w:hAnsiTheme="minorHAnsi"/>
            <w:i/>
            <w:color w:val="auto"/>
            <w:sz w:val="18"/>
            <w:szCs w:val="18"/>
            <w:u w:val="none"/>
            <w:lang w:val="en"/>
          </w:rPr>
          <w:t>Aged Care (Accommodation Payment Security) Act 2006</w:t>
        </w:r>
      </w:hyperlink>
    </w:p>
    <w:p w14:paraId="4B6935C5" w14:textId="2A0CF59C" w:rsidR="0063654F" w:rsidRPr="002B7CED" w:rsidRDefault="00FF003D" w:rsidP="002B7CED">
      <w:pPr>
        <w:spacing w:before="200" w:after="0"/>
        <w:rPr>
          <w:b/>
          <w:bCs/>
          <w:color w:val="0070C0"/>
          <w:sz w:val="26"/>
          <w:szCs w:val="26"/>
        </w:rPr>
      </w:pPr>
      <w:r w:rsidRPr="002B7CED">
        <w:rPr>
          <w:b/>
          <w:bCs/>
          <w:color w:val="0070C0"/>
          <w:sz w:val="26"/>
          <w:szCs w:val="26"/>
        </w:rPr>
        <w:t xml:space="preserve">Things </w:t>
      </w:r>
      <w:r w:rsidR="0063654F" w:rsidRPr="002B7CED">
        <w:rPr>
          <w:b/>
          <w:bCs/>
          <w:color w:val="0070C0"/>
          <w:sz w:val="26"/>
          <w:szCs w:val="26"/>
        </w:rPr>
        <w:t>you need to know</w:t>
      </w:r>
    </w:p>
    <w:p w14:paraId="1E40B4F0" w14:textId="47E61EAF" w:rsidR="0063654F" w:rsidRPr="00B35C39" w:rsidRDefault="009F0B97" w:rsidP="00B35C39">
      <w:pPr>
        <w:pStyle w:val="ListParagraph"/>
        <w:numPr>
          <w:ilvl w:val="0"/>
          <w:numId w:val="18"/>
        </w:numPr>
        <w:spacing w:after="0" w:line="0" w:lineRule="atLeast"/>
        <w:ind w:left="851" w:hanging="425"/>
        <w:rPr>
          <w:rFonts w:asciiTheme="minorHAnsi" w:hAnsiTheme="minorHAnsi" w:cs="Arial"/>
          <w:sz w:val="24"/>
          <w:szCs w:val="24"/>
        </w:rPr>
      </w:pPr>
      <w:r>
        <w:rPr>
          <w:rFonts w:asciiTheme="minorHAnsi" w:hAnsiTheme="minorHAnsi" w:cs="Arial"/>
          <w:sz w:val="24"/>
          <w:szCs w:val="24"/>
        </w:rPr>
        <w:t>p</w:t>
      </w:r>
      <w:r w:rsidR="0063654F" w:rsidRPr="00B35C39">
        <w:rPr>
          <w:rFonts w:asciiTheme="minorHAnsi" w:hAnsiTheme="minorHAnsi" w:cs="Arial"/>
          <w:sz w:val="24"/>
          <w:szCs w:val="24"/>
        </w:rPr>
        <w:t>roviders must be able to demonstrate compliance with permitted uses requirements to their auditor</w:t>
      </w:r>
      <w:r w:rsidR="0063155B" w:rsidRPr="00B35C39">
        <w:rPr>
          <w:rFonts w:asciiTheme="minorHAnsi" w:hAnsiTheme="minorHAnsi" w:cs="Arial"/>
          <w:sz w:val="24"/>
          <w:szCs w:val="24"/>
        </w:rPr>
        <w:t>.</w:t>
      </w:r>
    </w:p>
    <w:p w14:paraId="336A2405" w14:textId="3858528B" w:rsidR="0063654F" w:rsidRPr="00B35C39" w:rsidRDefault="009F0B97" w:rsidP="001A3223">
      <w:pPr>
        <w:pStyle w:val="ListParagraph"/>
        <w:numPr>
          <w:ilvl w:val="0"/>
          <w:numId w:val="18"/>
        </w:numPr>
        <w:spacing w:before="0" w:after="120" w:line="240" w:lineRule="auto"/>
        <w:ind w:left="851" w:hanging="425"/>
        <w:contextualSpacing w:val="0"/>
        <w:rPr>
          <w:rFonts w:asciiTheme="minorHAnsi" w:hAnsiTheme="minorHAnsi" w:cs="Arial"/>
          <w:sz w:val="24"/>
          <w:szCs w:val="24"/>
        </w:rPr>
      </w:pPr>
      <w:r>
        <w:rPr>
          <w:rFonts w:asciiTheme="minorHAnsi" w:hAnsiTheme="minorHAnsi" w:cs="Arial"/>
          <w:sz w:val="24"/>
          <w:szCs w:val="24"/>
        </w:rPr>
        <w:t>t</w:t>
      </w:r>
      <w:r w:rsidR="0063654F" w:rsidRPr="00B35C39">
        <w:rPr>
          <w:rFonts w:asciiTheme="minorHAnsi" w:hAnsiTheme="minorHAnsi" w:cs="Arial"/>
          <w:sz w:val="24"/>
          <w:szCs w:val="24"/>
        </w:rPr>
        <w:t xml:space="preserve">he </w:t>
      </w:r>
      <w:r w:rsidR="00D65955" w:rsidRPr="00B35C39">
        <w:rPr>
          <w:rFonts w:asciiTheme="minorHAnsi" w:hAnsiTheme="minorHAnsi" w:cs="Arial"/>
          <w:sz w:val="24"/>
          <w:szCs w:val="24"/>
        </w:rPr>
        <w:t xml:space="preserve">provider could be requested </w:t>
      </w:r>
      <w:r w:rsidR="0070116F" w:rsidRPr="00B35C39">
        <w:rPr>
          <w:rFonts w:asciiTheme="minorHAnsi" w:hAnsiTheme="minorHAnsi" w:cs="Arial"/>
          <w:sz w:val="24"/>
          <w:szCs w:val="24"/>
        </w:rPr>
        <w:t xml:space="preserve">to </w:t>
      </w:r>
      <w:r w:rsidR="0063654F" w:rsidRPr="00B35C39">
        <w:rPr>
          <w:rFonts w:asciiTheme="minorHAnsi" w:hAnsiTheme="minorHAnsi" w:cs="Arial"/>
          <w:sz w:val="24"/>
          <w:szCs w:val="24"/>
        </w:rPr>
        <w:t>provide records</w:t>
      </w:r>
      <w:r w:rsidR="002B7436" w:rsidRPr="00B35C39">
        <w:rPr>
          <w:rFonts w:asciiTheme="minorHAnsi" w:hAnsiTheme="minorHAnsi" w:cs="Arial"/>
          <w:sz w:val="24"/>
          <w:szCs w:val="24"/>
        </w:rPr>
        <w:t xml:space="preserve"> to the Commission</w:t>
      </w:r>
      <w:r w:rsidR="0063654F" w:rsidRPr="00B35C39">
        <w:rPr>
          <w:rFonts w:asciiTheme="minorHAnsi" w:hAnsiTheme="minorHAnsi" w:cs="Arial"/>
          <w:sz w:val="24"/>
          <w:szCs w:val="24"/>
        </w:rPr>
        <w:t xml:space="preserve"> for monitoring and compliance purposes at any</w:t>
      </w:r>
      <w:r w:rsidR="00943845" w:rsidRPr="00B35C39">
        <w:rPr>
          <w:rFonts w:asciiTheme="minorHAnsi" w:hAnsiTheme="minorHAnsi" w:cs="Arial"/>
          <w:sz w:val="24"/>
          <w:szCs w:val="24"/>
        </w:rPr>
        <w:t xml:space="preserve"> </w:t>
      </w:r>
      <w:r w:rsidR="0063654F" w:rsidRPr="00B35C39">
        <w:rPr>
          <w:rFonts w:asciiTheme="minorHAnsi" w:hAnsiTheme="minorHAnsi" w:cs="Arial"/>
          <w:sz w:val="24"/>
          <w:szCs w:val="24"/>
        </w:rPr>
        <w:t>time</w:t>
      </w:r>
    </w:p>
    <w:p w14:paraId="09F49C93" w14:textId="77777777" w:rsidR="0063654F" w:rsidRPr="002B7CED" w:rsidRDefault="0063654F" w:rsidP="002B7CED">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08277531" w14:textId="77777777" w:rsidR="0063654F" w:rsidRPr="001C19A5" w:rsidRDefault="00F6228E" w:rsidP="00093008">
      <w:pPr>
        <w:spacing w:after="120" w:line="240" w:lineRule="auto"/>
        <w:rPr>
          <w:color w:val="111111"/>
          <w:sz w:val="24"/>
          <w:szCs w:val="24"/>
          <w:lang w:val="en"/>
        </w:rPr>
      </w:pPr>
      <w:r w:rsidRPr="001C19A5">
        <w:rPr>
          <w:rFonts w:cs="Arial"/>
          <w:color w:val="000000"/>
          <w:sz w:val="24"/>
          <w:szCs w:val="24"/>
          <w:lang w:val="en-US"/>
        </w:rPr>
        <w:t>T</w:t>
      </w:r>
      <w:r w:rsidR="0063654F" w:rsidRPr="001C19A5">
        <w:rPr>
          <w:rFonts w:cs="Arial"/>
          <w:color w:val="000000"/>
          <w:sz w:val="24"/>
          <w:szCs w:val="24"/>
          <w:lang w:val="en-US"/>
        </w:rPr>
        <w:t xml:space="preserve">he APCS requires you to disclose whether or not you complied with the requirement to use </w:t>
      </w:r>
      <w:r w:rsidR="0063654F" w:rsidRPr="001C19A5">
        <w:rPr>
          <w:color w:val="111111"/>
          <w:sz w:val="24"/>
          <w:szCs w:val="24"/>
          <w:lang w:val="en"/>
        </w:rPr>
        <w:t>refundable</w:t>
      </w:r>
      <w:r w:rsidR="00CC6CD2">
        <w:rPr>
          <w:color w:val="111111"/>
          <w:sz w:val="24"/>
          <w:szCs w:val="24"/>
          <w:lang w:val="en"/>
        </w:rPr>
        <w:t xml:space="preserve"> accommodation payments (deposits, accommodation bonds or entry contributions)</w:t>
      </w:r>
      <w:r w:rsidR="0063654F" w:rsidRPr="001C19A5">
        <w:rPr>
          <w:color w:val="111111"/>
          <w:sz w:val="24"/>
          <w:szCs w:val="24"/>
          <w:lang w:val="en"/>
        </w:rPr>
        <w:t xml:space="preserve"> </w:t>
      </w:r>
      <w:r w:rsidR="0063654F" w:rsidRPr="001C19A5">
        <w:rPr>
          <w:rFonts w:cs="Arial"/>
          <w:color w:val="000000"/>
          <w:sz w:val="24"/>
          <w:szCs w:val="24"/>
          <w:lang w:val="en-US"/>
        </w:rPr>
        <w:t xml:space="preserve">only for permitted uses. </w:t>
      </w:r>
    </w:p>
    <w:p w14:paraId="6CC79EB5" w14:textId="7534C5B3" w:rsidR="0063654F" w:rsidRPr="001C19A5" w:rsidRDefault="0063654F" w:rsidP="006A13C6">
      <w:pPr>
        <w:pStyle w:val="Tabletext"/>
        <w:spacing w:before="0" w:after="120"/>
        <w:rPr>
          <w:rFonts w:asciiTheme="minorHAnsi" w:hAnsiTheme="minorHAnsi"/>
          <w:iCs/>
          <w:sz w:val="24"/>
          <w:szCs w:val="24"/>
        </w:rPr>
      </w:pPr>
      <w:r w:rsidRPr="001C19A5">
        <w:rPr>
          <w:rFonts w:asciiTheme="minorHAnsi" w:hAnsiTheme="minorHAnsi" w:cs="Times New Roman"/>
          <w:color w:val="000000"/>
          <w:sz w:val="24"/>
          <w:szCs w:val="24"/>
          <w:lang w:val="en-US" w:eastAsia="en-US"/>
        </w:rPr>
        <w:t xml:space="preserve">After considering the information provided for </w:t>
      </w:r>
      <w:r w:rsidRPr="001C19A5">
        <w:rPr>
          <w:rFonts w:asciiTheme="minorHAnsi" w:hAnsiTheme="minorHAnsi"/>
          <w:iCs/>
          <w:sz w:val="24"/>
          <w:szCs w:val="24"/>
        </w:rPr>
        <w:t>compliance with permitted uses</w:t>
      </w:r>
      <w:r w:rsidR="00D65955">
        <w:rPr>
          <w:rFonts w:asciiTheme="minorHAnsi" w:hAnsiTheme="minorHAnsi"/>
          <w:iCs/>
          <w:sz w:val="24"/>
          <w:szCs w:val="24"/>
        </w:rPr>
        <w:t>,</w:t>
      </w:r>
      <w:r w:rsidRPr="001C19A5">
        <w:rPr>
          <w:rFonts w:asciiTheme="minorHAnsi" w:hAnsiTheme="minorHAnsi" w:cs="Times New Roman"/>
          <w:color w:val="000000"/>
          <w:sz w:val="24"/>
          <w:szCs w:val="24"/>
          <w:lang w:val="en-US" w:eastAsia="en-US"/>
        </w:rPr>
        <w:t xml:space="preserve"> </w:t>
      </w:r>
      <w:r w:rsidR="00D65955">
        <w:rPr>
          <w:rFonts w:asciiTheme="minorHAnsi" w:hAnsiTheme="minorHAnsi" w:cs="Times New Roman"/>
          <w:color w:val="000000"/>
          <w:sz w:val="24"/>
          <w:szCs w:val="24"/>
          <w:lang w:val="en-US" w:eastAsia="en-US"/>
        </w:rPr>
        <w:t>r</w:t>
      </w:r>
      <w:r w:rsidRPr="001C19A5">
        <w:rPr>
          <w:rFonts w:asciiTheme="minorHAnsi" w:hAnsiTheme="minorHAnsi" w:cs="Times New Roman"/>
          <w:color w:val="000000"/>
          <w:sz w:val="24"/>
          <w:szCs w:val="24"/>
          <w:lang w:val="en-US" w:eastAsia="en-US"/>
        </w:rPr>
        <w:t xml:space="preserve">espond Yes or No. </w:t>
      </w:r>
    </w:p>
    <w:p w14:paraId="412071A7" w14:textId="535A2E4E" w:rsidR="0063654F" w:rsidRPr="006A13C6" w:rsidRDefault="006A13C6" w:rsidP="006A13C6">
      <w:pPr>
        <w:spacing w:after="120" w:line="240" w:lineRule="auto"/>
        <w:rPr>
          <w:rFonts w:cs="Arial"/>
          <w:color w:val="000000"/>
          <w:sz w:val="24"/>
          <w:szCs w:val="24"/>
          <w:lang w:val="en-US"/>
        </w:rPr>
      </w:pPr>
      <w:r>
        <w:rPr>
          <w:rFonts w:cs="Arial"/>
          <w:color w:val="000000"/>
          <w:sz w:val="24"/>
          <w:szCs w:val="24"/>
          <w:lang w:val="en-US"/>
        </w:rPr>
        <w:t>M</w:t>
      </w:r>
      <w:r w:rsidR="0063654F" w:rsidRPr="006A13C6">
        <w:rPr>
          <w:rFonts w:cs="Arial"/>
          <w:color w:val="000000"/>
          <w:sz w:val="24"/>
          <w:szCs w:val="24"/>
          <w:lang w:val="en-US"/>
        </w:rPr>
        <w:t xml:space="preserve">ark only the boxes the provider has expended </w:t>
      </w:r>
      <w:r w:rsidR="0063654F" w:rsidRPr="006A13C6">
        <w:rPr>
          <w:color w:val="111111"/>
          <w:sz w:val="24"/>
          <w:szCs w:val="24"/>
          <w:lang w:val="en"/>
        </w:rPr>
        <w:t xml:space="preserve">refundable deposits or bonds </w:t>
      </w:r>
      <w:r w:rsidR="0063654F" w:rsidRPr="006A13C6">
        <w:rPr>
          <w:rFonts w:cs="Arial"/>
          <w:color w:val="000000"/>
          <w:sz w:val="24"/>
          <w:szCs w:val="24"/>
          <w:lang w:val="en-US"/>
        </w:rPr>
        <w:t>for during the financial year.</w:t>
      </w:r>
    </w:p>
    <w:p w14:paraId="14B4DCBA" w14:textId="7E97B7A0" w:rsidR="00F6228E" w:rsidRPr="001C19A5" w:rsidRDefault="00F6228E" w:rsidP="00093008">
      <w:pPr>
        <w:spacing w:after="120" w:line="240" w:lineRule="auto"/>
        <w:ind w:left="709" w:hanging="709"/>
        <w:rPr>
          <w:rFonts w:cs="Arial"/>
          <w:color w:val="000000"/>
          <w:sz w:val="24"/>
          <w:szCs w:val="24"/>
          <w:lang w:val="en-US"/>
        </w:rPr>
      </w:pPr>
      <w:r w:rsidRPr="001C19A5">
        <w:rPr>
          <w:rFonts w:cs="Arial"/>
          <w:b/>
          <w:color w:val="000000"/>
          <w:sz w:val="20"/>
          <w:szCs w:val="20"/>
          <w:lang w:val="en-US"/>
        </w:rPr>
        <w:lastRenderedPageBreak/>
        <w:t>Note:</w:t>
      </w:r>
      <w:r w:rsidR="00782D00">
        <w:rPr>
          <w:rFonts w:cs="Arial"/>
          <w:color w:val="000000"/>
          <w:sz w:val="20"/>
          <w:szCs w:val="20"/>
          <w:lang w:val="en-US"/>
        </w:rPr>
        <w:t xml:space="preserve">  all tick boxes require</w:t>
      </w:r>
      <w:r w:rsidRPr="001C19A5">
        <w:rPr>
          <w:rFonts w:cs="Arial"/>
          <w:color w:val="000000"/>
          <w:sz w:val="20"/>
          <w:szCs w:val="20"/>
          <w:lang w:val="en-US"/>
        </w:rPr>
        <w:t xml:space="preserve"> a corresponding </w:t>
      </w:r>
      <w:r w:rsidR="00782D00">
        <w:rPr>
          <w:rFonts w:cs="Arial"/>
          <w:color w:val="000000"/>
          <w:sz w:val="20"/>
          <w:szCs w:val="20"/>
          <w:lang w:val="en-US"/>
        </w:rPr>
        <w:t>dollar (</w:t>
      </w:r>
      <w:r w:rsidRPr="001C19A5">
        <w:rPr>
          <w:rFonts w:cs="Arial"/>
          <w:color w:val="000000"/>
          <w:sz w:val="20"/>
          <w:szCs w:val="20"/>
          <w:lang w:val="en-US"/>
        </w:rPr>
        <w:t>$</w:t>
      </w:r>
      <w:r w:rsidR="00782D00">
        <w:rPr>
          <w:rFonts w:cs="Arial"/>
          <w:color w:val="000000"/>
          <w:sz w:val="20"/>
          <w:szCs w:val="20"/>
          <w:lang w:val="en-US"/>
        </w:rPr>
        <w:t xml:space="preserve">) </w:t>
      </w:r>
      <w:r w:rsidRPr="001C19A5">
        <w:rPr>
          <w:rFonts w:cs="Arial"/>
          <w:color w:val="000000"/>
          <w:sz w:val="20"/>
          <w:szCs w:val="20"/>
          <w:lang w:val="en-US"/>
        </w:rPr>
        <w:t>value</w:t>
      </w:r>
      <w:r w:rsidRPr="001C19A5">
        <w:rPr>
          <w:rFonts w:cs="Arial"/>
          <w:color w:val="000000"/>
          <w:sz w:val="24"/>
          <w:szCs w:val="24"/>
          <w:lang w:val="en-US"/>
        </w:rPr>
        <w:t>.</w:t>
      </w:r>
    </w:p>
    <w:p w14:paraId="6B9D5A6F" w14:textId="5617E4DE" w:rsidR="0063654F" w:rsidRPr="002B7CED" w:rsidRDefault="00F6228E" w:rsidP="002B7CED">
      <w:pPr>
        <w:spacing w:before="200" w:after="0"/>
        <w:rPr>
          <w:b/>
          <w:bCs/>
          <w:color w:val="0070C0"/>
          <w:sz w:val="26"/>
          <w:szCs w:val="26"/>
        </w:rPr>
      </w:pPr>
      <w:r w:rsidRPr="002B7CED">
        <w:rPr>
          <w:b/>
          <w:bCs/>
          <w:color w:val="0070C0"/>
          <w:sz w:val="26"/>
          <w:szCs w:val="26"/>
        </w:rPr>
        <w:t xml:space="preserve">Permitted </w:t>
      </w:r>
      <w:r w:rsidR="006A13C6" w:rsidRPr="002B7CED">
        <w:rPr>
          <w:b/>
          <w:bCs/>
          <w:color w:val="0070C0"/>
          <w:sz w:val="26"/>
          <w:szCs w:val="26"/>
        </w:rPr>
        <w:t>u</w:t>
      </w:r>
      <w:r w:rsidRPr="002B7CED">
        <w:rPr>
          <w:b/>
          <w:bCs/>
          <w:color w:val="0070C0"/>
          <w:sz w:val="26"/>
          <w:szCs w:val="26"/>
        </w:rPr>
        <w:t xml:space="preserve">se </w:t>
      </w:r>
      <w:r w:rsidR="006A13C6" w:rsidRPr="002B7CED">
        <w:rPr>
          <w:b/>
          <w:bCs/>
          <w:color w:val="0070C0"/>
          <w:sz w:val="26"/>
          <w:szCs w:val="26"/>
        </w:rPr>
        <w:t>e</w:t>
      </w:r>
      <w:r w:rsidRPr="002B7CED">
        <w:rPr>
          <w:b/>
          <w:bCs/>
          <w:color w:val="0070C0"/>
          <w:sz w:val="26"/>
          <w:szCs w:val="26"/>
        </w:rPr>
        <w:t>xpenditure</w:t>
      </w:r>
    </w:p>
    <w:p w14:paraId="0EA341CC" w14:textId="77777777" w:rsidR="0063654F" w:rsidRPr="001C19A5" w:rsidRDefault="00F6228E" w:rsidP="4E34EEE7">
      <w:pPr>
        <w:pStyle w:val="BodyText"/>
        <w:spacing w:before="0"/>
        <w:rPr>
          <w:rFonts w:asciiTheme="minorHAnsi" w:hAnsiTheme="minorHAnsi"/>
          <w:lang w:val="en"/>
        </w:rPr>
      </w:pPr>
      <w:r w:rsidRPr="4E34EEE7">
        <w:rPr>
          <w:rFonts w:asciiTheme="minorHAnsi" w:hAnsiTheme="minorHAnsi"/>
          <w:b/>
          <w:bCs/>
        </w:rPr>
        <w:t xml:space="preserve">This item </w:t>
      </w:r>
      <w:r w:rsidR="0063654F" w:rsidRPr="4E34EEE7">
        <w:rPr>
          <w:rFonts w:asciiTheme="minorHAnsi" w:hAnsiTheme="minorHAnsi"/>
        </w:rPr>
        <w:t xml:space="preserve">is designed to capture all expenditure on anything </w:t>
      </w:r>
      <w:r w:rsidR="00C62C3A" w:rsidRPr="4E34EEE7">
        <w:rPr>
          <w:rFonts w:asciiTheme="minorHAnsi" w:hAnsiTheme="minorHAnsi"/>
        </w:rPr>
        <w:t>allowable</w:t>
      </w:r>
      <w:r w:rsidR="0063654F" w:rsidRPr="4E34EEE7">
        <w:rPr>
          <w:rFonts w:asciiTheme="minorHAnsi" w:hAnsiTheme="minorHAnsi"/>
        </w:rPr>
        <w:t xml:space="preserve"> as a permitted use.</w:t>
      </w:r>
      <w:r w:rsidR="0063654F" w:rsidRPr="4E34EEE7">
        <w:rPr>
          <w:rFonts w:asciiTheme="minorHAnsi" w:hAnsiTheme="minorHAnsi"/>
          <w:b/>
          <w:bCs/>
        </w:rPr>
        <w:t xml:space="preserve"> </w:t>
      </w:r>
      <w:r w:rsidRPr="4E34EEE7">
        <w:rPr>
          <w:rFonts w:asciiTheme="minorHAnsi" w:hAnsiTheme="minorHAnsi"/>
          <w:b/>
          <w:bCs/>
        </w:rPr>
        <w:t xml:space="preserve">This </w:t>
      </w:r>
      <w:r w:rsidR="0063654F" w:rsidRPr="4E34EEE7">
        <w:rPr>
          <w:rFonts w:asciiTheme="minorHAnsi" w:hAnsiTheme="minorHAnsi"/>
        </w:rPr>
        <w:t xml:space="preserve">is the only place in the APCS where the questions are not based purely on </w:t>
      </w:r>
      <w:r w:rsidR="0063654F" w:rsidRPr="4E34EEE7">
        <w:rPr>
          <w:rFonts w:asciiTheme="minorHAnsi" w:hAnsiTheme="minorHAnsi"/>
          <w:lang w:val="en"/>
        </w:rPr>
        <w:t>refundable deposits or bonds.</w:t>
      </w:r>
    </w:p>
    <w:p w14:paraId="281FF11F" w14:textId="77777777" w:rsidR="0063654F" w:rsidRPr="001C19A5" w:rsidRDefault="00F6228E" w:rsidP="00093008">
      <w:pPr>
        <w:pStyle w:val="BodyText"/>
        <w:spacing w:before="0"/>
        <w:rPr>
          <w:rFonts w:asciiTheme="minorHAnsi" w:hAnsiTheme="minorHAnsi"/>
        </w:rPr>
      </w:pPr>
      <w:r w:rsidRPr="001C19A5">
        <w:rPr>
          <w:rFonts w:asciiTheme="minorHAnsi" w:hAnsiTheme="minorHAnsi"/>
        </w:rPr>
        <w:t>C</w:t>
      </w:r>
      <w:r w:rsidR="0063654F" w:rsidRPr="001C19A5">
        <w:rPr>
          <w:rFonts w:asciiTheme="minorHAnsi" w:hAnsiTheme="minorHAnsi"/>
        </w:rPr>
        <w:t xml:space="preserve">ontrary to popular belief, providers are required to report expenditure from </w:t>
      </w:r>
      <w:r w:rsidRPr="001C19A5">
        <w:rPr>
          <w:rFonts w:asciiTheme="minorHAnsi" w:hAnsiTheme="minorHAnsi"/>
        </w:rPr>
        <w:t>ALL</w:t>
      </w:r>
      <w:r w:rsidR="0063654F" w:rsidRPr="001C19A5">
        <w:rPr>
          <w:rFonts w:asciiTheme="minorHAnsi" w:hAnsiTheme="minorHAnsi"/>
        </w:rPr>
        <w:t xml:space="preserve"> sources of funding. The information </w:t>
      </w:r>
      <w:r w:rsidRPr="001C19A5">
        <w:rPr>
          <w:rFonts w:asciiTheme="minorHAnsi" w:hAnsiTheme="minorHAnsi"/>
          <w:b/>
        </w:rPr>
        <w:t xml:space="preserve">recorded </w:t>
      </w:r>
      <w:r w:rsidR="005D2FC7" w:rsidRPr="001C19A5">
        <w:rPr>
          <w:rFonts w:asciiTheme="minorHAnsi" w:hAnsiTheme="minorHAnsi"/>
          <w:b/>
        </w:rPr>
        <w:t xml:space="preserve">here </w:t>
      </w:r>
      <w:r w:rsidR="005D2FC7" w:rsidRPr="001C19A5">
        <w:rPr>
          <w:rFonts w:asciiTheme="minorHAnsi" w:hAnsiTheme="minorHAnsi"/>
        </w:rPr>
        <w:t>is</w:t>
      </w:r>
      <w:r w:rsidR="0063654F" w:rsidRPr="001C19A5">
        <w:rPr>
          <w:rFonts w:asciiTheme="minorHAnsi" w:hAnsiTheme="minorHAnsi"/>
        </w:rPr>
        <w:t xml:space="preserve"> about your expenditure on uses for which refundable </w:t>
      </w:r>
      <w:r w:rsidR="00BB155A">
        <w:rPr>
          <w:rFonts w:asciiTheme="minorHAnsi" w:hAnsiTheme="minorHAnsi"/>
        </w:rPr>
        <w:t>accommodation payment</w:t>
      </w:r>
      <w:r w:rsidR="0063654F" w:rsidRPr="001C19A5">
        <w:rPr>
          <w:rFonts w:asciiTheme="minorHAnsi" w:hAnsiTheme="minorHAnsi"/>
        </w:rPr>
        <w:t xml:space="preserve"> deposits are permitted by the Act.</w:t>
      </w:r>
    </w:p>
    <w:p w14:paraId="6C720D13" w14:textId="5ED4F633" w:rsidR="0063654F" w:rsidRPr="001C19A5" w:rsidRDefault="0063654F" w:rsidP="00093008">
      <w:pPr>
        <w:pStyle w:val="BodyText"/>
        <w:spacing w:before="0"/>
        <w:rPr>
          <w:rFonts w:asciiTheme="minorHAnsi" w:hAnsiTheme="minorHAnsi"/>
        </w:rPr>
      </w:pPr>
      <w:r w:rsidRPr="001C19A5">
        <w:rPr>
          <w:rFonts w:asciiTheme="minorHAnsi" w:hAnsiTheme="minorHAnsi"/>
        </w:rPr>
        <w:t xml:space="preserve">This information assists to identify which providers may have spent less on permitted uses than they received in refundable </w:t>
      </w:r>
      <w:r w:rsidR="00BB155A">
        <w:rPr>
          <w:rFonts w:asciiTheme="minorHAnsi" w:hAnsiTheme="minorHAnsi"/>
        </w:rPr>
        <w:t>accommodation payment</w:t>
      </w:r>
      <w:r w:rsidRPr="001C19A5">
        <w:rPr>
          <w:rFonts w:asciiTheme="minorHAnsi" w:hAnsiTheme="minorHAnsi"/>
        </w:rPr>
        <w:t xml:space="preserve"> deposits and therefore may have spent refundable </w:t>
      </w:r>
      <w:r w:rsidR="00BB155A">
        <w:rPr>
          <w:rFonts w:asciiTheme="minorHAnsi" w:hAnsiTheme="minorHAnsi"/>
        </w:rPr>
        <w:t>accommodation payment</w:t>
      </w:r>
      <w:r w:rsidRPr="001C19A5">
        <w:rPr>
          <w:rFonts w:asciiTheme="minorHAnsi" w:hAnsiTheme="minorHAnsi"/>
        </w:rPr>
        <w:t xml:space="preserve"> deposits on uses, other than</w:t>
      </w:r>
      <w:r w:rsidR="006102D4">
        <w:rPr>
          <w:rFonts w:asciiTheme="minorHAnsi" w:hAnsiTheme="minorHAnsi"/>
        </w:rPr>
        <w:t xml:space="preserve"> those that are</w:t>
      </w:r>
      <w:r w:rsidRPr="001C19A5">
        <w:rPr>
          <w:rFonts w:asciiTheme="minorHAnsi" w:hAnsiTheme="minorHAnsi"/>
        </w:rPr>
        <w:t xml:space="preserve"> permitted.</w:t>
      </w:r>
    </w:p>
    <w:p w14:paraId="6E6C716F" w14:textId="2D947D48" w:rsidR="0063654F" w:rsidRPr="001C19A5" w:rsidRDefault="0063654F" w:rsidP="00093008">
      <w:pPr>
        <w:pStyle w:val="BodyText"/>
        <w:spacing w:before="0"/>
        <w:rPr>
          <w:rFonts w:asciiTheme="minorHAnsi" w:hAnsiTheme="minorHAnsi"/>
        </w:rPr>
      </w:pPr>
      <w:r w:rsidRPr="001C19A5">
        <w:rPr>
          <w:rFonts w:asciiTheme="minorHAnsi" w:hAnsiTheme="minorHAnsi"/>
        </w:rPr>
        <w:t xml:space="preserve">This information provides indicators of providers that may not have complied with their </w:t>
      </w:r>
      <w:r w:rsidRPr="001C19A5">
        <w:rPr>
          <w:rFonts w:asciiTheme="minorHAnsi" w:hAnsiTheme="minorHAnsi"/>
          <w:lang w:val="en"/>
        </w:rPr>
        <w:t>refundable deposit or bond</w:t>
      </w:r>
      <w:r w:rsidRPr="001C19A5">
        <w:rPr>
          <w:rFonts w:asciiTheme="minorHAnsi" w:hAnsiTheme="minorHAnsi"/>
        </w:rPr>
        <w:t xml:space="preserve"> use </w:t>
      </w:r>
      <w:r w:rsidR="002736CF" w:rsidRPr="001C19A5">
        <w:rPr>
          <w:rFonts w:asciiTheme="minorHAnsi" w:hAnsiTheme="minorHAnsi"/>
        </w:rPr>
        <w:t>responsibilities but</w:t>
      </w:r>
      <w:r w:rsidRPr="001C19A5">
        <w:rPr>
          <w:rFonts w:asciiTheme="minorHAnsi" w:hAnsiTheme="minorHAnsi"/>
        </w:rPr>
        <w:t xml:space="preserve"> does not by itself demonstrate non-compliance. Where it appears that a provider may not have complied with their responsibilities around permitted uses, further information</w:t>
      </w:r>
      <w:r w:rsidR="000B6BF7">
        <w:rPr>
          <w:rFonts w:asciiTheme="minorHAnsi" w:hAnsiTheme="minorHAnsi"/>
        </w:rPr>
        <w:t xml:space="preserve"> will be sought</w:t>
      </w:r>
      <w:r w:rsidRPr="001C19A5">
        <w:rPr>
          <w:rFonts w:asciiTheme="minorHAnsi" w:hAnsiTheme="minorHAnsi"/>
        </w:rPr>
        <w:t xml:space="preserve"> from the provider to establish what has</w:t>
      </w:r>
      <w:r w:rsidR="00956208">
        <w:rPr>
          <w:rFonts w:asciiTheme="minorHAnsi" w:hAnsiTheme="minorHAnsi"/>
        </w:rPr>
        <w:t xml:space="preserve"> </w:t>
      </w:r>
      <w:r w:rsidRPr="001C19A5">
        <w:rPr>
          <w:rFonts w:asciiTheme="minorHAnsi" w:hAnsiTheme="minorHAnsi"/>
        </w:rPr>
        <w:t>happened.</w:t>
      </w:r>
    </w:p>
    <w:p w14:paraId="51489FF1" w14:textId="77777777" w:rsidR="0063654F" w:rsidRPr="001C19A5" w:rsidRDefault="0063654F" w:rsidP="00093008">
      <w:pPr>
        <w:pStyle w:val="BodyText"/>
        <w:spacing w:before="0"/>
        <w:rPr>
          <w:rFonts w:asciiTheme="minorHAnsi" w:hAnsiTheme="minorHAnsi"/>
        </w:rPr>
      </w:pPr>
      <w:r w:rsidRPr="001C19A5">
        <w:rPr>
          <w:rFonts w:asciiTheme="minorHAnsi" w:hAnsiTheme="minorHAnsi"/>
        </w:rPr>
        <w:t xml:space="preserve">Providers are not expected to reconcile their refundable </w:t>
      </w:r>
      <w:r w:rsidR="00BB155A">
        <w:rPr>
          <w:rFonts w:asciiTheme="minorHAnsi" w:hAnsiTheme="minorHAnsi"/>
        </w:rPr>
        <w:t>accommodation payment</w:t>
      </w:r>
      <w:r w:rsidRPr="001C19A5">
        <w:rPr>
          <w:rFonts w:asciiTheme="minorHAnsi" w:hAnsiTheme="minorHAnsi"/>
        </w:rPr>
        <w:t xml:space="preserve"> income against their permitted use expenditure.</w:t>
      </w:r>
    </w:p>
    <w:p w14:paraId="6A2CBAB0" w14:textId="77777777" w:rsidR="0063654F" w:rsidRPr="002B7CED" w:rsidRDefault="0063654F" w:rsidP="002B7CED">
      <w:pPr>
        <w:spacing w:before="200" w:after="0"/>
        <w:rPr>
          <w:b/>
          <w:bCs/>
          <w:color w:val="0070C0"/>
          <w:sz w:val="26"/>
          <w:szCs w:val="26"/>
        </w:rPr>
      </w:pPr>
      <w:r w:rsidRPr="002B7CED">
        <w:rPr>
          <w:b/>
          <w:bCs/>
          <w:color w:val="0070C0"/>
          <w:sz w:val="26"/>
          <w:szCs w:val="26"/>
        </w:rPr>
        <w:t xml:space="preserve">Refunds of refundable </w:t>
      </w:r>
      <w:r w:rsidR="00BB155A" w:rsidRPr="002B7CED">
        <w:rPr>
          <w:b/>
          <w:bCs/>
          <w:color w:val="0070C0"/>
          <w:sz w:val="26"/>
          <w:szCs w:val="26"/>
        </w:rPr>
        <w:t>accommodation payment</w:t>
      </w:r>
      <w:r w:rsidRPr="002B7CED">
        <w:rPr>
          <w:b/>
          <w:bCs/>
          <w:color w:val="0070C0"/>
          <w:sz w:val="26"/>
          <w:szCs w:val="26"/>
        </w:rPr>
        <w:t xml:space="preserve"> deposits and entry contribution balances</w:t>
      </w:r>
    </w:p>
    <w:p w14:paraId="5102DF7B" w14:textId="1F36E2B4" w:rsidR="000D58C0" w:rsidRDefault="0063654F" w:rsidP="00093008">
      <w:pPr>
        <w:spacing w:after="120" w:line="240" w:lineRule="auto"/>
        <w:rPr>
          <w:sz w:val="24"/>
          <w:szCs w:val="24"/>
        </w:rPr>
      </w:pPr>
      <w:r w:rsidRPr="001C19A5">
        <w:rPr>
          <w:sz w:val="24"/>
          <w:szCs w:val="24"/>
        </w:rPr>
        <w:t xml:space="preserve">If </w:t>
      </w:r>
      <w:r w:rsidR="006A13C6">
        <w:rPr>
          <w:sz w:val="24"/>
          <w:szCs w:val="24"/>
        </w:rPr>
        <w:t xml:space="preserve">at </w:t>
      </w:r>
      <w:r w:rsidRPr="001C19A5">
        <w:rPr>
          <w:sz w:val="24"/>
          <w:szCs w:val="24"/>
        </w:rPr>
        <w:t xml:space="preserve">any time through the year you refunded a refundable </w:t>
      </w:r>
      <w:r w:rsidR="00BB155A">
        <w:rPr>
          <w:sz w:val="24"/>
          <w:szCs w:val="24"/>
        </w:rPr>
        <w:t>accommodation payment</w:t>
      </w:r>
      <w:r w:rsidRPr="001C19A5">
        <w:rPr>
          <w:sz w:val="24"/>
          <w:szCs w:val="24"/>
        </w:rPr>
        <w:t xml:space="preserve"> balance or entry contribution balance, you are required to report the total value of the </w:t>
      </w:r>
      <w:r w:rsidR="002736CF" w:rsidRPr="001C19A5">
        <w:rPr>
          <w:sz w:val="24"/>
          <w:szCs w:val="24"/>
        </w:rPr>
        <w:t>refundable accommodation</w:t>
      </w:r>
      <w:r w:rsidR="00BB155A">
        <w:rPr>
          <w:sz w:val="24"/>
          <w:szCs w:val="24"/>
        </w:rPr>
        <w:t xml:space="preserve"> payment</w:t>
      </w:r>
      <w:r w:rsidR="00BB155A" w:rsidRPr="001C19A5">
        <w:rPr>
          <w:sz w:val="24"/>
          <w:szCs w:val="24"/>
        </w:rPr>
        <w:t xml:space="preserve"> </w:t>
      </w:r>
      <w:r w:rsidRPr="001C19A5">
        <w:rPr>
          <w:sz w:val="24"/>
          <w:szCs w:val="24"/>
        </w:rPr>
        <w:t>balances and or entry contributions balances that were refunded. Do not include any base or maximum permissible interest that was owed to the residents at the time of refund. (</w:t>
      </w:r>
      <w:r w:rsidRPr="001C19A5">
        <w:rPr>
          <w:b/>
          <w:sz w:val="24"/>
          <w:szCs w:val="24"/>
        </w:rPr>
        <w:t xml:space="preserve">Balances </w:t>
      </w:r>
      <w:r w:rsidR="00E05797" w:rsidRPr="001C19A5">
        <w:rPr>
          <w:b/>
          <w:sz w:val="24"/>
          <w:szCs w:val="24"/>
        </w:rPr>
        <w:t>o</w:t>
      </w:r>
      <w:r w:rsidRPr="001C19A5">
        <w:rPr>
          <w:b/>
          <w:sz w:val="24"/>
          <w:szCs w:val="24"/>
        </w:rPr>
        <w:t xml:space="preserve">nly </w:t>
      </w:r>
      <w:r w:rsidRPr="001C19A5">
        <w:rPr>
          <w:sz w:val="24"/>
          <w:szCs w:val="24"/>
        </w:rPr>
        <w:t>are reported).</w:t>
      </w:r>
    </w:p>
    <w:p w14:paraId="764460F3" w14:textId="6AFB24C0" w:rsidR="0063654F" w:rsidRPr="000D58C0" w:rsidRDefault="006A13C6" w:rsidP="00093008">
      <w:pPr>
        <w:spacing w:after="120" w:line="240" w:lineRule="auto"/>
        <w:rPr>
          <w:sz w:val="24"/>
          <w:szCs w:val="24"/>
        </w:rPr>
      </w:pPr>
      <w:r>
        <w:rPr>
          <w:b/>
          <w:sz w:val="24"/>
          <w:szCs w:val="24"/>
        </w:rPr>
        <w:t>P</w:t>
      </w:r>
      <w:r w:rsidR="0063654F" w:rsidRPr="001C19A5">
        <w:rPr>
          <w:b/>
          <w:sz w:val="24"/>
          <w:szCs w:val="24"/>
        </w:rPr>
        <w:t xml:space="preserve">roviders need to report the amount refunded to former residents even if the money used was not from refundable </w:t>
      </w:r>
      <w:r w:rsidR="00C7677E">
        <w:rPr>
          <w:b/>
          <w:sz w:val="24"/>
          <w:szCs w:val="24"/>
        </w:rPr>
        <w:t>accommodation payment</w:t>
      </w:r>
      <w:r w:rsidR="0063654F" w:rsidRPr="001C19A5">
        <w:rPr>
          <w:b/>
          <w:sz w:val="24"/>
          <w:szCs w:val="24"/>
        </w:rPr>
        <w:t xml:space="preserve"> balances</w:t>
      </w:r>
      <w:r w:rsidR="0063654F" w:rsidRPr="000D58C0">
        <w:rPr>
          <w:b/>
          <w:sz w:val="24"/>
          <w:szCs w:val="24"/>
        </w:rPr>
        <w:t>.</w:t>
      </w:r>
    </w:p>
    <w:p w14:paraId="3848405D" w14:textId="77777777" w:rsidR="0063654F" w:rsidRPr="001C19A5" w:rsidRDefault="0063654F" w:rsidP="00093008">
      <w:pPr>
        <w:pStyle w:val="Tabletext"/>
        <w:spacing w:before="0" w:after="120"/>
        <w:rPr>
          <w:rFonts w:asciiTheme="minorHAnsi" w:hAnsiTheme="minorHAnsi"/>
          <w:sz w:val="24"/>
          <w:szCs w:val="24"/>
        </w:rPr>
      </w:pPr>
      <w:r w:rsidRPr="001C19A5">
        <w:rPr>
          <w:rFonts w:asciiTheme="minorHAnsi" w:hAnsiTheme="minorHAnsi"/>
          <w:sz w:val="24"/>
          <w:szCs w:val="24"/>
        </w:rPr>
        <w:t xml:space="preserve">If you did not refund any </w:t>
      </w:r>
      <w:r w:rsidR="000E05AC">
        <w:rPr>
          <w:rFonts w:asciiTheme="minorHAnsi" w:hAnsiTheme="minorHAnsi"/>
          <w:sz w:val="24"/>
          <w:szCs w:val="24"/>
        </w:rPr>
        <w:t>accommodation payment</w:t>
      </w:r>
      <w:r w:rsidRPr="001C19A5">
        <w:rPr>
          <w:rFonts w:asciiTheme="minorHAnsi" w:hAnsiTheme="minorHAnsi"/>
          <w:sz w:val="24"/>
          <w:szCs w:val="24"/>
        </w:rPr>
        <w:t xml:space="preserve"> balances or entry contribution balances, enter zero or leave blank, the first </w:t>
      </w:r>
      <w:r w:rsidR="00EC251D" w:rsidRPr="001C19A5">
        <w:rPr>
          <w:rFonts w:asciiTheme="minorHAnsi" w:hAnsiTheme="minorHAnsi"/>
          <w:sz w:val="24"/>
          <w:szCs w:val="24"/>
        </w:rPr>
        <w:t>box</w:t>
      </w:r>
      <w:r w:rsidR="005D2FC7" w:rsidRPr="001C19A5">
        <w:rPr>
          <w:rFonts w:asciiTheme="minorHAnsi" w:hAnsiTheme="minorHAnsi"/>
          <w:sz w:val="24"/>
          <w:szCs w:val="24"/>
        </w:rPr>
        <w:t>.</w:t>
      </w:r>
    </w:p>
    <w:p w14:paraId="46DA13D0" w14:textId="77777777" w:rsidR="0063654F" w:rsidRPr="002B7CED" w:rsidRDefault="0063654F" w:rsidP="002B7CED">
      <w:pPr>
        <w:spacing w:before="200" w:after="0"/>
        <w:rPr>
          <w:b/>
          <w:bCs/>
          <w:color w:val="0070C0"/>
          <w:sz w:val="26"/>
          <w:szCs w:val="26"/>
        </w:rPr>
      </w:pPr>
      <w:r w:rsidRPr="002B7CED">
        <w:rPr>
          <w:b/>
          <w:bCs/>
          <w:color w:val="0070C0"/>
          <w:sz w:val="26"/>
          <w:szCs w:val="26"/>
        </w:rPr>
        <w:t xml:space="preserve">Capital expenditure </w:t>
      </w:r>
    </w:p>
    <w:p w14:paraId="3736FF36" w14:textId="77777777" w:rsidR="0063654F" w:rsidRPr="001C19A5" w:rsidRDefault="0063654F" w:rsidP="00C62C3A">
      <w:pPr>
        <w:spacing w:after="0" w:line="240" w:lineRule="auto"/>
        <w:ind w:left="284" w:hanging="284"/>
        <w:rPr>
          <w:rFonts w:cs="Arial"/>
          <w:sz w:val="24"/>
          <w:szCs w:val="24"/>
        </w:rPr>
      </w:pPr>
      <w:r w:rsidRPr="001C19A5">
        <w:rPr>
          <w:rFonts w:cs="Arial"/>
          <w:sz w:val="24"/>
          <w:szCs w:val="24"/>
        </w:rPr>
        <w:t>If during the financial year you have used funds on:</w:t>
      </w:r>
    </w:p>
    <w:p w14:paraId="53E97CA1" w14:textId="2AEB32B0" w:rsidR="0063654F" w:rsidRPr="00B35C39" w:rsidRDefault="0063654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expenditure to acquire land on which are, or are to be built, the premises needed for providing residential care or flexible care</w:t>
      </w:r>
    </w:p>
    <w:p w14:paraId="3F5F074D" w14:textId="1C0448CE" w:rsidR="0063654F" w:rsidRPr="00B35C39" w:rsidRDefault="0063654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expenditure to acquire, erect, extend or significantly alter premises used or proposed to be used for providing residential care or flexible care</w:t>
      </w:r>
    </w:p>
    <w:p w14:paraId="3BA7F482" w14:textId="6B69C985" w:rsidR="0063654F" w:rsidRPr="00B35C39" w:rsidRDefault="0063654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expenditure to acquire or install furniture, fittings or equipment for premises used or proposed to be used for providing residential care or flexible care, when those premises are initially erected or following an extension, a significant alteration or a significant refurbishment</w:t>
      </w:r>
    </w:p>
    <w:p w14:paraId="355BE968" w14:textId="370DA519" w:rsidR="0063654F" w:rsidRPr="00B35C39" w:rsidRDefault="0063654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any expenditure directly attributable to the capital expenditure above</w:t>
      </w:r>
    </w:p>
    <w:p w14:paraId="22160DE1" w14:textId="6CEBBEF9" w:rsidR="0063654F" w:rsidRPr="00A02D08" w:rsidRDefault="006A13C6" w:rsidP="00BC5453">
      <w:pPr>
        <w:spacing w:before="120" w:after="120" w:line="240" w:lineRule="auto"/>
        <w:rPr>
          <w:rFonts w:eastAsia="Times New Roman"/>
          <w:iCs/>
          <w:sz w:val="24"/>
          <w:szCs w:val="24"/>
          <w:lang w:eastAsia="en-AU"/>
        </w:rPr>
      </w:pPr>
      <w:r>
        <w:rPr>
          <w:rFonts w:eastAsia="Times New Roman"/>
          <w:iCs/>
          <w:sz w:val="24"/>
          <w:szCs w:val="24"/>
          <w:lang w:eastAsia="en-AU"/>
        </w:rPr>
        <w:t>R</w:t>
      </w:r>
      <w:r w:rsidR="0063654F" w:rsidRPr="00A02D08">
        <w:rPr>
          <w:rFonts w:eastAsia="Times New Roman"/>
          <w:iCs/>
          <w:sz w:val="24"/>
          <w:szCs w:val="24"/>
          <w:lang w:eastAsia="en-AU"/>
        </w:rPr>
        <w:t>eport the total value spent on Capital expenditure in the box</w:t>
      </w:r>
      <w:r w:rsidR="00093008" w:rsidRPr="00A02D08">
        <w:rPr>
          <w:rFonts w:eastAsia="Times New Roman"/>
          <w:iCs/>
          <w:sz w:val="24"/>
          <w:szCs w:val="24"/>
          <w:lang w:eastAsia="en-AU"/>
        </w:rPr>
        <w:t>.</w:t>
      </w:r>
    </w:p>
    <w:p w14:paraId="431F3513" w14:textId="5CA700CE" w:rsidR="002134CE" w:rsidRPr="005C569E" w:rsidRDefault="006A13C6" w:rsidP="005C569E">
      <w:pPr>
        <w:rPr>
          <w:b/>
          <w:sz w:val="24"/>
          <w:szCs w:val="24"/>
        </w:rPr>
      </w:pPr>
      <w:r>
        <w:rPr>
          <w:b/>
          <w:sz w:val="24"/>
          <w:szCs w:val="24"/>
        </w:rPr>
        <w:t>P</w:t>
      </w:r>
      <w:r w:rsidR="0063654F" w:rsidRPr="001C19A5">
        <w:rPr>
          <w:b/>
          <w:sz w:val="24"/>
          <w:szCs w:val="24"/>
        </w:rPr>
        <w:t xml:space="preserve">roviders need to report the amount </w:t>
      </w:r>
      <w:r w:rsidR="00F248BE">
        <w:rPr>
          <w:b/>
          <w:sz w:val="24"/>
          <w:szCs w:val="24"/>
        </w:rPr>
        <w:t>spent</w:t>
      </w:r>
      <w:r w:rsidR="00F248BE" w:rsidRPr="001C19A5">
        <w:rPr>
          <w:b/>
          <w:sz w:val="24"/>
          <w:szCs w:val="24"/>
        </w:rPr>
        <w:t xml:space="preserve"> </w:t>
      </w:r>
      <w:r w:rsidR="0063654F" w:rsidRPr="001C19A5">
        <w:rPr>
          <w:b/>
          <w:sz w:val="24"/>
          <w:szCs w:val="24"/>
        </w:rPr>
        <w:t xml:space="preserve">on capital </w:t>
      </w:r>
      <w:r w:rsidR="0081421F">
        <w:rPr>
          <w:b/>
          <w:sz w:val="24"/>
          <w:szCs w:val="24"/>
        </w:rPr>
        <w:t xml:space="preserve">expenditure </w:t>
      </w:r>
      <w:r w:rsidR="0063654F" w:rsidRPr="001C19A5">
        <w:rPr>
          <w:b/>
          <w:sz w:val="24"/>
          <w:szCs w:val="24"/>
        </w:rPr>
        <w:t xml:space="preserve">even if the money used was not from refundable </w:t>
      </w:r>
      <w:r w:rsidR="00A02D08">
        <w:rPr>
          <w:b/>
          <w:sz w:val="24"/>
          <w:szCs w:val="24"/>
        </w:rPr>
        <w:t>accommodation</w:t>
      </w:r>
      <w:r w:rsidR="0063654F" w:rsidRPr="001C19A5">
        <w:rPr>
          <w:b/>
          <w:sz w:val="24"/>
          <w:szCs w:val="24"/>
        </w:rPr>
        <w:t xml:space="preserve"> balances.</w:t>
      </w:r>
    </w:p>
    <w:p w14:paraId="1F43E68E" w14:textId="77777777" w:rsidR="0063654F" w:rsidRPr="002B7CED" w:rsidRDefault="0063654F" w:rsidP="002B7CED">
      <w:pPr>
        <w:spacing w:before="200" w:after="0"/>
        <w:rPr>
          <w:b/>
          <w:bCs/>
          <w:color w:val="0070C0"/>
          <w:sz w:val="26"/>
          <w:szCs w:val="26"/>
        </w:rPr>
      </w:pPr>
      <w:r w:rsidRPr="002B7CED">
        <w:rPr>
          <w:b/>
          <w:bCs/>
          <w:color w:val="0070C0"/>
          <w:sz w:val="26"/>
          <w:szCs w:val="26"/>
        </w:rPr>
        <w:lastRenderedPageBreak/>
        <w:t>Authorised deposit-taking institutions</w:t>
      </w:r>
    </w:p>
    <w:p w14:paraId="0AF0A876" w14:textId="5B0ECDA7" w:rsidR="0063654F" w:rsidRPr="001C19A5" w:rsidRDefault="0063654F" w:rsidP="00093008">
      <w:pPr>
        <w:spacing w:line="240" w:lineRule="auto"/>
        <w:rPr>
          <w:rFonts w:cs="Arial"/>
          <w:b/>
          <w:i/>
          <w:sz w:val="24"/>
          <w:szCs w:val="24"/>
        </w:rPr>
      </w:pPr>
      <w:r w:rsidRPr="001C19A5">
        <w:rPr>
          <w:rFonts w:cs="Arial"/>
          <w:sz w:val="24"/>
          <w:szCs w:val="24"/>
        </w:rPr>
        <w:t>If during the financial year you have banked any funds or invested any funds in any deposit-taking facility made available by an ADI (</w:t>
      </w:r>
      <w:r w:rsidR="002736CF" w:rsidRPr="001C19A5">
        <w:rPr>
          <w:rFonts w:cs="Arial"/>
          <w:sz w:val="24"/>
          <w:szCs w:val="24"/>
        </w:rPr>
        <w:t>e.g.,</w:t>
      </w:r>
      <w:r w:rsidRPr="001C19A5">
        <w:rPr>
          <w:rFonts w:cs="Arial"/>
          <w:sz w:val="24"/>
          <w:szCs w:val="24"/>
        </w:rPr>
        <w:t xml:space="preserve"> bank, building society) in the course of its normal banking business, you are required to report the increase or the decrease in money</w:t>
      </w:r>
      <w:r w:rsidR="00FF003D">
        <w:rPr>
          <w:rFonts w:cs="Arial"/>
          <w:sz w:val="24"/>
          <w:szCs w:val="24"/>
        </w:rPr>
        <w:t xml:space="preserve"> </w:t>
      </w:r>
      <w:r w:rsidRPr="001C19A5">
        <w:rPr>
          <w:rFonts w:cs="Arial"/>
          <w:sz w:val="24"/>
          <w:szCs w:val="24"/>
        </w:rPr>
        <w:t>in the accounts at the beginning and end of the year</w:t>
      </w:r>
      <w:r w:rsidR="00FF003D">
        <w:rPr>
          <w:rFonts w:cs="Arial"/>
          <w:sz w:val="24"/>
          <w:szCs w:val="24"/>
        </w:rPr>
        <w:t xml:space="preserve"> </w:t>
      </w:r>
      <w:r w:rsidR="006A13C6">
        <w:rPr>
          <w:rFonts w:cs="Arial"/>
          <w:sz w:val="24"/>
          <w:szCs w:val="24"/>
        </w:rPr>
        <w:t>–</w:t>
      </w:r>
      <w:r w:rsidR="00FF003D">
        <w:rPr>
          <w:rFonts w:cs="Arial"/>
          <w:sz w:val="24"/>
          <w:szCs w:val="24"/>
        </w:rPr>
        <w:t xml:space="preserve"> the</w:t>
      </w:r>
      <w:r w:rsidR="006A13C6">
        <w:rPr>
          <w:rFonts w:cs="Arial"/>
          <w:sz w:val="24"/>
          <w:szCs w:val="24"/>
        </w:rPr>
        <w:t xml:space="preserve"> </w:t>
      </w:r>
      <w:r w:rsidR="00FF003D">
        <w:rPr>
          <w:rFonts w:cs="Arial"/>
          <w:sz w:val="24"/>
          <w:szCs w:val="24"/>
        </w:rPr>
        <w:t xml:space="preserve">net movement of funds </w:t>
      </w:r>
      <w:r w:rsidR="000505BC">
        <w:rPr>
          <w:rFonts w:cs="Arial"/>
          <w:sz w:val="24"/>
          <w:szCs w:val="24"/>
        </w:rPr>
        <w:t>for the year.</w:t>
      </w:r>
    </w:p>
    <w:p w14:paraId="4D7B664C" w14:textId="46D29D57" w:rsidR="0063654F" w:rsidRPr="001C19A5" w:rsidRDefault="0063654F" w:rsidP="00093008">
      <w:pPr>
        <w:spacing w:line="240" w:lineRule="auto"/>
        <w:rPr>
          <w:rFonts w:cs="Arial"/>
          <w:sz w:val="24"/>
          <w:szCs w:val="24"/>
        </w:rPr>
      </w:pPr>
      <w:r w:rsidRPr="001C19A5">
        <w:rPr>
          <w:rFonts w:cs="Arial"/>
          <w:b/>
          <w:sz w:val="24"/>
          <w:szCs w:val="24"/>
        </w:rPr>
        <w:t xml:space="preserve">What does this mean? </w:t>
      </w:r>
      <w:r w:rsidR="006A13C6">
        <w:rPr>
          <w:rFonts w:cs="Arial"/>
          <w:sz w:val="24"/>
          <w:szCs w:val="24"/>
        </w:rPr>
        <w:t>T</w:t>
      </w:r>
      <w:r w:rsidRPr="001C19A5">
        <w:rPr>
          <w:rFonts w:cs="Arial"/>
          <w:sz w:val="24"/>
          <w:szCs w:val="24"/>
        </w:rPr>
        <w:t xml:space="preserve">ake all of your account/s balance as at </w:t>
      </w:r>
      <w:r w:rsidR="007A2DDD" w:rsidRPr="001C19A5">
        <w:rPr>
          <w:rFonts w:cs="Arial"/>
          <w:sz w:val="24"/>
          <w:szCs w:val="24"/>
        </w:rPr>
        <w:t xml:space="preserve">the start of your financial </w:t>
      </w:r>
      <w:r w:rsidR="005D2FC7" w:rsidRPr="001C19A5">
        <w:rPr>
          <w:rFonts w:cs="Arial"/>
          <w:sz w:val="24"/>
          <w:szCs w:val="24"/>
        </w:rPr>
        <w:t>year that</w:t>
      </w:r>
      <w:r w:rsidRPr="001C19A5">
        <w:rPr>
          <w:rFonts w:cs="Arial"/>
          <w:sz w:val="24"/>
          <w:szCs w:val="24"/>
        </w:rPr>
        <w:t xml:space="preserve"> are used by the provider and then subtract the balance as at </w:t>
      </w:r>
      <w:r w:rsidR="00F764F8">
        <w:rPr>
          <w:rFonts w:cs="Arial"/>
          <w:sz w:val="24"/>
          <w:szCs w:val="24"/>
        </w:rPr>
        <w:t>the end of your financial year</w:t>
      </w:r>
      <w:r w:rsidRPr="001C19A5">
        <w:rPr>
          <w:rFonts w:cs="Arial"/>
          <w:sz w:val="24"/>
          <w:szCs w:val="24"/>
        </w:rPr>
        <w:t xml:space="preserve">. Enter the </w:t>
      </w:r>
      <w:r w:rsidR="005D2FC7" w:rsidRPr="001C19A5">
        <w:rPr>
          <w:rFonts w:cs="Arial"/>
          <w:sz w:val="24"/>
          <w:szCs w:val="24"/>
        </w:rPr>
        <w:t>difference in</w:t>
      </w:r>
      <w:r w:rsidRPr="001C19A5">
        <w:rPr>
          <w:rFonts w:cs="Arial"/>
          <w:sz w:val="24"/>
          <w:szCs w:val="24"/>
        </w:rPr>
        <w:t xml:space="preserve"> the ADI box. This can be a positive or negative figure. A negative figure should be in brackets.</w:t>
      </w:r>
    </w:p>
    <w:p w14:paraId="12104AA1" w14:textId="1ECB9062" w:rsidR="002134CE" w:rsidRPr="005C569E" w:rsidRDefault="006A13C6" w:rsidP="005C569E">
      <w:pPr>
        <w:spacing w:line="240" w:lineRule="auto"/>
        <w:rPr>
          <w:b/>
          <w:sz w:val="24"/>
          <w:szCs w:val="24"/>
        </w:rPr>
      </w:pPr>
      <w:r>
        <w:rPr>
          <w:b/>
          <w:sz w:val="24"/>
          <w:szCs w:val="24"/>
        </w:rPr>
        <w:t>Providers</w:t>
      </w:r>
      <w:r w:rsidR="00FF003D">
        <w:rPr>
          <w:b/>
          <w:sz w:val="24"/>
          <w:szCs w:val="24"/>
        </w:rPr>
        <w:t xml:space="preserve"> </w:t>
      </w:r>
      <w:r w:rsidR="0063654F" w:rsidRPr="001C19A5">
        <w:rPr>
          <w:b/>
          <w:sz w:val="24"/>
          <w:szCs w:val="24"/>
        </w:rPr>
        <w:t xml:space="preserve">need to report on all accounts used </w:t>
      </w:r>
      <w:r w:rsidR="00FF003D">
        <w:rPr>
          <w:b/>
          <w:sz w:val="24"/>
          <w:szCs w:val="24"/>
        </w:rPr>
        <w:t xml:space="preserve">to conduct </w:t>
      </w:r>
      <w:r w:rsidR="008C75EF">
        <w:rPr>
          <w:b/>
          <w:sz w:val="24"/>
          <w:szCs w:val="24"/>
        </w:rPr>
        <w:t>their</w:t>
      </w:r>
      <w:r w:rsidR="008C75EF" w:rsidRPr="001C19A5">
        <w:rPr>
          <w:b/>
          <w:sz w:val="24"/>
          <w:szCs w:val="24"/>
        </w:rPr>
        <w:t xml:space="preserve"> </w:t>
      </w:r>
      <w:r w:rsidR="0063654F" w:rsidRPr="001C19A5">
        <w:rPr>
          <w:b/>
          <w:sz w:val="24"/>
          <w:szCs w:val="24"/>
        </w:rPr>
        <w:t>business. If this box is left blank the form will be retu</w:t>
      </w:r>
      <w:r w:rsidR="00FF003D">
        <w:rPr>
          <w:b/>
          <w:sz w:val="24"/>
          <w:szCs w:val="24"/>
        </w:rPr>
        <w:t>r</w:t>
      </w:r>
      <w:r w:rsidR="0063654F" w:rsidRPr="001C19A5">
        <w:rPr>
          <w:b/>
          <w:sz w:val="24"/>
          <w:szCs w:val="24"/>
        </w:rPr>
        <w:t xml:space="preserve">ned for completion and will require someone who is key personnel </w:t>
      </w:r>
      <w:r w:rsidR="000B6BF7">
        <w:rPr>
          <w:b/>
          <w:sz w:val="24"/>
          <w:szCs w:val="24"/>
        </w:rPr>
        <w:t>to date and initial the change.</w:t>
      </w:r>
      <w:r w:rsidR="007403F8">
        <w:rPr>
          <w:b/>
          <w:sz w:val="24"/>
          <w:szCs w:val="24"/>
        </w:rPr>
        <w:t xml:space="preserve"> </w:t>
      </w:r>
      <w:r w:rsidR="000B6BF7">
        <w:rPr>
          <w:b/>
          <w:sz w:val="24"/>
          <w:szCs w:val="24"/>
        </w:rPr>
        <w:t>It is</w:t>
      </w:r>
      <w:r w:rsidR="007403F8">
        <w:rPr>
          <w:b/>
          <w:sz w:val="24"/>
          <w:szCs w:val="24"/>
        </w:rPr>
        <w:t xml:space="preserve"> expect</w:t>
      </w:r>
      <w:r w:rsidR="000B6BF7">
        <w:rPr>
          <w:b/>
          <w:sz w:val="24"/>
          <w:szCs w:val="24"/>
        </w:rPr>
        <w:t>ed that all providers</w:t>
      </w:r>
      <w:r w:rsidR="007403F8">
        <w:rPr>
          <w:b/>
          <w:sz w:val="24"/>
          <w:szCs w:val="24"/>
        </w:rPr>
        <w:t xml:space="preserve"> have movement in either ADI or RCDF</w:t>
      </w:r>
      <w:r w:rsidR="00095205">
        <w:rPr>
          <w:b/>
          <w:sz w:val="24"/>
          <w:szCs w:val="24"/>
        </w:rPr>
        <w:t>.</w:t>
      </w:r>
      <w:r w:rsidR="007403F8">
        <w:rPr>
          <w:b/>
          <w:sz w:val="24"/>
          <w:szCs w:val="24"/>
        </w:rPr>
        <w:t xml:space="preserve"> </w:t>
      </w:r>
      <w:r w:rsidR="00095205">
        <w:rPr>
          <w:b/>
          <w:sz w:val="24"/>
          <w:szCs w:val="24"/>
        </w:rPr>
        <w:t>I</w:t>
      </w:r>
      <w:r w:rsidR="007403F8">
        <w:rPr>
          <w:b/>
          <w:sz w:val="24"/>
          <w:szCs w:val="24"/>
        </w:rPr>
        <w:t>f you have not entered a value in either field, you will be contacted and asked to complete this information.</w:t>
      </w:r>
    </w:p>
    <w:p w14:paraId="160BADE0" w14:textId="77777777" w:rsidR="0063654F" w:rsidRPr="002B7CED" w:rsidRDefault="0063654F" w:rsidP="002B7CED">
      <w:pPr>
        <w:spacing w:before="200" w:after="0"/>
        <w:rPr>
          <w:b/>
          <w:bCs/>
          <w:color w:val="0070C0"/>
          <w:sz w:val="26"/>
          <w:szCs w:val="26"/>
        </w:rPr>
      </w:pPr>
      <w:r w:rsidRPr="002B7CED">
        <w:rPr>
          <w:b/>
          <w:bCs/>
          <w:color w:val="0070C0"/>
          <w:sz w:val="26"/>
          <w:szCs w:val="26"/>
        </w:rPr>
        <w:t>Other financial products</w:t>
      </w:r>
    </w:p>
    <w:p w14:paraId="591A245E" w14:textId="7CA85887" w:rsidR="0063654F" w:rsidRPr="001C19A5" w:rsidRDefault="0063654F" w:rsidP="00093008">
      <w:pPr>
        <w:spacing w:after="0" w:line="240" w:lineRule="auto"/>
        <w:rPr>
          <w:rFonts w:cs="Arial"/>
          <w:sz w:val="24"/>
          <w:szCs w:val="24"/>
        </w:rPr>
      </w:pPr>
      <w:r w:rsidRPr="001C19A5">
        <w:rPr>
          <w:rFonts w:cs="Arial"/>
          <w:sz w:val="24"/>
          <w:szCs w:val="24"/>
        </w:rPr>
        <w:t xml:space="preserve">If during the financial year you have </w:t>
      </w:r>
      <w:r w:rsidRPr="001C19A5">
        <w:rPr>
          <w:sz w:val="24"/>
          <w:szCs w:val="24"/>
        </w:rPr>
        <w:t xml:space="preserve">expended funds on </w:t>
      </w:r>
      <w:r w:rsidRPr="001C19A5">
        <w:rPr>
          <w:rFonts w:cs="Arial"/>
          <w:sz w:val="24"/>
          <w:szCs w:val="24"/>
        </w:rPr>
        <w:t>investments in the financial products listed below</w:t>
      </w:r>
      <w:r w:rsidR="00095205">
        <w:rPr>
          <w:rFonts w:cs="Arial"/>
          <w:sz w:val="24"/>
          <w:szCs w:val="24"/>
        </w:rPr>
        <w:t>, the</w:t>
      </w:r>
      <w:r w:rsidRPr="001C19A5">
        <w:rPr>
          <w:rFonts w:cs="Arial"/>
          <w:sz w:val="24"/>
          <w:szCs w:val="24"/>
        </w:rPr>
        <w:t xml:space="preserve"> total value should be reported:</w:t>
      </w:r>
    </w:p>
    <w:p w14:paraId="5AF21A9D" w14:textId="1A6E6A00"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 xml:space="preserve">debentures, stocks or bonds issued by the Commonwealth, States or Territories </w:t>
      </w:r>
    </w:p>
    <w:p w14:paraId="14F3EB87" w14:textId="5C57413B"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securities</w:t>
      </w:r>
    </w:p>
    <w:p w14:paraId="6C9F627F" w14:textId="18E53541"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registered managed investment schemes</w:t>
      </w:r>
    </w:p>
    <w:p w14:paraId="399294C7" w14:textId="40D8BE69"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unregistered managed investment schemes established for the purpose of investment in residential care or flexible car</w:t>
      </w:r>
      <w:r w:rsidR="008A51AE">
        <w:rPr>
          <w:rFonts w:asciiTheme="minorHAnsi" w:hAnsiTheme="minorHAnsi" w:cs="Arial"/>
          <w:sz w:val="24"/>
          <w:szCs w:val="24"/>
        </w:rPr>
        <w:t>e</w:t>
      </w:r>
    </w:p>
    <w:p w14:paraId="47626CD6" w14:textId="111B586B" w:rsidR="0063654F" w:rsidRPr="001C19A5" w:rsidRDefault="006A13C6" w:rsidP="00B97E9C">
      <w:pPr>
        <w:pStyle w:val="BodyText"/>
        <w:spacing w:before="120" w:after="200"/>
        <w:ind w:left="284" w:hanging="284"/>
        <w:rPr>
          <w:rFonts w:asciiTheme="minorHAnsi" w:hAnsiTheme="minorHAnsi"/>
          <w:lang w:eastAsia="en-US"/>
        </w:rPr>
      </w:pPr>
      <w:r>
        <w:rPr>
          <w:rFonts w:asciiTheme="minorHAnsi" w:hAnsiTheme="minorHAnsi"/>
          <w:lang w:eastAsia="en-US"/>
        </w:rPr>
        <w:t>R</w:t>
      </w:r>
      <w:r w:rsidR="0063654F" w:rsidRPr="001C19A5">
        <w:rPr>
          <w:rFonts w:asciiTheme="minorHAnsi" w:hAnsiTheme="minorHAnsi"/>
          <w:lang w:eastAsia="en-US"/>
        </w:rPr>
        <w:t xml:space="preserve">eport the value of investments in the ‘other financial products’ box. </w:t>
      </w:r>
    </w:p>
    <w:p w14:paraId="25F61FB7" w14:textId="61458E6C" w:rsidR="0063654F" w:rsidRPr="001C19A5" w:rsidRDefault="0063654F" w:rsidP="00093008">
      <w:pPr>
        <w:pStyle w:val="BodyText"/>
        <w:spacing w:before="0" w:after="200"/>
        <w:ind w:left="284" w:hanging="284"/>
        <w:rPr>
          <w:rFonts w:asciiTheme="minorHAnsi" w:hAnsiTheme="minorHAnsi"/>
        </w:rPr>
      </w:pPr>
      <w:r w:rsidRPr="001C19A5">
        <w:rPr>
          <w:rFonts w:asciiTheme="minorHAnsi" w:hAnsiTheme="minorHAnsi"/>
        </w:rPr>
        <w:t xml:space="preserve">An </w:t>
      </w:r>
      <w:r w:rsidR="00484F41">
        <w:rPr>
          <w:rFonts w:asciiTheme="minorHAnsi" w:hAnsiTheme="minorHAnsi"/>
        </w:rPr>
        <w:t>IMS</w:t>
      </w:r>
      <w:r w:rsidRPr="001C19A5">
        <w:rPr>
          <w:rFonts w:asciiTheme="minorHAnsi" w:hAnsiTheme="minorHAnsi"/>
        </w:rPr>
        <w:t xml:space="preserve"> must be in place if using</w:t>
      </w:r>
      <w:r w:rsidR="0042143C">
        <w:rPr>
          <w:rFonts w:asciiTheme="minorHAnsi" w:hAnsiTheme="minorHAnsi"/>
        </w:rPr>
        <w:t xml:space="preserve"> refundable accommodation paymen</w:t>
      </w:r>
      <w:r w:rsidR="005B59B5">
        <w:rPr>
          <w:rFonts w:asciiTheme="minorHAnsi" w:hAnsiTheme="minorHAnsi"/>
        </w:rPr>
        <w:t>t</w:t>
      </w:r>
      <w:r w:rsidR="0042143C">
        <w:rPr>
          <w:rFonts w:asciiTheme="minorHAnsi" w:hAnsiTheme="minorHAnsi"/>
        </w:rPr>
        <w:t>s</w:t>
      </w:r>
      <w:r w:rsidRPr="001C19A5">
        <w:rPr>
          <w:rFonts w:asciiTheme="minorHAnsi" w:hAnsiTheme="minorHAnsi"/>
        </w:rPr>
        <w:t xml:space="preserve"> for these investments.</w:t>
      </w:r>
    </w:p>
    <w:p w14:paraId="6E2B7E61" w14:textId="40B9E2A3" w:rsidR="0063654F" w:rsidRPr="001C19A5" w:rsidRDefault="006A13C6" w:rsidP="00093008">
      <w:pPr>
        <w:spacing w:after="120" w:line="240" w:lineRule="auto"/>
        <w:rPr>
          <w:b/>
          <w:sz w:val="24"/>
          <w:szCs w:val="24"/>
        </w:rPr>
      </w:pPr>
      <w:r>
        <w:rPr>
          <w:b/>
          <w:sz w:val="24"/>
          <w:szCs w:val="24"/>
        </w:rPr>
        <w:t>P</w:t>
      </w:r>
      <w:r w:rsidR="0063654F" w:rsidRPr="001C19A5">
        <w:rPr>
          <w:b/>
          <w:sz w:val="24"/>
          <w:szCs w:val="24"/>
        </w:rPr>
        <w:t xml:space="preserve">roviders need to report the amount invested in financial product even if the money used was not from refundable </w:t>
      </w:r>
      <w:r w:rsidR="00F764F8">
        <w:rPr>
          <w:b/>
          <w:sz w:val="24"/>
          <w:szCs w:val="24"/>
        </w:rPr>
        <w:t>accommodation payment</w:t>
      </w:r>
      <w:r w:rsidR="0063654F" w:rsidRPr="001C19A5">
        <w:rPr>
          <w:b/>
          <w:sz w:val="24"/>
          <w:szCs w:val="24"/>
        </w:rPr>
        <w:t xml:space="preserve"> balances.</w:t>
      </w:r>
    </w:p>
    <w:p w14:paraId="159C3358" w14:textId="77777777" w:rsidR="0063654F" w:rsidRPr="002B7CED" w:rsidRDefault="0063654F" w:rsidP="002B7CED">
      <w:pPr>
        <w:spacing w:before="200" w:after="0"/>
        <w:rPr>
          <w:b/>
          <w:bCs/>
          <w:color w:val="0070C0"/>
          <w:sz w:val="26"/>
          <w:szCs w:val="26"/>
        </w:rPr>
      </w:pPr>
      <w:r w:rsidRPr="002B7CED">
        <w:rPr>
          <w:b/>
          <w:bCs/>
          <w:color w:val="0070C0"/>
          <w:sz w:val="26"/>
          <w:szCs w:val="26"/>
        </w:rPr>
        <w:t xml:space="preserve">Religious Charitable Development Funds </w:t>
      </w:r>
    </w:p>
    <w:p w14:paraId="246A8439" w14:textId="4475A54B" w:rsidR="0063654F" w:rsidRPr="001C19A5" w:rsidRDefault="0063654F" w:rsidP="002B7CED">
      <w:pPr>
        <w:pStyle w:val="Tabletext"/>
        <w:spacing w:before="0" w:after="120"/>
        <w:ind w:right="176"/>
        <w:rPr>
          <w:rFonts w:asciiTheme="minorHAnsi" w:hAnsiTheme="minorHAnsi"/>
          <w:sz w:val="24"/>
          <w:szCs w:val="24"/>
        </w:rPr>
      </w:pPr>
      <w:r w:rsidRPr="001C19A5">
        <w:rPr>
          <w:rFonts w:asciiTheme="minorHAnsi" w:hAnsiTheme="minorHAnsi"/>
          <w:sz w:val="24"/>
          <w:szCs w:val="24"/>
        </w:rPr>
        <w:t xml:space="preserve">If you invested in a RCDF, you are required to report the total amount deposited/banked or invested with your preferred religious charity in the </w:t>
      </w:r>
      <w:r w:rsidR="00484F41">
        <w:rPr>
          <w:rFonts w:asciiTheme="minorHAnsi" w:hAnsiTheme="minorHAnsi"/>
          <w:sz w:val="24"/>
          <w:szCs w:val="24"/>
        </w:rPr>
        <w:t>‘</w:t>
      </w:r>
      <w:r w:rsidRPr="001C19A5">
        <w:rPr>
          <w:rFonts w:asciiTheme="minorHAnsi" w:hAnsiTheme="minorHAnsi"/>
          <w:sz w:val="24"/>
          <w:szCs w:val="24"/>
        </w:rPr>
        <w:t>Religious Charitable Development Fund</w:t>
      </w:r>
      <w:r w:rsidR="00484F41">
        <w:rPr>
          <w:rFonts w:asciiTheme="minorHAnsi" w:hAnsiTheme="minorHAnsi"/>
          <w:sz w:val="24"/>
          <w:szCs w:val="24"/>
        </w:rPr>
        <w:t>’</w:t>
      </w:r>
      <w:r w:rsidRPr="001C19A5">
        <w:rPr>
          <w:rFonts w:asciiTheme="minorHAnsi" w:hAnsiTheme="minorHAnsi"/>
          <w:sz w:val="24"/>
          <w:szCs w:val="24"/>
        </w:rPr>
        <w:t xml:space="preserve"> box </w:t>
      </w:r>
      <w:r w:rsidR="00F764F8">
        <w:rPr>
          <w:rFonts w:asciiTheme="minorHAnsi" w:hAnsiTheme="minorHAnsi"/>
          <w:sz w:val="24"/>
          <w:szCs w:val="24"/>
        </w:rPr>
        <w:t>when you are accounting for your expenditure during the financial year</w:t>
      </w:r>
      <w:r w:rsidRPr="001C19A5">
        <w:rPr>
          <w:rFonts w:asciiTheme="minorHAnsi" w:hAnsiTheme="minorHAnsi"/>
          <w:sz w:val="24"/>
          <w:szCs w:val="24"/>
        </w:rPr>
        <w:t xml:space="preserve">. An </w:t>
      </w:r>
      <w:r w:rsidR="005B59B5">
        <w:rPr>
          <w:rFonts w:asciiTheme="minorHAnsi" w:hAnsiTheme="minorHAnsi"/>
          <w:sz w:val="24"/>
          <w:szCs w:val="24"/>
        </w:rPr>
        <w:t>IMS</w:t>
      </w:r>
      <w:r w:rsidRPr="001C19A5">
        <w:rPr>
          <w:rFonts w:asciiTheme="minorHAnsi" w:hAnsiTheme="minorHAnsi"/>
          <w:sz w:val="24"/>
          <w:szCs w:val="24"/>
        </w:rPr>
        <w:t xml:space="preserve"> must be in place if using refundable </w:t>
      </w:r>
      <w:r w:rsidR="00F764F8">
        <w:rPr>
          <w:rFonts w:asciiTheme="minorHAnsi" w:hAnsiTheme="minorHAnsi"/>
          <w:sz w:val="24"/>
          <w:szCs w:val="24"/>
        </w:rPr>
        <w:t>accommodation payments</w:t>
      </w:r>
      <w:r w:rsidRPr="001C19A5">
        <w:rPr>
          <w:rFonts w:asciiTheme="minorHAnsi" w:hAnsiTheme="minorHAnsi"/>
          <w:sz w:val="24"/>
          <w:szCs w:val="24"/>
        </w:rPr>
        <w:t xml:space="preserve"> for these investments. Any withdrawals from the RCDF need to be reported in the retu</w:t>
      </w:r>
      <w:r w:rsidR="005B59B5">
        <w:rPr>
          <w:rFonts w:asciiTheme="minorHAnsi" w:hAnsiTheme="minorHAnsi"/>
          <w:sz w:val="24"/>
          <w:szCs w:val="24"/>
        </w:rPr>
        <w:t>r</w:t>
      </w:r>
      <w:r w:rsidRPr="001C19A5">
        <w:rPr>
          <w:rFonts w:asciiTheme="minorHAnsi" w:hAnsiTheme="minorHAnsi"/>
          <w:sz w:val="24"/>
          <w:szCs w:val="24"/>
        </w:rPr>
        <w:t>ned amount from financial investments box.</w:t>
      </w:r>
    </w:p>
    <w:p w14:paraId="255F3C9A" w14:textId="12085B69" w:rsidR="0063654F" w:rsidRPr="001C19A5" w:rsidRDefault="006A13C6" w:rsidP="0063654F">
      <w:pPr>
        <w:pStyle w:val="Tabletext"/>
        <w:spacing w:before="120" w:after="120"/>
        <w:ind w:right="176"/>
        <w:rPr>
          <w:rFonts w:asciiTheme="minorHAnsi" w:hAnsiTheme="minorHAnsi"/>
          <w:b/>
          <w:sz w:val="24"/>
          <w:szCs w:val="24"/>
        </w:rPr>
      </w:pPr>
      <w:r>
        <w:rPr>
          <w:rFonts w:asciiTheme="minorHAnsi" w:hAnsiTheme="minorHAnsi"/>
          <w:b/>
          <w:sz w:val="24"/>
          <w:szCs w:val="24"/>
        </w:rPr>
        <w:t>P</w:t>
      </w:r>
      <w:r w:rsidR="0063654F" w:rsidRPr="001C19A5">
        <w:rPr>
          <w:rFonts w:asciiTheme="minorHAnsi" w:hAnsiTheme="minorHAnsi"/>
          <w:b/>
          <w:sz w:val="24"/>
          <w:szCs w:val="24"/>
        </w:rPr>
        <w:t xml:space="preserve">roviders need to report the amount invested in financial products, even if the money used was not from refundable </w:t>
      </w:r>
      <w:r w:rsidR="00F764F8">
        <w:rPr>
          <w:rFonts w:asciiTheme="minorHAnsi" w:hAnsiTheme="minorHAnsi"/>
          <w:b/>
          <w:sz w:val="24"/>
          <w:szCs w:val="24"/>
        </w:rPr>
        <w:t>accommodation payment</w:t>
      </w:r>
      <w:r w:rsidR="0063654F" w:rsidRPr="001C19A5">
        <w:rPr>
          <w:rFonts w:asciiTheme="minorHAnsi" w:hAnsiTheme="minorHAnsi"/>
          <w:b/>
          <w:sz w:val="24"/>
          <w:szCs w:val="24"/>
        </w:rPr>
        <w:t xml:space="preserve"> balances.</w:t>
      </w:r>
    </w:p>
    <w:p w14:paraId="51A494C5" w14:textId="77777777" w:rsidR="0063654F" w:rsidRPr="002B7CED" w:rsidRDefault="0063654F" w:rsidP="002B7CED">
      <w:pPr>
        <w:spacing w:before="200" w:after="0"/>
        <w:rPr>
          <w:b/>
          <w:bCs/>
          <w:color w:val="0070C0"/>
          <w:sz w:val="26"/>
          <w:szCs w:val="26"/>
        </w:rPr>
      </w:pPr>
      <w:r w:rsidRPr="002B7CED">
        <w:rPr>
          <w:b/>
          <w:bCs/>
          <w:color w:val="0070C0"/>
          <w:sz w:val="26"/>
          <w:szCs w:val="26"/>
        </w:rPr>
        <w:t>Loans</w:t>
      </w:r>
    </w:p>
    <w:p w14:paraId="31EC2594" w14:textId="77777777" w:rsidR="0063654F" w:rsidRPr="001C19A5" w:rsidRDefault="0063654F" w:rsidP="0063654F">
      <w:pPr>
        <w:pStyle w:val="Tabletext"/>
        <w:spacing w:before="0" w:after="0"/>
        <w:rPr>
          <w:rFonts w:asciiTheme="minorHAnsi" w:hAnsiTheme="minorHAnsi"/>
          <w:sz w:val="24"/>
          <w:szCs w:val="24"/>
          <w:lang w:eastAsia="en-US"/>
        </w:rPr>
      </w:pPr>
      <w:r w:rsidRPr="001C19A5">
        <w:rPr>
          <w:rFonts w:asciiTheme="minorHAnsi" w:hAnsiTheme="minorHAnsi"/>
          <w:sz w:val="24"/>
          <w:szCs w:val="24"/>
        </w:rPr>
        <w:t>If during the financial year the provider has l</w:t>
      </w:r>
      <w:r w:rsidRPr="001C19A5">
        <w:rPr>
          <w:rFonts w:asciiTheme="minorHAnsi" w:hAnsiTheme="minorHAnsi"/>
          <w:sz w:val="24"/>
          <w:szCs w:val="24"/>
          <w:lang w:eastAsia="en-US"/>
        </w:rPr>
        <w:t xml:space="preserve">ent funds to another party </w:t>
      </w:r>
      <w:r w:rsidRPr="001C19A5">
        <w:rPr>
          <w:rFonts w:asciiTheme="minorHAnsi" w:hAnsiTheme="minorHAnsi"/>
          <w:sz w:val="24"/>
          <w:szCs w:val="24"/>
        </w:rPr>
        <w:t xml:space="preserve">for capital works, investments in financial products, refunding of </w:t>
      </w:r>
      <w:r w:rsidR="000E05AC">
        <w:rPr>
          <w:rFonts w:asciiTheme="minorHAnsi" w:hAnsiTheme="minorHAnsi"/>
          <w:sz w:val="24"/>
          <w:szCs w:val="24"/>
        </w:rPr>
        <w:t>accommodation payment</w:t>
      </w:r>
      <w:r w:rsidRPr="001C19A5">
        <w:rPr>
          <w:rFonts w:asciiTheme="minorHAnsi" w:hAnsiTheme="minorHAnsi"/>
          <w:sz w:val="24"/>
          <w:szCs w:val="24"/>
        </w:rPr>
        <w:t xml:space="preserve"> balances, entry contribution balances or repaying debt accrued for the purposes of capital expenditure or repaying refundable </w:t>
      </w:r>
      <w:r w:rsidR="00F764F8">
        <w:rPr>
          <w:rFonts w:asciiTheme="minorHAnsi" w:hAnsiTheme="minorHAnsi"/>
          <w:sz w:val="24"/>
          <w:szCs w:val="24"/>
        </w:rPr>
        <w:t>accommodation</w:t>
      </w:r>
      <w:r w:rsidRPr="001C19A5">
        <w:rPr>
          <w:rFonts w:asciiTheme="minorHAnsi" w:hAnsiTheme="minorHAnsi"/>
          <w:sz w:val="24"/>
          <w:szCs w:val="24"/>
        </w:rPr>
        <w:t xml:space="preserve"> balances that are</w:t>
      </w:r>
      <w:r w:rsidRPr="001C19A5">
        <w:rPr>
          <w:rFonts w:asciiTheme="minorHAnsi" w:hAnsiTheme="minorHAnsi"/>
          <w:sz w:val="24"/>
          <w:szCs w:val="24"/>
          <w:lang w:eastAsia="en-US"/>
        </w:rPr>
        <w:t xml:space="preserve">: </w:t>
      </w:r>
    </w:p>
    <w:p w14:paraId="4B6A7AB4" w14:textId="64A4A2D8"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not to an individual</w:t>
      </w:r>
    </w:p>
    <w:p w14:paraId="4EF2205C" w14:textId="1B081981"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on a commercial basis</w:t>
      </w:r>
    </w:p>
    <w:p w14:paraId="39D04283" w14:textId="20157529"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by written agreement</w:t>
      </w:r>
    </w:p>
    <w:p w14:paraId="0594744F" w14:textId="77777777" w:rsidR="0063654F" w:rsidRPr="001C19A5" w:rsidRDefault="0063654F" w:rsidP="00093008">
      <w:pPr>
        <w:pStyle w:val="BodyText"/>
        <w:spacing w:before="120"/>
        <w:rPr>
          <w:rFonts w:asciiTheme="minorHAnsi" w:hAnsiTheme="minorHAnsi"/>
          <w:lang w:eastAsia="en-US"/>
        </w:rPr>
      </w:pPr>
      <w:r w:rsidRPr="001C19A5">
        <w:rPr>
          <w:rFonts w:asciiTheme="minorHAnsi" w:hAnsiTheme="minorHAnsi"/>
          <w:lang w:eastAsia="en-US"/>
        </w:rPr>
        <w:lastRenderedPageBreak/>
        <w:t>Report the total value that you have lent under the above requirements in the loans box</w:t>
      </w:r>
      <w:r w:rsidR="005D2FC7" w:rsidRPr="001C19A5">
        <w:rPr>
          <w:rFonts w:asciiTheme="minorHAnsi" w:hAnsiTheme="minorHAnsi"/>
          <w:b/>
          <w:lang w:eastAsia="en-US"/>
        </w:rPr>
        <w:t>.</w:t>
      </w:r>
    </w:p>
    <w:p w14:paraId="2B3EB093" w14:textId="60A2410A" w:rsidR="0063654F" w:rsidRPr="001C19A5" w:rsidRDefault="006A13C6" w:rsidP="00093008">
      <w:pPr>
        <w:spacing w:line="240" w:lineRule="auto"/>
        <w:rPr>
          <w:b/>
          <w:sz w:val="24"/>
          <w:szCs w:val="24"/>
        </w:rPr>
      </w:pPr>
      <w:r>
        <w:rPr>
          <w:b/>
          <w:sz w:val="24"/>
          <w:szCs w:val="24"/>
        </w:rPr>
        <w:t>P</w:t>
      </w:r>
      <w:r w:rsidR="0063654F" w:rsidRPr="001C19A5">
        <w:rPr>
          <w:b/>
          <w:sz w:val="24"/>
          <w:szCs w:val="24"/>
        </w:rPr>
        <w:t xml:space="preserve">roviders need to report the amount loaned, even if the money used was not from refundable </w:t>
      </w:r>
      <w:r w:rsidR="00F764F8">
        <w:rPr>
          <w:b/>
          <w:sz w:val="24"/>
          <w:szCs w:val="24"/>
        </w:rPr>
        <w:t>accommodation payment</w:t>
      </w:r>
      <w:r w:rsidR="0063654F" w:rsidRPr="001C19A5">
        <w:rPr>
          <w:b/>
          <w:sz w:val="24"/>
          <w:szCs w:val="24"/>
        </w:rPr>
        <w:t xml:space="preserve"> balances.</w:t>
      </w:r>
    </w:p>
    <w:p w14:paraId="0ECF883F" w14:textId="77777777" w:rsidR="0063654F" w:rsidRPr="002B7CED" w:rsidRDefault="0063654F" w:rsidP="002B7CED">
      <w:pPr>
        <w:spacing w:before="200" w:after="0"/>
        <w:rPr>
          <w:b/>
          <w:bCs/>
          <w:color w:val="0070C0"/>
          <w:sz w:val="26"/>
          <w:szCs w:val="26"/>
        </w:rPr>
      </w:pPr>
      <w:r w:rsidRPr="002B7CED">
        <w:rPr>
          <w:b/>
          <w:bCs/>
          <w:color w:val="0070C0"/>
          <w:sz w:val="26"/>
          <w:szCs w:val="26"/>
        </w:rPr>
        <w:t>Reasonable business losses</w:t>
      </w:r>
    </w:p>
    <w:p w14:paraId="4AAA9DAC" w14:textId="77777777" w:rsidR="0063654F" w:rsidRPr="001C19A5" w:rsidRDefault="000936F0" w:rsidP="0063654F">
      <w:pPr>
        <w:pStyle w:val="Tabletext"/>
        <w:spacing w:before="60" w:after="120"/>
        <w:rPr>
          <w:rFonts w:asciiTheme="minorHAnsi" w:hAnsiTheme="minorHAnsi"/>
          <w:b/>
          <w:i/>
          <w:color w:val="FFFFFF"/>
          <w:sz w:val="24"/>
          <w:szCs w:val="24"/>
        </w:rPr>
      </w:pPr>
      <w:r w:rsidRPr="001C19A5">
        <w:rPr>
          <w:rFonts w:asciiTheme="minorHAnsi" w:hAnsiTheme="minorHAnsi"/>
          <w:sz w:val="24"/>
          <w:szCs w:val="24"/>
        </w:rPr>
        <w:t xml:space="preserve">If during the financial year the provider expended funds to meet reasonable business losses during the first 12 months of operation of a residential or flexible care service, you are required to report the value expended to cover the losses in the reasonable business losses. </w:t>
      </w:r>
      <w:r w:rsidRPr="001C19A5">
        <w:rPr>
          <w:rFonts w:asciiTheme="minorHAnsi" w:hAnsiTheme="minorHAnsi"/>
          <w:b/>
          <w:i/>
          <w:color w:val="FFFFFF"/>
          <w:sz w:val="24"/>
          <w:szCs w:val="24"/>
        </w:rPr>
        <w:t>Repayment of d</w:t>
      </w:r>
    </w:p>
    <w:p w14:paraId="58BF96E2" w14:textId="77777777" w:rsidR="00B61D1F" w:rsidRDefault="006A13C6" w:rsidP="00093008">
      <w:pPr>
        <w:spacing w:line="240" w:lineRule="auto"/>
        <w:rPr>
          <w:b/>
          <w:sz w:val="24"/>
          <w:szCs w:val="24"/>
        </w:rPr>
      </w:pPr>
      <w:r>
        <w:rPr>
          <w:b/>
          <w:sz w:val="24"/>
          <w:szCs w:val="24"/>
        </w:rPr>
        <w:t>P</w:t>
      </w:r>
      <w:r w:rsidR="0063654F" w:rsidRPr="001C19A5">
        <w:rPr>
          <w:b/>
          <w:sz w:val="24"/>
          <w:szCs w:val="24"/>
        </w:rPr>
        <w:t xml:space="preserve">roviders need to report the amount paid to cover the business losses, even if the money used was not from refundable </w:t>
      </w:r>
      <w:r w:rsidR="00F764F8">
        <w:rPr>
          <w:b/>
          <w:sz w:val="24"/>
          <w:szCs w:val="24"/>
        </w:rPr>
        <w:t>accommodation payment</w:t>
      </w:r>
      <w:r w:rsidR="0063654F" w:rsidRPr="001C19A5">
        <w:rPr>
          <w:b/>
          <w:sz w:val="24"/>
          <w:szCs w:val="24"/>
        </w:rPr>
        <w:t xml:space="preserve"> balances. </w:t>
      </w:r>
    </w:p>
    <w:p w14:paraId="5A6FC6E6" w14:textId="77777777" w:rsidR="00CF2120" w:rsidRPr="002B7CED" w:rsidRDefault="00CF2120" w:rsidP="002B7CED">
      <w:pPr>
        <w:spacing w:before="200" w:after="0"/>
        <w:rPr>
          <w:b/>
          <w:bCs/>
          <w:color w:val="0070C0"/>
          <w:sz w:val="26"/>
          <w:szCs w:val="26"/>
        </w:rPr>
      </w:pPr>
      <w:r w:rsidRPr="002B7CED">
        <w:rPr>
          <w:b/>
          <w:bCs/>
          <w:color w:val="0070C0"/>
          <w:sz w:val="26"/>
          <w:szCs w:val="26"/>
        </w:rPr>
        <w:t xml:space="preserve">Debt repayment </w:t>
      </w:r>
    </w:p>
    <w:p w14:paraId="0D2E5880" w14:textId="77777777" w:rsidR="00CF2120" w:rsidRPr="001C19A5" w:rsidRDefault="00CF2120" w:rsidP="00CF2120">
      <w:pPr>
        <w:pStyle w:val="Tabletext"/>
        <w:spacing w:before="0" w:after="120"/>
        <w:rPr>
          <w:rFonts w:asciiTheme="minorHAnsi" w:hAnsiTheme="minorHAnsi"/>
          <w:sz w:val="24"/>
          <w:szCs w:val="24"/>
          <w:lang w:eastAsia="en-US"/>
        </w:rPr>
      </w:pPr>
      <w:r w:rsidRPr="001C19A5">
        <w:rPr>
          <w:rFonts w:asciiTheme="minorHAnsi" w:hAnsiTheme="minorHAnsi"/>
          <w:sz w:val="24"/>
          <w:szCs w:val="24"/>
          <w:lang w:eastAsia="en-US"/>
        </w:rPr>
        <w:t xml:space="preserve">If during the financial year you have used any funds to repay debt that you may have for capital expenditure or to refund refundable </w:t>
      </w:r>
      <w:r>
        <w:rPr>
          <w:rFonts w:asciiTheme="minorHAnsi" w:hAnsiTheme="minorHAnsi"/>
          <w:sz w:val="24"/>
          <w:szCs w:val="24"/>
          <w:lang w:eastAsia="en-US"/>
        </w:rPr>
        <w:t>accommodation</w:t>
      </w:r>
      <w:r w:rsidRPr="001C19A5">
        <w:rPr>
          <w:rFonts w:asciiTheme="minorHAnsi" w:hAnsiTheme="minorHAnsi"/>
          <w:sz w:val="24"/>
          <w:szCs w:val="24"/>
          <w:lang w:eastAsia="en-US"/>
        </w:rPr>
        <w:t xml:space="preserve"> balances or entry contribution balances, you are required to report the total value you have repaid for the year, not the actual loan amount itself at the repaid debt box.</w:t>
      </w:r>
    </w:p>
    <w:p w14:paraId="4EAF36AF" w14:textId="4C7B7E54" w:rsidR="00CF2120" w:rsidRDefault="00CF2120" w:rsidP="00093008">
      <w:pPr>
        <w:spacing w:line="240" w:lineRule="auto"/>
        <w:rPr>
          <w:b/>
          <w:sz w:val="24"/>
          <w:szCs w:val="24"/>
        </w:rPr>
      </w:pPr>
      <w:r>
        <w:rPr>
          <w:b/>
          <w:sz w:val="24"/>
          <w:szCs w:val="24"/>
        </w:rPr>
        <w:t>P</w:t>
      </w:r>
      <w:r w:rsidRPr="001C19A5">
        <w:rPr>
          <w:b/>
          <w:sz w:val="24"/>
          <w:szCs w:val="24"/>
        </w:rPr>
        <w:t xml:space="preserve">roviders need to report the amount repaid, even if the money used was not from refundable </w:t>
      </w:r>
      <w:r>
        <w:rPr>
          <w:b/>
          <w:sz w:val="24"/>
          <w:szCs w:val="24"/>
        </w:rPr>
        <w:t>accommodation payment</w:t>
      </w:r>
      <w:r w:rsidRPr="001C19A5">
        <w:rPr>
          <w:b/>
          <w:sz w:val="24"/>
          <w:szCs w:val="24"/>
        </w:rPr>
        <w:t xml:space="preserve"> balances.</w:t>
      </w:r>
    </w:p>
    <w:p w14:paraId="0E6F9F96" w14:textId="3119C3A7" w:rsidR="0063654F" w:rsidRPr="002B7CED" w:rsidRDefault="002068A3" w:rsidP="002B7CED">
      <w:pPr>
        <w:spacing w:before="200" w:after="0"/>
        <w:rPr>
          <w:b/>
          <w:bCs/>
          <w:color w:val="0070C0"/>
          <w:sz w:val="26"/>
          <w:szCs w:val="26"/>
        </w:rPr>
      </w:pPr>
      <w:r w:rsidRPr="002B7CED">
        <w:rPr>
          <w:b/>
          <w:bCs/>
          <w:color w:val="0070C0"/>
          <w:sz w:val="26"/>
          <w:szCs w:val="26"/>
        </w:rPr>
        <w:t xml:space="preserve">Debt repayment </w:t>
      </w:r>
      <w:r w:rsidR="007741E9" w:rsidRPr="002B7CED">
        <w:rPr>
          <w:b/>
          <w:bCs/>
          <w:color w:val="0070C0"/>
          <w:sz w:val="26"/>
          <w:szCs w:val="26"/>
        </w:rPr>
        <w:t xml:space="preserve">of debt </w:t>
      </w:r>
      <w:r w:rsidRPr="002B7CED">
        <w:rPr>
          <w:b/>
          <w:bCs/>
          <w:color w:val="0070C0"/>
          <w:sz w:val="26"/>
          <w:szCs w:val="26"/>
        </w:rPr>
        <w:t>accrued before</w:t>
      </w:r>
      <w:r w:rsidR="002A4DBB" w:rsidRPr="002B7CED">
        <w:rPr>
          <w:b/>
          <w:bCs/>
          <w:color w:val="0070C0"/>
          <w:sz w:val="26"/>
          <w:szCs w:val="26"/>
        </w:rPr>
        <w:t xml:space="preserve"> </w:t>
      </w:r>
      <w:r w:rsidR="0063654F" w:rsidRPr="002B7CED">
        <w:rPr>
          <w:b/>
          <w:bCs/>
          <w:color w:val="0070C0"/>
          <w:sz w:val="26"/>
          <w:szCs w:val="26"/>
        </w:rPr>
        <w:t>1 October 2011</w:t>
      </w:r>
    </w:p>
    <w:p w14:paraId="6B49F7A2" w14:textId="1E4D16E9" w:rsidR="0063654F" w:rsidRPr="001C19A5" w:rsidRDefault="0063654F" w:rsidP="0063654F">
      <w:pPr>
        <w:pStyle w:val="Tabletext"/>
        <w:spacing w:before="120" w:after="120"/>
        <w:rPr>
          <w:rFonts w:asciiTheme="minorHAnsi" w:hAnsiTheme="minorHAnsi"/>
          <w:sz w:val="24"/>
          <w:szCs w:val="24"/>
          <w:lang w:eastAsia="en-US"/>
        </w:rPr>
      </w:pPr>
      <w:r w:rsidRPr="001C19A5">
        <w:rPr>
          <w:rFonts w:asciiTheme="minorHAnsi" w:hAnsiTheme="minorHAnsi"/>
          <w:sz w:val="24"/>
          <w:szCs w:val="24"/>
          <w:lang w:eastAsia="en-US"/>
        </w:rPr>
        <w:t xml:space="preserve">If during the financial year you have used any funds to make payments off a loan that you accrued before 1 October 2011 for the purposes of providing aged care to </w:t>
      </w:r>
      <w:r w:rsidR="009978D8">
        <w:rPr>
          <w:rFonts w:asciiTheme="minorHAnsi" w:hAnsiTheme="minorHAnsi"/>
          <w:sz w:val="24"/>
          <w:szCs w:val="24"/>
          <w:lang w:eastAsia="en-US"/>
        </w:rPr>
        <w:t>resident</w:t>
      </w:r>
      <w:r w:rsidRPr="001C19A5">
        <w:rPr>
          <w:rFonts w:asciiTheme="minorHAnsi" w:hAnsiTheme="minorHAnsi"/>
          <w:sz w:val="24"/>
          <w:szCs w:val="24"/>
          <w:lang w:eastAsia="en-US"/>
        </w:rPr>
        <w:t>s, you are required to report the total value you have repaid off the loan for the year, not the actual loan amount itself.</w:t>
      </w:r>
    </w:p>
    <w:p w14:paraId="0FAE0042" w14:textId="1A1D2AEB" w:rsidR="0063654F" w:rsidRPr="001C19A5" w:rsidRDefault="006A13C6" w:rsidP="00093008">
      <w:pPr>
        <w:spacing w:line="240" w:lineRule="auto"/>
        <w:rPr>
          <w:b/>
          <w:sz w:val="24"/>
          <w:szCs w:val="24"/>
        </w:rPr>
      </w:pPr>
      <w:r>
        <w:rPr>
          <w:b/>
          <w:sz w:val="24"/>
          <w:szCs w:val="24"/>
        </w:rPr>
        <w:t>P</w:t>
      </w:r>
      <w:r w:rsidR="0063654F" w:rsidRPr="001C19A5">
        <w:rPr>
          <w:b/>
          <w:sz w:val="24"/>
          <w:szCs w:val="24"/>
        </w:rPr>
        <w:t xml:space="preserve">roviders need to report the amount repaid off the loan, even if the money used was not from refundable </w:t>
      </w:r>
      <w:r w:rsidR="00F764F8">
        <w:rPr>
          <w:b/>
          <w:sz w:val="24"/>
          <w:szCs w:val="24"/>
        </w:rPr>
        <w:t>accommodation payment</w:t>
      </w:r>
      <w:r w:rsidR="0063654F" w:rsidRPr="001C19A5">
        <w:rPr>
          <w:b/>
          <w:sz w:val="24"/>
          <w:szCs w:val="24"/>
        </w:rPr>
        <w:t xml:space="preserve"> balances.</w:t>
      </w:r>
    </w:p>
    <w:p w14:paraId="214CA7F0" w14:textId="77777777" w:rsidR="0063654F" w:rsidRPr="002B7CED" w:rsidRDefault="0063654F" w:rsidP="002B7CED">
      <w:pPr>
        <w:spacing w:before="200" w:after="0"/>
        <w:rPr>
          <w:b/>
          <w:bCs/>
          <w:color w:val="0070C0"/>
          <w:sz w:val="26"/>
          <w:szCs w:val="26"/>
        </w:rPr>
      </w:pPr>
      <w:r w:rsidRPr="002B7CED">
        <w:rPr>
          <w:b/>
          <w:bCs/>
          <w:color w:val="0070C0"/>
          <w:sz w:val="26"/>
          <w:szCs w:val="26"/>
        </w:rPr>
        <w:t xml:space="preserve">Returned funds from the sale, disposal or redemption of financial products </w:t>
      </w:r>
    </w:p>
    <w:p w14:paraId="14D3725D" w14:textId="53BDC361" w:rsidR="0063654F" w:rsidRPr="001C19A5" w:rsidRDefault="0063654F" w:rsidP="00093008">
      <w:pPr>
        <w:pStyle w:val="BodyText"/>
        <w:spacing w:before="0" w:after="0"/>
        <w:rPr>
          <w:rFonts w:asciiTheme="minorHAnsi" w:hAnsiTheme="minorHAnsi"/>
        </w:rPr>
      </w:pPr>
      <w:r w:rsidRPr="001C19A5">
        <w:rPr>
          <w:rFonts w:asciiTheme="minorHAnsi" w:hAnsiTheme="minorHAnsi"/>
        </w:rPr>
        <w:t xml:space="preserve">If you have invested any funds in financial products other than in a banking account made available by your </w:t>
      </w:r>
      <w:r w:rsidR="00F07C7B">
        <w:rPr>
          <w:rFonts w:asciiTheme="minorHAnsi" w:hAnsiTheme="minorHAnsi"/>
        </w:rPr>
        <w:t xml:space="preserve">ADI </w:t>
      </w:r>
      <w:r w:rsidRPr="001C19A5">
        <w:rPr>
          <w:rFonts w:asciiTheme="minorHAnsi" w:hAnsiTheme="minorHAnsi"/>
        </w:rPr>
        <w:t>in the course of its banking business during the financial year, and you sold, disposed of or redeemed any of those investments, you are required to report the value that you received from the sale disposal or redemption of those investments in the amount returned from financial products box</w:t>
      </w:r>
      <w:r w:rsidR="007A2DDD" w:rsidRPr="001C19A5">
        <w:rPr>
          <w:rFonts w:asciiTheme="minorHAnsi" w:hAnsiTheme="minorHAnsi"/>
        </w:rPr>
        <w:t>.</w:t>
      </w:r>
      <w:r w:rsidRPr="001C19A5">
        <w:rPr>
          <w:rFonts w:asciiTheme="minorHAnsi" w:hAnsiTheme="minorHAnsi"/>
        </w:rPr>
        <w:t xml:space="preserve"> RCDF with</w:t>
      </w:r>
      <w:r w:rsidR="00C62C3A" w:rsidRPr="001C19A5">
        <w:rPr>
          <w:rFonts w:asciiTheme="minorHAnsi" w:hAnsiTheme="minorHAnsi"/>
        </w:rPr>
        <w:t xml:space="preserve">drawals should be entered here. </w:t>
      </w:r>
      <w:r w:rsidRPr="001C19A5">
        <w:rPr>
          <w:rFonts w:asciiTheme="minorHAnsi" w:hAnsiTheme="minorHAnsi"/>
        </w:rPr>
        <w:t xml:space="preserve">Do not include: </w:t>
      </w:r>
    </w:p>
    <w:p w14:paraId="0ED71AE7" w14:textId="4518F70B" w:rsidR="0063654F" w:rsidRPr="00421DD6" w:rsidRDefault="0063654F" w:rsidP="00B35C39">
      <w:pPr>
        <w:pStyle w:val="ListParagraph"/>
        <w:numPr>
          <w:ilvl w:val="0"/>
          <w:numId w:val="13"/>
        </w:numPr>
        <w:tabs>
          <w:tab w:val="clear" w:pos="720"/>
        </w:tabs>
        <w:spacing w:after="120" w:line="240" w:lineRule="auto"/>
        <w:ind w:left="851" w:hanging="425"/>
        <w:rPr>
          <w:rFonts w:asciiTheme="minorHAnsi" w:hAnsiTheme="minorHAnsi"/>
          <w:sz w:val="24"/>
          <w:szCs w:val="24"/>
        </w:rPr>
      </w:pPr>
      <w:r w:rsidRPr="00421DD6">
        <w:rPr>
          <w:rFonts w:asciiTheme="minorHAnsi" w:hAnsiTheme="minorHAnsi" w:cs="Arial"/>
          <w:sz w:val="24"/>
          <w:szCs w:val="24"/>
        </w:rPr>
        <w:t>withdrawals from bank accounts</w:t>
      </w:r>
    </w:p>
    <w:p w14:paraId="6D2FBD79" w14:textId="6189F9D1" w:rsidR="0063654F" w:rsidRPr="005D6669" w:rsidRDefault="0063654F" w:rsidP="00B35C39">
      <w:pPr>
        <w:pStyle w:val="ListParagraph"/>
        <w:numPr>
          <w:ilvl w:val="0"/>
          <w:numId w:val="13"/>
        </w:numPr>
        <w:tabs>
          <w:tab w:val="clear" w:pos="720"/>
        </w:tabs>
        <w:spacing w:after="120" w:line="240" w:lineRule="auto"/>
        <w:ind w:left="851" w:hanging="425"/>
        <w:rPr>
          <w:rFonts w:asciiTheme="minorHAnsi" w:hAnsiTheme="minorHAnsi" w:cs="Arial"/>
        </w:rPr>
      </w:pPr>
      <w:r w:rsidRPr="00B35C39">
        <w:rPr>
          <w:rFonts w:asciiTheme="minorHAnsi" w:hAnsiTheme="minorHAnsi" w:cs="Arial"/>
          <w:sz w:val="24"/>
          <w:szCs w:val="24"/>
        </w:rPr>
        <w:t>interest on bank accounts</w:t>
      </w:r>
    </w:p>
    <w:p w14:paraId="5B84B594" w14:textId="189D31B6" w:rsidR="0063654F" w:rsidRPr="00F764F8" w:rsidRDefault="006A13C6" w:rsidP="00093008">
      <w:pPr>
        <w:spacing w:after="120" w:line="240" w:lineRule="auto"/>
        <w:rPr>
          <w:b/>
          <w:sz w:val="24"/>
          <w:szCs w:val="24"/>
        </w:rPr>
      </w:pPr>
      <w:r>
        <w:rPr>
          <w:b/>
          <w:sz w:val="24"/>
          <w:szCs w:val="24"/>
        </w:rPr>
        <w:t>P</w:t>
      </w:r>
      <w:r w:rsidR="0063654F" w:rsidRPr="00F764F8">
        <w:rPr>
          <w:b/>
          <w:sz w:val="24"/>
          <w:szCs w:val="24"/>
        </w:rPr>
        <w:t xml:space="preserve">roviders need to report the amount redeemed, even if the original investment money used was not from refundable </w:t>
      </w:r>
      <w:r w:rsidR="00F764F8">
        <w:rPr>
          <w:b/>
          <w:sz w:val="24"/>
          <w:szCs w:val="24"/>
        </w:rPr>
        <w:t>accommodation payment</w:t>
      </w:r>
      <w:r w:rsidR="0063654F" w:rsidRPr="00F764F8">
        <w:rPr>
          <w:b/>
          <w:sz w:val="24"/>
          <w:szCs w:val="24"/>
        </w:rPr>
        <w:t xml:space="preserve"> balances.</w:t>
      </w:r>
    </w:p>
    <w:p w14:paraId="0D36DAE4" w14:textId="77777777" w:rsidR="0005562C" w:rsidRDefault="0005562C" w:rsidP="0063654F">
      <w:pPr>
        <w:rPr>
          <w:lang w:eastAsia="en-AU"/>
        </w:rPr>
      </w:pPr>
    </w:p>
    <w:p w14:paraId="0C78146E" w14:textId="63DFD54A" w:rsidR="00147D4A" w:rsidRDefault="00147D4A">
      <w:pPr>
        <w:rPr>
          <w:lang w:eastAsia="en-AU"/>
        </w:rPr>
      </w:pPr>
      <w:r>
        <w:rPr>
          <w:lang w:eastAsia="en-AU"/>
        </w:rPr>
        <w:br w:type="page"/>
      </w:r>
    </w:p>
    <w:p w14:paraId="3F20C693" w14:textId="77777777" w:rsidR="0059392A" w:rsidRPr="002C73DD" w:rsidRDefault="002928E1" w:rsidP="0059392A">
      <w:pPr>
        <w:pStyle w:val="Heading2"/>
        <w:spacing w:before="360" w:after="120"/>
        <w:rPr>
          <w:rFonts w:ascii="Calibri" w:hAnsi="Calibri" w:cs="Calibri"/>
          <w:color w:val="0070C0"/>
          <w:sz w:val="32"/>
          <w:szCs w:val="32"/>
        </w:rPr>
      </w:pPr>
      <w:r w:rsidRPr="006A4336">
        <w:rPr>
          <w:rFonts w:ascii="Calibri" w:hAnsi="Calibri" w:cs="Calibri"/>
          <w:color w:val="0070C0"/>
          <w:sz w:val="32"/>
          <w:szCs w:val="32"/>
        </w:rPr>
        <w:lastRenderedPageBreak/>
        <w:t>PART 2</w:t>
      </w:r>
      <w:r w:rsidR="0059392A">
        <w:rPr>
          <w:rFonts w:ascii="Calibri" w:hAnsi="Calibri" w:cs="Calibri"/>
          <w:color w:val="0070C0"/>
          <w:sz w:val="32"/>
          <w:szCs w:val="32"/>
        </w:rPr>
        <w:t xml:space="preserve"> – APCS guidance under the </w:t>
      </w:r>
      <w:r w:rsidR="0059392A" w:rsidRPr="002C73DD">
        <w:rPr>
          <w:rFonts w:ascii="Calibri" w:hAnsi="Calibri" w:cs="Calibri"/>
          <w:color w:val="0070C0"/>
          <w:sz w:val="32"/>
          <w:szCs w:val="32"/>
        </w:rPr>
        <w:t>Aged Care Act 2024</w:t>
      </w:r>
    </w:p>
    <w:p w14:paraId="676EDC6D" w14:textId="77777777" w:rsidR="0059392A" w:rsidRDefault="0059392A" w:rsidP="0059392A">
      <w:pPr>
        <w:rPr>
          <w:i/>
          <w:iCs/>
        </w:rPr>
      </w:pPr>
      <w:r w:rsidRPr="00DC03C5">
        <w:rPr>
          <w:i/>
          <w:iCs/>
        </w:rPr>
        <w:t>(Applies from 1 November 2025)</w:t>
      </w:r>
    </w:p>
    <w:p w14:paraId="4815EE32" w14:textId="77777777" w:rsidR="00A5764D" w:rsidRDefault="00520BF5" w:rsidP="00520BF5">
      <w:pPr>
        <w:rPr>
          <w:sz w:val="24"/>
          <w:szCs w:val="24"/>
        </w:rPr>
      </w:pPr>
      <w:r>
        <w:rPr>
          <w:sz w:val="24"/>
          <w:szCs w:val="24"/>
        </w:rPr>
        <w:t xml:space="preserve">This section provides guidance to help you respond to the APCS questions that apply from </w:t>
      </w:r>
      <w:r w:rsidRPr="00B35C39">
        <w:rPr>
          <w:b/>
          <w:bCs/>
          <w:sz w:val="24"/>
          <w:szCs w:val="24"/>
        </w:rPr>
        <w:t>1</w:t>
      </w:r>
      <w:r w:rsidRPr="00DC03C5">
        <w:rPr>
          <w:b/>
          <w:bCs/>
          <w:sz w:val="24"/>
          <w:szCs w:val="24"/>
        </w:rPr>
        <w:t xml:space="preserve"> November 2025</w:t>
      </w:r>
      <w:r>
        <w:rPr>
          <w:sz w:val="24"/>
          <w:szCs w:val="24"/>
        </w:rPr>
        <w:t>, following the commencement of the</w:t>
      </w:r>
      <w:r w:rsidR="00A5764D">
        <w:rPr>
          <w:sz w:val="24"/>
          <w:szCs w:val="24"/>
        </w:rPr>
        <w:t>:</w:t>
      </w:r>
      <w:r>
        <w:rPr>
          <w:sz w:val="24"/>
          <w:szCs w:val="24"/>
        </w:rPr>
        <w:t xml:space="preserve"> </w:t>
      </w:r>
    </w:p>
    <w:p w14:paraId="2A489A84" w14:textId="64D7A0E8" w:rsidR="00A5764D" w:rsidRPr="00B35C39" w:rsidRDefault="00520BF5" w:rsidP="00B35C39">
      <w:pPr>
        <w:pStyle w:val="ListParagraph"/>
        <w:numPr>
          <w:ilvl w:val="0"/>
          <w:numId w:val="13"/>
        </w:numPr>
        <w:tabs>
          <w:tab w:val="clear" w:pos="720"/>
        </w:tabs>
        <w:spacing w:after="120" w:line="240" w:lineRule="auto"/>
        <w:ind w:left="851" w:hanging="425"/>
        <w:rPr>
          <w:rStyle w:val="Hyperlink"/>
          <w:i/>
          <w:iCs/>
        </w:rPr>
      </w:pPr>
      <w:hyperlink r:id="rId58" w:history="1">
        <w:r w:rsidRPr="00B35C39">
          <w:rPr>
            <w:rStyle w:val="Hyperlink"/>
            <w:i/>
            <w:iCs/>
            <w:sz w:val="24"/>
            <w:szCs w:val="24"/>
          </w:rPr>
          <w:t xml:space="preserve">Aged Care Act </w:t>
        </w:r>
        <w:r w:rsidR="001E40DC" w:rsidRPr="00B35C39">
          <w:rPr>
            <w:rStyle w:val="Hyperlink"/>
            <w:i/>
            <w:iCs/>
            <w:sz w:val="24"/>
            <w:szCs w:val="24"/>
          </w:rPr>
          <w:t>2024</w:t>
        </w:r>
      </w:hyperlink>
      <w:r w:rsidR="00A5764D" w:rsidRPr="00B35C39">
        <w:rPr>
          <w:rStyle w:val="Hyperlink"/>
          <w:i/>
          <w:iCs/>
        </w:rPr>
        <w:t xml:space="preserve"> </w:t>
      </w:r>
    </w:p>
    <w:p w14:paraId="5A1D157E" w14:textId="0E330AE0" w:rsidR="00A5764D" w:rsidRPr="00B35C39" w:rsidRDefault="00520BF5" w:rsidP="00B35C39">
      <w:pPr>
        <w:pStyle w:val="ListParagraph"/>
        <w:numPr>
          <w:ilvl w:val="0"/>
          <w:numId w:val="13"/>
        </w:numPr>
        <w:tabs>
          <w:tab w:val="clear" w:pos="720"/>
        </w:tabs>
        <w:spacing w:after="120" w:line="240" w:lineRule="auto"/>
        <w:ind w:left="851" w:hanging="425"/>
        <w:rPr>
          <w:rStyle w:val="Hyperlink"/>
        </w:rPr>
      </w:pPr>
      <w:hyperlink r:id="rId59" w:history="1">
        <w:r w:rsidRPr="00B35C39">
          <w:rPr>
            <w:rStyle w:val="Hyperlink"/>
            <w:i/>
            <w:iCs/>
            <w:sz w:val="24"/>
            <w:szCs w:val="24"/>
          </w:rPr>
          <w:t>Aged Care Rules 2025</w:t>
        </w:r>
      </w:hyperlink>
      <w:r w:rsidR="003471A5" w:rsidRPr="00B35C39">
        <w:rPr>
          <w:rStyle w:val="Hyperlink"/>
        </w:rPr>
        <w:t xml:space="preserve"> </w:t>
      </w:r>
    </w:p>
    <w:p w14:paraId="726F9F6D" w14:textId="5964CB72" w:rsidR="00520BF5" w:rsidRPr="00B35C39" w:rsidRDefault="00360D3C" w:rsidP="00B35C39">
      <w:pPr>
        <w:pStyle w:val="ListParagraph"/>
        <w:numPr>
          <w:ilvl w:val="0"/>
          <w:numId w:val="13"/>
        </w:numPr>
        <w:tabs>
          <w:tab w:val="clear" w:pos="720"/>
        </w:tabs>
        <w:spacing w:after="120" w:line="240" w:lineRule="auto"/>
        <w:ind w:left="851" w:hanging="425"/>
        <w:rPr>
          <w:sz w:val="24"/>
          <w:szCs w:val="24"/>
        </w:rPr>
      </w:pPr>
      <w:hyperlink r:id="rId60" w:history="1">
        <w:r w:rsidRPr="00B35C39">
          <w:rPr>
            <w:rStyle w:val="Hyperlink"/>
            <w:i/>
            <w:iCs/>
            <w:sz w:val="24"/>
            <w:szCs w:val="24"/>
          </w:rPr>
          <w:t>Aged Care Financial and Prudential Standards 2025</w:t>
        </w:r>
      </w:hyperlink>
    </w:p>
    <w:p w14:paraId="198474E4" w14:textId="4FF68E2D" w:rsidR="004C18EC" w:rsidRPr="00B35C39" w:rsidRDefault="004C18EC" w:rsidP="00B35C39">
      <w:pPr>
        <w:pStyle w:val="Heading2"/>
        <w:spacing w:before="480" w:after="120"/>
        <w:rPr>
          <w:color w:val="0070C0"/>
          <w:sz w:val="32"/>
          <w:szCs w:val="32"/>
        </w:rPr>
      </w:pPr>
      <w:r w:rsidRPr="00B35C39">
        <w:rPr>
          <w:rFonts w:asciiTheme="minorHAnsi" w:hAnsiTheme="minorHAnsi"/>
          <w:color w:val="0070C0"/>
          <w:sz w:val="32"/>
          <w:szCs w:val="32"/>
        </w:rPr>
        <w:t>COMPLIANCE WITH THE AGED CARE FINANCIAL AND PRUDENTIAL STANDARDS 2025</w:t>
      </w:r>
    </w:p>
    <w:p w14:paraId="2AFECB0B" w14:textId="2BE63E8B" w:rsidR="00991AB2" w:rsidRDefault="52BAC485" w:rsidP="00B35C39">
      <w:pPr>
        <w:spacing w:after="120"/>
        <w:rPr>
          <w:sz w:val="24"/>
          <w:szCs w:val="24"/>
        </w:rPr>
      </w:pPr>
      <w:r w:rsidRPr="1028C40E">
        <w:rPr>
          <w:rFonts w:eastAsia="Times New Roman" w:cs="Arial"/>
          <w:sz w:val="24"/>
          <w:szCs w:val="24"/>
          <w:lang w:eastAsia="en-AU"/>
        </w:rPr>
        <w:t xml:space="preserve">From </w:t>
      </w:r>
      <w:r w:rsidR="36057F43" w:rsidRPr="1028C40E">
        <w:rPr>
          <w:rFonts w:eastAsia="Times New Roman" w:cs="Arial"/>
          <w:sz w:val="24"/>
          <w:szCs w:val="24"/>
          <w:lang w:eastAsia="en-AU"/>
        </w:rPr>
        <w:t>1 November 2025</w:t>
      </w:r>
      <w:r w:rsidRPr="1028C40E">
        <w:rPr>
          <w:rFonts w:eastAsia="Times New Roman" w:cs="Arial"/>
          <w:sz w:val="24"/>
          <w:szCs w:val="24"/>
          <w:lang w:eastAsia="en-AU"/>
        </w:rPr>
        <w:t>, the Aged Care Financial and Prudential Standards 2025 (the Standards)</w:t>
      </w:r>
      <w:r w:rsidR="2A895D14" w:rsidRPr="1028C40E">
        <w:rPr>
          <w:rFonts w:eastAsia="Times New Roman" w:cs="Arial"/>
          <w:sz w:val="24"/>
          <w:szCs w:val="24"/>
          <w:lang w:eastAsia="en-AU"/>
        </w:rPr>
        <w:t xml:space="preserve"> came into effect</w:t>
      </w:r>
      <w:r w:rsidR="4F356F0A" w:rsidRPr="1028C40E">
        <w:rPr>
          <w:rFonts w:eastAsia="Times New Roman" w:cs="Arial"/>
          <w:sz w:val="24"/>
          <w:szCs w:val="24"/>
          <w:lang w:eastAsia="en-AU"/>
        </w:rPr>
        <w:t xml:space="preserve">. </w:t>
      </w:r>
      <w:r w:rsidR="734E0818" w:rsidRPr="1028C40E">
        <w:rPr>
          <w:rFonts w:eastAsia="Times New Roman" w:cs="Arial"/>
          <w:sz w:val="24"/>
          <w:szCs w:val="24"/>
          <w:lang w:eastAsia="en-AU"/>
        </w:rPr>
        <w:t xml:space="preserve">The previous four prudential standards were restructured </w:t>
      </w:r>
      <w:r w:rsidR="2B05BE94" w:rsidRPr="1028C40E">
        <w:rPr>
          <w:rFonts w:eastAsia="Times New Roman" w:cs="Arial"/>
          <w:sz w:val="24"/>
          <w:szCs w:val="24"/>
          <w:lang w:eastAsia="en-AU"/>
        </w:rPr>
        <w:t xml:space="preserve">into three </w:t>
      </w:r>
      <w:r w:rsidR="7E5AE1FC" w:rsidRPr="1028C40E">
        <w:rPr>
          <w:rFonts w:eastAsia="Times New Roman" w:cs="Arial"/>
          <w:sz w:val="24"/>
          <w:szCs w:val="24"/>
          <w:lang w:eastAsia="en-AU"/>
        </w:rPr>
        <w:t>standards</w:t>
      </w:r>
      <w:r w:rsidR="28F25E15" w:rsidRPr="1028C40E">
        <w:rPr>
          <w:rFonts w:eastAsia="Times New Roman" w:cs="Arial"/>
          <w:sz w:val="24"/>
          <w:szCs w:val="24"/>
          <w:lang w:eastAsia="en-AU"/>
        </w:rPr>
        <w:t xml:space="preserve"> which </w:t>
      </w:r>
      <w:r w:rsidR="495C47A7" w:rsidRPr="1028C40E">
        <w:rPr>
          <w:rFonts w:eastAsia="Times New Roman" w:cs="Arial"/>
          <w:sz w:val="24"/>
          <w:szCs w:val="24"/>
          <w:lang w:eastAsia="en-AU"/>
        </w:rPr>
        <w:t>aim to strengthen financial</w:t>
      </w:r>
      <w:r w:rsidR="495C47A7" w:rsidRPr="1028C40E">
        <w:rPr>
          <w:sz w:val="24"/>
          <w:szCs w:val="24"/>
        </w:rPr>
        <w:t xml:space="preserve"> governance</w:t>
      </w:r>
      <w:r w:rsidR="4717085B" w:rsidRPr="1028C40E">
        <w:rPr>
          <w:sz w:val="24"/>
          <w:szCs w:val="24"/>
        </w:rPr>
        <w:t xml:space="preserve"> to ensure the safety and wellbeing of </w:t>
      </w:r>
      <w:r w:rsidR="79E36FB6" w:rsidRPr="1028C40E">
        <w:rPr>
          <w:sz w:val="24"/>
          <w:szCs w:val="24"/>
        </w:rPr>
        <w:t>older people.</w:t>
      </w:r>
    </w:p>
    <w:p w14:paraId="3F440877" w14:textId="63F78D90" w:rsidR="00520BF5" w:rsidRDefault="0007646E" w:rsidP="00B35C39">
      <w:pPr>
        <w:spacing w:after="120"/>
        <w:rPr>
          <w:sz w:val="24"/>
          <w:szCs w:val="24"/>
        </w:rPr>
      </w:pPr>
      <w:r>
        <w:rPr>
          <w:sz w:val="24"/>
          <w:szCs w:val="24"/>
        </w:rPr>
        <w:t>The three new s</w:t>
      </w:r>
      <w:r w:rsidR="00073A44">
        <w:rPr>
          <w:sz w:val="24"/>
          <w:szCs w:val="24"/>
        </w:rPr>
        <w:t>tandards are</w:t>
      </w:r>
      <w:r w:rsidR="00520BF5">
        <w:rPr>
          <w:sz w:val="24"/>
          <w:szCs w:val="24"/>
        </w:rPr>
        <w:t>:</w:t>
      </w:r>
    </w:p>
    <w:p w14:paraId="27EC302C" w14:textId="77777777" w:rsidR="002D2898" w:rsidRPr="00B35C39" w:rsidRDefault="002D2898" w:rsidP="000E7B44">
      <w:pPr>
        <w:pStyle w:val="ListParagraph"/>
        <w:numPr>
          <w:ilvl w:val="0"/>
          <w:numId w:val="13"/>
        </w:numPr>
        <w:tabs>
          <w:tab w:val="clear" w:pos="720"/>
        </w:tabs>
        <w:spacing w:after="0" w:line="240" w:lineRule="auto"/>
        <w:ind w:left="851" w:hanging="425"/>
        <w:rPr>
          <w:rFonts w:asciiTheme="minorHAnsi" w:hAnsiTheme="minorHAnsi" w:cs="Arial"/>
          <w:sz w:val="24"/>
          <w:szCs w:val="24"/>
        </w:rPr>
      </w:pPr>
      <w:r w:rsidRPr="1028C40E">
        <w:rPr>
          <w:rFonts w:asciiTheme="minorHAnsi" w:hAnsiTheme="minorHAnsi" w:cs="Arial"/>
          <w:sz w:val="24"/>
          <w:szCs w:val="24"/>
        </w:rPr>
        <w:t>the Financial and Prudential Management Standard</w:t>
      </w:r>
    </w:p>
    <w:p w14:paraId="2B00E07A" w14:textId="77777777" w:rsidR="002D2898" w:rsidRPr="00B35C39" w:rsidRDefault="002D2898" w:rsidP="002D2898">
      <w:pPr>
        <w:pStyle w:val="Default"/>
        <w:numPr>
          <w:ilvl w:val="1"/>
          <w:numId w:val="108"/>
        </w:numPr>
        <w:spacing w:before="0" w:after="0"/>
        <w:ind w:left="1154"/>
        <w:rPr>
          <w:rFonts w:cs="Calibri"/>
          <w:color w:val="313131"/>
          <w:shd w:val="clear" w:color="auto" w:fill="FFFFFF"/>
        </w:rPr>
      </w:pPr>
      <w:r w:rsidRPr="00B35C39">
        <w:rPr>
          <w:rFonts w:ascii="Calibri" w:hAnsi="Calibri" w:cs="Calibri"/>
          <w:color w:val="313131"/>
          <w:shd w:val="clear" w:color="auto" w:fill="FFFFFF"/>
        </w:rPr>
        <w:t>requires providers to establish governance systems that prioritise quality care</w:t>
      </w:r>
    </w:p>
    <w:p w14:paraId="5BB06FA7" w14:textId="28CBD81F" w:rsidR="002D2898" w:rsidRPr="00B35C39" w:rsidRDefault="002D2898" w:rsidP="000E7B44">
      <w:pPr>
        <w:pStyle w:val="Default"/>
        <w:numPr>
          <w:ilvl w:val="1"/>
          <w:numId w:val="108"/>
        </w:numPr>
        <w:spacing w:before="0"/>
        <w:ind w:left="1154"/>
        <w:rPr>
          <w:rFonts w:cs="Calibri"/>
          <w:color w:val="313131"/>
          <w:shd w:val="clear" w:color="auto" w:fill="FFFFFF"/>
        </w:rPr>
      </w:pPr>
      <w:r w:rsidRPr="1028C40E">
        <w:rPr>
          <w:rFonts w:ascii="Calibri" w:hAnsi="Calibri" w:cs="Calibri"/>
          <w:color w:val="313131"/>
        </w:rPr>
        <w:t>requires clear roles for financial decision making and processes to manage accommodation payments</w:t>
      </w:r>
    </w:p>
    <w:p w14:paraId="30059E6A" w14:textId="2D2C37B1" w:rsidR="00520BF5" w:rsidRPr="00B35C39" w:rsidRDefault="00520BF5" w:rsidP="000E7B44">
      <w:pPr>
        <w:pStyle w:val="ListParagraph"/>
        <w:numPr>
          <w:ilvl w:val="0"/>
          <w:numId w:val="13"/>
        </w:numPr>
        <w:tabs>
          <w:tab w:val="clear" w:pos="720"/>
        </w:tabs>
        <w:spacing w:after="0" w:line="240" w:lineRule="auto"/>
        <w:ind w:left="851" w:hanging="425"/>
        <w:rPr>
          <w:rFonts w:asciiTheme="minorHAnsi" w:hAnsiTheme="minorHAnsi" w:cs="Arial"/>
          <w:sz w:val="24"/>
          <w:szCs w:val="24"/>
        </w:rPr>
      </w:pPr>
      <w:r w:rsidRPr="00B35C39">
        <w:rPr>
          <w:rFonts w:asciiTheme="minorHAnsi" w:hAnsiTheme="minorHAnsi" w:cs="Arial"/>
          <w:sz w:val="24"/>
          <w:szCs w:val="24"/>
        </w:rPr>
        <w:t>the Liquidity Standard</w:t>
      </w:r>
    </w:p>
    <w:p w14:paraId="4235FD28" w14:textId="48D891FB" w:rsidR="00073A44" w:rsidRPr="00B35C39" w:rsidRDefault="00073A44" w:rsidP="00B35C39">
      <w:pPr>
        <w:pStyle w:val="Default"/>
        <w:numPr>
          <w:ilvl w:val="1"/>
          <w:numId w:val="108"/>
        </w:numPr>
        <w:spacing w:before="0" w:after="0"/>
        <w:ind w:left="1154"/>
        <w:rPr>
          <w:rFonts w:cs="Calibri"/>
          <w:color w:val="313131"/>
          <w:shd w:val="clear" w:color="auto" w:fill="FFFFFF"/>
        </w:rPr>
      </w:pPr>
      <w:r w:rsidRPr="00B35C39">
        <w:rPr>
          <w:rFonts w:ascii="Calibri" w:hAnsi="Calibri" w:cs="Calibri"/>
          <w:color w:val="313131"/>
          <w:shd w:val="clear" w:color="auto" w:fill="FFFFFF"/>
        </w:rPr>
        <w:t>introduces a minimum liquidity</w:t>
      </w:r>
      <w:r w:rsidR="009D0262" w:rsidRPr="00B35C39">
        <w:rPr>
          <w:rFonts w:ascii="Calibri" w:hAnsi="Calibri" w:cs="Calibri"/>
          <w:color w:val="313131"/>
          <w:shd w:val="clear" w:color="auto" w:fill="FFFFFF"/>
        </w:rPr>
        <w:t xml:space="preserve"> requirement, calculated quarterly</w:t>
      </w:r>
    </w:p>
    <w:p w14:paraId="1FF32C5C" w14:textId="600A546A" w:rsidR="00445E50" w:rsidRPr="00B35C39" w:rsidRDefault="00445E50" w:rsidP="000E7B44">
      <w:pPr>
        <w:pStyle w:val="Default"/>
        <w:numPr>
          <w:ilvl w:val="1"/>
          <w:numId w:val="108"/>
        </w:numPr>
        <w:spacing w:before="0"/>
        <w:ind w:left="1154"/>
        <w:rPr>
          <w:rFonts w:cs="Calibri"/>
          <w:color w:val="313131"/>
          <w:shd w:val="clear" w:color="auto" w:fill="FFFFFF"/>
        </w:rPr>
      </w:pPr>
      <w:r w:rsidRPr="00B35C39">
        <w:rPr>
          <w:rFonts w:ascii="Calibri" w:hAnsi="Calibri" w:cs="Calibri"/>
          <w:color w:val="313131"/>
          <w:shd w:val="clear" w:color="auto" w:fill="FFFFFF"/>
        </w:rPr>
        <w:t xml:space="preserve">ensures providers hold enough liquid assets </w:t>
      </w:r>
      <w:r w:rsidR="00FB5388" w:rsidRPr="00B35C39">
        <w:rPr>
          <w:rFonts w:ascii="Calibri" w:hAnsi="Calibri" w:cs="Calibri"/>
          <w:color w:val="313131"/>
          <w:shd w:val="clear" w:color="auto" w:fill="FFFFFF"/>
        </w:rPr>
        <w:t xml:space="preserve">(e.g. cash) </w:t>
      </w:r>
      <w:r w:rsidRPr="00B35C39">
        <w:rPr>
          <w:rFonts w:ascii="Calibri" w:hAnsi="Calibri" w:cs="Calibri"/>
          <w:color w:val="313131"/>
          <w:shd w:val="clear" w:color="auto" w:fill="FFFFFF"/>
        </w:rPr>
        <w:t>to</w:t>
      </w:r>
      <w:r w:rsidR="00FB5388" w:rsidRPr="00B35C39">
        <w:rPr>
          <w:rFonts w:ascii="Calibri" w:hAnsi="Calibri" w:cs="Calibri"/>
          <w:color w:val="313131"/>
          <w:shd w:val="clear" w:color="auto" w:fill="FFFFFF"/>
        </w:rPr>
        <w:t xml:space="preserve"> meet daily expenses</w:t>
      </w:r>
      <w:r w:rsidR="00CD02E0" w:rsidRPr="00B35C39">
        <w:rPr>
          <w:rFonts w:ascii="Calibri" w:hAnsi="Calibri" w:cs="Calibri"/>
          <w:color w:val="313131"/>
          <w:shd w:val="clear" w:color="auto" w:fill="FFFFFF"/>
        </w:rPr>
        <w:t xml:space="preserve"> and refund deposits, even in times of </w:t>
      </w:r>
      <w:r w:rsidR="005C7D13" w:rsidRPr="00B35C39">
        <w:rPr>
          <w:rFonts w:ascii="Calibri" w:hAnsi="Calibri" w:cs="Calibri"/>
          <w:color w:val="313131"/>
          <w:shd w:val="clear" w:color="auto" w:fill="FFFFFF"/>
        </w:rPr>
        <w:t>fina</w:t>
      </w:r>
      <w:r w:rsidR="003D769F" w:rsidRPr="00B35C39">
        <w:rPr>
          <w:rFonts w:ascii="Calibri" w:hAnsi="Calibri" w:cs="Calibri"/>
          <w:color w:val="313131"/>
          <w:shd w:val="clear" w:color="auto" w:fill="FFFFFF"/>
        </w:rPr>
        <w:t>ncial stress</w:t>
      </w:r>
    </w:p>
    <w:p w14:paraId="26A5CC51" w14:textId="38AE8FB6" w:rsidR="00695906" w:rsidRPr="00B35C39" w:rsidRDefault="00520BF5" w:rsidP="00866042">
      <w:pPr>
        <w:pStyle w:val="ListParagraph"/>
        <w:numPr>
          <w:ilvl w:val="0"/>
          <w:numId w:val="13"/>
        </w:numPr>
        <w:tabs>
          <w:tab w:val="clear" w:pos="720"/>
        </w:tabs>
        <w:spacing w:after="0" w:line="240" w:lineRule="auto"/>
        <w:ind w:left="851" w:hanging="425"/>
        <w:rPr>
          <w:rFonts w:asciiTheme="minorHAnsi" w:hAnsiTheme="minorHAnsi" w:cs="Arial"/>
          <w:sz w:val="24"/>
          <w:szCs w:val="24"/>
        </w:rPr>
      </w:pPr>
      <w:r w:rsidRPr="00B35C39">
        <w:rPr>
          <w:rFonts w:asciiTheme="minorHAnsi" w:hAnsiTheme="minorHAnsi" w:cs="Arial"/>
          <w:sz w:val="24"/>
          <w:szCs w:val="24"/>
        </w:rPr>
        <w:t>the Investment Standard</w:t>
      </w:r>
    </w:p>
    <w:p w14:paraId="27F6F677" w14:textId="35A63A7A" w:rsidR="00D4450C" w:rsidRPr="00B35C39" w:rsidRDefault="00BD25B4" w:rsidP="00B35C39">
      <w:pPr>
        <w:pStyle w:val="Default"/>
        <w:numPr>
          <w:ilvl w:val="1"/>
          <w:numId w:val="108"/>
        </w:numPr>
        <w:spacing w:before="0" w:after="0"/>
        <w:ind w:left="1154"/>
        <w:rPr>
          <w:rFonts w:cs="Calibri"/>
          <w:color w:val="313131"/>
          <w:shd w:val="clear" w:color="auto" w:fill="FFFFFF"/>
        </w:rPr>
      </w:pPr>
      <w:r w:rsidRPr="00B35C39">
        <w:rPr>
          <w:rFonts w:ascii="Calibri" w:hAnsi="Calibri" w:cs="Calibri"/>
          <w:color w:val="313131"/>
          <w:shd w:val="clear" w:color="auto" w:fill="FFFFFF"/>
        </w:rPr>
        <w:t xml:space="preserve">requires providers to </w:t>
      </w:r>
      <w:r w:rsidR="00551EA7" w:rsidRPr="00B35C39">
        <w:rPr>
          <w:rFonts w:ascii="Calibri" w:hAnsi="Calibri" w:cs="Calibri"/>
          <w:color w:val="313131"/>
          <w:shd w:val="clear" w:color="auto" w:fill="FFFFFF"/>
        </w:rPr>
        <w:t>have a written Investment M</w:t>
      </w:r>
      <w:r w:rsidR="00ED2F0A" w:rsidRPr="00B35C39">
        <w:rPr>
          <w:rFonts w:ascii="Calibri" w:hAnsi="Calibri" w:cs="Calibri"/>
          <w:color w:val="313131"/>
          <w:shd w:val="clear" w:color="auto" w:fill="FFFFFF"/>
        </w:rPr>
        <w:t>anagement Strategy to manage investments responsibly</w:t>
      </w:r>
    </w:p>
    <w:p w14:paraId="435BF2D3" w14:textId="6492AD72" w:rsidR="00520BF5" w:rsidRPr="00B35C39" w:rsidRDefault="00DF2DC8" w:rsidP="00B35C39">
      <w:pPr>
        <w:spacing w:before="200" w:after="0"/>
        <w:rPr>
          <w:b/>
          <w:bCs/>
          <w:color w:val="0070C0"/>
          <w:sz w:val="26"/>
          <w:szCs w:val="26"/>
        </w:rPr>
      </w:pPr>
      <w:r w:rsidRPr="00B35C39">
        <w:rPr>
          <w:b/>
          <w:bCs/>
          <w:color w:val="0070C0"/>
          <w:sz w:val="26"/>
          <w:szCs w:val="26"/>
        </w:rPr>
        <w:t>Compliance requirements</w:t>
      </w:r>
    </w:p>
    <w:p w14:paraId="2353DC25" w14:textId="26AF7516" w:rsidR="00DF2DC8" w:rsidRDefault="0002703F" w:rsidP="00B35C39">
      <w:pPr>
        <w:spacing w:after="120"/>
        <w:rPr>
          <w:sz w:val="24"/>
          <w:szCs w:val="24"/>
        </w:rPr>
      </w:pPr>
      <w:r w:rsidRPr="00B35C39">
        <w:rPr>
          <w:sz w:val="24"/>
          <w:szCs w:val="24"/>
        </w:rPr>
        <w:t>The k</w:t>
      </w:r>
      <w:r>
        <w:rPr>
          <w:sz w:val="24"/>
          <w:szCs w:val="24"/>
        </w:rPr>
        <w:t>ey</w:t>
      </w:r>
      <w:r w:rsidR="0057395F">
        <w:rPr>
          <w:sz w:val="24"/>
          <w:szCs w:val="24"/>
        </w:rPr>
        <w:t xml:space="preserve"> compliance expectations under the Financial and Prudential Standards are:</w:t>
      </w:r>
    </w:p>
    <w:p w14:paraId="03A7BD8F" w14:textId="4D102C86" w:rsidR="0057395F" w:rsidRPr="00B35C39" w:rsidRDefault="0057395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written systems</w:t>
      </w:r>
      <w:r w:rsidR="00D37757" w:rsidRPr="00B35C39">
        <w:rPr>
          <w:rFonts w:asciiTheme="minorHAnsi" w:hAnsiTheme="minorHAnsi" w:cs="Arial"/>
          <w:sz w:val="24"/>
          <w:szCs w:val="24"/>
        </w:rPr>
        <w:t>: providers must maintain documented management systems for financ</w:t>
      </w:r>
      <w:r w:rsidR="001C50D7" w:rsidRPr="00B35C39">
        <w:rPr>
          <w:rFonts w:asciiTheme="minorHAnsi" w:hAnsiTheme="minorHAnsi" w:cs="Arial"/>
          <w:sz w:val="24"/>
          <w:szCs w:val="24"/>
        </w:rPr>
        <w:t>e and investments that are reviewed at least annually</w:t>
      </w:r>
    </w:p>
    <w:p w14:paraId="00372414" w14:textId="5EB58069" w:rsidR="007B09F1" w:rsidRPr="00B35C39" w:rsidRDefault="007B09F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quarterly calculations: liquidity needs must </w:t>
      </w:r>
      <w:r w:rsidR="00C77EF4" w:rsidRPr="00B35C39">
        <w:rPr>
          <w:rFonts w:asciiTheme="minorHAnsi" w:hAnsiTheme="minorHAnsi" w:cs="Arial"/>
          <w:sz w:val="24"/>
          <w:szCs w:val="24"/>
        </w:rPr>
        <w:t>be recalculated every quarter based on actual cash outflows and deposit liabilities</w:t>
      </w:r>
    </w:p>
    <w:p w14:paraId="6FB786E4" w14:textId="6C2595BA" w:rsidR="00C77EF4" w:rsidRPr="00B35C39" w:rsidRDefault="00461938" w:rsidP="00B35C39">
      <w:pPr>
        <w:pStyle w:val="ListParagraph"/>
        <w:numPr>
          <w:ilvl w:val="0"/>
          <w:numId w:val="13"/>
        </w:numPr>
        <w:tabs>
          <w:tab w:val="clear" w:pos="720"/>
        </w:tabs>
        <w:spacing w:after="120" w:line="240" w:lineRule="auto"/>
        <w:ind w:left="851" w:hanging="425"/>
        <w:rPr>
          <w:rFonts w:cs="Arial"/>
          <w:sz w:val="24"/>
          <w:szCs w:val="24"/>
        </w:rPr>
      </w:pPr>
      <w:r w:rsidRPr="00B35C39">
        <w:rPr>
          <w:rFonts w:asciiTheme="minorHAnsi" w:hAnsiTheme="minorHAnsi" w:cs="Arial"/>
          <w:sz w:val="24"/>
          <w:szCs w:val="24"/>
        </w:rPr>
        <w:t>governance oversight; Governing bodies must actively monitor financial risks and understand how decisions impact the quality of care provided</w:t>
      </w:r>
    </w:p>
    <w:p w14:paraId="6B4E3FBB" w14:textId="4CBF8CA3" w:rsidR="00C275C1" w:rsidRDefault="00520BF5" w:rsidP="00B35C39">
      <w:pPr>
        <w:spacing w:before="360"/>
        <w:rPr>
          <w:sz w:val="24"/>
          <w:szCs w:val="24"/>
        </w:rPr>
      </w:pPr>
      <w:r w:rsidRPr="00B35C39">
        <w:rPr>
          <w:rFonts w:eastAsiaTheme="majorEastAsia" w:cstheme="majorBidi"/>
          <w:b/>
          <w:bCs/>
          <w:color w:val="0070C0"/>
          <w:sz w:val="28"/>
          <w:szCs w:val="28"/>
        </w:rPr>
        <w:t>COMPLIANCE WITH THE LIQUIDITY STANDARD</w:t>
      </w:r>
      <w:r w:rsidRPr="00B35C39">
        <w:rPr>
          <w:sz w:val="32"/>
          <w:szCs w:val="32"/>
        </w:rPr>
        <w:t xml:space="preserve"> </w:t>
      </w:r>
      <w:r w:rsidRPr="00B35C39">
        <w:rPr>
          <w:sz w:val="32"/>
          <w:szCs w:val="32"/>
        </w:rPr>
        <w:br/>
      </w:r>
      <w:bookmarkStart w:id="3" w:name="_Hlk221184978"/>
      <w:r w:rsidRPr="00DC03C5">
        <w:rPr>
          <w:sz w:val="24"/>
          <w:szCs w:val="24"/>
        </w:rPr>
        <w:t xml:space="preserve">The </w:t>
      </w:r>
      <w:r>
        <w:rPr>
          <w:sz w:val="24"/>
          <w:szCs w:val="24"/>
        </w:rPr>
        <w:t>L</w:t>
      </w:r>
      <w:r w:rsidRPr="00DC03C5">
        <w:rPr>
          <w:sz w:val="24"/>
          <w:szCs w:val="24"/>
        </w:rPr>
        <w:t xml:space="preserve">iquidity </w:t>
      </w:r>
      <w:r>
        <w:rPr>
          <w:sz w:val="24"/>
          <w:szCs w:val="24"/>
        </w:rPr>
        <w:t>S</w:t>
      </w:r>
      <w:r w:rsidRPr="00DC03C5">
        <w:rPr>
          <w:sz w:val="24"/>
          <w:szCs w:val="24"/>
        </w:rPr>
        <w:t>tandard</w:t>
      </w:r>
      <w:r>
        <w:rPr>
          <w:sz w:val="24"/>
          <w:szCs w:val="24"/>
        </w:rPr>
        <w:t xml:space="preserve"> requires providers to</w:t>
      </w:r>
      <w:r w:rsidR="00B37098">
        <w:rPr>
          <w:sz w:val="24"/>
          <w:szCs w:val="24"/>
        </w:rPr>
        <w:t>:</w:t>
      </w:r>
    </w:p>
    <w:p w14:paraId="64E1653D" w14:textId="596825CD" w:rsidR="00520BF5" w:rsidRPr="00B35C39" w:rsidRDefault="00C275C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meet financial obligations as they fall due</w:t>
      </w:r>
    </w:p>
    <w:p w14:paraId="01D94C3E" w14:textId="10C0C48A" w:rsidR="00CD4B3F" w:rsidRPr="00B35C39" w:rsidRDefault="00CD4B3F"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refund </w:t>
      </w:r>
      <w:r w:rsidR="003C1DA5" w:rsidRPr="00B35C39">
        <w:rPr>
          <w:rFonts w:asciiTheme="minorHAnsi" w:hAnsiTheme="minorHAnsi" w:cs="Arial"/>
          <w:sz w:val="24"/>
          <w:szCs w:val="24"/>
        </w:rPr>
        <w:t>accommodation payments and contributions</w:t>
      </w:r>
      <w:r w:rsidR="00420EC8" w:rsidRPr="00B35C39">
        <w:rPr>
          <w:rFonts w:asciiTheme="minorHAnsi" w:hAnsiTheme="minorHAnsi" w:cs="Arial"/>
          <w:sz w:val="24"/>
          <w:szCs w:val="24"/>
        </w:rPr>
        <w:t xml:space="preserve"> expected to fall due</w:t>
      </w:r>
    </w:p>
    <w:p w14:paraId="222B89EA" w14:textId="7D91A6A2" w:rsidR="009A36A9" w:rsidRPr="00B35C39" w:rsidRDefault="00BB076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continue to </w:t>
      </w:r>
      <w:r w:rsidR="00CF6430" w:rsidRPr="00B35C39">
        <w:rPr>
          <w:rFonts w:asciiTheme="minorHAnsi" w:hAnsiTheme="minorHAnsi" w:cs="Arial"/>
          <w:sz w:val="24"/>
          <w:szCs w:val="24"/>
        </w:rPr>
        <w:t>deliver safe</w:t>
      </w:r>
      <w:r w:rsidR="001137F0" w:rsidRPr="00B35C39">
        <w:rPr>
          <w:rFonts w:asciiTheme="minorHAnsi" w:hAnsiTheme="minorHAnsi" w:cs="Arial"/>
          <w:sz w:val="24"/>
          <w:szCs w:val="24"/>
        </w:rPr>
        <w:t>, high-quality care</w:t>
      </w:r>
    </w:p>
    <w:p w14:paraId="104756F1" w14:textId="3F5D3092" w:rsidR="001137F0" w:rsidRPr="00B35C39" w:rsidRDefault="001137F0" w:rsidP="00B35C39">
      <w:pPr>
        <w:pStyle w:val="ListParagraph"/>
        <w:numPr>
          <w:ilvl w:val="0"/>
          <w:numId w:val="13"/>
        </w:numPr>
        <w:tabs>
          <w:tab w:val="clear" w:pos="720"/>
        </w:tabs>
        <w:spacing w:after="120" w:line="240" w:lineRule="auto"/>
        <w:ind w:left="851" w:hanging="425"/>
        <w:rPr>
          <w:rFonts w:cs="Arial"/>
          <w:sz w:val="24"/>
          <w:szCs w:val="24"/>
        </w:rPr>
      </w:pPr>
      <w:r w:rsidRPr="00B35C39">
        <w:rPr>
          <w:rFonts w:asciiTheme="minorHAnsi" w:hAnsiTheme="minorHAnsi" w:cs="Arial"/>
          <w:sz w:val="24"/>
          <w:szCs w:val="24"/>
        </w:rPr>
        <w:t xml:space="preserve">withstand unexpected financial </w:t>
      </w:r>
      <w:r w:rsidR="00C94789" w:rsidRPr="00B35C39">
        <w:rPr>
          <w:rFonts w:asciiTheme="minorHAnsi" w:hAnsiTheme="minorHAnsi" w:cs="Arial"/>
          <w:sz w:val="24"/>
          <w:szCs w:val="24"/>
        </w:rPr>
        <w:t>events</w:t>
      </w:r>
    </w:p>
    <w:p w14:paraId="498A0020" w14:textId="6FD0017C" w:rsidR="00520BF5" w:rsidRPr="00B35C39" w:rsidRDefault="52BAC485" w:rsidP="00B35C39">
      <w:pPr>
        <w:spacing w:before="200" w:after="0"/>
        <w:rPr>
          <w:b/>
          <w:bCs/>
          <w:color w:val="0070C0"/>
          <w:sz w:val="26"/>
          <w:szCs w:val="26"/>
        </w:rPr>
      </w:pPr>
      <w:r w:rsidRPr="1028C40E">
        <w:rPr>
          <w:b/>
          <w:bCs/>
          <w:color w:val="0070C0"/>
          <w:sz w:val="26"/>
          <w:szCs w:val="26"/>
        </w:rPr>
        <w:lastRenderedPageBreak/>
        <w:t>Minimum liquidity amount</w:t>
      </w:r>
      <w:r w:rsidR="099515F3" w:rsidRPr="1028C40E">
        <w:rPr>
          <w:b/>
          <w:bCs/>
          <w:color w:val="0070C0"/>
          <w:sz w:val="26"/>
          <w:szCs w:val="26"/>
        </w:rPr>
        <w:t xml:space="preserve"> (MLA)</w:t>
      </w:r>
    </w:p>
    <w:p w14:paraId="57BBB811" w14:textId="4937B314" w:rsidR="00AD66AB" w:rsidRDefault="7B1C2FFE" w:rsidP="1028C40E">
      <w:pPr>
        <w:spacing w:after="120"/>
        <w:rPr>
          <w:sz w:val="24"/>
          <w:szCs w:val="24"/>
        </w:rPr>
      </w:pPr>
      <w:r w:rsidRPr="1028C40E">
        <w:rPr>
          <w:sz w:val="24"/>
          <w:szCs w:val="24"/>
        </w:rPr>
        <w:t xml:space="preserve">Under the Liquidity Standard, providers are required to calculate both a default and evaluated minimum liquidity amount on a quarterly basis and decide which amount they will rely on to demonstrate compliance.  </w:t>
      </w:r>
      <w:r w:rsidR="40BC9034" w:rsidRPr="1028C40E">
        <w:rPr>
          <w:sz w:val="24"/>
          <w:szCs w:val="24"/>
        </w:rPr>
        <w:t xml:space="preserve">There are two ways providers can meet the </w:t>
      </w:r>
      <w:r w:rsidR="09FE3F0A" w:rsidRPr="1028C40E">
        <w:rPr>
          <w:sz w:val="24"/>
          <w:szCs w:val="24"/>
        </w:rPr>
        <w:t>L</w:t>
      </w:r>
      <w:r w:rsidR="40BC9034" w:rsidRPr="1028C40E">
        <w:rPr>
          <w:sz w:val="24"/>
          <w:szCs w:val="24"/>
        </w:rPr>
        <w:t>iquidity</w:t>
      </w:r>
      <w:r w:rsidR="09FE3F0A" w:rsidRPr="1028C40E">
        <w:rPr>
          <w:sz w:val="24"/>
          <w:szCs w:val="24"/>
        </w:rPr>
        <w:t xml:space="preserve"> Standard</w:t>
      </w:r>
      <w:r w:rsidR="79D28D27" w:rsidRPr="1028C40E">
        <w:rPr>
          <w:sz w:val="24"/>
          <w:szCs w:val="24"/>
        </w:rPr>
        <w:t>:</w:t>
      </w:r>
    </w:p>
    <w:p w14:paraId="410CBA18" w14:textId="05B3A15E" w:rsidR="00D117E7" w:rsidRPr="00B35C39" w:rsidRDefault="00D117E7" w:rsidP="00B35C39">
      <w:pPr>
        <w:spacing w:before="200" w:after="0"/>
        <w:rPr>
          <w:b/>
          <w:bCs/>
          <w:color w:val="0070C0"/>
          <w:sz w:val="26"/>
          <w:szCs w:val="26"/>
        </w:rPr>
      </w:pPr>
      <w:r w:rsidRPr="00B35C39">
        <w:rPr>
          <w:b/>
          <w:bCs/>
          <w:color w:val="0070C0"/>
          <w:sz w:val="26"/>
          <w:szCs w:val="26"/>
        </w:rPr>
        <w:t xml:space="preserve">Default </w:t>
      </w:r>
      <w:r w:rsidR="00E51F08" w:rsidRPr="00B35C39">
        <w:rPr>
          <w:b/>
          <w:bCs/>
          <w:color w:val="0070C0"/>
          <w:sz w:val="26"/>
          <w:szCs w:val="26"/>
        </w:rPr>
        <w:t>MLA</w:t>
      </w:r>
    </w:p>
    <w:p w14:paraId="361FA971" w14:textId="36864F24" w:rsidR="00390610" w:rsidRDefault="0057188E" w:rsidP="00B35C39">
      <w:pPr>
        <w:spacing w:after="120"/>
        <w:rPr>
          <w:sz w:val="24"/>
          <w:szCs w:val="24"/>
        </w:rPr>
      </w:pPr>
      <w:r w:rsidRPr="00B35C39">
        <w:rPr>
          <w:sz w:val="24"/>
          <w:szCs w:val="24"/>
        </w:rPr>
        <w:t xml:space="preserve">The default MLA is calculated </w:t>
      </w:r>
      <w:r w:rsidR="00390610" w:rsidRPr="00B35C39">
        <w:rPr>
          <w:sz w:val="24"/>
          <w:szCs w:val="24"/>
        </w:rPr>
        <w:t xml:space="preserve">using the formula in the </w:t>
      </w:r>
      <w:r w:rsidR="00390610">
        <w:rPr>
          <w:sz w:val="24"/>
          <w:szCs w:val="24"/>
        </w:rPr>
        <w:t>Liq</w:t>
      </w:r>
      <w:r w:rsidR="006B2233">
        <w:rPr>
          <w:sz w:val="24"/>
          <w:szCs w:val="24"/>
        </w:rPr>
        <w:t>uidity S</w:t>
      </w:r>
      <w:r w:rsidR="00390610" w:rsidRPr="00B35C39">
        <w:rPr>
          <w:sz w:val="24"/>
          <w:szCs w:val="24"/>
        </w:rPr>
        <w:t>tandard</w:t>
      </w:r>
      <w:r w:rsidR="006B2233">
        <w:rPr>
          <w:sz w:val="24"/>
          <w:szCs w:val="24"/>
        </w:rPr>
        <w:t>. Providers must:</w:t>
      </w:r>
    </w:p>
    <w:p w14:paraId="750ECDF0" w14:textId="0CAB94F9" w:rsidR="00781A4B" w:rsidRPr="00B35C39" w:rsidRDefault="00781A4B"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calculate the default </w:t>
      </w:r>
      <w:r w:rsidR="000F2D58" w:rsidRPr="00B35C39">
        <w:rPr>
          <w:rFonts w:asciiTheme="minorHAnsi" w:hAnsiTheme="minorHAnsi" w:cs="Arial"/>
          <w:sz w:val="24"/>
          <w:szCs w:val="24"/>
        </w:rPr>
        <w:t>MLA each quarter</w:t>
      </w:r>
    </w:p>
    <w:p w14:paraId="017068BA" w14:textId="71034FC9" w:rsidR="000F2D58" w:rsidRPr="00B35C39" w:rsidRDefault="000F2D5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maintain</w:t>
      </w:r>
      <w:r w:rsidR="004652E6" w:rsidRPr="00B35C39">
        <w:rPr>
          <w:rFonts w:asciiTheme="minorHAnsi" w:hAnsiTheme="minorHAnsi" w:cs="Arial"/>
          <w:sz w:val="24"/>
          <w:szCs w:val="24"/>
        </w:rPr>
        <w:t xml:space="preserve"> this </w:t>
      </w:r>
      <w:r w:rsidR="00543505" w:rsidRPr="00B35C39">
        <w:rPr>
          <w:rFonts w:asciiTheme="minorHAnsi" w:hAnsiTheme="minorHAnsi" w:cs="Arial"/>
          <w:sz w:val="24"/>
          <w:szCs w:val="24"/>
        </w:rPr>
        <w:t>amount unless they elect to rely on an evaluated MLA</w:t>
      </w:r>
    </w:p>
    <w:p w14:paraId="078BBEE2" w14:textId="469ED8BF" w:rsidR="00E318C9" w:rsidRPr="00B35C39" w:rsidRDefault="00584ED1" w:rsidP="00B35C39">
      <w:pPr>
        <w:spacing w:before="200" w:after="0"/>
        <w:rPr>
          <w:b/>
          <w:bCs/>
          <w:color w:val="0070C0"/>
          <w:sz w:val="26"/>
          <w:szCs w:val="26"/>
        </w:rPr>
      </w:pPr>
      <w:r w:rsidRPr="00B35C39">
        <w:rPr>
          <w:b/>
          <w:bCs/>
          <w:color w:val="0070C0"/>
          <w:sz w:val="26"/>
          <w:szCs w:val="26"/>
        </w:rPr>
        <w:t>Evaluated</w:t>
      </w:r>
      <w:r w:rsidR="00C3325E" w:rsidRPr="00B35C39">
        <w:rPr>
          <w:b/>
          <w:bCs/>
          <w:color w:val="0070C0"/>
          <w:sz w:val="26"/>
          <w:szCs w:val="26"/>
        </w:rPr>
        <w:t xml:space="preserve"> </w:t>
      </w:r>
      <w:r w:rsidR="006A528D" w:rsidRPr="00B35C39">
        <w:rPr>
          <w:b/>
          <w:bCs/>
          <w:color w:val="0070C0"/>
          <w:sz w:val="26"/>
          <w:szCs w:val="26"/>
        </w:rPr>
        <w:t>MLA</w:t>
      </w:r>
    </w:p>
    <w:p w14:paraId="44CB69F3" w14:textId="7001F624" w:rsidR="00546C22" w:rsidRDefault="00546C22" w:rsidP="00B35C39">
      <w:pPr>
        <w:spacing w:after="120"/>
        <w:rPr>
          <w:sz w:val="24"/>
          <w:szCs w:val="24"/>
        </w:rPr>
      </w:pPr>
      <w:r>
        <w:rPr>
          <w:sz w:val="24"/>
          <w:szCs w:val="24"/>
        </w:rPr>
        <w:t xml:space="preserve">An evaluated MLA </w:t>
      </w:r>
      <w:r w:rsidR="00B726F3">
        <w:rPr>
          <w:sz w:val="24"/>
          <w:szCs w:val="24"/>
        </w:rPr>
        <w:t>must</w:t>
      </w:r>
      <w:r w:rsidR="00371E9E">
        <w:rPr>
          <w:sz w:val="24"/>
          <w:szCs w:val="24"/>
        </w:rPr>
        <w:t xml:space="preserve"> be based on the provider</w:t>
      </w:r>
      <w:r w:rsidR="00AD2B27">
        <w:rPr>
          <w:sz w:val="24"/>
          <w:szCs w:val="24"/>
        </w:rPr>
        <w:t>’s:</w:t>
      </w:r>
    </w:p>
    <w:p w14:paraId="6173715B" w14:textId="1A8071A8" w:rsidR="007E35FE" w:rsidRPr="00B35C39" w:rsidRDefault="007E35FE"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financial risks and obligations</w:t>
      </w:r>
    </w:p>
    <w:p w14:paraId="585941AE" w14:textId="02205F04" w:rsidR="007E35FE" w:rsidRPr="00B35C39" w:rsidRDefault="007E35FE"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cash flow needs</w:t>
      </w:r>
    </w:p>
    <w:p w14:paraId="5DE80F3F" w14:textId="23AA56D3" w:rsidR="007E35FE" w:rsidRPr="00B35C39" w:rsidRDefault="7C34B02E"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1028C40E">
        <w:rPr>
          <w:rFonts w:asciiTheme="minorHAnsi" w:hAnsiTheme="minorHAnsi" w:cs="Arial"/>
          <w:sz w:val="24"/>
          <w:szCs w:val="24"/>
        </w:rPr>
        <w:t xml:space="preserve">access to other reliable </w:t>
      </w:r>
      <w:r w:rsidR="572557D3" w:rsidRPr="1028C40E">
        <w:rPr>
          <w:rFonts w:asciiTheme="minorHAnsi" w:hAnsiTheme="minorHAnsi" w:cs="Arial"/>
          <w:sz w:val="24"/>
          <w:szCs w:val="24"/>
        </w:rPr>
        <w:t xml:space="preserve">sources of liquidity </w:t>
      </w:r>
      <w:r w:rsidR="7558C4B7" w:rsidRPr="1028C40E">
        <w:rPr>
          <w:rFonts w:asciiTheme="minorHAnsi" w:hAnsiTheme="minorHAnsi" w:cs="Arial"/>
          <w:sz w:val="24"/>
          <w:szCs w:val="24"/>
        </w:rPr>
        <w:t>(e.g. line of credit)</w:t>
      </w:r>
    </w:p>
    <w:p w14:paraId="014ED4C5" w14:textId="6EABE51D" w:rsidR="000D01EA" w:rsidRPr="00B35C39" w:rsidRDefault="6EEBD957" w:rsidP="1028C40E">
      <w:pPr>
        <w:spacing w:after="120"/>
        <w:rPr>
          <w:sz w:val="24"/>
          <w:szCs w:val="24"/>
        </w:rPr>
      </w:pPr>
      <w:r w:rsidRPr="1028C40E">
        <w:rPr>
          <w:sz w:val="24"/>
          <w:szCs w:val="24"/>
        </w:rPr>
        <w:t xml:space="preserve">After assessing this, the provider’s governing body may determine that the default MLA is sufficient to meet the objectives of the Liquidity Standard. In that case, the evaluated MLA may be equal to the default MLA. </w:t>
      </w:r>
    </w:p>
    <w:p w14:paraId="0BD87A7C" w14:textId="34D21085" w:rsidR="000D01EA" w:rsidRPr="00B35C39" w:rsidRDefault="6EEBD957" w:rsidP="1028C40E">
      <w:pPr>
        <w:spacing w:after="120"/>
        <w:rPr>
          <w:sz w:val="24"/>
          <w:szCs w:val="24"/>
        </w:rPr>
      </w:pPr>
      <w:r w:rsidRPr="1028C40E">
        <w:rPr>
          <w:sz w:val="24"/>
          <w:szCs w:val="24"/>
        </w:rPr>
        <w:t>Choosing to rely o</w:t>
      </w:r>
      <w:r w:rsidR="65E8EF8B" w:rsidRPr="1028C40E">
        <w:rPr>
          <w:sz w:val="24"/>
          <w:szCs w:val="24"/>
        </w:rPr>
        <w:t>n</w:t>
      </w:r>
      <w:r w:rsidR="7F71E7CC" w:rsidRPr="1028C40E">
        <w:rPr>
          <w:sz w:val="24"/>
          <w:szCs w:val="24"/>
        </w:rPr>
        <w:t xml:space="preserve"> an</w:t>
      </w:r>
      <w:r w:rsidR="65E8EF8B" w:rsidRPr="1028C40E">
        <w:rPr>
          <w:sz w:val="24"/>
          <w:szCs w:val="24"/>
        </w:rPr>
        <w:t xml:space="preserve"> evaluated MLA is an alternative way to meet the Liquidity Standard</w:t>
      </w:r>
      <w:r w:rsidR="4BC35BF7" w:rsidRPr="1028C40E">
        <w:rPr>
          <w:sz w:val="24"/>
          <w:szCs w:val="24"/>
        </w:rPr>
        <w:t>.</w:t>
      </w:r>
      <w:r w:rsidR="65E8EF8B" w:rsidRPr="1028C40E">
        <w:rPr>
          <w:sz w:val="24"/>
          <w:szCs w:val="24"/>
        </w:rPr>
        <w:t xml:space="preserve"> The amount must be sufficient to ensure the provider can meet is financial and refunding obligations, manage unexpected financial events and continue to deliver safe and high-quality care. </w:t>
      </w:r>
    </w:p>
    <w:p w14:paraId="0D16A12E" w14:textId="186BE638" w:rsidR="000D01EA" w:rsidRPr="00B35C39" w:rsidRDefault="65E8EF8B" w:rsidP="1028C40E">
      <w:pPr>
        <w:spacing w:after="120"/>
        <w:rPr>
          <w:sz w:val="24"/>
          <w:szCs w:val="24"/>
        </w:rPr>
      </w:pPr>
      <w:r w:rsidRPr="1028C40E">
        <w:rPr>
          <w:sz w:val="24"/>
          <w:szCs w:val="24"/>
        </w:rPr>
        <w:t>It may be used</w:t>
      </w:r>
      <w:r w:rsidR="0F0156BB" w:rsidRPr="36DD313A">
        <w:rPr>
          <w:sz w:val="24"/>
          <w:szCs w:val="24"/>
        </w:rPr>
        <w:t>, for example</w:t>
      </w:r>
      <w:r w:rsidRPr="1028C40E">
        <w:rPr>
          <w:sz w:val="24"/>
          <w:szCs w:val="24"/>
        </w:rPr>
        <w:t xml:space="preserve"> where a provider holds less liquidity than the default MLA but can demonstrate that it has reliable access to liquidity and that its arrangements do not pose a greater risk to older people or the continuity of care. </w:t>
      </w:r>
    </w:p>
    <w:p w14:paraId="6572353A" w14:textId="27DFB963" w:rsidR="00520BF5" w:rsidRPr="00D358F2" w:rsidRDefault="00520BF5" w:rsidP="00520BF5">
      <w:pPr>
        <w:rPr>
          <w:sz w:val="24"/>
          <w:szCs w:val="24"/>
        </w:rPr>
      </w:pPr>
      <w:r w:rsidRPr="00D358F2">
        <w:rPr>
          <w:sz w:val="24"/>
          <w:szCs w:val="24"/>
        </w:rPr>
        <w:t xml:space="preserve">Where a provider </w:t>
      </w:r>
      <w:r w:rsidR="00EB22E3">
        <w:rPr>
          <w:sz w:val="24"/>
          <w:szCs w:val="24"/>
        </w:rPr>
        <w:t>re</w:t>
      </w:r>
      <w:r w:rsidR="00F577B3">
        <w:rPr>
          <w:sz w:val="24"/>
          <w:szCs w:val="24"/>
        </w:rPr>
        <w:t>l</w:t>
      </w:r>
      <w:r w:rsidR="00EE5BA3">
        <w:rPr>
          <w:sz w:val="24"/>
          <w:szCs w:val="24"/>
        </w:rPr>
        <w:t xml:space="preserve">ies on an evaluated MLA, </w:t>
      </w:r>
      <w:r w:rsidR="00BB2A21">
        <w:rPr>
          <w:sz w:val="24"/>
          <w:szCs w:val="24"/>
        </w:rPr>
        <w:t xml:space="preserve">the </w:t>
      </w:r>
      <w:r w:rsidR="00EE5BA3">
        <w:rPr>
          <w:sz w:val="24"/>
          <w:szCs w:val="24"/>
        </w:rPr>
        <w:t xml:space="preserve">decision </w:t>
      </w:r>
      <w:r w:rsidR="00B13899">
        <w:rPr>
          <w:sz w:val="24"/>
          <w:szCs w:val="24"/>
        </w:rPr>
        <w:t>to rely on it</w:t>
      </w:r>
      <w:r w:rsidR="008B0477">
        <w:rPr>
          <w:sz w:val="24"/>
          <w:szCs w:val="24"/>
        </w:rPr>
        <w:t xml:space="preserve"> </w:t>
      </w:r>
      <w:r w:rsidR="00EE5BA3">
        <w:rPr>
          <w:sz w:val="24"/>
          <w:szCs w:val="24"/>
        </w:rPr>
        <w:t xml:space="preserve">and the basis for that </w:t>
      </w:r>
      <w:r w:rsidR="006C05A6">
        <w:rPr>
          <w:sz w:val="24"/>
          <w:szCs w:val="24"/>
        </w:rPr>
        <w:t>decision</w:t>
      </w:r>
      <w:r w:rsidR="00E80F3E">
        <w:rPr>
          <w:sz w:val="24"/>
          <w:szCs w:val="24"/>
        </w:rPr>
        <w:t xml:space="preserve"> must be documented </w:t>
      </w:r>
      <w:r w:rsidR="00E35861">
        <w:rPr>
          <w:sz w:val="24"/>
          <w:szCs w:val="24"/>
        </w:rPr>
        <w:t xml:space="preserve">in the liquidity management </w:t>
      </w:r>
      <w:r w:rsidR="001E64CB">
        <w:rPr>
          <w:sz w:val="24"/>
          <w:szCs w:val="24"/>
        </w:rPr>
        <w:t>strategy (LMS).</w:t>
      </w:r>
      <w:r w:rsidR="04EC5F78" w:rsidRPr="36DD313A">
        <w:rPr>
          <w:sz w:val="24"/>
          <w:szCs w:val="24"/>
        </w:rPr>
        <w:t xml:space="preserve"> The provider is also required to notify the Commission if they choose to rely on an evaluated MLA.</w:t>
      </w:r>
    </w:p>
    <w:p w14:paraId="0B0C254A" w14:textId="77777777" w:rsidR="005D45E1" w:rsidRPr="00B35C39" w:rsidRDefault="005D45E1" w:rsidP="00B35C39">
      <w:pPr>
        <w:spacing w:before="200" w:after="0"/>
        <w:rPr>
          <w:b/>
          <w:bCs/>
          <w:color w:val="0070C0"/>
          <w:sz w:val="26"/>
          <w:szCs w:val="26"/>
        </w:rPr>
      </w:pPr>
      <w:r w:rsidRPr="00B35C39">
        <w:rPr>
          <w:b/>
          <w:bCs/>
          <w:color w:val="0070C0"/>
          <w:sz w:val="26"/>
          <w:szCs w:val="26"/>
        </w:rPr>
        <w:t>Liquidity Management Strategy</w:t>
      </w:r>
    </w:p>
    <w:p w14:paraId="7AB73204" w14:textId="4CD7C988" w:rsidR="00782E7B" w:rsidRDefault="005D45E1" w:rsidP="00B35C39">
      <w:pPr>
        <w:spacing w:after="120"/>
        <w:rPr>
          <w:sz w:val="24"/>
          <w:szCs w:val="24"/>
        </w:rPr>
      </w:pPr>
      <w:r>
        <w:rPr>
          <w:sz w:val="24"/>
          <w:szCs w:val="24"/>
        </w:rPr>
        <w:t xml:space="preserve">Section 16 of the Standards requires providers to implement and maintain a written liquidity management strategy (LMS). </w:t>
      </w:r>
    </w:p>
    <w:p w14:paraId="6BFF4433" w14:textId="0D5B3396" w:rsidR="005D45E1" w:rsidRDefault="005D45E1" w:rsidP="00B35C39">
      <w:pPr>
        <w:spacing w:before="100" w:beforeAutospacing="1" w:after="120"/>
        <w:rPr>
          <w:sz w:val="24"/>
          <w:szCs w:val="24"/>
        </w:rPr>
      </w:pPr>
      <w:r>
        <w:rPr>
          <w:sz w:val="24"/>
          <w:szCs w:val="24"/>
        </w:rPr>
        <w:t xml:space="preserve">The LMS should </w:t>
      </w:r>
      <w:r w:rsidR="00782E7B">
        <w:rPr>
          <w:sz w:val="24"/>
          <w:szCs w:val="24"/>
        </w:rPr>
        <w:t>clearly record</w:t>
      </w:r>
      <w:r>
        <w:rPr>
          <w:sz w:val="24"/>
          <w:szCs w:val="24"/>
        </w:rPr>
        <w:t>:</w:t>
      </w:r>
    </w:p>
    <w:p w14:paraId="3AE83AD5" w14:textId="0E6D99D2" w:rsidR="005D45E1" w:rsidRPr="00B35C39" w:rsidRDefault="005D45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the </w:t>
      </w:r>
      <w:r w:rsidR="00F427CE" w:rsidRPr="00B35C39">
        <w:rPr>
          <w:rFonts w:asciiTheme="minorHAnsi" w:hAnsiTheme="minorHAnsi" w:cs="Arial"/>
          <w:sz w:val="24"/>
          <w:szCs w:val="24"/>
        </w:rPr>
        <w:t xml:space="preserve">default MLA and </w:t>
      </w:r>
      <w:r w:rsidR="001C38F9" w:rsidRPr="00B35C39">
        <w:rPr>
          <w:rFonts w:asciiTheme="minorHAnsi" w:hAnsiTheme="minorHAnsi" w:cs="Arial"/>
          <w:sz w:val="24"/>
          <w:szCs w:val="24"/>
        </w:rPr>
        <w:t>evaluated MLA for the quarter</w:t>
      </w:r>
      <w:r w:rsidR="007150C5" w:rsidRPr="00B35C39">
        <w:rPr>
          <w:rFonts w:asciiTheme="minorHAnsi" w:hAnsiTheme="minorHAnsi" w:cs="Arial"/>
          <w:sz w:val="24"/>
          <w:szCs w:val="24"/>
        </w:rPr>
        <w:t xml:space="preserve">, </w:t>
      </w:r>
      <w:r w:rsidR="00943BD0" w:rsidRPr="00B35C39">
        <w:rPr>
          <w:rFonts w:asciiTheme="minorHAnsi" w:hAnsiTheme="minorHAnsi" w:cs="Arial"/>
          <w:sz w:val="24"/>
          <w:szCs w:val="24"/>
        </w:rPr>
        <w:t>and the factors considered when determining the minimum liquidity amounts</w:t>
      </w:r>
    </w:p>
    <w:p w14:paraId="3836332A" w14:textId="6FDAA6A9" w:rsidR="0052429A" w:rsidRPr="00B35C39" w:rsidRDefault="0052429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whether the provider is maintaining the default MLA </w:t>
      </w:r>
      <w:r w:rsidR="00943BD0" w:rsidRPr="00B35C39">
        <w:rPr>
          <w:rFonts w:asciiTheme="minorHAnsi" w:hAnsiTheme="minorHAnsi" w:cs="Arial"/>
          <w:sz w:val="24"/>
          <w:szCs w:val="24"/>
        </w:rPr>
        <w:t>or</w:t>
      </w:r>
      <w:r w:rsidRPr="00B35C39">
        <w:rPr>
          <w:rFonts w:asciiTheme="minorHAnsi" w:hAnsiTheme="minorHAnsi" w:cs="Arial"/>
          <w:sz w:val="24"/>
          <w:szCs w:val="24"/>
        </w:rPr>
        <w:t xml:space="preserve"> evaluated MLA for the quarter</w:t>
      </w:r>
      <w:r w:rsidR="005B67E0" w:rsidRPr="00B35C39">
        <w:rPr>
          <w:rFonts w:asciiTheme="minorHAnsi" w:hAnsiTheme="minorHAnsi" w:cs="Arial"/>
          <w:sz w:val="24"/>
          <w:szCs w:val="24"/>
        </w:rPr>
        <w:t xml:space="preserve">, </w:t>
      </w:r>
      <w:r w:rsidR="00EE253E" w:rsidRPr="00B35C39">
        <w:rPr>
          <w:rFonts w:asciiTheme="minorHAnsi" w:hAnsiTheme="minorHAnsi" w:cs="Arial"/>
          <w:sz w:val="24"/>
          <w:szCs w:val="24"/>
        </w:rPr>
        <w:t>a</w:t>
      </w:r>
      <w:r w:rsidR="005B67E0" w:rsidRPr="00B35C39">
        <w:rPr>
          <w:rFonts w:asciiTheme="minorHAnsi" w:hAnsiTheme="minorHAnsi" w:cs="Arial"/>
          <w:sz w:val="24"/>
          <w:szCs w:val="24"/>
        </w:rPr>
        <w:t>nd the factors considered when determining which minimum liquidity amount to maintain</w:t>
      </w:r>
    </w:p>
    <w:p w14:paraId="7A25E334" w14:textId="6DDEEDC5" w:rsidR="005D45E1" w:rsidRPr="008A51AE" w:rsidRDefault="00F50EFF" w:rsidP="00B35C39">
      <w:pPr>
        <w:pStyle w:val="ListParagraph"/>
        <w:numPr>
          <w:ilvl w:val="0"/>
          <w:numId w:val="13"/>
        </w:numPr>
        <w:tabs>
          <w:tab w:val="clear" w:pos="720"/>
        </w:tabs>
        <w:spacing w:after="120" w:line="240" w:lineRule="auto"/>
        <w:ind w:left="851" w:hanging="425"/>
        <w:rPr>
          <w:sz w:val="24"/>
          <w:szCs w:val="24"/>
        </w:rPr>
      </w:pPr>
      <w:r w:rsidRPr="00B35C39">
        <w:rPr>
          <w:rFonts w:asciiTheme="minorHAnsi" w:hAnsiTheme="minorHAnsi" w:cs="Arial"/>
          <w:sz w:val="24"/>
          <w:szCs w:val="24"/>
        </w:rPr>
        <w:t xml:space="preserve">the forms </w:t>
      </w:r>
      <w:r w:rsidR="00464453" w:rsidRPr="00B35C39">
        <w:rPr>
          <w:rFonts w:asciiTheme="minorHAnsi" w:hAnsiTheme="minorHAnsi" w:cs="Arial"/>
          <w:sz w:val="24"/>
          <w:szCs w:val="24"/>
        </w:rPr>
        <w:t xml:space="preserve">of liquidity and </w:t>
      </w:r>
      <w:r w:rsidR="00114CA2" w:rsidRPr="00B35C39">
        <w:rPr>
          <w:rFonts w:asciiTheme="minorHAnsi" w:hAnsiTheme="minorHAnsi" w:cs="Arial"/>
          <w:sz w:val="24"/>
          <w:szCs w:val="24"/>
        </w:rPr>
        <w:t xml:space="preserve">a detailed description of </w:t>
      </w:r>
      <w:r w:rsidR="005D45E1" w:rsidRPr="00B35C39">
        <w:rPr>
          <w:rFonts w:asciiTheme="minorHAnsi" w:hAnsiTheme="minorHAnsi" w:cs="Arial"/>
          <w:sz w:val="24"/>
          <w:szCs w:val="24"/>
        </w:rPr>
        <w:t xml:space="preserve">the arrangements </w:t>
      </w:r>
      <w:r w:rsidR="00464453" w:rsidRPr="00B35C39">
        <w:rPr>
          <w:rFonts w:asciiTheme="minorHAnsi" w:hAnsiTheme="minorHAnsi" w:cs="Arial"/>
          <w:sz w:val="24"/>
          <w:szCs w:val="24"/>
        </w:rPr>
        <w:t>in place</w:t>
      </w:r>
      <w:r w:rsidR="005D45E1" w:rsidRPr="00B35C39">
        <w:rPr>
          <w:rFonts w:asciiTheme="minorHAnsi" w:hAnsiTheme="minorHAnsi" w:cs="Arial"/>
          <w:sz w:val="24"/>
          <w:szCs w:val="24"/>
        </w:rPr>
        <w:t xml:space="preserve"> to ensure </w:t>
      </w:r>
      <w:r w:rsidR="00464453" w:rsidRPr="00B35C39">
        <w:rPr>
          <w:rFonts w:asciiTheme="minorHAnsi" w:hAnsiTheme="minorHAnsi" w:cs="Arial"/>
          <w:sz w:val="24"/>
          <w:szCs w:val="24"/>
        </w:rPr>
        <w:t xml:space="preserve">the minimum </w:t>
      </w:r>
      <w:r w:rsidR="005D45E1" w:rsidRPr="00B35C39">
        <w:rPr>
          <w:rFonts w:asciiTheme="minorHAnsi" w:hAnsiTheme="minorHAnsi" w:cs="Arial"/>
          <w:sz w:val="24"/>
          <w:szCs w:val="24"/>
        </w:rPr>
        <w:t xml:space="preserve">liquidity </w:t>
      </w:r>
      <w:r w:rsidR="00464453" w:rsidRPr="00B35C39">
        <w:rPr>
          <w:rFonts w:asciiTheme="minorHAnsi" w:hAnsiTheme="minorHAnsi" w:cs="Arial"/>
          <w:sz w:val="24"/>
          <w:szCs w:val="24"/>
        </w:rPr>
        <w:t xml:space="preserve">amount </w:t>
      </w:r>
      <w:r w:rsidR="005D45E1" w:rsidRPr="00B35C39">
        <w:rPr>
          <w:rFonts w:asciiTheme="minorHAnsi" w:hAnsiTheme="minorHAnsi" w:cs="Arial"/>
          <w:sz w:val="24"/>
          <w:szCs w:val="24"/>
        </w:rPr>
        <w:t>is available</w:t>
      </w:r>
      <w:r w:rsidR="005D45E1" w:rsidRPr="008A51AE">
        <w:rPr>
          <w:sz w:val="24"/>
          <w:szCs w:val="24"/>
        </w:rPr>
        <w:t xml:space="preserve"> </w:t>
      </w:r>
    </w:p>
    <w:p w14:paraId="40A852E6" w14:textId="1C548825" w:rsidR="006A7F20" w:rsidRDefault="32E28017" w:rsidP="00B35C39">
      <w:pPr>
        <w:spacing w:after="120"/>
        <w:rPr>
          <w:sz w:val="24"/>
          <w:szCs w:val="24"/>
        </w:rPr>
      </w:pPr>
      <w:r w:rsidRPr="1028C40E">
        <w:rPr>
          <w:sz w:val="24"/>
          <w:szCs w:val="24"/>
        </w:rPr>
        <w:t xml:space="preserve">The LMS should </w:t>
      </w:r>
      <w:r w:rsidR="16D5A7E1" w:rsidRPr="1028C40E">
        <w:rPr>
          <w:sz w:val="24"/>
          <w:szCs w:val="24"/>
        </w:rPr>
        <w:t>describe</w:t>
      </w:r>
      <w:r w:rsidRPr="1028C40E">
        <w:rPr>
          <w:sz w:val="24"/>
          <w:szCs w:val="24"/>
        </w:rPr>
        <w:t>:</w:t>
      </w:r>
    </w:p>
    <w:p w14:paraId="6AC0E654" w14:textId="44699B71" w:rsidR="00E912F7" w:rsidRPr="00B35C39" w:rsidRDefault="3944F2E8" w:rsidP="00B35C39">
      <w:pPr>
        <w:pStyle w:val="ListParagraph"/>
        <w:numPr>
          <w:ilvl w:val="0"/>
          <w:numId w:val="13"/>
        </w:numPr>
        <w:tabs>
          <w:tab w:val="clear" w:pos="720"/>
        </w:tabs>
        <w:spacing w:after="120" w:line="240" w:lineRule="auto"/>
        <w:ind w:left="851" w:hanging="425"/>
        <w:rPr>
          <w:rFonts w:cs="Arial"/>
          <w:sz w:val="24"/>
          <w:szCs w:val="24"/>
        </w:rPr>
      </w:pPr>
      <w:r w:rsidRPr="1028C40E">
        <w:rPr>
          <w:rFonts w:asciiTheme="minorHAnsi" w:hAnsiTheme="minorHAnsi" w:cs="Arial"/>
          <w:sz w:val="24"/>
          <w:szCs w:val="24"/>
        </w:rPr>
        <w:t xml:space="preserve">how the provider </w:t>
      </w:r>
      <w:r w:rsidR="16D5A7E1" w:rsidRPr="1028C40E">
        <w:rPr>
          <w:rFonts w:asciiTheme="minorHAnsi" w:hAnsiTheme="minorHAnsi" w:cs="Arial"/>
          <w:sz w:val="24"/>
          <w:szCs w:val="24"/>
        </w:rPr>
        <w:t>monitors cash flow</w:t>
      </w:r>
    </w:p>
    <w:p w14:paraId="1C81D480" w14:textId="2E6DEAF4" w:rsidR="00336ABA" w:rsidRPr="00B35C39" w:rsidRDefault="00421DD6" w:rsidP="00B35C39">
      <w:pPr>
        <w:pStyle w:val="ListParagraph"/>
        <w:numPr>
          <w:ilvl w:val="0"/>
          <w:numId w:val="13"/>
        </w:numPr>
        <w:tabs>
          <w:tab w:val="clear" w:pos="720"/>
        </w:tabs>
        <w:spacing w:after="120" w:line="240" w:lineRule="auto"/>
        <w:ind w:left="851" w:hanging="425"/>
        <w:rPr>
          <w:rFonts w:cs="Arial"/>
          <w:sz w:val="24"/>
          <w:szCs w:val="24"/>
        </w:rPr>
      </w:pPr>
      <w:r>
        <w:rPr>
          <w:rFonts w:asciiTheme="minorHAnsi" w:hAnsiTheme="minorHAnsi" w:cs="Arial"/>
          <w:sz w:val="24"/>
          <w:szCs w:val="24"/>
        </w:rPr>
        <w:t>h</w:t>
      </w:r>
      <w:r w:rsidR="00F801FC" w:rsidRPr="00B35C39">
        <w:rPr>
          <w:rFonts w:asciiTheme="minorHAnsi" w:hAnsiTheme="minorHAnsi" w:cs="Arial"/>
          <w:sz w:val="24"/>
          <w:szCs w:val="24"/>
        </w:rPr>
        <w:t xml:space="preserve">ow the provider </w:t>
      </w:r>
      <w:r w:rsidR="00336ABA" w:rsidRPr="00B35C39">
        <w:rPr>
          <w:rFonts w:asciiTheme="minorHAnsi" w:hAnsiTheme="minorHAnsi" w:cs="Arial"/>
          <w:sz w:val="24"/>
          <w:szCs w:val="24"/>
        </w:rPr>
        <w:t>prepare</w:t>
      </w:r>
      <w:r w:rsidR="00F801FC" w:rsidRPr="00B35C39">
        <w:rPr>
          <w:rFonts w:asciiTheme="minorHAnsi" w:hAnsiTheme="minorHAnsi" w:cs="Arial"/>
          <w:sz w:val="24"/>
          <w:szCs w:val="24"/>
        </w:rPr>
        <w:t>s</w:t>
      </w:r>
      <w:r w:rsidR="00336ABA" w:rsidRPr="00B35C39">
        <w:rPr>
          <w:rFonts w:asciiTheme="minorHAnsi" w:hAnsiTheme="minorHAnsi" w:cs="Arial"/>
          <w:sz w:val="24"/>
          <w:szCs w:val="24"/>
        </w:rPr>
        <w:t xml:space="preserve"> financial forecasts, including key assumptions and timelines</w:t>
      </w:r>
    </w:p>
    <w:p w14:paraId="19F6E412" w14:textId="7A32B43D" w:rsidR="0076305A" w:rsidRPr="00B35C39" w:rsidRDefault="0076305A" w:rsidP="00B35C39">
      <w:pPr>
        <w:pStyle w:val="ListParagraph"/>
        <w:numPr>
          <w:ilvl w:val="0"/>
          <w:numId w:val="13"/>
        </w:numPr>
        <w:tabs>
          <w:tab w:val="clear" w:pos="720"/>
        </w:tabs>
        <w:spacing w:after="120" w:line="240" w:lineRule="auto"/>
        <w:ind w:left="851" w:hanging="425"/>
        <w:rPr>
          <w:rFonts w:cs="Arial"/>
          <w:sz w:val="24"/>
          <w:szCs w:val="24"/>
        </w:rPr>
      </w:pPr>
      <w:r w:rsidRPr="00B35C39">
        <w:rPr>
          <w:rFonts w:asciiTheme="minorHAnsi" w:hAnsiTheme="minorHAnsi" w:cs="Arial"/>
          <w:sz w:val="24"/>
          <w:szCs w:val="24"/>
        </w:rPr>
        <w:lastRenderedPageBreak/>
        <w:t xml:space="preserve">the liquidity risks of the provider and </w:t>
      </w:r>
      <w:r w:rsidR="00F801FC" w:rsidRPr="00B35C39">
        <w:rPr>
          <w:rFonts w:asciiTheme="minorHAnsi" w:hAnsiTheme="minorHAnsi" w:cs="Arial"/>
          <w:sz w:val="24"/>
          <w:szCs w:val="24"/>
        </w:rPr>
        <w:t>how the risks will be managed, and how new liquidity risks will be identified and mitigated</w:t>
      </w:r>
    </w:p>
    <w:p w14:paraId="371768AF" w14:textId="762B9FE3" w:rsidR="00BE1F10" w:rsidRDefault="00BE1F10" w:rsidP="00B35C39">
      <w:pPr>
        <w:spacing w:after="120"/>
        <w:rPr>
          <w:sz w:val="24"/>
          <w:szCs w:val="24"/>
        </w:rPr>
      </w:pPr>
      <w:r w:rsidRPr="005A3ED5">
        <w:rPr>
          <w:sz w:val="24"/>
          <w:szCs w:val="24"/>
        </w:rPr>
        <w:t xml:space="preserve">The LMS </w:t>
      </w:r>
      <w:r>
        <w:rPr>
          <w:sz w:val="24"/>
          <w:szCs w:val="24"/>
        </w:rPr>
        <w:t xml:space="preserve">must include </w:t>
      </w:r>
      <w:r w:rsidR="00B96040">
        <w:rPr>
          <w:sz w:val="24"/>
          <w:szCs w:val="24"/>
        </w:rPr>
        <w:t>procedures for:</w:t>
      </w:r>
    </w:p>
    <w:p w14:paraId="7C4F4959" w14:textId="77777777" w:rsidR="00FB2082" w:rsidRPr="00B35C39" w:rsidRDefault="00FB2082" w:rsidP="00B35C39">
      <w:pPr>
        <w:pStyle w:val="ListParagraph"/>
        <w:numPr>
          <w:ilvl w:val="0"/>
          <w:numId w:val="13"/>
        </w:numPr>
        <w:tabs>
          <w:tab w:val="clear" w:pos="720"/>
        </w:tabs>
        <w:spacing w:after="120" w:line="240" w:lineRule="auto"/>
        <w:ind w:left="851" w:hanging="425"/>
        <w:rPr>
          <w:rFonts w:cs="Arial"/>
          <w:sz w:val="24"/>
          <w:szCs w:val="24"/>
        </w:rPr>
      </w:pPr>
      <w:r w:rsidRPr="00B35C39">
        <w:rPr>
          <w:rFonts w:asciiTheme="minorHAnsi" w:hAnsiTheme="minorHAnsi" w:cs="Arial"/>
          <w:sz w:val="24"/>
          <w:szCs w:val="24"/>
        </w:rPr>
        <w:t>managing unexpected changes to cash flow</w:t>
      </w:r>
    </w:p>
    <w:p w14:paraId="5236F2B1" w14:textId="227D0A1B" w:rsidR="00B96040" w:rsidRPr="00B35C39" w:rsidRDefault="67846C14" w:rsidP="1028C40E">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1028C40E">
        <w:rPr>
          <w:rFonts w:asciiTheme="minorHAnsi" w:hAnsiTheme="minorHAnsi" w:cs="Arial"/>
          <w:sz w:val="24"/>
          <w:szCs w:val="24"/>
        </w:rPr>
        <w:t xml:space="preserve">escalating and addressing situations where there’s a risk </w:t>
      </w:r>
      <w:r w:rsidR="6734DAF9" w:rsidRPr="1028C40E">
        <w:rPr>
          <w:rFonts w:asciiTheme="minorHAnsi" w:hAnsiTheme="minorHAnsi" w:cs="Arial"/>
          <w:sz w:val="24"/>
          <w:szCs w:val="24"/>
        </w:rPr>
        <w:t>the provider’s</w:t>
      </w:r>
      <w:r w:rsidRPr="1028C40E">
        <w:rPr>
          <w:rFonts w:asciiTheme="minorHAnsi" w:hAnsiTheme="minorHAnsi" w:cs="Arial"/>
          <w:sz w:val="24"/>
          <w:szCs w:val="24"/>
        </w:rPr>
        <w:t xml:space="preserve"> liquidity could fall </w:t>
      </w:r>
      <w:r w:rsidR="3750C786" w:rsidRPr="1028C40E">
        <w:rPr>
          <w:rFonts w:asciiTheme="minorHAnsi" w:hAnsiTheme="minorHAnsi" w:cs="Arial"/>
          <w:sz w:val="24"/>
          <w:szCs w:val="24"/>
        </w:rPr>
        <w:t xml:space="preserve">below the minimum </w:t>
      </w:r>
      <w:r w:rsidR="588170AA" w:rsidRPr="1028C40E">
        <w:rPr>
          <w:rFonts w:asciiTheme="minorHAnsi" w:hAnsiTheme="minorHAnsi" w:cs="Arial"/>
          <w:sz w:val="24"/>
          <w:szCs w:val="24"/>
        </w:rPr>
        <w:t>liquidity amount</w:t>
      </w:r>
    </w:p>
    <w:p w14:paraId="1A8A3C53" w14:textId="77777777" w:rsidR="005D45E1" w:rsidRPr="00D358F2" w:rsidRDefault="005D45E1" w:rsidP="00B35C39">
      <w:pPr>
        <w:spacing w:after="120"/>
        <w:rPr>
          <w:sz w:val="24"/>
          <w:szCs w:val="24"/>
        </w:rPr>
      </w:pPr>
      <w:r w:rsidRPr="00D358F2">
        <w:rPr>
          <w:sz w:val="24"/>
          <w:szCs w:val="24"/>
        </w:rPr>
        <w:t>In the APCS, you are required to report:</w:t>
      </w:r>
    </w:p>
    <w:p w14:paraId="44390E80" w14:textId="77777777" w:rsidR="005D45E1" w:rsidRPr="00B35C39" w:rsidRDefault="005D45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date your liquidity management strategy was last reviewed and assessed</w:t>
      </w:r>
    </w:p>
    <w:p w14:paraId="4702E9B0" w14:textId="3361BA27" w:rsidR="005D45E1" w:rsidRPr="00B35C39" w:rsidRDefault="6914D594" w:rsidP="00B35C39">
      <w:pPr>
        <w:pStyle w:val="ListParagraph"/>
        <w:numPr>
          <w:ilvl w:val="0"/>
          <w:numId w:val="13"/>
        </w:numPr>
        <w:tabs>
          <w:tab w:val="clear" w:pos="720"/>
        </w:tabs>
        <w:spacing w:after="120" w:line="240" w:lineRule="auto"/>
        <w:ind w:left="851" w:hanging="425"/>
        <w:rPr>
          <w:rFonts w:cs="Arial"/>
          <w:sz w:val="24"/>
          <w:szCs w:val="24"/>
        </w:rPr>
      </w:pPr>
      <w:r w:rsidRPr="1028C40E">
        <w:rPr>
          <w:rFonts w:asciiTheme="minorHAnsi" w:hAnsiTheme="minorHAnsi" w:cs="Arial"/>
          <w:sz w:val="24"/>
          <w:szCs w:val="24"/>
        </w:rPr>
        <w:t>the minimum liquidity amount identified in your strategy as at the end of the reporting period.</w:t>
      </w:r>
    </w:p>
    <w:p w14:paraId="6970DF9D" w14:textId="77777777" w:rsidR="00520BF5" w:rsidRPr="00B35C39" w:rsidRDefault="00520BF5" w:rsidP="00B35C39">
      <w:pPr>
        <w:spacing w:before="200" w:after="0"/>
        <w:rPr>
          <w:b/>
          <w:bCs/>
          <w:color w:val="0070C0"/>
          <w:sz w:val="26"/>
          <w:szCs w:val="26"/>
        </w:rPr>
      </w:pPr>
      <w:r w:rsidRPr="00B35C39">
        <w:rPr>
          <w:b/>
          <w:bCs/>
          <w:color w:val="0070C0"/>
          <w:sz w:val="26"/>
          <w:szCs w:val="26"/>
        </w:rPr>
        <w:t>Maintaining liquidity during the reporting period</w:t>
      </w:r>
    </w:p>
    <w:p w14:paraId="2A3F794E" w14:textId="13646EF5" w:rsidR="00520BF5" w:rsidRPr="00D358F2" w:rsidRDefault="00520BF5" w:rsidP="00B35C39">
      <w:pPr>
        <w:spacing w:after="120"/>
        <w:rPr>
          <w:sz w:val="24"/>
          <w:szCs w:val="24"/>
        </w:rPr>
      </w:pPr>
      <w:r w:rsidRPr="00D358F2">
        <w:rPr>
          <w:sz w:val="24"/>
          <w:szCs w:val="24"/>
        </w:rPr>
        <w:t xml:space="preserve">Providers are required to maintain their </w:t>
      </w:r>
      <w:r w:rsidR="007F2D6C">
        <w:rPr>
          <w:sz w:val="24"/>
          <w:szCs w:val="24"/>
        </w:rPr>
        <w:t>MLA</w:t>
      </w:r>
      <w:r w:rsidRPr="00D358F2">
        <w:rPr>
          <w:sz w:val="24"/>
          <w:szCs w:val="24"/>
        </w:rPr>
        <w:t xml:space="preserve"> throughout the relevant quarter.</w:t>
      </w:r>
    </w:p>
    <w:p w14:paraId="601D750F" w14:textId="77777777" w:rsidR="00520BF5" w:rsidRPr="00D358F2" w:rsidRDefault="00520BF5" w:rsidP="00B35C39">
      <w:pPr>
        <w:spacing w:after="120"/>
        <w:rPr>
          <w:sz w:val="24"/>
          <w:szCs w:val="24"/>
        </w:rPr>
      </w:pPr>
      <w:r w:rsidRPr="00D358F2">
        <w:rPr>
          <w:sz w:val="24"/>
          <w:szCs w:val="24"/>
        </w:rPr>
        <w:t>Liquidity arrangements should be sufficient to ensure the provider can:</w:t>
      </w:r>
    </w:p>
    <w:p w14:paraId="6520A47A" w14:textId="77777777" w:rsidR="00520BF5" w:rsidRPr="00B35C39" w:rsidRDefault="00520BF5"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meet financial obligations as they fall due</w:t>
      </w:r>
    </w:p>
    <w:p w14:paraId="3052C8F8" w14:textId="77777777" w:rsidR="00520BF5" w:rsidRPr="00B35C39" w:rsidRDefault="00520BF5"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refund deposited amounts that are expected to fall due within the next 12 months</w:t>
      </w:r>
    </w:p>
    <w:p w14:paraId="72F4941A" w14:textId="77777777" w:rsidR="00520BF5" w:rsidRPr="00B35C39" w:rsidRDefault="00520BF5"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continue to deliver safe and quality care</w:t>
      </w:r>
    </w:p>
    <w:p w14:paraId="2BE2AAA0" w14:textId="66FAD5DC" w:rsidR="00723058" w:rsidRPr="00B35C39" w:rsidRDefault="00520BF5" w:rsidP="00B35C39">
      <w:pPr>
        <w:pStyle w:val="ListParagraph"/>
        <w:numPr>
          <w:ilvl w:val="0"/>
          <w:numId w:val="13"/>
        </w:numPr>
        <w:tabs>
          <w:tab w:val="clear" w:pos="720"/>
        </w:tabs>
        <w:spacing w:after="120" w:line="240" w:lineRule="auto"/>
        <w:ind w:left="851" w:hanging="425"/>
        <w:rPr>
          <w:rFonts w:cs="Arial"/>
          <w:sz w:val="24"/>
          <w:szCs w:val="24"/>
        </w:rPr>
      </w:pPr>
      <w:r w:rsidRPr="00B35C39">
        <w:rPr>
          <w:rFonts w:asciiTheme="minorHAnsi" w:hAnsiTheme="minorHAnsi" w:cs="Arial"/>
          <w:sz w:val="24"/>
          <w:szCs w:val="24"/>
        </w:rPr>
        <w:t xml:space="preserve">withstand unexpected financial </w:t>
      </w:r>
      <w:r w:rsidR="00C94789" w:rsidRPr="00B35C39">
        <w:rPr>
          <w:rFonts w:asciiTheme="minorHAnsi" w:hAnsiTheme="minorHAnsi" w:cs="Arial"/>
          <w:sz w:val="24"/>
          <w:szCs w:val="24"/>
        </w:rPr>
        <w:t>events</w:t>
      </w:r>
    </w:p>
    <w:bookmarkEnd w:id="3"/>
    <w:p w14:paraId="50E07699" w14:textId="4FBA01AB" w:rsidR="00B86DBC" w:rsidRPr="002B7CED" w:rsidRDefault="00B86DBC" w:rsidP="00E548E2">
      <w:pPr>
        <w:spacing w:before="200" w:after="0"/>
        <w:rPr>
          <w:b/>
          <w:bCs/>
          <w:color w:val="E36C0A" w:themeColor="accent6" w:themeShade="BF"/>
          <w:sz w:val="26"/>
          <w:szCs w:val="26"/>
        </w:rPr>
      </w:pPr>
      <w:r w:rsidRPr="002B7CED">
        <w:rPr>
          <w:b/>
          <w:bCs/>
          <w:color w:val="E36C0A" w:themeColor="accent6" w:themeShade="BF"/>
          <w:sz w:val="26"/>
          <w:szCs w:val="26"/>
        </w:rPr>
        <w:t xml:space="preserve">Your response in the APCS </w:t>
      </w:r>
    </w:p>
    <w:p w14:paraId="3F9D7A74" w14:textId="05C9E642" w:rsidR="00421BB3" w:rsidRPr="006C6362" w:rsidRDefault="00C46D4F" w:rsidP="00B35C39">
      <w:pPr>
        <w:spacing w:after="120"/>
        <w:rPr>
          <w:sz w:val="24"/>
          <w:szCs w:val="24"/>
        </w:rPr>
      </w:pPr>
      <w:r>
        <w:br/>
      </w:r>
      <w:r w:rsidR="156ABEFD" w:rsidRPr="1028C40E">
        <w:rPr>
          <w:sz w:val="24"/>
          <w:szCs w:val="24"/>
        </w:rPr>
        <w:t xml:space="preserve">When completing this section of the APCS, you are confirming whether you complied with all requirements of the Liquidity Standard for the reporting period from </w:t>
      </w:r>
      <w:r w:rsidR="156ABEFD" w:rsidRPr="1028C40E">
        <w:rPr>
          <w:b/>
          <w:bCs/>
          <w:sz w:val="24"/>
          <w:szCs w:val="24"/>
        </w:rPr>
        <w:t xml:space="preserve">1 </w:t>
      </w:r>
      <w:r w:rsidR="461DD173" w:rsidRPr="1028C40E">
        <w:rPr>
          <w:b/>
          <w:bCs/>
          <w:sz w:val="24"/>
          <w:szCs w:val="24"/>
        </w:rPr>
        <w:t>January 2026</w:t>
      </w:r>
      <w:r w:rsidR="27C7FA04" w:rsidRPr="1028C40E">
        <w:rPr>
          <w:sz w:val="24"/>
          <w:szCs w:val="24"/>
        </w:rPr>
        <w:t>, being the first quarter from which the Standard applied.</w:t>
      </w:r>
      <w:r w:rsidR="156ABEFD" w:rsidRPr="1028C40E">
        <w:rPr>
          <w:sz w:val="24"/>
          <w:szCs w:val="24"/>
        </w:rPr>
        <w:t xml:space="preserve"> </w:t>
      </w:r>
      <w:r w:rsidR="00421BB3" w:rsidRPr="006C6362">
        <w:rPr>
          <w:sz w:val="24"/>
          <w:szCs w:val="24"/>
        </w:rPr>
        <w:t>In the APCS, you are required to:</w:t>
      </w:r>
    </w:p>
    <w:p w14:paraId="176F9507" w14:textId="75EBBD20" w:rsidR="00421BB3" w:rsidRPr="00B35C39" w:rsidRDefault="1425A5B5" w:rsidP="1028C40E">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1028C40E">
        <w:rPr>
          <w:rFonts w:asciiTheme="minorHAnsi" w:hAnsiTheme="minorHAnsi" w:cs="Arial"/>
          <w:sz w:val="24"/>
          <w:szCs w:val="24"/>
        </w:rPr>
        <w:t>confirm whether you complied with all requirements of the</w:t>
      </w:r>
      <w:r w:rsidR="181B2775" w:rsidRPr="1028C40E">
        <w:rPr>
          <w:rFonts w:asciiTheme="minorHAnsi" w:hAnsiTheme="minorHAnsi" w:cs="Arial"/>
          <w:sz w:val="24"/>
          <w:szCs w:val="24"/>
        </w:rPr>
        <w:t xml:space="preserve"> Liquidity</w:t>
      </w:r>
      <w:r w:rsidRPr="1028C40E">
        <w:rPr>
          <w:rFonts w:asciiTheme="minorHAnsi" w:hAnsiTheme="minorHAnsi" w:cs="Arial"/>
          <w:sz w:val="24"/>
          <w:szCs w:val="24"/>
        </w:rPr>
        <w:t xml:space="preserve"> Standard from 1 </w:t>
      </w:r>
      <w:r w:rsidR="689C92E3" w:rsidRPr="1028C40E">
        <w:rPr>
          <w:rFonts w:asciiTheme="minorHAnsi" w:hAnsiTheme="minorHAnsi" w:cs="Arial"/>
          <w:sz w:val="24"/>
          <w:szCs w:val="24"/>
        </w:rPr>
        <w:t>January 2026</w:t>
      </w:r>
    </w:p>
    <w:p w14:paraId="2EB4DBB3" w14:textId="77777777" w:rsidR="00421BB3" w:rsidRPr="00B35C39" w:rsidRDefault="00421BB3"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report the date your Liquidity Management Strategy was last reviewed and assessed</w:t>
      </w:r>
    </w:p>
    <w:p w14:paraId="6B5D37AB" w14:textId="77777777" w:rsidR="00421BB3" w:rsidRPr="00B35C39" w:rsidRDefault="00421BB3"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enter the minimum liquidity level amount (in dollars) identified in your liquidity management strategy as at the end of your reporting period</w:t>
      </w:r>
    </w:p>
    <w:p w14:paraId="722D8C8F" w14:textId="77777777" w:rsidR="00421BB3" w:rsidRPr="00A73A10" w:rsidRDefault="00421BB3" w:rsidP="00B35C39">
      <w:pPr>
        <w:spacing w:after="120"/>
        <w:rPr>
          <w:sz w:val="24"/>
          <w:szCs w:val="24"/>
        </w:rPr>
      </w:pPr>
      <w:r w:rsidRPr="00A73A10">
        <w:rPr>
          <w:sz w:val="24"/>
          <w:szCs w:val="24"/>
        </w:rPr>
        <w:t>If you answer ‘NO’, you must provide a separate statement explaining</w:t>
      </w:r>
      <w:r>
        <w:rPr>
          <w:sz w:val="24"/>
          <w:szCs w:val="24"/>
        </w:rPr>
        <w:t xml:space="preserve"> why you did not comply</w:t>
      </w:r>
    </w:p>
    <w:p w14:paraId="18822814" w14:textId="14B34E96" w:rsidR="00AD553E" w:rsidRDefault="00421BB3" w:rsidP="00B35C39">
      <w:pPr>
        <w:spacing w:after="120"/>
        <w:rPr>
          <w:sz w:val="24"/>
          <w:szCs w:val="24"/>
        </w:rPr>
      </w:pPr>
      <w:r w:rsidRPr="00A73A10">
        <w:rPr>
          <w:sz w:val="24"/>
          <w:szCs w:val="24"/>
        </w:rPr>
        <w:t>Only answer ‘N/A’ if you are a government entity or a local government authority</w:t>
      </w:r>
      <w:r>
        <w:rPr>
          <w:sz w:val="24"/>
          <w:szCs w:val="24"/>
        </w:rPr>
        <w:t>.</w:t>
      </w:r>
    </w:p>
    <w:p w14:paraId="67D2B745" w14:textId="425857D1" w:rsidR="00AD553E" w:rsidRPr="00B35C39" w:rsidRDefault="005E77AD" w:rsidP="00B35C39">
      <w:pPr>
        <w:spacing w:before="200" w:after="0"/>
        <w:rPr>
          <w:b/>
          <w:bCs/>
          <w:color w:val="0070C0"/>
          <w:sz w:val="26"/>
          <w:szCs w:val="26"/>
        </w:rPr>
      </w:pPr>
      <w:r w:rsidRPr="00B35C39">
        <w:rPr>
          <w:b/>
          <w:bCs/>
          <w:color w:val="0070C0"/>
          <w:sz w:val="26"/>
          <w:szCs w:val="26"/>
        </w:rPr>
        <w:t>Resources</w:t>
      </w:r>
    </w:p>
    <w:p w14:paraId="388DA1A0" w14:textId="1716D35D" w:rsidR="00603188" w:rsidRPr="00B35C39" w:rsidRDefault="00CC29AD" w:rsidP="00B35C39">
      <w:pPr>
        <w:spacing w:after="120"/>
        <w:rPr>
          <w:sz w:val="24"/>
          <w:szCs w:val="24"/>
        </w:rPr>
      </w:pPr>
      <w:r>
        <w:rPr>
          <w:sz w:val="24"/>
          <w:szCs w:val="24"/>
        </w:rPr>
        <w:t xml:space="preserve">Further guidance on liquidity requirements, including about calculating </w:t>
      </w:r>
      <w:r w:rsidR="00330549">
        <w:rPr>
          <w:sz w:val="24"/>
          <w:szCs w:val="24"/>
        </w:rPr>
        <w:t xml:space="preserve">default and evaluated </w:t>
      </w:r>
      <w:r w:rsidR="004D1339">
        <w:rPr>
          <w:sz w:val="24"/>
          <w:szCs w:val="24"/>
        </w:rPr>
        <w:t>MLA</w:t>
      </w:r>
      <w:r w:rsidR="00C475D5">
        <w:rPr>
          <w:sz w:val="24"/>
          <w:szCs w:val="24"/>
        </w:rPr>
        <w:t>s, is available on the Commission website</w:t>
      </w:r>
      <w:r w:rsidR="0069446E">
        <w:rPr>
          <w:sz w:val="24"/>
          <w:szCs w:val="24"/>
        </w:rPr>
        <w:t>:</w:t>
      </w:r>
    </w:p>
    <w:p w14:paraId="0BFA7C04" w14:textId="792EB0DD" w:rsidR="00351DD0" w:rsidRDefault="009910B9" w:rsidP="00B35C39">
      <w:pPr>
        <w:spacing w:after="120"/>
        <w:rPr>
          <w:sz w:val="24"/>
          <w:szCs w:val="24"/>
        </w:rPr>
      </w:pPr>
      <w:hyperlink r:id="rId61" w:history="1">
        <w:r w:rsidRPr="00B35C39">
          <w:rPr>
            <w:rStyle w:val="Hyperlink"/>
            <w:sz w:val="24"/>
            <w:szCs w:val="24"/>
          </w:rPr>
          <w:t>The Financial and Prudential Standards Guidance for Providers</w:t>
        </w:r>
      </w:hyperlink>
    </w:p>
    <w:p w14:paraId="6510D005" w14:textId="72708426" w:rsidR="004741FE" w:rsidRPr="00B35C39" w:rsidRDefault="00F83947" w:rsidP="00B35C39">
      <w:pPr>
        <w:spacing w:after="120"/>
        <w:rPr>
          <w:sz w:val="24"/>
          <w:szCs w:val="24"/>
        </w:rPr>
      </w:pPr>
      <w:hyperlink r:id="rId62" w:history="1">
        <w:r w:rsidRPr="00C2100A">
          <w:rPr>
            <w:rStyle w:val="Hyperlink"/>
            <w:sz w:val="24"/>
            <w:szCs w:val="24"/>
          </w:rPr>
          <w:t>Liquidity Standard</w:t>
        </w:r>
      </w:hyperlink>
    </w:p>
    <w:p w14:paraId="4A4C9E65" w14:textId="59CC6E8F" w:rsidR="009910B9" w:rsidRPr="00B35C39" w:rsidRDefault="000D43B6" w:rsidP="00B35C39">
      <w:pPr>
        <w:spacing w:after="120"/>
        <w:rPr>
          <w:sz w:val="24"/>
          <w:szCs w:val="24"/>
        </w:rPr>
      </w:pPr>
      <w:hyperlink r:id="rId63" w:history="1">
        <w:r w:rsidRPr="00B35C39">
          <w:rPr>
            <w:rStyle w:val="Hyperlink"/>
            <w:sz w:val="24"/>
            <w:szCs w:val="24"/>
          </w:rPr>
          <w:t>Liquidity Standard factsheet</w:t>
        </w:r>
      </w:hyperlink>
    </w:p>
    <w:p w14:paraId="1E3217CC" w14:textId="4FF4C27D" w:rsidR="00923B99" w:rsidRPr="00B35C39" w:rsidRDefault="0062051C" w:rsidP="00B35C39">
      <w:pPr>
        <w:spacing w:after="120"/>
        <w:rPr>
          <w:sz w:val="24"/>
          <w:szCs w:val="24"/>
        </w:rPr>
      </w:pPr>
      <w:hyperlink r:id="rId64" w:history="1">
        <w:r w:rsidRPr="00B35C39">
          <w:rPr>
            <w:rStyle w:val="Hyperlink"/>
            <w:sz w:val="24"/>
            <w:szCs w:val="24"/>
          </w:rPr>
          <w:t>Liquidity calculator</w:t>
        </w:r>
      </w:hyperlink>
    </w:p>
    <w:p w14:paraId="749F8439" w14:textId="524C72FA" w:rsidR="00041BC9" w:rsidRPr="00B35C39" w:rsidRDefault="00A853F7" w:rsidP="00B35C39">
      <w:pPr>
        <w:spacing w:after="120"/>
        <w:rPr>
          <w:sz w:val="24"/>
          <w:szCs w:val="24"/>
        </w:rPr>
      </w:pPr>
      <w:hyperlink r:id="rId65" w:history="1">
        <w:r w:rsidRPr="00B35C39">
          <w:rPr>
            <w:rStyle w:val="Hyperlink"/>
            <w:sz w:val="24"/>
            <w:szCs w:val="24"/>
          </w:rPr>
          <w:t>Liquidity Standard video</w:t>
        </w:r>
      </w:hyperlink>
    </w:p>
    <w:p w14:paraId="60EEE2F3" w14:textId="77777777" w:rsidR="000F33A0" w:rsidRDefault="000F33A0" w:rsidP="00C94B41"/>
    <w:p w14:paraId="3768276E" w14:textId="18CF9446" w:rsidR="000F33A0" w:rsidRPr="00B35C39" w:rsidRDefault="005C5155" w:rsidP="00B35C39">
      <w:pPr>
        <w:pStyle w:val="Heading2"/>
        <w:spacing w:before="360"/>
        <w:rPr>
          <w:color w:val="0070C0"/>
          <w:sz w:val="28"/>
          <w:szCs w:val="28"/>
        </w:rPr>
      </w:pPr>
      <w:r w:rsidRPr="00B35C39">
        <w:rPr>
          <w:rFonts w:asciiTheme="minorHAnsi" w:hAnsiTheme="minorHAnsi"/>
          <w:color w:val="0070C0"/>
          <w:sz w:val="28"/>
          <w:szCs w:val="28"/>
        </w:rPr>
        <w:lastRenderedPageBreak/>
        <w:t xml:space="preserve">COMPLIANCE WITH THE FINANCIAL AND PRUDENTIAL </w:t>
      </w:r>
      <w:r w:rsidR="00DF1C21" w:rsidRPr="00B35C39">
        <w:rPr>
          <w:rFonts w:asciiTheme="minorHAnsi" w:hAnsiTheme="minorHAnsi"/>
          <w:color w:val="0070C0"/>
          <w:sz w:val="28"/>
          <w:szCs w:val="28"/>
        </w:rPr>
        <w:t>MANAGE</w:t>
      </w:r>
      <w:r w:rsidR="00590DAC" w:rsidRPr="00B35C39">
        <w:rPr>
          <w:rFonts w:asciiTheme="minorHAnsi" w:hAnsiTheme="minorHAnsi"/>
          <w:color w:val="0070C0"/>
          <w:sz w:val="28"/>
          <w:szCs w:val="28"/>
        </w:rPr>
        <w:t>MENT STAN</w:t>
      </w:r>
      <w:r w:rsidR="001E5EDE" w:rsidRPr="00B35C39">
        <w:rPr>
          <w:rFonts w:asciiTheme="minorHAnsi" w:hAnsiTheme="minorHAnsi"/>
          <w:color w:val="0070C0"/>
          <w:sz w:val="28"/>
          <w:szCs w:val="28"/>
        </w:rPr>
        <w:t>DARD</w:t>
      </w:r>
    </w:p>
    <w:p w14:paraId="09652905" w14:textId="6C91AB1F" w:rsidR="00210CDA" w:rsidRPr="00A73A10" w:rsidRDefault="00210CDA" w:rsidP="00B35C39">
      <w:pPr>
        <w:spacing w:after="120"/>
        <w:rPr>
          <w:sz w:val="24"/>
          <w:szCs w:val="24"/>
        </w:rPr>
      </w:pPr>
      <w:r w:rsidRPr="00A73A10">
        <w:rPr>
          <w:sz w:val="24"/>
          <w:szCs w:val="24"/>
        </w:rPr>
        <w:t xml:space="preserve">The Financial and Prudential Management Standard requires providers to have systems in place to effectively manage their financial and prudential </w:t>
      </w:r>
      <w:r>
        <w:rPr>
          <w:sz w:val="24"/>
          <w:szCs w:val="24"/>
        </w:rPr>
        <w:t>matters</w:t>
      </w:r>
      <w:r w:rsidRPr="00A73A10">
        <w:rPr>
          <w:sz w:val="24"/>
          <w:szCs w:val="24"/>
        </w:rPr>
        <w:t>.</w:t>
      </w:r>
    </w:p>
    <w:p w14:paraId="275A9361" w14:textId="77777777" w:rsidR="0059593A" w:rsidRPr="00A73A10" w:rsidRDefault="0059593A" w:rsidP="00B35C39">
      <w:pPr>
        <w:spacing w:after="120"/>
        <w:rPr>
          <w:sz w:val="24"/>
          <w:szCs w:val="24"/>
        </w:rPr>
      </w:pPr>
      <w:r w:rsidRPr="00A73A10">
        <w:rPr>
          <w:sz w:val="24"/>
          <w:szCs w:val="24"/>
        </w:rPr>
        <w:t>Providers are expected to have systems that support:</w:t>
      </w:r>
    </w:p>
    <w:p w14:paraId="58D4BA44"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financial sustainability</w:t>
      </w:r>
    </w:p>
    <w:p w14:paraId="73FAAE39"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prudent financial decision-making</w:t>
      </w:r>
    </w:p>
    <w:p w14:paraId="72FAB3A5"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continuity of safe and high-quality care</w:t>
      </w:r>
    </w:p>
    <w:p w14:paraId="16CAB35C" w14:textId="77777777" w:rsidR="0059593A" w:rsidRPr="00B35C39" w:rsidRDefault="0059593A" w:rsidP="00B35C39">
      <w:pPr>
        <w:spacing w:before="200" w:after="0"/>
        <w:rPr>
          <w:b/>
          <w:bCs/>
          <w:color w:val="0070C0"/>
          <w:sz w:val="26"/>
          <w:szCs w:val="26"/>
        </w:rPr>
      </w:pPr>
      <w:r w:rsidRPr="00B35C39">
        <w:rPr>
          <w:b/>
          <w:bCs/>
          <w:color w:val="0070C0"/>
          <w:sz w:val="26"/>
          <w:szCs w:val="26"/>
        </w:rPr>
        <w:t>Financial and prudential management system</w:t>
      </w:r>
    </w:p>
    <w:p w14:paraId="794F91FB" w14:textId="0C30896A" w:rsidR="0059593A" w:rsidRPr="00A73A10" w:rsidRDefault="00CD1B2A" w:rsidP="00B35C39">
      <w:pPr>
        <w:spacing w:after="120"/>
        <w:rPr>
          <w:sz w:val="24"/>
          <w:szCs w:val="24"/>
        </w:rPr>
      </w:pPr>
      <w:r>
        <w:rPr>
          <w:sz w:val="24"/>
          <w:szCs w:val="24"/>
        </w:rPr>
        <w:t>P</w:t>
      </w:r>
      <w:r w:rsidR="0059593A" w:rsidRPr="00A73A10">
        <w:rPr>
          <w:sz w:val="24"/>
          <w:szCs w:val="24"/>
        </w:rPr>
        <w:t>roviders must implement and maintain a financial and prudential management system that is appropriate to the size, scale and complexity of their operations.</w:t>
      </w:r>
    </w:p>
    <w:p w14:paraId="7CA047E9" w14:textId="77777777" w:rsidR="0059593A" w:rsidRPr="00A73A10" w:rsidRDefault="0059593A" w:rsidP="00B35C39">
      <w:pPr>
        <w:spacing w:after="120"/>
        <w:rPr>
          <w:sz w:val="24"/>
          <w:szCs w:val="24"/>
        </w:rPr>
      </w:pPr>
      <w:r w:rsidRPr="00A73A10">
        <w:rPr>
          <w:sz w:val="24"/>
          <w:szCs w:val="24"/>
        </w:rPr>
        <w:t>The system should enable the provider to:</w:t>
      </w:r>
    </w:p>
    <w:p w14:paraId="2BF3AE0E"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identify and assess financial and prudential risks</w:t>
      </w:r>
    </w:p>
    <w:p w14:paraId="3E692507"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monitor financial performance and sustainability</w:t>
      </w:r>
    </w:p>
    <w:p w14:paraId="62BE647E"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support compliance with the Financial and Prudential Standards</w:t>
      </w:r>
    </w:p>
    <w:p w14:paraId="3D2225A4"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provide timely and accurate information to the governing body</w:t>
      </w:r>
    </w:p>
    <w:p w14:paraId="620AE5AF" w14:textId="77777777" w:rsidR="0059593A" w:rsidRDefault="0059593A" w:rsidP="00B35C39">
      <w:pPr>
        <w:spacing w:after="120"/>
        <w:rPr>
          <w:sz w:val="24"/>
          <w:szCs w:val="24"/>
        </w:rPr>
      </w:pPr>
      <w:r w:rsidRPr="00A73A10">
        <w:rPr>
          <w:sz w:val="24"/>
          <w:szCs w:val="24"/>
        </w:rPr>
        <w:t>This system may include</w:t>
      </w:r>
      <w:r>
        <w:rPr>
          <w:sz w:val="24"/>
          <w:szCs w:val="24"/>
        </w:rPr>
        <w:t>:</w:t>
      </w:r>
      <w:r w:rsidRPr="00A73A10">
        <w:rPr>
          <w:sz w:val="24"/>
          <w:szCs w:val="24"/>
        </w:rPr>
        <w:t xml:space="preserve"> </w:t>
      </w:r>
    </w:p>
    <w:p w14:paraId="571A53FF"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policies </w:t>
      </w:r>
    </w:p>
    <w:p w14:paraId="28154D48"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procedures </w:t>
      </w:r>
    </w:p>
    <w:p w14:paraId="54428F5B"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internal controls </w:t>
      </w:r>
    </w:p>
    <w:p w14:paraId="18828BD9"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reporting frameworks</w:t>
      </w:r>
    </w:p>
    <w:p w14:paraId="633BCBFC"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review mechanisms</w:t>
      </w:r>
    </w:p>
    <w:p w14:paraId="080D7FAE" w14:textId="77777777" w:rsidR="0059593A" w:rsidRPr="00B35C39" w:rsidRDefault="0059593A" w:rsidP="00B35C39">
      <w:pPr>
        <w:spacing w:before="200" w:after="0"/>
        <w:rPr>
          <w:b/>
          <w:bCs/>
          <w:color w:val="0070C0"/>
          <w:sz w:val="26"/>
          <w:szCs w:val="26"/>
        </w:rPr>
      </w:pPr>
      <w:r w:rsidRPr="00B35C39">
        <w:rPr>
          <w:b/>
          <w:bCs/>
          <w:color w:val="0070C0"/>
          <w:sz w:val="26"/>
          <w:szCs w:val="26"/>
        </w:rPr>
        <w:t>Risk identification and management</w:t>
      </w:r>
    </w:p>
    <w:p w14:paraId="08E7F6BA" w14:textId="77777777" w:rsidR="0059593A" w:rsidRPr="00A73A10" w:rsidRDefault="0059593A" w:rsidP="00B35C39">
      <w:pPr>
        <w:spacing w:after="120"/>
        <w:rPr>
          <w:sz w:val="24"/>
          <w:szCs w:val="24"/>
        </w:rPr>
      </w:pPr>
      <w:r w:rsidRPr="00A73A10">
        <w:rPr>
          <w:sz w:val="24"/>
          <w:szCs w:val="24"/>
        </w:rPr>
        <w:t>Providers should have processes in place to identify, assess and manage financial and prudential risks.</w:t>
      </w:r>
    </w:p>
    <w:p w14:paraId="45F1001B" w14:textId="77777777" w:rsidR="0059593A" w:rsidRPr="00A73A10" w:rsidRDefault="0059593A" w:rsidP="00B35C39">
      <w:pPr>
        <w:spacing w:after="120"/>
        <w:rPr>
          <w:sz w:val="24"/>
          <w:szCs w:val="24"/>
        </w:rPr>
      </w:pPr>
      <w:r w:rsidRPr="00A73A10">
        <w:rPr>
          <w:sz w:val="24"/>
          <w:szCs w:val="24"/>
        </w:rPr>
        <w:t>This includes considering risks that may arise from, for example:</w:t>
      </w:r>
    </w:p>
    <w:p w14:paraId="499DF109"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changes in operating costs or funding arrangements</w:t>
      </w:r>
    </w:p>
    <w:p w14:paraId="4B34CF52"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cash flow pressures</w:t>
      </w:r>
    </w:p>
    <w:p w14:paraId="44024997"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debt or financing arrangements</w:t>
      </w:r>
    </w:p>
    <w:p w14:paraId="26CE06AA"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related-party transactions</w:t>
      </w:r>
    </w:p>
    <w:p w14:paraId="48E2754F"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changes in resident numbers or service mix</w:t>
      </w:r>
    </w:p>
    <w:p w14:paraId="32BB3177" w14:textId="77777777" w:rsidR="0059593A" w:rsidRPr="00A73A10" w:rsidRDefault="0059593A" w:rsidP="00B35C39">
      <w:pPr>
        <w:spacing w:after="120"/>
        <w:rPr>
          <w:sz w:val="24"/>
          <w:szCs w:val="24"/>
        </w:rPr>
      </w:pPr>
      <w:r w:rsidRPr="00A73A10">
        <w:rPr>
          <w:sz w:val="24"/>
          <w:szCs w:val="24"/>
        </w:rPr>
        <w:t>Risks should be monitored and reviewed on an ongoing basis and escalated where appropriate.</w:t>
      </w:r>
    </w:p>
    <w:p w14:paraId="52656CEF" w14:textId="77777777" w:rsidR="0059593A" w:rsidRPr="00B35C39" w:rsidRDefault="0059593A" w:rsidP="00B35C39">
      <w:pPr>
        <w:spacing w:before="200" w:after="0"/>
        <w:rPr>
          <w:b/>
          <w:bCs/>
          <w:color w:val="0070C0"/>
          <w:sz w:val="26"/>
          <w:szCs w:val="26"/>
        </w:rPr>
      </w:pPr>
      <w:r w:rsidRPr="00B35C39">
        <w:rPr>
          <w:b/>
          <w:bCs/>
          <w:color w:val="0070C0"/>
          <w:sz w:val="26"/>
          <w:szCs w:val="26"/>
        </w:rPr>
        <w:t>Governance and oversight</w:t>
      </w:r>
    </w:p>
    <w:p w14:paraId="1810EA56" w14:textId="77777777" w:rsidR="0059593A" w:rsidRPr="00A73A10" w:rsidRDefault="0059593A" w:rsidP="00B35C39">
      <w:pPr>
        <w:spacing w:after="120"/>
        <w:rPr>
          <w:sz w:val="24"/>
          <w:szCs w:val="24"/>
        </w:rPr>
      </w:pPr>
      <w:r w:rsidRPr="00A73A10">
        <w:rPr>
          <w:sz w:val="24"/>
          <w:szCs w:val="24"/>
        </w:rPr>
        <w:t>The governing body is responsible for overseeing the provider’s financial and prudential management arrangements.</w:t>
      </w:r>
    </w:p>
    <w:p w14:paraId="5BFAB317" w14:textId="77777777" w:rsidR="0059593A" w:rsidRPr="00A73A10" w:rsidRDefault="0059593A" w:rsidP="00B35C39">
      <w:pPr>
        <w:spacing w:after="120"/>
        <w:rPr>
          <w:sz w:val="24"/>
          <w:szCs w:val="24"/>
        </w:rPr>
      </w:pPr>
      <w:r w:rsidRPr="00A73A10">
        <w:rPr>
          <w:sz w:val="24"/>
          <w:szCs w:val="24"/>
        </w:rPr>
        <w:t>This includes ensuring:</w:t>
      </w:r>
    </w:p>
    <w:p w14:paraId="3BB56EFE"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financial and prudential risks are understood and actively managed</w:t>
      </w:r>
    </w:p>
    <w:p w14:paraId="3A6FE6DB"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appropriate policies and controls are in place</w:t>
      </w:r>
    </w:p>
    <w:p w14:paraId="71F83E91"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relevant financial information is provided to support informed decision-making</w:t>
      </w:r>
    </w:p>
    <w:p w14:paraId="5B8526CD"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issues are identified and addressed in a timely way</w:t>
      </w:r>
    </w:p>
    <w:p w14:paraId="1E2E767E" w14:textId="77777777" w:rsidR="0059593A" w:rsidRPr="00B35C39" w:rsidRDefault="0059593A" w:rsidP="00B35C39">
      <w:pPr>
        <w:spacing w:before="200" w:after="0"/>
        <w:rPr>
          <w:b/>
          <w:bCs/>
          <w:color w:val="0070C0"/>
          <w:sz w:val="26"/>
          <w:szCs w:val="26"/>
        </w:rPr>
      </w:pPr>
      <w:r w:rsidRPr="00B35C39">
        <w:rPr>
          <w:b/>
          <w:bCs/>
          <w:color w:val="0070C0"/>
          <w:sz w:val="26"/>
          <w:szCs w:val="26"/>
        </w:rPr>
        <w:t>Review and assessment</w:t>
      </w:r>
    </w:p>
    <w:p w14:paraId="77848873" w14:textId="77777777" w:rsidR="0059593A" w:rsidRPr="00A73A10" w:rsidRDefault="0059593A" w:rsidP="00B35C39">
      <w:pPr>
        <w:spacing w:after="120"/>
        <w:rPr>
          <w:sz w:val="24"/>
          <w:szCs w:val="24"/>
        </w:rPr>
      </w:pPr>
      <w:r w:rsidRPr="00A73A10">
        <w:rPr>
          <w:sz w:val="24"/>
          <w:szCs w:val="24"/>
        </w:rPr>
        <w:lastRenderedPageBreak/>
        <w:t>The financial and prudential management system must be reviewed and assessed regularly to ensure it remains appropriate and effective.</w:t>
      </w:r>
    </w:p>
    <w:p w14:paraId="3273AB53" w14:textId="77777777" w:rsidR="0059593A" w:rsidRPr="00A73A10" w:rsidRDefault="0059593A" w:rsidP="00B35C39">
      <w:pPr>
        <w:spacing w:after="120"/>
        <w:rPr>
          <w:sz w:val="24"/>
          <w:szCs w:val="24"/>
        </w:rPr>
      </w:pPr>
      <w:r w:rsidRPr="00A73A10">
        <w:rPr>
          <w:sz w:val="24"/>
          <w:szCs w:val="24"/>
        </w:rPr>
        <w:t>Reviews should consider whether the system continues to support:</w:t>
      </w:r>
    </w:p>
    <w:p w14:paraId="1A805942"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compliance with the Financial and Prudential Standards</w:t>
      </w:r>
    </w:p>
    <w:p w14:paraId="48ED051A"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provider’s current operating environment</w:t>
      </w:r>
    </w:p>
    <w:p w14:paraId="47E9A544"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ongoing delivery of safe and high-quality care</w:t>
      </w:r>
    </w:p>
    <w:p w14:paraId="6975EDFA" w14:textId="77777777" w:rsidR="0059593A" w:rsidRPr="00B35C39" w:rsidRDefault="0059593A" w:rsidP="00B35C39">
      <w:pPr>
        <w:spacing w:before="200" w:after="0"/>
        <w:rPr>
          <w:b/>
          <w:bCs/>
          <w:color w:val="E36C0A" w:themeColor="accent6" w:themeShade="BF"/>
          <w:sz w:val="26"/>
          <w:szCs w:val="26"/>
        </w:rPr>
      </w:pPr>
      <w:r w:rsidRPr="00B35C39">
        <w:rPr>
          <w:b/>
          <w:bCs/>
          <w:color w:val="E36C0A" w:themeColor="accent6" w:themeShade="BF"/>
          <w:sz w:val="26"/>
          <w:szCs w:val="26"/>
        </w:rPr>
        <w:t>Your response in the APCS</w:t>
      </w:r>
    </w:p>
    <w:p w14:paraId="6C378C93" w14:textId="77777777" w:rsidR="0059593A" w:rsidRDefault="0059593A" w:rsidP="00B35C39">
      <w:pPr>
        <w:spacing w:after="120"/>
        <w:rPr>
          <w:sz w:val="24"/>
          <w:szCs w:val="24"/>
        </w:rPr>
      </w:pPr>
      <w:r w:rsidRPr="00A73A10">
        <w:rPr>
          <w:sz w:val="24"/>
          <w:szCs w:val="24"/>
        </w:rPr>
        <w:t xml:space="preserve">When completing this section of the APCS, you are confirming whether you complied with all requirements of the Financial and Prudential Management Standard for the reporting period from </w:t>
      </w:r>
      <w:r w:rsidRPr="008C4D33">
        <w:rPr>
          <w:b/>
          <w:bCs/>
          <w:sz w:val="24"/>
          <w:szCs w:val="24"/>
        </w:rPr>
        <w:t>1 November 2025</w:t>
      </w:r>
      <w:r w:rsidRPr="00A73A10">
        <w:rPr>
          <w:sz w:val="24"/>
          <w:szCs w:val="24"/>
        </w:rPr>
        <w:t>.</w:t>
      </w:r>
    </w:p>
    <w:p w14:paraId="2A18CDCD" w14:textId="77777777" w:rsidR="0059593A" w:rsidRPr="00A73A10" w:rsidRDefault="0059593A" w:rsidP="00B35C39">
      <w:pPr>
        <w:spacing w:after="120"/>
        <w:rPr>
          <w:sz w:val="24"/>
          <w:szCs w:val="24"/>
        </w:rPr>
      </w:pPr>
      <w:r w:rsidRPr="00A73A10">
        <w:rPr>
          <w:sz w:val="24"/>
          <w:szCs w:val="24"/>
        </w:rPr>
        <w:t>In the APCS, you are required to:</w:t>
      </w:r>
    </w:p>
    <w:p w14:paraId="149C089E" w14:textId="1A27FF9A"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confirm whether you complied with all requirements of the Financial and Prudential Management Standard during the reporting period</w:t>
      </w:r>
      <w:r w:rsidR="00BD02EF" w:rsidRPr="00B35C39">
        <w:rPr>
          <w:rFonts w:asciiTheme="minorHAnsi" w:hAnsiTheme="minorHAnsi" w:cs="Arial"/>
          <w:sz w:val="24"/>
          <w:szCs w:val="24"/>
        </w:rPr>
        <w:t xml:space="preserve"> from 1 November 2025</w:t>
      </w:r>
    </w:p>
    <w:p w14:paraId="41035264" w14:textId="77777777" w:rsidR="0059593A" w:rsidRPr="00B35C39" w:rsidRDefault="0059593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report the date your financial and prudential management system was last reviewed and assessed</w:t>
      </w:r>
    </w:p>
    <w:p w14:paraId="377C9AA0" w14:textId="77777777" w:rsidR="0059593A" w:rsidRPr="00A73A10" w:rsidRDefault="0059593A" w:rsidP="00B35C39">
      <w:pPr>
        <w:spacing w:after="120"/>
        <w:rPr>
          <w:sz w:val="24"/>
          <w:szCs w:val="24"/>
        </w:rPr>
      </w:pPr>
      <w:r w:rsidRPr="00A73A10">
        <w:rPr>
          <w:sz w:val="24"/>
          <w:szCs w:val="24"/>
        </w:rPr>
        <w:t>If you answer ‘NO’, you must provide a separate statement explaining</w:t>
      </w:r>
      <w:r>
        <w:rPr>
          <w:sz w:val="24"/>
          <w:szCs w:val="24"/>
        </w:rPr>
        <w:t xml:space="preserve"> why you did not comply</w:t>
      </w:r>
    </w:p>
    <w:p w14:paraId="4244ACDD" w14:textId="77777777" w:rsidR="0059593A" w:rsidRPr="00A73A10" w:rsidRDefault="0059593A" w:rsidP="00B35C39">
      <w:pPr>
        <w:spacing w:after="120"/>
        <w:rPr>
          <w:sz w:val="24"/>
          <w:szCs w:val="24"/>
        </w:rPr>
      </w:pPr>
      <w:r w:rsidRPr="00A73A10">
        <w:rPr>
          <w:sz w:val="24"/>
          <w:szCs w:val="24"/>
        </w:rPr>
        <w:t>Only answer ‘N/A’ if you are a government entity or a local government authority</w:t>
      </w:r>
      <w:r>
        <w:rPr>
          <w:sz w:val="24"/>
          <w:szCs w:val="24"/>
        </w:rPr>
        <w:t>.</w:t>
      </w:r>
    </w:p>
    <w:p w14:paraId="5FA871BA" w14:textId="77777777" w:rsidR="0059593A" w:rsidRPr="00B35C39" w:rsidRDefault="0059593A" w:rsidP="00B35C39">
      <w:pPr>
        <w:spacing w:before="200" w:after="0"/>
        <w:rPr>
          <w:b/>
          <w:bCs/>
          <w:color w:val="0070C0"/>
          <w:sz w:val="26"/>
          <w:szCs w:val="26"/>
        </w:rPr>
      </w:pPr>
      <w:r w:rsidRPr="00B35C39">
        <w:rPr>
          <w:b/>
          <w:bCs/>
          <w:color w:val="0070C0"/>
          <w:sz w:val="26"/>
          <w:szCs w:val="26"/>
        </w:rPr>
        <w:t>Resources</w:t>
      </w:r>
    </w:p>
    <w:p w14:paraId="5C1FC56F" w14:textId="77777777" w:rsidR="0059593A" w:rsidRDefault="0059593A" w:rsidP="00B35C39">
      <w:pPr>
        <w:spacing w:after="0"/>
        <w:rPr>
          <w:sz w:val="24"/>
          <w:szCs w:val="24"/>
        </w:rPr>
      </w:pPr>
      <w:hyperlink r:id="rId66" w:history="1">
        <w:r w:rsidRPr="00C2100A">
          <w:rPr>
            <w:rStyle w:val="Hyperlink"/>
            <w:sz w:val="24"/>
            <w:szCs w:val="24"/>
          </w:rPr>
          <w:t>Financial and Prudential Management Standard</w:t>
        </w:r>
      </w:hyperlink>
    </w:p>
    <w:p w14:paraId="49E61D7F" w14:textId="77777777" w:rsidR="0059593A" w:rsidRDefault="0059593A" w:rsidP="00B35C39">
      <w:pPr>
        <w:spacing w:after="0"/>
        <w:rPr>
          <w:sz w:val="24"/>
          <w:szCs w:val="24"/>
        </w:rPr>
      </w:pPr>
      <w:hyperlink r:id="rId67" w:history="1">
        <w:r w:rsidRPr="00C2100A">
          <w:rPr>
            <w:rStyle w:val="Hyperlink"/>
            <w:sz w:val="24"/>
            <w:szCs w:val="24"/>
          </w:rPr>
          <w:t>Financial and Prudential Management Standard factsheet</w:t>
        </w:r>
      </w:hyperlink>
    </w:p>
    <w:p w14:paraId="1C0679BD" w14:textId="77777777" w:rsidR="0059593A" w:rsidRPr="00A73A10" w:rsidRDefault="0059593A" w:rsidP="00B35C39">
      <w:pPr>
        <w:spacing w:after="240"/>
        <w:rPr>
          <w:sz w:val="24"/>
          <w:szCs w:val="24"/>
        </w:rPr>
      </w:pPr>
      <w:hyperlink r:id="rId68" w:history="1">
        <w:r w:rsidRPr="00C2100A">
          <w:rPr>
            <w:rStyle w:val="Hyperlink"/>
            <w:sz w:val="24"/>
            <w:szCs w:val="24"/>
          </w:rPr>
          <w:t>Financial and Prudential Management video</w:t>
        </w:r>
      </w:hyperlink>
    </w:p>
    <w:p w14:paraId="17C557B5" w14:textId="77777777" w:rsidR="006C3DF2" w:rsidRPr="00B35C39" w:rsidRDefault="006C3DF2" w:rsidP="00B35C39">
      <w:pPr>
        <w:pStyle w:val="Heading2"/>
        <w:spacing w:before="360"/>
        <w:rPr>
          <w:color w:val="0070C0"/>
          <w:sz w:val="28"/>
          <w:szCs w:val="28"/>
        </w:rPr>
      </w:pPr>
      <w:r w:rsidRPr="00B35C39">
        <w:rPr>
          <w:rFonts w:asciiTheme="minorHAnsi" w:hAnsiTheme="minorHAnsi"/>
          <w:color w:val="0070C0"/>
          <w:sz w:val="28"/>
          <w:szCs w:val="28"/>
        </w:rPr>
        <w:t>COMPLIANCE WITH THE INVESTMENT STANDARD</w:t>
      </w:r>
    </w:p>
    <w:p w14:paraId="08C26EAF" w14:textId="4BC7A068" w:rsidR="006C3DF2" w:rsidRPr="008C4D33" w:rsidRDefault="006C3DF2" w:rsidP="00B35C39">
      <w:pPr>
        <w:spacing w:after="120"/>
        <w:rPr>
          <w:sz w:val="32"/>
          <w:szCs w:val="32"/>
        </w:rPr>
      </w:pPr>
      <w:r w:rsidRPr="00A73A10">
        <w:rPr>
          <w:sz w:val="24"/>
          <w:szCs w:val="24"/>
        </w:rPr>
        <w:t>The Investment Standard requires providers to manage investments in a prudent manner that supports the safety, well-being and continuity of care for individuals accessing aged care services.</w:t>
      </w:r>
    </w:p>
    <w:p w14:paraId="261CDE55" w14:textId="77777777" w:rsidR="006C3DF2" w:rsidRPr="00B35C39" w:rsidRDefault="006C3DF2" w:rsidP="00B35C39">
      <w:pPr>
        <w:spacing w:before="200" w:after="0"/>
        <w:rPr>
          <w:b/>
          <w:bCs/>
          <w:color w:val="0070C0"/>
          <w:sz w:val="26"/>
          <w:szCs w:val="26"/>
        </w:rPr>
      </w:pPr>
      <w:r w:rsidRPr="00B35C39">
        <w:rPr>
          <w:b/>
          <w:bCs/>
          <w:color w:val="0070C0"/>
          <w:sz w:val="26"/>
          <w:szCs w:val="26"/>
        </w:rPr>
        <w:t>Investment management arrangements</w:t>
      </w:r>
    </w:p>
    <w:p w14:paraId="3C8A238B" w14:textId="4461A187" w:rsidR="006C3DF2" w:rsidRPr="00A73A10" w:rsidRDefault="00CD1B2A" w:rsidP="00B35C39">
      <w:pPr>
        <w:spacing w:after="120"/>
        <w:rPr>
          <w:sz w:val="24"/>
          <w:szCs w:val="24"/>
        </w:rPr>
      </w:pPr>
      <w:r>
        <w:rPr>
          <w:sz w:val="24"/>
          <w:szCs w:val="24"/>
        </w:rPr>
        <w:t>P</w:t>
      </w:r>
      <w:r w:rsidR="006C3DF2" w:rsidRPr="00A73A10">
        <w:rPr>
          <w:sz w:val="24"/>
          <w:szCs w:val="24"/>
        </w:rPr>
        <w:t>roviders must have appropriate arrangements in place to guide investment decision-making.</w:t>
      </w:r>
    </w:p>
    <w:p w14:paraId="1A825BF9" w14:textId="77777777" w:rsidR="006C3DF2" w:rsidRPr="00A73A10" w:rsidRDefault="006C3DF2" w:rsidP="00B35C39">
      <w:pPr>
        <w:spacing w:after="120"/>
        <w:rPr>
          <w:sz w:val="24"/>
          <w:szCs w:val="24"/>
        </w:rPr>
      </w:pPr>
      <w:r w:rsidRPr="00A73A10">
        <w:rPr>
          <w:sz w:val="24"/>
          <w:szCs w:val="24"/>
        </w:rPr>
        <w:t>These arrangements should support the provider to:</w:t>
      </w:r>
    </w:p>
    <w:p w14:paraId="160F1615"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make informed and prudent investment decisions</w:t>
      </w:r>
    </w:p>
    <w:p w14:paraId="5BCEE710"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understand and manage investment-related risks</w:t>
      </w:r>
    </w:p>
    <w:p w14:paraId="2B833CF0"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ensure investments do not compromise the provider’s ability to meet its obligations</w:t>
      </w:r>
    </w:p>
    <w:p w14:paraId="64C57AC8"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align investment decisions with the provider’s broader financial and prudential framework</w:t>
      </w:r>
    </w:p>
    <w:p w14:paraId="07044252" w14:textId="77777777" w:rsidR="006C3DF2" w:rsidRPr="00A73A10" w:rsidRDefault="006C3DF2" w:rsidP="00B35C39">
      <w:pPr>
        <w:spacing w:after="120"/>
        <w:rPr>
          <w:sz w:val="24"/>
          <w:szCs w:val="24"/>
        </w:rPr>
      </w:pPr>
      <w:r w:rsidRPr="00A73A10">
        <w:rPr>
          <w:sz w:val="24"/>
          <w:szCs w:val="24"/>
        </w:rPr>
        <w:t>Investment arrangements may be documented through policies, strategies or other governance mechanisms.</w:t>
      </w:r>
    </w:p>
    <w:p w14:paraId="4970FA56" w14:textId="77777777" w:rsidR="006C3DF2" w:rsidRPr="00B35C39" w:rsidRDefault="006C3DF2" w:rsidP="00B35C39">
      <w:pPr>
        <w:spacing w:before="200" w:after="0"/>
        <w:rPr>
          <w:b/>
          <w:bCs/>
          <w:color w:val="0070C0"/>
          <w:sz w:val="26"/>
          <w:szCs w:val="26"/>
        </w:rPr>
      </w:pPr>
      <w:r w:rsidRPr="00B35C39">
        <w:rPr>
          <w:b/>
          <w:bCs/>
          <w:color w:val="0070C0"/>
          <w:sz w:val="26"/>
          <w:szCs w:val="26"/>
        </w:rPr>
        <w:t>Risk and prudence considerations</w:t>
      </w:r>
    </w:p>
    <w:p w14:paraId="0E409813" w14:textId="77777777" w:rsidR="006C3DF2" w:rsidRPr="00A73A10" w:rsidRDefault="006C3DF2" w:rsidP="00B35C39">
      <w:pPr>
        <w:spacing w:after="120"/>
        <w:rPr>
          <w:sz w:val="24"/>
          <w:szCs w:val="24"/>
        </w:rPr>
      </w:pPr>
      <w:r w:rsidRPr="00A73A10">
        <w:rPr>
          <w:sz w:val="24"/>
          <w:szCs w:val="24"/>
        </w:rPr>
        <w:t>When making and managing investments, providers should consider:</w:t>
      </w:r>
    </w:p>
    <w:p w14:paraId="5F16DAC8"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purpose of the investment</w:t>
      </w:r>
    </w:p>
    <w:p w14:paraId="0AD4083F"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level of risk involved</w:t>
      </w:r>
    </w:p>
    <w:p w14:paraId="034D0759"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lastRenderedPageBreak/>
        <w:t>the expected return relative to risk</w:t>
      </w:r>
    </w:p>
    <w:p w14:paraId="3D1F861F"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impact on liquidity and cash flow</w:t>
      </w:r>
    </w:p>
    <w:p w14:paraId="7D693438"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provider’s overall financial position and obligations</w:t>
      </w:r>
    </w:p>
    <w:p w14:paraId="48053AD6" w14:textId="77777777" w:rsidR="006C3DF2" w:rsidRPr="00A73A10" w:rsidRDefault="006C3DF2" w:rsidP="00B35C39">
      <w:pPr>
        <w:spacing w:after="120"/>
        <w:rPr>
          <w:sz w:val="24"/>
          <w:szCs w:val="24"/>
        </w:rPr>
      </w:pPr>
      <w:r w:rsidRPr="00A73A10">
        <w:rPr>
          <w:sz w:val="24"/>
          <w:szCs w:val="24"/>
        </w:rPr>
        <w:t>Investment decisions should not expose the provider, or individuals accessing care, to undue financial risk.</w:t>
      </w:r>
    </w:p>
    <w:p w14:paraId="0BAEEC34" w14:textId="77777777" w:rsidR="006C3DF2" w:rsidRPr="00B35C39" w:rsidRDefault="006C3DF2" w:rsidP="00B35C39">
      <w:pPr>
        <w:spacing w:before="200" w:after="0"/>
        <w:rPr>
          <w:b/>
          <w:bCs/>
          <w:color w:val="0070C0"/>
          <w:sz w:val="26"/>
          <w:szCs w:val="26"/>
        </w:rPr>
      </w:pPr>
      <w:r w:rsidRPr="00B35C39">
        <w:rPr>
          <w:b/>
          <w:bCs/>
          <w:color w:val="0070C0"/>
          <w:sz w:val="26"/>
          <w:szCs w:val="26"/>
        </w:rPr>
        <w:t>Governance and oversight</w:t>
      </w:r>
    </w:p>
    <w:p w14:paraId="50A82CCE" w14:textId="77777777" w:rsidR="006C3DF2" w:rsidRPr="00A73A10" w:rsidRDefault="006C3DF2" w:rsidP="00B35C39">
      <w:pPr>
        <w:spacing w:after="120"/>
        <w:rPr>
          <w:sz w:val="24"/>
          <w:szCs w:val="24"/>
        </w:rPr>
      </w:pPr>
      <w:r w:rsidRPr="00A73A10">
        <w:rPr>
          <w:sz w:val="24"/>
          <w:szCs w:val="24"/>
        </w:rPr>
        <w:t>The governing body is responsible for overseeing the provider’s investment arrangements.</w:t>
      </w:r>
    </w:p>
    <w:p w14:paraId="5ECBB13A" w14:textId="77777777" w:rsidR="006C3DF2" w:rsidRPr="00A73A10" w:rsidRDefault="006C3DF2" w:rsidP="00B35C39">
      <w:pPr>
        <w:spacing w:after="120"/>
        <w:rPr>
          <w:sz w:val="24"/>
          <w:szCs w:val="24"/>
        </w:rPr>
      </w:pPr>
      <w:r w:rsidRPr="00A73A10">
        <w:rPr>
          <w:sz w:val="24"/>
          <w:szCs w:val="24"/>
        </w:rPr>
        <w:t>This includes ensuring:</w:t>
      </w:r>
    </w:p>
    <w:p w14:paraId="475AE878"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investment decisions are consistent with approved policies or strategies</w:t>
      </w:r>
    </w:p>
    <w:p w14:paraId="05951ABD"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risks associated with investments are understood and monitored</w:t>
      </w:r>
    </w:p>
    <w:p w14:paraId="442F81A7"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investments are reviewed regularly</w:t>
      </w:r>
    </w:p>
    <w:p w14:paraId="6D8DB7F6"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issues are escalated and addressed where required</w:t>
      </w:r>
    </w:p>
    <w:p w14:paraId="70D73F77" w14:textId="77777777" w:rsidR="006C3DF2" w:rsidRPr="00B35C39" w:rsidRDefault="006C3DF2" w:rsidP="00B35C39">
      <w:pPr>
        <w:spacing w:before="200" w:after="0"/>
        <w:rPr>
          <w:b/>
          <w:bCs/>
          <w:color w:val="0070C0"/>
          <w:sz w:val="26"/>
          <w:szCs w:val="26"/>
        </w:rPr>
      </w:pPr>
      <w:r w:rsidRPr="00B35C39">
        <w:rPr>
          <w:b/>
          <w:bCs/>
          <w:color w:val="0070C0"/>
          <w:sz w:val="26"/>
          <w:szCs w:val="26"/>
        </w:rPr>
        <w:t>Review and monitoring</w:t>
      </w:r>
    </w:p>
    <w:p w14:paraId="0CAAB60A" w14:textId="77777777" w:rsidR="006C3DF2" w:rsidRPr="00A73A10" w:rsidRDefault="006C3DF2" w:rsidP="00B35C39">
      <w:pPr>
        <w:spacing w:after="120"/>
        <w:rPr>
          <w:sz w:val="24"/>
          <w:szCs w:val="24"/>
        </w:rPr>
      </w:pPr>
      <w:r w:rsidRPr="00A73A10">
        <w:rPr>
          <w:sz w:val="24"/>
          <w:szCs w:val="24"/>
        </w:rPr>
        <w:t>Investment arrangements should be monitored and reviewed on an ongoing basis to ensure they remain appropriate.</w:t>
      </w:r>
    </w:p>
    <w:p w14:paraId="0C165037" w14:textId="77777777" w:rsidR="006C3DF2" w:rsidRPr="00A73A10" w:rsidRDefault="006C3DF2" w:rsidP="00B35C39">
      <w:pPr>
        <w:spacing w:after="120"/>
        <w:rPr>
          <w:sz w:val="24"/>
          <w:szCs w:val="24"/>
        </w:rPr>
      </w:pPr>
      <w:r w:rsidRPr="00A73A10">
        <w:rPr>
          <w:sz w:val="24"/>
          <w:szCs w:val="24"/>
        </w:rPr>
        <w:t>Reviews should consider whether investments continue to support:</w:t>
      </w:r>
    </w:p>
    <w:p w14:paraId="4F0FF265"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provider’s financial sustainability</w:t>
      </w:r>
    </w:p>
    <w:p w14:paraId="31D2F12C"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compliance with the Investment Standard</w:t>
      </w:r>
    </w:p>
    <w:p w14:paraId="047AEEB8"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ongoing delivery of safe and high-quality care</w:t>
      </w:r>
    </w:p>
    <w:p w14:paraId="7B24B220" w14:textId="77777777" w:rsidR="006C3DF2" w:rsidRPr="00B35C39" w:rsidRDefault="006C3DF2" w:rsidP="00B35C39">
      <w:pPr>
        <w:spacing w:before="200" w:after="0"/>
        <w:rPr>
          <w:b/>
          <w:bCs/>
          <w:color w:val="E36C0A" w:themeColor="accent6" w:themeShade="BF"/>
          <w:sz w:val="26"/>
          <w:szCs w:val="26"/>
        </w:rPr>
      </w:pPr>
      <w:r w:rsidRPr="00B35C39">
        <w:rPr>
          <w:b/>
          <w:bCs/>
          <w:color w:val="E36C0A" w:themeColor="accent6" w:themeShade="BF"/>
          <w:sz w:val="26"/>
          <w:szCs w:val="26"/>
        </w:rPr>
        <w:t>Your response in the APCS</w:t>
      </w:r>
    </w:p>
    <w:p w14:paraId="49D2790D" w14:textId="707E9986" w:rsidR="006C3DF2" w:rsidRPr="00A73A10" w:rsidRDefault="7004F389" w:rsidP="00B35C39">
      <w:pPr>
        <w:spacing w:after="120"/>
        <w:rPr>
          <w:sz w:val="24"/>
          <w:szCs w:val="24"/>
        </w:rPr>
      </w:pPr>
      <w:r w:rsidRPr="1028C40E">
        <w:rPr>
          <w:sz w:val="24"/>
          <w:szCs w:val="24"/>
        </w:rPr>
        <w:t xml:space="preserve">When completing this section of the APCS, you are confirming whether you complied with all requirements of the Investment Standard for the reporting period from </w:t>
      </w:r>
      <w:r w:rsidRPr="1028C40E">
        <w:rPr>
          <w:b/>
          <w:bCs/>
          <w:sz w:val="24"/>
          <w:szCs w:val="24"/>
        </w:rPr>
        <w:t xml:space="preserve">1 </w:t>
      </w:r>
      <w:r w:rsidR="7083E02E" w:rsidRPr="1028C40E">
        <w:rPr>
          <w:b/>
          <w:bCs/>
          <w:sz w:val="24"/>
          <w:szCs w:val="24"/>
        </w:rPr>
        <w:t xml:space="preserve">January 2026, </w:t>
      </w:r>
      <w:r w:rsidR="7083E02E" w:rsidRPr="1028C40E">
        <w:rPr>
          <w:sz w:val="24"/>
          <w:szCs w:val="24"/>
        </w:rPr>
        <w:t>being the first quarter from which the Standard applied</w:t>
      </w:r>
      <w:r w:rsidRPr="1028C40E">
        <w:rPr>
          <w:sz w:val="24"/>
          <w:szCs w:val="24"/>
        </w:rPr>
        <w:t>.</w:t>
      </w:r>
    </w:p>
    <w:p w14:paraId="2A7AB247" w14:textId="77777777" w:rsidR="006C3DF2" w:rsidRPr="00A73A10" w:rsidRDefault="006C3DF2" w:rsidP="00B35C39">
      <w:pPr>
        <w:spacing w:after="120"/>
        <w:rPr>
          <w:sz w:val="24"/>
          <w:szCs w:val="24"/>
        </w:rPr>
      </w:pPr>
      <w:r w:rsidRPr="00A73A10">
        <w:rPr>
          <w:sz w:val="24"/>
          <w:szCs w:val="24"/>
        </w:rPr>
        <w:t>In the APCS, you are required to:</w:t>
      </w:r>
    </w:p>
    <w:p w14:paraId="40161D5E" w14:textId="104C99B3" w:rsidR="006C3DF2" w:rsidRPr="00B35C39" w:rsidRDefault="7004F389" w:rsidP="1028C40E">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1028C40E">
        <w:rPr>
          <w:rFonts w:asciiTheme="minorHAnsi" w:hAnsiTheme="minorHAnsi" w:cs="Arial"/>
          <w:sz w:val="24"/>
          <w:szCs w:val="24"/>
        </w:rPr>
        <w:t>confirm whether you complied with all requirements of the Investment Standard during the reporting period</w:t>
      </w:r>
      <w:r w:rsidR="60308893" w:rsidRPr="1028C40E">
        <w:rPr>
          <w:rFonts w:asciiTheme="minorHAnsi" w:hAnsiTheme="minorHAnsi" w:cs="Arial"/>
          <w:sz w:val="24"/>
          <w:szCs w:val="24"/>
        </w:rPr>
        <w:t xml:space="preserve"> from 1 </w:t>
      </w:r>
      <w:r w:rsidR="761A6700" w:rsidRPr="1028C40E">
        <w:rPr>
          <w:rFonts w:asciiTheme="minorHAnsi" w:hAnsiTheme="minorHAnsi" w:cs="Arial"/>
          <w:sz w:val="24"/>
          <w:szCs w:val="24"/>
        </w:rPr>
        <w:t>January 2026</w:t>
      </w:r>
    </w:p>
    <w:p w14:paraId="2B71753E" w14:textId="77777777" w:rsidR="006C3DF2" w:rsidRPr="00B35C39" w:rsidRDefault="006C3DF2"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report the date your investment management strategy or arrangements were last reviewed and assessed</w:t>
      </w:r>
    </w:p>
    <w:p w14:paraId="3AAB9A0D" w14:textId="77777777" w:rsidR="006C3DF2" w:rsidRPr="00A73A10" w:rsidRDefault="006C3DF2" w:rsidP="00B35C39">
      <w:pPr>
        <w:spacing w:after="120"/>
        <w:rPr>
          <w:sz w:val="24"/>
          <w:szCs w:val="24"/>
        </w:rPr>
      </w:pPr>
      <w:r w:rsidRPr="00A73A10">
        <w:rPr>
          <w:sz w:val="24"/>
          <w:szCs w:val="24"/>
        </w:rPr>
        <w:t>If you answer ‘NO’, you must provide a separate statement explaining</w:t>
      </w:r>
      <w:r>
        <w:rPr>
          <w:sz w:val="24"/>
          <w:szCs w:val="24"/>
        </w:rPr>
        <w:t xml:space="preserve"> why you did not comply</w:t>
      </w:r>
    </w:p>
    <w:p w14:paraId="6441A5FC" w14:textId="77777777" w:rsidR="006C3DF2" w:rsidRPr="00A73A10" w:rsidRDefault="006C3DF2" w:rsidP="00B35C39">
      <w:pPr>
        <w:spacing w:after="120"/>
        <w:rPr>
          <w:sz w:val="24"/>
          <w:szCs w:val="24"/>
        </w:rPr>
      </w:pPr>
      <w:r w:rsidRPr="00A73A10">
        <w:rPr>
          <w:sz w:val="24"/>
          <w:szCs w:val="24"/>
        </w:rPr>
        <w:t>Only answer ‘N/A’ if you are a government entity or a local government authority</w:t>
      </w:r>
      <w:r>
        <w:rPr>
          <w:sz w:val="24"/>
          <w:szCs w:val="24"/>
        </w:rPr>
        <w:t>.</w:t>
      </w:r>
    </w:p>
    <w:p w14:paraId="45899667" w14:textId="77777777" w:rsidR="006C3DF2" w:rsidRPr="00B35C39" w:rsidRDefault="006C3DF2" w:rsidP="00B35C39">
      <w:pPr>
        <w:spacing w:before="200" w:after="0"/>
        <w:rPr>
          <w:b/>
          <w:bCs/>
          <w:color w:val="0070C0"/>
          <w:sz w:val="26"/>
          <w:szCs w:val="26"/>
        </w:rPr>
      </w:pPr>
      <w:r w:rsidRPr="00B35C39">
        <w:rPr>
          <w:b/>
          <w:bCs/>
          <w:color w:val="0070C0"/>
          <w:sz w:val="26"/>
          <w:szCs w:val="26"/>
        </w:rPr>
        <w:t>Resources</w:t>
      </w:r>
    </w:p>
    <w:p w14:paraId="4A5BCFCC" w14:textId="77777777" w:rsidR="006C3DF2" w:rsidRDefault="006C3DF2" w:rsidP="00B35C39">
      <w:pPr>
        <w:spacing w:after="0"/>
        <w:rPr>
          <w:sz w:val="24"/>
          <w:szCs w:val="24"/>
        </w:rPr>
      </w:pPr>
      <w:hyperlink r:id="rId69" w:history="1">
        <w:r w:rsidRPr="00C2100A">
          <w:rPr>
            <w:rStyle w:val="Hyperlink"/>
            <w:sz w:val="24"/>
            <w:szCs w:val="24"/>
          </w:rPr>
          <w:t>Investment Standard</w:t>
        </w:r>
      </w:hyperlink>
    </w:p>
    <w:p w14:paraId="3F3FB1E8" w14:textId="77777777" w:rsidR="006C3DF2" w:rsidRDefault="006C3DF2" w:rsidP="00B35C39">
      <w:pPr>
        <w:spacing w:after="0"/>
        <w:rPr>
          <w:sz w:val="24"/>
          <w:szCs w:val="24"/>
        </w:rPr>
      </w:pPr>
      <w:hyperlink r:id="rId70" w:history="1">
        <w:r w:rsidRPr="00C2100A">
          <w:rPr>
            <w:rStyle w:val="Hyperlink"/>
            <w:sz w:val="24"/>
            <w:szCs w:val="24"/>
          </w:rPr>
          <w:t>Investment Standard factsheet</w:t>
        </w:r>
      </w:hyperlink>
    </w:p>
    <w:p w14:paraId="0998E13C" w14:textId="77777777" w:rsidR="006C3DF2" w:rsidRDefault="006C3DF2" w:rsidP="00B35C39">
      <w:pPr>
        <w:spacing w:after="0"/>
        <w:rPr>
          <w:sz w:val="24"/>
          <w:szCs w:val="24"/>
        </w:rPr>
      </w:pPr>
      <w:hyperlink r:id="rId71" w:history="1">
        <w:r w:rsidRPr="00C2100A">
          <w:rPr>
            <w:rStyle w:val="Hyperlink"/>
            <w:sz w:val="24"/>
            <w:szCs w:val="24"/>
          </w:rPr>
          <w:t>Investment Standard video</w:t>
        </w:r>
      </w:hyperlink>
    </w:p>
    <w:p w14:paraId="0588F61E" w14:textId="5805A3B0" w:rsidR="00BD115F" w:rsidRPr="00B35C39" w:rsidRDefault="00475411" w:rsidP="00B35C39">
      <w:pPr>
        <w:pStyle w:val="Heading2"/>
        <w:spacing w:before="480" w:after="120"/>
        <w:rPr>
          <w:b w:val="0"/>
          <w:bCs w:val="0"/>
          <w:color w:val="0070C0"/>
          <w:sz w:val="32"/>
          <w:szCs w:val="32"/>
        </w:rPr>
      </w:pPr>
      <w:r w:rsidRPr="00B35C39">
        <w:rPr>
          <w:rFonts w:asciiTheme="minorHAnsi" w:hAnsiTheme="minorHAnsi"/>
          <w:color w:val="0070C0"/>
          <w:sz w:val="32"/>
          <w:szCs w:val="32"/>
        </w:rPr>
        <w:t>DISCLOSURE TO RESIDENTS</w:t>
      </w:r>
    </w:p>
    <w:p w14:paraId="4045AB1B" w14:textId="45270382" w:rsidR="003267EF" w:rsidRPr="00B35C39" w:rsidRDefault="0046190E" w:rsidP="00B35C39">
      <w:pPr>
        <w:spacing w:after="120"/>
        <w:rPr>
          <w:rFonts w:ascii="Calibri" w:eastAsia="Calibri" w:hAnsi="Calibri" w:cstheme="minorHAnsi"/>
          <w:sz w:val="24"/>
          <w:szCs w:val="24"/>
        </w:rPr>
      </w:pPr>
      <w:r>
        <w:rPr>
          <w:rFonts w:cstheme="minorHAnsi"/>
          <w:sz w:val="24"/>
          <w:szCs w:val="24"/>
        </w:rPr>
        <w:t xml:space="preserve">Consistent with the </w:t>
      </w:r>
      <w:r w:rsidR="00911638">
        <w:rPr>
          <w:rFonts w:cstheme="minorHAnsi"/>
          <w:sz w:val="24"/>
          <w:szCs w:val="24"/>
        </w:rPr>
        <w:t xml:space="preserve">previous requirements of the </w:t>
      </w:r>
      <w:r w:rsidR="00264A21">
        <w:rPr>
          <w:rFonts w:cstheme="minorHAnsi"/>
          <w:sz w:val="24"/>
          <w:szCs w:val="24"/>
        </w:rPr>
        <w:t>Disclosure Standard, the Rules require p</w:t>
      </w:r>
      <w:r w:rsidR="00461283" w:rsidRPr="00B35C39">
        <w:rPr>
          <w:rFonts w:cstheme="minorHAnsi"/>
          <w:sz w:val="24"/>
          <w:szCs w:val="24"/>
        </w:rPr>
        <w:t xml:space="preserve">roviders </w:t>
      </w:r>
      <w:r w:rsidR="00264A21">
        <w:rPr>
          <w:rFonts w:cstheme="minorHAnsi"/>
          <w:sz w:val="24"/>
          <w:szCs w:val="24"/>
        </w:rPr>
        <w:t>to provide</w:t>
      </w:r>
      <w:r w:rsidR="00461283" w:rsidRPr="00B35C39">
        <w:rPr>
          <w:rFonts w:cstheme="minorHAnsi"/>
          <w:sz w:val="24"/>
          <w:szCs w:val="24"/>
        </w:rPr>
        <w:t xml:space="preserve"> </w:t>
      </w:r>
      <w:r w:rsidR="00B02F30">
        <w:rPr>
          <w:rFonts w:cstheme="minorHAnsi"/>
          <w:sz w:val="24"/>
          <w:szCs w:val="24"/>
        </w:rPr>
        <w:t>re</w:t>
      </w:r>
      <w:r w:rsidR="00626617">
        <w:rPr>
          <w:rFonts w:cstheme="minorHAnsi"/>
          <w:sz w:val="24"/>
          <w:szCs w:val="24"/>
        </w:rPr>
        <w:t>sidents</w:t>
      </w:r>
      <w:r w:rsidR="00B02F30">
        <w:rPr>
          <w:rFonts w:cstheme="minorHAnsi"/>
          <w:sz w:val="24"/>
          <w:szCs w:val="24"/>
        </w:rPr>
        <w:t xml:space="preserve"> and prospective re</w:t>
      </w:r>
      <w:r w:rsidR="00626617">
        <w:rPr>
          <w:rFonts w:cstheme="minorHAnsi"/>
          <w:sz w:val="24"/>
          <w:szCs w:val="24"/>
        </w:rPr>
        <w:t>sidents</w:t>
      </w:r>
      <w:r w:rsidR="00B20908">
        <w:rPr>
          <w:rFonts w:cstheme="minorHAnsi"/>
          <w:sz w:val="24"/>
          <w:szCs w:val="24"/>
        </w:rPr>
        <w:t xml:space="preserve"> </w:t>
      </w:r>
      <w:r w:rsidR="007043C1">
        <w:rPr>
          <w:rFonts w:cstheme="minorHAnsi"/>
          <w:sz w:val="24"/>
          <w:szCs w:val="24"/>
        </w:rPr>
        <w:t xml:space="preserve">with </w:t>
      </w:r>
      <w:r w:rsidR="00B20908">
        <w:rPr>
          <w:rFonts w:cstheme="minorHAnsi"/>
          <w:sz w:val="24"/>
          <w:szCs w:val="24"/>
        </w:rPr>
        <w:t>certain information upon request</w:t>
      </w:r>
      <w:r w:rsidR="00EC5BEB">
        <w:rPr>
          <w:rFonts w:cstheme="minorHAnsi"/>
          <w:sz w:val="24"/>
          <w:szCs w:val="24"/>
        </w:rPr>
        <w:t xml:space="preserve">. </w:t>
      </w:r>
      <w:r w:rsidR="001451FD">
        <w:rPr>
          <w:rFonts w:cstheme="minorHAnsi"/>
          <w:sz w:val="24"/>
          <w:szCs w:val="24"/>
        </w:rPr>
        <w:t xml:space="preserve">Within </w:t>
      </w:r>
      <w:r w:rsidR="0026781D">
        <w:rPr>
          <w:rFonts w:cstheme="minorHAnsi"/>
          <w:sz w:val="24"/>
          <w:szCs w:val="24"/>
        </w:rPr>
        <w:t xml:space="preserve">7 </w:t>
      </w:r>
      <w:r w:rsidR="0026781D">
        <w:rPr>
          <w:rFonts w:cstheme="minorHAnsi"/>
          <w:sz w:val="24"/>
          <w:szCs w:val="24"/>
        </w:rPr>
        <w:lastRenderedPageBreak/>
        <w:t>days after entering an accommodation agreement</w:t>
      </w:r>
      <w:r w:rsidR="00354DB8">
        <w:rPr>
          <w:rFonts w:cstheme="minorHAnsi"/>
          <w:sz w:val="24"/>
          <w:szCs w:val="24"/>
        </w:rPr>
        <w:t xml:space="preserve">, </w:t>
      </w:r>
      <w:r w:rsidR="002810C9">
        <w:rPr>
          <w:rFonts w:cstheme="minorHAnsi"/>
          <w:sz w:val="24"/>
          <w:szCs w:val="24"/>
        </w:rPr>
        <w:t>the provider must</w:t>
      </w:r>
      <w:r w:rsidR="003E030D">
        <w:rPr>
          <w:rFonts w:cstheme="minorHAnsi"/>
          <w:sz w:val="24"/>
          <w:szCs w:val="24"/>
        </w:rPr>
        <w:t xml:space="preserve"> inform the resident </w:t>
      </w:r>
      <w:r w:rsidR="00C415C6">
        <w:rPr>
          <w:rFonts w:cstheme="minorHAnsi"/>
          <w:sz w:val="24"/>
          <w:szCs w:val="24"/>
        </w:rPr>
        <w:t xml:space="preserve">in writing </w:t>
      </w:r>
      <w:r w:rsidR="003E030D">
        <w:rPr>
          <w:rFonts w:cstheme="minorHAnsi"/>
          <w:sz w:val="24"/>
          <w:szCs w:val="24"/>
        </w:rPr>
        <w:t>of the information</w:t>
      </w:r>
      <w:r w:rsidR="00A31C72">
        <w:rPr>
          <w:rFonts w:cstheme="minorHAnsi"/>
          <w:sz w:val="24"/>
          <w:szCs w:val="24"/>
        </w:rPr>
        <w:t xml:space="preserve"> </w:t>
      </w:r>
      <w:r w:rsidR="00C415C6">
        <w:rPr>
          <w:rFonts w:cstheme="minorHAnsi"/>
          <w:sz w:val="24"/>
          <w:szCs w:val="24"/>
        </w:rPr>
        <w:t>available upon request</w:t>
      </w:r>
      <w:r w:rsidR="00FC2FAD">
        <w:rPr>
          <w:rFonts w:cstheme="minorHAnsi"/>
          <w:sz w:val="24"/>
          <w:szCs w:val="24"/>
        </w:rPr>
        <w:t>.</w:t>
      </w:r>
    </w:p>
    <w:p w14:paraId="66A3AC19" w14:textId="04BE73F0" w:rsidR="00171310" w:rsidRPr="00E548E2" w:rsidRDefault="00171310" w:rsidP="00E548E2">
      <w:pPr>
        <w:spacing w:before="200" w:after="0"/>
        <w:rPr>
          <w:b/>
          <w:bCs/>
          <w:color w:val="0070C0"/>
          <w:sz w:val="26"/>
          <w:szCs w:val="26"/>
        </w:rPr>
      </w:pPr>
      <w:r w:rsidRPr="00E548E2">
        <w:rPr>
          <w:b/>
          <w:bCs/>
          <w:color w:val="0070C0"/>
          <w:sz w:val="26"/>
          <w:szCs w:val="26"/>
        </w:rPr>
        <w:t xml:space="preserve">Example of a </w:t>
      </w:r>
      <w:r w:rsidR="007300A1" w:rsidRPr="00E548E2">
        <w:rPr>
          <w:b/>
          <w:bCs/>
          <w:color w:val="0070C0"/>
          <w:sz w:val="26"/>
          <w:szCs w:val="26"/>
        </w:rPr>
        <w:t>d</w:t>
      </w:r>
      <w:r w:rsidRPr="00E548E2">
        <w:rPr>
          <w:b/>
          <w:bCs/>
          <w:color w:val="0070C0"/>
          <w:sz w:val="26"/>
          <w:szCs w:val="26"/>
        </w:rPr>
        <w:t xml:space="preserve">isclosure </w:t>
      </w:r>
      <w:r w:rsidR="007300A1" w:rsidRPr="00E548E2">
        <w:rPr>
          <w:b/>
          <w:bCs/>
          <w:color w:val="0070C0"/>
          <w:sz w:val="26"/>
          <w:szCs w:val="26"/>
        </w:rPr>
        <w:t>s</w:t>
      </w:r>
      <w:r w:rsidRPr="00E548E2">
        <w:rPr>
          <w:b/>
          <w:bCs/>
          <w:color w:val="0070C0"/>
          <w:sz w:val="26"/>
          <w:szCs w:val="26"/>
        </w:rPr>
        <w:t>tatement</w:t>
      </w:r>
    </w:p>
    <w:p w14:paraId="072726D1" w14:textId="363F0587" w:rsidR="00983634" w:rsidRPr="00B35C39" w:rsidRDefault="00983634" w:rsidP="00B35C39">
      <w:pPr>
        <w:spacing w:after="120" w:line="240" w:lineRule="auto"/>
        <w:textAlignment w:val="baseline"/>
        <w:rPr>
          <w:rFonts w:eastAsia="Times New Roman" w:cstheme="minorHAnsi"/>
          <w:lang w:eastAsia="en-AU"/>
        </w:rPr>
      </w:pPr>
      <w:r w:rsidRPr="00B35C39">
        <w:rPr>
          <w:rFonts w:eastAsia="Times New Roman" w:cstheme="minorHAnsi"/>
          <w:i/>
          <w:iCs/>
          <w:lang w:eastAsia="en-AU"/>
        </w:rPr>
        <w:t xml:space="preserve">This example reflects the requirements under the Aged Care Rules 2025. </w:t>
      </w:r>
      <w:r w:rsidR="00923647">
        <w:rPr>
          <w:rFonts w:eastAsia="Times New Roman" w:cstheme="minorHAnsi"/>
          <w:i/>
          <w:iCs/>
          <w:lang w:eastAsia="en-AU"/>
        </w:rPr>
        <w:t>P</w:t>
      </w:r>
      <w:r w:rsidRPr="00B35C39">
        <w:rPr>
          <w:rFonts w:eastAsia="Times New Roman" w:cstheme="minorHAnsi"/>
          <w:i/>
          <w:iCs/>
          <w:lang w:eastAsia="en-AU"/>
        </w:rPr>
        <w:t>roviders may use their own format, but the following information must be available on request</w:t>
      </w:r>
      <w:r w:rsidR="00C115FD">
        <w:rPr>
          <w:rFonts w:eastAsia="Times New Roman" w:cstheme="minorHAnsi"/>
          <w:lang w:eastAsia="en-AU"/>
        </w:rPr>
        <w:t>.</w:t>
      </w:r>
    </w:p>
    <w:p w14:paraId="402529B1" w14:textId="77777777" w:rsidR="0039657A" w:rsidRPr="00B35C39" w:rsidRDefault="0039657A" w:rsidP="00B35C39">
      <w:pPr>
        <w:spacing w:after="120" w:line="240" w:lineRule="auto"/>
        <w:textAlignment w:val="baseline"/>
        <w:rPr>
          <w:rFonts w:eastAsia="Times New Roman" w:cstheme="minorHAnsi"/>
          <w:sz w:val="18"/>
          <w:szCs w:val="18"/>
          <w:lang w:eastAsia="en-AU"/>
        </w:rPr>
      </w:pPr>
    </w:p>
    <w:p w14:paraId="0408C458" w14:textId="19726C45" w:rsidR="00983634" w:rsidRPr="00B35C39" w:rsidRDefault="00983634" w:rsidP="00B35C39">
      <w:pPr>
        <w:spacing w:after="120" w:line="240" w:lineRule="auto"/>
        <w:textAlignment w:val="baseline"/>
        <w:rPr>
          <w:rFonts w:eastAsia="Times New Roman" w:cstheme="minorHAnsi"/>
          <w:sz w:val="24"/>
          <w:szCs w:val="24"/>
          <w:lang w:eastAsia="en-AU"/>
        </w:rPr>
      </w:pPr>
      <w:r w:rsidRPr="00B35C39">
        <w:rPr>
          <w:rFonts w:eastAsia="Times New Roman" w:cstheme="minorHAnsi"/>
          <w:b/>
          <w:bCs/>
          <w:sz w:val="24"/>
          <w:szCs w:val="24"/>
          <w:lang w:eastAsia="en-AU"/>
        </w:rPr>
        <w:t>DISCLOSURE STATEMENT</w:t>
      </w:r>
      <w:r w:rsidRPr="00B35C39">
        <w:rPr>
          <w:rFonts w:eastAsia="Times New Roman" w:cstheme="minorHAnsi"/>
          <w:sz w:val="24"/>
          <w:szCs w:val="24"/>
          <w:lang w:eastAsia="en-AU"/>
        </w:rPr>
        <w:t> (</w:t>
      </w:r>
      <w:r w:rsidR="00A87E12">
        <w:rPr>
          <w:rFonts w:eastAsia="Times New Roman" w:cstheme="minorHAnsi"/>
          <w:sz w:val="24"/>
          <w:szCs w:val="24"/>
          <w:lang w:eastAsia="en-AU"/>
        </w:rPr>
        <w:t>i</w:t>
      </w:r>
      <w:r w:rsidRPr="00B35C39">
        <w:rPr>
          <w:rFonts w:eastAsia="Times New Roman" w:cstheme="minorHAnsi"/>
          <w:sz w:val="24"/>
          <w:szCs w:val="24"/>
          <w:lang w:eastAsia="en-AU"/>
        </w:rPr>
        <w:t>nformation you are entitled to know).  </w:t>
      </w:r>
    </w:p>
    <w:p w14:paraId="46937296" w14:textId="6AA28538" w:rsidR="00ED3A15" w:rsidRPr="00B35C39" w:rsidRDefault="00983634" w:rsidP="00B35C39">
      <w:pPr>
        <w:spacing w:after="120" w:line="240" w:lineRule="auto"/>
        <w:textAlignment w:val="baseline"/>
        <w:rPr>
          <w:rFonts w:eastAsia="Times New Roman" w:cstheme="minorHAnsi"/>
          <w:sz w:val="24"/>
          <w:szCs w:val="24"/>
          <w:lang w:eastAsia="en-AU"/>
        </w:rPr>
      </w:pPr>
      <w:r w:rsidRPr="00B35C39">
        <w:rPr>
          <w:rFonts w:eastAsia="Times New Roman" w:cstheme="minorHAnsi"/>
          <w:sz w:val="24"/>
          <w:szCs w:val="24"/>
          <w:lang w:eastAsia="en-AU"/>
        </w:rPr>
        <w:t>[</w:t>
      </w:r>
      <w:r w:rsidR="00A87E12">
        <w:rPr>
          <w:rFonts w:eastAsia="Times New Roman" w:cstheme="minorHAnsi"/>
          <w:b/>
          <w:bCs/>
          <w:sz w:val="24"/>
          <w:szCs w:val="24"/>
          <w:lang w:eastAsia="en-AU"/>
        </w:rPr>
        <w:t>I</w:t>
      </w:r>
      <w:r w:rsidRPr="00B35C39">
        <w:rPr>
          <w:rFonts w:eastAsia="Times New Roman" w:cstheme="minorHAnsi"/>
          <w:b/>
          <w:bCs/>
          <w:sz w:val="24"/>
          <w:szCs w:val="24"/>
          <w:lang w:eastAsia="en-AU"/>
        </w:rPr>
        <w:t>nsert provider's name</w:t>
      </w:r>
      <w:r w:rsidRPr="00B35C39">
        <w:rPr>
          <w:rFonts w:eastAsia="Times New Roman" w:cstheme="minorHAnsi"/>
          <w:sz w:val="24"/>
          <w:szCs w:val="24"/>
          <w:lang w:eastAsia="en-AU"/>
        </w:rPr>
        <w:t>] is the registered provider for [</w:t>
      </w:r>
      <w:r w:rsidRPr="00B35C39">
        <w:rPr>
          <w:rFonts w:eastAsia="Times New Roman" w:cstheme="minorHAnsi"/>
          <w:b/>
          <w:bCs/>
          <w:sz w:val="24"/>
          <w:szCs w:val="24"/>
          <w:lang w:eastAsia="en-AU"/>
        </w:rPr>
        <w:t>insert the name of the service</w:t>
      </w:r>
      <w:r w:rsidRPr="00B35C39">
        <w:rPr>
          <w:rFonts w:eastAsia="Times New Roman" w:cstheme="minorHAnsi"/>
          <w:sz w:val="24"/>
          <w:szCs w:val="24"/>
          <w:lang w:eastAsia="en-AU"/>
        </w:rPr>
        <w:t xml:space="preserve">]. Under the Aged Care Rules 2025 (the Rules), individuals, prospective individuals or their prospective authorised person or supporter, are entitled to receive particular information from their provider </w:t>
      </w:r>
      <w:r w:rsidR="003B7759">
        <w:rPr>
          <w:rFonts w:eastAsia="Times New Roman" w:cstheme="minorHAnsi"/>
          <w:sz w:val="24"/>
          <w:szCs w:val="24"/>
          <w:lang w:eastAsia="en-AU"/>
        </w:rPr>
        <w:t>within 7 days</w:t>
      </w:r>
      <w:r w:rsidR="002810C9">
        <w:rPr>
          <w:rFonts w:eastAsia="Times New Roman" w:cstheme="minorHAnsi"/>
          <w:sz w:val="24"/>
          <w:szCs w:val="24"/>
          <w:lang w:eastAsia="en-AU"/>
        </w:rPr>
        <w:t xml:space="preserve"> of a</w:t>
      </w:r>
      <w:r w:rsidRPr="00B35C39">
        <w:rPr>
          <w:rFonts w:eastAsia="Times New Roman" w:cstheme="minorHAnsi"/>
          <w:sz w:val="24"/>
          <w:szCs w:val="24"/>
          <w:lang w:eastAsia="en-AU"/>
        </w:rPr>
        <w:t xml:space="preserve"> request.  </w:t>
      </w:r>
    </w:p>
    <w:p w14:paraId="2C656FB9" w14:textId="1FDB9943" w:rsidR="00983634" w:rsidRPr="00B35C39" w:rsidRDefault="00983634" w:rsidP="00B35C39">
      <w:pPr>
        <w:spacing w:after="120" w:line="240" w:lineRule="auto"/>
        <w:textAlignment w:val="baseline"/>
        <w:rPr>
          <w:rFonts w:eastAsia="Times New Roman" w:cstheme="minorHAnsi"/>
          <w:sz w:val="24"/>
          <w:szCs w:val="24"/>
          <w:lang w:eastAsia="en-AU"/>
        </w:rPr>
      </w:pPr>
      <w:r w:rsidRPr="00B35C39">
        <w:rPr>
          <w:rFonts w:eastAsia="Times New Roman" w:cstheme="minorHAnsi"/>
          <w:sz w:val="24"/>
          <w:szCs w:val="24"/>
          <w:lang w:eastAsia="en-AU"/>
        </w:rPr>
        <w:t>This includes, for the previous financial year: </w:t>
      </w:r>
    </w:p>
    <w:p w14:paraId="0A39385F" w14:textId="3A481472" w:rsidR="00A64F97" w:rsidRPr="00B35C39" w:rsidRDefault="00E54924"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 xml:space="preserve">a summary of </w:t>
      </w:r>
      <w:r w:rsidR="00983634" w:rsidRPr="00B35C39">
        <w:rPr>
          <w:rFonts w:asciiTheme="minorHAnsi" w:hAnsiTheme="minorHAnsi" w:cs="Arial"/>
          <w:sz w:val="24"/>
          <w:szCs w:val="24"/>
        </w:rPr>
        <w:t>how refundable deposits and accommodation bonds were used  </w:t>
      </w:r>
    </w:p>
    <w:p w14:paraId="0C75B6B1" w14:textId="77DDB551" w:rsidR="00A64F97" w:rsidRPr="00B35C39" w:rsidRDefault="00983634"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a copy of the most recent permitted uses</w:t>
      </w:r>
      <w:r w:rsidR="00A7265E" w:rsidRPr="00B35C39">
        <w:rPr>
          <w:rFonts w:asciiTheme="minorHAnsi" w:hAnsiTheme="minorHAnsi" w:cs="Arial"/>
          <w:sz w:val="24"/>
          <w:szCs w:val="24"/>
        </w:rPr>
        <w:t xml:space="preserve"> reconciliation</w:t>
      </w:r>
      <w:r w:rsidRPr="00B35C39">
        <w:rPr>
          <w:rFonts w:asciiTheme="minorHAnsi" w:hAnsiTheme="minorHAnsi" w:cs="Arial"/>
          <w:sz w:val="24"/>
          <w:szCs w:val="24"/>
        </w:rPr>
        <w:t>, if one was included in a financial report submitted in the past two years </w:t>
      </w:r>
    </w:p>
    <w:p w14:paraId="6AD09BEC" w14:textId="0F81EDEC" w:rsidR="00330440" w:rsidRPr="00B35C39" w:rsidRDefault="00983634"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whether the registered provider complied with the</w:t>
      </w:r>
      <w:r w:rsidR="002320C9" w:rsidRPr="00B35C39">
        <w:rPr>
          <w:rFonts w:asciiTheme="minorHAnsi" w:hAnsiTheme="minorHAnsi" w:cs="Arial"/>
          <w:sz w:val="24"/>
          <w:szCs w:val="24"/>
        </w:rPr>
        <w:t xml:space="preserve"> requirements for permitted uses of refundable deposits </w:t>
      </w:r>
      <w:r w:rsidRPr="00B35C39">
        <w:rPr>
          <w:rFonts w:asciiTheme="minorHAnsi" w:hAnsiTheme="minorHAnsi" w:cs="Arial"/>
          <w:sz w:val="24"/>
          <w:szCs w:val="24"/>
        </w:rPr>
        <w:t>and the Financial and Prudential Standards </w:t>
      </w:r>
    </w:p>
    <w:p w14:paraId="01AB7E43" w14:textId="201F4617" w:rsidR="00983634" w:rsidRPr="00B35C39" w:rsidRDefault="00983634" w:rsidP="00B35C39">
      <w:pPr>
        <w:pStyle w:val="ListParagraph"/>
        <w:numPr>
          <w:ilvl w:val="0"/>
          <w:numId w:val="13"/>
        </w:numPr>
        <w:tabs>
          <w:tab w:val="clear" w:pos="720"/>
        </w:tabs>
        <w:spacing w:after="0" w:line="240" w:lineRule="auto"/>
        <w:ind w:left="851" w:hanging="425"/>
        <w:rPr>
          <w:rFonts w:cs="Arial"/>
          <w:sz w:val="24"/>
          <w:szCs w:val="24"/>
        </w:rPr>
      </w:pPr>
      <w:r w:rsidRPr="00B35C39">
        <w:rPr>
          <w:rFonts w:asciiTheme="minorHAnsi" w:hAnsiTheme="minorHAnsi" w:cs="Arial"/>
          <w:sz w:val="24"/>
          <w:szCs w:val="24"/>
        </w:rPr>
        <w:t>refund information, including: </w:t>
      </w:r>
    </w:p>
    <w:p w14:paraId="29827BF2" w14:textId="77777777" w:rsidR="00225F3F" w:rsidRPr="00B35C39" w:rsidRDefault="00983634"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number of refundable deposits or accommodation bond balances (if any) that were not refunded on time; and </w:t>
      </w:r>
    </w:p>
    <w:p w14:paraId="40D532D7" w14:textId="4A1883BB" w:rsidR="00983634" w:rsidRPr="00B35C39" w:rsidRDefault="00983634"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number of entry contribution balances (if any) that were not refunded on time </w:t>
      </w:r>
    </w:p>
    <w:p w14:paraId="7BA02842" w14:textId="77777777" w:rsidR="00225F3F" w:rsidRPr="00B35C39" w:rsidRDefault="00983634" w:rsidP="00B35C39">
      <w:pPr>
        <w:pStyle w:val="ListParagraph"/>
        <w:numPr>
          <w:ilvl w:val="0"/>
          <w:numId w:val="13"/>
        </w:numPr>
        <w:tabs>
          <w:tab w:val="clear" w:pos="720"/>
        </w:tabs>
        <w:spacing w:before="0" w:after="120" w:line="240" w:lineRule="auto"/>
        <w:ind w:left="851" w:hanging="425"/>
        <w:rPr>
          <w:rFonts w:asciiTheme="minorHAnsi" w:hAnsiTheme="minorHAnsi" w:cs="Arial"/>
          <w:sz w:val="24"/>
          <w:szCs w:val="24"/>
        </w:rPr>
      </w:pPr>
      <w:r w:rsidRPr="00B35C39">
        <w:rPr>
          <w:rFonts w:asciiTheme="minorHAnsi" w:hAnsiTheme="minorHAnsi" w:cs="Arial"/>
          <w:sz w:val="24"/>
          <w:szCs w:val="24"/>
        </w:rPr>
        <w:t>investment information, if the registered provider is required to keep an investment management strategy, the investment objectives recorded in that strategy </w:t>
      </w:r>
    </w:p>
    <w:p w14:paraId="0557332C" w14:textId="77777777" w:rsidR="00225F3F" w:rsidRPr="00B35C39" w:rsidRDefault="00983634" w:rsidP="00B35C39">
      <w:pPr>
        <w:pStyle w:val="ListParagraph"/>
        <w:numPr>
          <w:ilvl w:val="0"/>
          <w:numId w:val="13"/>
        </w:numPr>
        <w:tabs>
          <w:tab w:val="clear" w:pos="720"/>
        </w:tabs>
        <w:spacing w:after="0" w:line="240" w:lineRule="auto"/>
        <w:ind w:left="851" w:hanging="425"/>
        <w:rPr>
          <w:rFonts w:asciiTheme="minorHAnsi" w:hAnsiTheme="minorHAnsi" w:cs="Arial"/>
          <w:sz w:val="24"/>
          <w:szCs w:val="24"/>
        </w:rPr>
      </w:pPr>
      <w:r w:rsidRPr="00B35C39">
        <w:rPr>
          <w:rFonts w:asciiTheme="minorHAnsi" w:hAnsiTheme="minorHAnsi" w:cs="Arial"/>
          <w:sz w:val="24"/>
          <w:szCs w:val="24"/>
        </w:rPr>
        <w:t>audit reports, including: </w:t>
      </w:r>
    </w:p>
    <w:p w14:paraId="212282DE" w14:textId="77777777" w:rsidR="00225F3F" w:rsidRPr="00B35C39" w:rsidRDefault="00983634" w:rsidP="00B35C39">
      <w:pPr>
        <w:pStyle w:val="Default"/>
        <w:numPr>
          <w:ilvl w:val="1"/>
          <w:numId w:val="108"/>
        </w:numPr>
        <w:spacing w:before="0" w:after="0"/>
        <w:ind w:left="1154"/>
        <w:rPr>
          <w:rFonts w:ascii="Calibri" w:hAnsi="Calibri" w:cs="Calibri"/>
          <w:color w:val="313131"/>
          <w:shd w:val="clear" w:color="auto" w:fill="FFFFFF"/>
        </w:rPr>
      </w:pPr>
      <w:r w:rsidRPr="00B35C39">
        <w:rPr>
          <w:rFonts w:ascii="Calibri" w:hAnsi="Calibri" w:cs="Calibri"/>
          <w:color w:val="313131"/>
          <w:shd w:val="clear" w:color="auto" w:fill="FFFFFF"/>
        </w:rPr>
        <w:t>the most recent statement of audited accounts for the service; or </w:t>
      </w:r>
    </w:p>
    <w:p w14:paraId="1C785622" w14:textId="06913634" w:rsidR="00983634" w:rsidRPr="00B35C39" w:rsidRDefault="00983634" w:rsidP="00B35C39">
      <w:pPr>
        <w:pStyle w:val="Default"/>
        <w:numPr>
          <w:ilvl w:val="1"/>
          <w:numId w:val="108"/>
        </w:numPr>
        <w:spacing w:before="0"/>
        <w:ind w:left="1154"/>
        <w:rPr>
          <w:rFonts w:ascii="Calibri" w:hAnsi="Calibri" w:cs="Calibri"/>
          <w:color w:val="313131"/>
          <w:shd w:val="clear" w:color="auto" w:fill="FFFFFF"/>
        </w:rPr>
      </w:pPr>
      <w:r w:rsidRPr="00B35C39">
        <w:rPr>
          <w:rFonts w:ascii="Calibri" w:hAnsi="Calibri" w:cs="Calibri"/>
          <w:color w:val="313131"/>
          <w:shd w:val="clear" w:color="auto" w:fill="FFFFFF"/>
        </w:rPr>
        <w:t xml:space="preserve">if the </w:t>
      </w:r>
      <w:r w:rsidR="00114811" w:rsidRPr="00B35C39">
        <w:rPr>
          <w:rFonts w:ascii="Calibri" w:hAnsi="Calibri" w:cs="Calibri"/>
          <w:color w:val="313131"/>
          <w:shd w:val="clear" w:color="auto" w:fill="FFFFFF"/>
        </w:rPr>
        <w:t>registered provider</w:t>
      </w:r>
      <w:r w:rsidRPr="00B35C39">
        <w:rPr>
          <w:rFonts w:ascii="Calibri" w:hAnsi="Calibri" w:cs="Calibri"/>
          <w:color w:val="313131"/>
          <w:shd w:val="clear" w:color="auto" w:fill="FFFFFF"/>
        </w:rPr>
        <w:t xml:space="preserve"> is part of a larger organisation, the audited accounts for the aged care component of that organisation </w:t>
      </w:r>
    </w:p>
    <w:p w14:paraId="6798DD94" w14:textId="77777777" w:rsidR="00225F3F" w:rsidRPr="00B35C39" w:rsidRDefault="00983634" w:rsidP="008A51AE">
      <w:pPr>
        <w:spacing w:after="0" w:line="240" w:lineRule="auto"/>
        <w:textAlignment w:val="baseline"/>
        <w:rPr>
          <w:rFonts w:eastAsia="Times New Roman" w:cstheme="minorHAnsi"/>
          <w:sz w:val="24"/>
          <w:szCs w:val="24"/>
          <w:lang w:eastAsia="en-AU"/>
        </w:rPr>
      </w:pPr>
      <w:r w:rsidRPr="00B35C39">
        <w:rPr>
          <w:rFonts w:eastAsia="Times New Roman" w:cstheme="minorHAnsi"/>
          <w:sz w:val="24"/>
          <w:szCs w:val="24"/>
          <w:lang w:eastAsia="en-AU"/>
        </w:rPr>
        <w:t>We must also provide: </w:t>
      </w:r>
    </w:p>
    <w:p w14:paraId="705A4036" w14:textId="2244BDC8" w:rsidR="00983634" w:rsidRPr="00B35C39" w:rsidRDefault="008A51AE" w:rsidP="00B35C39">
      <w:pPr>
        <w:pStyle w:val="ListParagraph"/>
        <w:numPr>
          <w:ilvl w:val="0"/>
          <w:numId w:val="13"/>
        </w:numPr>
        <w:tabs>
          <w:tab w:val="clear" w:pos="720"/>
        </w:tabs>
        <w:spacing w:before="0" w:after="120" w:line="240" w:lineRule="auto"/>
        <w:ind w:left="851" w:hanging="425"/>
        <w:rPr>
          <w:rFonts w:asciiTheme="minorHAnsi" w:hAnsiTheme="minorHAnsi" w:cs="Arial"/>
          <w:sz w:val="24"/>
          <w:szCs w:val="24"/>
        </w:rPr>
      </w:pPr>
      <w:r>
        <w:rPr>
          <w:rFonts w:asciiTheme="minorHAnsi" w:hAnsiTheme="minorHAnsi" w:cs="Arial"/>
          <w:sz w:val="24"/>
          <w:szCs w:val="24"/>
        </w:rPr>
        <w:t>a</w:t>
      </w:r>
      <w:r w:rsidR="00983634" w:rsidRPr="00B35C39">
        <w:rPr>
          <w:rFonts w:asciiTheme="minorHAnsi" w:hAnsiTheme="minorHAnsi" w:cs="Arial"/>
          <w:sz w:val="24"/>
          <w:szCs w:val="24"/>
        </w:rPr>
        <w:t xml:space="preserve"> copy of the </w:t>
      </w:r>
      <w:r w:rsidR="00322B69" w:rsidRPr="00B35C39">
        <w:rPr>
          <w:rFonts w:asciiTheme="minorHAnsi" w:hAnsiTheme="minorHAnsi" w:cs="Arial"/>
          <w:sz w:val="24"/>
          <w:szCs w:val="24"/>
        </w:rPr>
        <w:t>resident’</w:t>
      </w:r>
      <w:r w:rsidR="00983634" w:rsidRPr="00B35C39">
        <w:rPr>
          <w:rFonts w:asciiTheme="minorHAnsi" w:hAnsiTheme="minorHAnsi" w:cs="Arial"/>
          <w:sz w:val="24"/>
          <w:szCs w:val="24"/>
        </w:rPr>
        <w:t>s refundable deposit register entry, showing your balance at the time of the request</w:t>
      </w:r>
    </w:p>
    <w:p w14:paraId="515E4E27" w14:textId="1B12EE2A" w:rsidR="00983634" w:rsidRPr="00B35C39" w:rsidRDefault="60B4A5A1" w:rsidP="00B35C39">
      <w:pPr>
        <w:spacing w:before="200" w:after="0"/>
        <w:rPr>
          <w:b/>
          <w:bCs/>
          <w:color w:val="0070C0"/>
          <w:sz w:val="26"/>
          <w:szCs w:val="26"/>
        </w:rPr>
      </w:pPr>
      <w:r w:rsidRPr="1028C40E">
        <w:rPr>
          <w:b/>
          <w:bCs/>
          <w:color w:val="0070C0"/>
          <w:sz w:val="26"/>
          <w:szCs w:val="26"/>
        </w:rPr>
        <w:t>Important: </w:t>
      </w:r>
    </w:p>
    <w:p w14:paraId="29E915CC" w14:textId="77777777" w:rsidR="00983634" w:rsidRPr="00B35C39" w:rsidRDefault="00983634" w:rsidP="00B35C39">
      <w:pPr>
        <w:spacing w:after="120" w:line="240" w:lineRule="auto"/>
        <w:textAlignment w:val="baseline"/>
        <w:rPr>
          <w:rFonts w:eastAsia="Times New Roman" w:cstheme="minorHAnsi"/>
          <w:sz w:val="24"/>
          <w:szCs w:val="24"/>
          <w:lang w:eastAsia="en-AU"/>
        </w:rPr>
      </w:pPr>
      <w:r w:rsidRPr="00B35C39">
        <w:rPr>
          <w:rFonts w:eastAsia="Times New Roman" w:cstheme="minorHAnsi"/>
          <w:sz w:val="24"/>
          <w:szCs w:val="24"/>
          <w:lang w:eastAsia="en-AU"/>
        </w:rPr>
        <w:t>You (or your authorised person or supporter) can ask for any or all of this information. The provider must give it to you within </w:t>
      </w:r>
      <w:r w:rsidRPr="00B35C39">
        <w:rPr>
          <w:rFonts w:eastAsia="Times New Roman" w:cstheme="minorHAnsi"/>
          <w:b/>
          <w:bCs/>
          <w:sz w:val="24"/>
          <w:szCs w:val="24"/>
          <w:lang w:eastAsia="en-AU"/>
        </w:rPr>
        <w:t>7 days of your request</w:t>
      </w:r>
      <w:r w:rsidRPr="00B35C39">
        <w:rPr>
          <w:rFonts w:eastAsia="Times New Roman" w:cstheme="minorHAnsi"/>
          <w:sz w:val="24"/>
          <w:szCs w:val="24"/>
          <w:lang w:eastAsia="en-AU"/>
        </w:rPr>
        <w:t>, and the information must be correct at the time of issue. </w:t>
      </w:r>
    </w:p>
    <w:p w14:paraId="040BDCF2" w14:textId="77777777" w:rsidR="001321A9" w:rsidRPr="00B35C39" w:rsidRDefault="001321A9" w:rsidP="00B35C39">
      <w:pPr>
        <w:pStyle w:val="Heading2"/>
        <w:spacing w:before="480" w:after="120"/>
        <w:rPr>
          <w:rFonts w:asciiTheme="minorHAnsi" w:hAnsiTheme="minorHAnsi"/>
          <w:b w:val="0"/>
          <w:bCs w:val="0"/>
          <w:color w:val="0070C0"/>
          <w:sz w:val="32"/>
          <w:szCs w:val="32"/>
        </w:rPr>
      </w:pPr>
      <w:r w:rsidRPr="00B35C39">
        <w:rPr>
          <w:rFonts w:asciiTheme="minorHAnsi" w:hAnsiTheme="minorHAnsi"/>
          <w:color w:val="0070C0"/>
          <w:sz w:val="32"/>
          <w:szCs w:val="32"/>
        </w:rPr>
        <w:t>COMPLIANCE WITH THE HIGHER EVERYDAY LIVING FEE PROVISIONS</w:t>
      </w:r>
    </w:p>
    <w:p w14:paraId="569163A9" w14:textId="798C08E1" w:rsidR="00844DCA" w:rsidRPr="00844DCA" w:rsidRDefault="00844DCA" w:rsidP="00B35C39">
      <w:pPr>
        <w:spacing w:after="120"/>
        <w:rPr>
          <w:rFonts w:ascii="Calibri" w:eastAsia="Calibri" w:hAnsi="Calibri" w:cs="Calibri"/>
          <w:sz w:val="24"/>
          <w:szCs w:val="24"/>
        </w:rPr>
      </w:pPr>
      <w:r w:rsidRPr="00844DCA">
        <w:rPr>
          <w:rFonts w:ascii="Calibri" w:eastAsia="Calibri" w:hAnsi="Calibri" w:cs="Calibri"/>
          <w:sz w:val="24"/>
          <w:szCs w:val="24"/>
        </w:rPr>
        <w:t>From the 1 November 2025 provider</w:t>
      </w:r>
      <w:r w:rsidR="00FD3A92">
        <w:rPr>
          <w:rFonts w:ascii="Calibri" w:eastAsia="Calibri" w:hAnsi="Calibri" w:cs="Calibri"/>
          <w:sz w:val="24"/>
          <w:szCs w:val="24"/>
        </w:rPr>
        <w:t>s</w:t>
      </w:r>
      <w:r w:rsidRPr="00844DCA">
        <w:rPr>
          <w:rFonts w:ascii="Calibri" w:eastAsia="Calibri" w:hAnsi="Calibri" w:cs="Calibri"/>
          <w:sz w:val="24"/>
          <w:szCs w:val="24"/>
        </w:rPr>
        <w:t xml:space="preserve"> must deliver permanent and residential respite care in line with the Aged Care Act 2024 and the Aged Care Rules 2025.</w:t>
      </w:r>
    </w:p>
    <w:p w14:paraId="22A933E5" w14:textId="17A05DAF" w:rsidR="00844DCA" w:rsidRPr="00844DCA" w:rsidRDefault="00923647" w:rsidP="00B35C39">
      <w:pPr>
        <w:spacing w:before="200" w:after="120"/>
        <w:rPr>
          <w:rFonts w:ascii="Calibri" w:eastAsia="Arial" w:hAnsi="Calibri" w:cs="Calibri"/>
          <w:sz w:val="24"/>
          <w:szCs w:val="24"/>
        </w:rPr>
      </w:pPr>
      <w:r>
        <w:rPr>
          <w:rFonts w:ascii="Calibri" w:eastAsia="Arial" w:hAnsi="Calibri" w:cs="Calibri"/>
          <w:sz w:val="24"/>
          <w:szCs w:val="24"/>
        </w:rPr>
        <w:t>P</w:t>
      </w:r>
      <w:r w:rsidR="00EF09D0">
        <w:rPr>
          <w:rFonts w:ascii="Calibri" w:eastAsia="Arial" w:hAnsi="Calibri" w:cs="Calibri"/>
          <w:sz w:val="24"/>
          <w:szCs w:val="24"/>
        </w:rPr>
        <w:t>roviders</w:t>
      </w:r>
      <w:r w:rsidR="00844DCA" w:rsidRPr="00844DCA">
        <w:rPr>
          <w:rFonts w:ascii="Calibri" w:eastAsia="Arial" w:hAnsi="Calibri" w:cs="Calibri"/>
          <w:sz w:val="24"/>
          <w:szCs w:val="24"/>
        </w:rPr>
        <w:t xml:space="preserve"> must provide care and services set out in the </w:t>
      </w:r>
      <w:hyperlink r:id="rId72" w:tooltip="Residential Care Service List" w:history="1">
        <w:r w:rsidR="00844DCA" w:rsidRPr="00844DCA">
          <w:rPr>
            <w:rFonts w:ascii="Calibri" w:eastAsia="Arial" w:hAnsi="Calibri" w:cs="Calibri"/>
            <w:color w:val="0000FF"/>
            <w:sz w:val="24"/>
            <w:szCs w:val="24"/>
            <w:u w:val="single"/>
          </w:rPr>
          <w:t>Residential Care Service List</w:t>
        </w:r>
      </w:hyperlink>
      <w:r w:rsidR="00844DCA" w:rsidRPr="00844DCA">
        <w:rPr>
          <w:rFonts w:ascii="Calibri" w:eastAsia="Arial" w:hAnsi="Calibri" w:cs="Calibri"/>
          <w:sz w:val="24"/>
          <w:szCs w:val="24"/>
        </w:rPr>
        <w:t xml:space="preserve"> (the service list) including:</w:t>
      </w:r>
    </w:p>
    <w:p w14:paraId="5038A870"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accommodation</w:t>
      </w:r>
    </w:p>
    <w:p w14:paraId="28A2BF22"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everyday living</w:t>
      </w:r>
    </w:p>
    <w:p w14:paraId="068B4B27"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non-clinical care</w:t>
      </w:r>
    </w:p>
    <w:p w14:paraId="28CEDBCE" w14:textId="77239589"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lastRenderedPageBreak/>
        <w:t>clinical care</w:t>
      </w:r>
    </w:p>
    <w:p w14:paraId="22D33000" w14:textId="54256C85" w:rsidR="00844DCA" w:rsidRPr="00844DCA" w:rsidRDefault="00923647" w:rsidP="00B35C39">
      <w:pPr>
        <w:spacing w:before="200" w:after="120"/>
        <w:rPr>
          <w:rFonts w:ascii="Calibri" w:eastAsia="Arial" w:hAnsi="Calibri" w:cs="Calibri"/>
          <w:sz w:val="24"/>
          <w:szCs w:val="24"/>
        </w:rPr>
      </w:pPr>
      <w:r>
        <w:rPr>
          <w:rFonts w:ascii="Calibri" w:eastAsia="Arial" w:hAnsi="Calibri" w:cs="Calibri"/>
          <w:sz w:val="24"/>
          <w:szCs w:val="24"/>
        </w:rPr>
        <w:t>P</w:t>
      </w:r>
      <w:r w:rsidR="00F26DDD">
        <w:rPr>
          <w:rFonts w:ascii="Calibri" w:eastAsia="Arial" w:hAnsi="Calibri" w:cs="Calibri"/>
          <w:sz w:val="24"/>
          <w:szCs w:val="24"/>
        </w:rPr>
        <w:t>roviders can</w:t>
      </w:r>
      <w:r w:rsidR="00844DCA" w:rsidRPr="00844DCA">
        <w:rPr>
          <w:rFonts w:ascii="Calibri" w:eastAsia="Arial" w:hAnsi="Calibri" w:cs="Calibri"/>
          <w:sz w:val="24"/>
          <w:szCs w:val="24"/>
        </w:rPr>
        <w:t xml:space="preserve"> charge for services (other than accommodation related services) that are of a higher standard, or in addition to, those required to be provided under the Aged Care Rules 202</w:t>
      </w:r>
      <w:r w:rsidR="008653A9">
        <w:rPr>
          <w:rFonts w:ascii="Calibri" w:eastAsia="Arial" w:hAnsi="Calibri" w:cs="Calibri"/>
          <w:sz w:val="24"/>
          <w:szCs w:val="24"/>
        </w:rPr>
        <w:t>5</w:t>
      </w:r>
      <w:r w:rsidR="00844DCA" w:rsidRPr="00844DCA">
        <w:rPr>
          <w:rFonts w:ascii="Calibri" w:eastAsia="Arial" w:hAnsi="Calibri" w:cs="Calibri"/>
          <w:sz w:val="24"/>
          <w:szCs w:val="24"/>
        </w:rPr>
        <w:t xml:space="preserve"> and the service list. </w:t>
      </w:r>
    </w:p>
    <w:p w14:paraId="1AE53264" w14:textId="77777777" w:rsidR="00844DCA" w:rsidRPr="00844DCA" w:rsidRDefault="00844DCA" w:rsidP="00B35C39">
      <w:pPr>
        <w:spacing w:after="120"/>
        <w:rPr>
          <w:rFonts w:ascii="Calibri" w:eastAsia="Arial" w:hAnsi="Calibri" w:cs="Calibri"/>
          <w:sz w:val="24"/>
          <w:szCs w:val="24"/>
        </w:rPr>
      </w:pPr>
      <w:r w:rsidRPr="00844DCA">
        <w:rPr>
          <w:rFonts w:ascii="Calibri" w:eastAsia="Arial" w:hAnsi="Calibri" w:cs="Calibri"/>
          <w:sz w:val="24"/>
          <w:szCs w:val="24"/>
        </w:rPr>
        <w:t>Fees charged for higher standard of services than those on the service list must be charged as a part of a Higher Everyday Living Fee (HELF).</w:t>
      </w:r>
    </w:p>
    <w:p w14:paraId="65CAD741" w14:textId="5D2CD0FC" w:rsidR="00844DCA" w:rsidRPr="00844DCA" w:rsidRDefault="00923647" w:rsidP="00B35C39">
      <w:pPr>
        <w:spacing w:after="120" w:line="240" w:lineRule="auto"/>
        <w:textAlignment w:val="baseline"/>
        <w:rPr>
          <w:rFonts w:ascii="Calibri" w:eastAsia="Times New Roman" w:hAnsi="Calibri" w:cs="Calibri"/>
          <w:color w:val="000000"/>
          <w:sz w:val="24"/>
          <w:szCs w:val="24"/>
          <w:shd w:val="clear" w:color="auto" w:fill="FFFFFF"/>
          <w:lang w:eastAsia="en-AU"/>
        </w:rPr>
      </w:pPr>
      <w:r>
        <w:rPr>
          <w:rFonts w:ascii="Calibri" w:eastAsia="Calibri" w:hAnsi="Calibri" w:cs="Calibri"/>
          <w:sz w:val="24"/>
          <w:szCs w:val="24"/>
        </w:rPr>
        <w:t>P</w:t>
      </w:r>
      <w:r w:rsidR="00F26DDD">
        <w:rPr>
          <w:rFonts w:ascii="Calibri" w:eastAsia="Calibri" w:hAnsi="Calibri" w:cs="Calibri"/>
          <w:sz w:val="24"/>
          <w:szCs w:val="24"/>
        </w:rPr>
        <w:t>roviders are</w:t>
      </w:r>
      <w:r w:rsidR="00844DCA" w:rsidRPr="00844DCA">
        <w:rPr>
          <w:rFonts w:ascii="Calibri" w:eastAsia="Calibri" w:hAnsi="Calibri" w:cs="Calibri"/>
          <w:sz w:val="24"/>
          <w:szCs w:val="24"/>
        </w:rPr>
        <w:t xml:space="preserve"> </w:t>
      </w:r>
      <w:r w:rsidR="00F26DDD" w:rsidRPr="00844DCA">
        <w:rPr>
          <w:rFonts w:ascii="Calibri" w:eastAsia="Calibri" w:hAnsi="Calibri" w:cs="Calibri"/>
          <w:sz w:val="24"/>
          <w:szCs w:val="24"/>
        </w:rPr>
        <w:t>responsibl</w:t>
      </w:r>
      <w:r w:rsidR="00F26DDD">
        <w:rPr>
          <w:rFonts w:ascii="Calibri" w:eastAsia="Calibri" w:hAnsi="Calibri" w:cs="Calibri"/>
          <w:sz w:val="24"/>
          <w:szCs w:val="24"/>
        </w:rPr>
        <w:t xml:space="preserve">e for </w:t>
      </w:r>
      <w:r w:rsidR="00844DCA" w:rsidRPr="00844DCA">
        <w:rPr>
          <w:rFonts w:ascii="Calibri" w:eastAsia="Calibri" w:hAnsi="Calibri" w:cs="Calibri"/>
          <w:sz w:val="24"/>
          <w:szCs w:val="24"/>
        </w:rPr>
        <w:t>ensur</w:t>
      </w:r>
      <w:r w:rsidR="00F26DDD">
        <w:rPr>
          <w:rFonts w:ascii="Calibri" w:eastAsia="Calibri" w:hAnsi="Calibri" w:cs="Calibri"/>
          <w:sz w:val="24"/>
          <w:szCs w:val="24"/>
        </w:rPr>
        <w:t>ing</w:t>
      </w:r>
      <w:r w:rsidR="00844DCA" w:rsidRPr="00844DCA">
        <w:rPr>
          <w:rFonts w:ascii="Calibri" w:eastAsia="Calibri" w:hAnsi="Calibri" w:cs="Calibri"/>
          <w:sz w:val="24"/>
          <w:szCs w:val="24"/>
        </w:rPr>
        <w:t xml:space="preserve"> that any fees </w:t>
      </w:r>
      <w:r w:rsidR="00F26DDD">
        <w:rPr>
          <w:rFonts w:ascii="Calibri" w:eastAsia="Calibri" w:hAnsi="Calibri" w:cs="Calibri"/>
          <w:sz w:val="24"/>
          <w:szCs w:val="24"/>
        </w:rPr>
        <w:t>charged</w:t>
      </w:r>
      <w:r w:rsidR="00844DCA" w:rsidRPr="00844DCA">
        <w:rPr>
          <w:rFonts w:ascii="Calibri" w:eastAsia="Calibri" w:hAnsi="Calibri" w:cs="Calibri"/>
          <w:sz w:val="24"/>
          <w:szCs w:val="24"/>
        </w:rPr>
        <w:t xml:space="preserve"> to residents are consistent with aged care legislation.</w:t>
      </w:r>
      <w:r w:rsidR="00844DCA" w:rsidRPr="00844DCA">
        <w:rPr>
          <w:rFonts w:ascii="Calibri" w:eastAsia="Times New Roman" w:hAnsi="Calibri" w:cs="Calibri"/>
          <w:color w:val="000000"/>
          <w:sz w:val="24"/>
          <w:szCs w:val="24"/>
          <w:shd w:val="clear" w:color="auto" w:fill="FFFFFF"/>
          <w:lang w:eastAsia="en-AU"/>
        </w:rPr>
        <w:t xml:space="preserve"> </w:t>
      </w:r>
      <w:r>
        <w:rPr>
          <w:rFonts w:ascii="Calibri" w:eastAsia="Times New Roman" w:hAnsi="Calibri" w:cs="Calibri"/>
          <w:color w:val="000000"/>
          <w:sz w:val="24"/>
          <w:szCs w:val="24"/>
          <w:shd w:val="clear" w:color="auto" w:fill="FFFFFF"/>
          <w:lang w:eastAsia="en-AU"/>
        </w:rPr>
        <w:t>P</w:t>
      </w:r>
      <w:r w:rsidR="00F26DDD">
        <w:rPr>
          <w:rFonts w:ascii="Calibri" w:eastAsia="Calibri" w:hAnsi="Calibri" w:cs="Calibri"/>
          <w:sz w:val="24"/>
          <w:szCs w:val="24"/>
        </w:rPr>
        <w:t>roviders</w:t>
      </w:r>
      <w:r w:rsidR="00844DCA" w:rsidRPr="00844DCA">
        <w:rPr>
          <w:rFonts w:ascii="Calibri" w:eastAsia="Times New Roman" w:hAnsi="Calibri" w:cs="Calibri"/>
          <w:color w:val="000000"/>
          <w:sz w:val="24"/>
          <w:szCs w:val="24"/>
          <w:shd w:val="clear" w:color="auto" w:fill="FFFFFF"/>
          <w:lang w:eastAsia="en-AU"/>
        </w:rPr>
        <w:t xml:space="preserve"> must be able to demonstrate that services offered as part of the HELF are in addition to, or of a higher level than, those required to provide.</w:t>
      </w:r>
    </w:p>
    <w:p w14:paraId="31B0C9E8" w14:textId="77777777" w:rsidR="00844DCA" w:rsidRPr="00844DCA" w:rsidRDefault="00844DCA" w:rsidP="00E548E2">
      <w:pPr>
        <w:spacing w:before="200" w:after="0"/>
        <w:rPr>
          <w:rFonts w:ascii="Calibri" w:eastAsia="Calibri" w:hAnsi="Calibri" w:cs="Calibri"/>
          <w:b/>
          <w:bCs/>
          <w:color w:val="000000"/>
          <w:sz w:val="24"/>
          <w:szCs w:val="24"/>
        </w:rPr>
      </w:pPr>
      <w:r w:rsidRPr="00844DCA">
        <w:rPr>
          <w:rFonts w:ascii="Calibri" w:eastAsia="Times New Roman" w:hAnsi="Calibri" w:cs="Calibri"/>
          <w:b/>
          <w:bCs/>
          <w:color w:val="0070C0"/>
          <w:sz w:val="24"/>
          <w:szCs w:val="24"/>
        </w:rPr>
        <w:t>Transition from Additional Service Fees and Extra Service Fees to HELF</w:t>
      </w:r>
    </w:p>
    <w:p w14:paraId="663E9555" w14:textId="77777777" w:rsidR="00844DCA" w:rsidRPr="00844DCA" w:rsidRDefault="00844DCA" w:rsidP="00B35C39">
      <w:pPr>
        <w:spacing w:after="120"/>
        <w:rPr>
          <w:rFonts w:ascii="Calibri" w:eastAsia="Arial" w:hAnsi="Calibri" w:cs="Calibri"/>
          <w:color w:val="000000"/>
          <w:sz w:val="24"/>
          <w:szCs w:val="24"/>
          <w:shd w:val="clear" w:color="auto" w:fill="FFFFFF"/>
          <w:lang w:eastAsia="en-AU"/>
        </w:rPr>
      </w:pPr>
      <w:r w:rsidRPr="00844DCA">
        <w:rPr>
          <w:rFonts w:ascii="Calibri" w:eastAsia="Arial" w:hAnsi="Calibri" w:cs="Calibri"/>
          <w:color w:val="000000"/>
          <w:sz w:val="24"/>
          <w:szCs w:val="24"/>
          <w:lang w:eastAsia="en-AU"/>
        </w:rPr>
        <w:t xml:space="preserve">HELF replaced </w:t>
      </w:r>
      <w:r w:rsidRPr="00844DCA">
        <w:rPr>
          <w:rFonts w:ascii="Calibri" w:eastAsia="Arial" w:hAnsi="Calibri" w:cs="Calibri"/>
          <w:color w:val="000000"/>
          <w:sz w:val="24"/>
          <w:szCs w:val="24"/>
          <w:shd w:val="clear" w:color="auto" w:fill="FFFFFF"/>
          <w:lang w:eastAsia="en-AU"/>
        </w:rPr>
        <w:t>Additional Service Fees and Extra Service Fees from 1 November 2025. No new Extra Service Fee or Additional Service Fee arrangements can be entered from 1 November 2025 onwards.</w:t>
      </w:r>
    </w:p>
    <w:p w14:paraId="09F3C5BC" w14:textId="1BEE26D7" w:rsidR="00844DCA" w:rsidRPr="00844DCA" w:rsidRDefault="0080081C" w:rsidP="00B35C39">
      <w:pPr>
        <w:spacing w:after="120"/>
        <w:rPr>
          <w:rFonts w:ascii="Calibri" w:eastAsia="Arial" w:hAnsi="Calibri" w:cs="Calibri"/>
          <w:color w:val="000000"/>
          <w:sz w:val="24"/>
          <w:szCs w:val="24"/>
          <w:shd w:val="clear" w:color="auto" w:fill="FFFFFF"/>
          <w:lang w:eastAsia="en-AU"/>
        </w:rPr>
      </w:pPr>
      <w:r>
        <w:rPr>
          <w:rFonts w:ascii="Calibri" w:eastAsia="Arial" w:hAnsi="Calibri" w:cs="Calibri"/>
          <w:color w:val="000000"/>
          <w:sz w:val="24"/>
          <w:szCs w:val="24"/>
          <w:shd w:val="clear" w:color="auto" w:fill="FFFFFF"/>
          <w:lang w:eastAsia="en-AU"/>
        </w:rPr>
        <w:t>Residents</w:t>
      </w:r>
      <w:r w:rsidR="00844DCA" w:rsidRPr="00844DCA">
        <w:rPr>
          <w:rFonts w:ascii="Calibri" w:eastAsia="Arial" w:hAnsi="Calibri" w:cs="Calibri"/>
          <w:color w:val="000000"/>
          <w:sz w:val="24"/>
          <w:szCs w:val="24"/>
          <w:shd w:val="clear" w:color="auto" w:fill="FFFFFF"/>
          <w:lang w:eastAsia="en-AU"/>
        </w:rPr>
        <w:t xml:space="preserve"> who agreed to these fees prior to 1 November 2025 can continue existing Extra Service Fee and Additional Service Fee arrangements until 31 October 2026. From 1 November 2026 the continuation of extra or additional services must be under the new HELF provisions.</w:t>
      </w:r>
    </w:p>
    <w:p w14:paraId="67F56754" w14:textId="77777777" w:rsidR="00844DCA" w:rsidRPr="00844DCA" w:rsidRDefault="00844DCA" w:rsidP="00E548E2">
      <w:pPr>
        <w:spacing w:before="200" w:after="0"/>
        <w:rPr>
          <w:rFonts w:ascii="Calibri" w:eastAsia="Times New Roman" w:hAnsi="Calibri" w:cs="Calibri"/>
          <w:b/>
          <w:bCs/>
          <w:color w:val="0070C0"/>
          <w:sz w:val="24"/>
          <w:szCs w:val="24"/>
        </w:rPr>
      </w:pPr>
      <w:r w:rsidRPr="00844DCA">
        <w:rPr>
          <w:rFonts w:ascii="Calibri" w:eastAsia="Times New Roman" w:hAnsi="Calibri" w:cs="Calibri"/>
          <w:b/>
          <w:bCs/>
          <w:color w:val="0070C0"/>
          <w:sz w:val="24"/>
          <w:szCs w:val="24"/>
        </w:rPr>
        <w:t>Consumer protections</w:t>
      </w:r>
    </w:p>
    <w:p w14:paraId="4C89FDE5" w14:textId="77777777" w:rsidR="00844DCA" w:rsidRPr="00844DCA" w:rsidRDefault="00844DCA" w:rsidP="00B35C39">
      <w:pPr>
        <w:spacing w:after="120" w:line="240" w:lineRule="auto"/>
        <w:textAlignment w:val="baseline"/>
        <w:rPr>
          <w:rFonts w:ascii="Calibri" w:eastAsia="Times New Roman" w:hAnsi="Calibri" w:cs="Calibri"/>
          <w:color w:val="000000"/>
          <w:sz w:val="24"/>
          <w:szCs w:val="24"/>
          <w:shd w:val="clear" w:color="auto" w:fill="FFFFFF"/>
          <w:lang w:eastAsia="en-AU"/>
        </w:rPr>
      </w:pPr>
      <w:r w:rsidRPr="00844DCA">
        <w:rPr>
          <w:rFonts w:ascii="Calibri" w:eastAsia="Times New Roman" w:hAnsi="Calibri" w:cs="Calibri"/>
          <w:color w:val="000000"/>
          <w:sz w:val="24"/>
          <w:szCs w:val="24"/>
          <w:shd w:val="clear" w:color="auto" w:fill="FFFFFF"/>
          <w:lang w:eastAsia="en-AU"/>
        </w:rPr>
        <w:t xml:space="preserve">The new HELF arrangements are supported by a range of new protections for residents. </w:t>
      </w:r>
    </w:p>
    <w:p w14:paraId="64DE281C" w14:textId="1E4FEBAD" w:rsidR="00844DCA" w:rsidRPr="00B35C39" w:rsidRDefault="008A51AE"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a</w:t>
      </w:r>
      <w:r w:rsidR="00551A7A" w:rsidRPr="00B35C39">
        <w:rPr>
          <w:rFonts w:asciiTheme="minorHAnsi" w:hAnsiTheme="minorHAnsi" w:cs="Arial"/>
          <w:sz w:val="24"/>
          <w:szCs w:val="24"/>
        </w:rPr>
        <w:t xml:space="preserve"> provider </w:t>
      </w:r>
      <w:r w:rsidR="00844DCA" w:rsidRPr="00B35C39">
        <w:rPr>
          <w:rFonts w:asciiTheme="minorHAnsi" w:hAnsiTheme="minorHAnsi" w:cs="Arial"/>
          <w:sz w:val="24"/>
          <w:szCs w:val="24"/>
        </w:rPr>
        <w:t>must not agree to or charge a HELF before a resident has entered care, a HELF cannot be used as a condition of entry or to secure a room. The HELF agreement must be separate from the service and accommodation agreement and cannot be entered into before a service agreement has been signed</w:t>
      </w:r>
    </w:p>
    <w:p w14:paraId="39B5A5EB" w14:textId="2A20D456" w:rsidR="00844DCA" w:rsidRPr="00B35C39" w:rsidRDefault="00A006E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a</w:t>
      </w:r>
      <w:r w:rsidR="00844DCA" w:rsidRPr="00B35C39">
        <w:rPr>
          <w:rFonts w:asciiTheme="minorHAnsi" w:hAnsiTheme="minorHAnsi" w:cs="Arial"/>
          <w:sz w:val="24"/>
          <w:szCs w:val="24"/>
        </w:rPr>
        <w:t xml:space="preserve"> HELF agreement must be in place and must outline the cost of each higher or additional service to be delivered, the standards and frequency at which they will be delivered, and how they will be charged</w:t>
      </w:r>
    </w:p>
    <w:p w14:paraId="08AB09DB" w14:textId="4A6AB633" w:rsidR="00844DCA" w:rsidRPr="00B35C39" w:rsidRDefault="00A006E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a</w:t>
      </w:r>
      <w:r w:rsidR="00844DCA" w:rsidRPr="00B35C39">
        <w:rPr>
          <w:rFonts w:asciiTheme="minorHAnsi" w:hAnsiTheme="minorHAnsi" w:cs="Arial"/>
          <w:sz w:val="24"/>
          <w:szCs w:val="24"/>
        </w:rPr>
        <w:t xml:space="preserve"> resident </w:t>
      </w:r>
      <w:r w:rsidR="00CF7701" w:rsidRPr="00B35C39">
        <w:rPr>
          <w:rFonts w:asciiTheme="minorHAnsi" w:hAnsiTheme="minorHAnsi" w:cs="Arial"/>
          <w:sz w:val="24"/>
          <w:szCs w:val="24"/>
        </w:rPr>
        <w:t xml:space="preserve">must not be asked </w:t>
      </w:r>
      <w:r w:rsidR="00844DCA" w:rsidRPr="00B35C39">
        <w:rPr>
          <w:rFonts w:asciiTheme="minorHAnsi" w:hAnsiTheme="minorHAnsi" w:cs="Arial"/>
          <w:sz w:val="24"/>
          <w:szCs w:val="24"/>
        </w:rPr>
        <w:t xml:space="preserve">to pay for a service that they cannot or will not use (unless the service is in a </w:t>
      </w:r>
      <w:hyperlink w:anchor="Bundles" w:history="1">
        <w:r w:rsidR="00844DCA" w:rsidRPr="00B35C39">
          <w:rPr>
            <w:rFonts w:asciiTheme="minorHAnsi" w:hAnsiTheme="minorHAnsi" w:cs="Arial"/>
            <w:sz w:val="24"/>
            <w:szCs w:val="24"/>
          </w:rPr>
          <w:t>bundle</w:t>
        </w:r>
      </w:hyperlink>
      <w:r w:rsidR="00844DCA" w:rsidRPr="00B35C39">
        <w:rPr>
          <w:rFonts w:asciiTheme="minorHAnsi" w:hAnsiTheme="minorHAnsi" w:cs="Arial"/>
          <w:sz w:val="24"/>
          <w:szCs w:val="24"/>
        </w:rPr>
        <w:t>, where the resident is no worse off than if they paid only for the services they can use)</w:t>
      </w:r>
    </w:p>
    <w:p w14:paraId="24A5D61A" w14:textId="16D03D16" w:rsidR="00844DCA" w:rsidRPr="00B35C39" w:rsidRDefault="00A006E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t</w:t>
      </w:r>
      <w:r w:rsidR="00844DCA" w:rsidRPr="00B35C39">
        <w:rPr>
          <w:rFonts w:asciiTheme="minorHAnsi" w:hAnsiTheme="minorHAnsi" w:cs="Arial"/>
          <w:sz w:val="24"/>
          <w:szCs w:val="24"/>
        </w:rPr>
        <w:t>here is a 28-day cooling off period after signing a standing HELF agreement. This means someone can cancel or vary their higher everyday living services within this period without a cancellation fee</w:t>
      </w:r>
    </w:p>
    <w:p w14:paraId="09135820" w14:textId="3DA821C6" w:rsidR="00844DCA" w:rsidRPr="00B35C39" w:rsidRDefault="00A006E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t</w:t>
      </w:r>
      <w:r w:rsidR="00844DCA" w:rsidRPr="00B35C39">
        <w:rPr>
          <w:rFonts w:asciiTheme="minorHAnsi" w:hAnsiTheme="minorHAnsi" w:cs="Arial"/>
          <w:sz w:val="24"/>
          <w:szCs w:val="24"/>
        </w:rPr>
        <w:t>he HELF agreement must be reviewed at least once a year to ensure the resident still wants the services and is able to use them</w:t>
      </w:r>
    </w:p>
    <w:p w14:paraId="46286B56" w14:textId="327EE4D3" w:rsidR="00844DCA" w:rsidRPr="00B35C39" w:rsidRDefault="00A006E8"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sz w:val="24"/>
          <w:szCs w:val="24"/>
        </w:rPr>
        <w:t>o</w:t>
      </w:r>
      <w:r w:rsidR="00844DCA" w:rsidRPr="00B35C39">
        <w:rPr>
          <w:rFonts w:asciiTheme="minorHAnsi" w:hAnsiTheme="minorHAnsi" w:cs="Arial"/>
          <w:sz w:val="24"/>
          <w:szCs w:val="24"/>
        </w:rPr>
        <w:t>nce higher everyday living services and charges have been agreed, that agreed amount can only be increased annually by indexation</w:t>
      </w:r>
    </w:p>
    <w:p w14:paraId="17AAA66D" w14:textId="77777777" w:rsidR="00844DCA" w:rsidRPr="00844DCA" w:rsidRDefault="00844DCA" w:rsidP="00B35C39">
      <w:pPr>
        <w:spacing w:after="120" w:line="240" w:lineRule="auto"/>
        <w:textAlignment w:val="baseline"/>
        <w:rPr>
          <w:rFonts w:ascii="Calibri" w:eastAsia="Times New Roman" w:hAnsi="Calibri" w:cs="Calibri"/>
          <w:color w:val="000000"/>
          <w:sz w:val="24"/>
          <w:szCs w:val="24"/>
          <w:shd w:val="clear" w:color="auto" w:fill="FFFFFF"/>
          <w:lang w:eastAsia="en-AU"/>
        </w:rPr>
      </w:pPr>
    </w:p>
    <w:p w14:paraId="08BF5175" w14:textId="77777777" w:rsidR="00844DCA" w:rsidRPr="00844DCA" w:rsidRDefault="00844DCA" w:rsidP="00E548E2">
      <w:pPr>
        <w:spacing w:before="200" w:after="0"/>
        <w:rPr>
          <w:rFonts w:ascii="Calibri" w:eastAsia="Times New Roman" w:hAnsi="Calibri" w:cs="Calibri"/>
          <w:b/>
          <w:bCs/>
          <w:color w:val="0070C0"/>
          <w:sz w:val="24"/>
          <w:szCs w:val="24"/>
        </w:rPr>
      </w:pPr>
      <w:r w:rsidRPr="00844DCA">
        <w:rPr>
          <w:rFonts w:ascii="Calibri" w:eastAsia="Times New Roman" w:hAnsi="Calibri" w:cs="Calibri"/>
          <w:b/>
          <w:bCs/>
          <w:color w:val="0070C0"/>
          <w:sz w:val="24"/>
          <w:szCs w:val="24"/>
        </w:rPr>
        <w:t>Fees payable under the HELF agreement</w:t>
      </w:r>
    </w:p>
    <w:p w14:paraId="2EA4AF46" w14:textId="3D04BA7E" w:rsidR="00844DCA" w:rsidRPr="00844DCA" w:rsidRDefault="00513DD1" w:rsidP="00B35C39">
      <w:pPr>
        <w:spacing w:after="120" w:line="240" w:lineRule="auto"/>
        <w:textAlignment w:val="baseline"/>
        <w:rPr>
          <w:rFonts w:ascii="Calibri" w:eastAsia="Calibri" w:hAnsi="Calibri" w:cs="Calibri"/>
          <w:color w:val="000000"/>
          <w:sz w:val="24"/>
          <w:szCs w:val="24"/>
        </w:rPr>
      </w:pPr>
      <w:r>
        <w:rPr>
          <w:rFonts w:ascii="Calibri" w:eastAsia="Calibri" w:hAnsi="Calibri" w:cs="Calibri"/>
          <w:color w:val="000000"/>
          <w:sz w:val="24"/>
          <w:szCs w:val="24"/>
        </w:rPr>
        <w:t>A provider</w:t>
      </w:r>
      <w:r w:rsidR="00844DCA" w:rsidRPr="00844DCA">
        <w:rPr>
          <w:rFonts w:ascii="Calibri" w:eastAsia="Calibri" w:hAnsi="Calibri" w:cs="Calibri"/>
          <w:color w:val="000000"/>
          <w:sz w:val="24"/>
          <w:szCs w:val="24"/>
        </w:rPr>
        <w:t xml:space="preserve"> can determine the cost of higher everyday living services. </w:t>
      </w:r>
      <w:r w:rsidR="00346E9C">
        <w:rPr>
          <w:rFonts w:ascii="Calibri" w:eastAsia="Calibri" w:hAnsi="Calibri" w:cs="Calibri"/>
          <w:color w:val="000000"/>
          <w:sz w:val="24"/>
          <w:szCs w:val="24"/>
        </w:rPr>
        <w:t>T</w:t>
      </w:r>
      <w:r w:rsidR="00844DCA" w:rsidRPr="00844DCA">
        <w:rPr>
          <w:rFonts w:ascii="Calibri" w:eastAsia="Calibri" w:hAnsi="Calibri" w:cs="Calibri"/>
          <w:color w:val="000000"/>
          <w:sz w:val="24"/>
          <w:szCs w:val="24"/>
        </w:rPr>
        <w:t>he government or the Independent Health and Aged Care Pricing Authority (IHACPA)</w:t>
      </w:r>
      <w:r w:rsidR="00346E9C">
        <w:rPr>
          <w:rFonts w:ascii="Calibri" w:eastAsia="Calibri" w:hAnsi="Calibri" w:cs="Calibri"/>
          <w:color w:val="000000"/>
          <w:sz w:val="24"/>
          <w:szCs w:val="24"/>
        </w:rPr>
        <w:t xml:space="preserve"> do not provide </w:t>
      </w:r>
      <w:r w:rsidR="00BB6D62">
        <w:rPr>
          <w:rFonts w:ascii="Calibri" w:eastAsia="Calibri" w:hAnsi="Calibri" w:cs="Calibri"/>
          <w:color w:val="000000"/>
          <w:sz w:val="24"/>
          <w:szCs w:val="24"/>
        </w:rPr>
        <w:t>approvals for HELF fees.</w:t>
      </w:r>
      <w:r w:rsidR="00844DCA" w:rsidRPr="00844DCA">
        <w:rPr>
          <w:rFonts w:ascii="Calibri" w:eastAsia="Calibri" w:hAnsi="Calibri" w:cs="Calibri"/>
          <w:color w:val="000000"/>
          <w:sz w:val="24"/>
          <w:szCs w:val="24"/>
        </w:rPr>
        <w:t xml:space="preserve"> </w:t>
      </w:r>
    </w:p>
    <w:p w14:paraId="7EE4EBFD" w14:textId="1B6BBB7A" w:rsidR="00844DCA" w:rsidRPr="00844DCA" w:rsidRDefault="00844DCA" w:rsidP="00B35C39">
      <w:pPr>
        <w:spacing w:after="120" w:line="240" w:lineRule="auto"/>
        <w:textAlignment w:val="baseline"/>
        <w:rPr>
          <w:rFonts w:ascii="Calibri" w:eastAsia="Calibri" w:hAnsi="Calibri" w:cs="Calibri"/>
          <w:color w:val="000000"/>
          <w:sz w:val="24"/>
          <w:szCs w:val="24"/>
        </w:rPr>
      </w:pPr>
      <w:r w:rsidRPr="00844DCA">
        <w:rPr>
          <w:rFonts w:ascii="Calibri" w:eastAsia="Calibri" w:hAnsi="Calibri" w:cs="Calibri"/>
          <w:color w:val="000000"/>
          <w:sz w:val="24"/>
          <w:szCs w:val="24"/>
        </w:rPr>
        <w:t xml:space="preserve">Once </w:t>
      </w:r>
      <w:r w:rsidR="00BB6D62">
        <w:rPr>
          <w:rFonts w:ascii="Calibri" w:eastAsia="Calibri" w:hAnsi="Calibri" w:cs="Calibri"/>
          <w:color w:val="000000"/>
          <w:sz w:val="24"/>
          <w:szCs w:val="24"/>
        </w:rPr>
        <w:t xml:space="preserve">a price is </w:t>
      </w:r>
      <w:r w:rsidRPr="00844DCA">
        <w:rPr>
          <w:rFonts w:ascii="Calibri" w:eastAsia="Calibri" w:hAnsi="Calibri" w:cs="Calibri"/>
          <w:color w:val="000000"/>
          <w:sz w:val="24"/>
          <w:szCs w:val="24"/>
        </w:rPr>
        <w:t>agreed to and included in a HELF agreement, it can only be increased for that resident through annual indexation. However, the advertised price of HELF services</w:t>
      </w:r>
      <w:r w:rsidR="00BB6D62">
        <w:rPr>
          <w:rFonts w:ascii="Calibri" w:eastAsia="Calibri" w:hAnsi="Calibri" w:cs="Calibri"/>
          <w:color w:val="000000"/>
          <w:sz w:val="24"/>
          <w:szCs w:val="24"/>
        </w:rPr>
        <w:t xml:space="preserve"> can increase</w:t>
      </w:r>
      <w:r w:rsidRPr="00844DCA">
        <w:rPr>
          <w:rFonts w:ascii="Calibri" w:eastAsia="Calibri" w:hAnsi="Calibri" w:cs="Calibri"/>
          <w:color w:val="000000"/>
          <w:sz w:val="24"/>
          <w:szCs w:val="24"/>
        </w:rPr>
        <w:t xml:space="preserve"> for new individuals, allowing prices to keep pace with the costs of service delivery.</w:t>
      </w:r>
    </w:p>
    <w:p w14:paraId="2F3E47C4" w14:textId="77777777" w:rsidR="00844DCA" w:rsidRPr="00844DCA" w:rsidRDefault="00844DCA" w:rsidP="00E548E2">
      <w:pPr>
        <w:spacing w:before="200" w:after="0"/>
        <w:rPr>
          <w:rFonts w:ascii="Calibri" w:eastAsia="Times New Roman" w:hAnsi="Calibri" w:cs="Calibri"/>
          <w:b/>
          <w:bCs/>
          <w:color w:val="0070C0"/>
          <w:sz w:val="24"/>
          <w:szCs w:val="24"/>
        </w:rPr>
      </w:pPr>
      <w:r w:rsidRPr="00844DCA">
        <w:rPr>
          <w:rFonts w:ascii="Calibri" w:eastAsia="Times New Roman" w:hAnsi="Calibri" w:cs="Calibri"/>
          <w:b/>
          <w:bCs/>
          <w:color w:val="0070C0"/>
          <w:sz w:val="24"/>
          <w:szCs w:val="24"/>
        </w:rPr>
        <w:lastRenderedPageBreak/>
        <w:t>Standing and ad hoc agreements</w:t>
      </w:r>
    </w:p>
    <w:p w14:paraId="0353F19D" w14:textId="77777777" w:rsidR="00844DCA" w:rsidRPr="00844DCA" w:rsidRDefault="00844DCA" w:rsidP="00B35C39">
      <w:pPr>
        <w:spacing w:after="120" w:line="240" w:lineRule="auto"/>
        <w:textAlignment w:val="baseline"/>
        <w:rPr>
          <w:rFonts w:ascii="Calibri" w:eastAsia="Calibri" w:hAnsi="Calibri" w:cs="Calibri"/>
          <w:color w:val="000000"/>
          <w:sz w:val="24"/>
          <w:szCs w:val="24"/>
        </w:rPr>
      </w:pPr>
      <w:r w:rsidRPr="00844DCA">
        <w:rPr>
          <w:rFonts w:ascii="Calibri" w:eastAsia="Calibri" w:hAnsi="Calibri" w:cs="Calibri"/>
          <w:color w:val="000000"/>
          <w:sz w:val="24"/>
          <w:szCs w:val="24"/>
        </w:rPr>
        <w:t>There are 2 types of HELF agreements.</w:t>
      </w:r>
    </w:p>
    <w:p w14:paraId="4668CB7B" w14:textId="077F539A" w:rsidR="00844DCA" w:rsidRPr="00B35C39" w:rsidRDefault="00B03FBC"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b/>
          <w:bCs/>
          <w:sz w:val="24"/>
          <w:szCs w:val="24"/>
        </w:rPr>
        <w:t>a</w:t>
      </w:r>
      <w:r w:rsidR="00844DCA" w:rsidRPr="00B35C39">
        <w:rPr>
          <w:rFonts w:asciiTheme="minorHAnsi" w:hAnsiTheme="minorHAnsi" w:cs="Arial"/>
          <w:b/>
          <w:bCs/>
          <w:sz w:val="24"/>
          <w:szCs w:val="24"/>
        </w:rPr>
        <w:t xml:space="preserve"> standing</w:t>
      </w:r>
      <w:r w:rsidR="00844DCA" w:rsidRPr="00B35C39">
        <w:rPr>
          <w:rFonts w:asciiTheme="minorHAnsi" w:hAnsiTheme="minorHAnsi" w:cs="Arial"/>
          <w:sz w:val="24"/>
          <w:szCs w:val="24"/>
        </w:rPr>
        <w:t xml:space="preserve"> (or written) HELF agreement for services that are planned and agreed in advance. This can include ongoing services (such as Wi-Fi), fixed term services (such as a term of yoga classes) or one-off services (such as a haircut). A standing HELF agreement must be in writing</w:t>
      </w:r>
    </w:p>
    <w:p w14:paraId="3D531769" w14:textId="585A9881" w:rsidR="00844DCA" w:rsidRPr="00B35C39" w:rsidRDefault="00B03FBC"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Pr>
          <w:rFonts w:asciiTheme="minorHAnsi" w:hAnsiTheme="minorHAnsi" w:cs="Arial"/>
          <w:b/>
          <w:bCs/>
          <w:sz w:val="24"/>
          <w:szCs w:val="24"/>
        </w:rPr>
        <w:t>a</w:t>
      </w:r>
      <w:r w:rsidR="00844DCA" w:rsidRPr="00B35C39">
        <w:rPr>
          <w:rFonts w:asciiTheme="minorHAnsi" w:hAnsiTheme="minorHAnsi" w:cs="Arial"/>
          <w:b/>
          <w:bCs/>
          <w:sz w:val="24"/>
          <w:szCs w:val="24"/>
        </w:rPr>
        <w:t>n ad-hoc</w:t>
      </w:r>
      <w:r w:rsidR="00844DCA" w:rsidRPr="00B35C39">
        <w:rPr>
          <w:rFonts w:asciiTheme="minorHAnsi" w:hAnsiTheme="minorHAnsi" w:cs="Arial"/>
          <w:sz w:val="24"/>
          <w:szCs w:val="24"/>
        </w:rPr>
        <w:t xml:space="preserve"> HELF agreement restricted to situations where a resident requests a single service which hasn’t been planned or agreed in advance. They can only be entered into immediately before, or at the time, a service is to be delivered. These agreements can be made verbally and cover impromptu purchases such as a coffee at an onsite café</w:t>
      </w:r>
    </w:p>
    <w:p w14:paraId="37B5ECF0" w14:textId="77777777" w:rsidR="00844DCA" w:rsidRPr="00844DCA" w:rsidRDefault="00844DCA" w:rsidP="00E548E2">
      <w:pPr>
        <w:spacing w:before="200" w:after="0"/>
        <w:rPr>
          <w:rFonts w:ascii="Calibri" w:eastAsia="Times New Roman" w:hAnsi="Calibri" w:cs="Calibri"/>
          <w:b/>
          <w:bCs/>
          <w:color w:val="0070C0"/>
          <w:sz w:val="24"/>
          <w:szCs w:val="24"/>
        </w:rPr>
      </w:pPr>
      <w:bookmarkStart w:id="4" w:name="Bundles"/>
      <w:r w:rsidRPr="00844DCA">
        <w:rPr>
          <w:rFonts w:ascii="Calibri" w:eastAsia="Times New Roman" w:hAnsi="Calibri" w:cs="Calibri"/>
          <w:b/>
          <w:bCs/>
          <w:color w:val="0070C0"/>
          <w:sz w:val="24"/>
          <w:szCs w:val="24"/>
        </w:rPr>
        <w:t>Bundles</w:t>
      </w:r>
    </w:p>
    <w:bookmarkEnd w:id="4"/>
    <w:p w14:paraId="594F8C33" w14:textId="6B0086F7" w:rsidR="00844DCA" w:rsidRPr="00844DCA" w:rsidRDefault="00844DCA" w:rsidP="00B35C39">
      <w:pPr>
        <w:spacing w:after="120" w:line="240" w:lineRule="auto"/>
        <w:textAlignment w:val="baseline"/>
        <w:rPr>
          <w:rFonts w:ascii="Calibri" w:eastAsia="Times New Roman" w:hAnsi="Calibri" w:cs="Calibri"/>
          <w:color w:val="000000"/>
          <w:sz w:val="24"/>
          <w:szCs w:val="24"/>
          <w:shd w:val="clear" w:color="auto" w:fill="FFFFFF"/>
          <w:lang w:eastAsia="en-AU"/>
        </w:rPr>
      </w:pPr>
      <w:r w:rsidRPr="00844DCA">
        <w:rPr>
          <w:rFonts w:ascii="Calibri" w:eastAsia="Times New Roman" w:hAnsi="Calibri" w:cs="Calibri"/>
          <w:color w:val="000000"/>
          <w:sz w:val="24"/>
          <w:szCs w:val="24"/>
          <w:shd w:val="clear" w:color="auto" w:fill="FFFFFF"/>
          <w:lang w:eastAsia="en-AU"/>
        </w:rPr>
        <w:t>A standing agreement can be offered as a</w:t>
      </w:r>
      <w:r w:rsidRPr="00844DCA">
        <w:rPr>
          <w:rFonts w:ascii="Calibri" w:eastAsia="Times New Roman" w:hAnsi="Calibri" w:cs="Calibri"/>
          <w:b/>
          <w:bCs/>
          <w:color w:val="000000"/>
          <w:sz w:val="24"/>
          <w:szCs w:val="24"/>
          <w:shd w:val="clear" w:color="auto" w:fill="FFFFFF"/>
          <w:lang w:eastAsia="en-AU"/>
        </w:rPr>
        <w:t xml:space="preserve"> </w:t>
      </w:r>
      <w:r w:rsidRPr="00844DCA">
        <w:rPr>
          <w:rFonts w:ascii="Calibri" w:eastAsia="Times New Roman" w:hAnsi="Calibri" w:cs="Calibri"/>
          <w:color w:val="000000"/>
          <w:sz w:val="24"/>
          <w:szCs w:val="24"/>
          <w:shd w:val="clear" w:color="auto" w:fill="FFFFFF"/>
          <w:lang w:eastAsia="en-AU"/>
        </w:rPr>
        <w:t>bundle, a combination of services that are provided together and charged as a group.</w:t>
      </w:r>
      <w:r w:rsidR="007D6B46">
        <w:rPr>
          <w:rFonts w:ascii="Calibri" w:eastAsia="Times New Roman" w:hAnsi="Calibri" w:cs="Calibri"/>
          <w:color w:val="000000"/>
          <w:sz w:val="24"/>
          <w:szCs w:val="24"/>
          <w:shd w:val="clear" w:color="auto" w:fill="FFFFFF"/>
          <w:lang w:eastAsia="en-AU"/>
        </w:rPr>
        <w:t xml:space="preserve"> A provider:</w:t>
      </w:r>
    </w:p>
    <w:p w14:paraId="5BC278A3" w14:textId="16356164" w:rsidR="00844DCA" w:rsidRPr="00B35C39" w:rsidRDefault="00A906AC"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w:t>
      </w:r>
      <w:r w:rsidR="00844DCA" w:rsidRPr="00B35C39">
        <w:rPr>
          <w:rFonts w:asciiTheme="minorHAnsi" w:hAnsiTheme="minorHAnsi" w:cs="Arial"/>
          <w:sz w:val="24"/>
          <w:szCs w:val="24"/>
        </w:rPr>
        <w:t>an group higher standard services together for a single, often discounted price</w:t>
      </w:r>
    </w:p>
    <w:p w14:paraId="4E9AE592" w14:textId="790DD9A0" w:rsidR="00844DCA" w:rsidRPr="00B35C39" w:rsidRDefault="00A906AC"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m</w:t>
      </w:r>
      <w:r w:rsidR="00D809FB" w:rsidRPr="00B35C39">
        <w:rPr>
          <w:rFonts w:asciiTheme="minorHAnsi" w:hAnsiTheme="minorHAnsi" w:cs="Arial"/>
          <w:sz w:val="24"/>
          <w:szCs w:val="24"/>
        </w:rPr>
        <w:t>ust not</w:t>
      </w:r>
      <w:r w:rsidR="00844DCA" w:rsidRPr="00B35C39">
        <w:rPr>
          <w:rFonts w:asciiTheme="minorHAnsi" w:hAnsiTheme="minorHAnsi" w:cs="Arial"/>
          <w:sz w:val="24"/>
          <w:szCs w:val="24"/>
        </w:rPr>
        <w:t xml:space="preserve"> require a resident to accept a bundle. All services included in a bundle must also be available for purchase individually</w:t>
      </w:r>
    </w:p>
    <w:p w14:paraId="27660282" w14:textId="65CAC022" w:rsidR="00844DCA" w:rsidRPr="00B35C39" w:rsidRDefault="00A906AC"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c</w:t>
      </w:r>
      <w:r w:rsidR="00D809FB" w:rsidRPr="00B35C39">
        <w:rPr>
          <w:rFonts w:asciiTheme="minorHAnsi" w:hAnsiTheme="minorHAnsi" w:cs="Arial"/>
          <w:sz w:val="24"/>
          <w:szCs w:val="24"/>
        </w:rPr>
        <w:t>an</w:t>
      </w:r>
      <w:r w:rsidR="00844DCA" w:rsidRPr="00B35C39">
        <w:rPr>
          <w:rFonts w:asciiTheme="minorHAnsi" w:hAnsiTheme="minorHAnsi" w:cs="Arial"/>
          <w:sz w:val="24"/>
          <w:szCs w:val="24"/>
        </w:rPr>
        <w:t xml:space="preserve"> include a bundle that includes a service the resident cannot use. However, the bundle price must not be more than if the resident paid only for the services they can use</w:t>
      </w:r>
    </w:p>
    <w:p w14:paraId="0F7B015B" w14:textId="77777777" w:rsidR="00844DCA" w:rsidRPr="00844DCA" w:rsidRDefault="00844DCA" w:rsidP="00B35C39">
      <w:pPr>
        <w:autoSpaceDE w:val="0"/>
        <w:autoSpaceDN w:val="0"/>
        <w:adjustRightInd w:val="0"/>
        <w:spacing w:before="200" w:after="0" w:line="240" w:lineRule="auto"/>
        <w:rPr>
          <w:rFonts w:ascii="Arial" w:eastAsia="Times New Roman" w:hAnsi="Arial" w:cs="Arial"/>
          <w:b/>
          <w:bCs/>
          <w:color w:val="E36C0A"/>
          <w:sz w:val="26"/>
          <w:szCs w:val="26"/>
          <w:shd w:val="clear" w:color="auto" w:fill="FFFFFF"/>
          <w:lang w:val="en-US"/>
        </w:rPr>
      </w:pPr>
      <w:r w:rsidRPr="00844DCA">
        <w:rPr>
          <w:rFonts w:ascii="Calibri" w:eastAsia="Times New Roman" w:hAnsi="Calibri" w:cs="Calibri"/>
          <w:b/>
          <w:bCs/>
          <w:color w:val="E36C0A"/>
          <w:sz w:val="26"/>
          <w:szCs w:val="26"/>
          <w:shd w:val="clear" w:color="auto" w:fill="FFFFFF"/>
          <w:lang w:val="en-US"/>
        </w:rPr>
        <w:t>Your response in the APCS </w:t>
      </w:r>
    </w:p>
    <w:p w14:paraId="7CEFC883" w14:textId="77777777" w:rsidR="00844DCA" w:rsidRPr="00844DCA" w:rsidRDefault="00844DCA" w:rsidP="00B35C39">
      <w:pPr>
        <w:spacing w:after="120"/>
        <w:rPr>
          <w:rFonts w:ascii="Calibri" w:eastAsia="Arial" w:hAnsi="Calibri" w:cs="Calibri"/>
          <w:color w:val="000000"/>
          <w:sz w:val="24"/>
          <w:szCs w:val="24"/>
          <w:lang w:eastAsia="en-AU"/>
        </w:rPr>
      </w:pPr>
      <w:r w:rsidRPr="00844DCA">
        <w:rPr>
          <w:rFonts w:ascii="Calibri" w:eastAsia="Arial" w:hAnsi="Calibri" w:cs="Calibri"/>
          <w:color w:val="000000"/>
          <w:sz w:val="24"/>
          <w:szCs w:val="24"/>
          <w:lang w:eastAsia="en-AU"/>
        </w:rPr>
        <w:t>In addition to considering your compliance with the provision of other care and services fees for the entire reporting period, as described in Part 1, you must also consider your compliance with the HELF provisions from 1 November 2026.</w:t>
      </w:r>
    </w:p>
    <w:p w14:paraId="15EC3C3C" w14:textId="77777777" w:rsidR="00844DCA" w:rsidRPr="00844DCA" w:rsidRDefault="00844DCA" w:rsidP="00B35C39">
      <w:pPr>
        <w:spacing w:after="120"/>
        <w:rPr>
          <w:rFonts w:ascii="Calibri" w:eastAsia="Arial" w:hAnsi="Calibri" w:cs="Calibri"/>
          <w:color w:val="000000"/>
          <w:sz w:val="24"/>
          <w:szCs w:val="24"/>
          <w:lang w:eastAsia="en-AU"/>
        </w:rPr>
      </w:pPr>
      <w:r w:rsidRPr="00844DCA">
        <w:rPr>
          <w:rFonts w:ascii="Calibri" w:eastAsia="Arial" w:hAnsi="Calibri" w:cs="Calibri"/>
          <w:color w:val="000000"/>
          <w:sz w:val="24"/>
          <w:szCs w:val="24"/>
          <w:lang w:eastAsia="en-AU"/>
        </w:rPr>
        <w:t>You should only respond No if you entered additional or extra service fee agreements up to 31 October 2026 and HELF agreements from 1 November that:</w:t>
      </w:r>
    </w:p>
    <w:p w14:paraId="22CF79FA"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do not or did not provide a direct benefit to the care recipient; or</w:t>
      </w:r>
    </w:p>
    <w:p w14:paraId="0C873DCC"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resident was not able to make use of; or</w:t>
      </w:r>
    </w:p>
    <w:p w14:paraId="3B5A63A5"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were part of the normal operation of an aged care home and fall within the scope of specified care and services</w:t>
      </w:r>
    </w:p>
    <w:p w14:paraId="15AD950C" w14:textId="77777777" w:rsidR="00844DCA" w:rsidRPr="00844DCA" w:rsidRDefault="00844DCA" w:rsidP="00B35C39">
      <w:pPr>
        <w:spacing w:after="120"/>
        <w:rPr>
          <w:rFonts w:ascii="Calibri" w:eastAsia="Arial" w:hAnsi="Calibri" w:cs="Calibri"/>
          <w:color w:val="000000"/>
          <w:sz w:val="24"/>
          <w:szCs w:val="24"/>
          <w:lang w:eastAsia="en-AU"/>
        </w:rPr>
      </w:pPr>
      <w:r w:rsidRPr="00844DCA">
        <w:rPr>
          <w:rFonts w:ascii="Calibri" w:eastAsia="Arial" w:hAnsi="Calibri" w:cs="Calibri"/>
          <w:sz w:val="24"/>
          <w:szCs w:val="24"/>
          <w:lang w:eastAsia="en-AU"/>
        </w:rPr>
        <w:t>If you answered ‘YES’, you must submit a separate statement with the following details: </w:t>
      </w:r>
    </w:p>
    <w:p w14:paraId="3F3BBA9C"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total value of each such fee received during the financial year </w:t>
      </w:r>
    </w:p>
    <w:p w14:paraId="7172D6EC"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reason for charging or the intended use of these fees or charges </w:t>
      </w:r>
    </w:p>
    <w:p w14:paraId="5DAC1D49" w14:textId="77777777"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steps have you taken or are taking to refund these fees or charges </w:t>
      </w:r>
    </w:p>
    <w:p w14:paraId="2EEC559C" w14:textId="77C5A378" w:rsidR="00844DCA" w:rsidRPr="00B35C39" w:rsidRDefault="00844DCA"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processes that are now in place to ensure future compliance </w:t>
      </w:r>
    </w:p>
    <w:p w14:paraId="3B9CFE37" w14:textId="77777777" w:rsidR="00844DCA" w:rsidRPr="00844DCA" w:rsidRDefault="00844DCA" w:rsidP="00B35C39">
      <w:pPr>
        <w:spacing w:after="120" w:line="240" w:lineRule="auto"/>
        <w:textAlignment w:val="baseline"/>
        <w:rPr>
          <w:rFonts w:ascii="Calibri" w:eastAsia="Arial" w:hAnsi="Calibri" w:cs="Calibri"/>
          <w:color w:val="000000"/>
          <w:sz w:val="24"/>
          <w:szCs w:val="24"/>
          <w:lang w:eastAsia="en-AU"/>
        </w:rPr>
      </w:pPr>
      <w:r w:rsidRPr="00844DCA">
        <w:rPr>
          <w:rFonts w:ascii="Calibri" w:eastAsia="Arial" w:hAnsi="Calibri" w:cs="Calibri"/>
          <w:color w:val="000000"/>
          <w:sz w:val="24"/>
          <w:szCs w:val="24"/>
          <w:lang w:eastAsia="en-AU"/>
        </w:rPr>
        <w:t>You must also answer ‘YES’ if you entered into any additional or extra service fee agreements from 1 November 2026.</w:t>
      </w:r>
    </w:p>
    <w:p w14:paraId="41E15D4C" w14:textId="152C840E" w:rsidR="002928E1" w:rsidRPr="006A4336" w:rsidRDefault="002928E1" w:rsidP="00B35C39">
      <w:pPr>
        <w:pStyle w:val="Heading2"/>
        <w:spacing w:before="480" w:after="120"/>
        <w:rPr>
          <w:rFonts w:ascii="Calibri" w:hAnsi="Calibri" w:cs="Calibri"/>
          <w:color w:val="0070C0"/>
          <w:sz w:val="32"/>
          <w:szCs w:val="32"/>
        </w:rPr>
      </w:pPr>
      <w:r w:rsidRPr="006A4336">
        <w:rPr>
          <w:rFonts w:ascii="Calibri" w:hAnsi="Calibri" w:cs="Calibri"/>
          <w:color w:val="0070C0"/>
          <w:sz w:val="32"/>
          <w:szCs w:val="32"/>
        </w:rPr>
        <w:t>COMPLIANCE WITH RULES AROUND CHARGING ACCOMMODATION PAYMENTS AND CONTRIBUTIONS</w:t>
      </w:r>
    </w:p>
    <w:p w14:paraId="7DC51714" w14:textId="77777777" w:rsidR="002928E1" w:rsidRPr="006A4336" w:rsidRDefault="002928E1" w:rsidP="00B35C39">
      <w:pPr>
        <w:spacing w:after="0"/>
        <w:rPr>
          <w:rFonts w:ascii="Calibri" w:hAnsi="Calibri" w:cs="Calibri"/>
          <w:b/>
          <w:bCs/>
          <w:color w:val="0070C0"/>
          <w:sz w:val="26"/>
          <w:szCs w:val="26"/>
        </w:rPr>
      </w:pPr>
      <w:r w:rsidRPr="006A4336">
        <w:rPr>
          <w:rFonts w:ascii="Calibri" w:hAnsi="Calibri" w:cs="Calibri"/>
          <w:b/>
          <w:bCs/>
          <w:color w:val="0070C0"/>
          <w:sz w:val="26"/>
          <w:szCs w:val="26"/>
        </w:rPr>
        <w:t>Accommodation payments</w:t>
      </w:r>
      <w:r>
        <w:rPr>
          <w:rFonts w:ascii="Calibri" w:hAnsi="Calibri" w:cs="Calibri"/>
          <w:b/>
          <w:bCs/>
          <w:color w:val="0070C0"/>
          <w:sz w:val="26"/>
          <w:szCs w:val="26"/>
        </w:rPr>
        <w:t xml:space="preserve"> </w:t>
      </w:r>
    </w:p>
    <w:p w14:paraId="0D135EBE" w14:textId="7A85A3C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 xml:space="preserve">Rule 289-5 of the Rules sets the maximum amount of accommodation payment that </w:t>
      </w:r>
      <w:r w:rsidR="00101A9E">
        <w:rPr>
          <w:rFonts w:ascii="Calibri" w:hAnsi="Calibri" w:cs="Calibri"/>
          <w:sz w:val="24"/>
          <w:szCs w:val="24"/>
        </w:rPr>
        <w:t>a provider</w:t>
      </w:r>
      <w:r w:rsidRPr="006A4336">
        <w:rPr>
          <w:rFonts w:ascii="Calibri" w:hAnsi="Calibri" w:cs="Calibri"/>
          <w:sz w:val="24"/>
          <w:szCs w:val="24"/>
        </w:rPr>
        <w:t xml:space="preserve"> can charge for a room, (expressed as a refundable accommodation deposit (RAD) amount). This </w:t>
      </w:r>
      <w:r w:rsidRPr="006A4336">
        <w:rPr>
          <w:rFonts w:ascii="Calibri" w:hAnsi="Calibri" w:cs="Calibri"/>
          <w:sz w:val="24"/>
          <w:szCs w:val="24"/>
        </w:rPr>
        <w:lastRenderedPageBreak/>
        <w:t xml:space="preserve">amount is indexed annually. </w:t>
      </w:r>
      <w:r w:rsidR="0083764E">
        <w:rPr>
          <w:rFonts w:ascii="Calibri" w:hAnsi="Calibri" w:cs="Calibri"/>
          <w:sz w:val="24"/>
          <w:szCs w:val="24"/>
        </w:rPr>
        <w:t>T</w:t>
      </w:r>
      <w:r w:rsidRPr="006A4336">
        <w:rPr>
          <w:rFonts w:ascii="Calibri" w:hAnsi="Calibri" w:cs="Calibri"/>
          <w:sz w:val="24"/>
          <w:szCs w:val="24"/>
        </w:rPr>
        <w:t xml:space="preserve">he current maximum amount </w:t>
      </w:r>
      <w:r w:rsidR="0083764E">
        <w:rPr>
          <w:rFonts w:ascii="Calibri" w:hAnsi="Calibri" w:cs="Calibri"/>
          <w:sz w:val="24"/>
          <w:szCs w:val="24"/>
        </w:rPr>
        <w:t xml:space="preserve">is provided </w:t>
      </w:r>
      <w:r w:rsidRPr="006A4336">
        <w:rPr>
          <w:rFonts w:ascii="Calibri" w:hAnsi="Calibri" w:cs="Calibri"/>
          <w:sz w:val="24"/>
          <w:szCs w:val="24"/>
        </w:rPr>
        <w:t xml:space="preserve">on the </w:t>
      </w:r>
      <w:hyperlink r:id="rId73" w:history="1">
        <w:r w:rsidRPr="00F90A93">
          <w:rPr>
            <w:rStyle w:val="Hyperlink"/>
            <w:rFonts w:ascii="Calibri" w:hAnsi="Calibri" w:cs="Calibri"/>
            <w:sz w:val="24"/>
            <w:szCs w:val="24"/>
          </w:rPr>
          <w:t>Department of Health, Disability and Ageing website</w:t>
        </w:r>
      </w:hyperlink>
      <w:r w:rsidRPr="006A4336">
        <w:rPr>
          <w:rFonts w:ascii="Calibri" w:hAnsi="Calibri" w:cs="Calibri"/>
          <w:sz w:val="24"/>
          <w:szCs w:val="24"/>
        </w:rPr>
        <w:t>.</w:t>
      </w:r>
    </w:p>
    <w:p w14:paraId="3B2657E5" w14:textId="0EF6BB4E" w:rsidR="002928E1" w:rsidRPr="006A4336" w:rsidRDefault="009D3964" w:rsidP="00C573D6">
      <w:pPr>
        <w:pStyle w:val="Default"/>
        <w:rPr>
          <w:rFonts w:ascii="Calibri" w:hAnsi="Calibri" w:cs="Calibri"/>
        </w:rPr>
      </w:pPr>
      <w:r>
        <w:rPr>
          <w:rFonts w:ascii="Calibri" w:hAnsi="Calibri" w:cs="Calibri"/>
        </w:rPr>
        <w:t>A provider</w:t>
      </w:r>
      <w:r w:rsidR="002928E1" w:rsidRPr="006A4336">
        <w:rPr>
          <w:rFonts w:ascii="Calibri" w:hAnsi="Calibri" w:cs="Calibri"/>
        </w:rPr>
        <w:t xml:space="preserve"> can only charge above the maximum amount for a room, if the room is included in an up-to-date approval from the Independent Health and Aged Care Pricing Authority (IHACPA).</w:t>
      </w:r>
    </w:p>
    <w:p w14:paraId="4906C0DC" w14:textId="77777777" w:rsidR="002928E1" w:rsidRPr="006A4336" w:rsidRDefault="002928E1" w:rsidP="00E548E2">
      <w:pPr>
        <w:spacing w:before="200" w:after="0"/>
        <w:rPr>
          <w:rFonts w:ascii="Calibri" w:hAnsi="Calibri" w:cs="Calibri"/>
          <w:b/>
          <w:bCs/>
          <w:color w:val="0070C0"/>
          <w:sz w:val="26"/>
          <w:szCs w:val="26"/>
        </w:rPr>
      </w:pPr>
      <w:r w:rsidRPr="006A4336">
        <w:rPr>
          <w:rFonts w:ascii="Calibri" w:hAnsi="Calibri" w:cs="Calibri"/>
          <w:b/>
          <w:bCs/>
          <w:color w:val="0070C0"/>
          <w:sz w:val="26"/>
          <w:szCs w:val="26"/>
        </w:rPr>
        <w:t>Accommodation contributions</w:t>
      </w:r>
    </w:p>
    <w:p w14:paraId="23219B81" w14:textId="7B9425B6" w:rsidR="002928E1" w:rsidRPr="006A4336" w:rsidRDefault="002928E1" w:rsidP="00B35C39">
      <w:pPr>
        <w:pStyle w:val="Default"/>
        <w:spacing w:before="0"/>
        <w:rPr>
          <w:rFonts w:ascii="Calibri" w:hAnsi="Calibri" w:cs="Calibri"/>
        </w:rPr>
      </w:pPr>
      <w:r w:rsidRPr="006A4336">
        <w:rPr>
          <w:rFonts w:ascii="Calibri" w:hAnsi="Calibri" w:cs="Calibri"/>
        </w:rPr>
        <w:t>If a resident qualifies for low means status and is eligible for government support with their accommodation costs,</w:t>
      </w:r>
      <w:r w:rsidR="009D3964">
        <w:rPr>
          <w:rFonts w:ascii="Calibri" w:hAnsi="Calibri" w:cs="Calibri"/>
        </w:rPr>
        <w:t xml:space="preserve"> a provider</w:t>
      </w:r>
      <w:r w:rsidRPr="006A4336">
        <w:rPr>
          <w:rFonts w:ascii="Calibri" w:hAnsi="Calibri" w:cs="Calibri"/>
        </w:rPr>
        <w:t xml:space="preserve"> can only charge the daily accommodation contribution (DAC) amount set by Services Australia, based on the resident’s income and assets. </w:t>
      </w:r>
    </w:p>
    <w:p w14:paraId="430BBBC4" w14:textId="77777777" w:rsidR="002928E1" w:rsidRPr="006A4336" w:rsidRDefault="002928E1" w:rsidP="00C573D6">
      <w:pPr>
        <w:pStyle w:val="Default"/>
        <w:rPr>
          <w:rFonts w:ascii="Calibri" w:hAnsi="Calibri" w:cs="Calibri"/>
        </w:rPr>
      </w:pPr>
      <w:r w:rsidRPr="006A4336">
        <w:rPr>
          <w:rFonts w:ascii="Calibri" w:hAnsi="Calibri" w:cs="Calibri"/>
        </w:rPr>
        <w:t xml:space="preserve">A resident can choose to pay a refundable accommodation contribution (RAC) or a combination of DAC and RAC. </w:t>
      </w:r>
    </w:p>
    <w:p w14:paraId="0FEF21DF" w14:textId="4930E8F7" w:rsidR="002928E1" w:rsidRPr="006A4336" w:rsidRDefault="00AC24CE" w:rsidP="00B35C39">
      <w:pPr>
        <w:pStyle w:val="Default"/>
        <w:spacing w:before="200"/>
        <w:rPr>
          <w:rFonts w:ascii="Calibri" w:hAnsi="Calibri" w:cs="Calibri"/>
          <w:color w:val="313131"/>
          <w:shd w:val="clear" w:color="auto" w:fill="FFFFFF"/>
        </w:rPr>
      </w:pPr>
      <w:r>
        <w:rPr>
          <w:rFonts w:ascii="Calibri" w:hAnsi="Calibri" w:cs="Calibri"/>
          <w:color w:val="313131"/>
          <w:shd w:val="clear" w:color="auto" w:fill="FFFFFF"/>
        </w:rPr>
        <w:t>C</w:t>
      </w:r>
      <w:r w:rsidR="002928E1" w:rsidRPr="006A4336">
        <w:rPr>
          <w:rFonts w:ascii="Calibri" w:hAnsi="Calibri" w:cs="Calibri"/>
          <w:color w:val="313131"/>
          <w:shd w:val="clear" w:color="auto" w:fill="FFFFFF"/>
        </w:rPr>
        <w:t>ontribution amounts can reduce over time, including when a resident’s circumstances change</w:t>
      </w:r>
      <w:r w:rsidR="002928E1">
        <w:rPr>
          <w:rFonts w:ascii="Calibri" w:hAnsi="Calibri" w:cs="Calibri"/>
          <w:color w:val="313131"/>
          <w:shd w:val="clear" w:color="auto" w:fill="FFFFFF"/>
        </w:rPr>
        <w:t>,</w:t>
      </w:r>
      <w:r w:rsidR="002928E1" w:rsidRPr="006A4336">
        <w:rPr>
          <w:rFonts w:ascii="Calibri" w:hAnsi="Calibri" w:cs="Calibri"/>
          <w:color w:val="313131"/>
          <w:shd w:val="clear" w:color="auto" w:fill="FFFFFF"/>
        </w:rPr>
        <w:t xml:space="preserve"> and if an aged care home does not meet the 40% supported resident ratio.</w:t>
      </w:r>
      <w:r w:rsidR="002928E1">
        <w:rPr>
          <w:rFonts w:ascii="Calibri" w:hAnsi="Calibri" w:cs="Calibri"/>
          <w:color w:val="313131"/>
          <w:shd w:val="clear" w:color="auto" w:fill="FFFFFF"/>
        </w:rPr>
        <w:t xml:space="preserve"> When the contribution amount </w:t>
      </w:r>
      <w:r>
        <w:rPr>
          <w:rFonts w:ascii="Calibri" w:hAnsi="Calibri" w:cs="Calibri"/>
          <w:color w:val="313131"/>
          <w:shd w:val="clear" w:color="auto" w:fill="FFFFFF"/>
        </w:rPr>
        <w:t>is reduced</w:t>
      </w:r>
      <w:r w:rsidR="002928E1">
        <w:rPr>
          <w:rFonts w:ascii="Calibri" w:hAnsi="Calibri" w:cs="Calibri"/>
          <w:color w:val="313131"/>
          <w:shd w:val="clear" w:color="auto" w:fill="FFFFFF"/>
        </w:rPr>
        <w:t xml:space="preserve">, </w:t>
      </w:r>
      <w:r w:rsidR="00B958BC">
        <w:rPr>
          <w:rFonts w:ascii="Calibri" w:hAnsi="Calibri" w:cs="Calibri"/>
          <w:color w:val="313131"/>
          <w:shd w:val="clear" w:color="auto" w:fill="FFFFFF"/>
        </w:rPr>
        <w:t>a provider</w:t>
      </w:r>
      <w:r w:rsidR="002928E1">
        <w:rPr>
          <w:rFonts w:ascii="Calibri" w:hAnsi="Calibri" w:cs="Calibri"/>
          <w:color w:val="313131"/>
          <w:shd w:val="clear" w:color="auto" w:fill="FFFFFF"/>
        </w:rPr>
        <w:t xml:space="preserve"> must only charge the reduced amount. If a RAC is held, </w:t>
      </w:r>
      <w:r>
        <w:rPr>
          <w:rFonts w:ascii="Calibri" w:hAnsi="Calibri" w:cs="Calibri"/>
          <w:color w:val="313131"/>
          <w:shd w:val="clear" w:color="auto" w:fill="FFFFFF"/>
        </w:rPr>
        <w:t>the RAC must be</w:t>
      </w:r>
      <w:r w:rsidR="002928E1">
        <w:rPr>
          <w:rFonts w:ascii="Calibri" w:hAnsi="Calibri" w:cs="Calibri"/>
          <w:color w:val="313131"/>
          <w:shd w:val="clear" w:color="auto" w:fill="FFFFFF"/>
        </w:rPr>
        <w:t xml:space="preserve"> recalculate</w:t>
      </w:r>
      <w:r>
        <w:rPr>
          <w:rFonts w:ascii="Calibri" w:hAnsi="Calibri" w:cs="Calibri"/>
          <w:color w:val="313131"/>
          <w:shd w:val="clear" w:color="auto" w:fill="FFFFFF"/>
        </w:rPr>
        <w:t xml:space="preserve">d </w:t>
      </w:r>
      <w:r w:rsidR="002928E1">
        <w:rPr>
          <w:rFonts w:ascii="Calibri" w:hAnsi="Calibri" w:cs="Calibri"/>
          <w:color w:val="313131"/>
          <w:shd w:val="clear" w:color="auto" w:fill="FFFFFF"/>
        </w:rPr>
        <w:t>based on the updated DAC amount.</w:t>
      </w:r>
    </w:p>
    <w:p w14:paraId="314C192E" w14:textId="084A8B5B" w:rsidR="0032457D" w:rsidRPr="00B35C39" w:rsidRDefault="004744D9" w:rsidP="00B35C39">
      <w:pPr>
        <w:spacing w:before="200" w:after="0"/>
        <w:rPr>
          <w:rFonts w:ascii="Calibri" w:hAnsi="Calibri" w:cs="Calibri"/>
          <w:b/>
          <w:bCs/>
          <w:color w:val="0070C0"/>
          <w:sz w:val="26"/>
          <w:szCs w:val="26"/>
        </w:rPr>
      </w:pPr>
      <w:r w:rsidRPr="00B35C39">
        <w:rPr>
          <w:rFonts w:ascii="Calibri" w:hAnsi="Calibri" w:cs="Calibri"/>
          <w:b/>
          <w:bCs/>
          <w:color w:val="0070C0"/>
          <w:sz w:val="26"/>
          <w:szCs w:val="26"/>
        </w:rPr>
        <w:t>Changes to DAC</w:t>
      </w:r>
      <w:r w:rsidR="002B744C" w:rsidRPr="00B35C39">
        <w:rPr>
          <w:rFonts w:ascii="Calibri" w:hAnsi="Calibri" w:cs="Calibri"/>
          <w:b/>
          <w:bCs/>
          <w:color w:val="0070C0"/>
          <w:sz w:val="26"/>
          <w:szCs w:val="26"/>
        </w:rPr>
        <w:t xml:space="preserve"> and RAC</w:t>
      </w:r>
      <w:r w:rsidRPr="00B35C39">
        <w:rPr>
          <w:rFonts w:ascii="Calibri" w:hAnsi="Calibri" w:cs="Calibri"/>
          <w:b/>
          <w:bCs/>
          <w:color w:val="0070C0"/>
          <w:sz w:val="26"/>
          <w:szCs w:val="26"/>
        </w:rPr>
        <w:t xml:space="preserve"> amount</w:t>
      </w:r>
      <w:r w:rsidR="00B11173" w:rsidRPr="00B35C39">
        <w:rPr>
          <w:rFonts w:ascii="Calibri" w:hAnsi="Calibri" w:cs="Calibri"/>
          <w:b/>
          <w:bCs/>
          <w:color w:val="0070C0"/>
          <w:sz w:val="26"/>
          <w:szCs w:val="26"/>
        </w:rPr>
        <w:t>s</w:t>
      </w:r>
    </w:p>
    <w:p w14:paraId="7F61485D" w14:textId="21B17E6E" w:rsidR="002928E1" w:rsidRPr="00B35C39" w:rsidRDefault="002928E1" w:rsidP="00B35C39">
      <w:pPr>
        <w:pStyle w:val="Default"/>
        <w:numPr>
          <w:ilvl w:val="0"/>
          <w:numId w:val="104"/>
        </w:numPr>
        <w:rPr>
          <w:rFonts w:asciiTheme="minorHAnsi" w:eastAsia="Calibri" w:hAnsiTheme="minorHAnsi"/>
          <w:color w:val="auto"/>
          <w:lang w:val="en-AU"/>
        </w:rPr>
      </w:pPr>
      <w:r w:rsidRPr="00B35C39">
        <w:rPr>
          <w:rFonts w:asciiTheme="minorHAnsi" w:eastAsia="Calibri" w:hAnsiTheme="minorHAnsi"/>
          <w:b/>
          <w:bCs/>
          <w:color w:val="auto"/>
          <w:lang w:val="en-AU"/>
        </w:rPr>
        <w:t xml:space="preserve">Services Australia </w:t>
      </w:r>
      <w:r w:rsidRPr="00B35C39">
        <w:rPr>
          <w:rFonts w:asciiTheme="minorHAnsi" w:eastAsia="Calibri" w:hAnsiTheme="minorHAnsi"/>
          <w:color w:val="auto"/>
          <w:lang w:val="en-AU"/>
        </w:rPr>
        <w:t>will notify you if the DAC changes due to a change in the resident’s personal or financial circumstances or indexation of aged care fees and thresholds.</w:t>
      </w:r>
    </w:p>
    <w:p w14:paraId="5DE562F6" w14:textId="75E6681F" w:rsidR="00FA62E0" w:rsidRPr="00B35C39" w:rsidRDefault="003619AE" w:rsidP="00B35C39">
      <w:pPr>
        <w:pStyle w:val="Default"/>
        <w:numPr>
          <w:ilvl w:val="0"/>
          <w:numId w:val="104"/>
        </w:numPr>
        <w:spacing w:before="0"/>
        <w:rPr>
          <w:rFonts w:asciiTheme="minorHAnsi" w:eastAsia="Calibri" w:hAnsiTheme="minorHAnsi"/>
          <w:color w:val="auto"/>
          <w:lang w:val="en-AU"/>
        </w:rPr>
      </w:pPr>
      <w:r>
        <w:rPr>
          <w:rFonts w:asciiTheme="minorHAnsi" w:eastAsia="Calibri" w:hAnsiTheme="minorHAnsi"/>
          <w:b/>
          <w:bCs/>
          <w:color w:val="auto"/>
          <w:lang w:val="en-AU"/>
        </w:rPr>
        <w:t>r</w:t>
      </w:r>
      <w:r w:rsidR="00255632" w:rsidRPr="00B35C39">
        <w:rPr>
          <w:rFonts w:asciiTheme="minorHAnsi" w:eastAsia="Calibri" w:hAnsiTheme="minorHAnsi"/>
          <w:b/>
          <w:bCs/>
          <w:color w:val="auto"/>
          <w:lang w:val="en-AU"/>
        </w:rPr>
        <w:t xml:space="preserve">egistered </w:t>
      </w:r>
      <w:r w:rsidR="00041235" w:rsidRPr="00B35C39">
        <w:rPr>
          <w:rFonts w:asciiTheme="minorHAnsi" w:eastAsia="Calibri" w:hAnsiTheme="minorHAnsi"/>
          <w:b/>
          <w:bCs/>
          <w:color w:val="auto"/>
          <w:lang w:val="en-AU"/>
        </w:rPr>
        <w:t>p</w:t>
      </w:r>
      <w:r w:rsidR="00255632" w:rsidRPr="00B35C39">
        <w:rPr>
          <w:rFonts w:asciiTheme="minorHAnsi" w:eastAsia="Calibri" w:hAnsiTheme="minorHAnsi"/>
          <w:b/>
          <w:bCs/>
          <w:color w:val="auto"/>
          <w:lang w:val="en-AU"/>
        </w:rPr>
        <w:t>roviders</w:t>
      </w:r>
      <w:r w:rsidR="002928E1" w:rsidRPr="00B35C39">
        <w:rPr>
          <w:rFonts w:asciiTheme="minorHAnsi" w:eastAsia="Calibri" w:hAnsiTheme="minorHAnsi"/>
          <w:b/>
          <w:bCs/>
          <w:color w:val="auto"/>
          <w:lang w:val="en-AU"/>
        </w:rPr>
        <w:t xml:space="preserve"> </w:t>
      </w:r>
      <w:r w:rsidR="002928E1" w:rsidRPr="00B35C39">
        <w:rPr>
          <w:rFonts w:asciiTheme="minorHAnsi" w:eastAsia="Calibri" w:hAnsiTheme="minorHAnsi"/>
          <w:color w:val="auto"/>
          <w:lang w:val="en-AU"/>
        </w:rPr>
        <w:t xml:space="preserve">are responsible for calculating adjustments to </w:t>
      </w:r>
      <w:r w:rsidR="00C947A9" w:rsidRPr="00B35C39">
        <w:rPr>
          <w:rFonts w:asciiTheme="minorHAnsi" w:eastAsia="Calibri" w:hAnsiTheme="minorHAnsi"/>
          <w:color w:val="auto"/>
          <w:lang w:val="en-AU"/>
        </w:rPr>
        <w:t>D</w:t>
      </w:r>
      <w:r w:rsidR="002928E1" w:rsidRPr="00B35C39">
        <w:rPr>
          <w:rFonts w:asciiTheme="minorHAnsi" w:eastAsia="Calibri" w:hAnsiTheme="minorHAnsi"/>
          <w:color w:val="auto"/>
          <w:lang w:val="en-AU"/>
        </w:rPr>
        <w:t>AC amounts</w:t>
      </w:r>
      <w:r w:rsidR="00FA62E0" w:rsidRPr="00B35C39">
        <w:rPr>
          <w:rFonts w:asciiTheme="minorHAnsi" w:eastAsia="Calibri" w:hAnsiTheme="minorHAnsi"/>
          <w:color w:val="auto"/>
          <w:lang w:val="en-AU"/>
        </w:rPr>
        <w:t>:</w:t>
      </w:r>
    </w:p>
    <w:p w14:paraId="4744E0DC" w14:textId="77777777" w:rsidR="00FA62E0" w:rsidRDefault="002928E1" w:rsidP="00B35C39">
      <w:pPr>
        <w:pStyle w:val="Default"/>
        <w:numPr>
          <w:ilvl w:val="1"/>
          <w:numId w:val="108"/>
        </w:numPr>
        <w:spacing w:before="0" w:after="0"/>
        <w:ind w:left="1154"/>
        <w:rPr>
          <w:rFonts w:ascii="Calibri" w:hAnsi="Calibri" w:cs="Calibri"/>
          <w:color w:val="313131"/>
          <w:shd w:val="clear" w:color="auto" w:fill="FFFFFF"/>
        </w:rPr>
      </w:pPr>
      <w:r w:rsidRPr="006A4336">
        <w:rPr>
          <w:rFonts w:ascii="Calibri" w:hAnsi="Calibri" w:cs="Calibri"/>
          <w:color w:val="313131"/>
          <w:shd w:val="clear" w:color="auto" w:fill="FFFFFF"/>
        </w:rPr>
        <w:t xml:space="preserve">if the resident has paid a </w:t>
      </w:r>
      <w:r w:rsidR="00255632">
        <w:rPr>
          <w:rFonts w:ascii="Calibri" w:hAnsi="Calibri" w:cs="Calibri"/>
          <w:color w:val="313131"/>
          <w:shd w:val="clear" w:color="auto" w:fill="FFFFFF"/>
        </w:rPr>
        <w:t xml:space="preserve">part </w:t>
      </w:r>
      <w:r w:rsidRPr="006A4336">
        <w:rPr>
          <w:rFonts w:ascii="Calibri" w:hAnsi="Calibri" w:cs="Calibri"/>
          <w:color w:val="313131"/>
          <w:shd w:val="clear" w:color="auto" w:fill="FFFFFF"/>
        </w:rPr>
        <w:t>RAC</w:t>
      </w:r>
    </w:p>
    <w:p w14:paraId="021BA9EF" w14:textId="2110E5CC" w:rsidR="002928E1" w:rsidRDefault="002928E1" w:rsidP="00B35C39">
      <w:pPr>
        <w:pStyle w:val="Default"/>
        <w:numPr>
          <w:ilvl w:val="1"/>
          <w:numId w:val="108"/>
        </w:numPr>
        <w:spacing w:before="0" w:after="0"/>
        <w:ind w:left="1154"/>
        <w:rPr>
          <w:rFonts w:ascii="Calibri" w:hAnsi="Calibri" w:cs="Calibri"/>
          <w:color w:val="313131"/>
          <w:shd w:val="clear" w:color="auto" w:fill="FFFFFF"/>
        </w:rPr>
      </w:pPr>
      <w:r w:rsidRPr="006A4336">
        <w:rPr>
          <w:rFonts w:ascii="Calibri" w:hAnsi="Calibri" w:cs="Calibri"/>
          <w:color w:val="313131"/>
          <w:shd w:val="clear" w:color="auto" w:fill="FFFFFF"/>
        </w:rPr>
        <w:t xml:space="preserve">if the maximum DAC is reduced in calendar months where </w:t>
      </w:r>
      <w:r w:rsidR="00FA62E0">
        <w:rPr>
          <w:rFonts w:ascii="Calibri" w:hAnsi="Calibri" w:cs="Calibri"/>
          <w:color w:val="313131"/>
          <w:shd w:val="clear" w:color="auto" w:fill="FFFFFF"/>
        </w:rPr>
        <w:t>the provider does</w:t>
      </w:r>
      <w:r w:rsidRPr="006A4336">
        <w:rPr>
          <w:rFonts w:ascii="Calibri" w:hAnsi="Calibri" w:cs="Calibri"/>
          <w:color w:val="313131"/>
          <w:shd w:val="clear" w:color="auto" w:fill="FFFFFF"/>
        </w:rPr>
        <w:t xml:space="preserve"> not meet the 40% supported resident ratio</w:t>
      </w:r>
    </w:p>
    <w:p w14:paraId="0B58754A" w14:textId="50B2D4FD" w:rsidR="008E6073" w:rsidRPr="00B35C39" w:rsidRDefault="003619AE" w:rsidP="00B35C39">
      <w:pPr>
        <w:pStyle w:val="ListParagraph"/>
        <w:numPr>
          <w:ilvl w:val="0"/>
          <w:numId w:val="13"/>
        </w:numPr>
        <w:tabs>
          <w:tab w:val="clear" w:pos="720"/>
        </w:tabs>
        <w:spacing w:after="120" w:line="240" w:lineRule="auto"/>
        <w:ind w:left="851" w:hanging="425"/>
        <w:rPr>
          <w:rFonts w:asciiTheme="minorHAnsi" w:hAnsiTheme="minorHAnsi" w:cs="Arial"/>
        </w:rPr>
      </w:pPr>
      <w:r>
        <w:rPr>
          <w:rFonts w:asciiTheme="minorHAnsi" w:hAnsiTheme="minorHAnsi" w:cs="Arial"/>
          <w:b/>
          <w:bCs/>
          <w:sz w:val="24"/>
          <w:szCs w:val="24"/>
        </w:rPr>
        <w:t>r</w:t>
      </w:r>
      <w:r w:rsidR="00BB12A4" w:rsidRPr="00B35C39">
        <w:rPr>
          <w:rFonts w:asciiTheme="minorHAnsi" w:hAnsiTheme="minorHAnsi" w:cs="Arial"/>
          <w:b/>
          <w:bCs/>
          <w:sz w:val="24"/>
          <w:szCs w:val="24"/>
        </w:rPr>
        <w:t xml:space="preserve">egistered </w:t>
      </w:r>
      <w:r w:rsidR="00041235" w:rsidRPr="00B35C39">
        <w:rPr>
          <w:rFonts w:asciiTheme="minorHAnsi" w:hAnsiTheme="minorHAnsi" w:cs="Arial"/>
          <w:b/>
          <w:bCs/>
          <w:sz w:val="24"/>
          <w:szCs w:val="24"/>
        </w:rPr>
        <w:t>p</w:t>
      </w:r>
      <w:r w:rsidR="00BB12A4" w:rsidRPr="00B35C39">
        <w:rPr>
          <w:rFonts w:asciiTheme="minorHAnsi" w:hAnsiTheme="minorHAnsi" w:cs="Arial"/>
          <w:b/>
          <w:bCs/>
          <w:sz w:val="24"/>
          <w:szCs w:val="24"/>
        </w:rPr>
        <w:t>roviders</w:t>
      </w:r>
      <w:r w:rsidR="00BB12A4" w:rsidRPr="00B35C39">
        <w:rPr>
          <w:rFonts w:asciiTheme="minorHAnsi" w:hAnsiTheme="minorHAnsi" w:cs="Arial"/>
          <w:sz w:val="24"/>
          <w:szCs w:val="24"/>
        </w:rPr>
        <w:t xml:space="preserve"> are responsible for calculating</w:t>
      </w:r>
      <w:r w:rsidR="00291298" w:rsidRPr="00B35C39">
        <w:rPr>
          <w:rFonts w:asciiTheme="minorHAnsi" w:hAnsiTheme="minorHAnsi" w:cs="Arial"/>
          <w:sz w:val="24"/>
          <w:szCs w:val="24"/>
        </w:rPr>
        <w:t xml:space="preserve"> the </w:t>
      </w:r>
      <w:r w:rsidR="003602B4" w:rsidRPr="00B35C39">
        <w:rPr>
          <w:rFonts w:asciiTheme="minorHAnsi" w:hAnsiTheme="minorHAnsi" w:cs="Arial"/>
          <w:sz w:val="24"/>
          <w:szCs w:val="24"/>
        </w:rPr>
        <w:t xml:space="preserve">new RAC when </w:t>
      </w:r>
      <w:r w:rsidR="006D69CB" w:rsidRPr="00B35C39">
        <w:rPr>
          <w:rFonts w:asciiTheme="minorHAnsi" w:hAnsiTheme="minorHAnsi" w:cs="Arial"/>
          <w:sz w:val="24"/>
          <w:szCs w:val="24"/>
        </w:rPr>
        <w:t>the DAC changes. If the adjusted DAC results in an overpaid RAC, the overpaid amount must be refunded</w:t>
      </w:r>
    </w:p>
    <w:p w14:paraId="582C3366" w14:textId="632F9B6E" w:rsidR="002928E1" w:rsidRPr="006A4336" w:rsidRDefault="002928E1" w:rsidP="00B35C39">
      <w:pPr>
        <w:pStyle w:val="Default"/>
        <w:spacing w:before="200" w:after="0"/>
        <w:rPr>
          <w:rFonts w:ascii="Calibri" w:eastAsiaTheme="minorHAnsi" w:hAnsi="Calibri" w:cs="Calibri"/>
          <w:b/>
          <w:bCs/>
          <w:color w:val="0070C0"/>
          <w:sz w:val="26"/>
          <w:szCs w:val="26"/>
        </w:rPr>
      </w:pPr>
      <w:r w:rsidRPr="006A4336">
        <w:rPr>
          <w:rFonts w:ascii="Calibri" w:eastAsiaTheme="minorHAnsi" w:hAnsi="Calibri" w:cs="Calibri"/>
          <w:b/>
          <w:bCs/>
          <w:color w:val="0070C0"/>
          <w:sz w:val="26"/>
          <w:szCs w:val="26"/>
        </w:rPr>
        <w:t xml:space="preserve">Obligations when </w:t>
      </w:r>
      <w:r w:rsidR="0012555F">
        <w:rPr>
          <w:rFonts w:ascii="Calibri" w:eastAsiaTheme="minorHAnsi" w:hAnsi="Calibri" w:cs="Calibri"/>
          <w:b/>
          <w:bCs/>
          <w:color w:val="0070C0"/>
          <w:sz w:val="26"/>
          <w:szCs w:val="26"/>
        </w:rPr>
        <w:t>a registered provider</w:t>
      </w:r>
      <w:r w:rsidRPr="006A4336">
        <w:rPr>
          <w:rFonts w:ascii="Calibri" w:eastAsiaTheme="minorHAnsi" w:hAnsi="Calibri" w:cs="Calibri"/>
          <w:b/>
          <w:bCs/>
          <w:color w:val="0070C0"/>
          <w:sz w:val="26"/>
          <w:szCs w:val="26"/>
        </w:rPr>
        <w:t xml:space="preserve"> become</w:t>
      </w:r>
      <w:r w:rsidR="0012555F">
        <w:rPr>
          <w:rFonts w:ascii="Calibri" w:eastAsiaTheme="minorHAnsi" w:hAnsi="Calibri" w:cs="Calibri"/>
          <w:b/>
          <w:bCs/>
          <w:color w:val="0070C0"/>
          <w:sz w:val="26"/>
          <w:szCs w:val="26"/>
        </w:rPr>
        <w:t>s</w:t>
      </w:r>
      <w:r w:rsidRPr="006A4336">
        <w:rPr>
          <w:rFonts w:ascii="Calibri" w:eastAsiaTheme="minorHAnsi" w:hAnsi="Calibri" w:cs="Calibri"/>
          <w:b/>
          <w:bCs/>
          <w:color w:val="0070C0"/>
          <w:sz w:val="26"/>
          <w:szCs w:val="26"/>
        </w:rPr>
        <w:t xml:space="preserve"> aware of overpaid amounts</w:t>
      </w:r>
    </w:p>
    <w:p w14:paraId="32BCB030" w14:textId="3F2213F9" w:rsidR="002928E1" w:rsidRPr="006A4336" w:rsidRDefault="00464883" w:rsidP="00B35C39">
      <w:pPr>
        <w:spacing w:after="120"/>
        <w:rPr>
          <w:rFonts w:ascii="Calibri" w:hAnsi="Calibri" w:cs="Calibri"/>
          <w:sz w:val="24"/>
          <w:szCs w:val="24"/>
        </w:rPr>
      </w:pPr>
      <w:r>
        <w:rPr>
          <w:rFonts w:ascii="Calibri" w:hAnsi="Calibri" w:cs="Calibri"/>
          <w:sz w:val="24"/>
          <w:szCs w:val="24"/>
        </w:rPr>
        <w:t>P</w:t>
      </w:r>
      <w:r w:rsidR="002928E1" w:rsidRPr="006A4336">
        <w:rPr>
          <w:rFonts w:ascii="Calibri" w:hAnsi="Calibri" w:cs="Calibri"/>
          <w:sz w:val="24"/>
          <w:szCs w:val="24"/>
        </w:rPr>
        <w:t>roviders have an obligation to repay residents overpaid or overcharged accommodation payments and contributions. If the refund</w:t>
      </w:r>
      <w:r w:rsidR="004658BC">
        <w:rPr>
          <w:rFonts w:ascii="Calibri" w:hAnsi="Calibri" w:cs="Calibri"/>
          <w:sz w:val="24"/>
          <w:szCs w:val="24"/>
        </w:rPr>
        <w:t xml:space="preserve"> is not completed</w:t>
      </w:r>
      <w:r w:rsidR="002928E1" w:rsidRPr="006A4336">
        <w:rPr>
          <w:rFonts w:ascii="Calibri" w:hAnsi="Calibri" w:cs="Calibri"/>
          <w:sz w:val="24"/>
          <w:szCs w:val="24"/>
        </w:rPr>
        <w:t xml:space="preserve"> within 28 days of </w:t>
      </w:r>
      <w:r w:rsidR="004658BC">
        <w:rPr>
          <w:rFonts w:ascii="Calibri" w:hAnsi="Calibri" w:cs="Calibri"/>
          <w:sz w:val="24"/>
          <w:szCs w:val="24"/>
        </w:rPr>
        <w:t xml:space="preserve">the provider </w:t>
      </w:r>
      <w:r w:rsidR="002928E1" w:rsidRPr="006A4336">
        <w:rPr>
          <w:rFonts w:ascii="Calibri" w:hAnsi="Calibri" w:cs="Calibri"/>
          <w:sz w:val="24"/>
          <w:szCs w:val="24"/>
        </w:rPr>
        <w:t>becoming aware of the overpaid amount, an interest component</w:t>
      </w:r>
      <w:r w:rsidR="004658BC">
        <w:rPr>
          <w:rFonts w:ascii="Calibri" w:hAnsi="Calibri" w:cs="Calibri"/>
          <w:sz w:val="24"/>
          <w:szCs w:val="24"/>
        </w:rPr>
        <w:t xml:space="preserve"> must be included</w:t>
      </w:r>
      <w:r w:rsidR="002928E1" w:rsidRPr="006A4336">
        <w:rPr>
          <w:rFonts w:ascii="Calibri" w:hAnsi="Calibri" w:cs="Calibri"/>
          <w:sz w:val="24"/>
          <w:szCs w:val="24"/>
        </w:rPr>
        <w:t xml:space="preserve"> with the repayment</w:t>
      </w:r>
      <w:r w:rsidR="00C822C1">
        <w:rPr>
          <w:rFonts w:ascii="Calibri" w:hAnsi="Calibri" w:cs="Calibri"/>
          <w:sz w:val="24"/>
          <w:szCs w:val="24"/>
        </w:rPr>
        <w:t xml:space="preserve"> (see</w:t>
      </w:r>
      <w:r w:rsidR="00C822C1" w:rsidRPr="00C822C1">
        <w:rPr>
          <w:rFonts w:ascii="Calibri" w:hAnsi="Calibri" w:cs="Calibri"/>
          <w:sz w:val="24"/>
          <w:szCs w:val="24"/>
        </w:rPr>
        <w:t xml:space="preserve"> rules 302-20 and 304-5 of the Rules</w:t>
      </w:r>
      <w:r w:rsidR="00C822C1">
        <w:rPr>
          <w:rFonts w:ascii="Calibri" w:hAnsi="Calibri" w:cs="Calibri"/>
          <w:sz w:val="24"/>
          <w:szCs w:val="24"/>
        </w:rPr>
        <w:t>).</w:t>
      </w:r>
    </w:p>
    <w:p w14:paraId="0BBFFD01" w14:textId="77777777" w:rsidR="002928E1" w:rsidRPr="006A4336" w:rsidRDefault="002928E1" w:rsidP="00B35C39">
      <w:pPr>
        <w:pStyle w:val="Default"/>
        <w:spacing w:before="200" w:after="0"/>
        <w:rPr>
          <w:rFonts w:ascii="Calibri" w:hAnsi="Calibri" w:cs="Calibri"/>
        </w:rPr>
      </w:pPr>
      <w:r>
        <w:rPr>
          <w:rStyle w:val="normaltextrun"/>
          <w:rFonts w:ascii="Calibri" w:hAnsi="Calibri" w:cs="Calibri"/>
          <w:b/>
          <w:bCs/>
          <w:color w:val="E36C0A"/>
          <w:sz w:val="26"/>
          <w:szCs w:val="26"/>
          <w:shd w:val="clear" w:color="auto" w:fill="FFFFFF"/>
        </w:rPr>
        <w:t>Your response in the APCS </w:t>
      </w:r>
      <w:r>
        <w:rPr>
          <w:rStyle w:val="eop"/>
          <w:rFonts w:ascii="Calibri" w:hAnsi="Calibri" w:cs="Calibri"/>
          <w:color w:val="E36C0A"/>
          <w:sz w:val="26"/>
          <w:szCs w:val="26"/>
          <w:shd w:val="clear" w:color="auto" w:fill="FFFFFF"/>
        </w:rPr>
        <w:t> </w:t>
      </w:r>
    </w:p>
    <w:p w14:paraId="5F59C17D"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Your APCS must include the following additional information about accommodation payments and contributions for the reporting period. This is required under subrules 166-365(2)(s),(t) and (u) of the Aged Care Rules 2025.</w:t>
      </w:r>
    </w:p>
    <w:p w14:paraId="1160C61C"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For each accommodation agreement entered for a room priced above the maximum accommodation payment amount, did you have a current approval from the Pricing Authority at the time the individual agreed to the payment priced above the maximum accommodation payment amount?</w:t>
      </w:r>
    </w:p>
    <w:p w14:paraId="489CD0A6"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Only answer ‘N/A’ if you did not enter into any agreements priced above the maximum accommodation payment amount</w:t>
      </w:r>
    </w:p>
    <w:p w14:paraId="42FD5E26"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If you answered ‘NO’ you must provide a separate statement with the following details for each overcharged amount:</w:t>
      </w:r>
    </w:p>
    <w:p w14:paraId="0D11BC96"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lastRenderedPageBreak/>
        <w:t>the reason for charging without approval i.e. approval lapsed, approval was conditional</w:t>
      </w:r>
    </w:p>
    <w:p w14:paraId="7C7C85BA"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date you became aware of overcharging</w:t>
      </w:r>
    </w:p>
    <w:p w14:paraId="50233C76"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date the overcharged amount was refunded</w:t>
      </w:r>
    </w:p>
    <w:p w14:paraId="72D35980"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amount refunded (include separate amounts for the amount overcharged and the interest paid)</w:t>
      </w:r>
    </w:p>
    <w:p w14:paraId="311D6D26" w14:textId="5C2B18E3"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processes that are now in place to ensure future compliance</w:t>
      </w:r>
    </w:p>
    <w:p w14:paraId="4EC417DA" w14:textId="518A19E9"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Where there is a decrease or reduction in the payable amount from each resident’s daily accommodation contribution, resulting in an overpaid contribution or refundable contribution held, did you refund the overpaid amount within 28 days of becoming aware of the reduced amount payable?</w:t>
      </w:r>
    </w:p>
    <w:p w14:paraId="53D3F4DD"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Only answer ‘N/A’ if you did not have supported residents/contributors.</w:t>
      </w:r>
    </w:p>
    <w:p w14:paraId="0565A6FE"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If you answered ‘NO’ you must provide a separate statement with the following details for each overcharged amount that was not refunded within 28 days:</w:t>
      </w:r>
    </w:p>
    <w:p w14:paraId="27C4168C"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date you became aware of the overpayment</w:t>
      </w:r>
    </w:p>
    <w:p w14:paraId="28A1BC26"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date the overpaid amount was refunded</w:t>
      </w:r>
    </w:p>
    <w:p w14:paraId="5FBBB5A0" w14:textId="77777777"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amount refunded (include separate amounts for the amount overcharged and the interest paid)</w:t>
      </w:r>
    </w:p>
    <w:p w14:paraId="3F33A154" w14:textId="52A5EB95" w:rsidR="002928E1" w:rsidRPr="00B35C39" w:rsidRDefault="002928E1" w:rsidP="00B35C39">
      <w:pPr>
        <w:pStyle w:val="ListParagraph"/>
        <w:numPr>
          <w:ilvl w:val="0"/>
          <w:numId w:val="13"/>
        </w:numPr>
        <w:tabs>
          <w:tab w:val="clear" w:pos="720"/>
        </w:tabs>
        <w:spacing w:after="120" w:line="240" w:lineRule="auto"/>
        <w:ind w:left="851" w:hanging="425"/>
        <w:rPr>
          <w:rFonts w:asciiTheme="minorHAnsi" w:hAnsiTheme="minorHAnsi" w:cs="Arial"/>
          <w:sz w:val="24"/>
          <w:szCs w:val="24"/>
        </w:rPr>
      </w:pPr>
      <w:r w:rsidRPr="00B35C39">
        <w:rPr>
          <w:rFonts w:asciiTheme="minorHAnsi" w:hAnsiTheme="minorHAnsi" w:cs="Arial"/>
          <w:sz w:val="24"/>
          <w:szCs w:val="24"/>
        </w:rPr>
        <w:t>the processes that are now in place to ensure future compliance</w:t>
      </w:r>
    </w:p>
    <w:p w14:paraId="14FA1DC5"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Where you became aware of overcharged accommodation payments or contributions from previous reporting periods, did you refund the overpaid amount within 28 days after you became aware of the overpaid amount?</w:t>
      </w:r>
    </w:p>
    <w:p w14:paraId="5A54CDE1"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Only answer ‘N/A’ if you did not become aware of overcharged accommodation payments or contributions from previous reporting periods.</w:t>
      </w:r>
    </w:p>
    <w:p w14:paraId="026B1D3D" w14:textId="77777777" w:rsidR="002928E1" w:rsidRPr="006A4336" w:rsidRDefault="002928E1" w:rsidP="00B35C39">
      <w:pPr>
        <w:spacing w:after="120"/>
        <w:rPr>
          <w:rFonts w:ascii="Calibri" w:hAnsi="Calibri" w:cs="Calibri"/>
          <w:sz w:val="24"/>
          <w:szCs w:val="24"/>
        </w:rPr>
      </w:pPr>
      <w:r w:rsidRPr="006A4336">
        <w:rPr>
          <w:rFonts w:ascii="Calibri" w:hAnsi="Calibri" w:cs="Calibri"/>
          <w:sz w:val="24"/>
          <w:szCs w:val="24"/>
        </w:rPr>
        <w:t>If you answered ‘NO’ you must provide a separate statement with the following details:</w:t>
      </w:r>
    </w:p>
    <w:p w14:paraId="624D613C" w14:textId="77777777" w:rsidR="002928E1" w:rsidRPr="00B35C39" w:rsidRDefault="002928E1" w:rsidP="00B35C39">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B35C39">
        <w:rPr>
          <w:rFonts w:asciiTheme="minorHAnsi" w:hAnsiTheme="minorHAnsi" w:cs="Arial"/>
          <w:sz w:val="24"/>
          <w:szCs w:val="24"/>
        </w:rPr>
        <w:t>the reason for overcharging i.e. approval lapsed, approval was conditional, decrease in contribution payable</w:t>
      </w:r>
    </w:p>
    <w:p w14:paraId="4D981DDB" w14:textId="77777777" w:rsidR="002928E1" w:rsidRPr="00B35C39" w:rsidRDefault="002928E1" w:rsidP="00B35C39">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B35C39">
        <w:rPr>
          <w:rFonts w:asciiTheme="minorHAnsi" w:hAnsiTheme="minorHAnsi" w:cs="Arial"/>
          <w:sz w:val="24"/>
          <w:szCs w:val="24"/>
        </w:rPr>
        <w:t>the date the overpaid amount was refunded</w:t>
      </w:r>
    </w:p>
    <w:p w14:paraId="5FBE29FB" w14:textId="77777777" w:rsidR="002928E1" w:rsidRPr="00B35C39" w:rsidRDefault="002928E1" w:rsidP="00B35C39">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B35C39">
        <w:rPr>
          <w:rFonts w:asciiTheme="minorHAnsi" w:hAnsiTheme="minorHAnsi" w:cs="Arial"/>
          <w:sz w:val="24"/>
          <w:szCs w:val="24"/>
        </w:rPr>
        <w:t>the amount refunded (include separate amounts for the amount overcharged and the interest paid)</w:t>
      </w:r>
    </w:p>
    <w:p w14:paraId="1D5D70B5" w14:textId="77777777" w:rsidR="002928E1" w:rsidRPr="00B35C39" w:rsidRDefault="002928E1" w:rsidP="00B35C39">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B35C39">
        <w:rPr>
          <w:rFonts w:asciiTheme="minorHAnsi" w:hAnsiTheme="minorHAnsi" w:cs="Arial"/>
          <w:sz w:val="24"/>
          <w:szCs w:val="24"/>
        </w:rPr>
        <w:t>the reason for overcharging i.e. approval lapsed, approval was conditional, decrease in contribution payable</w:t>
      </w:r>
    </w:p>
    <w:p w14:paraId="24B98029" w14:textId="14138E2C" w:rsidR="002928E1" w:rsidRPr="00B35C39" w:rsidRDefault="002928E1" w:rsidP="00B35C39">
      <w:pPr>
        <w:pStyle w:val="ListParagraph"/>
        <w:numPr>
          <w:ilvl w:val="0"/>
          <w:numId w:val="13"/>
        </w:numPr>
        <w:tabs>
          <w:tab w:val="clear" w:pos="720"/>
        </w:tabs>
        <w:spacing w:before="0" w:after="40" w:line="240" w:lineRule="auto"/>
        <w:ind w:left="851" w:hanging="425"/>
        <w:rPr>
          <w:rFonts w:asciiTheme="minorHAnsi" w:hAnsiTheme="minorHAnsi" w:cs="Arial"/>
          <w:sz w:val="24"/>
          <w:szCs w:val="24"/>
        </w:rPr>
      </w:pPr>
      <w:r w:rsidRPr="00B35C39">
        <w:rPr>
          <w:rFonts w:asciiTheme="minorHAnsi" w:hAnsiTheme="minorHAnsi" w:cs="Arial"/>
          <w:sz w:val="24"/>
          <w:szCs w:val="24"/>
        </w:rPr>
        <w:t>the processes that are now in place to ensure future compliance</w:t>
      </w:r>
    </w:p>
    <w:p w14:paraId="7B766568" w14:textId="77777777" w:rsidR="002928E1" w:rsidRPr="006A4336" w:rsidRDefault="002928E1" w:rsidP="002928E1">
      <w:pPr>
        <w:rPr>
          <w:rFonts w:ascii="Calibri" w:eastAsia="Calibri" w:hAnsi="Calibri" w:cs="Calibri"/>
          <w:sz w:val="24"/>
          <w:szCs w:val="24"/>
        </w:rPr>
      </w:pPr>
    </w:p>
    <w:p w14:paraId="1D065FE3" w14:textId="77777777" w:rsidR="00A00EE0" w:rsidRPr="001C19A5" w:rsidRDefault="00A00EE0" w:rsidP="002B7CED">
      <w:pPr>
        <w:spacing w:before="200" w:after="0"/>
        <w:rPr>
          <w:lang w:eastAsia="en-AU"/>
        </w:rPr>
      </w:pPr>
    </w:p>
    <w:sectPr w:rsidR="00A00EE0" w:rsidRPr="001C19A5" w:rsidSect="002A3846">
      <w:headerReference w:type="even" r:id="rId74"/>
      <w:headerReference w:type="default" r:id="rId75"/>
      <w:footerReference w:type="even" r:id="rId76"/>
      <w:footerReference w:type="default" r:id="rId77"/>
      <w:headerReference w:type="first" r:id="rId78"/>
      <w:footerReference w:type="first" r:id="rId79"/>
      <w:pgSz w:w="11906" w:h="16838" w:code="9"/>
      <w:pgMar w:top="1134" w:right="851"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0DF9" w14:textId="77777777" w:rsidR="007F6030" w:rsidRDefault="007F6030" w:rsidP="00E151B5">
      <w:pPr>
        <w:spacing w:after="0" w:line="240" w:lineRule="auto"/>
      </w:pPr>
      <w:r>
        <w:separator/>
      </w:r>
    </w:p>
  </w:endnote>
  <w:endnote w:type="continuationSeparator" w:id="0">
    <w:p w14:paraId="2ED4AB3F" w14:textId="77777777" w:rsidR="007F6030" w:rsidRDefault="007F6030" w:rsidP="00E151B5">
      <w:pPr>
        <w:spacing w:after="0" w:line="240" w:lineRule="auto"/>
      </w:pPr>
      <w:r>
        <w:continuationSeparator/>
      </w:r>
    </w:p>
  </w:endnote>
  <w:endnote w:type="continuationNotice" w:id="1">
    <w:p w14:paraId="1E348DB6" w14:textId="77777777" w:rsidR="007F6030" w:rsidRDefault="007F6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00"/>
    <w:family w:val="swiss"/>
    <w:notTrueType/>
    <w:pitch w:val="default"/>
    <w:sig w:usb0="00000003" w:usb1="00000000" w:usb2="00000000" w:usb3="00000000" w:csb0="00000001" w:csb1="00000000"/>
  </w:font>
  <w:font w:name="Museo-500">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39E1" w14:textId="63DA8B29" w:rsidR="0050013A" w:rsidRDefault="0050013A">
    <w:pPr>
      <w:pStyle w:val="Footer"/>
    </w:pPr>
    <w:r>
      <w:rPr>
        <w:noProof/>
      </w:rPr>
      <mc:AlternateContent>
        <mc:Choice Requires="wps">
          <w:drawing>
            <wp:anchor distT="0" distB="0" distL="0" distR="0" simplePos="0" relativeHeight="251658244" behindDoc="0" locked="0" layoutInCell="1" allowOverlap="1" wp14:anchorId="5219A286" wp14:editId="768D06F5">
              <wp:simplePos x="635" y="635"/>
              <wp:positionH relativeFrom="page">
                <wp:align>center</wp:align>
              </wp:positionH>
              <wp:positionV relativeFrom="page">
                <wp:align>bottom</wp:align>
              </wp:positionV>
              <wp:extent cx="622300" cy="404495"/>
              <wp:effectExtent l="0" t="0" r="6350" b="0"/>
              <wp:wrapNone/>
              <wp:docPr id="2035915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03963D5" w14:textId="54B7AB5C" w:rsidR="0050013A" w:rsidRPr="0050013A" w:rsidRDefault="0050013A" w:rsidP="0050013A">
                          <w:pPr>
                            <w:spacing w:after="0"/>
                            <w:rPr>
                              <w:rFonts w:ascii="Aptos" w:eastAsia="Aptos" w:hAnsi="Aptos" w:cs="Aptos"/>
                              <w:noProof/>
                              <w:color w:val="FF0000"/>
                              <w:sz w:val="24"/>
                              <w:szCs w:val="24"/>
                            </w:rPr>
                          </w:pPr>
                          <w:r w:rsidRPr="005001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B3075FB">
            <v:shapetype id="_x0000_t202" coordsize="21600,21600" o:spt="202" path="m,l,21600r21600,l21600,xe" w14:anchorId="5219A286">
              <v:stroke joinstyle="miter"/>
              <v:path gradientshapeok="t" o:connecttype="rect"/>
            </v:shapetype>
            <v:shape id="Text Box 5"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v:fill o:detectmouseclick="t"/>
              <v:textbox style="mso-fit-shape-to-text:t" inset="0,0,0,15pt">
                <w:txbxContent>
                  <w:p w:rsidRPr="0050013A" w:rsidR="0050013A" w:rsidP="0050013A" w:rsidRDefault="0050013A" w14:paraId="2CCFEE10" w14:textId="54B7AB5C">
                    <w:pPr>
                      <w:spacing w:after="0"/>
                      <w:rPr>
                        <w:rFonts w:ascii="Aptos" w:hAnsi="Aptos" w:eastAsia="Aptos" w:cs="Aptos"/>
                        <w:noProof/>
                        <w:color w:val="FF0000"/>
                        <w:sz w:val="24"/>
                        <w:szCs w:val="24"/>
                      </w:rPr>
                    </w:pPr>
                    <w:r w:rsidRPr="0050013A">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5E40" w14:textId="0A396B36" w:rsidR="0057360F" w:rsidRDefault="0050013A">
    <w:pPr>
      <w:pStyle w:val="Footer"/>
    </w:pPr>
    <w:r>
      <w:rPr>
        <w:noProof/>
      </w:rPr>
      <mc:AlternateContent>
        <mc:Choice Requires="wps">
          <w:drawing>
            <wp:anchor distT="0" distB="0" distL="0" distR="0" simplePos="0" relativeHeight="251658245" behindDoc="0" locked="0" layoutInCell="1" allowOverlap="1" wp14:anchorId="57D2A4EC" wp14:editId="69FD9969">
              <wp:simplePos x="904875" y="10172700"/>
              <wp:positionH relativeFrom="page">
                <wp:align>center</wp:align>
              </wp:positionH>
              <wp:positionV relativeFrom="page">
                <wp:align>bottom</wp:align>
              </wp:positionV>
              <wp:extent cx="622300" cy="404495"/>
              <wp:effectExtent l="0" t="0" r="6350" b="0"/>
              <wp:wrapNone/>
              <wp:docPr id="3425608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063B015" w14:textId="45849B4B" w:rsidR="0050013A" w:rsidRPr="0050013A" w:rsidRDefault="0050013A" w:rsidP="0050013A">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2A4EC"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1063B015" w14:textId="45849B4B" w:rsidR="0050013A" w:rsidRPr="0050013A" w:rsidRDefault="0050013A" w:rsidP="0050013A">
                    <w:pPr>
                      <w:spacing w:after="0"/>
                      <w:rPr>
                        <w:rFonts w:ascii="Aptos" w:eastAsia="Aptos" w:hAnsi="Aptos" w:cs="Aptos"/>
                        <w:noProof/>
                        <w:color w:val="FF0000"/>
                        <w:sz w:val="24"/>
                        <w:szCs w:val="24"/>
                      </w:rPr>
                    </w:pPr>
                  </w:p>
                </w:txbxContent>
              </v:textbox>
              <w10:wrap anchorx="page" anchory="page"/>
            </v:shape>
          </w:pict>
        </mc:Fallback>
      </mc:AlternateContent>
    </w:r>
    <w:sdt>
      <w:sdtPr>
        <w:id w:val="-917178071"/>
        <w:docPartObj>
          <w:docPartGallery w:val="Page Numbers (Bottom of Page)"/>
          <w:docPartUnique/>
        </w:docPartObj>
      </w:sdtPr>
      <w:sdtEndPr/>
      <w:sdtContent>
        <w:sdt>
          <w:sdtPr>
            <w:id w:val="98381352"/>
            <w:docPartObj>
              <w:docPartGallery w:val="Page Numbers (Top of Page)"/>
              <w:docPartUnique/>
            </w:docPartObj>
          </w:sdtPr>
          <w:sdtEndPr/>
          <w:sdtContent>
            <w:r w:rsidR="0057360F">
              <w:tab/>
            </w:r>
            <w:r w:rsidR="0057360F">
              <w:tab/>
              <w:t xml:space="preserve">Page </w:t>
            </w:r>
            <w:r w:rsidR="0057360F">
              <w:rPr>
                <w:b/>
                <w:bCs/>
                <w:sz w:val="24"/>
                <w:szCs w:val="24"/>
              </w:rPr>
              <w:fldChar w:fldCharType="begin"/>
            </w:r>
            <w:r w:rsidR="0057360F">
              <w:rPr>
                <w:b/>
                <w:bCs/>
              </w:rPr>
              <w:instrText xml:space="preserve"> PAGE </w:instrText>
            </w:r>
            <w:r w:rsidR="0057360F">
              <w:rPr>
                <w:b/>
                <w:bCs/>
                <w:sz w:val="24"/>
                <w:szCs w:val="24"/>
              </w:rPr>
              <w:fldChar w:fldCharType="separate"/>
            </w:r>
            <w:r w:rsidR="0057360F">
              <w:rPr>
                <w:b/>
                <w:bCs/>
                <w:noProof/>
              </w:rPr>
              <w:t>1</w:t>
            </w:r>
            <w:r w:rsidR="0057360F">
              <w:rPr>
                <w:b/>
                <w:bCs/>
                <w:sz w:val="24"/>
                <w:szCs w:val="24"/>
              </w:rPr>
              <w:fldChar w:fldCharType="end"/>
            </w:r>
            <w:r w:rsidR="0057360F">
              <w:t xml:space="preserve"> of </w:t>
            </w:r>
            <w:r w:rsidR="0057360F">
              <w:rPr>
                <w:b/>
                <w:bCs/>
                <w:sz w:val="24"/>
                <w:szCs w:val="24"/>
              </w:rPr>
              <w:fldChar w:fldCharType="begin"/>
            </w:r>
            <w:r w:rsidR="0057360F">
              <w:rPr>
                <w:b/>
                <w:bCs/>
              </w:rPr>
              <w:instrText xml:space="preserve"> NUMPAGES  </w:instrText>
            </w:r>
            <w:r w:rsidR="0057360F">
              <w:rPr>
                <w:b/>
                <w:bCs/>
                <w:sz w:val="24"/>
                <w:szCs w:val="24"/>
              </w:rPr>
              <w:fldChar w:fldCharType="separate"/>
            </w:r>
            <w:r w:rsidR="0057360F">
              <w:rPr>
                <w:b/>
                <w:bCs/>
                <w:noProof/>
              </w:rPr>
              <w:t>38</w:t>
            </w:r>
            <w:r w:rsidR="0057360F">
              <w:rPr>
                <w:b/>
                <w:bCs/>
                <w:sz w:val="24"/>
                <w:szCs w:val="24"/>
              </w:rPr>
              <w:fldChar w:fldCharType="end"/>
            </w:r>
          </w:sdtContent>
        </w:sdt>
      </w:sdtContent>
    </w:sdt>
  </w:p>
  <w:p w14:paraId="0BA7A09C" w14:textId="77777777" w:rsidR="0057360F" w:rsidRDefault="00573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4DF8" w14:textId="1BFC526D" w:rsidR="0050013A" w:rsidRDefault="0050013A">
    <w:pPr>
      <w:pStyle w:val="Footer"/>
    </w:pPr>
    <w:r>
      <w:rPr>
        <w:noProof/>
      </w:rPr>
      <mc:AlternateContent>
        <mc:Choice Requires="wps">
          <w:drawing>
            <wp:anchor distT="0" distB="0" distL="0" distR="0" simplePos="0" relativeHeight="251658243" behindDoc="0" locked="0" layoutInCell="1" allowOverlap="1" wp14:anchorId="39F2EE59" wp14:editId="44E174DD">
              <wp:simplePos x="635" y="635"/>
              <wp:positionH relativeFrom="page">
                <wp:align>center</wp:align>
              </wp:positionH>
              <wp:positionV relativeFrom="page">
                <wp:align>bottom</wp:align>
              </wp:positionV>
              <wp:extent cx="622300" cy="404495"/>
              <wp:effectExtent l="0" t="0" r="6350" b="0"/>
              <wp:wrapNone/>
              <wp:docPr id="8302435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FD3CC7" w14:textId="43118086" w:rsidR="0050013A" w:rsidRPr="0050013A" w:rsidRDefault="0050013A" w:rsidP="0050013A">
                          <w:pPr>
                            <w:spacing w:after="0"/>
                            <w:rPr>
                              <w:rFonts w:ascii="Aptos" w:eastAsia="Aptos" w:hAnsi="Aptos" w:cs="Aptos"/>
                              <w:noProof/>
                              <w:color w:val="FF0000"/>
                              <w:sz w:val="24"/>
                              <w:szCs w:val="24"/>
                            </w:rPr>
                          </w:pPr>
                          <w:r w:rsidRPr="005001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8651927">
            <v:shapetype id="_x0000_t202" coordsize="21600,21600" o:spt="202" path="m,l,21600r21600,l21600,xe" w14:anchorId="39F2EE59">
              <v:stroke joinstyle="miter"/>
              <v:path gradientshapeok="t" o:connecttype="rect"/>
            </v:shapetype>
            <v:shape id="Text Box 4"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v:fill o:detectmouseclick="t"/>
              <v:textbox style="mso-fit-shape-to-text:t" inset="0,0,0,15pt">
                <w:txbxContent>
                  <w:p w:rsidRPr="0050013A" w:rsidR="0050013A" w:rsidP="0050013A" w:rsidRDefault="0050013A" w14:paraId="09E77742" w14:textId="43118086">
                    <w:pPr>
                      <w:spacing w:after="0"/>
                      <w:rPr>
                        <w:rFonts w:ascii="Aptos" w:hAnsi="Aptos" w:eastAsia="Aptos" w:cs="Aptos"/>
                        <w:noProof/>
                        <w:color w:val="FF0000"/>
                        <w:sz w:val="24"/>
                        <w:szCs w:val="24"/>
                      </w:rPr>
                    </w:pPr>
                    <w:r w:rsidRPr="0050013A">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A66A" w14:textId="77777777" w:rsidR="007F6030" w:rsidRDefault="007F6030" w:rsidP="00E151B5">
      <w:pPr>
        <w:spacing w:after="0" w:line="240" w:lineRule="auto"/>
      </w:pPr>
      <w:r>
        <w:separator/>
      </w:r>
    </w:p>
  </w:footnote>
  <w:footnote w:type="continuationSeparator" w:id="0">
    <w:p w14:paraId="25AD8281" w14:textId="77777777" w:rsidR="007F6030" w:rsidRDefault="007F6030" w:rsidP="00E151B5">
      <w:pPr>
        <w:spacing w:after="0" w:line="240" w:lineRule="auto"/>
      </w:pPr>
      <w:r>
        <w:continuationSeparator/>
      </w:r>
    </w:p>
  </w:footnote>
  <w:footnote w:type="continuationNotice" w:id="1">
    <w:p w14:paraId="677D2319" w14:textId="77777777" w:rsidR="007F6030" w:rsidRDefault="007F6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0ABD" w14:textId="58B49327" w:rsidR="0050013A" w:rsidRDefault="0050013A">
    <w:pPr>
      <w:pStyle w:val="Header"/>
    </w:pPr>
    <w:r>
      <w:rPr>
        <w:noProof/>
      </w:rPr>
      <mc:AlternateContent>
        <mc:Choice Requires="wps">
          <w:drawing>
            <wp:anchor distT="0" distB="0" distL="0" distR="0" simplePos="0" relativeHeight="251658241" behindDoc="0" locked="0" layoutInCell="1" allowOverlap="1" wp14:anchorId="227E2B5E" wp14:editId="7F6CA128">
              <wp:simplePos x="635" y="635"/>
              <wp:positionH relativeFrom="page">
                <wp:align>center</wp:align>
              </wp:positionH>
              <wp:positionV relativeFrom="page">
                <wp:align>top</wp:align>
              </wp:positionV>
              <wp:extent cx="622300" cy="404495"/>
              <wp:effectExtent l="0" t="0" r="6350" b="14605"/>
              <wp:wrapNone/>
              <wp:docPr id="5098840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DC0A51" w14:textId="2E84A4BC" w:rsidR="0050013A" w:rsidRPr="0050013A" w:rsidRDefault="0050013A" w:rsidP="0050013A">
                          <w:pPr>
                            <w:spacing w:after="0"/>
                            <w:rPr>
                              <w:rFonts w:ascii="Aptos" w:eastAsia="Aptos" w:hAnsi="Aptos" w:cs="Aptos"/>
                              <w:noProof/>
                              <w:color w:val="FF0000"/>
                              <w:sz w:val="24"/>
                              <w:szCs w:val="24"/>
                            </w:rPr>
                          </w:pPr>
                          <w:r w:rsidRPr="005001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9AA18EA">
            <v:shapetype id="_x0000_t202" coordsize="21600,21600" o:spt="202" path="m,l,21600r21600,l21600,xe" w14:anchorId="227E2B5E">
              <v:stroke joinstyle="miter"/>
              <v:path gradientshapeok="t" o:connecttype="rect"/>
            </v:shapetype>
            <v:shape id="_x0000_s1027"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v:fill o:detectmouseclick="t"/>
              <v:textbox style="mso-fit-shape-to-text:t" inset="0,15pt,0,0">
                <w:txbxContent>
                  <w:p w:rsidRPr="0050013A" w:rsidR="0050013A" w:rsidP="0050013A" w:rsidRDefault="0050013A" w14:paraId="08CE8BEA" w14:textId="2E84A4BC">
                    <w:pPr>
                      <w:spacing w:after="0"/>
                      <w:rPr>
                        <w:rFonts w:ascii="Aptos" w:hAnsi="Aptos" w:eastAsia="Aptos" w:cs="Aptos"/>
                        <w:noProof/>
                        <w:color w:val="FF0000"/>
                        <w:sz w:val="24"/>
                        <w:szCs w:val="24"/>
                      </w:rPr>
                    </w:pPr>
                    <w:r w:rsidRPr="0050013A">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FB6B" w14:textId="5B25A4FE" w:rsidR="0050013A" w:rsidRPr="00080F5E" w:rsidRDefault="0050013A" w:rsidP="00080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BB08" w14:textId="2D721AEE" w:rsidR="0050013A" w:rsidRDefault="0050013A">
    <w:pPr>
      <w:pStyle w:val="Header"/>
    </w:pPr>
    <w:r>
      <w:rPr>
        <w:noProof/>
      </w:rPr>
      <mc:AlternateContent>
        <mc:Choice Requires="wps">
          <w:drawing>
            <wp:anchor distT="0" distB="0" distL="0" distR="0" simplePos="0" relativeHeight="251658240" behindDoc="0" locked="0" layoutInCell="1" allowOverlap="1" wp14:anchorId="0D7FDC74" wp14:editId="516F744D">
              <wp:simplePos x="635" y="635"/>
              <wp:positionH relativeFrom="page">
                <wp:align>center</wp:align>
              </wp:positionH>
              <wp:positionV relativeFrom="page">
                <wp:align>top</wp:align>
              </wp:positionV>
              <wp:extent cx="622300" cy="404495"/>
              <wp:effectExtent l="0" t="0" r="6350" b="14605"/>
              <wp:wrapNone/>
              <wp:docPr id="776627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B81D26" w14:textId="5B432042" w:rsidR="0050013A" w:rsidRPr="0050013A" w:rsidRDefault="0050013A" w:rsidP="0050013A">
                          <w:pPr>
                            <w:spacing w:after="0"/>
                            <w:rPr>
                              <w:rFonts w:ascii="Aptos" w:eastAsia="Aptos" w:hAnsi="Aptos" w:cs="Aptos"/>
                              <w:noProof/>
                              <w:color w:val="FF0000"/>
                              <w:sz w:val="24"/>
                              <w:szCs w:val="24"/>
                            </w:rPr>
                          </w:pPr>
                          <w:r w:rsidRPr="005001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B479CB9">
            <v:shapetype id="_x0000_t202" coordsize="21600,21600" o:spt="202" path="m,l,21600r21600,l21600,xe" w14:anchorId="0D7FDC74">
              <v:stroke joinstyle="miter"/>
              <v:path gradientshapeok="t" o:connecttype="rect"/>
            </v:shapetype>
            <v:shape id="Text Box 1"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v:fill o:detectmouseclick="t"/>
              <v:textbox style="mso-fit-shape-to-text:t" inset="0,15pt,0,0">
                <w:txbxContent>
                  <w:p w:rsidRPr="0050013A" w:rsidR="0050013A" w:rsidP="0050013A" w:rsidRDefault="0050013A" w14:paraId="171AAEBA" w14:textId="5B432042">
                    <w:pPr>
                      <w:spacing w:after="0"/>
                      <w:rPr>
                        <w:rFonts w:ascii="Aptos" w:hAnsi="Aptos" w:eastAsia="Aptos" w:cs="Aptos"/>
                        <w:noProof/>
                        <w:color w:val="FF0000"/>
                        <w:sz w:val="24"/>
                        <w:szCs w:val="24"/>
                      </w:rPr>
                    </w:pPr>
                    <w:r w:rsidRPr="0050013A">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41"/>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2D2B"/>
    <w:multiLevelType w:val="hybridMultilevel"/>
    <w:tmpl w:val="2DB6F6F4"/>
    <w:lvl w:ilvl="0" w:tplc="944CB586">
      <w:start w:val="1"/>
      <w:numFmt w:val="bullet"/>
      <w:lvlText w:val=""/>
      <w:lvlJc w:val="left"/>
      <w:pPr>
        <w:ind w:left="1800" w:hanging="360"/>
      </w:pPr>
      <w:rPr>
        <w:rFonts w:ascii="Webdings" w:hAnsi="Webdings" w:hint="default"/>
        <w:color w:val="0099CC"/>
        <w:sz w:val="24"/>
        <w:szCs w:val="24"/>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1DF7455"/>
    <w:multiLevelType w:val="hybridMultilevel"/>
    <w:tmpl w:val="4072C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564D4"/>
    <w:multiLevelType w:val="hybridMultilevel"/>
    <w:tmpl w:val="B604375C"/>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44D8B"/>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41F46"/>
    <w:multiLevelType w:val="hybridMultilevel"/>
    <w:tmpl w:val="10BA2C78"/>
    <w:lvl w:ilvl="0" w:tplc="944CB586">
      <w:start w:val="1"/>
      <w:numFmt w:val="bullet"/>
      <w:lvlText w:val=""/>
      <w:lvlJc w:val="left"/>
      <w:pPr>
        <w:ind w:left="1800" w:hanging="360"/>
      </w:pPr>
      <w:rPr>
        <w:rFonts w:ascii="Webdings" w:hAnsi="Webdings" w:hint="default"/>
        <w:color w:val="0099CC"/>
        <w:sz w:val="24"/>
        <w:szCs w:val="24"/>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47B1C57"/>
    <w:multiLevelType w:val="hybridMultilevel"/>
    <w:tmpl w:val="56A21C90"/>
    <w:lvl w:ilvl="0" w:tplc="944CB586">
      <w:start w:val="1"/>
      <w:numFmt w:val="bullet"/>
      <w:lvlText w:val=""/>
      <w:lvlJc w:val="left"/>
      <w:pPr>
        <w:ind w:left="720" w:hanging="360"/>
      </w:pPr>
      <w:rPr>
        <w:rFonts w:ascii="Webdings" w:hAnsi="Webdings" w:hint="default"/>
        <w:color w:val="0099CC"/>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6219EF"/>
    <w:multiLevelType w:val="hybridMultilevel"/>
    <w:tmpl w:val="47E47CDA"/>
    <w:lvl w:ilvl="0" w:tplc="944CB586">
      <w:start w:val="1"/>
      <w:numFmt w:val="bullet"/>
      <w:lvlText w:val=""/>
      <w:lvlJc w:val="left"/>
      <w:pPr>
        <w:ind w:left="720" w:hanging="360"/>
      </w:pPr>
      <w:rPr>
        <w:rFonts w:ascii="Webdings" w:hAnsi="Webdings" w:hint="default"/>
        <w:color w:val="0099CC"/>
        <w:sz w:val="24"/>
        <w:szCs w:val="24"/>
      </w:rPr>
    </w:lvl>
    <w:lvl w:ilvl="1" w:tplc="0298047A">
      <w:start w:val="1"/>
      <w:numFmt w:val="bullet"/>
      <w:lvlText w:val=""/>
      <w:lvlJc w:val="left"/>
      <w:pPr>
        <w:ind w:left="1440" w:hanging="360"/>
      </w:pPr>
      <w:rPr>
        <w:rFonts w:ascii="Webdings" w:hAnsi="Webdings" w:hint="default"/>
        <w:color w:val="0099CC"/>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D34A8D"/>
    <w:multiLevelType w:val="hybridMultilevel"/>
    <w:tmpl w:val="76365220"/>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0308EA"/>
    <w:multiLevelType w:val="hybridMultilevel"/>
    <w:tmpl w:val="4CE08AC6"/>
    <w:lvl w:ilvl="0" w:tplc="12A805DC">
      <w:start w:val="1"/>
      <w:numFmt w:val="bullet"/>
      <w:lvlText w:val=""/>
      <w:lvlJc w:val="left"/>
      <w:pPr>
        <w:ind w:left="1434" w:hanging="360"/>
      </w:pPr>
      <w:rPr>
        <w:rFonts w:ascii="Webdings" w:hAnsi="Webdings" w:hint="default"/>
        <w:color w:val="0099CC"/>
        <w:sz w:val="24"/>
        <w:szCs w:val="24"/>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0" w15:restartNumberingAfterBreak="0">
    <w:nsid w:val="0871162B"/>
    <w:multiLevelType w:val="hybridMultilevel"/>
    <w:tmpl w:val="A9221CB4"/>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740651"/>
    <w:multiLevelType w:val="hybridMultilevel"/>
    <w:tmpl w:val="212AA868"/>
    <w:lvl w:ilvl="0" w:tplc="0298047A">
      <w:start w:val="1"/>
      <w:numFmt w:val="bullet"/>
      <w:lvlText w:val=""/>
      <w:lvlJc w:val="left"/>
      <w:pPr>
        <w:ind w:left="1146" w:hanging="360"/>
      </w:pPr>
      <w:rPr>
        <w:rFonts w:ascii="Webdings" w:hAnsi="Webdings" w:hint="default"/>
        <w:color w:val="0099CC"/>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09A82AC7"/>
    <w:multiLevelType w:val="multilevel"/>
    <w:tmpl w:val="7FD80C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F1698A"/>
    <w:multiLevelType w:val="hybridMultilevel"/>
    <w:tmpl w:val="40C40708"/>
    <w:lvl w:ilvl="0" w:tplc="FFFFFFFF">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06187"/>
    <w:multiLevelType w:val="hybridMultilevel"/>
    <w:tmpl w:val="D45207D4"/>
    <w:lvl w:ilvl="0" w:tplc="FFFFFFFF">
      <w:start w:val="1"/>
      <w:numFmt w:val="bullet"/>
      <w:lvlText w:val=""/>
      <w:lvlJc w:val="left"/>
      <w:pPr>
        <w:ind w:left="720" w:hanging="360"/>
      </w:pPr>
      <w:rPr>
        <w:rFonts w:ascii="Webdings" w:hAnsi="Webdings" w:hint="default"/>
        <w:color w:val="0099CC"/>
        <w:sz w:val="24"/>
        <w:szCs w:val="24"/>
      </w:rPr>
    </w:lvl>
    <w:lvl w:ilvl="1" w:tplc="12A805DC">
      <w:start w:val="1"/>
      <w:numFmt w:val="bullet"/>
      <w:lvlText w:val=""/>
      <w:lvlJc w:val="left"/>
      <w:pPr>
        <w:ind w:left="720" w:hanging="360"/>
      </w:pPr>
      <w:rPr>
        <w:rFonts w:ascii="Webdings" w:hAnsi="Webdings" w:hint="default"/>
        <w:color w:val="0099CC"/>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DA94232"/>
    <w:multiLevelType w:val="multilevel"/>
    <w:tmpl w:val="B5A2979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
      <w:lvlJc w:val="left"/>
      <w:pPr>
        <w:ind w:left="1440" w:hanging="360"/>
      </w:pPr>
      <w:rPr>
        <w:rFonts w:ascii="Webdings" w:hAnsi="Webdings" w:hint="default"/>
        <w:color w:val="0099CC"/>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6D25A6"/>
    <w:multiLevelType w:val="hybridMultilevel"/>
    <w:tmpl w:val="ED044C7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1B35A5"/>
    <w:multiLevelType w:val="hybridMultilevel"/>
    <w:tmpl w:val="8C4E011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32189B"/>
    <w:multiLevelType w:val="hybridMultilevel"/>
    <w:tmpl w:val="73EC811E"/>
    <w:lvl w:ilvl="0" w:tplc="944CB586">
      <w:start w:val="1"/>
      <w:numFmt w:val="bullet"/>
      <w:lvlText w:val=""/>
      <w:lvlJc w:val="left"/>
      <w:pPr>
        <w:ind w:left="770" w:hanging="360"/>
      </w:pPr>
      <w:rPr>
        <w:rFonts w:ascii="Webdings" w:hAnsi="Webdings" w:hint="default"/>
        <w:color w:val="0099CC"/>
        <w:sz w:val="24"/>
        <w:szCs w:val="24"/>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0F804BB7"/>
    <w:multiLevelType w:val="hybridMultilevel"/>
    <w:tmpl w:val="D952A802"/>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FFC67D0"/>
    <w:multiLevelType w:val="hybridMultilevel"/>
    <w:tmpl w:val="7892E188"/>
    <w:lvl w:ilvl="0" w:tplc="A6C453E4">
      <w:start w:val="1"/>
      <w:numFmt w:val="bullet"/>
      <w:lvlText w:val=""/>
      <w:lvlJc w:val="left"/>
      <w:pPr>
        <w:ind w:left="578" w:hanging="360"/>
      </w:pPr>
      <w:rPr>
        <w:rFonts w:ascii="Webdings" w:hAnsi="Webdings" w:hint="default"/>
        <w:color w:val="0099CC"/>
        <w:sz w:val="24"/>
        <w:szCs w:val="24"/>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1" w15:restartNumberingAfterBreak="0">
    <w:nsid w:val="116213C8"/>
    <w:multiLevelType w:val="hybridMultilevel"/>
    <w:tmpl w:val="33D4C0C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22F5B0D"/>
    <w:multiLevelType w:val="hybridMultilevel"/>
    <w:tmpl w:val="42122D4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231264F"/>
    <w:multiLevelType w:val="hybridMultilevel"/>
    <w:tmpl w:val="5A9476DA"/>
    <w:lvl w:ilvl="0" w:tplc="944CB586">
      <w:start w:val="1"/>
      <w:numFmt w:val="bullet"/>
      <w:lvlText w:val=""/>
      <w:lvlJc w:val="left"/>
      <w:pPr>
        <w:ind w:left="927" w:hanging="360"/>
      </w:pPr>
      <w:rPr>
        <w:rFonts w:ascii="Webdings" w:hAnsi="Webdings" w:hint="default"/>
        <w:color w:val="0099CC"/>
        <w:sz w:val="24"/>
        <w:szCs w:val="24"/>
      </w:rPr>
    </w:lvl>
    <w:lvl w:ilvl="1" w:tplc="0C090003" w:tentative="1">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647" w:hanging="360"/>
      </w:pPr>
      <w:rPr>
        <w:rFonts w:ascii="Wingdings" w:hAnsi="Wingdings" w:hint="default"/>
      </w:rPr>
    </w:lvl>
    <w:lvl w:ilvl="3" w:tplc="0C090001" w:tentative="1">
      <w:start w:val="1"/>
      <w:numFmt w:val="bullet"/>
      <w:lvlText w:val=""/>
      <w:lvlJc w:val="left"/>
      <w:pPr>
        <w:ind w:left="2367" w:hanging="360"/>
      </w:pPr>
      <w:rPr>
        <w:rFonts w:ascii="Symbol" w:hAnsi="Symbol" w:hint="default"/>
      </w:rPr>
    </w:lvl>
    <w:lvl w:ilvl="4" w:tplc="0C090003" w:tentative="1">
      <w:start w:val="1"/>
      <w:numFmt w:val="bullet"/>
      <w:lvlText w:val="o"/>
      <w:lvlJc w:val="left"/>
      <w:pPr>
        <w:ind w:left="3087" w:hanging="360"/>
      </w:pPr>
      <w:rPr>
        <w:rFonts w:ascii="Courier New" w:hAnsi="Courier New" w:cs="Courier New" w:hint="default"/>
      </w:rPr>
    </w:lvl>
    <w:lvl w:ilvl="5" w:tplc="0C090005" w:tentative="1">
      <w:start w:val="1"/>
      <w:numFmt w:val="bullet"/>
      <w:lvlText w:val=""/>
      <w:lvlJc w:val="left"/>
      <w:pPr>
        <w:ind w:left="3807" w:hanging="360"/>
      </w:pPr>
      <w:rPr>
        <w:rFonts w:ascii="Wingdings" w:hAnsi="Wingdings" w:hint="default"/>
      </w:rPr>
    </w:lvl>
    <w:lvl w:ilvl="6" w:tplc="0C090001" w:tentative="1">
      <w:start w:val="1"/>
      <w:numFmt w:val="bullet"/>
      <w:lvlText w:val=""/>
      <w:lvlJc w:val="left"/>
      <w:pPr>
        <w:ind w:left="4527" w:hanging="360"/>
      </w:pPr>
      <w:rPr>
        <w:rFonts w:ascii="Symbol" w:hAnsi="Symbol" w:hint="default"/>
      </w:rPr>
    </w:lvl>
    <w:lvl w:ilvl="7" w:tplc="0C090003" w:tentative="1">
      <w:start w:val="1"/>
      <w:numFmt w:val="bullet"/>
      <w:lvlText w:val="o"/>
      <w:lvlJc w:val="left"/>
      <w:pPr>
        <w:ind w:left="5247" w:hanging="360"/>
      </w:pPr>
      <w:rPr>
        <w:rFonts w:ascii="Courier New" w:hAnsi="Courier New" w:cs="Courier New" w:hint="default"/>
      </w:rPr>
    </w:lvl>
    <w:lvl w:ilvl="8" w:tplc="0C090005" w:tentative="1">
      <w:start w:val="1"/>
      <w:numFmt w:val="bullet"/>
      <w:lvlText w:val=""/>
      <w:lvlJc w:val="left"/>
      <w:pPr>
        <w:ind w:left="5967" w:hanging="360"/>
      </w:pPr>
      <w:rPr>
        <w:rFonts w:ascii="Wingdings" w:hAnsi="Wingdings" w:hint="default"/>
      </w:rPr>
    </w:lvl>
  </w:abstractNum>
  <w:abstractNum w:abstractNumId="24" w15:restartNumberingAfterBreak="0">
    <w:nsid w:val="127D6C6E"/>
    <w:multiLevelType w:val="hybridMultilevel"/>
    <w:tmpl w:val="21EE1AD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537E3C"/>
    <w:multiLevelType w:val="hybridMultilevel"/>
    <w:tmpl w:val="2090799E"/>
    <w:lvl w:ilvl="0" w:tplc="0298047A">
      <w:start w:val="1"/>
      <w:numFmt w:val="bullet"/>
      <w:lvlText w:val=""/>
      <w:lvlJc w:val="left"/>
      <w:pPr>
        <w:ind w:left="360" w:hanging="360"/>
      </w:pPr>
      <w:rPr>
        <w:rFonts w:ascii="Webdings" w:hAnsi="Webdings" w:hint="default"/>
        <w:color w:val="0099CC"/>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40F2D62"/>
    <w:multiLevelType w:val="hybridMultilevel"/>
    <w:tmpl w:val="670472BC"/>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D075D1"/>
    <w:multiLevelType w:val="multilevel"/>
    <w:tmpl w:val="212C0ED2"/>
    <w:lvl w:ilvl="0">
      <w:start w:val="1"/>
      <w:numFmt w:val="bullet"/>
      <w:lvlText w:val=""/>
      <w:lvlJc w:val="left"/>
      <w:pPr>
        <w:tabs>
          <w:tab w:val="num" w:pos="720"/>
        </w:tabs>
        <w:ind w:left="720" w:hanging="360"/>
      </w:pPr>
      <w:rPr>
        <w:rFonts w:ascii="Webdings" w:hAnsi="Webdings" w:hint="default"/>
        <w:color w:val="0099C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5329AE"/>
    <w:multiLevelType w:val="hybridMultilevel"/>
    <w:tmpl w:val="5CF0E336"/>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85D5550"/>
    <w:multiLevelType w:val="multilevel"/>
    <w:tmpl w:val="710EBAC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6D3D65"/>
    <w:multiLevelType w:val="hybridMultilevel"/>
    <w:tmpl w:val="2ABA7E58"/>
    <w:lvl w:ilvl="0" w:tplc="0298047A">
      <w:start w:val="1"/>
      <w:numFmt w:val="bullet"/>
      <w:lvlText w:val=""/>
      <w:lvlJc w:val="left"/>
      <w:pPr>
        <w:ind w:left="108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9285215"/>
    <w:multiLevelType w:val="hybridMultilevel"/>
    <w:tmpl w:val="DB3402E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C7037E7"/>
    <w:multiLevelType w:val="hybridMultilevel"/>
    <w:tmpl w:val="8B96993A"/>
    <w:lvl w:ilvl="0" w:tplc="944CB586">
      <w:start w:val="1"/>
      <w:numFmt w:val="bullet"/>
      <w:lvlText w:val=""/>
      <w:lvlJc w:val="left"/>
      <w:pPr>
        <w:ind w:left="928" w:hanging="360"/>
      </w:pPr>
      <w:rPr>
        <w:rFonts w:ascii="Webdings" w:hAnsi="Webdings" w:hint="default"/>
        <w:color w:val="0099CC"/>
        <w:sz w:val="24"/>
        <w:szCs w:val="24"/>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3" w15:restartNumberingAfterBreak="0">
    <w:nsid w:val="1D3B1CAB"/>
    <w:multiLevelType w:val="hybridMultilevel"/>
    <w:tmpl w:val="6124320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FDE3886"/>
    <w:multiLevelType w:val="hybridMultilevel"/>
    <w:tmpl w:val="92869012"/>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661FF5"/>
    <w:multiLevelType w:val="hybridMultilevel"/>
    <w:tmpl w:val="7DE42A5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1BC5DE5"/>
    <w:multiLevelType w:val="hybridMultilevel"/>
    <w:tmpl w:val="80CA5ED4"/>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263702F"/>
    <w:multiLevelType w:val="hybridMultilevel"/>
    <w:tmpl w:val="143495D6"/>
    <w:lvl w:ilvl="0" w:tplc="944CB586">
      <w:start w:val="1"/>
      <w:numFmt w:val="bullet"/>
      <w:lvlText w:val=""/>
      <w:lvlJc w:val="left"/>
      <w:pPr>
        <w:ind w:left="786"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59F798E"/>
    <w:multiLevelType w:val="multilevel"/>
    <w:tmpl w:val="97AE6248"/>
    <w:lvl w:ilvl="0">
      <w:start w:val="1"/>
      <w:numFmt w:val="bullet"/>
      <w:lvlText w:val=""/>
      <w:lvlJc w:val="left"/>
      <w:pPr>
        <w:tabs>
          <w:tab w:val="num" w:pos="1211"/>
        </w:tabs>
        <w:ind w:left="1211" w:hanging="360"/>
      </w:pPr>
      <w:rPr>
        <w:rFonts w:ascii="Webdings" w:hAnsi="Webdings" w:hint="default"/>
        <w:color w:val="0099CC"/>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39" w15:restartNumberingAfterBreak="0">
    <w:nsid w:val="286B4889"/>
    <w:multiLevelType w:val="hybridMultilevel"/>
    <w:tmpl w:val="CD3648E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9FA0887"/>
    <w:multiLevelType w:val="hybridMultilevel"/>
    <w:tmpl w:val="FE6C180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EBA4C58"/>
    <w:multiLevelType w:val="hybridMultilevel"/>
    <w:tmpl w:val="333A908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EBC1ED7"/>
    <w:multiLevelType w:val="hybridMultilevel"/>
    <w:tmpl w:val="B1BACC5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32459B"/>
    <w:multiLevelType w:val="hybridMultilevel"/>
    <w:tmpl w:val="12D6EA14"/>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833089"/>
    <w:multiLevelType w:val="hybridMultilevel"/>
    <w:tmpl w:val="83A86E2A"/>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33C3E54"/>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A05008"/>
    <w:multiLevelType w:val="hybridMultilevel"/>
    <w:tmpl w:val="1D383D3A"/>
    <w:lvl w:ilvl="0" w:tplc="944CB586">
      <w:start w:val="1"/>
      <w:numFmt w:val="bullet"/>
      <w:lvlText w:val=""/>
      <w:lvlJc w:val="left"/>
      <w:pPr>
        <w:ind w:left="780" w:hanging="360"/>
      </w:pPr>
      <w:rPr>
        <w:rFonts w:ascii="Webdings" w:hAnsi="Webdings" w:hint="default"/>
        <w:color w:val="0099CC"/>
        <w:sz w:val="24"/>
        <w:szCs w:val="24"/>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35B059C3"/>
    <w:multiLevelType w:val="multilevel"/>
    <w:tmpl w:val="4B765A6E"/>
    <w:lvl w:ilvl="0">
      <w:start w:val="1"/>
      <w:numFmt w:val="bullet"/>
      <w:lvlText w:val=""/>
      <w:lvlJc w:val="left"/>
      <w:pPr>
        <w:tabs>
          <w:tab w:val="num" w:pos="720"/>
        </w:tabs>
        <w:ind w:left="720" w:hanging="360"/>
      </w:pPr>
      <w:rPr>
        <w:rFonts w:ascii="Webdings" w:hAnsi="Webdings" w:hint="default"/>
        <w:color w:val="0099C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B22F4D"/>
    <w:multiLevelType w:val="hybridMultilevel"/>
    <w:tmpl w:val="9EF6CA1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BA2DCC"/>
    <w:multiLevelType w:val="hybridMultilevel"/>
    <w:tmpl w:val="DB48F7C6"/>
    <w:lvl w:ilvl="0" w:tplc="944CB586">
      <w:start w:val="1"/>
      <w:numFmt w:val="bullet"/>
      <w:lvlText w:val=""/>
      <w:lvlJc w:val="left"/>
      <w:pPr>
        <w:ind w:left="720" w:hanging="360"/>
      </w:pPr>
      <w:rPr>
        <w:rFonts w:ascii="Webdings" w:hAnsi="Webdings" w:hint="default"/>
        <w:color w:val="0099CC"/>
        <w:sz w:val="24"/>
        <w:szCs w:val="24"/>
      </w:rPr>
    </w:lvl>
    <w:lvl w:ilvl="1" w:tplc="944CB586">
      <w:start w:val="1"/>
      <w:numFmt w:val="bullet"/>
      <w:lvlText w:val=""/>
      <w:lvlJc w:val="left"/>
      <w:pPr>
        <w:ind w:left="1440" w:hanging="360"/>
      </w:pPr>
      <w:rPr>
        <w:rFonts w:ascii="Webdings" w:hAnsi="Webdings" w:hint="default"/>
        <w:color w:val="0099CC"/>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6BB6582"/>
    <w:multiLevelType w:val="hybridMultilevel"/>
    <w:tmpl w:val="067E8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73B23CD"/>
    <w:multiLevelType w:val="multilevel"/>
    <w:tmpl w:val="FE908A84"/>
    <w:lvl w:ilvl="0">
      <w:start w:val="1"/>
      <w:numFmt w:val="bullet"/>
      <w:lvlText w:val=""/>
      <w:lvlJc w:val="left"/>
      <w:pPr>
        <w:tabs>
          <w:tab w:val="num" w:pos="1494"/>
        </w:tabs>
        <w:ind w:left="1494" w:hanging="360"/>
      </w:pPr>
      <w:rPr>
        <w:rFonts w:ascii="Webdings" w:hAnsi="Webdings" w:hint="default"/>
        <w:color w:val="0099CC"/>
        <w:sz w:val="20"/>
      </w:rPr>
    </w:lvl>
    <w:lvl w:ilvl="1" w:tentative="1">
      <w:start w:val="1"/>
      <w:numFmt w:val="bullet"/>
      <w:lvlText w:val=""/>
      <w:lvlJc w:val="left"/>
      <w:pPr>
        <w:tabs>
          <w:tab w:val="num" w:pos="2214"/>
        </w:tabs>
        <w:ind w:left="2214" w:hanging="360"/>
      </w:pPr>
      <w:rPr>
        <w:rFonts w:ascii="Symbol" w:hAnsi="Symbol" w:hint="default"/>
        <w:sz w:val="20"/>
      </w:rPr>
    </w:lvl>
    <w:lvl w:ilvl="2" w:tentative="1">
      <w:start w:val="1"/>
      <w:numFmt w:val="bullet"/>
      <w:lvlText w:val=""/>
      <w:lvlJc w:val="left"/>
      <w:pPr>
        <w:tabs>
          <w:tab w:val="num" w:pos="2934"/>
        </w:tabs>
        <w:ind w:left="2934" w:hanging="360"/>
      </w:pPr>
      <w:rPr>
        <w:rFonts w:ascii="Symbol" w:hAnsi="Symbol" w:hint="default"/>
        <w:sz w:val="20"/>
      </w:rPr>
    </w:lvl>
    <w:lvl w:ilvl="3" w:tentative="1">
      <w:start w:val="1"/>
      <w:numFmt w:val="bullet"/>
      <w:lvlText w:val=""/>
      <w:lvlJc w:val="left"/>
      <w:pPr>
        <w:tabs>
          <w:tab w:val="num" w:pos="3654"/>
        </w:tabs>
        <w:ind w:left="3654" w:hanging="360"/>
      </w:pPr>
      <w:rPr>
        <w:rFonts w:ascii="Symbol" w:hAnsi="Symbol" w:hint="default"/>
        <w:sz w:val="20"/>
      </w:rPr>
    </w:lvl>
    <w:lvl w:ilvl="4" w:tentative="1">
      <w:start w:val="1"/>
      <w:numFmt w:val="bullet"/>
      <w:lvlText w:val=""/>
      <w:lvlJc w:val="left"/>
      <w:pPr>
        <w:tabs>
          <w:tab w:val="num" w:pos="4374"/>
        </w:tabs>
        <w:ind w:left="4374" w:hanging="360"/>
      </w:pPr>
      <w:rPr>
        <w:rFonts w:ascii="Symbol" w:hAnsi="Symbol" w:hint="default"/>
        <w:sz w:val="20"/>
      </w:rPr>
    </w:lvl>
    <w:lvl w:ilvl="5" w:tentative="1">
      <w:start w:val="1"/>
      <w:numFmt w:val="bullet"/>
      <w:lvlText w:val=""/>
      <w:lvlJc w:val="left"/>
      <w:pPr>
        <w:tabs>
          <w:tab w:val="num" w:pos="5094"/>
        </w:tabs>
        <w:ind w:left="5094" w:hanging="360"/>
      </w:pPr>
      <w:rPr>
        <w:rFonts w:ascii="Symbol" w:hAnsi="Symbol" w:hint="default"/>
        <w:sz w:val="20"/>
      </w:rPr>
    </w:lvl>
    <w:lvl w:ilvl="6" w:tentative="1">
      <w:start w:val="1"/>
      <w:numFmt w:val="bullet"/>
      <w:lvlText w:val=""/>
      <w:lvlJc w:val="left"/>
      <w:pPr>
        <w:tabs>
          <w:tab w:val="num" w:pos="5814"/>
        </w:tabs>
        <w:ind w:left="5814" w:hanging="360"/>
      </w:pPr>
      <w:rPr>
        <w:rFonts w:ascii="Symbol" w:hAnsi="Symbol" w:hint="default"/>
        <w:sz w:val="20"/>
      </w:rPr>
    </w:lvl>
    <w:lvl w:ilvl="7" w:tentative="1">
      <w:start w:val="1"/>
      <w:numFmt w:val="bullet"/>
      <w:lvlText w:val=""/>
      <w:lvlJc w:val="left"/>
      <w:pPr>
        <w:tabs>
          <w:tab w:val="num" w:pos="6534"/>
        </w:tabs>
        <w:ind w:left="6534" w:hanging="360"/>
      </w:pPr>
      <w:rPr>
        <w:rFonts w:ascii="Symbol" w:hAnsi="Symbol" w:hint="default"/>
        <w:sz w:val="20"/>
      </w:rPr>
    </w:lvl>
    <w:lvl w:ilvl="8" w:tentative="1">
      <w:start w:val="1"/>
      <w:numFmt w:val="bullet"/>
      <w:lvlText w:val=""/>
      <w:lvlJc w:val="left"/>
      <w:pPr>
        <w:tabs>
          <w:tab w:val="num" w:pos="7254"/>
        </w:tabs>
        <w:ind w:left="7254" w:hanging="360"/>
      </w:pPr>
      <w:rPr>
        <w:rFonts w:ascii="Symbol" w:hAnsi="Symbol" w:hint="default"/>
        <w:sz w:val="20"/>
      </w:rPr>
    </w:lvl>
  </w:abstractNum>
  <w:abstractNum w:abstractNumId="52" w15:restartNumberingAfterBreak="0">
    <w:nsid w:val="37980FFA"/>
    <w:multiLevelType w:val="hybridMultilevel"/>
    <w:tmpl w:val="3DA669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39291BA6"/>
    <w:multiLevelType w:val="hybridMultilevel"/>
    <w:tmpl w:val="9AE6D5F4"/>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9AA741C"/>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185923"/>
    <w:multiLevelType w:val="hybridMultilevel"/>
    <w:tmpl w:val="CFB856CC"/>
    <w:lvl w:ilvl="0" w:tplc="944CB586">
      <w:start w:val="1"/>
      <w:numFmt w:val="bullet"/>
      <w:lvlText w:val=""/>
      <w:lvlJc w:val="left"/>
      <w:pPr>
        <w:ind w:left="2509" w:hanging="360"/>
      </w:pPr>
      <w:rPr>
        <w:rFonts w:ascii="Webdings" w:hAnsi="Webdings" w:hint="default"/>
        <w:color w:val="0099CC"/>
        <w:sz w:val="24"/>
        <w:szCs w:val="24"/>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6" w15:restartNumberingAfterBreak="0">
    <w:nsid w:val="3A24256D"/>
    <w:multiLevelType w:val="hybridMultilevel"/>
    <w:tmpl w:val="17080254"/>
    <w:lvl w:ilvl="0" w:tplc="944CB586">
      <w:start w:val="1"/>
      <w:numFmt w:val="bullet"/>
      <w:lvlText w:val=""/>
      <w:lvlJc w:val="left"/>
      <w:pPr>
        <w:ind w:left="720" w:hanging="360"/>
      </w:pPr>
      <w:rPr>
        <w:rFonts w:ascii="Webdings" w:hAnsi="Webdings" w:hint="default"/>
        <w:color w:val="0099CC"/>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DF2ADD"/>
    <w:multiLevelType w:val="hybridMultilevel"/>
    <w:tmpl w:val="13FC2168"/>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AE17DD3"/>
    <w:multiLevelType w:val="hybridMultilevel"/>
    <w:tmpl w:val="34D40BA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B4C2516"/>
    <w:multiLevelType w:val="hybridMultilevel"/>
    <w:tmpl w:val="22FC9574"/>
    <w:lvl w:ilvl="0" w:tplc="944CB586">
      <w:start w:val="1"/>
      <w:numFmt w:val="bullet"/>
      <w:lvlText w:val=""/>
      <w:lvlJc w:val="left"/>
      <w:pPr>
        <w:ind w:left="927" w:hanging="360"/>
      </w:pPr>
      <w:rPr>
        <w:rFonts w:ascii="Webdings" w:hAnsi="Webdings" w:hint="default"/>
        <w:color w:val="0099CC"/>
        <w:sz w:val="24"/>
        <w:szCs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0" w15:restartNumberingAfterBreak="0">
    <w:nsid w:val="3BEF10E8"/>
    <w:multiLevelType w:val="hybridMultilevel"/>
    <w:tmpl w:val="E59C291E"/>
    <w:lvl w:ilvl="0" w:tplc="FFFFFFFF">
      <w:start w:val="1"/>
      <w:numFmt w:val="bullet"/>
      <w:lvlText w:val=""/>
      <w:lvlJc w:val="left"/>
      <w:pPr>
        <w:ind w:left="720" w:hanging="360"/>
      </w:pPr>
      <w:rPr>
        <w:rFonts w:ascii="Webdings" w:hAnsi="Webdings" w:hint="default"/>
        <w:color w:val="0099CC"/>
        <w:sz w:val="24"/>
        <w:szCs w:val="24"/>
      </w:rPr>
    </w:lvl>
    <w:lvl w:ilvl="1" w:tplc="944CB586">
      <w:start w:val="1"/>
      <w:numFmt w:val="bullet"/>
      <w:lvlText w:val=""/>
      <w:lvlJc w:val="left"/>
      <w:pPr>
        <w:ind w:left="1440" w:hanging="360"/>
      </w:pPr>
      <w:rPr>
        <w:rFonts w:ascii="Webdings" w:hAnsi="Webdings" w:hint="default"/>
        <w:color w:val="0099CC"/>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CB8165E"/>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731B69"/>
    <w:multiLevelType w:val="hybridMultilevel"/>
    <w:tmpl w:val="FC6EBA00"/>
    <w:lvl w:ilvl="0" w:tplc="4A621D6C">
      <w:start w:val="1"/>
      <w:numFmt w:val="bullet"/>
      <w:lvlText w:val=""/>
      <w:lvlJc w:val="left"/>
      <w:pPr>
        <w:ind w:left="578" w:hanging="360"/>
      </w:pPr>
      <w:rPr>
        <w:rFonts w:ascii="Webdings" w:hAnsi="Webdings" w:hint="default"/>
        <w:color w:val="0099CC"/>
        <w:sz w:val="24"/>
        <w:szCs w:val="24"/>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3" w15:restartNumberingAfterBreak="0">
    <w:nsid w:val="3EB02499"/>
    <w:multiLevelType w:val="hybridMultilevel"/>
    <w:tmpl w:val="96D6FC4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F322A65"/>
    <w:multiLevelType w:val="hybridMultilevel"/>
    <w:tmpl w:val="322C3214"/>
    <w:lvl w:ilvl="0" w:tplc="944CB586">
      <w:start w:val="1"/>
      <w:numFmt w:val="bullet"/>
      <w:lvlText w:val=""/>
      <w:lvlJc w:val="left"/>
      <w:pPr>
        <w:ind w:left="720" w:hanging="360"/>
      </w:pPr>
      <w:rPr>
        <w:rFonts w:ascii="Webdings" w:hAnsi="Webdings" w:hint="default"/>
        <w:color w:val="0099CC"/>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7663D7"/>
    <w:multiLevelType w:val="hybridMultilevel"/>
    <w:tmpl w:val="EF121528"/>
    <w:lvl w:ilvl="0" w:tplc="944CB586">
      <w:start w:val="1"/>
      <w:numFmt w:val="bullet"/>
      <w:lvlText w:val=""/>
      <w:lvlJc w:val="left"/>
      <w:pPr>
        <w:ind w:left="1145" w:hanging="360"/>
      </w:pPr>
      <w:rPr>
        <w:rFonts w:ascii="Webdings" w:hAnsi="Webdings" w:hint="default"/>
        <w:color w:val="0099CC"/>
        <w:sz w:val="24"/>
        <w:szCs w:val="24"/>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6" w15:restartNumberingAfterBreak="0">
    <w:nsid w:val="402B624C"/>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74723E"/>
    <w:multiLevelType w:val="hybridMultilevel"/>
    <w:tmpl w:val="2ADC83A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1AF084B"/>
    <w:multiLevelType w:val="hybridMultilevel"/>
    <w:tmpl w:val="01D4987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30308E4"/>
    <w:multiLevelType w:val="multilevel"/>
    <w:tmpl w:val="55D89C24"/>
    <w:lvl w:ilvl="0">
      <w:start w:val="1"/>
      <w:numFmt w:val="bullet"/>
      <w:lvlText w:val=""/>
      <w:lvlJc w:val="left"/>
      <w:pPr>
        <w:tabs>
          <w:tab w:val="num" w:pos="1211"/>
        </w:tabs>
        <w:ind w:left="1211" w:hanging="360"/>
      </w:pPr>
      <w:rPr>
        <w:rFonts w:ascii="Webdings" w:hAnsi="Webdings" w:hint="default"/>
        <w:color w:val="0099CC"/>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70" w15:restartNumberingAfterBreak="0">
    <w:nsid w:val="45C25F47"/>
    <w:multiLevelType w:val="hybridMultilevel"/>
    <w:tmpl w:val="ED80C7EE"/>
    <w:lvl w:ilvl="0" w:tplc="944CB586">
      <w:start w:val="1"/>
      <w:numFmt w:val="bullet"/>
      <w:lvlText w:val=""/>
      <w:lvlJc w:val="left"/>
      <w:pPr>
        <w:ind w:left="720" w:hanging="360"/>
      </w:pPr>
      <w:rPr>
        <w:rFonts w:ascii="Webdings" w:hAnsi="Webdings" w:hint="default"/>
        <w:color w:val="0099CC"/>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6C82027"/>
    <w:multiLevelType w:val="hybridMultilevel"/>
    <w:tmpl w:val="721ABF54"/>
    <w:lvl w:ilvl="0" w:tplc="944CB586">
      <w:start w:val="1"/>
      <w:numFmt w:val="bullet"/>
      <w:lvlText w:val=""/>
      <w:lvlJc w:val="left"/>
      <w:pPr>
        <w:ind w:left="720" w:hanging="360"/>
      </w:pPr>
      <w:rPr>
        <w:rFonts w:ascii="Webdings" w:hAnsi="Webdings" w:hint="default"/>
        <w:color w:val="0099CC"/>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7A24E88"/>
    <w:multiLevelType w:val="hybridMultilevel"/>
    <w:tmpl w:val="E1A2A598"/>
    <w:lvl w:ilvl="0" w:tplc="944CB586">
      <w:start w:val="1"/>
      <w:numFmt w:val="bullet"/>
      <w:lvlText w:val=""/>
      <w:lvlJc w:val="left"/>
      <w:pPr>
        <w:ind w:left="1077" w:hanging="360"/>
      </w:pPr>
      <w:rPr>
        <w:rFonts w:ascii="Webdings" w:hAnsi="Webdings" w:hint="default"/>
        <w:color w:val="0099CC"/>
        <w:sz w:val="24"/>
        <w:szCs w:val="24"/>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3" w15:restartNumberingAfterBreak="0">
    <w:nsid w:val="4C0D448F"/>
    <w:multiLevelType w:val="hybridMultilevel"/>
    <w:tmpl w:val="BA82C0E4"/>
    <w:lvl w:ilvl="0" w:tplc="944CB586">
      <w:start w:val="1"/>
      <w:numFmt w:val="bullet"/>
      <w:lvlText w:val=""/>
      <w:lvlJc w:val="left"/>
      <w:pPr>
        <w:ind w:left="720" w:hanging="360"/>
      </w:pPr>
      <w:rPr>
        <w:rFonts w:ascii="Webdings" w:hAnsi="Webdings" w:hint="default"/>
        <w:color w:val="0099CC"/>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E2537C5"/>
    <w:multiLevelType w:val="hybridMultilevel"/>
    <w:tmpl w:val="B39C0DDA"/>
    <w:lvl w:ilvl="0" w:tplc="0298047A">
      <w:start w:val="1"/>
      <w:numFmt w:val="bullet"/>
      <w:lvlText w:val=""/>
      <w:lvlJc w:val="left"/>
      <w:pPr>
        <w:ind w:left="1571" w:hanging="360"/>
      </w:pPr>
      <w:rPr>
        <w:rFonts w:ascii="Webdings" w:hAnsi="Webdings" w:hint="default"/>
        <w:color w:val="0099CC"/>
        <w:sz w:val="24"/>
        <w:szCs w:val="24"/>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5" w15:restartNumberingAfterBreak="0">
    <w:nsid w:val="4EEF6E94"/>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F7101C"/>
    <w:multiLevelType w:val="hybridMultilevel"/>
    <w:tmpl w:val="8400652A"/>
    <w:lvl w:ilvl="0" w:tplc="0C090001">
      <w:start w:val="1"/>
      <w:numFmt w:val="bullet"/>
      <w:lvlText w:val=""/>
      <w:lvlJc w:val="left"/>
      <w:pPr>
        <w:ind w:left="360" w:hanging="360"/>
      </w:pPr>
      <w:rPr>
        <w:rFonts w:ascii="Symbol" w:hAnsi="Symbol" w:hint="default"/>
      </w:rPr>
    </w:lvl>
    <w:lvl w:ilvl="1" w:tplc="944CB586">
      <w:start w:val="1"/>
      <w:numFmt w:val="bullet"/>
      <w:lvlText w:val=""/>
      <w:lvlJc w:val="left"/>
      <w:pPr>
        <w:ind w:left="1080" w:hanging="360"/>
      </w:pPr>
      <w:rPr>
        <w:rFonts w:ascii="Webdings" w:hAnsi="Webdings" w:hint="default"/>
        <w:color w:val="0099CC"/>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4F8E4217"/>
    <w:multiLevelType w:val="hybridMultilevel"/>
    <w:tmpl w:val="41DE524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5D52401"/>
    <w:multiLevelType w:val="hybridMultilevel"/>
    <w:tmpl w:val="AAB8E5B4"/>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7B2100C"/>
    <w:multiLevelType w:val="hybridMultilevel"/>
    <w:tmpl w:val="8640C12A"/>
    <w:lvl w:ilvl="0" w:tplc="0298047A">
      <w:start w:val="1"/>
      <w:numFmt w:val="bullet"/>
      <w:lvlText w:val=""/>
      <w:lvlJc w:val="left"/>
      <w:pPr>
        <w:ind w:left="720" w:hanging="360"/>
      </w:pPr>
      <w:rPr>
        <w:rFonts w:ascii="Webdings" w:hAnsi="Webdings" w:hint="default"/>
        <w:color w:val="0099CC"/>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86022D3"/>
    <w:multiLevelType w:val="hybridMultilevel"/>
    <w:tmpl w:val="6FA81CBA"/>
    <w:lvl w:ilvl="0" w:tplc="0C090001">
      <w:start w:val="1"/>
      <w:numFmt w:val="bullet"/>
      <w:lvlText w:val=""/>
      <w:lvlJc w:val="left"/>
      <w:pPr>
        <w:ind w:left="360" w:hanging="360"/>
      </w:pPr>
      <w:rPr>
        <w:rFonts w:ascii="Symbol" w:hAnsi="Symbol" w:hint="default"/>
      </w:rPr>
    </w:lvl>
    <w:lvl w:ilvl="1" w:tplc="0298047A">
      <w:start w:val="1"/>
      <w:numFmt w:val="bullet"/>
      <w:lvlText w:val=""/>
      <w:lvlJc w:val="left"/>
      <w:pPr>
        <w:ind w:left="1080" w:hanging="360"/>
      </w:pPr>
      <w:rPr>
        <w:rFonts w:ascii="Webdings" w:hAnsi="Webdings" w:hint="default"/>
        <w:color w:val="0099CC"/>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58643F48"/>
    <w:multiLevelType w:val="multilevel"/>
    <w:tmpl w:val="E6A25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8B014E1"/>
    <w:multiLevelType w:val="hybridMultilevel"/>
    <w:tmpl w:val="C0B68B9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99146AD"/>
    <w:multiLevelType w:val="hybridMultilevel"/>
    <w:tmpl w:val="601EFE72"/>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AFC46F8"/>
    <w:multiLevelType w:val="hybridMultilevel"/>
    <w:tmpl w:val="A31ABB5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B9E764D"/>
    <w:multiLevelType w:val="hybridMultilevel"/>
    <w:tmpl w:val="66A2B27C"/>
    <w:lvl w:ilvl="0" w:tplc="944CB586">
      <w:start w:val="1"/>
      <w:numFmt w:val="bullet"/>
      <w:lvlText w:val=""/>
      <w:lvlJc w:val="left"/>
      <w:pPr>
        <w:tabs>
          <w:tab w:val="num" w:pos="360"/>
        </w:tabs>
        <w:ind w:left="360" w:hanging="360"/>
      </w:pPr>
      <w:rPr>
        <w:rFonts w:ascii="Webdings" w:hAnsi="Webdings" w:hint="default"/>
        <w:color w:val="0099CC"/>
        <w:sz w:val="24"/>
        <w:szCs w:val="24"/>
      </w:rPr>
    </w:lvl>
    <w:lvl w:ilvl="1" w:tplc="04090003" w:tentative="1">
      <w:start w:val="1"/>
      <w:numFmt w:val="bullet"/>
      <w:lvlText w:val="o"/>
      <w:lvlJc w:val="left"/>
      <w:pPr>
        <w:tabs>
          <w:tab w:val="num" w:pos="1273"/>
        </w:tabs>
        <w:ind w:left="1273" w:hanging="360"/>
      </w:pPr>
      <w:rPr>
        <w:rFonts w:ascii="Courier New" w:hAnsi="Courier New" w:cs="Courier New" w:hint="default"/>
      </w:rPr>
    </w:lvl>
    <w:lvl w:ilvl="2" w:tplc="04090005" w:tentative="1">
      <w:start w:val="1"/>
      <w:numFmt w:val="bullet"/>
      <w:lvlText w:val=""/>
      <w:lvlJc w:val="left"/>
      <w:pPr>
        <w:tabs>
          <w:tab w:val="num" w:pos="1993"/>
        </w:tabs>
        <w:ind w:left="1993" w:hanging="360"/>
      </w:pPr>
      <w:rPr>
        <w:rFonts w:ascii="Wingdings" w:hAnsi="Wingdings" w:hint="default"/>
      </w:rPr>
    </w:lvl>
    <w:lvl w:ilvl="3" w:tplc="04090001" w:tentative="1">
      <w:start w:val="1"/>
      <w:numFmt w:val="bullet"/>
      <w:lvlText w:val=""/>
      <w:lvlJc w:val="left"/>
      <w:pPr>
        <w:tabs>
          <w:tab w:val="num" w:pos="2713"/>
        </w:tabs>
        <w:ind w:left="2713" w:hanging="360"/>
      </w:pPr>
      <w:rPr>
        <w:rFonts w:ascii="Symbol" w:hAnsi="Symbol" w:hint="default"/>
      </w:rPr>
    </w:lvl>
    <w:lvl w:ilvl="4" w:tplc="04090003" w:tentative="1">
      <w:start w:val="1"/>
      <w:numFmt w:val="bullet"/>
      <w:lvlText w:val="o"/>
      <w:lvlJc w:val="left"/>
      <w:pPr>
        <w:tabs>
          <w:tab w:val="num" w:pos="3433"/>
        </w:tabs>
        <w:ind w:left="3433" w:hanging="360"/>
      </w:pPr>
      <w:rPr>
        <w:rFonts w:ascii="Courier New" w:hAnsi="Courier New" w:cs="Courier New" w:hint="default"/>
      </w:rPr>
    </w:lvl>
    <w:lvl w:ilvl="5" w:tplc="04090005" w:tentative="1">
      <w:start w:val="1"/>
      <w:numFmt w:val="bullet"/>
      <w:lvlText w:val=""/>
      <w:lvlJc w:val="left"/>
      <w:pPr>
        <w:tabs>
          <w:tab w:val="num" w:pos="4153"/>
        </w:tabs>
        <w:ind w:left="4153" w:hanging="360"/>
      </w:pPr>
      <w:rPr>
        <w:rFonts w:ascii="Wingdings" w:hAnsi="Wingdings" w:hint="default"/>
      </w:rPr>
    </w:lvl>
    <w:lvl w:ilvl="6" w:tplc="04090001" w:tentative="1">
      <w:start w:val="1"/>
      <w:numFmt w:val="bullet"/>
      <w:lvlText w:val=""/>
      <w:lvlJc w:val="left"/>
      <w:pPr>
        <w:tabs>
          <w:tab w:val="num" w:pos="4873"/>
        </w:tabs>
        <w:ind w:left="4873" w:hanging="360"/>
      </w:pPr>
      <w:rPr>
        <w:rFonts w:ascii="Symbol" w:hAnsi="Symbol" w:hint="default"/>
      </w:rPr>
    </w:lvl>
    <w:lvl w:ilvl="7" w:tplc="04090003" w:tentative="1">
      <w:start w:val="1"/>
      <w:numFmt w:val="bullet"/>
      <w:lvlText w:val="o"/>
      <w:lvlJc w:val="left"/>
      <w:pPr>
        <w:tabs>
          <w:tab w:val="num" w:pos="5593"/>
        </w:tabs>
        <w:ind w:left="5593" w:hanging="360"/>
      </w:pPr>
      <w:rPr>
        <w:rFonts w:ascii="Courier New" w:hAnsi="Courier New" w:cs="Courier New" w:hint="default"/>
      </w:rPr>
    </w:lvl>
    <w:lvl w:ilvl="8" w:tplc="04090005" w:tentative="1">
      <w:start w:val="1"/>
      <w:numFmt w:val="bullet"/>
      <w:lvlText w:val=""/>
      <w:lvlJc w:val="left"/>
      <w:pPr>
        <w:tabs>
          <w:tab w:val="num" w:pos="6313"/>
        </w:tabs>
        <w:ind w:left="6313" w:hanging="360"/>
      </w:pPr>
      <w:rPr>
        <w:rFonts w:ascii="Wingdings" w:hAnsi="Wingdings" w:hint="default"/>
      </w:rPr>
    </w:lvl>
  </w:abstractNum>
  <w:abstractNum w:abstractNumId="86" w15:restartNumberingAfterBreak="0">
    <w:nsid w:val="5DD02BDB"/>
    <w:multiLevelType w:val="hybridMultilevel"/>
    <w:tmpl w:val="B0B6CC38"/>
    <w:lvl w:ilvl="0" w:tplc="0298047A">
      <w:start w:val="1"/>
      <w:numFmt w:val="bullet"/>
      <w:lvlText w:val=""/>
      <w:lvlJc w:val="left"/>
      <w:pPr>
        <w:ind w:left="1434" w:hanging="360"/>
      </w:pPr>
      <w:rPr>
        <w:rFonts w:ascii="Webdings" w:hAnsi="Webdings" w:hint="default"/>
        <w:color w:val="0099CC"/>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7" w15:restartNumberingAfterBreak="0">
    <w:nsid w:val="5FD64F24"/>
    <w:multiLevelType w:val="multilevel"/>
    <w:tmpl w:val="6ED2FC8C"/>
    <w:lvl w:ilvl="0">
      <w:start w:val="1"/>
      <w:numFmt w:val="bullet"/>
      <w:lvlText w:val=""/>
      <w:lvlJc w:val="left"/>
      <w:pPr>
        <w:tabs>
          <w:tab w:val="num" w:pos="786"/>
        </w:tabs>
        <w:ind w:left="786" w:hanging="360"/>
      </w:pPr>
      <w:rPr>
        <w:rFonts w:ascii="Webdings" w:hAnsi="Webdings" w:hint="default"/>
        <w:color w:val="0099CC"/>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88" w15:restartNumberingAfterBreak="0">
    <w:nsid w:val="614D0259"/>
    <w:multiLevelType w:val="multilevel"/>
    <w:tmpl w:val="59348B70"/>
    <w:lvl w:ilvl="0">
      <w:start w:val="1"/>
      <w:numFmt w:val="bullet"/>
      <w:lvlText w:val="o"/>
      <w:lvlJc w:val="left"/>
      <w:pPr>
        <w:tabs>
          <w:tab w:val="num" w:pos="1778"/>
        </w:tabs>
        <w:ind w:left="1778" w:hanging="360"/>
      </w:pPr>
      <w:rPr>
        <w:rFonts w:ascii="Courier New" w:hAnsi="Courier New"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o"/>
      <w:lvlJc w:val="left"/>
      <w:pPr>
        <w:tabs>
          <w:tab w:val="num" w:pos="3218"/>
        </w:tabs>
        <w:ind w:left="3218" w:hanging="360"/>
      </w:pPr>
      <w:rPr>
        <w:rFonts w:ascii="Courier New" w:hAnsi="Courier New" w:hint="default"/>
        <w:sz w:val="20"/>
      </w:rPr>
    </w:lvl>
    <w:lvl w:ilvl="3" w:tentative="1">
      <w:start w:val="1"/>
      <w:numFmt w:val="bullet"/>
      <w:lvlText w:val="o"/>
      <w:lvlJc w:val="left"/>
      <w:pPr>
        <w:tabs>
          <w:tab w:val="num" w:pos="3938"/>
        </w:tabs>
        <w:ind w:left="3938" w:hanging="360"/>
      </w:pPr>
      <w:rPr>
        <w:rFonts w:ascii="Courier New" w:hAnsi="Courier New" w:hint="default"/>
        <w:sz w:val="20"/>
      </w:rPr>
    </w:lvl>
    <w:lvl w:ilvl="4" w:tentative="1">
      <w:start w:val="1"/>
      <w:numFmt w:val="bullet"/>
      <w:lvlText w:val="o"/>
      <w:lvlJc w:val="left"/>
      <w:pPr>
        <w:tabs>
          <w:tab w:val="num" w:pos="4658"/>
        </w:tabs>
        <w:ind w:left="4658" w:hanging="360"/>
      </w:pPr>
      <w:rPr>
        <w:rFonts w:ascii="Courier New" w:hAnsi="Courier New" w:hint="default"/>
        <w:sz w:val="20"/>
      </w:rPr>
    </w:lvl>
    <w:lvl w:ilvl="5" w:tentative="1">
      <w:start w:val="1"/>
      <w:numFmt w:val="bullet"/>
      <w:lvlText w:val="o"/>
      <w:lvlJc w:val="left"/>
      <w:pPr>
        <w:tabs>
          <w:tab w:val="num" w:pos="5378"/>
        </w:tabs>
        <w:ind w:left="5378" w:hanging="360"/>
      </w:pPr>
      <w:rPr>
        <w:rFonts w:ascii="Courier New" w:hAnsi="Courier New" w:hint="default"/>
        <w:sz w:val="20"/>
      </w:rPr>
    </w:lvl>
    <w:lvl w:ilvl="6" w:tentative="1">
      <w:start w:val="1"/>
      <w:numFmt w:val="bullet"/>
      <w:lvlText w:val="o"/>
      <w:lvlJc w:val="left"/>
      <w:pPr>
        <w:tabs>
          <w:tab w:val="num" w:pos="6098"/>
        </w:tabs>
        <w:ind w:left="6098" w:hanging="360"/>
      </w:pPr>
      <w:rPr>
        <w:rFonts w:ascii="Courier New" w:hAnsi="Courier New" w:hint="default"/>
        <w:sz w:val="20"/>
      </w:rPr>
    </w:lvl>
    <w:lvl w:ilvl="7" w:tentative="1">
      <w:start w:val="1"/>
      <w:numFmt w:val="bullet"/>
      <w:lvlText w:val="o"/>
      <w:lvlJc w:val="left"/>
      <w:pPr>
        <w:tabs>
          <w:tab w:val="num" w:pos="6818"/>
        </w:tabs>
        <w:ind w:left="6818" w:hanging="360"/>
      </w:pPr>
      <w:rPr>
        <w:rFonts w:ascii="Courier New" w:hAnsi="Courier New" w:hint="default"/>
        <w:sz w:val="20"/>
      </w:rPr>
    </w:lvl>
    <w:lvl w:ilvl="8" w:tentative="1">
      <w:start w:val="1"/>
      <w:numFmt w:val="bullet"/>
      <w:lvlText w:val="o"/>
      <w:lvlJc w:val="left"/>
      <w:pPr>
        <w:tabs>
          <w:tab w:val="num" w:pos="7538"/>
        </w:tabs>
        <w:ind w:left="7538" w:hanging="360"/>
      </w:pPr>
      <w:rPr>
        <w:rFonts w:ascii="Courier New" w:hAnsi="Courier New" w:hint="default"/>
        <w:sz w:val="20"/>
      </w:rPr>
    </w:lvl>
  </w:abstractNum>
  <w:abstractNum w:abstractNumId="89" w15:restartNumberingAfterBreak="0">
    <w:nsid w:val="62825147"/>
    <w:multiLevelType w:val="hybridMultilevel"/>
    <w:tmpl w:val="B288A65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2826DA9"/>
    <w:multiLevelType w:val="hybridMultilevel"/>
    <w:tmpl w:val="7D1E8502"/>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3015F31"/>
    <w:multiLevelType w:val="multilevel"/>
    <w:tmpl w:val="6D526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ebdings" w:hAnsi="Webdings" w:hint="default"/>
        <w:color w:val="0099CC"/>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723181"/>
    <w:multiLevelType w:val="hybridMultilevel"/>
    <w:tmpl w:val="AF643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7754300"/>
    <w:multiLevelType w:val="hybridMultilevel"/>
    <w:tmpl w:val="CFAE055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78A681E"/>
    <w:multiLevelType w:val="multilevel"/>
    <w:tmpl w:val="2D48B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69A93B9F"/>
    <w:multiLevelType w:val="hybridMultilevel"/>
    <w:tmpl w:val="DD583810"/>
    <w:lvl w:ilvl="0" w:tplc="40686586">
      <w:start w:val="1"/>
      <w:numFmt w:val="bullet"/>
      <w:lvlText w:val=""/>
      <w:lvlJc w:val="left"/>
      <w:pPr>
        <w:ind w:left="1800" w:hanging="360"/>
      </w:pPr>
      <w:rPr>
        <w:rFonts w:ascii="Webdings" w:hAnsi="Webdings" w:hint="default"/>
        <w:color w:val="0099CC"/>
        <w:sz w:val="24"/>
        <w:szCs w:val="24"/>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6" w15:restartNumberingAfterBreak="0">
    <w:nsid w:val="6C955814"/>
    <w:multiLevelType w:val="hybridMultilevel"/>
    <w:tmpl w:val="8312AB28"/>
    <w:lvl w:ilvl="0" w:tplc="0298047A">
      <w:start w:val="1"/>
      <w:numFmt w:val="bullet"/>
      <w:lvlText w:val=""/>
      <w:lvlJc w:val="left"/>
      <w:pPr>
        <w:ind w:left="720" w:hanging="360"/>
      </w:pPr>
      <w:rPr>
        <w:rFonts w:ascii="Webdings" w:hAnsi="Webdings" w:hint="default"/>
        <w:color w:val="0099CC"/>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D453F85"/>
    <w:multiLevelType w:val="hybridMultilevel"/>
    <w:tmpl w:val="804C41F0"/>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FEB4C1F"/>
    <w:multiLevelType w:val="multilevel"/>
    <w:tmpl w:val="47B667D8"/>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
      <w:lvlJc w:val="left"/>
      <w:pPr>
        <w:tabs>
          <w:tab w:val="num" w:pos="1440"/>
        </w:tabs>
        <w:ind w:left="1440" w:hanging="360"/>
      </w:pPr>
      <w:rPr>
        <w:rFonts w:ascii="Webdings" w:hAnsi="Webdings" w:hint="default"/>
        <w:color w:val="0099CC"/>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4A72CE"/>
    <w:multiLevelType w:val="hybridMultilevel"/>
    <w:tmpl w:val="41BACFA8"/>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20C138C"/>
    <w:multiLevelType w:val="hybridMultilevel"/>
    <w:tmpl w:val="396A2272"/>
    <w:lvl w:ilvl="0" w:tplc="FFFFFFFF">
      <w:start w:val="1"/>
      <w:numFmt w:val="bullet"/>
      <w:lvlText w:val=""/>
      <w:lvlJc w:val="left"/>
      <w:pPr>
        <w:ind w:left="927" w:hanging="360"/>
      </w:pPr>
      <w:rPr>
        <w:rFonts w:ascii="Webdings" w:hAnsi="Webdings" w:hint="default"/>
        <w:color w:val="0099CC"/>
        <w:sz w:val="24"/>
        <w:szCs w:val="24"/>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1" w15:restartNumberingAfterBreak="0">
    <w:nsid w:val="72806B5D"/>
    <w:multiLevelType w:val="multilevel"/>
    <w:tmpl w:val="8AFEB1B0"/>
    <w:lvl w:ilvl="0">
      <w:start w:val="1"/>
      <w:numFmt w:val="bullet"/>
      <w:lvlText w:val=""/>
      <w:lvlJc w:val="left"/>
      <w:pPr>
        <w:tabs>
          <w:tab w:val="num" w:pos="720"/>
        </w:tabs>
        <w:ind w:left="720" w:hanging="360"/>
      </w:pPr>
      <w:rPr>
        <w:rFonts w:ascii="Webdings" w:hAnsi="Webdings" w:hint="default"/>
        <w:color w:val="0099C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3E1A04"/>
    <w:multiLevelType w:val="hybridMultilevel"/>
    <w:tmpl w:val="7640D5C6"/>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66A211B"/>
    <w:multiLevelType w:val="multilevel"/>
    <w:tmpl w:val="8ACA05B2"/>
    <w:lvl w:ilvl="0">
      <w:start w:val="1"/>
      <w:numFmt w:val="bullet"/>
      <w:lvlText w:val=""/>
      <w:lvlJc w:val="left"/>
      <w:pPr>
        <w:tabs>
          <w:tab w:val="num" w:pos="720"/>
        </w:tabs>
        <w:ind w:left="720" w:hanging="360"/>
      </w:pPr>
      <w:rPr>
        <w:rFonts w:ascii="Webdings" w:hAnsi="Webdings" w:hint="default"/>
        <w:color w:val="0099CC"/>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9754DC"/>
    <w:multiLevelType w:val="hybridMultilevel"/>
    <w:tmpl w:val="992211E4"/>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74A2712"/>
    <w:multiLevelType w:val="hybridMultilevel"/>
    <w:tmpl w:val="7B64424E"/>
    <w:lvl w:ilvl="0" w:tplc="7944B346">
      <w:start w:val="1"/>
      <w:numFmt w:val="bullet"/>
      <w:pStyle w:val="ListBullet"/>
      <w:lvlText w:val=""/>
      <w:lvlJc w:val="left"/>
      <w:pPr>
        <w:tabs>
          <w:tab w:val="num" w:pos="1077"/>
        </w:tabs>
        <w:ind w:left="1077" w:hanging="35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A4E4D63"/>
    <w:multiLevelType w:val="hybridMultilevel"/>
    <w:tmpl w:val="3AFC308C"/>
    <w:lvl w:ilvl="0" w:tplc="944CB58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E404327"/>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4438FD"/>
    <w:multiLevelType w:val="hybridMultilevel"/>
    <w:tmpl w:val="ED3A6ECC"/>
    <w:lvl w:ilvl="0" w:tplc="0D969846">
      <w:start w:val="1"/>
      <w:numFmt w:val="bullet"/>
      <w:lvlText w:val=""/>
      <w:lvlJc w:val="left"/>
      <w:pPr>
        <w:ind w:left="578" w:hanging="360"/>
      </w:pPr>
      <w:rPr>
        <w:rFonts w:ascii="Webdings" w:hAnsi="Webdings" w:hint="default"/>
        <w:color w:val="0099CC"/>
        <w:sz w:val="24"/>
        <w:szCs w:val="24"/>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9" w15:restartNumberingAfterBreak="0">
    <w:nsid w:val="7F3D1CDE"/>
    <w:multiLevelType w:val="hybridMultilevel"/>
    <w:tmpl w:val="2B90BBB0"/>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728619">
    <w:abstractNumId w:val="105"/>
  </w:num>
  <w:num w:numId="2" w16cid:durableId="439104744">
    <w:abstractNumId w:val="85"/>
  </w:num>
  <w:num w:numId="3" w16cid:durableId="607467232">
    <w:abstractNumId w:val="42"/>
  </w:num>
  <w:num w:numId="4" w16cid:durableId="326524068">
    <w:abstractNumId w:val="104"/>
  </w:num>
  <w:num w:numId="5" w16cid:durableId="1741362284">
    <w:abstractNumId w:val="62"/>
  </w:num>
  <w:num w:numId="6" w16cid:durableId="1303461431">
    <w:abstractNumId w:val="91"/>
  </w:num>
  <w:num w:numId="7" w16cid:durableId="1389718370">
    <w:abstractNumId w:val="95"/>
  </w:num>
  <w:num w:numId="8" w16cid:durableId="185098949">
    <w:abstractNumId w:val="72"/>
  </w:num>
  <w:num w:numId="9" w16cid:durableId="999307550">
    <w:abstractNumId w:val="107"/>
  </w:num>
  <w:num w:numId="10" w16cid:durableId="854154353">
    <w:abstractNumId w:val="66"/>
  </w:num>
  <w:num w:numId="11" w16cid:durableId="3411034">
    <w:abstractNumId w:val="0"/>
  </w:num>
  <w:num w:numId="12" w16cid:durableId="377822296">
    <w:abstractNumId w:val="75"/>
  </w:num>
  <w:num w:numId="13" w16cid:durableId="518930830">
    <w:abstractNumId w:val="54"/>
  </w:num>
  <w:num w:numId="14" w16cid:durableId="1600798800">
    <w:abstractNumId w:val="45"/>
  </w:num>
  <w:num w:numId="15" w16cid:durableId="1420325552">
    <w:abstractNumId w:val="61"/>
  </w:num>
  <w:num w:numId="16" w16cid:durableId="961617858">
    <w:abstractNumId w:val="4"/>
  </w:num>
  <w:num w:numId="17" w16cid:durableId="2028169015">
    <w:abstractNumId w:val="55"/>
  </w:num>
  <w:num w:numId="18" w16cid:durableId="466748451">
    <w:abstractNumId w:val="100"/>
  </w:num>
  <w:num w:numId="19" w16cid:durableId="608242197">
    <w:abstractNumId w:val="99"/>
  </w:num>
  <w:num w:numId="20" w16cid:durableId="226112456">
    <w:abstractNumId w:val="65"/>
  </w:num>
  <w:num w:numId="21" w16cid:durableId="1640375729">
    <w:abstractNumId w:val="98"/>
  </w:num>
  <w:num w:numId="22" w16cid:durableId="1519154220">
    <w:abstractNumId w:val="103"/>
  </w:num>
  <w:num w:numId="23" w16cid:durableId="313724149">
    <w:abstractNumId w:val="5"/>
  </w:num>
  <w:num w:numId="24" w16cid:durableId="528229027">
    <w:abstractNumId w:val="37"/>
  </w:num>
  <w:num w:numId="25" w16cid:durableId="252279758">
    <w:abstractNumId w:val="13"/>
  </w:num>
  <w:num w:numId="26" w16cid:durableId="697243308">
    <w:abstractNumId w:val="73"/>
  </w:num>
  <w:num w:numId="27" w16cid:durableId="493254918">
    <w:abstractNumId w:val="7"/>
  </w:num>
  <w:num w:numId="28" w16cid:durableId="735665910">
    <w:abstractNumId w:val="19"/>
  </w:num>
  <w:num w:numId="29" w16cid:durableId="942150049">
    <w:abstractNumId w:val="8"/>
  </w:num>
  <w:num w:numId="30" w16cid:durableId="140968825">
    <w:abstractNumId w:val="11"/>
  </w:num>
  <w:num w:numId="31" w16cid:durableId="1358434989">
    <w:abstractNumId w:val="3"/>
  </w:num>
  <w:num w:numId="32" w16cid:durableId="1476877472">
    <w:abstractNumId w:val="1"/>
  </w:num>
  <w:num w:numId="33" w16cid:durableId="1136608369">
    <w:abstractNumId w:val="29"/>
  </w:num>
  <w:num w:numId="34" w16cid:durableId="349648111">
    <w:abstractNumId w:val="108"/>
  </w:num>
  <w:num w:numId="35" w16cid:durableId="1402437051">
    <w:abstractNumId w:val="20"/>
  </w:num>
  <w:num w:numId="36" w16cid:durableId="2111045635">
    <w:abstractNumId w:val="106"/>
  </w:num>
  <w:num w:numId="37" w16cid:durableId="457183897">
    <w:abstractNumId w:val="80"/>
  </w:num>
  <w:num w:numId="38" w16cid:durableId="278686821">
    <w:abstractNumId w:val="74"/>
  </w:num>
  <w:num w:numId="39" w16cid:durableId="1967009143">
    <w:abstractNumId w:val="48"/>
  </w:num>
  <w:num w:numId="40" w16cid:durableId="1383944740">
    <w:abstractNumId w:val="34"/>
  </w:num>
  <w:num w:numId="41" w16cid:durableId="606887718">
    <w:abstractNumId w:val="26"/>
  </w:num>
  <w:num w:numId="42" w16cid:durableId="1327392507">
    <w:abstractNumId w:val="16"/>
  </w:num>
  <w:num w:numId="43" w16cid:durableId="960957529">
    <w:abstractNumId w:val="86"/>
  </w:num>
  <w:num w:numId="44" w16cid:durableId="1366057482">
    <w:abstractNumId w:val="32"/>
  </w:num>
  <w:num w:numId="45" w16cid:durableId="575288096">
    <w:abstractNumId w:val="25"/>
  </w:num>
  <w:num w:numId="46" w16cid:durableId="2125883305">
    <w:abstractNumId w:val="93"/>
  </w:num>
  <w:num w:numId="47" w16cid:durableId="335301964">
    <w:abstractNumId w:val="76"/>
  </w:num>
  <w:num w:numId="48" w16cid:durableId="1352681204">
    <w:abstractNumId w:val="30"/>
  </w:num>
  <w:num w:numId="49" w16cid:durableId="1226837904">
    <w:abstractNumId w:val="46"/>
  </w:num>
  <w:num w:numId="50" w16cid:durableId="1999261995">
    <w:abstractNumId w:val="35"/>
  </w:num>
  <w:num w:numId="51" w16cid:durableId="2072146123">
    <w:abstractNumId w:val="102"/>
  </w:num>
  <w:num w:numId="52" w16cid:durableId="1651668595">
    <w:abstractNumId w:val="90"/>
  </w:num>
  <w:num w:numId="53" w16cid:durableId="669216913">
    <w:abstractNumId w:val="41"/>
  </w:num>
  <w:num w:numId="54" w16cid:durableId="1908033114">
    <w:abstractNumId w:val="59"/>
  </w:num>
  <w:num w:numId="55" w16cid:durableId="1449353070">
    <w:abstractNumId w:val="64"/>
  </w:num>
  <w:num w:numId="56" w16cid:durableId="460921387">
    <w:abstractNumId w:val="10"/>
  </w:num>
  <w:num w:numId="57" w16cid:durableId="1376273848">
    <w:abstractNumId w:val="97"/>
  </w:num>
  <w:num w:numId="58" w16cid:durableId="1586843587">
    <w:abstractNumId w:val="68"/>
  </w:num>
  <w:num w:numId="59" w16cid:durableId="721631964">
    <w:abstractNumId w:val="53"/>
  </w:num>
  <w:num w:numId="60" w16cid:durableId="900410180">
    <w:abstractNumId w:val="31"/>
  </w:num>
  <w:num w:numId="61" w16cid:durableId="29764416">
    <w:abstractNumId w:val="92"/>
  </w:num>
  <w:num w:numId="62" w16cid:durableId="1584561401">
    <w:abstractNumId w:val="56"/>
  </w:num>
  <w:num w:numId="63" w16cid:durableId="1300644374">
    <w:abstractNumId w:val="2"/>
  </w:num>
  <w:num w:numId="64" w16cid:durableId="118259104">
    <w:abstractNumId w:val="52"/>
  </w:num>
  <w:num w:numId="65" w16cid:durableId="1078019153">
    <w:abstractNumId w:val="18"/>
  </w:num>
  <w:num w:numId="66" w16cid:durableId="1770154922">
    <w:abstractNumId w:val="43"/>
  </w:num>
  <w:num w:numId="67" w16cid:durableId="371075436">
    <w:abstractNumId w:val="77"/>
  </w:num>
  <w:num w:numId="68" w16cid:durableId="481509254">
    <w:abstractNumId w:val="39"/>
  </w:num>
  <w:num w:numId="69" w16cid:durableId="1017578245">
    <w:abstractNumId w:val="6"/>
  </w:num>
  <w:num w:numId="70" w16cid:durableId="32123409">
    <w:abstractNumId w:val="70"/>
  </w:num>
  <w:num w:numId="71" w16cid:durableId="775904426">
    <w:abstractNumId w:val="49"/>
  </w:num>
  <w:num w:numId="72" w16cid:durableId="1387333466">
    <w:abstractNumId w:val="44"/>
  </w:num>
  <w:num w:numId="73" w16cid:durableId="1522276995">
    <w:abstractNumId w:val="84"/>
  </w:num>
  <w:num w:numId="74" w16cid:durableId="209541897">
    <w:abstractNumId w:val="40"/>
  </w:num>
  <w:num w:numId="75" w16cid:durableId="842210224">
    <w:abstractNumId w:val="82"/>
  </w:num>
  <w:num w:numId="76" w16cid:durableId="135993622">
    <w:abstractNumId w:val="17"/>
  </w:num>
  <w:num w:numId="77" w16cid:durableId="948464093">
    <w:abstractNumId w:val="24"/>
  </w:num>
  <w:num w:numId="78" w16cid:durableId="1845969104">
    <w:abstractNumId w:val="58"/>
  </w:num>
  <w:num w:numId="79" w16cid:durableId="1861040558">
    <w:abstractNumId w:val="22"/>
  </w:num>
  <w:num w:numId="80" w16cid:durableId="1172640552">
    <w:abstractNumId w:val="33"/>
  </w:num>
  <w:num w:numId="81" w16cid:durableId="743264195">
    <w:abstractNumId w:val="57"/>
  </w:num>
  <w:num w:numId="82" w16cid:durableId="137310067">
    <w:abstractNumId w:val="23"/>
  </w:num>
  <w:num w:numId="83" w16cid:durableId="535002796">
    <w:abstractNumId w:val="89"/>
  </w:num>
  <w:num w:numId="84" w16cid:durableId="68425270">
    <w:abstractNumId w:val="78"/>
  </w:num>
  <w:num w:numId="85" w16cid:durableId="61606693">
    <w:abstractNumId w:val="67"/>
  </w:num>
  <w:num w:numId="86" w16cid:durableId="1668709400">
    <w:abstractNumId w:val="109"/>
  </w:num>
  <w:num w:numId="87" w16cid:durableId="1361278844">
    <w:abstractNumId w:val="36"/>
  </w:num>
  <w:num w:numId="88" w16cid:durableId="1188369310">
    <w:abstractNumId w:val="87"/>
  </w:num>
  <w:num w:numId="89" w16cid:durableId="469442282">
    <w:abstractNumId w:val="51"/>
  </w:num>
  <w:num w:numId="90" w16cid:durableId="90665542">
    <w:abstractNumId w:val="47"/>
  </w:num>
  <w:num w:numId="91" w16cid:durableId="1162312184">
    <w:abstractNumId w:val="38"/>
  </w:num>
  <w:num w:numId="92" w16cid:durableId="1875654781">
    <w:abstractNumId w:val="88"/>
  </w:num>
  <w:num w:numId="93" w16cid:durableId="1035623544">
    <w:abstractNumId w:val="81"/>
  </w:num>
  <w:num w:numId="94" w16cid:durableId="355469291">
    <w:abstractNumId w:val="69"/>
  </w:num>
  <w:num w:numId="95" w16cid:durableId="1720741093">
    <w:abstractNumId w:val="101"/>
  </w:num>
  <w:num w:numId="96" w16cid:durableId="723412798">
    <w:abstractNumId w:val="94"/>
  </w:num>
  <w:num w:numId="97" w16cid:durableId="1524437229">
    <w:abstractNumId w:val="12"/>
  </w:num>
  <w:num w:numId="98" w16cid:durableId="632557802">
    <w:abstractNumId w:val="27"/>
  </w:num>
  <w:num w:numId="99" w16cid:durableId="1125193795">
    <w:abstractNumId w:val="96"/>
  </w:num>
  <w:num w:numId="100" w16cid:durableId="409274680">
    <w:abstractNumId w:val="79"/>
  </w:num>
  <w:num w:numId="101" w16cid:durableId="924265850">
    <w:abstractNumId w:val="83"/>
  </w:num>
  <w:num w:numId="102" w16cid:durableId="1383868762">
    <w:abstractNumId w:val="28"/>
  </w:num>
  <w:num w:numId="103" w16cid:durableId="1878615478">
    <w:abstractNumId w:val="50"/>
  </w:num>
  <w:num w:numId="104" w16cid:durableId="1850175974">
    <w:abstractNumId w:val="71"/>
  </w:num>
  <w:num w:numId="105" w16cid:durableId="1310359296">
    <w:abstractNumId w:val="60"/>
  </w:num>
  <w:num w:numId="106" w16cid:durableId="1689260473">
    <w:abstractNumId w:val="21"/>
  </w:num>
  <w:num w:numId="107" w16cid:durableId="1079643117">
    <w:abstractNumId w:val="63"/>
  </w:num>
  <w:num w:numId="108" w16cid:durableId="1452869000">
    <w:abstractNumId w:val="14"/>
  </w:num>
  <w:num w:numId="109" w16cid:durableId="1006984645">
    <w:abstractNumId w:val="9"/>
  </w:num>
  <w:num w:numId="110" w16cid:durableId="658309395">
    <w:abstractNumId w:val="1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2C"/>
    <w:rsid w:val="00000F6A"/>
    <w:rsid w:val="000030ED"/>
    <w:rsid w:val="00003B27"/>
    <w:rsid w:val="00003E76"/>
    <w:rsid w:val="00011A89"/>
    <w:rsid w:val="0001294E"/>
    <w:rsid w:val="00012CF4"/>
    <w:rsid w:val="00015721"/>
    <w:rsid w:val="00015E42"/>
    <w:rsid w:val="000164DB"/>
    <w:rsid w:val="000177AD"/>
    <w:rsid w:val="0001795F"/>
    <w:rsid w:val="000206C6"/>
    <w:rsid w:val="00020BDB"/>
    <w:rsid w:val="00020CAA"/>
    <w:rsid w:val="00020E44"/>
    <w:rsid w:val="00024A6D"/>
    <w:rsid w:val="00026965"/>
    <w:rsid w:val="0002703F"/>
    <w:rsid w:val="00027AD5"/>
    <w:rsid w:val="00027C5F"/>
    <w:rsid w:val="00030676"/>
    <w:rsid w:val="00030C26"/>
    <w:rsid w:val="00030F31"/>
    <w:rsid w:val="00031956"/>
    <w:rsid w:val="000352BB"/>
    <w:rsid w:val="00041235"/>
    <w:rsid w:val="00041BC9"/>
    <w:rsid w:val="00044CAA"/>
    <w:rsid w:val="000459CC"/>
    <w:rsid w:val="00045CBD"/>
    <w:rsid w:val="00045F55"/>
    <w:rsid w:val="000473A3"/>
    <w:rsid w:val="000505BC"/>
    <w:rsid w:val="000510E6"/>
    <w:rsid w:val="00051EBC"/>
    <w:rsid w:val="000522E5"/>
    <w:rsid w:val="000543AF"/>
    <w:rsid w:val="000549F0"/>
    <w:rsid w:val="000553F5"/>
    <w:rsid w:val="0005562C"/>
    <w:rsid w:val="00056AAB"/>
    <w:rsid w:val="00056B54"/>
    <w:rsid w:val="00056F9F"/>
    <w:rsid w:val="00061557"/>
    <w:rsid w:val="00064364"/>
    <w:rsid w:val="00064C6E"/>
    <w:rsid w:val="0006515A"/>
    <w:rsid w:val="00065D6E"/>
    <w:rsid w:val="00066657"/>
    <w:rsid w:val="00067C17"/>
    <w:rsid w:val="00070695"/>
    <w:rsid w:val="00070D3A"/>
    <w:rsid w:val="00070DD6"/>
    <w:rsid w:val="000729B5"/>
    <w:rsid w:val="00073084"/>
    <w:rsid w:val="00073A44"/>
    <w:rsid w:val="00076054"/>
    <w:rsid w:val="000762EA"/>
    <w:rsid w:val="0007646E"/>
    <w:rsid w:val="00077955"/>
    <w:rsid w:val="00077F5B"/>
    <w:rsid w:val="00080F34"/>
    <w:rsid w:val="00080F5E"/>
    <w:rsid w:val="00082ECE"/>
    <w:rsid w:val="0008327B"/>
    <w:rsid w:val="00083547"/>
    <w:rsid w:val="00084815"/>
    <w:rsid w:val="00085A5A"/>
    <w:rsid w:val="00086B94"/>
    <w:rsid w:val="00087615"/>
    <w:rsid w:val="000906A2"/>
    <w:rsid w:val="00093008"/>
    <w:rsid w:val="000936F0"/>
    <w:rsid w:val="00095205"/>
    <w:rsid w:val="000A1469"/>
    <w:rsid w:val="000A181B"/>
    <w:rsid w:val="000A1F4A"/>
    <w:rsid w:val="000A2306"/>
    <w:rsid w:val="000A25D4"/>
    <w:rsid w:val="000A54B4"/>
    <w:rsid w:val="000A58DC"/>
    <w:rsid w:val="000A6287"/>
    <w:rsid w:val="000A657B"/>
    <w:rsid w:val="000A73EB"/>
    <w:rsid w:val="000B1615"/>
    <w:rsid w:val="000B17AD"/>
    <w:rsid w:val="000B3979"/>
    <w:rsid w:val="000B3ABD"/>
    <w:rsid w:val="000B415F"/>
    <w:rsid w:val="000B6BA1"/>
    <w:rsid w:val="000B6BF7"/>
    <w:rsid w:val="000C459E"/>
    <w:rsid w:val="000C4A59"/>
    <w:rsid w:val="000C63DB"/>
    <w:rsid w:val="000D01EA"/>
    <w:rsid w:val="000D1BEF"/>
    <w:rsid w:val="000D2C19"/>
    <w:rsid w:val="000D2EEB"/>
    <w:rsid w:val="000D31CF"/>
    <w:rsid w:val="000D43B6"/>
    <w:rsid w:val="000D4EDC"/>
    <w:rsid w:val="000D58C0"/>
    <w:rsid w:val="000D601B"/>
    <w:rsid w:val="000D75B2"/>
    <w:rsid w:val="000E004A"/>
    <w:rsid w:val="000E05AC"/>
    <w:rsid w:val="000E521E"/>
    <w:rsid w:val="000E66BD"/>
    <w:rsid w:val="000E6E15"/>
    <w:rsid w:val="000E6EB1"/>
    <w:rsid w:val="000E6ED3"/>
    <w:rsid w:val="000E7813"/>
    <w:rsid w:val="000E7B44"/>
    <w:rsid w:val="000E7E01"/>
    <w:rsid w:val="000F2D58"/>
    <w:rsid w:val="000F33A0"/>
    <w:rsid w:val="000F5535"/>
    <w:rsid w:val="000F6D2C"/>
    <w:rsid w:val="000F71A0"/>
    <w:rsid w:val="00101A9E"/>
    <w:rsid w:val="00102DF2"/>
    <w:rsid w:val="001035BF"/>
    <w:rsid w:val="00103B05"/>
    <w:rsid w:val="001077E6"/>
    <w:rsid w:val="00110F6C"/>
    <w:rsid w:val="00111464"/>
    <w:rsid w:val="001119EB"/>
    <w:rsid w:val="00112148"/>
    <w:rsid w:val="001124B7"/>
    <w:rsid w:val="00112A0C"/>
    <w:rsid w:val="00112ABD"/>
    <w:rsid w:val="001132ED"/>
    <w:rsid w:val="001137F0"/>
    <w:rsid w:val="00113FCD"/>
    <w:rsid w:val="00114811"/>
    <w:rsid w:val="00114CA2"/>
    <w:rsid w:val="00122A4A"/>
    <w:rsid w:val="00123CE3"/>
    <w:rsid w:val="00123EC9"/>
    <w:rsid w:val="00124C47"/>
    <w:rsid w:val="0012555F"/>
    <w:rsid w:val="00130CB1"/>
    <w:rsid w:val="001321A9"/>
    <w:rsid w:val="00133774"/>
    <w:rsid w:val="00133AE1"/>
    <w:rsid w:val="001343AE"/>
    <w:rsid w:val="00135A94"/>
    <w:rsid w:val="00136123"/>
    <w:rsid w:val="00141408"/>
    <w:rsid w:val="00141998"/>
    <w:rsid w:val="00144158"/>
    <w:rsid w:val="0014458F"/>
    <w:rsid w:val="001451FD"/>
    <w:rsid w:val="00146EF3"/>
    <w:rsid w:val="001477F6"/>
    <w:rsid w:val="00147D4A"/>
    <w:rsid w:val="00151148"/>
    <w:rsid w:val="001516A1"/>
    <w:rsid w:val="00152C3F"/>
    <w:rsid w:val="00156814"/>
    <w:rsid w:val="00157531"/>
    <w:rsid w:val="001579D3"/>
    <w:rsid w:val="00157FEA"/>
    <w:rsid w:val="00160563"/>
    <w:rsid w:val="001632E2"/>
    <w:rsid w:val="00167D7A"/>
    <w:rsid w:val="00171310"/>
    <w:rsid w:val="00171E76"/>
    <w:rsid w:val="001722FA"/>
    <w:rsid w:val="00172854"/>
    <w:rsid w:val="00172F9E"/>
    <w:rsid w:val="001732CF"/>
    <w:rsid w:val="00173A40"/>
    <w:rsid w:val="00176637"/>
    <w:rsid w:val="001768ED"/>
    <w:rsid w:val="001774DF"/>
    <w:rsid w:val="00181325"/>
    <w:rsid w:val="001813B8"/>
    <w:rsid w:val="00181838"/>
    <w:rsid w:val="00182FC2"/>
    <w:rsid w:val="00183CE9"/>
    <w:rsid w:val="0018400B"/>
    <w:rsid w:val="001855F6"/>
    <w:rsid w:val="001859F1"/>
    <w:rsid w:val="00185C39"/>
    <w:rsid w:val="001910BB"/>
    <w:rsid w:val="001923AC"/>
    <w:rsid w:val="00196F3E"/>
    <w:rsid w:val="00196F6A"/>
    <w:rsid w:val="00196FE0"/>
    <w:rsid w:val="001A06F2"/>
    <w:rsid w:val="001A0D91"/>
    <w:rsid w:val="001A0FF1"/>
    <w:rsid w:val="001A1A5B"/>
    <w:rsid w:val="001A3223"/>
    <w:rsid w:val="001A5FBA"/>
    <w:rsid w:val="001A67C7"/>
    <w:rsid w:val="001A6F29"/>
    <w:rsid w:val="001A7023"/>
    <w:rsid w:val="001B120D"/>
    <w:rsid w:val="001B1AD4"/>
    <w:rsid w:val="001B1DDC"/>
    <w:rsid w:val="001B2AE3"/>
    <w:rsid w:val="001B4670"/>
    <w:rsid w:val="001B4A03"/>
    <w:rsid w:val="001B5215"/>
    <w:rsid w:val="001B5279"/>
    <w:rsid w:val="001B5652"/>
    <w:rsid w:val="001B565C"/>
    <w:rsid w:val="001B67C4"/>
    <w:rsid w:val="001B6D80"/>
    <w:rsid w:val="001C19A5"/>
    <w:rsid w:val="001C35BA"/>
    <w:rsid w:val="001C38F9"/>
    <w:rsid w:val="001C50D7"/>
    <w:rsid w:val="001C522D"/>
    <w:rsid w:val="001C533C"/>
    <w:rsid w:val="001C7AC4"/>
    <w:rsid w:val="001C7E1B"/>
    <w:rsid w:val="001D0B5A"/>
    <w:rsid w:val="001D1314"/>
    <w:rsid w:val="001D2344"/>
    <w:rsid w:val="001D5621"/>
    <w:rsid w:val="001D7E2D"/>
    <w:rsid w:val="001E021E"/>
    <w:rsid w:val="001E1940"/>
    <w:rsid w:val="001E1ECA"/>
    <w:rsid w:val="001E40DC"/>
    <w:rsid w:val="001E4F96"/>
    <w:rsid w:val="001E5EDE"/>
    <w:rsid w:val="001E64CB"/>
    <w:rsid w:val="001E7000"/>
    <w:rsid w:val="001E7231"/>
    <w:rsid w:val="001E75F0"/>
    <w:rsid w:val="001F025C"/>
    <w:rsid w:val="001F1A6B"/>
    <w:rsid w:val="001F39AA"/>
    <w:rsid w:val="001F761C"/>
    <w:rsid w:val="002002FC"/>
    <w:rsid w:val="00201307"/>
    <w:rsid w:val="002019C0"/>
    <w:rsid w:val="002028A6"/>
    <w:rsid w:val="00203C35"/>
    <w:rsid w:val="00203E4C"/>
    <w:rsid w:val="002042F9"/>
    <w:rsid w:val="00206795"/>
    <w:rsid w:val="002068A3"/>
    <w:rsid w:val="00210CDA"/>
    <w:rsid w:val="00211042"/>
    <w:rsid w:val="00211519"/>
    <w:rsid w:val="002134CE"/>
    <w:rsid w:val="002161D3"/>
    <w:rsid w:val="002173B2"/>
    <w:rsid w:val="0021750C"/>
    <w:rsid w:val="00220789"/>
    <w:rsid w:val="00220C90"/>
    <w:rsid w:val="002232AD"/>
    <w:rsid w:val="002238D8"/>
    <w:rsid w:val="002240E7"/>
    <w:rsid w:val="00224D2A"/>
    <w:rsid w:val="00225F3F"/>
    <w:rsid w:val="002275D2"/>
    <w:rsid w:val="002278FD"/>
    <w:rsid w:val="002315C7"/>
    <w:rsid w:val="002320C9"/>
    <w:rsid w:val="0023442F"/>
    <w:rsid w:val="00236203"/>
    <w:rsid w:val="00236E93"/>
    <w:rsid w:val="00237AFD"/>
    <w:rsid w:val="00240FFC"/>
    <w:rsid w:val="0024134F"/>
    <w:rsid w:val="00244279"/>
    <w:rsid w:val="0024495A"/>
    <w:rsid w:val="00245310"/>
    <w:rsid w:val="00246987"/>
    <w:rsid w:val="00250603"/>
    <w:rsid w:val="00251D48"/>
    <w:rsid w:val="002530BD"/>
    <w:rsid w:val="002540F1"/>
    <w:rsid w:val="00254344"/>
    <w:rsid w:val="00255632"/>
    <w:rsid w:val="00255D94"/>
    <w:rsid w:val="002567A4"/>
    <w:rsid w:val="00257490"/>
    <w:rsid w:val="00261544"/>
    <w:rsid w:val="0026191F"/>
    <w:rsid w:val="00264A21"/>
    <w:rsid w:val="00265570"/>
    <w:rsid w:val="002659BF"/>
    <w:rsid w:val="00266C68"/>
    <w:rsid w:val="0026781C"/>
    <w:rsid w:val="0026781D"/>
    <w:rsid w:val="002708F2"/>
    <w:rsid w:val="00270F64"/>
    <w:rsid w:val="00270FCB"/>
    <w:rsid w:val="002736CF"/>
    <w:rsid w:val="0027545E"/>
    <w:rsid w:val="0027561B"/>
    <w:rsid w:val="00275A55"/>
    <w:rsid w:val="00280572"/>
    <w:rsid w:val="002810C9"/>
    <w:rsid w:val="00282483"/>
    <w:rsid w:val="002824B2"/>
    <w:rsid w:val="00282A56"/>
    <w:rsid w:val="00285175"/>
    <w:rsid w:val="00286DB5"/>
    <w:rsid w:val="002874F6"/>
    <w:rsid w:val="002904D4"/>
    <w:rsid w:val="00290E7A"/>
    <w:rsid w:val="00291298"/>
    <w:rsid w:val="002928E1"/>
    <w:rsid w:val="00293913"/>
    <w:rsid w:val="00295B8C"/>
    <w:rsid w:val="002A0541"/>
    <w:rsid w:val="002A1D36"/>
    <w:rsid w:val="002A2A15"/>
    <w:rsid w:val="002A304E"/>
    <w:rsid w:val="002A37BB"/>
    <w:rsid w:val="002A3846"/>
    <w:rsid w:val="002A4DBB"/>
    <w:rsid w:val="002A5691"/>
    <w:rsid w:val="002A5887"/>
    <w:rsid w:val="002A5B7D"/>
    <w:rsid w:val="002A5F36"/>
    <w:rsid w:val="002A5FE9"/>
    <w:rsid w:val="002A6216"/>
    <w:rsid w:val="002A7A91"/>
    <w:rsid w:val="002A7BE3"/>
    <w:rsid w:val="002B2F8E"/>
    <w:rsid w:val="002B5638"/>
    <w:rsid w:val="002B57C6"/>
    <w:rsid w:val="002B6151"/>
    <w:rsid w:val="002B7436"/>
    <w:rsid w:val="002B744C"/>
    <w:rsid w:val="002B7CED"/>
    <w:rsid w:val="002B7D68"/>
    <w:rsid w:val="002C1C35"/>
    <w:rsid w:val="002C1C57"/>
    <w:rsid w:val="002C25EE"/>
    <w:rsid w:val="002C4D55"/>
    <w:rsid w:val="002C50F0"/>
    <w:rsid w:val="002C5DF2"/>
    <w:rsid w:val="002C64C1"/>
    <w:rsid w:val="002C7529"/>
    <w:rsid w:val="002D1321"/>
    <w:rsid w:val="002D1BD6"/>
    <w:rsid w:val="002D24BA"/>
    <w:rsid w:val="002D2898"/>
    <w:rsid w:val="002D7206"/>
    <w:rsid w:val="002D74F9"/>
    <w:rsid w:val="002E0B09"/>
    <w:rsid w:val="002E4BD5"/>
    <w:rsid w:val="002E4EBC"/>
    <w:rsid w:val="002E723E"/>
    <w:rsid w:val="002E750F"/>
    <w:rsid w:val="002E7FEC"/>
    <w:rsid w:val="002F0B22"/>
    <w:rsid w:val="002F3561"/>
    <w:rsid w:val="002F45A7"/>
    <w:rsid w:val="00303B39"/>
    <w:rsid w:val="003046B2"/>
    <w:rsid w:val="00304F4B"/>
    <w:rsid w:val="00310FCA"/>
    <w:rsid w:val="0031142F"/>
    <w:rsid w:val="00312E55"/>
    <w:rsid w:val="00313B13"/>
    <w:rsid w:val="00314801"/>
    <w:rsid w:val="00314D12"/>
    <w:rsid w:val="00315254"/>
    <w:rsid w:val="00315EBC"/>
    <w:rsid w:val="003173C6"/>
    <w:rsid w:val="00322178"/>
    <w:rsid w:val="003221E5"/>
    <w:rsid w:val="00322592"/>
    <w:rsid w:val="00322B69"/>
    <w:rsid w:val="0032457D"/>
    <w:rsid w:val="003245CE"/>
    <w:rsid w:val="003267EF"/>
    <w:rsid w:val="0032687F"/>
    <w:rsid w:val="00330440"/>
    <w:rsid w:val="00330549"/>
    <w:rsid w:val="00333864"/>
    <w:rsid w:val="00333991"/>
    <w:rsid w:val="00335878"/>
    <w:rsid w:val="00336ABA"/>
    <w:rsid w:val="00341000"/>
    <w:rsid w:val="00342B27"/>
    <w:rsid w:val="00342B3E"/>
    <w:rsid w:val="00342C49"/>
    <w:rsid w:val="003443BD"/>
    <w:rsid w:val="003449D4"/>
    <w:rsid w:val="00344BE6"/>
    <w:rsid w:val="0034648A"/>
    <w:rsid w:val="00346E9C"/>
    <w:rsid w:val="003471A5"/>
    <w:rsid w:val="00350D81"/>
    <w:rsid w:val="0035157C"/>
    <w:rsid w:val="00351DD0"/>
    <w:rsid w:val="00352954"/>
    <w:rsid w:val="00354AF8"/>
    <w:rsid w:val="00354DB8"/>
    <w:rsid w:val="00354F7F"/>
    <w:rsid w:val="00356EBC"/>
    <w:rsid w:val="00356FCE"/>
    <w:rsid w:val="00357616"/>
    <w:rsid w:val="00357694"/>
    <w:rsid w:val="00357ECE"/>
    <w:rsid w:val="003602B4"/>
    <w:rsid w:val="00360438"/>
    <w:rsid w:val="00360D3C"/>
    <w:rsid w:val="003619AE"/>
    <w:rsid w:val="00362FC9"/>
    <w:rsid w:val="003641E5"/>
    <w:rsid w:val="003645F4"/>
    <w:rsid w:val="003647E6"/>
    <w:rsid w:val="003701F3"/>
    <w:rsid w:val="0037072B"/>
    <w:rsid w:val="003712DD"/>
    <w:rsid w:val="00371E9E"/>
    <w:rsid w:val="003743E9"/>
    <w:rsid w:val="00374757"/>
    <w:rsid w:val="003755FE"/>
    <w:rsid w:val="00377B91"/>
    <w:rsid w:val="0038034E"/>
    <w:rsid w:val="003805D2"/>
    <w:rsid w:val="00382BA4"/>
    <w:rsid w:val="00383C45"/>
    <w:rsid w:val="00383E02"/>
    <w:rsid w:val="0038535D"/>
    <w:rsid w:val="00387102"/>
    <w:rsid w:val="00390610"/>
    <w:rsid w:val="00390A99"/>
    <w:rsid w:val="00391E59"/>
    <w:rsid w:val="0039283E"/>
    <w:rsid w:val="003954B0"/>
    <w:rsid w:val="0039657A"/>
    <w:rsid w:val="003A116B"/>
    <w:rsid w:val="003A1194"/>
    <w:rsid w:val="003A204C"/>
    <w:rsid w:val="003A64E5"/>
    <w:rsid w:val="003A759E"/>
    <w:rsid w:val="003B3A17"/>
    <w:rsid w:val="003B471D"/>
    <w:rsid w:val="003B7759"/>
    <w:rsid w:val="003B78CF"/>
    <w:rsid w:val="003C01A3"/>
    <w:rsid w:val="003C1DA5"/>
    <w:rsid w:val="003C26ED"/>
    <w:rsid w:val="003C335E"/>
    <w:rsid w:val="003C716B"/>
    <w:rsid w:val="003C739B"/>
    <w:rsid w:val="003D19D2"/>
    <w:rsid w:val="003D2C49"/>
    <w:rsid w:val="003D3F8A"/>
    <w:rsid w:val="003D6DD1"/>
    <w:rsid w:val="003D769F"/>
    <w:rsid w:val="003D7F8A"/>
    <w:rsid w:val="003E030D"/>
    <w:rsid w:val="003E0954"/>
    <w:rsid w:val="003E2281"/>
    <w:rsid w:val="003E298C"/>
    <w:rsid w:val="003E497E"/>
    <w:rsid w:val="003E4E36"/>
    <w:rsid w:val="003E5569"/>
    <w:rsid w:val="003F16C6"/>
    <w:rsid w:val="003F3A60"/>
    <w:rsid w:val="003F4265"/>
    <w:rsid w:val="003F7803"/>
    <w:rsid w:val="003F7F09"/>
    <w:rsid w:val="00402722"/>
    <w:rsid w:val="0040301B"/>
    <w:rsid w:val="0040502C"/>
    <w:rsid w:val="00405091"/>
    <w:rsid w:val="00407B57"/>
    <w:rsid w:val="00410001"/>
    <w:rsid w:val="004113AD"/>
    <w:rsid w:val="004128BD"/>
    <w:rsid w:val="00413426"/>
    <w:rsid w:val="00415275"/>
    <w:rsid w:val="00415895"/>
    <w:rsid w:val="004169FD"/>
    <w:rsid w:val="004177D6"/>
    <w:rsid w:val="00417B3B"/>
    <w:rsid w:val="004209EE"/>
    <w:rsid w:val="00420EC8"/>
    <w:rsid w:val="004213D6"/>
    <w:rsid w:val="0042143C"/>
    <w:rsid w:val="00421BB3"/>
    <w:rsid w:val="00421DD6"/>
    <w:rsid w:val="00422BA5"/>
    <w:rsid w:val="00422F77"/>
    <w:rsid w:val="00425355"/>
    <w:rsid w:val="004274CE"/>
    <w:rsid w:val="0042777B"/>
    <w:rsid w:val="00431C0F"/>
    <w:rsid w:val="004321D1"/>
    <w:rsid w:val="004339FC"/>
    <w:rsid w:val="00436671"/>
    <w:rsid w:val="00440444"/>
    <w:rsid w:val="00440929"/>
    <w:rsid w:val="00440FB4"/>
    <w:rsid w:val="004439F9"/>
    <w:rsid w:val="00445E50"/>
    <w:rsid w:val="0044672A"/>
    <w:rsid w:val="00446815"/>
    <w:rsid w:val="00451652"/>
    <w:rsid w:val="00453D2D"/>
    <w:rsid w:val="00454D61"/>
    <w:rsid w:val="00454F0F"/>
    <w:rsid w:val="00455777"/>
    <w:rsid w:val="0045604D"/>
    <w:rsid w:val="004602A8"/>
    <w:rsid w:val="00461204"/>
    <w:rsid w:val="00461283"/>
    <w:rsid w:val="004616B0"/>
    <w:rsid w:val="0046190E"/>
    <w:rsid w:val="00461938"/>
    <w:rsid w:val="00462BA2"/>
    <w:rsid w:val="00463B66"/>
    <w:rsid w:val="00463DEB"/>
    <w:rsid w:val="00464453"/>
    <w:rsid w:val="00464883"/>
    <w:rsid w:val="00465108"/>
    <w:rsid w:val="004652E6"/>
    <w:rsid w:val="004658BC"/>
    <w:rsid w:val="004673D5"/>
    <w:rsid w:val="004704A2"/>
    <w:rsid w:val="00470D93"/>
    <w:rsid w:val="0047362E"/>
    <w:rsid w:val="0047365C"/>
    <w:rsid w:val="00473ED4"/>
    <w:rsid w:val="004741FE"/>
    <w:rsid w:val="004744D9"/>
    <w:rsid w:val="00475411"/>
    <w:rsid w:val="00476203"/>
    <w:rsid w:val="0047664A"/>
    <w:rsid w:val="004820BC"/>
    <w:rsid w:val="00482E99"/>
    <w:rsid w:val="004833E0"/>
    <w:rsid w:val="0048459C"/>
    <w:rsid w:val="00484F41"/>
    <w:rsid w:val="00485FA3"/>
    <w:rsid w:val="00486712"/>
    <w:rsid w:val="00486D9F"/>
    <w:rsid w:val="0048772B"/>
    <w:rsid w:val="004943CB"/>
    <w:rsid w:val="0049495B"/>
    <w:rsid w:val="00495A33"/>
    <w:rsid w:val="004968D1"/>
    <w:rsid w:val="00496A2E"/>
    <w:rsid w:val="004A007F"/>
    <w:rsid w:val="004A08B4"/>
    <w:rsid w:val="004A11BA"/>
    <w:rsid w:val="004A1A40"/>
    <w:rsid w:val="004A2DCB"/>
    <w:rsid w:val="004A3C42"/>
    <w:rsid w:val="004A4399"/>
    <w:rsid w:val="004A5AE1"/>
    <w:rsid w:val="004A5B14"/>
    <w:rsid w:val="004B20FE"/>
    <w:rsid w:val="004C0AB6"/>
    <w:rsid w:val="004C18EC"/>
    <w:rsid w:val="004C2EEA"/>
    <w:rsid w:val="004C383E"/>
    <w:rsid w:val="004C497D"/>
    <w:rsid w:val="004C6E33"/>
    <w:rsid w:val="004D03E1"/>
    <w:rsid w:val="004D0D3A"/>
    <w:rsid w:val="004D1339"/>
    <w:rsid w:val="004D20CD"/>
    <w:rsid w:val="004D344C"/>
    <w:rsid w:val="004D3D18"/>
    <w:rsid w:val="004D40FE"/>
    <w:rsid w:val="004D4EC9"/>
    <w:rsid w:val="004D62EF"/>
    <w:rsid w:val="004D68B0"/>
    <w:rsid w:val="004E31D5"/>
    <w:rsid w:val="004E3285"/>
    <w:rsid w:val="004E4545"/>
    <w:rsid w:val="004E6A05"/>
    <w:rsid w:val="004F0FD9"/>
    <w:rsid w:val="004F1DA1"/>
    <w:rsid w:val="004F58D4"/>
    <w:rsid w:val="004F7791"/>
    <w:rsid w:val="0050013A"/>
    <w:rsid w:val="00501063"/>
    <w:rsid w:val="00501324"/>
    <w:rsid w:val="0050192D"/>
    <w:rsid w:val="00503909"/>
    <w:rsid w:val="00503F20"/>
    <w:rsid w:val="00510CAE"/>
    <w:rsid w:val="00510EAA"/>
    <w:rsid w:val="00513DD1"/>
    <w:rsid w:val="00515183"/>
    <w:rsid w:val="00516957"/>
    <w:rsid w:val="00520BF5"/>
    <w:rsid w:val="005218BF"/>
    <w:rsid w:val="00522F20"/>
    <w:rsid w:val="00523702"/>
    <w:rsid w:val="0052429A"/>
    <w:rsid w:val="00524453"/>
    <w:rsid w:val="00524A3F"/>
    <w:rsid w:val="00527764"/>
    <w:rsid w:val="005307F9"/>
    <w:rsid w:val="005319E1"/>
    <w:rsid w:val="005329C9"/>
    <w:rsid w:val="00533732"/>
    <w:rsid w:val="00533F09"/>
    <w:rsid w:val="00535FFE"/>
    <w:rsid w:val="00536F58"/>
    <w:rsid w:val="005373CE"/>
    <w:rsid w:val="00542A0B"/>
    <w:rsid w:val="00543505"/>
    <w:rsid w:val="00543933"/>
    <w:rsid w:val="0054518C"/>
    <w:rsid w:val="0054529C"/>
    <w:rsid w:val="00546C22"/>
    <w:rsid w:val="00551140"/>
    <w:rsid w:val="00551A7A"/>
    <w:rsid w:val="00551EA4"/>
    <w:rsid w:val="00551EA7"/>
    <w:rsid w:val="005526E4"/>
    <w:rsid w:val="00552708"/>
    <w:rsid w:val="005537C5"/>
    <w:rsid w:val="0055382D"/>
    <w:rsid w:val="005545F0"/>
    <w:rsid w:val="00555299"/>
    <w:rsid w:val="00557048"/>
    <w:rsid w:val="0056039A"/>
    <w:rsid w:val="00560635"/>
    <w:rsid w:val="00561B83"/>
    <w:rsid w:val="00561C0B"/>
    <w:rsid w:val="00562BE6"/>
    <w:rsid w:val="00562DC4"/>
    <w:rsid w:val="0056375D"/>
    <w:rsid w:val="00563B98"/>
    <w:rsid w:val="00565769"/>
    <w:rsid w:val="00565F53"/>
    <w:rsid w:val="005666CB"/>
    <w:rsid w:val="005673D5"/>
    <w:rsid w:val="0057188E"/>
    <w:rsid w:val="0057197C"/>
    <w:rsid w:val="00571AD6"/>
    <w:rsid w:val="0057360F"/>
    <w:rsid w:val="0057395F"/>
    <w:rsid w:val="005745AB"/>
    <w:rsid w:val="00575FE5"/>
    <w:rsid w:val="00576715"/>
    <w:rsid w:val="0057760C"/>
    <w:rsid w:val="00577D96"/>
    <w:rsid w:val="00580DC5"/>
    <w:rsid w:val="005811F5"/>
    <w:rsid w:val="00583DA5"/>
    <w:rsid w:val="00584ED1"/>
    <w:rsid w:val="005864A5"/>
    <w:rsid w:val="0058754E"/>
    <w:rsid w:val="00587E30"/>
    <w:rsid w:val="00590C35"/>
    <w:rsid w:val="00590DA6"/>
    <w:rsid w:val="00590DAC"/>
    <w:rsid w:val="005924E8"/>
    <w:rsid w:val="0059392A"/>
    <w:rsid w:val="00593EED"/>
    <w:rsid w:val="0059593A"/>
    <w:rsid w:val="005969B5"/>
    <w:rsid w:val="005969E9"/>
    <w:rsid w:val="00597571"/>
    <w:rsid w:val="005A1F53"/>
    <w:rsid w:val="005A32F3"/>
    <w:rsid w:val="005A3ED5"/>
    <w:rsid w:val="005A60CB"/>
    <w:rsid w:val="005A6445"/>
    <w:rsid w:val="005A7466"/>
    <w:rsid w:val="005B0EEF"/>
    <w:rsid w:val="005B228D"/>
    <w:rsid w:val="005B25ED"/>
    <w:rsid w:val="005B4CE6"/>
    <w:rsid w:val="005B59B5"/>
    <w:rsid w:val="005B640A"/>
    <w:rsid w:val="005B67E0"/>
    <w:rsid w:val="005B6C07"/>
    <w:rsid w:val="005B770D"/>
    <w:rsid w:val="005B7F69"/>
    <w:rsid w:val="005C1AAA"/>
    <w:rsid w:val="005C2084"/>
    <w:rsid w:val="005C2362"/>
    <w:rsid w:val="005C343C"/>
    <w:rsid w:val="005C3F98"/>
    <w:rsid w:val="005C424D"/>
    <w:rsid w:val="005C4ABF"/>
    <w:rsid w:val="005C4B9F"/>
    <w:rsid w:val="005C5155"/>
    <w:rsid w:val="005C569E"/>
    <w:rsid w:val="005C67FE"/>
    <w:rsid w:val="005C7D13"/>
    <w:rsid w:val="005D131E"/>
    <w:rsid w:val="005D15BC"/>
    <w:rsid w:val="005D2FC7"/>
    <w:rsid w:val="005D3ED4"/>
    <w:rsid w:val="005D45E1"/>
    <w:rsid w:val="005D4F77"/>
    <w:rsid w:val="005D58E5"/>
    <w:rsid w:val="005D6669"/>
    <w:rsid w:val="005D68E5"/>
    <w:rsid w:val="005D6909"/>
    <w:rsid w:val="005D7973"/>
    <w:rsid w:val="005D7EC9"/>
    <w:rsid w:val="005E0B20"/>
    <w:rsid w:val="005E1920"/>
    <w:rsid w:val="005E2139"/>
    <w:rsid w:val="005E254F"/>
    <w:rsid w:val="005E3625"/>
    <w:rsid w:val="005E4550"/>
    <w:rsid w:val="005E5255"/>
    <w:rsid w:val="005E566F"/>
    <w:rsid w:val="005E5EFD"/>
    <w:rsid w:val="005E6129"/>
    <w:rsid w:val="005E6ACD"/>
    <w:rsid w:val="005E77AD"/>
    <w:rsid w:val="005F0967"/>
    <w:rsid w:val="005F14A3"/>
    <w:rsid w:val="005F1945"/>
    <w:rsid w:val="005F2E2B"/>
    <w:rsid w:val="005F305F"/>
    <w:rsid w:val="005F49A2"/>
    <w:rsid w:val="005F5F25"/>
    <w:rsid w:val="005F7BAB"/>
    <w:rsid w:val="005F7E13"/>
    <w:rsid w:val="006005FA"/>
    <w:rsid w:val="006007F0"/>
    <w:rsid w:val="00601509"/>
    <w:rsid w:val="00601BAA"/>
    <w:rsid w:val="00602402"/>
    <w:rsid w:val="00603003"/>
    <w:rsid w:val="00603188"/>
    <w:rsid w:val="00603B02"/>
    <w:rsid w:val="006070BD"/>
    <w:rsid w:val="0060734F"/>
    <w:rsid w:val="006102D4"/>
    <w:rsid w:val="00610696"/>
    <w:rsid w:val="00611E0D"/>
    <w:rsid w:val="00612535"/>
    <w:rsid w:val="006128F1"/>
    <w:rsid w:val="00612E8F"/>
    <w:rsid w:val="00612F19"/>
    <w:rsid w:val="00612F36"/>
    <w:rsid w:val="00613625"/>
    <w:rsid w:val="00614AD7"/>
    <w:rsid w:val="006165F6"/>
    <w:rsid w:val="00617521"/>
    <w:rsid w:val="0062051C"/>
    <w:rsid w:val="0062197D"/>
    <w:rsid w:val="00621C26"/>
    <w:rsid w:val="00622F57"/>
    <w:rsid w:val="00626617"/>
    <w:rsid w:val="0063152E"/>
    <w:rsid w:val="0063155B"/>
    <w:rsid w:val="006317D6"/>
    <w:rsid w:val="006320CB"/>
    <w:rsid w:val="00632749"/>
    <w:rsid w:val="00634275"/>
    <w:rsid w:val="006344CA"/>
    <w:rsid w:val="00634A6F"/>
    <w:rsid w:val="00635143"/>
    <w:rsid w:val="006351AD"/>
    <w:rsid w:val="0063595E"/>
    <w:rsid w:val="00635A27"/>
    <w:rsid w:val="0063654F"/>
    <w:rsid w:val="00637881"/>
    <w:rsid w:val="00642561"/>
    <w:rsid w:val="006426AA"/>
    <w:rsid w:val="0064295B"/>
    <w:rsid w:val="006444FA"/>
    <w:rsid w:val="00651E6E"/>
    <w:rsid w:val="00652301"/>
    <w:rsid w:val="00653141"/>
    <w:rsid w:val="00653530"/>
    <w:rsid w:val="0065381E"/>
    <w:rsid w:val="0065528E"/>
    <w:rsid w:val="006569ED"/>
    <w:rsid w:val="00657CAF"/>
    <w:rsid w:val="00660867"/>
    <w:rsid w:val="00660F0D"/>
    <w:rsid w:val="00661C3F"/>
    <w:rsid w:val="006621D7"/>
    <w:rsid w:val="006658D0"/>
    <w:rsid w:val="006660C2"/>
    <w:rsid w:val="006675D6"/>
    <w:rsid w:val="00667913"/>
    <w:rsid w:val="00670ED0"/>
    <w:rsid w:val="00671111"/>
    <w:rsid w:val="00671BC6"/>
    <w:rsid w:val="0067531D"/>
    <w:rsid w:val="0067622D"/>
    <w:rsid w:val="006766B3"/>
    <w:rsid w:val="0067761F"/>
    <w:rsid w:val="006804FF"/>
    <w:rsid w:val="00680E53"/>
    <w:rsid w:val="00681ED6"/>
    <w:rsid w:val="0068367F"/>
    <w:rsid w:val="00683ED4"/>
    <w:rsid w:val="00684154"/>
    <w:rsid w:val="00684D55"/>
    <w:rsid w:val="00686705"/>
    <w:rsid w:val="006870B1"/>
    <w:rsid w:val="00687FE2"/>
    <w:rsid w:val="00691979"/>
    <w:rsid w:val="00692504"/>
    <w:rsid w:val="00692D10"/>
    <w:rsid w:val="00693787"/>
    <w:rsid w:val="0069446E"/>
    <w:rsid w:val="00695247"/>
    <w:rsid w:val="00695906"/>
    <w:rsid w:val="00695A48"/>
    <w:rsid w:val="006963BF"/>
    <w:rsid w:val="006A09DE"/>
    <w:rsid w:val="006A13C6"/>
    <w:rsid w:val="006A1757"/>
    <w:rsid w:val="006A1877"/>
    <w:rsid w:val="006A1F6E"/>
    <w:rsid w:val="006A2F9B"/>
    <w:rsid w:val="006A528D"/>
    <w:rsid w:val="006A52C1"/>
    <w:rsid w:val="006A5DFE"/>
    <w:rsid w:val="006A7BEE"/>
    <w:rsid w:val="006A7F20"/>
    <w:rsid w:val="006B2233"/>
    <w:rsid w:val="006B2D8E"/>
    <w:rsid w:val="006B2DFD"/>
    <w:rsid w:val="006B3AC2"/>
    <w:rsid w:val="006B3B77"/>
    <w:rsid w:val="006B4D3E"/>
    <w:rsid w:val="006B6F92"/>
    <w:rsid w:val="006C00B1"/>
    <w:rsid w:val="006C05A6"/>
    <w:rsid w:val="006C0C03"/>
    <w:rsid w:val="006C24AB"/>
    <w:rsid w:val="006C3DF2"/>
    <w:rsid w:val="006C46EB"/>
    <w:rsid w:val="006C7D6A"/>
    <w:rsid w:val="006D1DD7"/>
    <w:rsid w:val="006D44B0"/>
    <w:rsid w:val="006D4A13"/>
    <w:rsid w:val="006D5E85"/>
    <w:rsid w:val="006D69CB"/>
    <w:rsid w:val="006D6B96"/>
    <w:rsid w:val="006D6BC0"/>
    <w:rsid w:val="006D7F13"/>
    <w:rsid w:val="006D7FB5"/>
    <w:rsid w:val="006E2AAB"/>
    <w:rsid w:val="006E37BB"/>
    <w:rsid w:val="006E5360"/>
    <w:rsid w:val="006E5AA0"/>
    <w:rsid w:val="006E7000"/>
    <w:rsid w:val="006E715C"/>
    <w:rsid w:val="006E75DC"/>
    <w:rsid w:val="006F163C"/>
    <w:rsid w:val="006F1768"/>
    <w:rsid w:val="006F1979"/>
    <w:rsid w:val="006F1FDD"/>
    <w:rsid w:val="006F2588"/>
    <w:rsid w:val="006F2DBB"/>
    <w:rsid w:val="006F3BBE"/>
    <w:rsid w:val="006F4CB8"/>
    <w:rsid w:val="006F5D25"/>
    <w:rsid w:val="006F610D"/>
    <w:rsid w:val="006F68FA"/>
    <w:rsid w:val="006F6D9B"/>
    <w:rsid w:val="0070116F"/>
    <w:rsid w:val="00702099"/>
    <w:rsid w:val="007034EE"/>
    <w:rsid w:val="00704090"/>
    <w:rsid w:val="007043C1"/>
    <w:rsid w:val="0070527B"/>
    <w:rsid w:val="007071D3"/>
    <w:rsid w:val="007073EA"/>
    <w:rsid w:val="00712191"/>
    <w:rsid w:val="00712EF9"/>
    <w:rsid w:val="00712F62"/>
    <w:rsid w:val="00714984"/>
    <w:rsid w:val="007150C5"/>
    <w:rsid w:val="00715649"/>
    <w:rsid w:val="007163A5"/>
    <w:rsid w:val="00716B9F"/>
    <w:rsid w:val="00720303"/>
    <w:rsid w:val="007203A1"/>
    <w:rsid w:val="00721187"/>
    <w:rsid w:val="00723058"/>
    <w:rsid w:val="0072372A"/>
    <w:rsid w:val="00723CCA"/>
    <w:rsid w:val="007241EE"/>
    <w:rsid w:val="007248A6"/>
    <w:rsid w:val="00725DFE"/>
    <w:rsid w:val="007300A1"/>
    <w:rsid w:val="00734035"/>
    <w:rsid w:val="0073443A"/>
    <w:rsid w:val="007366C7"/>
    <w:rsid w:val="007366CC"/>
    <w:rsid w:val="007377DC"/>
    <w:rsid w:val="007403F8"/>
    <w:rsid w:val="0074045A"/>
    <w:rsid w:val="00746FAF"/>
    <w:rsid w:val="007477AE"/>
    <w:rsid w:val="00750915"/>
    <w:rsid w:val="007519EC"/>
    <w:rsid w:val="007527E5"/>
    <w:rsid w:val="0075397C"/>
    <w:rsid w:val="00755216"/>
    <w:rsid w:val="007561B8"/>
    <w:rsid w:val="00756720"/>
    <w:rsid w:val="00757204"/>
    <w:rsid w:val="0075798D"/>
    <w:rsid w:val="00762886"/>
    <w:rsid w:val="00762F6F"/>
    <w:rsid w:val="0076305A"/>
    <w:rsid w:val="0076623E"/>
    <w:rsid w:val="00767A96"/>
    <w:rsid w:val="007707DB"/>
    <w:rsid w:val="007719B4"/>
    <w:rsid w:val="007741E9"/>
    <w:rsid w:val="00774846"/>
    <w:rsid w:val="00776681"/>
    <w:rsid w:val="007807DD"/>
    <w:rsid w:val="00781A4B"/>
    <w:rsid w:val="00782A4D"/>
    <w:rsid w:val="00782D00"/>
    <w:rsid w:val="00782E7B"/>
    <w:rsid w:val="007849EE"/>
    <w:rsid w:val="00785F4F"/>
    <w:rsid w:val="007862F6"/>
    <w:rsid w:val="00786C9F"/>
    <w:rsid w:val="007873E6"/>
    <w:rsid w:val="00787459"/>
    <w:rsid w:val="007903BF"/>
    <w:rsid w:val="00790E2E"/>
    <w:rsid w:val="00791B84"/>
    <w:rsid w:val="00797002"/>
    <w:rsid w:val="007A052D"/>
    <w:rsid w:val="007A11A8"/>
    <w:rsid w:val="007A2658"/>
    <w:rsid w:val="007A2DDD"/>
    <w:rsid w:val="007A2FC1"/>
    <w:rsid w:val="007A30C5"/>
    <w:rsid w:val="007A3A19"/>
    <w:rsid w:val="007A3C96"/>
    <w:rsid w:val="007A3E5C"/>
    <w:rsid w:val="007A4BD3"/>
    <w:rsid w:val="007A4CC1"/>
    <w:rsid w:val="007A5451"/>
    <w:rsid w:val="007A570E"/>
    <w:rsid w:val="007A5D8E"/>
    <w:rsid w:val="007A661F"/>
    <w:rsid w:val="007B09F1"/>
    <w:rsid w:val="007B0B7A"/>
    <w:rsid w:val="007B658C"/>
    <w:rsid w:val="007B70D9"/>
    <w:rsid w:val="007B70FB"/>
    <w:rsid w:val="007B772D"/>
    <w:rsid w:val="007C568D"/>
    <w:rsid w:val="007D1790"/>
    <w:rsid w:val="007D2A78"/>
    <w:rsid w:val="007D3405"/>
    <w:rsid w:val="007D34C9"/>
    <w:rsid w:val="007D3F3D"/>
    <w:rsid w:val="007D4C58"/>
    <w:rsid w:val="007D4E78"/>
    <w:rsid w:val="007D5946"/>
    <w:rsid w:val="007D64FB"/>
    <w:rsid w:val="007D6B46"/>
    <w:rsid w:val="007E35FE"/>
    <w:rsid w:val="007E708A"/>
    <w:rsid w:val="007E7A04"/>
    <w:rsid w:val="007F0894"/>
    <w:rsid w:val="007F1A8E"/>
    <w:rsid w:val="007F2553"/>
    <w:rsid w:val="007F2D6C"/>
    <w:rsid w:val="007F36E7"/>
    <w:rsid w:val="007F6030"/>
    <w:rsid w:val="007F640E"/>
    <w:rsid w:val="0080081C"/>
    <w:rsid w:val="00800E8F"/>
    <w:rsid w:val="00800F0B"/>
    <w:rsid w:val="00810A10"/>
    <w:rsid w:val="00810FE6"/>
    <w:rsid w:val="0081101C"/>
    <w:rsid w:val="00811F0A"/>
    <w:rsid w:val="0081233B"/>
    <w:rsid w:val="0081243E"/>
    <w:rsid w:val="00812EF3"/>
    <w:rsid w:val="00813908"/>
    <w:rsid w:val="00813D6D"/>
    <w:rsid w:val="00814109"/>
    <w:rsid w:val="0081421F"/>
    <w:rsid w:val="008145F5"/>
    <w:rsid w:val="008151F6"/>
    <w:rsid w:val="00820BBD"/>
    <w:rsid w:val="00821D7C"/>
    <w:rsid w:val="008222AD"/>
    <w:rsid w:val="00823340"/>
    <w:rsid w:val="008238C9"/>
    <w:rsid w:val="00823EF8"/>
    <w:rsid w:val="00824A52"/>
    <w:rsid w:val="00826CD6"/>
    <w:rsid w:val="00827AAC"/>
    <w:rsid w:val="00831044"/>
    <w:rsid w:val="00832FFC"/>
    <w:rsid w:val="008347EF"/>
    <w:rsid w:val="008351C6"/>
    <w:rsid w:val="0083719B"/>
    <w:rsid w:val="0083764E"/>
    <w:rsid w:val="008408C3"/>
    <w:rsid w:val="00841518"/>
    <w:rsid w:val="008417C9"/>
    <w:rsid w:val="00841873"/>
    <w:rsid w:val="00844DCA"/>
    <w:rsid w:val="0084543C"/>
    <w:rsid w:val="00845C75"/>
    <w:rsid w:val="0084647D"/>
    <w:rsid w:val="0084779A"/>
    <w:rsid w:val="00850ED5"/>
    <w:rsid w:val="00856A20"/>
    <w:rsid w:val="00856CE8"/>
    <w:rsid w:val="00863225"/>
    <w:rsid w:val="00864154"/>
    <w:rsid w:val="00864265"/>
    <w:rsid w:val="008653A9"/>
    <w:rsid w:val="00865480"/>
    <w:rsid w:val="00866042"/>
    <w:rsid w:val="008665D6"/>
    <w:rsid w:val="00870443"/>
    <w:rsid w:val="00873C5F"/>
    <w:rsid w:val="0087412E"/>
    <w:rsid w:val="008754AF"/>
    <w:rsid w:val="00875F4B"/>
    <w:rsid w:val="00885C61"/>
    <w:rsid w:val="008861DC"/>
    <w:rsid w:val="00891075"/>
    <w:rsid w:val="00892A47"/>
    <w:rsid w:val="0089381E"/>
    <w:rsid w:val="00893F2A"/>
    <w:rsid w:val="008944EF"/>
    <w:rsid w:val="00895021"/>
    <w:rsid w:val="00897D95"/>
    <w:rsid w:val="00897F40"/>
    <w:rsid w:val="008A2852"/>
    <w:rsid w:val="008A51AE"/>
    <w:rsid w:val="008A5513"/>
    <w:rsid w:val="008A697B"/>
    <w:rsid w:val="008A6AA0"/>
    <w:rsid w:val="008B0477"/>
    <w:rsid w:val="008B1C26"/>
    <w:rsid w:val="008B3C89"/>
    <w:rsid w:val="008B506C"/>
    <w:rsid w:val="008B5847"/>
    <w:rsid w:val="008B5E75"/>
    <w:rsid w:val="008B6416"/>
    <w:rsid w:val="008B6F3B"/>
    <w:rsid w:val="008B7950"/>
    <w:rsid w:val="008B7989"/>
    <w:rsid w:val="008C2611"/>
    <w:rsid w:val="008C3E9C"/>
    <w:rsid w:val="008C75EF"/>
    <w:rsid w:val="008C78D0"/>
    <w:rsid w:val="008D1F89"/>
    <w:rsid w:val="008D2868"/>
    <w:rsid w:val="008D3A67"/>
    <w:rsid w:val="008D6613"/>
    <w:rsid w:val="008D7A5C"/>
    <w:rsid w:val="008D7B95"/>
    <w:rsid w:val="008E205E"/>
    <w:rsid w:val="008E3105"/>
    <w:rsid w:val="008E342A"/>
    <w:rsid w:val="008E45F3"/>
    <w:rsid w:val="008E5512"/>
    <w:rsid w:val="008E5705"/>
    <w:rsid w:val="008E6056"/>
    <w:rsid w:val="008E6073"/>
    <w:rsid w:val="008E6589"/>
    <w:rsid w:val="008E76B5"/>
    <w:rsid w:val="008E7E5A"/>
    <w:rsid w:val="008F091A"/>
    <w:rsid w:val="008F0B67"/>
    <w:rsid w:val="008F10F0"/>
    <w:rsid w:val="008F1423"/>
    <w:rsid w:val="008F167C"/>
    <w:rsid w:val="008F2889"/>
    <w:rsid w:val="008F2ABB"/>
    <w:rsid w:val="008F2B26"/>
    <w:rsid w:val="008F55D7"/>
    <w:rsid w:val="008F77F1"/>
    <w:rsid w:val="009000A3"/>
    <w:rsid w:val="00900F07"/>
    <w:rsid w:val="00901AC5"/>
    <w:rsid w:val="00902409"/>
    <w:rsid w:val="009028E7"/>
    <w:rsid w:val="009048FF"/>
    <w:rsid w:val="0090527D"/>
    <w:rsid w:val="00905C8E"/>
    <w:rsid w:val="009065C8"/>
    <w:rsid w:val="009078DE"/>
    <w:rsid w:val="00911638"/>
    <w:rsid w:val="00915209"/>
    <w:rsid w:val="009156FE"/>
    <w:rsid w:val="0091596B"/>
    <w:rsid w:val="009207B2"/>
    <w:rsid w:val="0092095A"/>
    <w:rsid w:val="00922669"/>
    <w:rsid w:val="00923647"/>
    <w:rsid w:val="00923B55"/>
    <w:rsid w:val="00923B99"/>
    <w:rsid w:val="00925702"/>
    <w:rsid w:val="0092588C"/>
    <w:rsid w:val="00925F97"/>
    <w:rsid w:val="009272FF"/>
    <w:rsid w:val="0093065E"/>
    <w:rsid w:val="0093146D"/>
    <w:rsid w:val="00931AA5"/>
    <w:rsid w:val="0093475E"/>
    <w:rsid w:val="009350EB"/>
    <w:rsid w:val="0093612C"/>
    <w:rsid w:val="00943845"/>
    <w:rsid w:val="0094394F"/>
    <w:rsid w:val="00943BD0"/>
    <w:rsid w:val="0094460D"/>
    <w:rsid w:val="00944F75"/>
    <w:rsid w:val="009454D4"/>
    <w:rsid w:val="009458FA"/>
    <w:rsid w:val="009469E8"/>
    <w:rsid w:val="00952CB1"/>
    <w:rsid w:val="00953D74"/>
    <w:rsid w:val="00955155"/>
    <w:rsid w:val="00956208"/>
    <w:rsid w:val="00957A1E"/>
    <w:rsid w:val="00960E09"/>
    <w:rsid w:val="00961BC2"/>
    <w:rsid w:val="009623CC"/>
    <w:rsid w:val="00962691"/>
    <w:rsid w:val="00963513"/>
    <w:rsid w:val="00966B22"/>
    <w:rsid w:val="009733BE"/>
    <w:rsid w:val="009747BF"/>
    <w:rsid w:val="0097664E"/>
    <w:rsid w:val="009770AD"/>
    <w:rsid w:val="009779F2"/>
    <w:rsid w:val="009800DE"/>
    <w:rsid w:val="00983634"/>
    <w:rsid w:val="009838B8"/>
    <w:rsid w:val="00983F51"/>
    <w:rsid w:val="00984959"/>
    <w:rsid w:val="00984BCC"/>
    <w:rsid w:val="00984D79"/>
    <w:rsid w:val="00986FBD"/>
    <w:rsid w:val="009870ED"/>
    <w:rsid w:val="009910B9"/>
    <w:rsid w:val="00991AB2"/>
    <w:rsid w:val="009926CC"/>
    <w:rsid w:val="009946AC"/>
    <w:rsid w:val="009965F1"/>
    <w:rsid w:val="0099665D"/>
    <w:rsid w:val="00996EFE"/>
    <w:rsid w:val="009978D8"/>
    <w:rsid w:val="009A0FC9"/>
    <w:rsid w:val="009A12CB"/>
    <w:rsid w:val="009A288E"/>
    <w:rsid w:val="009A2FDF"/>
    <w:rsid w:val="009A36A9"/>
    <w:rsid w:val="009A3DC9"/>
    <w:rsid w:val="009A4A3C"/>
    <w:rsid w:val="009A63EE"/>
    <w:rsid w:val="009A7836"/>
    <w:rsid w:val="009B0238"/>
    <w:rsid w:val="009B0A9E"/>
    <w:rsid w:val="009B41F3"/>
    <w:rsid w:val="009B44BE"/>
    <w:rsid w:val="009B47C6"/>
    <w:rsid w:val="009B5D4C"/>
    <w:rsid w:val="009B65F6"/>
    <w:rsid w:val="009B7FF8"/>
    <w:rsid w:val="009C01F7"/>
    <w:rsid w:val="009C2AB7"/>
    <w:rsid w:val="009C4618"/>
    <w:rsid w:val="009C61AA"/>
    <w:rsid w:val="009C6928"/>
    <w:rsid w:val="009C6CB4"/>
    <w:rsid w:val="009D0262"/>
    <w:rsid w:val="009D3964"/>
    <w:rsid w:val="009D4481"/>
    <w:rsid w:val="009D4658"/>
    <w:rsid w:val="009D5348"/>
    <w:rsid w:val="009D5647"/>
    <w:rsid w:val="009D62C2"/>
    <w:rsid w:val="009D6C09"/>
    <w:rsid w:val="009D6D86"/>
    <w:rsid w:val="009D79EC"/>
    <w:rsid w:val="009E0026"/>
    <w:rsid w:val="009E01B0"/>
    <w:rsid w:val="009E0331"/>
    <w:rsid w:val="009E0728"/>
    <w:rsid w:val="009E267F"/>
    <w:rsid w:val="009E30E7"/>
    <w:rsid w:val="009E38A8"/>
    <w:rsid w:val="009E43C0"/>
    <w:rsid w:val="009E4590"/>
    <w:rsid w:val="009E487C"/>
    <w:rsid w:val="009E67E5"/>
    <w:rsid w:val="009E7110"/>
    <w:rsid w:val="009E7289"/>
    <w:rsid w:val="009E79F8"/>
    <w:rsid w:val="009F0B97"/>
    <w:rsid w:val="009F33A9"/>
    <w:rsid w:val="009F39DB"/>
    <w:rsid w:val="009F4554"/>
    <w:rsid w:val="009F6789"/>
    <w:rsid w:val="009F6FD0"/>
    <w:rsid w:val="00A00024"/>
    <w:rsid w:val="00A005F1"/>
    <w:rsid w:val="00A006E8"/>
    <w:rsid w:val="00A00EE0"/>
    <w:rsid w:val="00A0214A"/>
    <w:rsid w:val="00A02D08"/>
    <w:rsid w:val="00A03F49"/>
    <w:rsid w:val="00A04262"/>
    <w:rsid w:val="00A05E12"/>
    <w:rsid w:val="00A07817"/>
    <w:rsid w:val="00A1044F"/>
    <w:rsid w:val="00A10517"/>
    <w:rsid w:val="00A10A4C"/>
    <w:rsid w:val="00A11407"/>
    <w:rsid w:val="00A15724"/>
    <w:rsid w:val="00A15C96"/>
    <w:rsid w:val="00A15E17"/>
    <w:rsid w:val="00A20202"/>
    <w:rsid w:val="00A215ED"/>
    <w:rsid w:val="00A2276A"/>
    <w:rsid w:val="00A23321"/>
    <w:rsid w:val="00A24C42"/>
    <w:rsid w:val="00A262A8"/>
    <w:rsid w:val="00A264F6"/>
    <w:rsid w:val="00A26790"/>
    <w:rsid w:val="00A26D14"/>
    <w:rsid w:val="00A27450"/>
    <w:rsid w:val="00A306AC"/>
    <w:rsid w:val="00A30EB7"/>
    <w:rsid w:val="00A3135B"/>
    <w:rsid w:val="00A31602"/>
    <w:rsid w:val="00A31C72"/>
    <w:rsid w:val="00A32D0F"/>
    <w:rsid w:val="00A35564"/>
    <w:rsid w:val="00A373CD"/>
    <w:rsid w:val="00A37762"/>
    <w:rsid w:val="00A409C6"/>
    <w:rsid w:val="00A4162E"/>
    <w:rsid w:val="00A41B42"/>
    <w:rsid w:val="00A4353E"/>
    <w:rsid w:val="00A435F0"/>
    <w:rsid w:val="00A4394D"/>
    <w:rsid w:val="00A4475E"/>
    <w:rsid w:val="00A45D1F"/>
    <w:rsid w:val="00A45F99"/>
    <w:rsid w:val="00A50DD6"/>
    <w:rsid w:val="00A5136A"/>
    <w:rsid w:val="00A51373"/>
    <w:rsid w:val="00A539D8"/>
    <w:rsid w:val="00A552C4"/>
    <w:rsid w:val="00A55F74"/>
    <w:rsid w:val="00A56CA6"/>
    <w:rsid w:val="00A56E5E"/>
    <w:rsid w:val="00A5764D"/>
    <w:rsid w:val="00A579FE"/>
    <w:rsid w:val="00A602C9"/>
    <w:rsid w:val="00A60F94"/>
    <w:rsid w:val="00A619CA"/>
    <w:rsid w:val="00A63FF8"/>
    <w:rsid w:val="00A64F97"/>
    <w:rsid w:val="00A6672D"/>
    <w:rsid w:val="00A7265E"/>
    <w:rsid w:val="00A72C14"/>
    <w:rsid w:val="00A73000"/>
    <w:rsid w:val="00A73CCB"/>
    <w:rsid w:val="00A77646"/>
    <w:rsid w:val="00A80006"/>
    <w:rsid w:val="00A80959"/>
    <w:rsid w:val="00A81333"/>
    <w:rsid w:val="00A82301"/>
    <w:rsid w:val="00A853B0"/>
    <w:rsid w:val="00A853F7"/>
    <w:rsid w:val="00A863A2"/>
    <w:rsid w:val="00A86598"/>
    <w:rsid w:val="00A87E12"/>
    <w:rsid w:val="00A906AC"/>
    <w:rsid w:val="00A924F6"/>
    <w:rsid w:val="00A94DFB"/>
    <w:rsid w:val="00A94F24"/>
    <w:rsid w:val="00A96721"/>
    <w:rsid w:val="00A975DA"/>
    <w:rsid w:val="00AA0733"/>
    <w:rsid w:val="00AA251F"/>
    <w:rsid w:val="00AA6EA4"/>
    <w:rsid w:val="00AA7290"/>
    <w:rsid w:val="00AB31D5"/>
    <w:rsid w:val="00AB4E3C"/>
    <w:rsid w:val="00AB4F29"/>
    <w:rsid w:val="00AB6148"/>
    <w:rsid w:val="00AB79C8"/>
    <w:rsid w:val="00AC0648"/>
    <w:rsid w:val="00AC1BEE"/>
    <w:rsid w:val="00AC24CE"/>
    <w:rsid w:val="00AC299C"/>
    <w:rsid w:val="00AC3B3B"/>
    <w:rsid w:val="00AC4AD5"/>
    <w:rsid w:val="00AD085C"/>
    <w:rsid w:val="00AD1007"/>
    <w:rsid w:val="00AD2A8B"/>
    <w:rsid w:val="00AD2B27"/>
    <w:rsid w:val="00AD3A86"/>
    <w:rsid w:val="00AD512E"/>
    <w:rsid w:val="00AD553E"/>
    <w:rsid w:val="00AD66AB"/>
    <w:rsid w:val="00AD67F3"/>
    <w:rsid w:val="00AD7FD7"/>
    <w:rsid w:val="00AD7FEA"/>
    <w:rsid w:val="00AE33B6"/>
    <w:rsid w:val="00AE349B"/>
    <w:rsid w:val="00AE4979"/>
    <w:rsid w:val="00AE4C8A"/>
    <w:rsid w:val="00AE7D00"/>
    <w:rsid w:val="00AF0379"/>
    <w:rsid w:val="00AF2693"/>
    <w:rsid w:val="00AF2A23"/>
    <w:rsid w:val="00AF4134"/>
    <w:rsid w:val="00AF4366"/>
    <w:rsid w:val="00AF4D1D"/>
    <w:rsid w:val="00AF6753"/>
    <w:rsid w:val="00B00559"/>
    <w:rsid w:val="00B0076D"/>
    <w:rsid w:val="00B01AF5"/>
    <w:rsid w:val="00B01D2C"/>
    <w:rsid w:val="00B02F30"/>
    <w:rsid w:val="00B0356A"/>
    <w:rsid w:val="00B03FBC"/>
    <w:rsid w:val="00B04B90"/>
    <w:rsid w:val="00B05F93"/>
    <w:rsid w:val="00B06FD7"/>
    <w:rsid w:val="00B071ED"/>
    <w:rsid w:val="00B07DFC"/>
    <w:rsid w:val="00B11173"/>
    <w:rsid w:val="00B12238"/>
    <w:rsid w:val="00B13899"/>
    <w:rsid w:val="00B14464"/>
    <w:rsid w:val="00B147A8"/>
    <w:rsid w:val="00B1589E"/>
    <w:rsid w:val="00B17A35"/>
    <w:rsid w:val="00B17C39"/>
    <w:rsid w:val="00B20908"/>
    <w:rsid w:val="00B213D4"/>
    <w:rsid w:val="00B21AC2"/>
    <w:rsid w:val="00B2289E"/>
    <w:rsid w:val="00B2367C"/>
    <w:rsid w:val="00B2397E"/>
    <w:rsid w:val="00B24038"/>
    <w:rsid w:val="00B2474F"/>
    <w:rsid w:val="00B25806"/>
    <w:rsid w:val="00B25F4A"/>
    <w:rsid w:val="00B26C31"/>
    <w:rsid w:val="00B2743B"/>
    <w:rsid w:val="00B30058"/>
    <w:rsid w:val="00B34BF1"/>
    <w:rsid w:val="00B35C39"/>
    <w:rsid w:val="00B35C53"/>
    <w:rsid w:val="00B3637A"/>
    <w:rsid w:val="00B37098"/>
    <w:rsid w:val="00B40675"/>
    <w:rsid w:val="00B41AB6"/>
    <w:rsid w:val="00B42E90"/>
    <w:rsid w:val="00B448F3"/>
    <w:rsid w:val="00B45200"/>
    <w:rsid w:val="00B45465"/>
    <w:rsid w:val="00B455B9"/>
    <w:rsid w:val="00B51394"/>
    <w:rsid w:val="00B52C66"/>
    <w:rsid w:val="00B52DF2"/>
    <w:rsid w:val="00B53121"/>
    <w:rsid w:val="00B534E5"/>
    <w:rsid w:val="00B5375D"/>
    <w:rsid w:val="00B54639"/>
    <w:rsid w:val="00B5505D"/>
    <w:rsid w:val="00B5521C"/>
    <w:rsid w:val="00B56C15"/>
    <w:rsid w:val="00B56E46"/>
    <w:rsid w:val="00B607CF"/>
    <w:rsid w:val="00B6174D"/>
    <w:rsid w:val="00B61D1F"/>
    <w:rsid w:val="00B63DBF"/>
    <w:rsid w:val="00B64611"/>
    <w:rsid w:val="00B654AC"/>
    <w:rsid w:val="00B65850"/>
    <w:rsid w:val="00B65D80"/>
    <w:rsid w:val="00B662A0"/>
    <w:rsid w:val="00B66BFE"/>
    <w:rsid w:val="00B66CF8"/>
    <w:rsid w:val="00B66D30"/>
    <w:rsid w:val="00B6729D"/>
    <w:rsid w:val="00B672FD"/>
    <w:rsid w:val="00B674C0"/>
    <w:rsid w:val="00B678D5"/>
    <w:rsid w:val="00B67F97"/>
    <w:rsid w:val="00B706AE"/>
    <w:rsid w:val="00B711C2"/>
    <w:rsid w:val="00B7164E"/>
    <w:rsid w:val="00B71D94"/>
    <w:rsid w:val="00B726F3"/>
    <w:rsid w:val="00B74A06"/>
    <w:rsid w:val="00B77D2D"/>
    <w:rsid w:val="00B81012"/>
    <w:rsid w:val="00B81250"/>
    <w:rsid w:val="00B831DF"/>
    <w:rsid w:val="00B83B51"/>
    <w:rsid w:val="00B83D75"/>
    <w:rsid w:val="00B85324"/>
    <w:rsid w:val="00B85DD2"/>
    <w:rsid w:val="00B86DBC"/>
    <w:rsid w:val="00B87E49"/>
    <w:rsid w:val="00B90674"/>
    <w:rsid w:val="00B91981"/>
    <w:rsid w:val="00B92005"/>
    <w:rsid w:val="00B93A67"/>
    <w:rsid w:val="00B958BC"/>
    <w:rsid w:val="00B96040"/>
    <w:rsid w:val="00B972E0"/>
    <w:rsid w:val="00B97E9C"/>
    <w:rsid w:val="00BA1A7E"/>
    <w:rsid w:val="00BA21DB"/>
    <w:rsid w:val="00BA2C94"/>
    <w:rsid w:val="00BA304E"/>
    <w:rsid w:val="00BA52BA"/>
    <w:rsid w:val="00BA53BA"/>
    <w:rsid w:val="00BA6C01"/>
    <w:rsid w:val="00BB076A"/>
    <w:rsid w:val="00BB12A4"/>
    <w:rsid w:val="00BB14F2"/>
    <w:rsid w:val="00BB155A"/>
    <w:rsid w:val="00BB2A21"/>
    <w:rsid w:val="00BB3FF5"/>
    <w:rsid w:val="00BB5757"/>
    <w:rsid w:val="00BB5758"/>
    <w:rsid w:val="00BB578C"/>
    <w:rsid w:val="00BB6D62"/>
    <w:rsid w:val="00BC083F"/>
    <w:rsid w:val="00BC09B0"/>
    <w:rsid w:val="00BC0F09"/>
    <w:rsid w:val="00BC0F92"/>
    <w:rsid w:val="00BC188A"/>
    <w:rsid w:val="00BC1CDA"/>
    <w:rsid w:val="00BC3AB7"/>
    <w:rsid w:val="00BC42C4"/>
    <w:rsid w:val="00BC4681"/>
    <w:rsid w:val="00BC5453"/>
    <w:rsid w:val="00BC6910"/>
    <w:rsid w:val="00BC6D80"/>
    <w:rsid w:val="00BC7001"/>
    <w:rsid w:val="00BD0262"/>
    <w:rsid w:val="00BD02EF"/>
    <w:rsid w:val="00BD0854"/>
    <w:rsid w:val="00BD115F"/>
    <w:rsid w:val="00BD2059"/>
    <w:rsid w:val="00BD25B4"/>
    <w:rsid w:val="00BD33BD"/>
    <w:rsid w:val="00BD4E73"/>
    <w:rsid w:val="00BD5396"/>
    <w:rsid w:val="00BD58B6"/>
    <w:rsid w:val="00BD5FDF"/>
    <w:rsid w:val="00BD76B4"/>
    <w:rsid w:val="00BD7AE0"/>
    <w:rsid w:val="00BD7CFE"/>
    <w:rsid w:val="00BE02E2"/>
    <w:rsid w:val="00BE13C9"/>
    <w:rsid w:val="00BE1606"/>
    <w:rsid w:val="00BE1F10"/>
    <w:rsid w:val="00BF0599"/>
    <w:rsid w:val="00BF18C5"/>
    <w:rsid w:val="00BF458A"/>
    <w:rsid w:val="00BF5263"/>
    <w:rsid w:val="00C01EC9"/>
    <w:rsid w:val="00C025E2"/>
    <w:rsid w:val="00C0313E"/>
    <w:rsid w:val="00C03B2F"/>
    <w:rsid w:val="00C069E2"/>
    <w:rsid w:val="00C115FD"/>
    <w:rsid w:val="00C120B6"/>
    <w:rsid w:val="00C1566F"/>
    <w:rsid w:val="00C16C01"/>
    <w:rsid w:val="00C2010B"/>
    <w:rsid w:val="00C2206A"/>
    <w:rsid w:val="00C245E4"/>
    <w:rsid w:val="00C24A9B"/>
    <w:rsid w:val="00C25FBD"/>
    <w:rsid w:val="00C275C1"/>
    <w:rsid w:val="00C27917"/>
    <w:rsid w:val="00C31988"/>
    <w:rsid w:val="00C31F58"/>
    <w:rsid w:val="00C321C4"/>
    <w:rsid w:val="00C32FCD"/>
    <w:rsid w:val="00C3325E"/>
    <w:rsid w:val="00C34913"/>
    <w:rsid w:val="00C3539D"/>
    <w:rsid w:val="00C357F9"/>
    <w:rsid w:val="00C36F69"/>
    <w:rsid w:val="00C40A62"/>
    <w:rsid w:val="00C415C6"/>
    <w:rsid w:val="00C4160F"/>
    <w:rsid w:val="00C41979"/>
    <w:rsid w:val="00C43190"/>
    <w:rsid w:val="00C445B4"/>
    <w:rsid w:val="00C4617F"/>
    <w:rsid w:val="00C46D4F"/>
    <w:rsid w:val="00C47228"/>
    <w:rsid w:val="00C475D5"/>
    <w:rsid w:val="00C47B36"/>
    <w:rsid w:val="00C507E2"/>
    <w:rsid w:val="00C51AAE"/>
    <w:rsid w:val="00C526BD"/>
    <w:rsid w:val="00C52B4D"/>
    <w:rsid w:val="00C52EB1"/>
    <w:rsid w:val="00C5353E"/>
    <w:rsid w:val="00C53C72"/>
    <w:rsid w:val="00C53E90"/>
    <w:rsid w:val="00C54C6F"/>
    <w:rsid w:val="00C56BA6"/>
    <w:rsid w:val="00C573D6"/>
    <w:rsid w:val="00C57C1B"/>
    <w:rsid w:val="00C61320"/>
    <w:rsid w:val="00C61E5B"/>
    <w:rsid w:val="00C61F95"/>
    <w:rsid w:val="00C62C3A"/>
    <w:rsid w:val="00C64280"/>
    <w:rsid w:val="00C65486"/>
    <w:rsid w:val="00C656D5"/>
    <w:rsid w:val="00C65F1F"/>
    <w:rsid w:val="00C665D3"/>
    <w:rsid w:val="00C67479"/>
    <w:rsid w:val="00C67E1F"/>
    <w:rsid w:val="00C70B85"/>
    <w:rsid w:val="00C71C68"/>
    <w:rsid w:val="00C72010"/>
    <w:rsid w:val="00C75A2E"/>
    <w:rsid w:val="00C7677E"/>
    <w:rsid w:val="00C77EF4"/>
    <w:rsid w:val="00C80901"/>
    <w:rsid w:val="00C81CAA"/>
    <w:rsid w:val="00C822C1"/>
    <w:rsid w:val="00C8367C"/>
    <w:rsid w:val="00C8503A"/>
    <w:rsid w:val="00C87A31"/>
    <w:rsid w:val="00C91B01"/>
    <w:rsid w:val="00C932CC"/>
    <w:rsid w:val="00C94789"/>
    <w:rsid w:val="00C947A9"/>
    <w:rsid w:val="00C948B0"/>
    <w:rsid w:val="00C94B41"/>
    <w:rsid w:val="00C9699B"/>
    <w:rsid w:val="00C97F05"/>
    <w:rsid w:val="00CA060D"/>
    <w:rsid w:val="00CA0B3F"/>
    <w:rsid w:val="00CA19AC"/>
    <w:rsid w:val="00CA2BB6"/>
    <w:rsid w:val="00CA3805"/>
    <w:rsid w:val="00CA3E45"/>
    <w:rsid w:val="00CA48D4"/>
    <w:rsid w:val="00CA512B"/>
    <w:rsid w:val="00CA5515"/>
    <w:rsid w:val="00CA68F5"/>
    <w:rsid w:val="00CA6D0D"/>
    <w:rsid w:val="00CB05BE"/>
    <w:rsid w:val="00CB0E4F"/>
    <w:rsid w:val="00CB2A0D"/>
    <w:rsid w:val="00CB5960"/>
    <w:rsid w:val="00CB7702"/>
    <w:rsid w:val="00CC051A"/>
    <w:rsid w:val="00CC195F"/>
    <w:rsid w:val="00CC1EBE"/>
    <w:rsid w:val="00CC29AD"/>
    <w:rsid w:val="00CC2AA2"/>
    <w:rsid w:val="00CC2C28"/>
    <w:rsid w:val="00CC2EEC"/>
    <w:rsid w:val="00CC38C5"/>
    <w:rsid w:val="00CC4B90"/>
    <w:rsid w:val="00CC5457"/>
    <w:rsid w:val="00CC6CD2"/>
    <w:rsid w:val="00CC70D5"/>
    <w:rsid w:val="00CD02E0"/>
    <w:rsid w:val="00CD03F5"/>
    <w:rsid w:val="00CD14AF"/>
    <w:rsid w:val="00CD1B2A"/>
    <w:rsid w:val="00CD4B3F"/>
    <w:rsid w:val="00CD5F40"/>
    <w:rsid w:val="00CE0125"/>
    <w:rsid w:val="00CE06BC"/>
    <w:rsid w:val="00CE2242"/>
    <w:rsid w:val="00CE2888"/>
    <w:rsid w:val="00CE304A"/>
    <w:rsid w:val="00CE4A22"/>
    <w:rsid w:val="00CE50DE"/>
    <w:rsid w:val="00CE5A44"/>
    <w:rsid w:val="00CE6677"/>
    <w:rsid w:val="00CE79C9"/>
    <w:rsid w:val="00CE7BC9"/>
    <w:rsid w:val="00CF1FC9"/>
    <w:rsid w:val="00CF20F8"/>
    <w:rsid w:val="00CF2120"/>
    <w:rsid w:val="00CF2D9D"/>
    <w:rsid w:val="00CF3699"/>
    <w:rsid w:val="00CF38EC"/>
    <w:rsid w:val="00CF3B13"/>
    <w:rsid w:val="00CF3CF3"/>
    <w:rsid w:val="00CF4710"/>
    <w:rsid w:val="00CF6430"/>
    <w:rsid w:val="00CF692A"/>
    <w:rsid w:val="00CF6BA8"/>
    <w:rsid w:val="00CF7701"/>
    <w:rsid w:val="00D01FF3"/>
    <w:rsid w:val="00D02CC1"/>
    <w:rsid w:val="00D040B4"/>
    <w:rsid w:val="00D04299"/>
    <w:rsid w:val="00D06234"/>
    <w:rsid w:val="00D07225"/>
    <w:rsid w:val="00D1005C"/>
    <w:rsid w:val="00D10844"/>
    <w:rsid w:val="00D113ED"/>
    <w:rsid w:val="00D1169B"/>
    <w:rsid w:val="00D117E7"/>
    <w:rsid w:val="00D11CFC"/>
    <w:rsid w:val="00D13CAA"/>
    <w:rsid w:val="00D13DDF"/>
    <w:rsid w:val="00D1471A"/>
    <w:rsid w:val="00D21D19"/>
    <w:rsid w:val="00D222D9"/>
    <w:rsid w:val="00D3008C"/>
    <w:rsid w:val="00D319F6"/>
    <w:rsid w:val="00D33304"/>
    <w:rsid w:val="00D3389F"/>
    <w:rsid w:val="00D344A9"/>
    <w:rsid w:val="00D37757"/>
    <w:rsid w:val="00D37916"/>
    <w:rsid w:val="00D40500"/>
    <w:rsid w:val="00D405E5"/>
    <w:rsid w:val="00D43250"/>
    <w:rsid w:val="00D4386F"/>
    <w:rsid w:val="00D4450C"/>
    <w:rsid w:val="00D45418"/>
    <w:rsid w:val="00D455B0"/>
    <w:rsid w:val="00D466EB"/>
    <w:rsid w:val="00D50DF7"/>
    <w:rsid w:val="00D53046"/>
    <w:rsid w:val="00D54807"/>
    <w:rsid w:val="00D561F7"/>
    <w:rsid w:val="00D578A3"/>
    <w:rsid w:val="00D6159E"/>
    <w:rsid w:val="00D637E2"/>
    <w:rsid w:val="00D658FE"/>
    <w:rsid w:val="00D65955"/>
    <w:rsid w:val="00D670B4"/>
    <w:rsid w:val="00D676E4"/>
    <w:rsid w:val="00D72FF3"/>
    <w:rsid w:val="00D75483"/>
    <w:rsid w:val="00D809FB"/>
    <w:rsid w:val="00D82711"/>
    <w:rsid w:val="00D835F0"/>
    <w:rsid w:val="00D8617C"/>
    <w:rsid w:val="00D862A3"/>
    <w:rsid w:val="00D86C09"/>
    <w:rsid w:val="00D87F26"/>
    <w:rsid w:val="00D915DA"/>
    <w:rsid w:val="00D921F7"/>
    <w:rsid w:val="00D94259"/>
    <w:rsid w:val="00D94582"/>
    <w:rsid w:val="00D96B62"/>
    <w:rsid w:val="00DA019E"/>
    <w:rsid w:val="00DA2A15"/>
    <w:rsid w:val="00DA3800"/>
    <w:rsid w:val="00DA451B"/>
    <w:rsid w:val="00DA6C3E"/>
    <w:rsid w:val="00DB086B"/>
    <w:rsid w:val="00DB13FA"/>
    <w:rsid w:val="00DB1F33"/>
    <w:rsid w:val="00DB582A"/>
    <w:rsid w:val="00DC06D6"/>
    <w:rsid w:val="00DC0790"/>
    <w:rsid w:val="00DC368B"/>
    <w:rsid w:val="00DC3AC6"/>
    <w:rsid w:val="00DC5CDB"/>
    <w:rsid w:val="00DC7E7A"/>
    <w:rsid w:val="00DD0079"/>
    <w:rsid w:val="00DD016C"/>
    <w:rsid w:val="00DD0D8C"/>
    <w:rsid w:val="00DD42D7"/>
    <w:rsid w:val="00DD6028"/>
    <w:rsid w:val="00DD7C92"/>
    <w:rsid w:val="00DE04D6"/>
    <w:rsid w:val="00DE193C"/>
    <w:rsid w:val="00DF0305"/>
    <w:rsid w:val="00DF0F79"/>
    <w:rsid w:val="00DF1167"/>
    <w:rsid w:val="00DF1C21"/>
    <w:rsid w:val="00DF2816"/>
    <w:rsid w:val="00DF2C45"/>
    <w:rsid w:val="00DF2DC8"/>
    <w:rsid w:val="00DF3ED2"/>
    <w:rsid w:val="00DF4D99"/>
    <w:rsid w:val="00DF4EF3"/>
    <w:rsid w:val="00DF56D3"/>
    <w:rsid w:val="00DF7360"/>
    <w:rsid w:val="00E02338"/>
    <w:rsid w:val="00E0315F"/>
    <w:rsid w:val="00E0373B"/>
    <w:rsid w:val="00E05797"/>
    <w:rsid w:val="00E0676D"/>
    <w:rsid w:val="00E10407"/>
    <w:rsid w:val="00E11E6A"/>
    <w:rsid w:val="00E120BE"/>
    <w:rsid w:val="00E151B5"/>
    <w:rsid w:val="00E1676C"/>
    <w:rsid w:val="00E16A85"/>
    <w:rsid w:val="00E16F38"/>
    <w:rsid w:val="00E172DE"/>
    <w:rsid w:val="00E174DB"/>
    <w:rsid w:val="00E223ED"/>
    <w:rsid w:val="00E237C9"/>
    <w:rsid w:val="00E25150"/>
    <w:rsid w:val="00E25FED"/>
    <w:rsid w:val="00E262C4"/>
    <w:rsid w:val="00E30055"/>
    <w:rsid w:val="00E30D11"/>
    <w:rsid w:val="00E31058"/>
    <w:rsid w:val="00E318C9"/>
    <w:rsid w:val="00E31F13"/>
    <w:rsid w:val="00E341A4"/>
    <w:rsid w:val="00E34FA0"/>
    <w:rsid w:val="00E35861"/>
    <w:rsid w:val="00E35EAB"/>
    <w:rsid w:val="00E40A91"/>
    <w:rsid w:val="00E41FC0"/>
    <w:rsid w:val="00E4433B"/>
    <w:rsid w:val="00E44384"/>
    <w:rsid w:val="00E44A70"/>
    <w:rsid w:val="00E4536D"/>
    <w:rsid w:val="00E45995"/>
    <w:rsid w:val="00E46176"/>
    <w:rsid w:val="00E47098"/>
    <w:rsid w:val="00E50E46"/>
    <w:rsid w:val="00E50E6B"/>
    <w:rsid w:val="00E51E75"/>
    <w:rsid w:val="00E51F08"/>
    <w:rsid w:val="00E51F76"/>
    <w:rsid w:val="00E538B9"/>
    <w:rsid w:val="00E548E2"/>
    <w:rsid w:val="00E54924"/>
    <w:rsid w:val="00E55452"/>
    <w:rsid w:val="00E559EB"/>
    <w:rsid w:val="00E561D9"/>
    <w:rsid w:val="00E579AB"/>
    <w:rsid w:val="00E6019C"/>
    <w:rsid w:val="00E614BF"/>
    <w:rsid w:val="00E621B4"/>
    <w:rsid w:val="00E62636"/>
    <w:rsid w:val="00E65050"/>
    <w:rsid w:val="00E653F8"/>
    <w:rsid w:val="00E654B6"/>
    <w:rsid w:val="00E67B03"/>
    <w:rsid w:val="00E774EE"/>
    <w:rsid w:val="00E77FA6"/>
    <w:rsid w:val="00E80CE8"/>
    <w:rsid w:val="00E80F3E"/>
    <w:rsid w:val="00E816F1"/>
    <w:rsid w:val="00E81751"/>
    <w:rsid w:val="00E8341F"/>
    <w:rsid w:val="00E84F57"/>
    <w:rsid w:val="00E912F7"/>
    <w:rsid w:val="00E954AF"/>
    <w:rsid w:val="00E971A9"/>
    <w:rsid w:val="00EA2154"/>
    <w:rsid w:val="00EA3586"/>
    <w:rsid w:val="00EA3D56"/>
    <w:rsid w:val="00EB074C"/>
    <w:rsid w:val="00EB22E3"/>
    <w:rsid w:val="00EB2DF6"/>
    <w:rsid w:val="00EB35FF"/>
    <w:rsid w:val="00EB48C2"/>
    <w:rsid w:val="00EB491F"/>
    <w:rsid w:val="00EB5A10"/>
    <w:rsid w:val="00EB6D2E"/>
    <w:rsid w:val="00EC0458"/>
    <w:rsid w:val="00EC251D"/>
    <w:rsid w:val="00EC34A4"/>
    <w:rsid w:val="00EC4328"/>
    <w:rsid w:val="00EC45B1"/>
    <w:rsid w:val="00EC48D6"/>
    <w:rsid w:val="00EC5146"/>
    <w:rsid w:val="00EC5BEB"/>
    <w:rsid w:val="00ED08DC"/>
    <w:rsid w:val="00ED0BD1"/>
    <w:rsid w:val="00ED0D52"/>
    <w:rsid w:val="00ED2F0A"/>
    <w:rsid w:val="00ED3328"/>
    <w:rsid w:val="00ED3A15"/>
    <w:rsid w:val="00ED3A61"/>
    <w:rsid w:val="00ED46F2"/>
    <w:rsid w:val="00ED4A2E"/>
    <w:rsid w:val="00ED66FF"/>
    <w:rsid w:val="00ED6BE7"/>
    <w:rsid w:val="00EE1FD9"/>
    <w:rsid w:val="00EE253E"/>
    <w:rsid w:val="00EE37AC"/>
    <w:rsid w:val="00EE4BFA"/>
    <w:rsid w:val="00EE5BA3"/>
    <w:rsid w:val="00EE5E1F"/>
    <w:rsid w:val="00EE6362"/>
    <w:rsid w:val="00EE687D"/>
    <w:rsid w:val="00EE71E8"/>
    <w:rsid w:val="00EE762C"/>
    <w:rsid w:val="00EE7843"/>
    <w:rsid w:val="00EF09D0"/>
    <w:rsid w:val="00EF4C3F"/>
    <w:rsid w:val="00EF509F"/>
    <w:rsid w:val="00EF57DF"/>
    <w:rsid w:val="00EF6372"/>
    <w:rsid w:val="00EF6947"/>
    <w:rsid w:val="00EF707E"/>
    <w:rsid w:val="00F0062E"/>
    <w:rsid w:val="00F0126D"/>
    <w:rsid w:val="00F01AC3"/>
    <w:rsid w:val="00F03570"/>
    <w:rsid w:val="00F03980"/>
    <w:rsid w:val="00F03C20"/>
    <w:rsid w:val="00F03CE4"/>
    <w:rsid w:val="00F050E2"/>
    <w:rsid w:val="00F0528F"/>
    <w:rsid w:val="00F0591E"/>
    <w:rsid w:val="00F06188"/>
    <w:rsid w:val="00F06231"/>
    <w:rsid w:val="00F07C7B"/>
    <w:rsid w:val="00F131F3"/>
    <w:rsid w:val="00F134A5"/>
    <w:rsid w:val="00F13B78"/>
    <w:rsid w:val="00F1473B"/>
    <w:rsid w:val="00F15022"/>
    <w:rsid w:val="00F15EE0"/>
    <w:rsid w:val="00F1633A"/>
    <w:rsid w:val="00F16AF1"/>
    <w:rsid w:val="00F16B98"/>
    <w:rsid w:val="00F17ECD"/>
    <w:rsid w:val="00F20F73"/>
    <w:rsid w:val="00F21264"/>
    <w:rsid w:val="00F225F5"/>
    <w:rsid w:val="00F22C87"/>
    <w:rsid w:val="00F23378"/>
    <w:rsid w:val="00F248BE"/>
    <w:rsid w:val="00F26DDD"/>
    <w:rsid w:val="00F3235F"/>
    <w:rsid w:val="00F352FB"/>
    <w:rsid w:val="00F35FD6"/>
    <w:rsid w:val="00F3639B"/>
    <w:rsid w:val="00F417B7"/>
    <w:rsid w:val="00F427CE"/>
    <w:rsid w:val="00F43015"/>
    <w:rsid w:val="00F43C03"/>
    <w:rsid w:val="00F442B2"/>
    <w:rsid w:val="00F47241"/>
    <w:rsid w:val="00F50EFF"/>
    <w:rsid w:val="00F516AB"/>
    <w:rsid w:val="00F51BE4"/>
    <w:rsid w:val="00F54FE6"/>
    <w:rsid w:val="00F577B3"/>
    <w:rsid w:val="00F60075"/>
    <w:rsid w:val="00F604D5"/>
    <w:rsid w:val="00F6228E"/>
    <w:rsid w:val="00F62931"/>
    <w:rsid w:val="00F639BD"/>
    <w:rsid w:val="00F66ED3"/>
    <w:rsid w:val="00F66FBD"/>
    <w:rsid w:val="00F67124"/>
    <w:rsid w:val="00F704B8"/>
    <w:rsid w:val="00F71042"/>
    <w:rsid w:val="00F71468"/>
    <w:rsid w:val="00F717A9"/>
    <w:rsid w:val="00F72900"/>
    <w:rsid w:val="00F729FD"/>
    <w:rsid w:val="00F73176"/>
    <w:rsid w:val="00F73356"/>
    <w:rsid w:val="00F742FE"/>
    <w:rsid w:val="00F754B0"/>
    <w:rsid w:val="00F760DE"/>
    <w:rsid w:val="00F764F8"/>
    <w:rsid w:val="00F8013F"/>
    <w:rsid w:val="00F801FC"/>
    <w:rsid w:val="00F80E64"/>
    <w:rsid w:val="00F82528"/>
    <w:rsid w:val="00F829B4"/>
    <w:rsid w:val="00F83944"/>
    <w:rsid w:val="00F83947"/>
    <w:rsid w:val="00F90A93"/>
    <w:rsid w:val="00F97C30"/>
    <w:rsid w:val="00FA145C"/>
    <w:rsid w:val="00FA381C"/>
    <w:rsid w:val="00FA592C"/>
    <w:rsid w:val="00FA5F58"/>
    <w:rsid w:val="00FA5FB3"/>
    <w:rsid w:val="00FA62E0"/>
    <w:rsid w:val="00FB0542"/>
    <w:rsid w:val="00FB158E"/>
    <w:rsid w:val="00FB2082"/>
    <w:rsid w:val="00FB2A84"/>
    <w:rsid w:val="00FB4335"/>
    <w:rsid w:val="00FB5388"/>
    <w:rsid w:val="00FB60F9"/>
    <w:rsid w:val="00FC1C40"/>
    <w:rsid w:val="00FC2FAD"/>
    <w:rsid w:val="00FC4A2F"/>
    <w:rsid w:val="00FC5348"/>
    <w:rsid w:val="00FC91D3"/>
    <w:rsid w:val="00FD0007"/>
    <w:rsid w:val="00FD21CC"/>
    <w:rsid w:val="00FD2430"/>
    <w:rsid w:val="00FD292C"/>
    <w:rsid w:val="00FD3A92"/>
    <w:rsid w:val="00FD4E72"/>
    <w:rsid w:val="00FD7A4A"/>
    <w:rsid w:val="00FE0901"/>
    <w:rsid w:val="00FE346E"/>
    <w:rsid w:val="00FE4260"/>
    <w:rsid w:val="00FE4BF8"/>
    <w:rsid w:val="00FE7322"/>
    <w:rsid w:val="00FF003D"/>
    <w:rsid w:val="00FF2816"/>
    <w:rsid w:val="00FF3C89"/>
    <w:rsid w:val="00FF3DC2"/>
    <w:rsid w:val="00FF5BEB"/>
    <w:rsid w:val="00FF67EA"/>
    <w:rsid w:val="00FF6DC2"/>
    <w:rsid w:val="02012A64"/>
    <w:rsid w:val="0293E2D5"/>
    <w:rsid w:val="02E8877A"/>
    <w:rsid w:val="04EC5F78"/>
    <w:rsid w:val="057F13C7"/>
    <w:rsid w:val="05AECF1C"/>
    <w:rsid w:val="05EEFDD8"/>
    <w:rsid w:val="068B6DAA"/>
    <w:rsid w:val="07961DBE"/>
    <w:rsid w:val="07A2AE97"/>
    <w:rsid w:val="07B66E7A"/>
    <w:rsid w:val="08148854"/>
    <w:rsid w:val="094B6565"/>
    <w:rsid w:val="096A0CFD"/>
    <w:rsid w:val="099515F3"/>
    <w:rsid w:val="09FE3F0A"/>
    <w:rsid w:val="0AA8CFAA"/>
    <w:rsid w:val="0AB1CBEF"/>
    <w:rsid w:val="0CA29B56"/>
    <w:rsid w:val="0DCE6627"/>
    <w:rsid w:val="0DFA7808"/>
    <w:rsid w:val="0EEEA1B2"/>
    <w:rsid w:val="0EFE7DE4"/>
    <w:rsid w:val="0F0156BB"/>
    <w:rsid w:val="0F31305C"/>
    <w:rsid w:val="1028C40E"/>
    <w:rsid w:val="11B2435D"/>
    <w:rsid w:val="11E1C5C0"/>
    <w:rsid w:val="1201B7C3"/>
    <w:rsid w:val="1266793D"/>
    <w:rsid w:val="1425A5B5"/>
    <w:rsid w:val="154F1E67"/>
    <w:rsid w:val="156ABEFD"/>
    <w:rsid w:val="15E093AA"/>
    <w:rsid w:val="16D5A7E1"/>
    <w:rsid w:val="17F32F5B"/>
    <w:rsid w:val="17F94A6F"/>
    <w:rsid w:val="180F016F"/>
    <w:rsid w:val="181B2775"/>
    <w:rsid w:val="19CF2CA6"/>
    <w:rsid w:val="1ABE7459"/>
    <w:rsid w:val="1B8CFD4D"/>
    <w:rsid w:val="1CF1FCAE"/>
    <w:rsid w:val="1DCF9976"/>
    <w:rsid w:val="1EC6ADFF"/>
    <w:rsid w:val="24BD4419"/>
    <w:rsid w:val="250D2917"/>
    <w:rsid w:val="256C3D61"/>
    <w:rsid w:val="25788BFD"/>
    <w:rsid w:val="270C94BB"/>
    <w:rsid w:val="27B7933F"/>
    <w:rsid w:val="27C7FA04"/>
    <w:rsid w:val="28B3A2B2"/>
    <w:rsid w:val="28F25E15"/>
    <w:rsid w:val="2902A5F3"/>
    <w:rsid w:val="29B55E6A"/>
    <w:rsid w:val="2A734D6D"/>
    <w:rsid w:val="2A895D14"/>
    <w:rsid w:val="2B05BE94"/>
    <w:rsid w:val="2B345C05"/>
    <w:rsid w:val="2E613A2D"/>
    <w:rsid w:val="2F8F8383"/>
    <w:rsid w:val="3124C4AB"/>
    <w:rsid w:val="31CB69BC"/>
    <w:rsid w:val="31E783EE"/>
    <w:rsid w:val="31EB1EA9"/>
    <w:rsid w:val="32E28017"/>
    <w:rsid w:val="32EBE2F7"/>
    <w:rsid w:val="34163FA7"/>
    <w:rsid w:val="34A98838"/>
    <w:rsid w:val="357D973B"/>
    <w:rsid w:val="36057F43"/>
    <w:rsid w:val="366203FB"/>
    <w:rsid w:val="36DD313A"/>
    <w:rsid w:val="37166295"/>
    <w:rsid w:val="3750C786"/>
    <w:rsid w:val="37A950D4"/>
    <w:rsid w:val="38739110"/>
    <w:rsid w:val="3875BF77"/>
    <w:rsid w:val="38F64C3D"/>
    <w:rsid w:val="39232A0B"/>
    <w:rsid w:val="3944F2E8"/>
    <w:rsid w:val="3A494AF3"/>
    <w:rsid w:val="3A53AB93"/>
    <w:rsid w:val="3A670EAA"/>
    <w:rsid w:val="3B7E08B6"/>
    <w:rsid w:val="3B93E00E"/>
    <w:rsid w:val="3BDB53FA"/>
    <w:rsid w:val="3BDE48B4"/>
    <w:rsid w:val="3D354B50"/>
    <w:rsid w:val="3D4CD204"/>
    <w:rsid w:val="3E19F12B"/>
    <w:rsid w:val="3EF96BDE"/>
    <w:rsid w:val="40B9380F"/>
    <w:rsid w:val="40BC9034"/>
    <w:rsid w:val="40E217EB"/>
    <w:rsid w:val="4201EBDF"/>
    <w:rsid w:val="42461915"/>
    <w:rsid w:val="43E04C42"/>
    <w:rsid w:val="43F36153"/>
    <w:rsid w:val="442AC351"/>
    <w:rsid w:val="44410B92"/>
    <w:rsid w:val="444AAD20"/>
    <w:rsid w:val="461DD173"/>
    <w:rsid w:val="46747AA4"/>
    <w:rsid w:val="46CCB1CC"/>
    <w:rsid w:val="46DB74B3"/>
    <w:rsid w:val="46FFC514"/>
    <w:rsid w:val="4717085B"/>
    <w:rsid w:val="471A6FEB"/>
    <w:rsid w:val="47C5F112"/>
    <w:rsid w:val="48930874"/>
    <w:rsid w:val="495C47A7"/>
    <w:rsid w:val="4B22F903"/>
    <w:rsid w:val="4BC35BF7"/>
    <w:rsid w:val="4BF16CF3"/>
    <w:rsid w:val="4C29D17D"/>
    <w:rsid w:val="4C3A5CE6"/>
    <w:rsid w:val="4CD181F5"/>
    <w:rsid w:val="4CF0BE6A"/>
    <w:rsid w:val="4E13BFE6"/>
    <w:rsid w:val="4E34EEE7"/>
    <w:rsid w:val="4E494DF9"/>
    <w:rsid w:val="4F356F0A"/>
    <w:rsid w:val="4F97C5A3"/>
    <w:rsid w:val="506D9B81"/>
    <w:rsid w:val="518ED781"/>
    <w:rsid w:val="52BAC485"/>
    <w:rsid w:val="53F1F011"/>
    <w:rsid w:val="542F48DA"/>
    <w:rsid w:val="5435B61C"/>
    <w:rsid w:val="561A7FED"/>
    <w:rsid w:val="56CB8821"/>
    <w:rsid w:val="572557D3"/>
    <w:rsid w:val="588170AA"/>
    <w:rsid w:val="58AC52C0"/>
    <w:rsid w:val="59D95A74"/>
    <w:rsid w:val="5A5A24AC"/>
    <w:rsid w:val="5AC3F95E"/>
    <w:rsid w:val="5AF37786"/>
    <w:rsid w:val="5B612DB8"/>
    <w:rsid w:val="5D51D70B"/>
    <w:rsid w:val="5F082661"/>
    <w:rsid w:val="60308893"/>
    <w:rsid w:val="60B4A5A1"/>
    <w:rsid w:val="61B4E0CC"/>
    <w:rsid w:val="61B8A593"/>
    <w:rsid w:val="61CB195C"/>
    <w:rsid w:val="6291BAF4"/>
    <w:rsid w:val="629BD198"/>
    <w:rsid w:val="62F5D00D"/>
    <w:rsid w:val="639E31D7"/>
    <w:rsid w:val="64F68C93"/>
    <w:rsid w:val="65E8EF8B"/>
    <w:rsid w:val="65EAC8CD"/>
    <w:rsid w:val="65EF6FB3"/>
    <w:rsid w:val="66021844"/>
    <w:rsid w:val="6676703C"/>
    <w:rsid w:val="6734DAF9"/>
    <w:rsid w:val="67846C14"/>
    <w:rsid w:val="6846E0A7"/>
    <w:rsid w:val="685230E5"/>
    <w:rsid w:val="689C92E3"/>
    <w:rsid w:val="6914D594"/>
    <w:rsid w:val="6A3071C1"/>
    <w:rsid w:val="6A47ED21"/>
    <w:rsid w:val="6BA48F0F"/>
    <w:rsid w:val="6DE0D477"/>
    <w:rsid w:val="6DE2E28B"/>
    <w:rsid w:val="6EEBD957"/>
    <w:rsid w:val="6F25E354"/>
    <w:rsid w:val="7004F389"/>
    <w:rsid w:val="7083E02E"/>
    <w:rsid w:val="70BA62D0"/>
    <w:rsid w:val="72B07D5D"/>
    <w:rsid w:val="734E0818"/>
    <w:rsid w:val="7558C4B7"/>
    <w:rsid w:val="75D6C4A2"/>
    <w:rsid w:val="761A6700"/>
    <w:rsid w:val="77CED896"/>
    <w:rsid w:val="79D28D27"/>
    <w:rsid w:val="79E36FB6"/>
    <w:rsid w:val="7B1C2FFE"/>
    <w:rsid w:val="7B987391"/>
    <w:rsid w:val="7C34B02E"/>
    <w:rsid w:val="7CEFA5BB"/>
    <w:rsid w:val="7E5AE1FC"/>
    <w:rsid w:val="7EB558DD"/>
    <w:rsid w:val="7F71E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61BD"/>
  <w15:docId w15:val="{706451BE-E66B-4EF4-AF34-564E3C72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63654F"/>
    <w:pPr>
      <w:keepNext/>
      <w:keepLines/>
      <w:spacing w:before="360"/>
      <w:outlineLvl w:val="0"/>
    </w:pPr>
    <w:rPr>
      <w:rFonts w:asciiTheme="majorHAnsi" w:hAnsiTheme="majorHAnsi" w:cs="Arial"/>
      <w:b/>
      <w:sz w:val="30"/>
    </w:rPr>
  </w:style>
  <w:style w:type="paragraph" w:styleId="Heading2">
    <w:name w:val="heading 2"/>
    <w:basedOn w:val="Normal"/>
    <w:next w:val="Normal"/>
    <w:link w:val="Heading2Char"/>
    <w:uiPriority w:val="9"/>
    <w:unhideWhenUsed/>
    <w:qFormat/>
    <w:rsid w:val="00055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654F"/>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E151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1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2C"/>
    <w:rPr>
      <w:rFonts w:ascii="Tahoma" w:hAnsi="Tahoma" w:cs="Tahoma"/>
      <w:sz w:val="16"/>
      <w:szCs w:val="16"/>
    </w:rPr>
  </w:style>
  <w:style w:type="paragraph" w:styleId="Title">
    <w:name w:val="Title"/>
    <w:basedOn w:val="Normal"/>
    <w:link w:val="TitleChar"/>
    <w:qFormat/>
    <w:rsid w:val="0005562C"/>
    <w:pPr>
      <w:spacing w:before="240" w:after="60" w:line="240" w:lineRule="auto"/>
      <w:jc w:val="center"/>
      <w:outlineLvl w:val="0"/>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05562C"/>
    <w:rPr>
      <w:rFonts w:ascii="Arial" w:eastAsia="Times New Roman" w:hAnsi="Arial" w:cs="Arial"/>
      <w:b/>
      <w:bCs/>
      <w:kern w:val="28"/>
      <w:sz w:val="32"/>
      <w:szCs w:val="32"/>
      <w:lang w:eastAsia="en-AU"/>
    </w:rPr>
  </w:style>
  <w:style w:type="character" w:customStyle="1" w:styleId="Heading1Char">
    <w:name w:val="Heading 1 Char"/>
    <w:basedOn w:val="DefaultParagraphFont"/>
    <w:link w:val="Heading1"/>
    <w:rsid w:val="0063654F"/>
    <w:rPr>
      <w:rFonts w:asciiTheme="majorHAnsi" w:eastAsia="Times New Roman" w:hAnsiTheme="majorHAnsi" w:cs="Arial"/>
      <w:b/>
      <w:sz w:val="30"/>
      <w:szCs w:val="24"/>
      <w:lang w:eastAsia="en-AU"/>
    </w:rPr>
  </w:style>
  <w:style w:type="paragraph" w:styleId="BodyText">
    <w:name w:val="Body Text"/>
    <w:basedOn w:val="Normal"/>
    <w:link w:val="BodyTextChar"/>
    <w:uiPriority w:val="99"/>
    <w:rsid w:val="0005562C"/>
    <w:pPr>
      <w:spacing w:before="40" w:after="120"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05562C"/>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05562C"/>
    <w:rPr>
      <w:rFonts w:asciiTheme="majorHAnsi" w:eastAsiaTheme="majorEastAsia" w:hAnsiTheme="majorHAnsi" w:cstheme="majorBidi"/>
      <w:b/>
      <w:bCs/>
      <w:color w:val="4F81BD" w:themeColor="accent1"/>
      <w:sz w:val="26"/>
      <w:szCs w:val="26"/>
    </w:rPr>
  </w:style>
  <w:style w:type="paragraph" w:customStyle="1" w:styleId="Tabletext">
    <w:name w:val="Table text"/>
    <w:link w:val="TabletextChar"/>
    <w:rsid w:val="0005562C"/>
    <w:pPr>
      <w:spacing w:before="20" w:after="20" w:line="240" w:lineRule="auto"/>
    </w:pPr>
    <w:rPr>
      <w:rFonts w:ascii="Arial" w:eastAsia="Times New Roman" w:hAnsi="Arial" w:cs="Arial"/>
      <w:sz w:val="20"/>
      <w:szCs w:val="20"/>
      <w:lang w:eastAsia="en-AU"/>
    </w:rPr>
  </w:style>
  <w:style w:type="paragraph" w:styleId="ListBullet">
    <w:name w:val="List Bullet"/>
    <w:basedOn w:val="Normal"/>
    <w:rsid w:val="0005562C"/>
    <w:pPr>
      <w:numPr>
        <w:numId w:val="1"/>
      </w:numPr>
      <w:spacing w:before="120" w:after="120" w:line="240" w:lineRule="auto"/>
    </w:pPr>
    <w:rPr>
      <w:rFonts w:ascii="Times New Roman" w:eastAsia="Times New Roman" w:hAnsi="Times New Roman" w:cs="Times New Roman"/>
      <w:sz w:val="24"/>
      <w:szCs w:val="24"/>
      <w:lang w:eastAsia="en-AU"/>
    </w:rPr>
  </w:style>
  <w:style w:type="character" w:customStyle="1" w:styleId="TabletextChar">
    <w:name w:val="Table text Char"/>
    <w:link w:val="Tabletext"/>
    <w:locked/>
    <w:rsid w:val="0005562C"/>
    <w:rPr>
      <w:rFonts w:ascii="Arial" w:eastAsia="Times New Roman" w:hAnsi="Arial" w:cs="Arial"/>
      <w:sz w:val="20"/>
      <w:szCs w:val="20"/>
      <w:lang w:eastAsia="en-AU"/>
    </w:rPr>
  </w:style>
  <w:style w:type="paragraph" w:styleId="ListParagraph">
    <w:name w:val="List Paragraph"/>
    <w:basedOn w:val="Normal"/>
    <w:link w:val="ListParagraphChar"/>
    <w:uiPriority w:val="34"/>
    <w:qFormat/>
    <w:rsid w:val="0005562C"/>
    <w:pPr>
      <w:spacing w:before="120"/>
      <w:ind w:left="720"/>
      <w:contextualSpacing/>
    </w:pPr>
    <w:rPr>
      <w:rFonts w:ascii="Calibri" w:eastAsia="Calibri" w:hAnsi="Calibri" w:cs="Times New Roman"/>
    </w:rPr>
  </w:style>
  <w:style w:type="character" w:customStyle="1" w:styleId="Heading3Char">
    <w:name w:val="Heading 3 Char"/>
    <w:basedOn w:val="DefaultParagraphFont"/>
    <w:link w:val="Heading3"/>
    <w:uiPriority w:val="9"/>
    <w:rsid w:val="0063654F"/>
    <w:rPr>
      <w:rFonts w:asciiTheme="majorHAnsi" w:eastAsiaTheme="majorEastAsia" w:hAnsiTheme="majorHAnsi" w:cstheme="majorBidi"/>
      <w:b/>
      <w:bCs/>
      <w:sz w:val="24"/>
    </w:rPr>
  </w:style>
  <w:style w:type="character" w:styleId="Hyperlink">
    <w:name w:val="Hyperlink"/>
    <w:rsid w:val="0005562C"/>
    <w:rPr>
      <w:color w:val="0000FF"/>
      <w:u w:val="single"/>
    </w:rPr>
  </w:style>
  <w:style w:type="paragraph" w:styleId="NormalWeb">
    <w:name w:val="Normal (Web)"/>
    <w:basedOn w:val="Normal"/>
    <w:uiPriority w:val="99"/>
    <w:unhideWhenUsed/>
    <w:rsid w:val="0005562C"/>
    <w:pPr>
      <w:spacing w:after="144" w:line="360" w:lineRule="atLeast"/>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5562C"/>
    <w:rPr>
      <w:b/>
      <w:bCs/>
    </w:rPr>
  </w:style>
  <w:style w:type="paragraph" w:customStyle="1" w:styleId="Default">
    <w:name w:val="Default"/>
    <w:uiPriority w:val="99"/>
    <w:rsid w:val="0005562C"/>
    <w:pPr>
      <w:autoSpaceDE w:val="0"/>
      <w:autoSpaceDN w:val="0"/>
      <w:adjustRightInd w:val="0"/>
      <w:spacing w:before="120" w:after="120" w:line="240" w:lineRule="auto"/>
    </w:pPr>
    <w:rPr>
      <w:rFonts w:ascii="Arial" w:eastAsia="Times New Roman" w:hAnsi="Arial" w:cs="Arial"/>
      <w:color w:val="000000"/>
      <w:sz w:val="24"/>
      <w:szCs w:val="24"/>
      <w:lang w:val="en-US"/>
    </w:rPr>
  </w:style>
  <w:style w:type="paragraph" w:customStyle="1" w:styleId="paragraph">
    <w:name w:val="paragraph"/>
    <w:aliases w:val="a"/>
    <w:link w:val="paragraphChar"/>
    <w:rsid w:val="0005562C"/>
    <w:pPr>
      <w:tabs>
        <w:tab w:val="right" w:pos="1531"/>
      </w:tabs>
      <w:spacing w:before="40" w:after="120" w:line="240" w:lineRule="auto"/>
      <w:ind w:left="1644" w:hanging="1644"/>
    </w:pPr>
    <w:rPr>
      <w:rFonts w:ascii="Times New Roman" w:eastAsia="Times New Roman" w:hAnsi="Times New Roman" w:cs="Times New Roman"/>
      <w:lang w:eastAsia="en-AU"/>
    </w:rPr>
  </w:style>
  <w:style w:type="character" w:customStyle="1" w:styleId="paragraphChar">
    <w:name w:val="paragraph Char"/>
    <w:aliases w:val="a Char"/>
    <w:link w:val="paragraph"/>
    <w:rsid w:val="0005562C"/>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7D3F3D"/>
    <w:rPr>
      <w:sz w:val="16"/>
      <w:szCs w:val="16"/>
    </w:rPr>
  </w:style>
  <w:style w:type="paragraph" w:styleId="CommentText">
    <w:name w:val="annotation text"/>
    <w:basedOn w:val="Normal"/>
    <w:link w:val="CommentTextChar"/>
    <w:uiPriority w:val="99"/>
    <w:unhideWhenUsed/>
    <w:rsid w:val="007D3F3D"/>
    <w:pPr>
      <w:spacing w:line="240" w:lineRule="auto"/>
    </w:pPr>
    <w:rPr>
      <w:sz w:val="20"/>
      <w:szCs w:val="20"/>
    </w:rPr>
  </w:style>
  <w:style w:type="character" w:customStyle="1" w:styleId="CommentTextChar">
    <w:name w:val="Comment Text Char"/>
    <w:basedOn w:val="DefaultParagraphFont"/>
    <w:link w:val="CommentText"/>
    <w:uiPriority w:val="99"/>
    <w:rsid w:val="007D3F3D"/>
    <w:rPr>
      <w:sz w:val="20"/>
      <w:szCs w:val="20"/>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b/>
      <w:bCs/>
      <w:sz w:val="20"/>
      <w:szCs w:val="20"/>
    </w:rPr>
  </w:style>
  <w:style w:type="character" w:styleId="FollowedHyperlink">
    <w:name w:val="FollowedHyperlink"/>
    <w:basedOn w:val="DefaultParagraphFont"/>
    <w:uiPriority w:val="99"/>
    <w:semiHidden/>
    <w:unhideWhenUsed/>
    <w:rsid w:val="00F829B4"/>
    <w:rPr>
      <w:color w:val="800080" w:themeColor="followedHyperlink"/>
      <w:u w:val="single"/>
    </w:rPr>
  </w:style>
  <w:style w:type="character" w:customStyle="1" w:styleId="Heading4Char">
    <w:name w:val="Heading 4 Char"/>
    <w:basedOn w:val="DefaultParagraphFont"/>
    <w:link w:val="Heading4"/>
    <w:uiPriority w:val="9"/>
    <w:rsid w:val="00E151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151B5"/>
    <w:rPr>
      <w:rFonts w:asciiTheme="majorHAnsi" w:eastAsiaTheme="majorEastAsia" w:hAnsiTheme="majorHAnsi" w:cstheme="majorBidi"/>
      <w:color w:val="243F60" w:themeColor="accent1" w:themeShade="7F"/>
    </w:rPr>
  </w:style>
  <w:style w:type="character" w:customStyle="1" w:styleId="ListParagraphChar">
    <w:name w:val="List Paragraph Char"/>
    <w:link w:val="ListParagraph"/>
    <w:uiPriority w:val="34"/>
    <w:locked/>
    <w:rsid w:val="00E151B5"/>
    <w:rPr>
      <w:rFonts w:ascii="Calibri" w:eastAsia="Calibri" w:hAnsi="Calibri" w:cs="Times New Roman"/>
    </w:rPr>
  </w:style>
  <w:style w:type="paragraph" w:styleId="EndnoteText">
    <w:name w:val="endnote text"/>
    <w:basedOn w:val="Normal"/>
    <w:link w:val="EndnoteTextChar"/>
    <w:uiPriority w:val="99"/>
    <w:rsid w:val="00E151B5"/>
    <w:pPr>
      <w:widowControl w:val="0"/>
      <w:suppressAutoHyphens/>
      <w:autoSpaceDE w:val="0"/>
      <w:autoSpaceDN w:val="0"/>
      <w:adjustRightInd w:val="0"/>
      <w:spacing w:after="0" w:line="240" w:lineRule="auto"/>
      <w:textAlignment w:val="center"/>
    </w:pPr>
    <w:rPr>
      <w:rFonts w:ascii="Arial" w:eastAsia="Cambria" w:hAnsi="Arial" w:cs="MuseoSans-300"/>
      <w:color w:val="54534B"/>
      <w:position w:val="-2"/>
      <w:sz w:val="20"/>
      <w:szCs w:val="20"/>
      <w:lang w:val="en-GB"/>
    </w:rPr>
  </w:style>
  <w:style w:type="character" w:customStyle="1" w:styleId="EndnoteTextChar">
    <w:name w:val="Endnote Text Char"/>
    <w:basedOn w:val="DefaultParagraphFont"/>
    <w:link w:val="EndnoteText"/>
    <w:uiPriority w:val="99"/>
    <w:rsid w:val="00E151B5"/>
    <w:rPr>
      <w:rFonts w:ascii="Arial" w:eastAsia="Cambria" w:hAnsi="Arial" w:cs="MuseoSans-300"/>
      <w:color w:val="54534B"/>
      <w:position w:val="-2"/>
      <w:sz w:val="20"/>
      <w:szCs w:val="20"/>
      <w:lang w:val="en-GB"/>
    </w:rPr>
  </w:style>
  <w:style w:type="character" w:styleId="EndnoteReference">
    <w:name w:val="endnote reference"/>
    <w:basedOn w:val="DefaultParagraphFont"/>
    <w:uiPriority w:val="99"/>
    <w:rsid w:val="00E151B5"/>
    <w:rPr>
      <w:vertAlign w:val="superscript"/>
    </w:rPr>
  </w:style>
  <w:style w:type="paragraph" w:styleId="Header">
    <w:name w:val="header"/>
    <w:basedOn w:val="Normal"/>
    <w:link w:val="HeaderChar"/>
    <w:uiPriority w:val="99"/>
    <w:unhideWhenUsed/>
    <w:rsid w:val="002A3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846"/>
  </w:style>
  <w:style w:type="paragraph" w:styleId="Footer">
    <w:name w:val="footer"/>
    <w:basedOn w:val="Normal"/>
    <w:link w:val="FooterChar"/>
    <w:uiPriority w:val="99"/>
    <w:unhideWhenUsed/>
    <w:rsid w:val="002A3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846"/>
  </w:style>
  <w:style w:type="paragraph" w:styleId="Revision">
    <w:name w:val="Revision"/>
    <w:hidden/>
    <w:uiPriority w:val="99"/>
    <w:semiHidden/>
    <w:rsid w:val="0014458F"/>
    <w:pPr>
      <w:spacing w:after="0" w:line="240" w:lineRule="auto"/>
    </w:pPr>
  </w:style>
  <w:style w:type="character" w:styleId="UnresolvedMention">
    <w:name w:val="Unresolved Mention"/>
    <w:basedOn w:val="DefaultParagraphFont"/>
    <w:uiPriority w:val="99"/>
    <w:semiHidden/>
    <w:unhideWhenUsed/>
    <w:rsid w:val="0008327B"/>
    <w:rPr>
      <w:color w:val="605E5C"/>
      <w:shd w:val="clear" w:color="auto" w:fill="E1DFDD"/>
    </w:rPr>
  </w:style>
  <w:style w:type="character" w:customStyle="1" w:styleId="normaltextrun">
    <w:name w:val="normaltextrun"/>
    <w:basedOn w:val="DefaultParagraphFont"/>
    <w:rsid w:val="007707DB"/>
  </w:style>
  <w:style w:type="character" w:customStyle="1" w:styleId="eop">
    <w:name w:val="eop"/>
    <w:basedOn w:val="DefaultParagraphFont"/>
    <w:rsid w:val="007707DB"/>
  </w:style>
  <w:style w:type="character" w:styleId="Mention">
    <w:name w:val="Mention"/>
    <w:basedOn w:val="DefaultParagraphFont"/>
    <w:uiPriority w:val="99"/>
    <w:unhideWhenUsed/>
    <w:rsid w:val="00342C49"/>
    <w:rPr>
      <w:color w:val="2B579A"/>
      <w:shd w:val="clear" w:color="auto" w:fill="E1DFDD"/>
    </w:rPr>
  </w:style>
  <w:style w:type="paragraph" w:styleId="TOCHeading">
    <w:name w:val="TOC Heading"/>
    <w:basedOn w:val="Heading1"/>
    <w:next w:val="Normal"/>
    <w:uiPriority w:val="39"/>
    <w:unhideWhenUsed/>
    <w:qFormat/>
    <w:rsid w:val="00C70B85"/>
    <w:pPr>
      <w:spacing w:before="240" w:after="0" w:line="259" w:lineRule="auto"/>
      <w:outlineLvl w:val="9"/>
    </w:pPr>
    <w:rPr>
      <w:rFonts w:eastAsiaTheme="majorEastAsia"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C70B85"/>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C70B85"/>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C70B85"/>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law.gov.au/Details/C2014C00810/Html/Text" TargetMode="External"/><Relationship Id="rId21" Type="http://schemas.openxmlformats.org/officeDocument/2006/relationships/hyperlink" Target="http://www.comlaw.gov.au/Details/C2014C00810/Html/Text" TargetMode="External"/><Relationship Id="rId42" Type="http://schemas.openxmlformats.org/officeDocument/2006/relationships/hyperlink" Target="http://www.comlaw.gov.au/Details/F2014L00829/Html/Text" TargetMode="External"/><Relationship Id="rId47" Type="http://schemas.openxmlformats.org/officeDocument/2006/relationships/hyperlink" Target="http://www.comlaw.gov.au/Details/C2015C00003" TargetMode="External"/><Relationship Id="rId63" Type="http://schemas.openxmlformats.org/officeDocument/2006/relationships/hyperlink" Target="https://www.agedcarequality.gov.au/sites/default/files/media/liquidity-standard-fact-sheet-for-providers.pdf" TargetMode="External"/><Relationship Id="rId68" Type="http://schemas.openxmlformats.org/officeDocument/2006/relationships/hyperlink" Target="https://www.youtube.com/watch?v=z-pZvljizXo" TargetMode="External"/><Relationship Id="rId16" Type="http://schemas.openxmlformats.org/officeDocument/2006/relationships/hyperlink" Target="https://www.legislation.gov.au/F2014L00830/latest/text" TargetMode="External"/><Relationship Id="rId11" Type="http://schemas.openxmlformats.org/officeDocument/2006/relationships/image" Target="media/image1.png"/><Relationship Id="rId32" Type="http://schemas.openxmlformats.org/officeDocument/2006/relationships/hyperlink" Target="http://www.comlaw.gov.au/Series/F2014L00829" TargetMode="External"/><Relationship Id="rId37" Type="http://schemas.openxmlformats.org/officeDocument/2006/relationships/hyperlink" Target="http://www.comlaw.gov.au/Series/F2014L00829" TargetMode="External"/><Relationship Id="rId53" Type="http://schemas.openxmlformats.org/officeDocument/2006/relationships/hyperlink" Target="http://www.comlaw.gov.au/Series/C2004A05159" TargetMode="External"/><Relationship Id="rId58" Type="http://schemas.openxmlformats.org/officeDocument/2006/relationships/hyperlink" Target="https://www.legislation.gov.au/C2024A00104/latest/text"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agedcarequality.gov.au/sites/default/files/media/financial-and-prudential-standards-guidance-for-providers.pdf" TargetMode="External"/><Relationship Id="rId19" Type="http://schemas.openxmlformats.org/officeDocument/2006/relationships/hyperlink" Target="https://www.legislation.gov.au/F2025L01306/latest/text" TargetMode="External"/><Relationship Id="rId14" Type="http://schemas.openxmlformats.org/officeDocument/2006/relationships/hyperlink" Target="https://www.legislation.gov.au/F2014L00829/latest/text" TargetMode="External"/><Relationship Id="rId22" Type="http://schemas.openxmlformats.org/officeDocument/2006/relationships/hyperlink" Target="http://www.comlaw.gov.au/Series/F2014L00810" TargetMode="External"/><Relationship Id="rId27" Type="http://schemas.openxmlformats.org/officeDocument/2006/relationships/hyperlink" Target="http://www.apra.gov.au/adi/pages/adilist.aspx" TargetMode="External"/><Relationship Id="rId30" Type="http://schemas.openxmlformats.org/officeDocument/2006/relationships/hyperlink" Target="http://www.comlaw.gov.au/Details/C2014C00810/Html/Text" TargetMode="External"/><Relationship Id="rId35" Type="http://schemas.openxmlformats.org/officeDocument/2006/relationships/hyperlink" Target="http://www.comlaw.gov.au/Series/F2014L00829" TargetMode="External"/><Relationship Id="rId43" Type="http://schemas.openxmlformats.org/officeDocument/2006/relationships/hyperlink" Target="http://www.comlaw.gov.au/Details/C2014C00810/Html/Text" TargetMode="External"/><Relationship Id="rId48" Type="http://schemas.openxmlformats.org/officeDocument/2006/relationships/hyperlink" Target="http://www.comlaw.gov.au/Details/C2014C00810/Html/Text" TargetMode="External"/><Relationship Id="rId56" Type="http://schemas.openxmlformats.org/officeDocument/2006/relationships/hyperlink" Target="http://www.comlaw.gov.au/Details/C2014C00810/Html/Text" TargetMode="External"/><Relationship Id="rId64" Type="http://schemas.openxmlformats.org/officeDocument/2006/relationships/hyperlink" Target="https://www.agedcarequality.gov.au/resource-library/liquidity-calculator-registered-providers-aged-care-sector" TargetMode="External"/><Relationship Id="rId69" Type="http://schemas.openxmlformats.org/officeDocument/2006/relationships/hyperlink" Target="https://www.agedcarequality.gov.au/providers/financial-prudential-standards/investment-standard"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comlaw.gov.au/Series/C2004A00818" TargetMode="External"/><Relationship Id="rId72" Type="http://schemas.openxmlformats.org/officeDocument/2006/relationships/hyperlink" Target="https://www.health.gov.au/resources/publications/residential-care-service-list?language=en"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legislation.gov.au/C2024A00104/latest/text" TargetMode="External"/><Relationship Id="rId25" Type="http://schemas.openxmlformats.org/officeDocument/2006/relationships/hyperlink" Target="http://www.comlaw.gov.au/Series/F2014L00829" TargetMode="External"/><Relationship Id="rId33" Type="http://schemas.openxmlformats.org/officeDocument/2006/relationships/hyperlink" Target="http://www.comlaw.gov.au/Current/F2014L00810" TargetMode="External"/><Relationship Id="rId38" Type="http://schemas.openxmlformats.org/officeDocument/2006/relationships/hyperlink" Target="http://www.comlaw.gov.au/Details/C2014C00810/Html/Text" TargetMode="External"/><Relationship Id="rId46" Type="http://schemas.openxmlformats.org/officeDocument/2006/relationships/hyperlink" Target="http://www.comlaw.gov.au/Details/C2014C00810/Html/Text" TargetMode="External"/><Relationship Id="rId59" Type="http://schemas.openxmlformats.org/officeDocument/2006/relationships/hyperlink" Target="https://www.legislation.gov.au/F2025L01173/asmade/text" TargetMode="External"/><Relationship Id="rId67" Type="http://schemas.openxmlformats.org/officeDocument/2006/relationships/hyperlink" Target="https://www.agedcarequality.gov.au/sites/default/files/media/financial-and-prudential-management-standard-fact-sheet-for-providers.pdf" TargetMode="External"/><Relationship Id="rId20" Type="http://schemas.openxmlformats.org/officeDocument/2006/relationships/hyperlink" Target="http://www.comlaw.gov.au/Series/F2014L00829" TargetMode="External"/><Relationship Id="rId41" Type="http://schemas.openxmlformats.org/officeDocument/2006/relationships/hyperlink" Target="http://www.comlaw.gov.au/Details/F2014L00829/Html/Text" TargetMode="External"/><Relationship Id="rId54" Type="http://schemas.openxmlformats.org/officeDocument/2006/relationships/hyperlink" Target="http://www.comlaw.gov.au/Series/F2014L00829" TargetMode="External"/><Relationship Id="rId62" Type="http://schemas.openxmlformats.org/officeDocument/2006/relationships/hyperlink" Target="https://www.agedcarequality.gov.au/providers/financial-prudential-standards/liquidity-standard" TargetMode="External"/><Relationship Id="rId70" Type="http://schemas.openxmlformats.org/officeDocument/2006/relationships/hyperlink" Target="https://www.agedcarequality.gov.au/sites/default/files/media/investment-standard-fact-sheet-for-providers.pdf"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14L00808/latest/text" TargetMode="External"/><Relationship Id="rId23" Type="http://schemas.openxmlformats.org/officeDocument/2006/relationships/hyperlink" Target="http://www.comlaw.gov.au/Details/C2014C00810/Html/Text" TargetMode="External"/><Relationship Id="rId28" Type="http://schemas.openxmlformats.org/officeDocument/2006/relationships/hyperlink" Target="https://www.apra.gov.au/register-of-authorised-deposit-taking-institutions" TargetMode="External"/><Relationship Id="rId36" Type="http://schemas.openxmlformats.org/officeDocument/2006/relationships/hyperlink" Target="http://www.comlaw.gov.au/Series/F2014L00829" TargetMode="External"/><Relationship Id="rId49" Type="http://schemas.openxmlformats.org/officeDocument/2006/relationships/hyperlink" Target="http://www.comlaw.gov.au/Series/C1959A00006" TargetMode="External"/><Relationship Id="rId57" Type="http://schemas.openxmlformats.org/officeDocument/2006/relationships/hyperlink" Target="http://www.comlaw.gov.au/Series/C2006A00026" TargetMode="External"/><Relationship Id="rId10" Type="http://schemas.openxmlformats.org/officeDocument/2006/relationships/endnotes" Target="endnotes.xml"/><Relationship Id="rId31" Type="http://schemas.openxmlformats.org/officeDocument/2006/relationships/hyperlink" Target="http://www.comlaw.gov.au/Details/C2014C00810/Html/Text" TargetMode="External"/><Relationship Id="rId44" Type="http://schemas.openxmlformats.org/officeDocument/2006/relationships/hyperlink" Target="http://www.comlaw.gov.au/Details/C2014C00810/Html/Text" TargetMode="External"/><Relationship Id="rId52" Type="http://schemas.openxmlformats.org/officeDocument/2006/relationships/hyperlink" Target="http://www.comlaw.gov.au/Series/C1959A00006" TargetMode="External"/><Relationship Id="rId60" Type="http://schemas.openxmlformats.org/officeDocument/2006/relationships/hyperlink" Target="https://www.legislation.gov.au/F2025L01306/latest/text" TargetMode="External"/><Relationship Id="rId65" Type="http://schemas.openxmlformats.org/officeDocument/2006/relationships/hyperlink" Target="https://www.youtube.com/watch?v=Za-rduWwOw0" TargetMode="External"/><Relationship Id="rId73" Type="http://schemas.openxmlformats.org/officeDocument/2006/relationships/hyperlink" Target="https://www.health.gov.au/resources/publications/schedule-of-fees-and-charges-for-residential-care"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au/C2004A05206/latest/text" TargetMode="External"/><Relationship Id="rId18" Type="http://schemas.openxmlformats.org/officeDocument/2006/relationships/hyperlink" Target="https://www.legislation.gov.au/F2025L01173/asmade/text" TargetMode="External"/><Relationship Id="rId39" Type="http://schemas.openxmlformats.org/officeDocument/2006/relationships/image" Target="media/image3.png"/><Relationship Id="rId34" Type="http://schemas.openxmlformats.org/officeDocument/2006/relationships/hyperlink" Target="http://www.comlaw.gov.au/Series/C2004A00818" TargetMode="External"/><Relationship Id="rId50" Type="http://schemas.openxmlformats.org/officeDocument/2006/relationships/hyperlink" Target="http://www.comlaw.gov.au/Details/C2014C00810/Html/Text" TargetMode="External"/><Relationship Id="rId55" Type="http://schemas.openxmlformats.org/officeDocument/2006/relationships/hyperlink" Target="http://www.comlaw.gov.au/Series/C2006A00026"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youtube.com/watch?v=Ri6xErHaWl8" TargetMode="External"/><Relationship Id="rId2" Type="http://schemas.openxmlformats.org/officeDocument/2006/relationships/customXml" Target="../customXml/item2.xml"/><Relationship Id="rId29" Type="http://schemas.openxmlformats.org/officeDocument/2006/relationships/hyperlink" Target="http://www.comlaw.gov.au/Series/F2014L00829" TargetMode="External"/><Relationship Id="rId24" Type="http://schemas.openxmlformats.org/officeDocument/2006/relationships/hyperlink" Target="http://www.comlaw.gov.au/Details/C2014C00810/Html/Text" TargetMode="External"/><Relationship Id="rId40" Type="http://schemas.openxmlformats.org/officeDocument/2006/relationships/hyperlink" Target="http://www.comlaw.gov.au/Details/C2014C00810/Html/Text" TargetMode="External"/><Relationship Id="rId45" Type="http://schemas.openxmlformats.org/officeDocument/2006/relationships/hyperlink" Target="http://www.comlaw.gov.au/Details/C2014C00810/Html/Text" TargetMode="External"/><Relationship Id="rId66" Type="http://schemas.openxmlformats.org/officeDocument/2006/relationships/hyperlink" Target="https://www.agedcarequality.gov.au/providers/financial-prudential-standards/financial-and-prudential-management-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344f6c-33c4-4639-9c4a-e760d75a1222" xsi:nil="true"/>
    <lcf76f155ced4ddcb4097134ff3c332f xmlns="02622428-b056-4156-8618-9b4665fa4c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F25F82DC70E46BECCBAC5959F994A" ma:contentTypeVersion="13" ma:contentTypeDescription="Create a new document." ma:contentTypeScope="" ma:versionID="7b5141037c5ab903c0e02adaead4b1cf">
  <xsd:schema xmlns:xsd="http://www.w3.org/2001/XMLSchema" xmlns:xs="http://www.w3.org/2001/XMLSchema" xmlns:p="http://schemas.microsoft.com/office/2006/metadata/properties" xmlns:ns2="02622428-b056-4156-8618-9b4665fa4c5e" xmlns:ns3="7e344f6c-33c4-4639-9c4a-e760d75a1222" targetNamespace="http://schemas.microsoft.com/office/2006/metadata/properties" ma:root="true" ma:fieldsID="3dd80d561896b60a147ce0bbeca161e7" ns2:_="" ns3:_="">
    <xsd:import namespace="02622428-b056-4156-8618-9b4665fa4c5e"/>
    <xsd:import namespace="7e344f6c-33c4-4639-9c4a-e760d75a12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2428-b056-4156-8618-9b4665fa4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44f6c-33c4-4639-9c4a-e760d75a12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fd8411-f726-4cac-a696-9c73f2a8f04a}" ma:internalName="TaxCatchAll" ma:showField="CatchAllData" ma:web="7e344f6c-33c4-4639-9c4a-e760d75a12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1FFBC-714A-41D8-B078-D4097F7C2E28}">
  <ds:schemaRefs>
    <ds:schemaRef ds:uri="http://schemas.microsoft.com/sharepoint/v3/contenttype/forms"/>
  </ds:schemaRefs>
</ds:datastoreItem>
</file>

<file path=customXml/itemProps2.xml><?xml version="1.0" encoding="utf-8"?>
<ds:datastoreItem xmlns:ds="http://schemas.openxmlformats.org/officeDocument/2006/customXml" ds:itemID="{EA4D9E94-58F8-465F-B760-1C7E4C41A124}">
  <ds:schemaRefs>
    <ds:schemaRef ds:uri="http://schemas.microsoft.com/office/2006/documentManagement/types"/>
    <ds:schemaRef ds:uri="http://purl.org/dc/dcmitype/"/>
    <ds:schemaRef ds:uri="http://purl.org/dc/terms/"/>
    <ds:schemaRef ds:uri="7e344f6c-33c4-4639-9c4a-e760d75a1222"/>
    <ds:schemaRef ds:uri="http://schemas.microsoft.com/office/infopath/2007/PartnerControls"/>
    <ds:schemaRef ds:uri="http://purl.org/dc/elements/1.1/"/>
    <ds:schemaRef ds:uri="http://schemas.openxmlformats.org/package/2006/metadata/core-properties"/>
    <ds:schemaRef ds:uri="02622428-b056-4156-8618-9b4665fa4c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980482-A885-45D5-B4E8-97F93CDE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2428-b056-4156-8618-9b4665fa4c5e"/>
    <ds:schemaRef ds:uri="7e344f6c-33c4-4639-9c4a-e760d75a1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FE060-E59F-4F32-BAC9-F8196B6D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22422</Words>
  <Characters>117951</Characters>
  <Application>Microsoft Office Word</Application>
  <DocSecurity>0</DocSecurity>
  <Lines>2074</Lines>
  <Paragraphs>1060</Paragraphs>
  <ScaleCrop>false</ScaleCrop>
  <HeadingPairs>
    <vt:vector size="2" baseType="variant">
      <vt:variant>
        <vt:lpstr>Title</vt:lpstr>
      </vt:variant>
      <vt:variant>
        <vt:i4>1</vt:i4>
      </vt:variant>
    </vt:vector>
  </HeadingPairs>
  <TitlesOfParts>
    <vt:vector size="1" baseType="lpstr">
      <vt:lpstr>Annual Prudential Compliance Statement – Guidance – 2025–26</vt:lpstr>
    </vt:vector>
  </TitlesOfParts>
  <Company/>
  <LinksUpToDate>false</LinksUpToDate>
  <CharactersWithSpaces>139498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Prudential Compliance Statement – Guidance – 2025–26</dc:title>
  <dc:subject>Guidance</dc:subject>
  <dc:creator>Australian Government Department of Health, Disabilities and Ageing</dc:creator>
  <cp:keywords>Aged care</cp:keywords>
  <cp:revision>4</cp:revision>
  <dcterms:created xsi:type="dcterms:W3CDTF">2026-03-23T22:13:00Z</dcterms:created>
  <dcterms:modified xsi:type="dcterms:W3CDTF">2026-03-25T05:28:00Z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0x010100310F25F82DC70E46BECCBAC5959F994A</vt:lpwstr>
  </property>
  <property fmtid="{D5CDD505-2E9C-101B-9397-08002B2CF9AE}" pid="3" name="Order">
    <vt:r8>70214800</vt:r8>
  </property>
  <property fmtid="{D5CDD505-2E9C-101B-9397-08002B2CF9AE}" pid="4" name="Owner">
    <vt:lpwstr>ACQSC ACQSCD ACIB Prudential Compliance SN</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TriggerFlowInfo">
    <vt:lpwstr/>
  </property>
  <property fmtid="{D5CDD505-2E9C-101B-9397-08002B2CF9AE}" pid="9" name="xd_Signature">
    <vt:bool>false</vt:bool>
  </property>
  <property fmtid="{D5CDD505-2E9C-101B-9397-08002B2CF9AE}" pid="10" name="RetentionSch">
    <vt:lpwstr>61967</vt:lpwstr>
  </property>
  <property fmtid="{D5CDD505-2E9C-101B-9397-08002B2CF9AE}" pid="11" name="ProvidedACRC">
    <vt:lpwstr>No</vt:lpwstr>
  </property>
  <property fmtid="{D5CDD505-2E9C-101B-9397-08002B2CF9AE}" pid="12" name="UniqueID0">
    <vt:lpwstr>216228992</vt:lpwstr>
  </property>
  <property fmtid="{D5CDD505-2E9C-101B-9397-08002B2CF9AE}" pid="13" name="DOS">
    <vt:lpwstr>A7216228992_Attachment B - 2020-2021 APCS Guidelines - approved.DOCX</vt:lpwstr>
  </property>
  <property fmtid="{D5CDD505-2E9C-101B-9397-08002B2CF9AE}" pid="14" name="MigrationSource">
    <vt:lpwstr>19. ACQSC Docs 10.txt</vt:lpwstr>
  </property>
  <property fmtid="{D5CDD505-2E9C-101B-9397-08002B2CF9AE}" pid="15" name="IMT">
    <vt:lpwstr>application/vnd.openxmlformats-officedocument.wordprocessingml.document</vt:lpwstr>
  </property>
  <property fmtid="{D5CDD505-2E9C-101B-9397-08002B2CF9AE}" pid="16" name="Creator">
    <vt:lpwstr>Todorovski, Laura</vt:lpwstr>
  </property>
  <property fmtid="{D5CDD505-2E9C-101B-9397-08002B2CF9AE}" pid="17" name="FirstPrev">
    <vt:lpwstr>D2021-01609323;</vt:lpwstr>
  </property>
  <property fmtid="{D5CDD505-2E9C-101B-9397-08002B2CF9AE}" pid="18" name="Sec">
    <vt:lpwstr>OFFICIAL</vt:lpwstr>
  </property>
  <property fmtid="{D5CDD505-2E9C-101B-9397-08002B2CF9AE}" pid="19" name="RecordType">
    <vt:lpwstr>Corporate Document</vt:lpwstr>
  </property>
  <property fmtid="{D5CDD505-2E9C-101B-9397-08002B2CF9AE}" pid="20" name="ClassificationContentMarkingHeaderShapeIds">
    <vt:lpwstr>4a109fd,1e6436a1,4d46b091</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317c82fa,7959998c,146b1081</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2026-03-12T00:36:32Z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49c0e9a1-3e7a-4b9c-aae0-03eae6be2868</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y fmtid="{D5CDD505-2E9C-101B-9397-08002B2CF9AE}" pid="34" name="MediaServiceImageTags">
    <vt:lpwstr/>
  </property>
</Properties>
</file>