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1A020" w14:textId="77777777" w:rsidR="00407955" w:rsidRPr="00491111" w:rsidRDefault="00407955" w:rsidP="00016C61"/>
    <w:p w14:paraId="37C1A021" w14:textId="77777777" w:rsidR="00407955" w:rsidRPr="00491111" w:rsidRDefault="00407955" w:rsidP="00016C61"/>
    <w:p w14:paraId="37C1A022" w14:textId="77777777" w:rsidR="00407955" w:rsidRPr="00491111" w:rsidRDefault="00407955" w:rsidP="00016C61"/>
    <w:p w14:paraId="37C1A023" w14:textId="77777777" w:rsidR="00407955" w:rsidRPr="00491111" w:rsidRDefault="00407955" w:rsidP="00016C61"/>
    <w:p w14:paraId="37C1A024" w14:textId="02D18444" w:rsidR="00407955" w:rsidRPr="00491111" w:rsidRDefault="006B0DE5" w:rsidP="00016C61">
      <w:pPr>
        <w:jc w:val="center"/>
      </w:pPr>
      <w:r w:rsidRPr="002E6AEF">
        <w:rPr>
          <w:noProof/>
        </w:rPr>
        <w:drawing>
          <wp:inline distT="0" distB="0" distL="0" distR="0" wp14:anchorId="3ACBDFE6" wp14:editId="0A34F6F5">
            <wp:extent cx="2896819" cy="1559200"/>
            <wp:effectExtent l="0" t="0" r="0" b="3175"/>
            <wp:docPr id="967538384" name="Picture 1" descr="A black and white logo with kangaroos and an emu&#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538384" name="Picture 1" descr="A black and white logo with kangaroos and an emu&#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04533" cy="1563352"/>
                    </a:xfrm>
                    <a:prstGeom prst="rect">
                      <a:avLst/>
                    </a:prstGeom>
                  </pic:spPr>
                </pic:pic>
              </a:graphicData>
            </a:graphic>
          </wp:inline>
        </w:drawing>
      </w:r>
    </w:p>
    <w:p w14:paraId="37C1A025" w14:textId="77777777" w:rsidR="00407955" w:rsidRPr="00491111" w:rsidRDefault="00407955" w:rsidP="00016C61"/>
    <w:p w14:paraId="37C1A026" w14:textId="77777777" w:rsidR="00407955" w:rsidRPr="00491111" w:rsidRDefault="00407955" w:rsidP="00016C61"/>
    <w:p w14:paraId="4E9811B4" w14:textId="3AEC101D" w:rsidR="003169A0" w:rsidRPr="00491111" w:rsidRDefault="001A54A1" w:rsidP="00964E58">
      <w:pPr>
        <w:spacing w:line="360" w:lineRule="auto"/>
        <w:jc w:val="center"/>
        <w:rPr>
          <w:sz w:val="36"/>
          <w:szCs w:val="36"/>
        </w:rPr>
      </w:pPr>
      <w:r w:rsidRPr="00491111">
        <w:rPr>
          <w:sz w:val="36"/>
          <w:szCs w:val="36"/>
        </w:rPr>
        <w:t>Australian Government</w:t>
      </w:r>
    </w:p>
    <w:p w14:paraId="37C1A027" w14:textId="5B4A5B29" w:rsidR="00407955" w:rsidRPr="00491111" w:rsidRDefault="001A54A1" w:rsidP="00964E58">
      <w:pPr>
        <w:spacing w:line="360" w:lineRule="auto"/>
        <w:jc w:val="center"/>
        <w:rPr>
          <w:sz w:val="36"/>
          <w:szCs w:val="36"/>
        </w:rPr>
      </w:pPr>
      <w:r w:rsidRPr="00491111">
        <w:rPr>
          <w:sz w:val="36"/>
          <w:szCs w:val="36"/>
        </w:rPr>
        <w:t>Department of Health</w:t>
      </w:r>
      <w:r w:rsidR="003169A0" w:rsidRPr="00491111">
        <w:rPr>
          <w:sz w:val="36"/>
          <w:szCs w:val="36"/>
        </w:rPr>
        <w:t>, Disability and Ageing</w:t>
      </w:r>
    </w:p>
    <w:p w14:paraId="296B3E63" w14:textId="77777777" w:rsidR="00D60BA5" w:rsidRDefault="00D60BA5" w:rsidP="00D60BA5">
      <w:pPr>
        <w:spacing w:line="360" w:lineRule="auto"/>
        <w:jc w:val="center"/>
        <w:rPr>
          <w:color w:val="000000" w:themeColor="text1"/>
          <w:sz w:val="36"/>
          <w:szCs w:val="36"/>
        </w:rPr>
      </w:pPr>
      <w:r>
        <w:rPr>
          <w:color w:val="000000" w:themeColor="text1"/>
          <w:sz w:val="36"/>
          <w:szCs w:val="36"/>
        </w:rPr>
        <w:t>and</w:t>
      </w:r>
    </w:p>
    <w:p w14:paraId="1245276C" w14:textId="77777777" w:rsidR="00D60BA5" w:rsidRPr="0067729F" w:rsidRDefault="00D60BA5" w:rsidP="00D60BA5">
      <w:pPr>
        <w:spacing w:line="360" w:lineRule="auto"/>
        <w:jc w:val="center"/>
        <w:rPr>
          <w:color w:val="000000" w:themeColor="text1"/>
          <w:sz w:val="36"/>
          <w:szCs w:val="36"/>
        </w:rPr>
      </w:pPr>
      <w:r>
        <w:rPr>
          <w:color w:val="000000" w:themeColor="text1"/>
          <w:sz w:val="36"/>
          <w:szCs w:val="36"/>
        </w:rPr>
        <w:t>Aged Care Quality and Safety Commission</w:t>
      </w:r>
    </w:p>
    <w:p w14:paraId="37C1A028" w14:textId="77777777" w:rsidR="00407955" w:rsidRPr="00491111" w:rsidRDefault="00407955" w:rsidP="00964E58">
      <w:pPr>
        <w:spacing w:line="360" w:lineRule="auto"/>
      </w:pPr>
    </w:p>
    <w:p w14:paraId="37C1A029" w14:textId="77777777" w:rsidR="00407955" w:rsidRPr="00491111" w:rsidRDefault="00407955" w:rsidP="00964E58">
      <w:pPr>
        <w:spacing w:line="360" w:lineRule="auto"/>
      </w:pPr>
    </w:p>
    <w:p w14:paraId="37C1A02A" w14:textId="77777777" w:rsidR="00407955" w:rsidRPr="00491111" w:rsidRDefault="00407955" w:rsidP="00964E58">
      <w:pPr>
        <w:spacing w:line="360" w:lineRule="auto"/>
        <w:jc w:val="center"/>
      </w:pPr>
    </w:p>
    <w:p w14:paraId="37C1A02C" w14:textId="0B3409F4" w:rsidR="00407955" w:rsidRPr="00491111" w:rsidRDefault="001A54A1" w:rsidP="00964E58">
      <w:pPr>
        <w:spacing w:line="360" w:lineRule="auto"/>
        <w:jc w:val="center"/>
        <w:rPr>
          <w:b/>
          <w:bCs/>
          <w:sz w:val="32"/>
          <w:szCs w:val="32"/>
        </w:rPr>
      </w:pPr>
      <w:r w:rsidRPr="00491111">
        <w:rPr>
          <w:b/>
          <w:bCs/>
          <w:sz w:val="32"/>
          <w:szCs w:val="32"/>
        </w:rPr>
        <w:t>Memorandum of Understanding</w:t>
      </w:r>
    </w:p>
    <w:p w14:paraId="37C1A02D" w14:textId="77777777" w:rsidR="00407955" w:rsidRPr="00491111" w:rsidRDefault="00407955" w:rsidP="00964E58">
      <w:pPr>
        <w:spacing w:line="360" w:lineRule="auto"/>
        <w:jc w:val="center"/>
        <w:rPr>
          <w:sz w:val="32"/>
          <w:szCs w:val="32"/>
        </w:rPr>
      </w:pPr>
    </w:p>
    <w:p w14:paraId="37C1A02E" w14:textId="77777777" w:rsidR="00407955" w:rsidRPr="00491111" w:rsidRDefault="001A54A1" w:rsidP="00964E58">
      <w:pPr>
        <w:spacing w:line="360" w:lineRule="auto"/>
        <w:jc w:val="center"/>
        <w:rPr>
          <w:sz w:val="32"/>
          <w:szCs w:val="32"/>
        </w:rPr>
      </w:pPr>
      <w:r w:rsidRPr="00491111">
        <w:rPr>
          <w:sz w:val="32"/>
          <w:szCs w:val="32"/>
        </w:rPr>
        <w:t>between</w:t>
      </w:r>
    </w:p>
    <w:p w14:paraId="37C1A030" w14:textId="77777777" w:rsidR="00407955" w:rsidRPr="00491111" w:rsidRDefault="00407955" w:rsidP="00964E58">
      <w:pPr>
        <w:spacing w:line="360" w:lineRule="auto"/>
        <w:jc w:val="center"/>
        <w:rPr>
          <w:sz w:val="32"/>
          <w:szCs w:val="32"/>
        </w:rPr>
      </w:pPr>
    </w:p>
    <w:p w14:paraId="18BC6FE8" w14:textId="55F30E7A" w:rsidR="003169A0" w:rsidRPr="00491111" w:rsidRDefault="001A54A1" w:rsidP="00964E58">
      <w:pPr>
        <w:spacing w:line="360" w:lineRule="auto"/>
        <w:jc w:val="center"/>
        <w:rPr>
          <w:sz w:val="32"/>
          <w:szCs w:val="32"/>
        </w:rPr>
      </w:pPr>
      <w:r w:rsidRPr="00491111">
        <w:rPr>
          <w:sz w:val="32"/>
          <w:szCs w:val="32"/>
        </w:rPr>
        <w:t>Department of Health</w:t>
      </w:r>
      <w:r w:rsidR="003169A0" w:rsidRPr="00491111">
        <w:rPr>
          <w:sz w:val="32"/>
          <w:szCs w:val="32"/>
        </w:rPr>
        <w:t>, Disability and Ageing</w:t>
      </w:r>
    </w:p>
    <w:p w14:paraId="37C1A031" w14:textId="00ECD538" w:rsidR="00407955" w:rsidRPr="00491111" w:rsidRDefault="001A54A1" w:rsidP="00964E58">
      <w:pPr>
        <w:spacing w:line="360" w:lineRule="auto"/>
        <w:jc w:val="center"/>
        <w:rPr>
          <w:sz w:val="32"/>
          <w:szCs w:val="32"/>
        </w:rPr>
      </w:pPr>
      <w:r w:rsidRPr="00491111">
        <w:rPr>
          <w:sz w:val="32"/>
          <w:szCs w:val="32"/>
        </w:rPr>
        <w:t>and</w:t>
      </w:r>
    </w:p>
    <w:p w14:paraId="37C1A032" w14:textId="77777777" w:rsidR="00407955" w:rsidRPr="00491111" w:rsidRDefault="001A54A1" w:rsidP="00964E58">
      <w:pPr>
        <w:spacing w:line="360" w:lineRule="auto"/>
        <w:jc w:val="center"/>
        <w:rPr>
          <w:sz w:val="32"/>
          <w:szCs w:val="32"/>
        </w:rPr>
      </w:pPr>
      <w:r w:rsidRPr="00491111">
        <w:rPr>
          <w:sz w:val="32"/>
          <w:szCs w:val="32"/>
        </w:rPr>
        <w:t>Aged Care Quality and Safety Commission</w:t>
      </w:r>
    </w:p>
    <w:p w14:paraId="37C1A033" w14:textId="77777777" w:rsidR="00407955" w:rsidRPr="00491111" w:rsidRDefault="00407955" w:rsidP="00964E58">
      <w:pPr>
        <w:spacing w:line="360" w:lineRule="auto"/>
        <w:jc w:val="center"/>
      </w:pPr>
    </w:p>
    <w:p w14:paraId="37C1A034" w14:textId="77777777" w:rsidR="00407955" w:rsidRPr="00491111" w:rsidRDefault="00407955" w:rsidP="00964E58">
      <w:pPr>
        <w:spacing w:line="360" w:lineRule="auto"/>
        <w:jc w:val="center"/>
      </w:pPr>
    </w:p>
    <w:p w14:paraId="37C1A035" w14:textId="77777777" w:rsidR="00407955" w:rsidRPr="00491111" w:rsidRDefault="00407955" w:rsidP="00964E58">
      <w:pPr>
        <w:spacing w:line="360" w:lineRule="auto"/>
        <w:jc w:val="center"/>
      </w:pPr>
    </w:p>
    <w:p w14:paraId="68A5B8F9" w14:textId="5204BC33" w:rsidR="00407955" w:rsidRPr="00491111" w:rsidRDefault="00444656" w:rsidP="00964E58">
      <w:pPr>
        <w:spacing w:line="360" w:lineRule="auto"/>
        <w:jc w:val="center"/>
        <w:rPr>
          <w:sz w:val="28"/>
          <w:szCs w:val="28"/>
        </w:rPr>
      </w:pPr>
      <w:r>
        <w:rPr>
          <w:sz w:val="28"/>
          <w:szCs w:val="28"/>
        </w:rPr>
        <w:t>December</w:t>
      </w:r>
      <w:r w:rsidR="00A81F87" w:rsidRPr="00491111">
        <w:rPr>
          <w:sz w:val="28"/>
          <w:szCs w:val="28"/>
        </w:rPr>
        <w:t xml:space="preserve"> 2025</w:t>
      </w:r>
    </w:p>
    <w:p w14:paraId="37C1A037" w14:textId="3329DDFA" w:rsidR="00461768" w:rsidRPr="00491111" w:rsidRDefault="00461768" w:rsidP="00964E58">
      <w:pPr>
        <w:spacing w:line="360" w:lineRule="auto"/>
        <w:jc w:val="center"/>
        <w:rPr>
          <w:sz w:val="28"/>
          <w:szCs w:val="28"/>
        </w:rPr>
        <w:sectPr w:rsidR="00461768" w:rsidRPr="00491111">
          <w:headerReference w:type="even" r:id="rId12"/>
          <w:headerReference w:type="default" r:id="rId13"/>
          <w:footerReference w:type="even" r:id="rId14"/>
          <w:footerReference w:type="default" r:id="rId15"/>
          <w:headerReference w:type="first" r:id="rId16"/>
          <w:footerReference w:type="first" r:id="rId17"/>
          <w:type w:val="continuous"/>
          <w:pgSz w:w="11910" w:h="16840"/>
          <w:pgMar w:top="1920" w:right="1680" w:bottom="280" w:left="1680" w:header="720" w:footer="720" w:gutter="0"/>
          <w:cols w:space="720"/>
        </w:sectPr>
      </w:pPr>
    </w:p>
    <w:sdt>
      <w:sdtPr>
        <w:rPr>
          <w:rFonts w:ascii="Arial" w:eastAsia="Arial" w:hAnsi="Arial" w:cs="Arial"/>
          <w:color w:val="auto"/>
          <w:sz w:val="19"/>
          <w:szCs w:val="19"/>
        </w:rPr>
        <w:id w:val="1664511730"/>
        <w:docPartObj>
          <w:docPartGallery w:val="Table of Contents"/>
          <w:docPartUnique/>
        </w:docPartObj>
      </w:sdtPr>
      <w:sdtEndPr>
        <w:rPr>
          <w:sz w:val="22"/>
          <w:szCs w:val="22"/>
        </w:rPr>
      </w:sdtEndPr>
      <w:sdtContent>
        <w:p w14:paraId="752B4270" w14:textId="2E44F89F" w:rsidR="00B858EF" w:rsidRPr="00491111" w:rsidRDefault="00B858EF" w:rsidP="00DA20A9">
          <w:pPr>
            <w:pStyle w:val="TOCHeading"/>
            <w:spacing w:line="360" w:lineRule="auto"/>
            <w:rPr>
              <w:rFonts w:ascii="Arial" w:hAnsi="Arial" w:cs="Arial"/>
              <w:b/>
              <w:bCs/>
              <w:color w:val="auto"/>
              <w:sz w:val="24"/>
              <w:szCs w:val="24"/>
            </w:rPr>
          </w:pPr>
          <w:r w:rsidRPr="00491111">
            <w:rPr>
              <w:rFonts w:ascii="Arial" w:hAnsi="Arial" w:cs="Arial"/>
              <w:b/>
              <w:bCs/>
              <w:color w:val="auto"/>
              <w:sz w:val="24"/>
              <w:szCs w:val="24"/>
            </w:rPr>
            <w:t>CONTENTS</w:t>
          </w:r>
        </w:p>
        <w:p w14:paraId="17A0BDB9" w14:textId="4031F356" w:rsidR="00B858EF" w:rsidRPr="00491111" w:rsidRDefault="00B858EF" w:rsidP="00DA20A9">
          <w:pPr>
            <w:pStyle w:val="TOC1"/>
            <w:numPr>
              <w:ilvl w:val="0"/>
              <w:numId w:val="24"/>
            </w:numPr>
            <w:spacing w:line="360" w:lineRule="auto"/>
            <w:rPr>
              <w:sz w:val="22"/>
              <w:szCs w:val="22"/>
            </w:rPr>
          </w:pPr>
          <w:r w:rsidRPr="00491111">
            <w:rPr>
              <w:sz w:val="22"/>
              <w:szCs w:val="22"/>
            </w:rPr>
            <w:t>Introduction</w:t>
          </w:r>
          <w:r w:rsidRPr="00491111">
            <w:rPr>
              <w:sz w:val="22"/>
              <w:szCs w:val="22"/>
            </w:rPr>
            <w:ptab w:relativeTo="margin" w:alignment="right" w:leader="dot"/>
          </w:r>
          <w:r w:rsidR="00DA20A9" w:rsidRPr="00491111">
            <w:rPr>
              <w:sz w:val="22"/>
              <w:szCs w:val="22"/>
            </w:rPr>
            <w:t>3</w:t>
          </w:r>
        </w:p>
        <w:p w14:paraId="5BF91244" w14:textId="58B4DB35" w:rsidR="00B858EF" w:rsidRPr="00491111" w:rsidRDefault="000A2F57" w:rsidP="00DA20A9">
          <w:pPr>
            <w:pStyle w:val="TOC1"/>
            <w:numPr>
              <w:ilvl w:val="0"/>
              <w:numId w:val="24"/>
            </w:numPr>
            <w:spacing w:line="360" w:lineRule="auto"/>
            <w:rPr>
              <w:sz w:val="22"/>
              <w:szCs w:val="22"/>
            </w:rPr>
          </w:pPr>
          <w:r w:rsidRPr="00491111">
            <w:rPr>
              <w:sz w:val="22"/>
              <w:szCs w:val="22"/>
            </w:rPr>
            <w:t>Structure</w:t>
          </w:r>
          <w:r w:rsidRPr="00491111">
            <w:rPr>
              <w:sz w:val="22"/>
              <w:szCs w:val="22"/>
            </w:rPr>
            <w:ptab w:relativeTo="margin" w:alignment="right" w:leader="dot"/>
          </w:r>
          <w:r w:rsidR="00DA20A9" w:rsidRPr="00491111">
            <w:rPr>
              <w:sz w:val="22"/>
              <w:szCs w:val="22"/>
            </w:rPr>
            <w:t>4</w:t>
          </w:r>
        </w:p>
        <w:p w14:paraId="294B5011" w14:textId="06A9EC1A" w:rsidR="004E4E94" w:rsidRPr="00491111" w:rsidRDefault="000A2F57" w:rsidP="00DA20A9">
          <w:pPr>
            <w:pStyle w:val="TOC1"/>
            <w:numPr>
              <w:ilvl w:val="0"/>
              <w:numId w:val="24"/>
            </w:numPr>
            <w:spacing w:line="360" w:lineRule="auto"/>
            <w:rPr>
              <w:sz w:val="22"/>
              <w:szCs w:val="22"/>
            </w:rPr>
          </w:pPr>
          <w:r w:rsidRPr="00491111">
            <w:rPr>
              <w:sz w:val="22"/>
              <w:szCs w:val="22"/>
            </w:rPr>
            <w:t>Purpose and Guiding Principle</w:t>
          </w:r>
          <w:r w:rsidR="004E4E94" w:rsidRPr="00491111">
            <w:rPr>
              <w:sz w:val="22"/>
              <w:szCs w:val="22"/>
            </w:rPr>
            <w:t>s</w:t>
          </w:r>
          <w:r w:rsidR="004E4E94" w:rsidRPr="00491111">
            <w:rPr>
              <w:sz w:val="22"/>
              <w:szCs w:val="22"/>
            </w:rPr>
            <w:ptab w:relativeTo="margin" w:alignment="right" w:leader="dot"/>
          </w:r>
          <w:r w:rsidR="00415DCE">
            <w:rPr>
              <w:sz w:val="22"/>
              <w:szCs w:val="22"/>
            </w:rPr>
            <w:t>4</w:t>
          </w:r>
          <w:r w:rsidR="004E4E94" w:rsidRPr="00491111">
            <w:rPr>
              <w:sz w:val="22"/>
              <w:szCs w:val="22"/>
            </w:rPr>
            <w:t xml:space="preserve"> </w:t>
          </w:r>
        </w:p>
        <w:p w14:paraId="65827656" w14:textId="2A8D267A" w:rsidR="008F3C02" w:rsidRPr="00491111" w:rsidRDefault="004E4E94" w:rsidP="00DA20A9">
          <w:pPr>
            <w:pStyle w:val="TOC1"/>
            <w:numPr>
              <w:ilvl w:val="0"/>
              <w:numId w:val="24"/>
            </w:numPr>
            <w:spacing w:line="360" w:lineRule="auto"/>
            <w:rPr>
              <w:sz w:val="22"/>
              <w:szCs w:val="22"/>
            </w:rPr>
          </w:pPr>
          <w:r w:rsidRPr="00491111">
            <w:rPr>
              <w:sz w:val="22"/>
              <w:szCs w:val="22"/>
            </w:rPr>
            <w:t>The Agreement</w:t>
          </w:r>
          <w:r w:rsidRPr="00491111">
            <w:rPr>
              <w:sz w:val="22"/>
              <w:szCs w:val="22"/>
            </w:rPr>
            <w:ptab w:relativeTo="margin" w:alignment="right" w:leader="dot"/>
          </w:r>
          <w:r w:rsidR="00415DCE">
            <w:rPr>
              <w:sz w:val="22"/>
              <w:szCs w:val="22"/>
            </w:rPr>
            <w:t>6</w:t>
          </w:r>
        </w:p>
        <w:p w14:paraId="6B6A974A" w14:textId="048002F5" w:rsidR="008F3C02" w:rsidRPr="00491111" w:rsidRDefault="008F3C02" w:rsidP="00DA20A9">
          <w:pPr>
            <w:pStyle w:val="TOC1"/>
            <w:numPr>
              <w:ilvl w:val="0"/>
              <w:numId w:val="24"/>
            </w:numPr>
            <w:spacing w:line="360" w:lineRule="auto"/>
            <w:rPr>
              <w:sz w:val="22"/>
              <w:szCs w:val="22"/>
            </w:rPr>
          </w:pPr>
          <w:r w:rsidRPr="00491111">
            <w:rPr>
              <w:sz w:val="22"/>
              <w:szCs w:val="22"/>
            </w:rPr>
            <w:t>Protocols for Communication</w:t>
          </w:r>
          <w:r w:rsidRPr="00491111">
            <w:rPr>
              <w:sz w:val="22"/>
              <w:szCs w:val="22"/>
            </w:rPr>
            <w:ptab w:relativeTo="margin" w:alignment="right" w:leader="dot"/>
          </w:r>
          <w:r w:rsidR="00DA20A9" w:rsidRPr="00491111">
            <w:rPr>
              <w:sz w:val="22"/>
              <w:szCs w:val="22"/>
            </w:rPr>
            <w:t>6</w:t>
          </w:r>
        </w:p>
        <w:p w14:paraId="7E859897" w14:textId="3DFE2B4C" w:rsidR="008F3C02" w:rsidRPr="00491111" w:rsidRDefault="008F3C02" w:rsidP="00DA20A9">
          <w:pPr>
            <w:pStyle w:val="TOC1"/>
            <w:numPr>
              <w:ilvl w:val="0"/>
              <w:numId w:val="24"/>
            </w:numPr>
            <w:spacing w:line="360" w:lineRule="auto"/>
            <w:rPr>
              <w:sz w:val="22"/>
              <w:szCs w:val="22"/>
            </w:rPr>
          </w:pPr>
          <w:r w:rsidRPr="00491111">
            <w:rPr>
              <w:sz w:val="22"/>
              <w:szCs w:val="22"/>
            </w:rPr>
            <w:t>Protocols for Exchange of Information and Data</w:t>
          </w:r>
          <w:r w:rsidRPr="00491111">
            <w:rPr>
              <w:sz w:val="22"/>
              <w:szCs w:val="22"/>
            </w:rPr>
            <w:ptab w:relativeTo="margin" w:alignment="right" w:leader="dot"/>
          </w:r>
          <w:r w:rsidR="00DA20A9" w:rsidRPr="00491111">
            <w:rPr>
              <w:sz w:val="22"/>
              <w:szCs w:val="22"/>
            </w:rPr>
            <w:t>7</w:t>
          </w:r>
        </w:p>
        <w:p w14:paraId="56AE4181" w14:textId="5ACFE896" w:rsidR="008F3C02" w:rsidRPr="00491111" w:rsidRDefault="008F3C02" w:rsidP="00DA20A9">
          <w:pPr>
            <w:pStyle w:val="TOC1"/>
            <w:numPr>
              <w:ilvl w:val="0"/>
              <w:numId w:val="24"/>
            </w:numPr>
            <w:spacing w:line="360" w:lineRule="auto"/>
            <w:rPr>
              <w:sz w:val="22"/>
              <w:szCs w:val="22"/>
            </w:rPr>
          </w:pPr>
          <w:r w:rsidRPr="00491111">
            <w:rPr>
              <w:sz w:val="22"/>
              <w:szCs w:val="22"/>
            </w:rPr>
            <w:t>Roles and Functions of the Department and Commission</w:t>
          </w:r>
          <w:r w:rsidRPr="00491111">
            <w:rPr>
              <w:sz w:val="22"/>
              <w:szCs w:val="22"/>
            </w:rPr>
            <w:ptab w:relativeTo="margin" w:alignment="right" w:leader="dot"/>
          </w:r>
          <w:r w:rsidR="00DA20A9" w:rsidRPr="00491111">
            <w:rPr>
              <w:sz w:val="22"/>
              <w:szCs w:val="22"/>
            </w:rPr>
            <w:t>7</w:t>
          </w:r>
        </w:p>
        <w:p w14:paraId="56B48115" w14:textId="2C8B4D06" w:rsidR="00291C38" w:rsidRPr="00491111" w:rsidRDefault="008F3C02" w:rsidP="00DA20A9">
          <w:pPr>
            <w:pStyle w:val="TOC1"/>
            <w:numPr>
              <w:ilvl w:val="0"/>
              <w:numId w:val="24"/>
            </w:numPr>
            <w:spacing w:line="360" w:lineRule="auto"/>
            <w:rPr>
              <w:sz w:val="22"/>
              <w:szCs w:val="22"/>
            </w:rPr>
          </w:pPr>
          <w:r w:rsidRPr="00491111">
            <w:rPr>
              <w:sz w:val="22"/>
              <w:szCs w:val="22"/>
            </w:rPr>
            <w:t>Schedules to this Agreement</w:t>
          </w:r>
          <w:r w:rsidR="00291C38" w:rsidRPr="00491111">
            <w:rPr>
              <w:sz w:val="22"/>
              <w:szCs w:val="22"/>
            </w:rPr>
            <w:ptab w:relativeTo="margin" w:alignment="right" w:leader="dot"/>
          </w:r>
          <w:r w:rsidR="00BA464D">
            <w:rPr>
              <w:sz w:val="22"/>
              <w:szCs w:val="22"/>
            </w:rPr>
            <w:t>10</w:t>
          </w:r>
        </w:p>
        <w:p w14:paraId="192E2260" w14:textId="66D60782" w:rsidR="00291C38" w:rsidRPr="00491111" w:rsidRDefault="00291C38" w:rsidP="00DA20A9">
          <w:pPr>
            <w:pStyle w:val="TOC1"/>
            <w:numPr>
              <w:ilvl w:val="0"/>
              <w:numId w:val="24"/>
            </w:numPr>
            <w:spacing w:line="360" w:lineRule="auto"/>
            <w:rPr>
              <w:sz w:val="22"/>
              <w:szCs w:val="22"/>
            </w:rPr>
          </w:pPr>
          <w:r w:rsidRPr="00491111">
            <w:rPr>
              <w:sz w:val="22"/>
              <w:szCs w:val="22"/>
            </w:rPr>
            <w:t>Application of this MoU</w:t>
          </w:r>
          <w:r w:rsidRPr="00491111">
            <w:rPr>
              <w:sz w:val="22"/>
              <w:szCs w:val="22"/>
            </w:rPr>
            <w:ptab w:relativeTo="margin" w:alignment="right" w:leader="dot"/>
          </w:r>
          <w:r w:rsidR="00BA464D">
            <w:rPr>
              <w:sz w:val="22"/>
              <w:szCs w:val="22"/>
            </w:rPr>
            <w:t>10</w:t>
          </w:r>
        </w:p>
        <w:p w14:paraId="1F08BB95" w14:textId="6963D9C7" w:rsidR="00291C38" w:rsidRPr="00491111" w:rsidRDefault="00291C38" w:rsidP="00DA20A9">
          <w:pPr>
            <w:pStyle w:val="TOC1"/>
            <w:numPr>
              <w:ilvl w:val="0"/>
              <w:numId w:val="24"/>
            </w:numPr>
            <w:spacing w:line="360" w:lineRule="auto"/>
            <w:rPr>
              <w:sz w:val="22"/>
              <w:szCs w:val="22"/>
            </w:rPr>
          </w:pPr>
          <w:r w:rsidRPr="00491111">
            <w:rPr>
              <w:sz w:val="22"/>
              <w:szCs w:val="22"/>
            </w:rPr>
            <w:t>Variation or Review of General Agreement or a Schedule</w:t>
          </w:r>
          <w:r w:rsidRPr="00491111">
            <w:rPr>
              <w:sz w:val="22"/>
              <w:szCs w:val="22"/>
            </w:rPr>
            <w:ptab w:relativeTo="margin" w:alignment="right" w:leader="dot"/>
          </w:r>
          <w:r w:rsidR="00BA464D">
            <w:rPr>
              <w:sz w:val="22"/>
              <w:szCs w:val="22"/>
            </w:rPr>
            <w:t>10</w:t>
          </w:r>
        </w:p>
        <w:p w14:paraId="1A1791D9" w14:textId="2D8F3D32" w:rsidR="00291C38" w:rsidRPr="00491111" w:rsidRDefault="00291C38" w:rsidP="00DA20A9">
          <w:pPr>
            <w:pStyle w:val="TOC1"/>
            <w:numPr>
              <w:ilvl w:val="0"/>
              <w:numId w:val="24"/>
            </w:numPr>
            <w:spacing w:line="360" w:lineRule="auto"/>
            <w:rPr>
              <w:sz w:val="22"/>
              <w:szCs w:val="22"/>
            </w:rPr>
          </w:pPr>
          <w:r w:rsidRPr="00491111">
            <w:rPr>
              <w:sz w:val="22"/>
              <w:szCs w:val="22"/>
            </w:rPr>
            <w:t>Issues Resolution</w:t>
          </w:r>
          <w:r w:rsidRPr="00491111">
            <w:rPr>
              <w:sz w:val="22"/>
              <w:szCs w:val="22"/>
            </w:rPr>
            <w:ptab w:relativeTo="margin" w:alignment="right" w:leader="dot"/>
          </w:r>
          <w:r w:rsidR="00DA20A9" w:rsidRPr="00491111">
            <w:rPr>
              <w:sz w:val="22"/>
              <w:szCs w:val="22"/>
            </w:rPr>
            <w:t>1</w:t>
          </w:r>
          <w:r w:rsidR="00BA464D">
            <w:rPr>
              <w:sz w:val="22"/>
              <w:szCs w:val="22"/>
            </w:rPr>
            <w:t>1</w:t>
          </w:r>
        </w:p>
        <w:p w14:paraId="2DB4DFC1" w14:textId="7DFE20AC" w:rsidR="00291C38" w:rsidRPr="00491111" w:rsidRDefault="00291C38" w:rsidP="00DA20A9">
          <w:pPr>
            <w:pStyle w:val="TOC1"/>
            <w:numPr>
              <w:ilvl w:val="0"/>
              <w:numId w:val="24"/>
            </w:numPr>
            <w:spacing w:line="360" w:lineRule="auto"/>
            <w:rPr>
              <w:sz w:val="22"/>
              <w:szCs w:val="22"/>
            </w:rPr>
          </w:pPr>
          <w:r w:rsidRPr="00491111">
            <w:rPr>
              <w:sz w:val="22"/>
              <w:szCs w:val="22"/>
            </w:rPr>
            <w:t>Term of MoU</w:t>
          </w:r>
          <w:r w:rsidRPr="00491111">
            <w:rPr>
              <w:sz w:val="22"/>
              <w:szCs w:val="22"/>
            </w:rPr>
            <w:ptab w:relativeTo="margin" w:alignment="right" w:leader="dot"/>
          </w:r>
          <w:r w:rsidR="00DA20A9" w:rsidRPr="00491111">
            <w:rPr>
              <w:sz w:val="22"/>
              <w:szCs w:val="22"/>
            </w:rPr>
            <w:t>1</w:t>
          </w:r>
          <w:r w:rsidR="00BA464D">
            <w:rPr>
              <w:sz w:val="22"/>
              <w:szCs w:val="22"/>
            </w:rPr>
            <w:t>1</w:t>
          </w:r>
        </w:p>
        <w:p w14:paraId="30F97847" w14:textId="21CE5673" w:rsidR="00B858EF" w:rsidRPr="00491111" w:rsidRDefault="00291C38" w:rsidP="00DA20A9">
          <w:pPr>
            <w:pStyle w:val="TOC1"/>
            <w:numPr>
              <w:ilvl w:val="0"/>
              <w:numId w:val="24"/>
            </w:numPr>
            <w:spacing w:line="360" w:lineRule="auto"/>
            <w:rPr>
              <w:sz w:val="22"/>
              <w:szCs w:val="22"/>
            </w:rPr>
          </w:pPr>
          <w:r w:rsidRPr="00491111">
            <w:rPr>
              <w:sz w:val="22"/>
              <w:szCs w:val="22"/>
            </w:rPr>
            <w:t>Signatories</w:t>
          </w:r>
          <w:r w:rsidRPr="00491111">
            <w:rPr>
              <w:sz w:val="22"/>
              <w:szCs w:val="22"/>
            </w:rPr>
            <w:ptab w:relativeTo="margin" w:alignment="right" w:leader="dot"/>
          </w:r>
          <w:r w:rsidR="00DA20A9" w:rsidRPr="00491111">
            <w:rPr>
              <w:sz w:val="22"/>
              <w:szCs w:val="22"/>
            </w:rPr>
            <w:t>1</w:t>
          </w:r>
          <w:r w:rsidR="00BA464D">
            <w:rPr>
              <w:sz w:val="22"/>
              <w:szCs w:val="22"/>
            </w:rPr>
            <w:t>3</w:t>
          </w:r>
          <w:r w:rsidR="008F3C02" w:rsidRPr="00491111">
            <w:rPr>
              <w:sz w:val="22"/>
              <w:szCs w:val="22"/>
            </w:rPr>
            <w:t xml:space="preserve">  </w:t>
          </w:r>
        </w:p>
      </w:sdtContent>
    </w:sdt>
    <w:p w14:paraId="540349F0" w14:textId="18890342" w:rsidR="00F91FC0" w:rsidRPr="00491111" w:rsidRDefault="00F91FC0" w:rsidP="00F91FC0">
      <w:pPr>
        <w:rPr>
          <w:b/>
          <w:bCs/>
        </w:rPr>
      </w:pPr>
    </w:p>
    <w:p w14:paraId="7475B0EC" w14:textId="47CAAB73" w:rsidR="00F91FC0" w:rsidRPr="00491111" w:rsidRDefault="00F91FC0" w:rsidP="00F91FC0">
      <w:pPr>
        <w:tabs>
          <w:tab w:val="left" w:pos="1117"/>
        </w:tabs>
      </w:pPr>
      <w:r w:rsidRPr="00491111">
        <w:tab/>
      </w:r>
    </w:p>
    <w:p w14:paraId="5CD4AF94" w14:textId="77777777" w:rsidR="00F91FC0" w:rsidRPr="00491111" w:rsidRDefault="00F91FC0">
      <w:pPr>
        <w:rPr>
          <w:b/>
          <w:bCs/>
          <w:sz w:val="24"/>
          <w:szCs w:val="24"/>
        </w:rPr>
      </w:pPr>
      <w:r w:rsidRPr="00491111">
        <w:rPr>
          <w:b/>
          <w:bCs/>
          <w:sz w:val="24"/>
          <w:szCs w:val="24"/>
        </w:rPr>
        <w:br w:type="page"/>
      </w:r>
    </w:p>
    <w:p w14:paraId="37C1A047" w14:textId="262F7E3E" w:rsidR="00407955" w:rsidRPr="00491111" w:rsidRDefault="001A54A1" w:rsidP="00F91FC0">
      <w:pPr>
        <w:tabs>
          <w:tab w:val="left" w:pos="1117"/>
        </w:tabs>
        <w:rPr>
          <w:b/>
          <w:bCs/>
          <w:sz w:val="24"/>
          <w:szCs w:val="24"/>
        </w:rPr>
      </w:pPr>
      <w:r w:rsidRPr="00491111">
        <w:rPr>
          <w:b/>
          <w:bCs/>
          <w:sz w:val="24"/>
          <w:szCs w:val="24"/>
        </w:rPr>
        <w:lastRenderedPageBreak/>
        <w:t>GENERAL AGREEMENT</w:t>
      </w:r>
    </w:p>
    <w:p w14:paraId="37C1A049" w14:textId="77777777" w:rsidR="00407955" w:rsidRPr="00491111" w:rsidRDefault="00407955" w:rsidP="009570CE">
      <w:pPr>
        <w:spacing w:line="360" w:lineRule="auto"/>
      </w:pPr>
    </w:p>
    <w:p w14:paraId="37C1A04A" w14:textId="1322CFF1" w:rsidR="00407955" w:rsidRPr="00491111" w:rsidRDefault="001A54A1" w:rsidP="002E6AEF">
      <w:pPr>
        <w:pStyle w:val="NewSectionHeading"/>
        <w:ind w:left="851" w:hanging="851"/>
      </w:pPr>
      <w:bookmarkStart w:id="0" w:name="_TOC_250000"/>
      <w:bookmarkEnd w:id="0"/>
      <w:r w:rsidRPr="00491111">
        <w:t>Introduction</w:t>
      </w:r>
    </w:p>
    <w:p w14:paraId="5A431DB3" w14:textId="63DB4A23" w:rsidR="007A4DB9" w:rsidRPr="00491111" w:rsidRDefault="001A54A1" w:rsidP="000E1E86">
      <w:pPr>
        <w:pStyle w:val="ListParagraph"/>
        <w:numPr>
          <w:ilvl w:val="1"/>
          <w:numId w:val="13"/>
        </w:numPr>
        <w:spacing w:before="135" w:line="360" w:lineRule="auto"/>
      </w:pPr>
      <w:r w:rsidRPr="00491111">
        <w:t>This Memorandum of Understanding (MoU) has been jointly developed and endorsed by the Department of Health</w:t>
      </w:r>
      <w:r w:rsidR="00116DCE" w:rsidRPr="00491111">
        <w:t>, Disability, and Ageing’s</w:t>
      </w:r>
      <w:r w:rsidRPr="00491111">
        <w:t xml:space="preserve"> (the Department) Ageing and Aged Care Group</w:t>
      </w:r>
      <w:r w:rsidR="00000AC7" w:rsidRPr="00491111">
        <w:t xml:space="preserve"> (AACG)</w:t>
      </w:r>
      <w:r w:rsidRPr="00491111">
        <w:t xml:space="preserve"> and the Aged Care Quality and Safety Commission (the Commission). It recognises and supports both the separate roles and responsibilities of each agency, and the many linked functions and responsibilities of both agencies.</w:t>
      </w:r>
    </w:p>
    <w:p w14:paraId="3310C98D" w14:textId="77777777" w:rsidR="007A4DB9" w:rsidRPr="00491111" w:rsidRDefault="001A54A1" w:rsidP="000E1E86">
      <w:pPr>
        <w:pStyle w:val="ListParagraph"/>
        <w:numPr>
          <w:ilvl w:val="1"/>
          <w:numId w:val="13"/>
        </w:numPr>
        <w:spacing w:before="135" w:line="360" w:lineRule="auto"/>
      </w:pPr>
      <w:r w:rsidRPr="00491111">
        <w:t>The purpose of this MoU is to support both agencies working together to advance the Australian Government's a</w:t>
      </w:r>
      <w:r w:rsidR="00DA0266" w:rsidRPr="00491111">
        <w:t>i</w:t>
      </w:r>
      <w:r w:rsidRPr="00491111">
        <w:t xml:space="preserve">ms relating to the aged care portfolio with a shared </w:t>
      </w:r>
      <w:r w:rsidR="00E5303F" w:rsidRPr="00491111">
        <w:t>intention</w:t>
      </w:r>
      <w:r w:rsidRPr="00491111">
        <w:t xml:space="preserve"> and purpose.</w:t>
      </w:r>
    </w:p>
    <w:p w14:paraId="4D38D60C" w14:textId="77777777" w:rsidR="007A4DB9" w:rsidRPr="00491111" w:rsidRDefault="001A54A1" w:rsidP="000E1E86">
      <w:pPr>
        <w:pStyle w:val="ListParagraph"/>
        <w:numPr>
          <w:ilvl w:val="1"/>
          <w:numId w:val="13"/>
        </w:numPr>
        <w:spacing w:before="135" w:line="360" w:lineRule="auto"/>
      </w:pPr>
      <w:r w:rsidRPr="00491111">
        <w:t>The success of this MoU will be evidenced through improved collaboration and improved clarity in relation to individual and shared responsibilities.</w:t>
      </w:r>
    </w:p>
    <w:p w14:paraId="175F1B65" w14:textId="48778756" w:rsidR="007A4DB9" w:rsidRPr="00491111" w:rsidRDefault="00000BFA" w:rsidP="000E1E86">
      <w:pPr>
        <w:pStyle w:val="ListParagraph"/>
        <w:numPr>
          <w:ilvl w:val="1"/>
          <w:numId w:val="13"/>
        </w:numPr>
        <w:spacing w:before="135" w:line="360" w:lineRule="auto"/>
      </w:pPr>
      <w:r w:rsidRPr="00491111">
        <w:t xml:space="preserve">As </w:t>
      </w:r>
      <w:r w:rsidR="003A025A" w:rsidRPr="00491111">
        <w:t xml:space="preserve">defined </w:t>
      </w:r>
      <w:r w:rsidRPr="00491111">
        <w:t xml:space="preserve">in </w:t>
      </w:r>
      <w:r w:rsidR="003A025A" w:rsidRPr="00491111">
        <w:t xml:space="preserve">section 7 of </w:t>
      </w:r>
      <w:r w:rsidRPr="00491111">
        <w:t xml:space="preserve">the </w:t>
      </w:r>
      <w:r w:rsidRPr="00491111">
        <w:rPr>
          <w:i/>
          <w:iCs/>
        </w:rPr>
        <w:t>Aged Care Act 2024</w:t>
      </w:r>
      <w:r w:rsidR="00B905C8" w:rsidRPr="00491111">
        <w:rPr>
          <w:i/>
          <w:iCs/>
        </w:rPr>
        <w:t xml:space="preserve"> </w:t>
      </w:r>
      <w:r w:rsidR="00B905C8" w:rsidRPr="00491111">
        <w:t>(the Act)</w:t>
      </w:r>
      <w:r w:rsidRPr="00491111">
        <w:t xml:space="preserve">, the </w:t>
      </w:r>
      <w:r w:rsidR="00BE1104" w:rsidRPr="00491111">
        <w:t xml:space="preserve">Secretary of the </w:t>
      </w:r>
      <w:r w:rsidR="001A54A1" w:rsidRPr="00491111">
        <w:t xml:space="preserve">Department </w:t>
      </w:r>
      <w:r w:rsidR="00AA210C" w:rsidRPr="00491111">
        <w:t>is the System Governor of the aged care system</w:t>
      </w:r>
      <w:r w:rsidR="00BE1104" w:rsidRPr="00491111">
        <w:t xml:space="preserve">. The Department </w:t>
      </w:r>
      <w:r w:rsidR="00760B0C" w:rsidRPr="00491111">
        <w:t>supports the System Governor’s function</w:t>
      </w:r>
      <w:r w:rsidR="52E9CADA" w:rsidRPr="00491111">
        <w:t>s</w:t>
      </w:r>
      <w:r w:rsidR="00760B0C" w:rsidRPr="00491111">
        <w:t>, outlined in section 339 of the Act</w:t>
      </w:r>
      <w:r w:rsidR="007E25B9" w:rsidRPr="00491111">
        <w:t xml:space="preserve">, through </w:t>
      </w:r>
      <w:r w:rsidR="001A54A1" w:rsidRPr="00491111">
        <w:t xml:space="preserve">policy and program management </w:t>
      </w:r>
      <w:r w:rsidR="00BE1104" w:rsidRPr="00491111">
        <w:t xml:space="preserve">and assurance </w:t>
      </w:r>
      <w:r w:rsidR="001A54A1" w:rsidRPr="00491111">
        <w:t>responsibility for</w:t>
      </w:r>
      <w:r w:rsidR="0069630E" w:rsidRPr="00491111">
        <w:t xml:space="preserve"> the</w:t>
      </w:r>
      <w:r w:rsidR="001A54A1" w:rsidRPr="00491111">
        <w:t xml:space="preserve"> aged care</w:t>
      </w:r>
      <w:r w:rsidR="0069630E" w:rsidRPr="00491111">
        <w:t xml:space="preserve"> sector</w:t>
      </w:r>
      <w:r w:rsidR="001A54A1" w:rsidRPr="00491111">
        <w:t>. This includes developing and supporting the legislative and regulatory framework and supporting funding arrangements (and proper use of funds by providers) for Commonwealth funded aged care services. The Department also supports the stewardship and delivery of aged care and health programs through a strong network of regional offices.</w:t>
      </w:r>
    </w:p>
    <w:p w14:paraId="304C7FBC" w14:textId="41E560CD" w:rsidR="001D4D17" w:rsidRPr="00491111" w:rsidRDefault="001A54A1" w:rsidP="000E1E86">
      <w:pPr>
        <w:pStyle w:val="ListParagraph"/>
        <w:numPr>
          <w:ilvl w:val="1"/>
          <w:numId w:val="13"/>
        </w:numPr>
        <w:spacing w:before="135" w:line="360" w:lineRule="auto"/>
      </w:pPr>
      <w:r w:rsidRPr="00491111">
        <w:t>The Commission is an independent statutory agency pursuant to the</w:t>
      </w:r>
      <w:r w:rsidR="005A03DF" w:rsidRPr="00491111">
        <w:t xml:space="preserve"> Act</w:t>
      </w:r>
      <w:r w:rsidR="002B24D8" w:rsidRPr="00491111">
        <w:t xml:space="preserve"> </w:t>
      </w:r>
      <w:r w:rsidRPr="00491111">
        <w:t xml:space="preserve">and </w:t>
      </w:r>
      <w:r w:rsidR="00C20A78" w:rsidRPr="00491111">
        <w:t xml:space="preserve">the </w:t>
      </w:r>
      <w:r w:rsidRPr="00491111">
        <w:rPr>
          <w:i/>
          <w:iCs/>
        </w:rPr>
        <w:t>Public Governance, Performance and Accountability Act 2013</w:t>
      </w:r>
      <w:r w:rsidRPr="00491111">
        <w:t xml:space="preserve"> (PGPA Act). The </w:t>
      </w:r>
      <w:r w:rsidR="00C20A78" w:rsidRPr="00491111">
        <w:t>Act establishes</w:t>
      </w:r>
      <w:r w:rsidR="00D805D5" w:rsidRPr="00491111">
        <w:t xml:space="preserve"> the Appointed Commissioner (defined in section 7 as the Commissioner or Complaints Commissioner) as </w:t>
      </w:r>
      <w:r w:rsidR="00834E98" w:rsidRPr="00491111">
        <w:t>a statutory position</w:t>
      </w:r>
      <w:r w:rsidR="00D805D5" w:rsidRPr="00491111">
        <w:t xml:space="preserve"> and confers specific functions on each position.</w:t>
      </w:r>
    </w:p>
    <w:p w14:paraId="646C3648" w14:textId="48257E48" w:rsidR="00A957A9" w:rsidRPr="00491111" w:rsidRDefault="001D4D17" w:rsidP="000E1E86">
      <w:pPr>
        <w:pStyle w:val="ListParagraph"/>
        <w:numPr>
          <w:ilvl w:val="2"/>
          <w:numId w:val="13"/>
        </w:numPr>
        <w:spacing w:before="135" w:line="360" w:lineRule="auto"/>
        <w:ind w:left="1418"/>
      </w:pPr>
      <w:r w:rsidRPr="00491111">
        <w:t>The Commissioner is the accountable authority for the Commission and the Head of the Statutory Agency</w:t>
      </w:r>
      <w:r w:rsidR="18279AB7" w:rsidRPr="00491111">
        <w:t xml:space="preserve"> and is </w:t>
      </w:r>
      <w:r w:rsidRPr="00491111">
        <w:t xml:space="preserve">responsible for the administration and management </w:t>
      </w:r>
      <w:r w:rsidR="007835ED" w:rsidRPr="00491111">
        <w:t>of the Commission</w:t>
      </w:r>
      <w:r w:rsidR="720169D6" w:rsidRPr="00491111">
        <w:t xml:space="preserve">. The Commissioner’s functions under section 348 of the Act </w:t>
      </w:r>
      <w:r w:rsidR="39CFCBE8" w:rsidRPr="00491111">
        <w:t>include</w:t>
      </w:r>
      <w:r w:rsidR="40162D16" w:rsidRPr="00491111">
        <w:t xml:space="preserve"> safeguarding individuals accessing funded aged care services</w:t>
      </w:r>
      <w:r w:rsidR="06A36649" w:rsidRPr="00491111">
        <w:t xml:space="preserve"> (including through undertaking regulatory action)</w:t>
      </w:r>
      <w:r w:rsidR="40162D16" w:rsidRPr="00491111">
        <w:t>,</w:t>
      </w:r>
      <w:r w:rsidR="008A67D4" w:rsidRPr="00491111">
        <w:t xml:space="preserve"> educating and engaging with </w:t>
      </w:r>
      <w:r w:rsidR="560DEC50" w:rsidRPr="00491111">
        <w:t xml:space="preserve">older people and regulated entities, as well as </w:t>
      </w:r>
      <w:r w:rsidR="00A957A9" w:rsidRPr="00491111">
        <w:t xml:space="preserve">the registration of providers. </w:t>
      </w:r>
    </w:p>
    <w:p w14:paraId="3375AE30" w14:textId="1FEDB5CA" w:rsidR="0088798D" w:rsidRPr="00491111" w:rsidRDefault="001B593E" w:rsidP="000E1E86">
      <w:pPr>
        <w:pStyle w:val="ListParagraph"/>
        <w:numPr>
          <w:ilvl w:val="2"/>
          <w:numId w:val="13"/>
        </w:numPr>
        <w:spacing w:before="135" w:line="360" w:lineRule="auto"/>
        <w:ind w:left="1418"/>
      </w:pPr>
      <w:r w:rsidRPr="00491111">
        <w:t>The Complaints Commissioner is primarily responsible for the complaints function as per section 358 of the Act. This includes dealing with complaints and feedback received by the Commission</w:t>
      </w:r>
      <w:r w:rsidR="0099384F" w:rsidRPr="00491111">
        <w:t xml:space="preserve"> about the</w:t>
      </w:r>
      <w:r w:rsidR="730FA210" w:rsidRPr="00491111">
        <w:t xml:space="preserve"> compliance of regulated </w:t>
      </w:r>
      <w:r w:rsidR="0B208CB1" w:rsidRPr="00491111">
        <w:t>entities</w:t>
      </w:r>
      <w:r w:rsidR="730FA210" w:rsidRPr="00491111">
        <w:t xml:space="preserve"> with their </w:t>
      </w:r>
      <w:r w:rsidR="730FA210" w:rsidRPr="00491111">
        <w:lastRenderedPageBreak/>
        <w:t xml:space="preserve">obligations under the Act, or </w:t>
      </w:r>
      <w:r w:rsidR="6B976B06" w:rsidRPr="00491111">
        <w:t>about registered provider</w:t>
      </w:r>
      <w:r w:rsidR="798409EE" w:rsidRPr="00491111">
        <w:t>s</w:t>
      </w:r>
      <w:r w:rsidR="6B976B06" w:rsidRPr="00491111">
        <w:t xml:space="preserve"> acting in a way that is incompatible with the Statement of Rights.</w:t>
      </w:r>
    </w:p>
    <w:p w14:paraId="0F0612D9" w14:textId="337567A1" w:rsidR="6553C075" w:rsidRPr="00491111" w:rsidRDefault="6553C075" w:rsidP="000E1E86">
      <w:pPr>
        <w:pStyle w:val="ListParagraph"/>
        <w:numPr>
          <w:ilvl w:val="2"/>
          <w:numId w:val="13"/>
        </w:numPr>
        <w:spacing w:before="135" w:line="360" w:lineRule="auto"/>
        <w:ind w:left="1418"/>
        <w:rPr>
          <w:color w:val="000000" w:themeColor="text1"/>
        </w:rPr>
      </w:pPr>
      <w:r w:rsidRPr="0024078D">
        <w:rPr>
          <w:color w:val="000000" w:themeColor="text1"/>
        </w:rPr>
        <w:t>A more detailed account of the Appointed Commissioners’ functions can be found at Schedule 3 of this Agreement.</w:t>
      </w:r>
    </w:p>
    <w:p w14:paraId="00B161C3" w14:textId="60BFBD16" w:rsidR="007A4DB9" w:rsidRPr="00491111" w:rsidRDefault="0088798D" w:rsidP="000E1E86">
      <w:pPr>
        <w:pStyle w:val="ListParagraph"/>
        <w:numPr>
          <w:ilvl w:val="1"/>
          <w:numId w:val="13"/>
        </w:numPr>
        <w:spacing w:before="135" w:line="360" w:lineRule="auto"/>
      </w:pPr>
      <w:r w:rsidRPr="00491111">
        <w:t>The Commission’s function is to support</w:t>
      </w:r>
      <w:r w:rsidR="00F23A91" w:rsidRPr="00491111">
        <w:t xml:space="preserve"> the Appointed Commissioners </w:t>
      </w:r>
      <w:r w:rsidR="10EDF891" w:rsidRPr="00491111">
        <w:t>in the performance of their respective functions.</w:t>
      </w:r>
      <w:r w:rsidR="00B51E06" w:rsidRPr="00491111">
        <w:t xml:space="preserve"> </w:t>
      </w:r>
      <w:r w:rsidR="001B593E" w:rsidRPr="00491111">
        <w:t xml:space="preserve"> </w:t>
      </w:r>
    </w:p>
    <w:p w14:paraId="37C1A05D" w14:textId="4F16B054" w:rsidR="00407955" w:rsidRPr="00491111" w:rsidRDefault="001A54A1" w:rsidP="000E1E86">
      <w:pPr>
        <w:pStyle w:val="ListParagraph"/>
        <w:numPr>
          <w:ilvl w:val="1"/>
          <w:numId w:val="13"/>
        </w:numPr>
        <w:spacing w:before="135" w:line="360" w:lineRule="auto"/>
      </w:pPr>
      <w:r>
        <w:t>This MoU recognises the important roles that the Department and the Commission play in providing assurance for service quality, protecting the interests and safety of older people receiving Commonwealth funded aged care, identifying and managing risk, and working together on the implementation of the reforms</w:t>
      </w:r>
      <w:r w:rsidR="00D461C9">
        <w:t xml:space="preserve">. </w:t>
      </w:r>
      <w:r w:rsidR="0092122E">
        <w:t>Both</w:t>
      </w:r>
      <w:r w:rsidR="00B7380E">
        <w:t xml:space="preserve"> agencies</w:t>
      </w:r>
      <w:r w:rsidR="00D461C9">
        <w:t xml:space="preserve"> recognise that following commencement of the Act</w:t>
      </w:r>
      <w:r w:rsidR="00D461C9" w:rsidRPr="00B82E2A">
        <w:t>, much of the reform agenda</w:t>
      </w:r>
      <w:r w:rsidR="00D461C9">
        <w:t xml:space="preserve"> will transition to business as usual (BAU) practice and operations for both agencies. </w:t>
      </w:r>
    </w:p>
    <w:p w14:paraId="37C1A05E" w14:textId="05AAC71E" w:rsidR="00407955" w:rsidRPr="00491111" w:rsidRDefault="001A54A1" w:rsidP="000E1E86">
      <w:pPr>
        <w:pStyle w:val="ListParagraph"/>
        <w:numPr>
          <w:ilvl w:val="1"/>
          <w:numId w:val="13"/>
        </w:numPr>
        <w:spacing w:before="135" w:line="360" w:lineRule="auto"/>
      </w:pPr>
      <w:r w:rsidRPr="00491111">
        <w:t>This MoU builds on the work supported by both the Department and the Commission through earlier agreements.</w:t>
      </w:r>
    </w:p>
    <w:p w14:paraId="37C1A05F" w14:textId="6D0867E5" w:rsidR="00407955" w:rsidRPr="00491111" w:rsidRDefault="001A54A1" w:rsidP="000E1E86">
      <w:pPr>
        <w:pStyle w:val="ListParagraph"/>
        <w:numPr>
          <w:ilvl w:val="1"/>
          <w:numId w:val="13"/>
        </w:numPr>
        <w:spacing w:before="135" w:line="360" w:lineRule="auto"/>
      </w:pPr>
      <w:r w:rsidRPr="00491111">
        <w:t>This MoU describes the way that both agencies will work together in accordance with legislative requirements and administrative arrangements. Current respective responsibilities are set out in the</w:t>
      </w:r>
      <w:r w:rsidR="00951AEF" w:rsidRPr="00491111">
        <w:t xml:space="preserve"> Act </w:t>
      </w:r>
      <w:r w:rsidR="00B01883" w:rsidRPr="00491111">
        <w:t xml:space="preserve">and its subordinate legislation. </w:t>
      </w:r>
    </w:p>
    <w:p w14:paraId="37C1A061" w14:textId="69087BA7" w:rsidR="00407955" w:rsidRPr="00491111" w:rsidRDefault="001A54A1" w:rsidP="000E1E86">
      <w:pPr>
        <w:pStyle w:val="ListParagraph"/>
        <w:numPr>
          <w:ilvl w:val="1"/>
          <w:numId w:val="13"/>
        </w:numPr>
        <w:spacing w:before="135" w:line="360" w:lineRule="auto"/>
      </w:pPr>
      <w:r w:rsidRPr="00491111">
        <w:t xml:space="preserve">This MoU is not </w:t>
      </w:r>
      <w:r w:rsidRPr="00491111" w:rsidDel="001A54A1">
        <w:t>legally</w:t>
      </w:r>
      <w:r w:rsidR="5DDE4B97" w:rsidRPr="00491111">
        <w:t xml:space="preserve"> binding</w:t>
      </w:r>
      <w:r w:rsidRPr="00491111">
        <w:t xml:space="preserve"> but represents the jointly agreed expectations and arrangements for engagement, as well as exchanging information to ensure each agency is able to discharge their responsibilities effectively. It aims to build on an existing strong </w:t>
      </w:r>
      <w:bookmarkStart w:id="1" w:name="_bookmark0"/>
      <w:bookmarkEnd w:id="1"/>
      <w:r w:rsidRPr="00491111">
        <w:t>foundation of communication between the two agencies.</w:t>
      </w:r>
    </w:p>
    <w:p w14:paraId="1C3ADA05" w14:textId="77777777" w:rsidR="00A16CB2" w:rsidRPr="00491111" w:rsidRDefault="00A16CB2" w:rsidP="009570CE">
      <w:pPr>
        <w:spacing w:line="360" w:lineRule="auto"/>
      </w:pPr>
    </w:p>
    <w:p w14:paraId="37C1A062" w14:textId="77777777" w:rsidR="00407955" w:rsidRPr="00491111" w:rsidRDefault="001A54A1" w:rsidP="00026B7E">
      <w:pPr>
        <w:pStyle w:val="ListParagraph"/>
        <w:numPr>
          <w:ilvl w:val="0"/>
          <w:numId w:val="13"/>
        </w:numPr>
        <w:spacing w:line="360" w:lineRule="auto"/>
        <w:ind w:left="851" w:hanging="851"/>
        <w:rPr>
          <w:b/>
          <w:bCs/>
          <w:sz w:val="24"/>
          <w:szCs w:val="24"/>
        </w:rPr>
      </w:pPr>
      <w:r w:rsidRPr="00491111">
        <w:rPr>
          <w:b/>
          <w:bCs/>
          <w:sz w:val="24"/>
          <w:szCs w:val="24"/>
        </w:rPr>
        <w:t>Structure</w:t>
      </w:r>
    </w:p>
    <w:p w14:paraId="37C1A063" w14:textId="0CBCC4B8" w:rsidR="00407955" w:rsidRPr="00491111" w:rsidRDefault="001A54A1" w:rsidP="000E1E86">
      <w:pPr>
        <w:pStyle w:val="ListParagraph"/>
        <w:numPr>
          <w:ilvl w:val="1"/>
          <w:numId w:val="13"/>
        </w:numPr>
        <w:spacing w:before="135" w:line="360" w:lineRule="auto"/>
      </w:pPr>
      <w:r w:rsidRPr="00491111">
        <w:t>This MoU consists of</w:t>
      </w:r>
      <w:r w:rsidR="00F52F86" w:rsidRPr="00491111">
        <w:t xml:space="preserve">: </w:t>
      </w:r>
    </w:p>
    <w:p w14:paraId="37C1A064" w14:textId="556477C1" w:rsidR="00407955" w:rsidRPr="00491111" w:rsidRDefault="001A54A1" w:rsidP="000E1E86">
      <w:pPr>
        <w:pStyle w:val="ListParagraph"/>
        <w:numPr>
          <w:ilvl w:val="0"/>
          <w:numId w:val="15"/>
        </w:numPr>
        <w:spacing w:before="135" w:line="360" w:lineRule="auto"/>
      </w:pPr>
      <w:r w:rsidRPr="00491111">
        <w:t>Part 1</w:t>
      </w:r>
      <w:r w:rsidR="01AB7B20" w:rsidRPr="00491111">
        <w:t xml:space="preserve"> </w:t>
      </w:r>
      <w:r w:rsidRPr="00491111">
        <w:t xml:space="preserve">- the General Agreement which includes the </w:t>
      </w:r>
      <w:r w:rsidR="000B49F2" w:rsidRPr="00491111">
        <w:t>p</w:t>
      </w:r>
      <w:r w:rsidR="001C25F7" w:rsidRPr="00491111">
        <w:t>ur</w:t>
      </w:r>
      <w:r w:rsidR="000B49F2" w:rsidRPr="00491111">
        <w:t>pose</w:t>
      </w:r>
      <w:r w:rsidRPr="00491111">
        <w:t xml:space="preserve"> of the MoU and the principles that govern its operation, and</w:t>
      </w:r>
    </w:p>
    <w:p w14:paraId="62CA3BB8" w14:textId="74AD9D7B" w:rsidR="00A16CB2" w:rsidRPr="00491111" w:rsidRDefault="001A54A1" w:rsidP="000E1E86">
      <w:pPr>
        <w:pStyle w:val="ListParagraph"/>
        <w:numPr>
          <w:ilvl w:val="0"/>
          <w:numId w:val="15"/>
        </w:numPr>
        <w:spacing w:before="135" w:line="360" w:lineRule="auto"/>
      </w:pPr>
      <w:r w:rsidRPr="00491111">
        <w:t>Part 2 - Schedules to the General Agreement which set out specific operational arrangements across four areas of shared responsibility.</w:t>
      </w:r>
    </w:p>
    <w:p w14:paraId="6424933F" w14:textId="77777777" w:rsidR="00E20517" w:rsidRPr="00491111" w:rsidRDefault="00E20517" w:rsidP="009570CE">
      <w:pPr>
        <w:spacing w:line="360" w:lineRule="auto"/>
      </w:pPr>
    </w:p>
    <w:p w14:paraId="37C1A067" w14:textId="7EBD202E" w:rsidR="00407955" w:rsidRPr="00491111" w:rsidRDefault="000B49F2" w:rsidP="00026B7E">
      <w:pPr>
        <w:pStyle w:val="ListParagraph"/>
        <w:numPr>
          <w:ilvl w:val="0"/>
          <w:numId w:val="13"/>
        </w:numPr>
        <w:spacing w:line="360" w:lineRule="auto"/>
        <w:ind w:left="851" w:hanging="851"/>
        <w:rPr>
          <w:b/>
          <w:bCs/>
          <w:sz w:val="24"/>
          <w:szCs w:val="24"/>
        </w:rPr>
      </w:pPr>
      <w:bookmarkStart w:id="2" w:name="_bookmark1"/>
      <w:bookmarkEnd w:id="2"/>
      <w:r w:rsidRPr="00491111">
        <w:rPr>
          <w:b/>
          <w:bCs/>
          <w:sz w:val="24"/>
          <w:szCs w:val="24"/>
        </w:rPr>
        <w:t>Purpose</w:t>
      </w:r>
      <w:r w:rsidR="001A54A1" w:rsidRPr="00491111">
        <w:rPr>
          <w:b/>
          <w:bCs/>
          <w:sz w:val="24"/>
          <w:szCs w:val="24"/>
        </w:rPr>
        <w:t xml:space="preserve"> and Guiding Principles</w:t>
      </w:r>
    </w:p>
    <w:p w14:paraId="37C1A068" w14:textId="64AD3010" w:rsidR="00407955" w:rsidRPr="00491111" w:rsidRDefault="001A54A1" w:rsidP="00E3434C">
      <w:pPr>
        <w:pStyle w:val="ListParagraph"/>
        <w:numPr>
          <w:ilvl w:val="1"/>
          <w:numId w:val="13"/>
        </w:numPr>
        <w:spacing w:before="135" w:line="360" w:lineRule="auto"/>
      </w:pPr>
      <w:r w:rsidRPr="00491111">
        <w:t xml:space="preserve">The MoU's </w:t>
      </w:r>
      <w:r w:rsidR="00043CB0" w:rsidRPr="00491111">
        <w:t>purpose</w:t>
      </w:r>
      <w:r w:rsidRPr="00491111">
        <w:t xml:space="preserve"> is to support the Department and the Commission to undertake their statutory functions effectively through</w:t>
      </w:r>
      <w:r w:rsidR="00F05FD4">
        <w:t xml:space="preserve"> </w:t>
      </w:r>
      <w:r w:rsidR="00B843A0">
        <w:t xml:space="preserve">establishing </w:t>
      </w:r>
      <w:r w:rsidR="00F05FD4">
        <w:t>clarity of respective scope,</w:t>
      </w:r>
      <w:r w:rsidRPr="00491111">
        <w:t xml:space="preserve"> </w:t>
      </w:r>
      <w:r w:rsidR="00CA49D6">
        <w:t xml:space="preserve">arrangements </w:t>
      </w:r>
      <w:r w:rsidR="00CA49D6">
        <w:lastRenderedPageBreak/>
        <w:t xml:space="preserve">for </w:t>
      </w:r>
      <w:r w:rsidRPr="00491111">
        <w:t>the exchange of information and regular engagement.</w:t>
      </w:r>
    </w:p>
    <w:p w14:paraId="37C1A069" w14:textId="7AAF3DC0" w:rsidR="00407955" w:rsidRPr="00491111" w:rsidRDefault="001A54A1" w:rsidP="00E3434C">
      <w:pPr>
        <w:pStyle w:val="ListParagraph"/>
        <w:numPr>
          <w:ilvl w:val="1"/>
          <w:numId w:val="13"/>
        </w:numPr>
        <w:spacing w:before="135" w:line="360" w:lineRule="auto"/>
      </w:pPr>
      <w:r w:rsidRPr="00491111">
        <w:t>This MoU</w:t>
      </w:r>
      <w:r w:rsidR="005D2EB2" w:rsidRPr="00491111">
        <w:t xml:space="preserve"> </w:t>
      </w:r>
      <w:r w:rsidRPr="00491111">
        <w:t>will achieve th</w:t>
      </w:r>
      <w:r w:rsidR="005D2EB2" w:rsidRPr="00491111">
        <w:t>is</w:t>
      </w:r>
      <w:r w:rsidRPr="00491111">
        <w:t xml:space="preserve"> by:</w:t>
      </w:r>
    </w:p>
    <w:p w14:paraId="5F3B386E" w14:textId="77777777" w:rsidR="0039034D" w:rsidRPr="00491111" w:rsidRDefault="001A54A1" w:rsidP="00E3434C">
      <w:pPr>
        <w:pStyle w:val="ListParagraph"/>
        <w:numPr>
          <w:ilvl w:val="0"/>
          <w:numId w:val="16"/>
        </w:numPr>
        <w:spacing w:before="135" w:line="360" w:lineRule="auto"/>
      </w:pPr>
      <w:r w:rsidRPr="00491111">
        <w:t>clearly articulating roles and responsibilities in relation to strategic and operational arrangements</w:t>
      </w:r>
      <w:r w:rsidR="0039034D" w:rsidRPr="00491111">
        <w:t xml:space="preserve">, </w:t>
      </w:r>
    </w:p>
    <w:p w14:paraId="5098DCE6" w14:textId="037B7C99" w:rsidR="0039034D" w:rsidRPr="00491111" w:rsidRDefault="001A54A1" w:rsidP="00E3434C">
      <w:pPr>
        <w:pStyle w:val="ListParagraph"/>
        <w:numPr>
          <w:ilvl w:val="0"/>
          <w:numId w:val="16"/>
        </w:numPr>
        <w:spacing w:before="135" w:line="360" w:lineRule="auto"/>
      </w:pPr>
      <w:r w:rsidRPr="00491111">
        <w:t>supporting timely engagement and liaison between the Department and the Commission to support these roles</w:t>
      </w:r>
      <w:r w:rsidR="0039034D" w:rsidRPr="00491111">
        <w:t xml:space="preserve">, </w:t>
      </w:r>
    </w:p>
    <w:p w14:paraId="400D5368" w14:textId="2A6435C3" w:rsidR="0039034D" w:rsidRPr="00491111" w:rsidRDefault="001A54A1" w:rsidP="00E3434C">
      <w:pPr>
        <w:pStyle w:val="ListParagraph"/>
        <w:numPr>
          <w:ilvl w:val="0"/>
          <w:numId w:val="16"/>
        </w:numPr>
        <w:spacing w:before="135" w:line="360" w:lineRule="auto"/>
      </w:pPr>
      <w:r w:rsidRPr="00491111">
        <w:t xml:space="preserve">clearly describing arrangements for collaboration on communication </w:t>
      </w:r>
      <w:r w:rsidR="008009C1" w:rsidRPr="00491111">
        <w:t xml:space="preserve">and </w:t>
      </w:r>
      <w:r w:rsidRPr="00491111">
        <w:t>sector education activities</w:t>
      </w:r>
      <w:r w:rsidR="0039034D" w:rsidRPr="00491111">
        <w:t xml:space="preserve">, </w:t>
      </w:r>
    </w:p>
    <w:p w14:paraId="0ADBD8FE" w14:textId="77777777" w:rsidR="0039034D" w:rsidRPr="00491111" w:rsidRDefault="001A54A1" w:rsidP="00E3434C">
      <w:pPr>
        <w:pStyle w:val="ListParagraph"/>
        <w:numPr>
          <w:ilvl w:val="0"/>
          <w:numId w:val="16"/>
        </w:numPr>
        <w:spacing w:before="135" w:line="360" w:lineRule="auto"/>
      </w:pPr>
      <w:r w:rsidRPr="00491111">
        <w:t xml:space="preserve">describing </w:t>
      </w:r>
      <w:r w:rsidR="003635AE" w:rsidRPr="00491111">
        <w:t xml:space="preserve">broad </w:t>
      </w:r>
      <w:r w:rsidRPr="00491111">
        <w:t>data and information exchange protocols necessary to effectively undertake respective functions, and</w:t>
      </w:r>
    </w:p>
    <w:p w14:paraId="37C1A06E" w14:textId="2F131A11" w:rsidR="00407955" w:rsidRPr="00491111" w:rsidRDefault="001A54A1" w:rsidP="00E3434C">
      <w:pPr>
        <w:pStyle w:val="ListParagraph"/>
        <w:numPr>
          <w:ilvl w:val="0"/>
          <w:numId w:val="16"/>
        </w:numPr>
        <w:spacing w:before="135" w:line="360" w:lineRule="auto"/>
      </w:pPr>
      <w:r w:rsidRPr="00491111">
        <w:t>providing avenues for resolution of difficulties or any conflicts of interest that may arise.</w:t>
      </w:r>
    </w:p>
    <w:p w14:paraId="6FB91066" w14:textId="7AE37A37" w:rsidR="0028085C" w:rsidRPr="00491111" w:rsidRDefault="001A54A1" w:rsidP="00E3434C">
      <w:pPr>
        <w:pStyle w:val="ListParagraph"/>
        <w:numPr>
          <w:ilvl w:val="1"/>
          <w:numId w:val="13"/>
        </w:numPr>
        <w:spacing w:before="135" w:line="360" w:lineRule="auto"/>
      </w:pPr>
      <w:r w:rsidRPr="00491111">
        <w:t>The guiding principles for this MoU are that the Department and the Commission will:</w:t>
      </w:r>
    </w:p>
    <w:p w14:paraId="27E106B3" w14:textId="77777777" w:rsidR="0039034D" w:rsidRPr="00491111" w:rsidRDefault="001A54A1" w:rsidP="00E3434C">
      <w:pPr>
        <w:pStyle w:val="ListParagraph"/>
        <w:numPr>
          <w:ilvl w:val="0"/>
          <w:numId w:val="17"/>
        </w:numPr>
        <w:spacing w:before="135" w:line="360" w:lineRule="auto"/>
      </w:pPr>
      <w:r w:rsidRPr="00491111">
        <w:t>prioritise a positive and collaborative inter-agency relationship with mutually observed behavioural expectations of respect, openness and transparency, accountability, understanding and recognition of the role of each agency consistent with the Australian Public Service Values</w:t>
      </w:r>
      <w:r w:rsidR="0039034D" w:rsidRPr="00491111">
        <w:t xml:space="preserve">, </w:t>
      </w:r>
    </w:p>
    <w:p w14:paraId="659BD8CE" w14:textId="77777777" w:rsidR="0039034D" w:rsidRPr="00491111" w:rsidRDefault="001A54A1" w:rsidP="00E3434C">
      <w:pPr>
        <w:pStyle w:val="ListParagraph"/>
        <w:numPr>
          <w:ilvl w:val="0"/>
          <w:numId w:val="17"/>
        </w:numPr>
        <w:spacing w:before="135" w:line="360" w:lineRule="auto"/>
      </w:pPr>
      <w:r w:rsidRPr="00491111">
        <w:t>use experience to inform and support continuous improvement and a commitment to</w:t>
      </w:r>
      <w:r w:rsidR="0028085C" w:rsidRPr="00491111">
        <w:t xml:space="preserve"> </w:t>
      </w:r>
      <w:r w:rsidRPr="00491111">
        <w:t>learning</w:t>
      </w:r>
      <w:r w:rsidR="0039034D" w:rsidRPr="00491111">
        <w:t xml:space="preserve">, </w:t>
      </w:r>
    </w:p>
    <w:p w14:paraId="01522316" w14:textId="77777777" w:rsidR="0039034D" w:rsidRPr="00491111" w:rsidRDefault="001A54A1" w:rsidP="00E3434C">
      <w:pPr>
        <w:pStyle w:val="ListParagraph"/>
        <w:numPr>
          <w:ilvl w:val="0"/>
          <w:numId w:val="17"/>
        </w:numPr>
        <w:spacing w:before="135" w:line="360" w:lineRule="auto"/>
      </w:pPr>
      <w:r w:rsidRPr="00491111">
        <w:t>ensure all staff recognise and respect the strategic context and operating pressures of each agency</w:t>
      </w:r>
      <w:r w:rsidR="0039034D" w:rsidRPr="00491111">
        <w:t xml:space="preserve">, </w:t>
      </w:r>
    </w:p>
    <w:p w14:paraId="58F43430" w14:textId="77777777" w:rsidR="0039034D" w:rsidRPr="00491111" w:rsidRDefault="001A54A1" w:rsidP="00E3434C">
      <w:pPr>
        <w:pStyle w:val="ListParagraph"/>
        <w:numPr>
          <w:ilvl w:val="0"/>
          <w:numId w:val="17"/>
        </w:numPr>
        <w:spacing w:before="135" w:line="360" w:lineRule="auto"/>
      </w:pPr>
      <w:r w:rsidRPr="00491111">
        <w:t>always have regard to their legislative and authorising environment, an</w:t>
      </w:r>
      <w:r w:rsidR="00C63984" w:rsidRPr="00491111">
        <w:t>d</w:t>
      </w:r>
    </w:p>
    <w:p w14:paraId="37C1A076" w14:textId="617ECFBB" w:rsidR="00407955" w:rsidRPr="00491111" w:rsidRDefault="00712349" w:rsidP="00E3434C">
      <w:pPr>
        <w:pStyle w:val="ListParagraph"/>
        <w:numPr>
          <w:ilvl w:val="0"/>
          <w:numId w:val="17"/>
        </w:numPr>
        <w:spacing w:before="135" w:line="360" w:lineRule="auto"/>
      </w:pPr>
      <w:r w:rsidRPr="00491111">
        <w:t xml:space="preserve">support the timely exchange of information </w:t>
      </w:r>
      <w:r w:rsidR="001A54A1" w:rsidRPr="00491111">
        <w:t xml:space="preserve">and establish processes that support the Department </w:t>
      </w:r>
      <w:r w:rsidR="000F540F" w:rsidRPr="00491111">
        <w:t xml:space="preserve">and </w:t>
      </w:r>
      <w:r w:rsidR="001A54A1" w:rsidRPr="00491111">
        <w:t>the Commission to undertake their statutory functions effectively, and to understand emerging risks.</w:t>
      </w:r>
    </w:p>
    <w:p w14:paraId="0E59D3E3" w14:textId="25A177EB" w:rsidR="00ED6CBB" w:rsidRPr="00491111" w:rsidRDefault="001A54A1" w:rsidP="00E3434C">
      <w:pPr>
        <w:pStyle w:val="ListParagraph"/>
        <w:numPr>
          <w:ilvl w:val="1"/>
          <w:numId w:val="13"/>
        </w:numPr>
        <w:spacing w:before="135" w:line="360" w:lineRule="auto"/>
      </w:pPr>
      <w:r w:rsidRPr="00491111">
        <w:t>This</w:t>
      </w:r>
      <w:r w:rsidR="00F00205" w:rsidRPr="00491111">
        <w:t xml:space="preserve"> </w:t>
      </w:r>
      <w:r w:rsidRPr="00491111">
        <w:t>Mo</w:t>
      </w:r>
      <w:r w:rsidR="000D22C8" w:rsidRPr="00491111">
        <w:t>U</w:t>
      </w:r>
      <w:r w:rsidRPr="00491111">
        <w:t xml:space="preserve"> </w:t>
      </w:r>
      <w:r w:rsidR="007C2FDF" w:rsidRPr="00491111" w:rsidDel="0024200F">
        <w:t>does not prohibit</w:t>
      </w:r>
      <w:r w:rsidR="007C2FDF" w:rsidRPr="00491111">
        <w:t xml:space="preserve"> either </w:t>
      </w:r>
      <w:r w:rsidRPr="00491111">
        <w:t xml:space="preserve">agency from engaging or developing further </w:t>
      </w:r>
      <w:r w:rsidR="00CC10F0" w:rsidRPr="00491111">
        <w:t>short</w:t>
      </w:r>
      <w:r w:rsidR="00384385" w:rsidRPr="00491111">
        <w:t>-</w:t>
      </w:r>
      <w:r w:rsidR="00CC10F0" w:rsidRPr="00491111">
        <w:t xml:space="preserve">term </w:t>
      </w:r>
      <w:r w:rsidRPr="00491111">
        <w:t>partnership agreements, linkages or projects external to this MoU.</w:t>
      </w:r>
      <w:r w:rsidR="007C2FDF" w:rsidRPr="00491111">
        <w:t xml:space="preserve"> </w:t>
      </w:r>
      <w:r w:rsidR="00B470FA">
        <w:t xml:space="preserve">Both agencies </w:t>
      </w:r>
      <w:r w:rsidR="007C2FDF" w:rsidRPr="00491111">
        <w:t xml:space="preserve">recognise that </w:t>
      </w:r>
      <w:r w:rsidR="009F751D" w:rsidRPr="00491111">
        <w:t>teams across agencies will have or may develop individual agreements and processes specific to their</w:t>
      </w:r>
      <w:r w:rsidR="00F25C60" w:rsidRPr="00491111">
        <w:t xml:space="preserve"> programs of work. </w:t>
      </w:r>
    </w:p>
    <w:p w14:paraId="3D4EFFA8" w14:textId="36950812" w:rsidR="003B4990" w:rsidRPr="00491111" w:rsidRDefault="00734E6C" w:rsidP="00E3434C">
      <w:pPr>
        <w:pStyle w:val="ListParagraph"/>
        <w:numPr>
          <w:ilvl w:val="2"/>
          <w:numId w:val="13"/>
        </w:numPr>
        <w:spacing w:before="135" w:line="360" w:lineRule="auto"/>
        <w:ind w:left="1418"/>
      </w:pPr>
      <w:r w:rsidRPr="00491111">
        <w:t>Where</w:t>
      </w:r>
      <w:r w:rsidR="003309AA" w:rsidRPr="00491111">
        <w:t xml:space="preserve"> short</w:t>
      </w:r>
      <w:r w:rsidR="00384385" w:rsidRPr="00491111">
        <w:t>-</w:t>
      </w:r>
      <w:r w:rsidR="003309AA" w:rsidRPr="00491111">
        <w:t xml:space="preserve">term, </w:t>
      </w:r>
      <w:r w:rsidR="005367B4" w:rsidRPr="00491111">
        <w:t>individual agreements</w:t>
      </w:r>
      <w:r w:rsidR="00EA1844" w:rsidRPr="00491111">
        <w:t xml:space="preserve"> or projects</w:t>
      </w:r>
      <w:r w:rsidR="005367B4" w:rsidRPr="00491111">
        <w:t xml:space="preserve"> are established external</w:t>
      </w:r>
      <w:r w:rsidR="00F52EE5" w:rsidRPr="00491111">
        <w:t>ly</w:t>
      </w:r>
      <w:r w:rsidR="005367B4" w:rsidRPr="00491111">
        <w:t xml:space="preserve"> to the MoU, </w:t>
      </w:r>
      <w:r w:rsidR="00CB6747" w:rsidRPr="00491111">
        <w:t xml:space="preserve">it is a joint expectation of </w:t>
      </w:r>
      <w:r w:rsidR="003B7A25">
        <w:t xml:space="preserve">both agencies </w:t>
      </w:r>
      <w:r w:rsidR="00CB6747" w:rsidRPr="00491111">
        <w:t>that</w:t>
      </w:r>
      <w:r w:rsidR="0040678B" w:rsidRPr="00491111">
        <w:t xml:space="preserve"> the</w:t>
      </w:r>
      <w:r w:rsidR="003B7A25">
        <w:t xml:space="preserve"> guiding</w:t>
      </w:r>
      <w:r w:rsidR="0040678B" w:rsidRPr="00491111">
        <w:t xml:space="preserve"> principles described by th</w:t>
      </w:r>
      <w:r w:rsidR="003B7A25">
        <w:t xml:space="preserve">is </w:t>
      </w:r>
      <w:r w:rsidR="00252B2C">
        <w:t>Part</w:t>
      </w:r>
      <w:r w:rsidR="003B7A25">
        <w:t xml:space="preserve"> also apply</w:t>
      </w:r>
      <w:r w:rsidR="003309AA" w:rsidRPr="00491111">
        <w:t xml:space="preserve"> to </w:t>
      </w:r>
      <w:r w:rsidR="00BF435F">
        <w:t>such agreements or projects</w:t>
      </w:r>
      <w:r w:rsidRPr="00491111">
        <w:t>.</w:t>
      </w:r>
      <w:r w:rsidR="003309AA" w:rsidRPr="00491111">
        <w:t xml:space="preserve"> </w:t>
      </w:r>
      <w:r w:rsidR="00CB6747" w:rsidRPr="00491111">
        <w:t xml:space="preserve"> </w:t>
      </w:r>
    </w:p>
    <w:p w14:paraId="229C5D37" w14:textId="77777777" w:rsidR="00BC4891" w:rsidRPr="00491111" w:rsidRDefault="00BC4891" w:rsidP="009570CE">
      <w:pPr>
        <w:spacing w:line="360" w:lineRule="auto"/>
      </w:pPr>
    </w:p>
    <w:p w14:paraId="37C1A07A" w14:textId="77777777" w:rsidR="00407955" w:rsidRPr="00491111" w:rsidRDefault="001A54A1" w:rsidP="00026B7E">
      <w:pPr>
        <w:pStyle w:val="ListParagraph"/>
        <w:numPr>
          <w:ilvl w:val="0"/>
          <w:numId w:val="13"/>
        </w:numPr>
        <w:spacing w:line="360" w:lineRule="auto"/>
        <w:ind w:left="851" w:hanging="851"/>
        <w:rPr>
          <w:b/>
          <w:bCs/>
          <w:sz w:val="24"/>
          <w:szCs w:val="24"/>
        </w:rPr>
      </w:pPr>
      <w:bookmarkStart w:id="3" w:name="_bookmark2"/>
      <w:bookmarkEnd w:id="3"/>
      <w:r w:rsidRPr="00491111">
        <w:rPr>
          <w:b/>
          <w:bCs/>
          <w:sz w:val="24"/>
          <w:szCs w:val="24"/>
        </w:rPr>
        <w:t>The Agreement</w:t>
      </w:r>
    </w:p>
    <w:p w14:paraId="37C1A07B" w14:textId="11E290B3" w:rsidR="00407955" w:rsidRPr="00491111" w:rsidRDefault="001A54A1" w:rsidP="00E3434C">
      <w:pPr>
        <w:pStyle w:val="ListParagraph"/>
        <w:numPr>
          <w:ilvl w:val="1"/>
          <w:numId w:val="13"/>
        </w:numPr>
        <w:spacing w:before="135" w:line="360" w:lineRule="auto"/>
      </w:pPr>
      <w:r w:rsidRPr="00491111">
        <w:t>The Department and the Commission agree that:</w:t>
      </w:r>
    </w:p>
    <w:p w14:paraId="37C1A07C" w14:textId="3E823488" w:rsidR="00407955" w:rsidRPr="00491111" w:rsidRDefault="001A54A1" w:rsidP="00E3434C">
      <w:pPr>
        <w:pStyle w:val="ListParagraph"/>
        <w:numPr>
          <w:ilvl w:val="0"/>
          <w:numId w:val="18"/>
        </w:numPr>
        <w:spacing w:before="135" w:line="360" w:lineRule="auto"/>
      </w:pPr>
      <w:r w:rsidRPr="00491111">
        <w:t>communication and information exchange are based on the principle of openness and transparency to achieve shared aims within the aged care portfolio</w:t>
      </w:r>
    </w:p>
    <w:p w14:paraId="37C1A07D" w14:textId="24262E28" w:rsidR="00407955" w:rsidRPr="00491111" w:rsidRDefault="001A54A1" w:rsidP="00E3434C">
      <w:pPr>
        <w:pStyle w:val="ListParagraph"/>
        <w:numPr>
          <w:ilvl w:val="0"/>
          <w:numId w:val="18"/>
        </w:numPr>
        <w:spacing w:before="135" w:line="360" w:lineRule="auto"/>
      </w:pPr>
      <w:r w:rsidRPr="00491111">
        <w:t>communication will occur at a national and regional level</w:t>
      </w:r>
      <w:r w:rsidR="005301ED" w:rsidRPr="00491111">
        <w:t xml:space="preserve"> </w:t>
      </w:r>
    </w:p>
    <w:p w14:paraId="37C1A07E" w14:textId="2091E895" w:rsidR="00407955" w:rsidRPr="00491111" w:rsidRDefault="001A54A1" w:rsidP="00E3434C">
      <w:pPr>
        <w:pStyle w:val="ListParagraph"/>
        <w:numPr>
          <w:ilvl w:val="0"/>
          <w:numId w:val="18"/>
        </w:numPr>
        <w:spacing w:before="135" w:line="360" w:lineRule="auto"/>
      </w:pPr>
      <w:r w:rsidRPr="00491111">
        <w:t xml:space="preserve">information exchange will be consistent with the applicable law or policies pertaining to </w:t>
      </w:r>
      <w:r w:rsidR="4AFF6AC2" w:rsidRPr="00491111">
        <w:t xml:space="preserve">protection of </w:t>
      </w:r>
      <w:r w:rsidRPr="00491111">
        <w:t>information</w:t>
      </w:r>
      <w:r w:rsidR="14163751" w:rsidRPr="00491111">
        <w:t>,</w:t>
      </w:r>
      <w:r w:rsidR="390D6047" w:rsidRPr="00491111">
        <w:t xml:space="preserve"> </w:t>
      </w:r>
      <w:r w:rsidRPr="00491111">
        <w:t>handling, secrecy, confidentiality and privacy</w:t>
      </w:r>
      <w:r w:rsidR="005301ED" w:rsidRPr="00491111">
        <w:t xml:space="preserve"> </w:t>
      </w:r>
    </w:p>
    <w:p w14:paraId="37C1A07F" w14:textId="1894682F" w:rsidR="00407955" w:rsidRPr="00491111" w:rsidRDefault="001A54A1" w:rsidP="00E3434C">
      <w:pPr>
        <w:pStyle w:val="ListParagraph"/>
        <w:numPr>
          <w:ilvl w:val="0"/>
          <w:numId w:val="18"/>
        </w:numPr>
        <w:spacing w:before="135" w:line="360" w:lineRule="auto"/>
      </w:pPr>
      <w:r w:rsidRPr="00491111">
        <w:t>communication of changes to policy, legislation,</w:t>
      </w:r>
      <w:r w:rsidR="00902501" w:rsidRPr="00491111">
        <w:t xml:space="preserve"> </w:t>
      </w:r>
      <w:r w:rsidRPr="00491111">
        <w:t>technology and personnel that could affect the way in which functions may be undertaken will be provided in a timely way</w:t>
      </w:r>
      <w:r w:rsidR="005301ED" w:rsidRPr="00491111">
        <w:t xml:space="preserve"> </w:t>
      </w:r>
    </w:p>
    <w:p w14:paraId="37C1A080" w14:textId="56E928B6" w:rsidR="00407955" w:rsidRPr="00491111" w:rsidRDefault="001A54A1" w:rsidP="00E3434C">
      <w:pPr>
        <w:pStyle w:val="ListParagraph"/>
        <w:numPr>
          <w:ilvl w:val="0"/>
          <w:numId w:val="18"/>
        </w:numPr>
        <w:spacing w:before="135" w:line="360" w:lineRule="auto"/>
      </w:pPr>
      <w:r w:rsidRPr="00491111">
        <w:t xml:space="preserve">coordinated advice to government will be timely. Where information cannot be shared in accordance with the MoU principles due to restrictions in secrecy or privacy legislation, or </w:t>
      </w:r>
      <w:r w:rsidR="005301ED" w:rsidRPr="00491111">
        <w:t>i</w:t>
      </w:r>
      <w:r w:rsidRPr="00491111">
        <w:t xml:space="preserve">f a conflict of interest or sensitive matter arises, each agency will inform </w:t>
      </w:r>
      <w:r w:rsidR="000F6AD8" w:rsidRPr="00491111">
        <w:t xml:space="preserve">the </w:t>
      </w:r>
      <w:r w:rsidRPr="00491111">
        <w:t xml:space="preserve">other about why information </w:t>
      </w:r>
      <w:r w:rsidR="001C1BD1" w:rsidRPr="00491111">
        <w:t>i</w:t>
      </w:r>
      <w:r w:rsidRPr="00491111">
        <w:t>s not able to be shared</w:t>
      </w:r>
      <w:r w:rsidR="005301ED" w:rsidRPr="00491111">
        <w:t xml:space="preserve"> </w:t>
      </w:r>
    </w:p>
    <w:p w14:paraId="37C1A081" w14:textId="427F34D0" w:rsidR="00407955" w:rsidRPr="00491111" w:rsidRDefault="001A54A1" w:rsidP="00E3434C">
      <w:pPr>
        <w:pStyle w:val="ListParagraph"/>
        <w:numPr>
          <w:ilvl w:val="0"/>
          <w:numId w:val="18"/>
        </w:numPr>
        <w:spacing w:before="135" w:line="360" w:lineRule="auto"/>
      </w:pPr>
      <w:r w:rsidRPr="00491111">
        <w:t xml:space="preserve">each agency will, wherever possible, avoid duplicating the other's resources and efforts, and will </w:t>
      </w:r>
      <w:r w:rsidR="000D41D6" w:rsidRPr="00491111">
        <w:t xml:space="preserve">refer </w:t>
      </w:r>
      <w:r w:rsidRPr="00491111">
        <w:t xml:space="preserve">to each other for information and data in their respective areas of expertise, </w:t>
      </w:r>
      <w:r w:rsidR="005301ED" w:rsidRPr="00491111">
        <w:t>and</w:t>
      </w:r>
      <w:r w:rsidR="00B65456" w:rsidRPr="00491111">
        <w:t>,</w:t>
      </w:r>
      <w:r w:rsidR="005301ED" w:rsidRPr="00491111">
        <w:t xml:space="preserve"> </w:t>
      </w:r>
    </w:p>
    <w:p w14:paraId="37C1A082" w14:textId="51B55683" w:rsidR="00407955" w:rsidRPr="00491111" w:rsidRDefault="001A54A1" w:rsidP="00E3434C">
      <w:pPr>
        <w:pStyle w:val="ListParagraph"/>
        <w:numPr>
          <w:ilvl w:val="0"/>
          <w:numId w:val="18"/>
        </w:numPr>
        <w:spacing w:before="135" w:line="360" w:lineRule="auto"/>
      </w:pPr>
      <w:r w:rsidRPr="00491111">
        <w:t>legal advice regarding the interpretation of each other's legislation will take place in accordance with the Legal Services Directions 2017.</w:t>
      </w:r>
    </w:p>
    <w:p w14:paraId="37C1A084" w14:textId="572C943D" w:rsidR="00407955" w:rsidRPr="00491111" w:rsidRDefault="001A54A1" w:rsidP="00E3434C">
      <w:pPr>
        <w:pStyle w:val="ListParagraph"/>
        <w:numPr>
          <w:ilvl w:val="1"/>
          <w:numId w:val="13"/>
        </w:numPr>
        <w:spacing w:before="135" w:line="360" w:lineRule="auto"/>
      </w:pPr>
      <w:r w:rsidRPr="00491111">
        <w:t>The Agreement will be overseen by the Joint Strategic Committee (JSC) including processes</w:t>
      </w:r>
      <w:r w:rsidR="00AA76FC" w:rsidRPr="00491111">
        <w:t xml:space="preserve"> </w:t>
      </w:r>
      <w:r w:rsidRPr="00491111">
        <w:t>for review, implementation, and escalated issues resolution.</w:t>
      </w:r>
    </w:p>
    <w:p w14:paraId="37C1A086" w14:textId="77777777" w:rsidR="00407955" w:rsidRPr="00491111" w:rsidRDefault="00407955" w:rsidP="009570CE">
      <w:pPr>
        <w:spacing w:line="360" w:lineRule="auto"/>
      </w:pPr>
    </w:p>
    <w:p w14:paraId="37C1A087" w14:textId="77777777" w:rsidR="00407955" w:rsidRPr="00491111" w:rsidRDefault="001A54A1" w:rsidP="00026B7E">
      <w:pPr>
        <w:pStyle w:val="ListParagraph"/>
        <w:numPr>
          <w:ilvl w:val="0"/>
          <w:numId w:val="13"/>
        </w:numPr>
        <w:spacing w:line="360" w:lineRule="auto"/>
        <w:ind w:left="851" w:hanging="851"/>
        <w:rPr>
          <w:b/>
          <w:bCs/>
          <w:sz w:val="24"/>
          <w:szCs w:val="24"/>
        </w:rPr>
      </w:pPr>
      <w:bookmarkStart w:id="4" w:name="_bookmark3"/>
      <w:bookmarkEnd w:id="4"/>
      <w:r w:rsidRPr="00491111">
        <w:rPr>
          <w:b/>
          <w:bCs/>
          <w:sz w:val="24"/>
          <w:szCs w:val="24"/>
        </w:rPr>
        <w:t>Protocols for Communication</w:t>
      </w:r>
    </w:p>
    <w:p w14:paraId="37C1A089" w14:textId="2519F10C" w:rsidR="00407955" w:rsidRPr="00491111" w:rsidRDefault="001A54A1" w:rsidP="00E3434C">
      <w:pPr>
        <w:pStyle w:val="ListParagraph"/>
        <w:numPr>
          <w:ilvl w:val="1"/>
          <w:numId w:val="13"/>
        </w:numPr>
        <w:spacing w:before="135" w:line="360" w:lineRule="auto"/>
      </w:pPr>
      <w:r w:rsidRPr="00491111">
        <w:t xml:space="preserve">This MoU supports the timely and ongoing communication between the </w:t>
      </w:r>
      <w:r w:rsidR="004B4D5A" w:rsidRPr="00491111">
        <w:t xml:space="preserve">Department and the </w:t>
      </w:r>
      <w:r w:rsidRPr="00491111">
        <w:t>Commission to optimise outcomes for older people in Australia.</w:t>
      </w:r>
    </w:p>
    <w:p w14:paraId="3D5BE5E8" w14:textId="701A3008" w:rsidR="00B720D3" w:rsidRPr="00491111" w:rsidRDefault="00B720D3" w:rsidP="00E3434C">
      <w:pPr>
        <w:pStyle w:val="ListParagraph"/>
        <w:numPr>
          <w:ilvl w:val="1"/>
          <w:numId w:val="13"/>
        </w:numPr>
        <w:spacing w:before="135" w:line="360" w:lineRule="auto"/>
      </w:pPr>
      <w:r w:rsidRPr="00491111">
        <w:t xml:space="preserve">Cross-agency </w:t>
      </w:r>
      <w:r w:rsidR="004D7EBF" w:rsidRPr="00491111">
        <w:t>communication will occur</w:t>
      </w:r>
      <w:r w:rsidRPr="00491111">
        <w:t xml:space="preserve">: </w:t>
      </w:r>
    </w:p>
    <w:p w14:paraId="37C1A08C" w14:textId="3D9DA783" w:rsidR="00407955" w:rsidRPr="00491111" w:rsidRDefault="001A54A1" w:rsidP="00E3434C">
      <w:pPr>
        <w:pStyle w:val="ListParagraph"/>
        <w:numPr>
          <w:ilvl w:val="0"/>
          <w:numId w:val="19"/>
        </w:numPr>
        <w:spacing w:before="135" w:line="360" w:lineRule="auto"/>
      </w:pPr>
      <w:r w:rsidRPr="00491111">
        <w:t xml:space="preserve">nationally at a strategic level to discuss issues, exchange information and report on trends and emerging </w:t>
      </w:r>
      <w:r w:rsidR="004560BB" w:rsidRPr="00491111">
        <w:t>i</w:t>
      </w:r>
      <w:r w:rsidRPr="00491111">
        <w:t>ssues through the monthly JSC meetings</w:t>
      </w:r>
      <w:r w:rsidR="006E76BC" w:rsidRPr="00491111">
        <w:t xml:space="preserve">, and </w:t>
      </w:r>
    </w:p>
    <w:p w14:paraId="457BC610" w14:textId="3ACA3BBE" w:rsidR="006E76BC" w:rsidRPr="00491111" w:rsidRDefault="001A54A1" w:rsidP="00E3434C">
      <w:pPr>
        <w:pStyle w:val="ListParagraph"/>
        <w:numPr>
          <w:ilvl w:val="0"/>
          <w:numId w:val="19"/>
        </w:numPr>
        <w:spacing w:before="135" w:line="360" w:lineRule="auto"/>
      </w:pPr>
      <w:r w:rsidRPr="00491111">
        <w:t xml:space="preserve">at the regional, state or territory level to facilitate engagement and </w:t>
      </w:r>
      <w:r w:rsidR="004D057F" w:rsidRPr="00491111">
        <w:t>i</w:t>
      </w:r>
      <w:r w:rsidRPr="00491111">
        <w:t>nformation exchange</w:t>
      </w:r>
      <w:r w:rsidR="006E76BC" w:rsidRPr="00491111">
        <w:t xml:space="preserve">, </w:t>
      </w:r>
    </w:p>
    <w:p w14:paraId="37C1A091" w14:textId="3CF87A60" w:rsidR="00407955" w:rsidRPr="00491111" w:rsidRDefault="001A54A1" w:rsidP="00E3434C">
      <w:pPr>
        <w:pStyle w:val="ListParagraph"/>
        <w:numPr>
          <w:ilvl w:val="0"/>
          <w:numId w:val="19"/>
        </w:numPr>
        <w:spacing w:before="135" w:line="360" w:lineRule="auto"/>
      </w:pPr>
      <w:r w:rsidRPr="00491111">
        <w:t>operationally, as required, to facilitate exchange of information and coordinated</w:t>
      </w:r>
      <w:r w:rsidR="006E76BC" w:rsidRPr="00491111">
        <w:t xml:space="preserve"> </w:t>
      </w:r>
      <w:r w:rsidRPr="00491111">
        <w:t>resolution of shared risks of the delivery of aged care</w:t>
      </w:r>
      <w:r w:rsidR="006E76BC" w:rsidRPr="00491111">
        <w:t xml:space="preserve">. </w:t>
      </w:r>
    </w:p>
    <w:p w14:paraId="37C1A092" w14:textId="58370D2D" w:rsidR="00407955" w:rsidRPr="00491111" w:rsidRDefault="001A54A1" w:rsidP="00E3434C">
      <w:pPr>
        <w:pStyle w:val="ListParagraph"/>
        <w:numPr>
          <w:ilvl w:val="1"/>
          <w:numId w:val="13"/>
        </w:numPr>
        <w:spacing w:before="135" w:line="360" w:lineRule="auto"/>
      </w:pPr>
      <w:r w:rsidRPr="00491111">
        <w:lastRenderedPageBreak/>
        <w:t xml:space="preserve">For ongoing project and policy development activities, joint governance structures such as Project Boards will be established with mutually agreed Terms of Reference. At a minimum, Project Boards will be approved by a Senior Executive </w:t>
      </w:r>
      <w:r w:rsidR="006750F6" w:rsidRPr="00491111">
        <w:t>Officer</w:t>
      </w:r>
      <w:r w:rsidRPr="00491111">
        <w:t xml:space="preserve"> from both agencies. Following the establishment of a Project Board, advice will be provided to the JSC.</w:t>
      </w:r>
    </w:p>
    <w:p w14:paraId="37C1A095" w14:textId="4FC7BFB5" w:rsidR="00407955" w:rsidRPr="00491111" w:rsidRDefault="001A54A1" w:rsidP="00E3434C">
      <w:pPr>
        <w:pStyle w:val="ListParagraph"/>
        <w:numPr>
          <w:ilvl w:val="1"/>
          <w:numId w:val="13"/>
        </w:numPr>
        <w:spacing w:before="135" w:line="360" w:lineRule="auto"/>
      </w:pPr>
      <w:r w:rsidRPr="00491111">
        <w:t>Communication teams from both the Department and the Commission agree to communicate regularly and work together to ensure that</w:t>
      </w:r>
      <w:r w:rsidR="004D3CA4" w:rsidRPr="00491111">
        <w:t xml:space="preserve"> communication and engagement activities are aligned and consistent where appropriate for the</w:t>
      </w:r>
      <w:r w:rsidRPr="00491111">
        <w:t xml:space="preserve"> sector and </w:t>
      </w:r>
      <w:r w:rsidR="004D3CA4" w:rsidRPr="00491111">
        <w:t>older people</w:t>
      </w:r>
      <w:r w:rsidRPr="00491111">
        <w:t>. This approach will be guided by the key principles of this MoU and may include sharing draft materials for review and amendment</w:t>
      </w:r>
      <w:r w:rsidR="00740BAD" w:rsidRPr="00491111">
        <w:t>, p</w:t>
      </w:r>
      <w:r w:rsidRPr="00491111">
        <w:t>roviding advance notice of release dates and working together wherever possible on joint communication activities.</w:t>
      </w:r>
    </w:p>
    <w:p w14:paraId="37C1A096" w14:textId="752E4219" w:rsidR="00407955" w:rsidRPr="00491111" w:rsidRDefault="001A54A1" w:rsidP="00E3434C">
      <w:pPr>
        <w:pStyle w:val="ListParagraph"/>
        <w:numPr>
          <w:ilvl w:val="1"/>
          <w:numId w:val="13"/>
        </w:numPr>
        <w:spacing w:before="135" w:line="360" w:lineRule="auto"/>
      </w:pPr>
      <w:r w:rsidRPr="00491111">
        <w:t xml:space="preserve">The Department and the Commission agree to work collaboratively to respond to enquiries when the recipient would benefit from content from both agencies </w:t>
      </w:r>
      <w:proofErr w:type="gramStart"/>
      <w:r w:rsidRPr="00491111">
        <w:t>or</w:t>
      </w:r>
      <w:proofErr w:type="gramEnd"/>
      <w:r w:rsidRPr="00491111">
        <w:t xml:space="preserve"> if there are shared responsibilities referenced. This Agreement extends to the preparation of ministerial and parliamentary documentation (see Schedule 2 for public communication and Schedule 4 for parliamentary</w:t>
      </w:r>
      <w:r w:rsidR="009C77F0" w:rsidRPr="00491111">
        <w:t xml:space="preserve"> procedures</w:t>
      </w:r>
      <w:r w:rsidRPr="00491111">
        <w:t>).</w:t>
      </w:r>
    </w:p>
    <w:p w14:paraId="37C1A097" w14:textId="73285179" w:rsidR="00407955" w:rsidRPr="00491111" w:rsidRDefault="001A54A1" w:rsidP="00E3434C">
      <w:pPr>
        <w:pStyle w:val="ListParagraph"/>
        <w:numPr>
          <w:ilvl w:val="1"/>
          <w:numId w:val="13"/>
        </w:numPr>
        <w:spacing w:before="135" w:line="360" w:lineRule="auto"/>
      </w:pPr>
      <w:bookmarkStart w:id="5" w:name="_bookmark4"/>
      <w:bookmarkEnd w:id="5"/>
      <w:r w:rsidRPr="00491111">
        <w:t>Detailed operational requirements</w:t>
      </w:r>
      <w:r w:rsidR="008E4336" w:rsidRPr="00491111">
        <w:t xml:space="preserve"> for communication</w:t>
      </w:r>
      <w:r w:rsidRPr="00491111">
        <w:t xml:space="preserve"> are outlined in Schedule 2.</w:t>
      </w:r>
    </w:p>
    <w:p w14:paraId="37C1A099" w14:textId="77777777" w:rsidR="00407955" w:rsidRPr="00491111" w:rsidRDefault="00407955" w:rsidP="009570CE">
      <w:pPr>
        <w:spacing w:line="360" w:lineRule="auto"/>
      </w:pPr>
    </w:p>
    <w:p w14:paraId="37C1A09A" w14:textId="77777777" w:rsidR="00407955" w:rsidRPr="00491111" w:rsidRDefault="001A54A1" w:rsidP="00026B7E">
      <w:pPr>
        <w:pStyle w:val="ListParagraph"/>
        <w:numPr>
          <w:ilvl w:val="0"/>
          <w:numId w:val="13"/>
        </w:numPr>
        <w:spacing w:line="360" w:lineRule="auto"/>
        <w:ind w:left="851" w:hanging="851"/>
        <w:rPr>
          <w:b/>
          <w:bCs/>
          <w:sz w:val="24"/>
          <w:szCs w:val="24"/>
        </w:rPr>
      </w:pPr>
      <w:r w:rsidRPr="00491111">
        <w:rPr>
          <w:b/>
          <w:bCs/>
          <w:sz w:val="24"/>
          <w:szCs w:val="24"/>
        </w:rPr>
        <w:t>Protocols for the Exchange of Information and Data</w:t>
      </w:r>
    </w:p>
    <w:p w14:paraId="37C1A09B" w14:textId="61EBF22F" w:rsidR="00407955" w:rsidRPr="00491111" w:rsidRDefault="001A54A1" w:rsidP="00E3434C">
      <w:pPr>
        <w:pStyle w:val="ListParagraph"/>
        <w:numPr>
          <w:ilvl w:val="1"/>
          <w:numId w:val="13"/>
        </w:numPr>
        <w:spacing w:before="135" w:line="360" w:lineRule="auto"/>
      </w:pPr>
      <w:r w:rsidRPr="00491111">
        <w:t>The Department and the Commission agree that:</w:t>
      </w:r>
    </w:p>
    <w:p w14:paraId="37C1A09C" w14:textId="2435539E" w:rsidR="00407955" w:rsidRPr="00491111" w:rsidRDefault="001A54A1" w:rsidP="00E3434C">
      <w:pPr>
        <w:pStyle w:val="ListParagraph"/>
        <w:numPr>
          <w:ilvl w:val="0"/>
          <w:numId w:val="20"/>
        </w:numPr>
        <w:spacing w:before="135" w:line="360" w:lineRule="auto"/>
      </w:pPr>
      <w:r w:rsidRPr="00491111">
        <w:t>all information requests will be considered with the intention and presumption of facilitating any request as completely and quickly as possible, and</w:t>
      </w:r>
    </w:p>
    <w:p w14:paraId="37C1A09D" w14:textId="7A873F4F" w:rsidR="00407955" w:rsidRPr="00491111" w:rsidRDefault="001A54A1" w:rsidP="00E3434C">
      <w:pPr>
        <w:pStyle w:val="ListParagraph"/>
        <w:numPr>
          <w:ilvl w:val="0"/>
          <w:numId w:val="20"/>
        </w:numPr>
        <w:spacing w:before="135" w:line="360" w:lineRule="auto"/>
      </w:pPr>
      <w:r w:rsidRPr="00491111">
        <w:t>a</w:t>
      </w:r>
      <w:r w:rsidR="00985EFF" w:rsidRPr="00491111">
        <w:t xml:space="preserve">n online information sharing and collaboration platform </w:t>
      </w:r>
      <w:r w:rsidRPr="00491111">
        <w:t xml:space="preserve">will be </w:t>
      </w:r>
      <w:r w:rsidR="00985EFF" w:rsidRPr="00491111">
        <w:t>developed</w:t>
      </w:r>
      <w:r w:rsidRPr="00491111">
        <w:t xml:space="preserve"> to support the sharing of information and data. This will be hosted on the Department's network and comply with all legal and privacy requirements.</w:t>
      </w:r>
    </w:p>
    <w:p w14:paraId="37C1A09E" w14:textId="7E1963D5" w:rsidR="00407955" w:rsidRPr="00491111" w:rsidRDefault="001A54A1" w:rsidP="00E3434C">
      <w:pPr>
        <w:pStyle w:val="ListParagraph"/>
        <w:numPr>
          <w:ilvl w:val="1"/>
          <w:numId w:val="13"/>
        </w:numPr>
        <w:spacing w:before="135" w:line="360" w:lineRule="auto"/>
      </w:pPr>
      <w:bookmarkStart w:id="6" w:name="_bookmark5"/>
      <w:bookmarkEnd w:id="6"/>
      <w:r w:rsidRPr="00491111">
        <w:t xml:space="preserve">Detailed operational requirements are outlined </w:t>
      </w:r>
      <w:r w:rsidR="00BA72CA" w:rsidRPr="00491111">
        <w:t>i</w:t>
      </w:r>
      <w:r w:rsidRPr="00491111">
        <w:t xml:space="preserve">n Schedule </w:t>
      </w:r>
      <w:r w:rsidR="00232CB6" w:rsidRPr="00491111">
        <w:t>1</w:t>
      </w:r>
      <w:r w:rsidRPr="00491111">
        <w:t>.</w:t>
      </w:r>
    </w:p>
    <w:p w14:paraId="37C1A0A0" w14:textId="77777777" w:rsidR="00407955" w:rsidRPr="00491111" w:rsidRDefault="00407955" w:rsidP="009570CE">
      <w:pPr>
        <w:spacing w:line="360" w:lineRule="auto"/>
      </w:pPr>
    </w:p>
    <w:p w14:paraId="37C1A0A1" w14:textId="473CDE50" w:rsidR="00407955" w:rsidRPr="00491111" w:rsidRDefault="001A54A1" w:rsidP="00026B7E">
      <w:pPr>
        <w:pStyle w:val="ListParagraph"/>
        <w:numPr>
          <w:ilvl w:val="0"/>
          <w:numId w:val="13"/>
        </w:numPr>
        <w:spacing w:line="360" w:lineRule="auto"/>
        <w:ind w:left="851" w:hanging="851"/>
        <w:rPr>
          <w:b/>
          <w:bCs/>
          <w:sz w:val="24"/>
          <w:szCs w:val="24"/>
        </w:rPr>
      </w:pPr>
      <w:r w:rsidRPr="00491111">
        <w:rPr>
          <w:b/>
          <w:bCs/>
          <w:sz w:val="24"/>
          <w:szCs w:val="24"/>
        </w:rPr>
        <w:t>Roles and Functions of the Department and the Commission</w:t>
      </w:r>
    </w:p>
    <w:p w14:paraId="60FF1639" w14:textId="09A0CCC6" w:rsidR="006361B3" w:rsidRPr="00491111" w:rsidRDefault="001A54A1" w:rsidP="00E3434C">
      <w:pPr>
        <w:pStyle w:val="ListParagraph"/>
        <w:numPr>
          <w:ilvl w:val="1"/>
          <w:numId w:val="13"/>
        </w:numPr>
        <w:spacing w:before="135" w:line="360" w:lineRule="auto"/>
      </w:pPr>
      <w:r w:rsidRPr="00491111">
        <w:t xml:space="preserve">Both agencies acknowledge that the full realisation of this MoU is dependent on a clear understanding and respect for the functions that each </w:t>
      </w:r>
      <w:r w:rsidR="005F51B2" w:rsidRPr="00491111">
        <w:t>is i</w:t>
      </w:r>
      <w:r w:rsidRPr="00491111">
        <w:t>ndividually and jointly responsible for.</w:t>
      </w:r>
    </w:p>
    <w:p w14:paraId="35B572B5" w14:textId="130860D7" w:rsidR="006361B3" w:rsidRPr="00491111" w:rsidRDefault="001A54A1" w:rsidP="00E3434C">
      <w:pPr>
        <w:pStyle w:val="ListParagraph"/>
        <w:numPr>
          <w:ilvl w:val="1"/>
          <w:numId w:val="13"/>
        </w:numPr>
        <w:spacing w:before="135" w:line="360" w:lineRule="auto"/>
      </w:pPr>
      <w:r w:rsidRPr="00491111">
        <w:t>The Department</w:t>
      </w:r>
      <w:r w:rsidR="000D4620" w:rsidRPr="00491111">
        <w:t>’s</w:t>
      </w:r>
      <w:r w:rsidRPr="00491111">
        <w:t xml:space="preserve"> </w:t>
      </w:r>
      <w:r w:rsidR="000D4620" w:rsidRPr="00491111">
        <w:t xml:space="preserve">primary </w:t>
      </w:r>
      <w:r w:rsidRPr="00491111">
        <w:t>responsib</w:t>
      </w:r>
      <w:r w:rsidR="000D4620" w:rsidRPr="00491111">
        <w:t>ility is to support the System Govern</w:t>
      </w:r>
      <w:r w:rsidR="00FC07EE" w:rsidRPr="00491111">
        <w:t>or’s functions through</w:t>
      </w:r>
      <w:r w:rsidRPr="00491111">
        <w:t xml:space="preserve"> policy development, legislation, program management</w:t>
      </w:r>
      <w:r w:rsidR="006068AF" w:rsidRPr="00491111">
        <w:t xml:space="preserve"> and assurance</w:t>
      </w:r>
      <w:r w:rsidRPr="00491111">
        <w:t xml:space="preserve">, </w:t>
      </w:r>
      <w:r w:rsidR="00BC2D65" w:rsidRPr="00491111">
        <w:t>workfor</w:t>
      </w:r>
      <w:r w:rsidR="00517810" w:rsidRPr="00491111">
        <w:t xml:space="preserve">ce matters, </w:t>
      </w:r>
      <w:r w:rsidRPr="00491111">
        <w:t xml:space="preserve">and market strategy. </w:t>
      </w:r>
      <w:r w:rsidR="00814F00" w:rsidRPr="00491111">
        <w:t xml:space="preserve">This includes ensuring equitable access, diversity of providers </w:t>
      </w:r>
      <w:r w:rsidR="00814F00" w:rsidRPr="00491111">
        <w:lastRenderedPageBreak/>
        <w:t>in the market, and main</w:t>
      </w:r>
      <w:r w:rsidR="00694419" w:rsidRPr="00491111">
        <w:t xml:space="preserve">taining continuity of care for older adults. </w:t>
      </w:r>
      <w:r w:rsidRPr="00491111">
        <w:t>Key activities include providing stewardship, leadin</w:t>
      </w:r>
      <w:r w:rsidR="00701867" w:rsidRPr="00491111">
        <w:t xml:space="preserve">g budget and parliamentary processes, managing grant </w:t>
      </w:r>
      <w:r w:rsidR="006361B3" w:rsidRPr="00491111">
        <w:t>arrangements, assuring proper use of program funds by providers, assuring the integrity of self-reporting by providers, maintaining ICT infrastructure for the sector and</w:t>
      </w:r>
      <w:r w:rsidR="00DA10F0" w:rsidRPr="00491111">
        <w:t xml:space="preserve"> older people</w:t>
      </w:r>
      <w:r w:rsidR="006361B3" w:rsidRPr="00491111">
        <w:t xml:space="preserve"> and supporting key ministerial advisory groups such as the Council of Elders and the National Aged Care Advisory Council. In leading this work the Department commits to </w:t>
      </w:r>
      <w:r w:rsidR="000109C7" w:rsidRPr="00491111">
        <w:t>consulting</w:t>
      </w:r>
      <w:r w:rsidR="006361B3" w:rsidRPr="00491111">
        <w:t xml:space="preserve"> and engag</w:t>
      </w:r>
      <w:r w:rsidR="000109C7" w:rsidRPr="00491111">
        <w:t>ing</w:t>
      </w:r>
      <w:r w:rsidR="006361B3" w:rsidRPr="00491111">
        <w:t xml:space="preserve"> with the Commission on activities related to implementation, regulatory practice and compliance practice.</w:t>
      </w:r>
    </w:p>
    <w:p w14:paraId="037ED0D4" w14:textId="3284A944" w:rsidR="00453688" w:rsidRDefault="00453688" w:rsidP="00E3434C">
      <w:pPr>
        <w:pStyle w:val="ListParagraph"/>
        <w:numPr>
          <w:ilvl w:val="1"/>
          <w:numId w:val="13"/>
        </w:numPr>
        <w:spacing w:before="135" w:line="360" w:lineRule="auto"/>
      </w:pPr>
      <w:r>
        <w:t>T</w:t>
      </w:r>
      <w:r w:rsidRPr="00491111">
        <w:t xml:space="preserve">he Commission is a listed entity consisting of the Commissioner, the Complaints Commissioner, and the staff of the Commission. The Commission is </w:t>
      </w:r>
      <w:r w:rsidR="006D4FBF">
        <w:t xml:space="preserve">an independent </w:t>
      </w:r>
      <w:r w:rsidR="0008205A">
        <w:t>statutory agency</w:t>
      </w:r>
      <w:r w:rsidR="008618B9">
        <w:t xml:space="preserve">. </w:t>
      </w:r>
      <w:r w:rsidRPr="00491111">
        <w:t>Both the Commissioner and Complaints Commissioner report to the Minister.</w:t>
      </w:r>
    </w:p>
    <w:p w14:paraId="4978B675" w14:textId="1F62990C" w:rsidR="00DE6C8B" w:rsidRPr="00491111" w:rsidRDefault="006361B3" w:rsidP="00E3434C">
      <w:pPr>
        <w:pStyle w:val="ListParagraph"/>
        <w:numPr>
          <w:ilvl w:val="1"/>
          <w:numId w:val="13"/>
        </w:numPr>
        <w:spacing w:before="135" w:line="360" w:lineRule="auto"/>
      </w:pPr>
      <w:r w:rsidRPr="00491111">
        <w:t xml:space="preserve">The </w:t>
      </w:r>
      <w:r w:rsidR="00441790" w:rsidRPr="00491111">
        <w:t>Commission’s primary responsibility is to</w:t>
      </w:r>
      <w:r w:rsidR="002B0B3C" w:rsidRPr="00491111">
        <w:t xml:space="preserve"> support the Appointed Commissioners</w:t>
      </w:r>
      <w:r w:rsidR="00EA2CBB">
        <w:t>’ performance of their functions, through</w:t>
      </w:r>
      <w:r w:rsidR="00DE6C8B" w:rsidRPr="00491111">
        <w:t>:</w:t>
      </w:r>
    </w:p>
    <w:p w14:paraId="4486C449" w14:textId="12ACFC62" w:rsidR="0015427A" w:rsidRDefault="00EA2CBB" w:rsidP="00E3434C">
      <w:pPr>
        <w:pStyle w:val="ListParagraph"/>
        <w:numPr>
          <w:ilvl w:val="0"/>
          <w:numId w:val="25"/>
        </w:numPr>
        <w:spacing w:before="135" w:line="360" w:lineRule="auto"/>
        <w:ind w:left="1134"/>
      </w:pPr>
      <w:r>
        <w:t xml:space="preserve">monitoring and, where necessary, investigating the </w:t>
      </w:r>
      <w:r w:rsidR="003D6008">
        <w:t>compliance of registered providers, responsible persons, aged care workers and aged care digital platform operators against their obligations under the Act</w:t>
      </w:r>
      <w:r w:rsidR="004B4FEB">
        <w:t xml:space="preserve">, including in relation to incident management, </w:t>
      </w:r>
      <w:r w:rsidR="00D51077">
        <w:t>the quality and safety of aged care service delivery, and financial viability and sustainability</w:t>
      </w:r>
    </w:p>
    <w:p w14:paraId="616CD902" w14:textId="73B3699A" w:rsidR="009A4BE0" w:rsidRPr="00491111" w:rsidRDefault="009A4BE0" w:rsidP="00E3434C">
      <w:pPr>
        <w:pStyle w:val="ListParagraph"/>
        <w:numPr>
          <w:ilvl w:val="0"/>
          <w:numId w:val="25"/>
        </w:numPr>
        <w:spacing w:before="135" w:line="360" w:lineRule="auto"/>
        <w:ind w:left="1134"/>
      </w:pPr>
      <w:r>
        <w:t xml:space="preserve">developing educational products </w:t>
      </w:r>
      <w:r w:rsidR="00BA7574">
        <w:t xml:space="preserve">for, </w:t>
      </w:r>
      <w:r>
        <w:t xml:space="preserve">and </w:t>
      </w:r>
      <w:r w:rsidR="00BA7574">
        <w:t>engaging with, the aged care sector</w:t>
      </w:r>
      <w:r w:rsidR="00FE1502">
        <w:t xml:space="preserve"> to empower older people and support regulated entities</w:t>
      </w:r>
      <w:r w:rsidR="007673F5">
        <w:t xml:space="preserve">. This includes </w:t>
      </w:r>
      <w:r w:rsidR="00481078">
        <w:t xml:space="preserve">undertaking </w:t>
      </w:r>
      <w:r w:rsidR="007673F5">
        <w:t xml:space="preserve">regulatory campaigns, </w:t>
      </w:r>
      <w:r w:rsidR="00481078">
        <w:t>establishing partnerships and collaborating across the care and support sector</w:t>
      </w:r>
      <w:r w:rsidR="00C23DA9">
        <w:t xml:space="preserve">, publishing online learning resources </w:t>
      </w:r>
      <w:r w:rsidR="00591055">
        <w:t>and guidance, and conducting webinars, conferences and other engagements</w:t>
      </w:r>
      <w:r w:rsidRPr="00491111">
        <w:t xml:space="preserve"> </w:t>
      </w:r>
    </w:p>
    <w:p w14:paraId="11C50C17" w14:textId="77777777" w:rsidR="001370A4" w:rsidRDefault="0015427A" w:rsidP="00E3434C">
      <w:pPr>
        <w:pStyle w:val="ListParagraph"/>
        <w:numPr>
          <w:ilvl w:val="0"/>
          <w:numId w:val="25"/>
        </w:numPr>
        <w:spacing w:before="135" w:line="360" w:lineRule="auto"/>
        <w:ind w:left="1134"/>
      </w:pPr>
      <w:r>
        <w:t xml:space="preserve">dealing with complaints and feedback, including through </w:t>
      </w:r>
      <w:r w:rsidR="00681DF5">
        <w:t>resolving issues or concerns about the compliance of regulated entities with their obligations under the Act or registered providers acting inconsistently with the Statement of Rights</w:t>
      </w:r>
      <w:r w:rsidR="00EF7F7D">
        <w:t xml:space="preserve">, in a way that is meaningful and (where appropriate) restorative </w:t>
      </w:r>
      <w:r w:rsidR="009A4BE0">
        <w:t>for the parties involved</w:t>
      </w:r>
    </w:p>
    <w:p w14:paraId="23176258" w14:textId="2496247F" w:rsidR="00472BA7" w:rsidRPr="00491111" w:rsidRDefault="001370A4" w:rsidP="00E3434C">
      <w:pPr>
        <w:pStyle w:val="ListParagraph"/>
        <w:numPr>
          <w:ilvl w:val="0"/>
          <w:numId w:val="25"/>
        </w:numPr>
        <w:spacing w:before="135" w:line="360" w:lineRule="auto"/>
        <w:ind w:left="1134"/>
      </w:pPr>
      <w:r>
        <w:t>assessing the suitability</w:t>
      </w:r>
      <w:r w:rsidR="000B718A">
        <w:t>, capability, commitment and capacity</w:t>
      </w:r>
      <w:r>
        <w:t xml:space="preserve"> of </w:t>
      </w:r>
      <w:r w:rsidR="000B718A">
        <w:t>applicants for registration</w:t>
      </w:r>
      <w:r w:rsidR="00355394">
        <w:t xml:space="preserve"> or renewal, including through undertaking audits of registered provider’ operations against the Aged Care Quality Standards</w:t>
      </w:r>
    </w:p>
    <w:p w14:paraId="142B0023" w14:textId="604D3F87" w:rsidR="00FE4F8B" w:rsidRPr="00491111" w:rsidRDefault="008533A0" w:rsidP="00E3434C">
      <w:pPr>
        <w:pStyle w:val="ListParagraph"/>
        <w:numPr>
          <w:ilvl w:val="0"/>
          <w:numId w:val="25"/>
        </w:numPr>
        <w:spacing w:before="135" w:line="360" w:lineRule="auto"/>
        <w:ind w:left="1134"/>
      </w:pPr>
      <w:r w:rsidRPr="00491111">
        <w:t xml:space="preserve">developing </w:t>
      </w:r>
      <w:r w:rsidR="00355394">
        <w:t>and publishing</w:t>
      </w:r>
      <w:r w:rsidR="008B019A">
        <w:t xml:space="preserve"> the</w:t>
      </w:r>
      <w:r w:rsidR="00355394">
        <w:t xml:space="preserve"> </w:t>
      </w:r>
      <w:r w:rsidR="006361B3" w:rsidRPr="00491111">
        <w:t>regulatory strategy</w:t>
      </w:r>
      <w:r w:rsidR="008B019A">
        <w:t>,</w:t>
      </w:r>
      <w:r w:rsidR="002D7253">
        <w:t xml:space="preserve"> notifiable instruments, operational</w:t>
      </w:r>
      <w:r w:rsidR="008B019A">
        <w:t xml:space="preserve"> </w:t>
      </w:r>
      <w:r w:rsidR="006361B3" w:rsidRPr="00491111">
        <w:t>polic</w:t>
      </w:r>
      <w:r w:rsidR="00355394">
        <w:t>ies</w:t>
      </w:r>
      <w:r w:rsidR="008B019A">
        <w:t xml:space="preserve"> and regulatory bulletin</w:t>
      </w:r>
      <w:r w:rsidR="00C14993">
        <w:t>s</w:t>
      </w:r>
      <w:r w:rsidR="008B019A">
        <w:t xml:space="preserve"> </w:t>
      </w:r>
      <w:r w:rsidR="006361B3" w:rsidRPr="00491111">
        <w:t>to guide the use of powers and decision making.</w:t>
      </w:r>
    </w:p>
    <w:p w14:paraId="213A8172" w14:textId="77157614" w:rsidR="005C5499" w:rsidRDefault="005C5499" w:rsidP="00E3434C">
      <w:pPr>
        <w:pStyle w:val="ListParagraph"/>
        <w:numPr>
          <w:ilvl w:val="1"/>
          <w:numId w:val="13"/>
        </w:numPr>
        <w:spacing w:before="135" w:line="360" w:lineRule="auto"/>
      </w:pPr>
      <w:r w:rsidRPr="00491111">
        <w:t xml:space="preserve">The Department supports the Minister in the development of the Statement of Expectation </w:t>
      </w:r>
      <w:r w:rsidRPr="00491111">
        <w:lastRenderedPageBreak/>
        <w:t xml:space="preserve">including consulting with the Commissioner prior to submission to the Minister for consideration. Both agencies are committed to fulfilling their respective roles and responsibilities in accordance with the Minister's Statement of Expectations, and the Commission in accordance with the Commissioner's Statement of Intent. </w:t>
      </w:r>
    </w:p>
    <w:p w14:paraId="0F6B5BBD" w14:textId="2C7314BE" w:rsidR="00BE6C04" w:rsidRPr="00491111" w:rsidRDefault="00FE4F8B" w:rsidP="00E3434C">
      <w:pPr>
        <w:pStyle w:val="ListParagraph"/>
        <w:numPr>
          <w:ilvl w:val="1"/>
          <w:numId w:val="13"/>
        </w:numPr>
        <w:spacing w:before="135" w:line="360" w:lineRule="auto"/>
      </w:pPr>
      <w:r w:rsidRPr="00491111">
        <w:t>Both agencies support the independence of the Aged Care Quality and Safety Advisory Council</w:t>
      </w:r>
      <w:r w:rsidR="00ED63F4" w:rsidRPr="00491111">
        <w:t xml:space="preserve"> (Advisory Council)</w:t>
      </w:r>
      <w:r w:rsidRPr="00491111">
        <w:t xml:space="preserve">. The </w:t>
      </w:r>
      <w:r w:rsidR="00E10E02" w:rsidRPr="00491111">
        <w:t xml:space="preserve">functions of the </w:t>
      </w:r>
      <w:r w:rsidRPr="00491111">
        <w:t xml:space="preserve">Advisory Council </w:t>
      </w:r>
      <w:r w:rsidR="00BE6C04" w:rsidRPr="00491111">
        <w:t xml:space="preserve">broadly include: </w:t>
      </w:r>
    </w:p>
    <w:p w14:paraId="012F15F9" w14:textId="077DED08" w:rsidR="009565E4" w:rsidRPr="00491111" w:rsidRDefault="00AA3204" w:rsidP="00E3434C">
      <w:pPr>
        <w:pStyle w:val="ListParagraph"/>
        <w:numPr>
          <w:ilvl w:val="0"/>
          <w:numId w:val="21"/>
        </w:numPr>
        <w:spacing w:before="135" w:line="360" w:lineRule="auto"/>
      </w:pPr>
      <w:r w:rsidRPr="00491111">
        <w:t>m</w:t>
      </w:r>
      <w:r w:rsidR="009565E4" w:rsidRPr="00491111">
        <w:t xml:space="preserve">onitoring the performance of the Commission’s functions, </w:t>
      </w:r>
    </w:p>
    <w:p w14:paraId="18D962FD" w14:textId="1DD7BDC6" w:rsidR="00ED63F4" w:rsidRPr="00491111" w:rsidRDefault="00AA3204" w:rsidP="00E3434C">
      <w:pPr>
        <w:pStyle w:val="ListParagraph"/>
        <w:numPr>
          <w:ilvl w:val="0"/>
          <w:numId w:val="21"/>
        </w:numPr>
        <w:spacing w:before="135" w:line="360" w:lineRule="auto"/>
      </w:pPr>
      <w:r w:rsidRPr="00491111">
        <w:t>p</w:t>
      </w:r>
      <w:r w:rsidR="00BE6C04" w:rsidRPr="00491111">
        <w:t>roviding advice and recommendations to the Commissioner, the Complaints Commissioner and the Minister in relation</w:t>
      </w:r>
      <w:r w:rsidR="009565E4" w:rsidRPr="00491111">
        <w:t xml:space="preserve"> to the Commission’s functions, as well as potential or apparent risks, </w:t>
      </w:r>
    </w:p>
    <w:p w14:paraId="5A46BD97" w14:textId="5CD1BF39" w:rsidR="00AA3204" w:rsidRPr="00491111" w:rsidRDefault="00AA3204" w:rsidP="00E3434C">
      <w:pPr>
        <w:pStyle w:val="ListParagraph"/>
        <w:numPr>
          <w:ilvl w:val="0"/>
          <w:numId w:val="21"/>
        </w:numPr>
        <w:spacing w:before="135" w:line="360" w:lineRule="auto"/>
      </w:pPr>
      <w:r w:rsidRPr="00491111">
        <w:t>supporting the Commission in developing its strategic objectives, and</w:t>
      </w:r>
    </w:p>
    <w:p w14:paraId="3E244257" w14:textId="55EF84A7" w:rsidR="00126E5A" w:rsidRPr="00491111" w:rsidRDefault="00A420FC" w:rsidP="00E3434C">
      <w:pPr>
        <w:pStyle w:val="ListParagraph"/>
        <w:numPr>
          <w:ilvl w:val="0"/>
          <w:numId w:val="21"/>
        </w:numPr>
        <w:spacing w:before="135" w:line="360" w:lineRule="auto"/>
      </w:pPr>
      <w:r w:rsidRPr="00491111">
        <w:t xml:space="preserve">engaging widely with relevant stakeholders to inform the development of advice. </w:t>
      </w:r>
    </w:p>
    <w:p w14:paraId="6375FFA4" w14:textId="446EB4A5" w:rsidR="000B4210" w:rsidRPr="00491111" w:rsidRDefault="000B4210" w:rsidP="00E3434C">
      <w:pPr>
        <w:pStyle w:val="ListParagraph"/>
        <w:numPr>
          <w:ilvl w:val="1"/>
          <w:numId w:val="13"/>
        </w:numPr>
        <w:spacing w:before="135" w:line="360" w:lineRule="auto"/>
      </w:pPr>
      <w:r w:rsidRPr="00491111">
        <w:t>The Advisory Council can seek access to relevant data and available information</w:t>
      </w:r>
      <w:r w:rsidR="00E76FE7" w:rsidRPr="00491111">
        <w:t xml:space="preserve">, from the Commission or the Department, </w:t>
      </w:r>
      <w:r w:rsidR="007F5F77" w:rsidRPr="00491111">
        <w:t>for the purposes of their functions under section 383 of the Act</w:t>
      </w:r>
      <w:r w:rsidR="00BD5481" w:rsidRPr="00491111">
        <w:t>,</w:t>
      </w:r>
      <w:r w:rsidR="00C10A66" w:rsidRPr="00491111">
        <w:t xml:space="preserve"> </w:t>
      </w:r>
      <w:r w:rsidR="00E76FE7" w:rsidRPr="00491111">
        <w:t xml:space="preserve">to support the development of advice and recommendations. </w:t>
      </w:r>
    </w:p>
    <w:p w14:paraId="64CA308C" w14:textId="69C49C38" w:rsidR="0094433A" w:rsidRPr="00491111" w:rsidRDefault="007A51C5" w:rsidP="00E3434C">
      <w:pPr>
        <w:pStyle w:val="ListParagraph"/>
        <w:numPr>
          <w:ilvl w:val="1"/>
          <w:numId w:val="13"/>
        </w:numPr>
        <w:spacing w:before="135" w:line="360" w:lineRule="auto"/>
      </w:pPr>
      <w:r>
        <w:t>The Department and the Commission</w:t>
      </w:r>
      <w:r w:rsidR="00E66B06" w:rsidRPr="00491111">
        <w:t xml:space="preserve"> engage </w:t>
      </w:r>
      <w:r w:rsidR="00E82AD2" w:rsidRPr="00491111">
        <w:t>i</w:t>
      </w:r>
      <w:r w:rsidR="00E66B06" w:rsidRPr="00491111">
        <w:t>n a broad range of strategic and operational matters through the JSC. Th</w:t>
      </w:r>
      <w:r w:rsidR="00E41C02" w:rsidRPr="00491111">
        <w:t>is</w:t>
      </w:r>
      <w:r w:rsidR="00E66B06" w:rsidRPr="00491111">
        <w:t xml:space="preserve"> </w:t>
      </w:r>
      <w:r w:rsidR="00E41C02" w:rsidRPr="00491111">
        <w:t>committee was established based on a recommendation (</w:t>
      </w:r>
      <w:r w:rsidR="00C71D88" w:rsidRPr="00491111">
        <w:t xml:space="preserve">Rec </w:t>
      </w:r>
      <w:r w:rsidR="00B04EB3" w:rsidRPr="00491111">
        <w:t>4.2</w:t>
      </w:r>
      <w:r w:rsidR="00E41C02" w:rsidRPr="00491111">
        <w:t xml:space="preserve">) from the Independent Capability Review. </w:t>
      </w:r>
      <w:r w:rsidR="00C9789E" w:rsidRPr="00491111">
        <w:t xml:space="preserve">The JSC </w:t>
      </w:r>
      <w:r w:rsidR="00E41C02" w:rsidRPr="00491111">
        <w:t xml:space="preserve">comprises of senior executives (Band </w:t>
      </w:r>
      <w:r w:rsidR="00C9789E" w:rsidRPr="00491111">
        <w:t>2) from both agencies</w:t>
      </w:r>
      <w:r w:rsidR="007316E4" w:rsidRPr="00491111">
        <w:t xml:space="preserve"> and convenes bi-monthly</w:t>
      </w:r>
      <w:r w:rsidR="00C9789E" w:rsidRPr="00491111">
        <w:t>.</w:t>
      </w:r>
      <w:r w:rsidR="007316E4" w:rsidRPr="00491111">
        <w:t xml:space="preserve"> The JSC focuses on building and sustaining </w:t>
      </w:r>
      <w:r w:rsidR="0012166A" w:rsidRPr="00491111">
        <w:t xml:space="preserve">relationships between the Department and Commission at a senior level and ensuring challenges and emerging risks are identified promptly. </w:t>
      </w:r>
      <w:r w:rsidR="00573C35" w:rsidRPr="00491111">
        <w:t>As part of the JSC</w:t>
      </w:r>
      <w:r w:rsidR="00DB16D0" w:rsidRPr="00491111">
        <w:t xml:space="preserve">, the Department </w:t>
      </w:r>
      <w:r w:rsidR="751955E7" w:rsidRPr="00491111">
        <w:t>stands up</w:t>
      </w:r>
      <w:r w:rsidR="00DB16D0" w:rsidRPr="00491111">
        <w:t xml:space="preserve"> a Budget Sub-committee</w:t>
      </w:r>
      <w:r w:rsidR="009157E1" w:rsidRPr="00491111">
        <w:t xml:space="preserve"> which convenes to </w:t>
      </w:r>
      <w:r w:rsidR="000109D6" w:rsidRPr="00491111">
        <w:t>ensure open communication about budget contexts</w:t>
      </w:r>
      <w:r w:rsidR="00B04EB3" w:rsidRPr="00491111">
        <w:t xml:space="preserve">. </w:t>
      </w:r>
      <w:r w:rsidR="00E41C02" w:rsidRPr="00491111">
        <w:t xml:space="preserve"> </w:t>
      </w:r>
    </w:p>
    <w:p w14:paraId="0EB8781A" w14:textId="1402E0BC" w:rsidR="00CF3A65" w:rsidRPr="00491111" w:rsidRDefault="00FE4F8B" w:rsidP="00E3434C">
      <w:pPr>
        <w:pStyle w:val="ListParagraph"/>
        <w:numPr>
          <w:ilvl w:val="1"/>
          <w:numId w:val="13"/>
        </w:numPr>
        <w:spacing w:before="135" w:line="360" w:lineRule="auto"/>
      </w:pPr>
      <w:r w:rsidRPr="00491111">
        <w:t xml:space="preserve">Both agencies also acknowledge their responsibilities in respect to Closing the Gap and the importance of enhancing agency </w:t>
      </w:r>
      <w:r w:rsidR="1598A409" w:rsidRPr="00491111">
        <w:t xml:space="preserve">and </w:t>
      </w:r>
      <w:r w:rsidRPr="00491111">
        <w:t>cultural capability within our workplaces and with all our stakeholders.</w:t>
      </w:r>
    </w:p>
    <w:p w14:paraId="37C1A0AD" w14:textId="5E4700CC" w:rsidR="00407955" w:rsidRPr="00491111" w:rsidRDefault="00ED05EE" w:rsidP="00E3434C">
      <w:pPr>
        <w:pStyle w:val="ListParagraph"/>
        <w:numPr>
          <w:ilvl w:val="1"/>
          <w:numId w:val="13"/>
        </w:numPr>
        <w:spacing w:before="135" w:line="360" w:lineRule="auto"/>
      </w:pPr>
      <w:r w:rsidRPr="00491111">
        <w:t xml:space="preserve">This MoU acknowledges that while both the Department and the Commission have separate and well-defined roles and responsibilities, both agencies operate within the broader care and support sector including disability, veterans care and health systems. The Department and the Commission work to achieve shared objectives of the care economy </w:t>
      </w:r>
      <w:r w:rsidR="001D50A9" w:rsidRPr="00491111">
        <w:t xml:space="preserve">sector. </w:t>
      </w:r>
    </w:p>
    <w:p w14:paraId="7CDEB2B4" w14:textId="77777777" w:rsidR="00E039BA" w:rsidRPr="00491111" w:rsidRDefault="00E039BA" w:rsidP="009570CE">
      <w:pPr>
        <w:spacing w:line="360" w:lineRule="auto"/>
      </w:pPr>
    </w:p>
    <w:p w14:paraId="37C1A0AE" w14:textId="77777777" w:rsidR="00407955" w:rsidRPr="00491111" w:rsidRDefault="001A54A1" w:rsidP="00440534">
      <w:pPr>
        <w:pStyle w:val="NewSectionHeading"/>
        <w:keepNext/>
        <w:ind w:left="851" w:hanging="851"/>
      </w:pPr>
      <w:r w:rsidRPr="00491111">
        <w:lastRenderedPageBreak/>
        <w:t>Schedules to this Agreement</w:t>
      </w:r>
    </w:p>
    <w:p w14:paraId="37C1A0AF" w14:textId="5AC140C7" w:rsidR="00407955" w:rsidRPr="00491111" w:rsidRDefault="001A54A1" w:rsidP="00440534">
      <w:pPr>
        <w:pStyle w:val="ListParagraph"/>
        <w:keepNext/>
        <w:numPr>
          <w:ilvl w:val="1"/>
          <w:numId w:val="13"/>
        </w:numPr>
        <w:spacing w:before="135" w:line="360" w:lineRule="auto"/>
      </w:pPr>
      <w:r w:rsidRPr="00491111">
        <w:t>The Schedules to the General Agreement (Part 2 of the MoU) set out specific operational protocols between the two agencies.</w:t>
      </w:r>
    </w:p>
    <w:p w14:paraId="37C1A0B0" w14:textId="1CE56757" w:rsidR="00407955" w:rsidRPr="00491111" w:rsidRDefault="001A54A1" w:rsidP="00E3434C">
      <w:pPr>
        <w:pStyle w:val="ListParagraph"/>
        <w:numPr>
          <w:ilvl w:val="1"/>
          <w:numId w:val="13"/>
        </w:numPr>
        <w:spacing w:before="135" w:line="360" w:lineRule="auto"/>
      </w:pPr>
      <w:r w:rsidRPr="00491111">
        <w:t>The MoU contains four Schedules as follows:</w:t>
      </w:r>
    </w:p>
    <w:p w14:paraId="37C1A0B1" w14:textId="4F25ED8E" w:rsidR="00407955" w:rsidRPr="00491111" w:rsidRDefault="001A54A1" w:rsidP="00E3434C">
      <w:pPr>
        <w:pStyle w:val="ListParagraph"/>
        <w:numPr>
          <w:ilvl w:val="0"/>
          <w:numId w:val="22"/>
        </w:numPr>
        <w:spacing w:before="135" w:line="360" w:lineRule="auto"/>
      </w:pPr>
      <w:r w:rsidRPr="00491111">
        <w:t>Schedule 1: Data and information sharing</w:t>
      </w:r>
    </w:p>
    <w:p w14:paraId="37C1A0B2" w14:textId="25D5F0A1" w:rsidR="00407955" w:rsidRPr="00491111" w:rsidRDefault="001A54A1" w:rsidP="00E3434C">
      <w:pPr>
        <w:pStyle w:val="ListParagraph"/>
        <w:numPr>
          <w:ilvl w:val="0"/>
          <w:numId w:val="22"/>
        </w:numPr>
        <w:spacing w:before="135" w:line="360" w:lineRule="auto"/>
      </w:pPr>
      <w:r w:rsidRPr="00491111">
        <w:t>Schedule 2: External communication, sector engagement and education</w:t>
      </w:r>
    </w:p>
    <w:p w14:paraId="37C1A0B3" w14:textId="626D8080" w:rsidR="00407955" w:rsidRPr="00491111" w:rsidRDefault="001A54A1" w:rsidP="00E3434C">
      <w:pPr>
        <w:pStyle w:val="ListParagraph"/>
        <w:numPr>
          <w:ilvl w:val="0"/>
          <w:numId w:val="22"/>
        </w:numPr>
        <w:spacing w:before="135" w:line="360" w:lineRule="auto"/>
      </w:pPr>
      <w:r w:rsidRPr="00491111">
        <w:t>Schedule 3: Collaborating to manage issues and risk</w:t>
      </w:r>
    </w:p>
    <w:p w14:paraId="37C1A0B6" w14:textId="6AF32CF9" w:rsidR="00407955" w:rsidRPr="00491111" w:rsidRDefault="001A54A1" w:rsidP="00E3434C">
      <w:pPr>
        <w:pStyle w:val="ListParagraph"/>
        <w:numPr>
          <w:ilvl w:val="0"/>
          <w:numId w:val="22"/>
        </w:numPr>
        <w:spacing w:before="135" w:line="360" w:lineRule="auto"/>
      </w:pPr>
      <w:bookmarkStart w:id="7" w:name="_bookmark7"/>
      <w:bookmarkEnd w:id="7"/>
      <w:r w:rsidRPr="00491111">
        <w:t>Schedule 4: Parliamentary mechanisms.</w:t>
      </w:r>
    </w:p>
    <w:p w14:paraId="49272F6D" w14:textId="5B9F77DE" w:rsidR="00AC020F" w:rsidRPr="00491111" w:rsidRDefault="00AC020F" w:rsidP="009570CE">
      <w:pPr>
        <w:spacing w:line="360" w:lineRule="auto"/>
      </w:pPr>
    </w:p>
    <w:p w14:paraId="37C1A0B7" w14:textId="2C24C88B" w:rsidR="00407955" w:rsidRPr="00491111" w:rsidRDefault="001A54A1" w:rsidP="00026B7E">
      <w:pPr>
        <w:pStyle w:val="ListParagraph"/>
        <w:numPr>
          <w:ilvl w:val="0"/>
          <w:numId w:val="13"/>
        </w:numPr>
        <w:spacing w:line="360" w:lineRule="auto"/>
        <w:ind w:left="851" w:hanging="851"/>
        <w:rPr>
          <w:b/>
          <w:bCs/>
          <w:sz w:val="24"/>
          <w:szCs w:val="24"/>
        </w:rPr>
      </w:pPr>
      <w:r w:rsidRPr="00491111">
        <w:rPr>
          <w:b/>
          <w:bCs/>
          <w:sz w:val="24"/>
          <w:szCs w:val="24"/>
        </w:rPr>
        <w:t>Application of this MoU</w:t>
      </w:r>
    </w:p>
    <w:p w14:paraId="37C1A0B8" w14:textId="6735E4BF" w:rsidR="00407955" w:rsidRPr="00491111" w:rsidRDefault="001A54A1" w:rsidP="00E3434C">
      <w:pPr>
        <w:pStyle w:val="ListParagraph"/>
        <w:numPr>
          <w:ilvl w:val="1"/>
          <w:numId w:val="13"/>
        </w:numPr>
        <w:spacing w:before="135" w:line="360" w:lineRule="auto"/>
      </w:pPr>
      <w:r w:rsidRPr="00491111">
        <w:t>This MoU will be read in conjunction with the MoU Implementation Plan.</w:t>
      </w:r>
    </w:p>
    <w:p w14:paraId="37C1A0B9" w14:textId="265394FA" w:rsidR="00407955" w:rsidRPr="00491111" w:rsidRDefault="001A54A1" w:rsidP="00E3434C">
      <w:pPr>
        <w:pStyle w:val="ListParagraph"/>
        <w:numPr>
          <w:ilvl w:val="1"/>
          <w:numId w:val="13"/>
        </w:numPr>
        <w:spacing w:before="135" w:line="360" w:lineRule="auto"/>
      </w:pPr>
      <w:r w:rsidRPr="00491111">
        <w:t xml:space="preserve">The Department and the Commission agree that monitoring and evaluating the MoU is a shared responsibility. These activities will be undertaken in accordance with regular reviews (per </w:t>
      </w:r>
      <w:r w:rsidR="00252B2C">
        <w:t>Part</w:t>
      </w:r>
      <w:r w:rsidR="00252B2C" w:rsidRPr="00491111">
        <w:t xml:space="preserve"> </w:t>
      </w:r>
      <w:r w:rsidRPr="00491111">
        <w:t>10 of this Agreement).</w:t>
      </w:r>
    </w:p>
    <w:p w14:paraId="37C1A0BA" w14:textId="585F7956" w:rsidR="00407955" w:rsidRPr="00491111" w:rsidRDefault="001A54A1" w:rsidP="00E3434C">
      <w:pPr>
        <w:pStyle w:val="ListParagraph"/>
        <w:numPr>
          <w:ilvl w:val="1"/>
          <w:numId w:val="13"/>
        </w:numPr>
        <w:spacing w:before="135" w:line="360" w:lineRule="auto"/>
      </w:pPr>
      <w:r w:rsidRPr="00491111">
        <w:t xml:space="preserve">The Assistant Secretary, Strengthening Providers Branch of the Department and the </w:t>
      </w:r>
      <w:r w:rsidR="003B3DBD" w:rsidRPr="00420CC6">
        <w:t>Assistant Commissioner</w:t>
      </w:r>
      <w:r w:rsidRPr="00420CC6">
        <w:t>,</w:t>
      </w:r>
      <w:r w:rsidRPr="00491111">
        <w:t xml:space="preserve"> Regulatory Strategy and Policy Group of the Commission should be approached in the first instance if the MoU is perceived by either agency as not working as </w:t>
      </w:r>
      <w:bookmarkStart w:id="8" w:name="_bookmark8"/>
      <w:bookmarkEnd w:id="8"/>
      <w:r w:rsidRPr="00491111">
        <w:t>intended.</w:t>
      </w:r>
    </w:p>
    <w:p w14:paraId="37C1A0BB" w14:textId="77777777" w:rsidR="00407955" w:rsidRPr="00491111" w:rsidRDefault="00407955" w:rsidP="009570CE">
      <w:pPr>
        <w:spacing w:line="360" w:lineRule="auto"/>
      </w:pPr>
    </w:p>
    <w:p w14:paraId="37C1A0BC" w14:textId="77777777" w:rsidR="00407955" w:rsidRPr="00491111" w:rsidRDefault="001A54A1" w:rsidP="00026B7E">
      <w:pPr>
        <w:pStyle w:val="NewSectionHeading"/>
        <w:ind w:left="993" w:hanging="993"/>
      </w:pPr>
      <w:r w:rsidRPr="00491111">
        <w:t>Variation or Review of General Agreement or a Schedule</w:t>
      </w:r>
    </w:p>
    <w:p w14:paraId="71F73846" w14:textId="6F871482" w:rsidR="009232E1" w:rsidRPr="00491111" w:rsidRDefault="0016268E" w:rsidP="00E3434C">
      <w:pPr>
        <w:pStyle w:val="ListParagraph"/>
        <w:numPr>
          <w:ilvl w:val="1"/>
          <w:numId w:val="13"/>
        </w:numPr>
        <w:spacing w:before="135" w:line="360" w:lineRule="auto"/>
      </w:pPr>
      <w:r w:rsidRPr="00491111">
        <w:t>T</w:t>
      </w:r>
      <w:r w:rsidR="001A54A1" w:rsidRPr="00491111">
        <w:t>he MoU, comprising of the General Agreement and Schedules</w:t>
      </w:r>
      <w:r w:rsidR="55DC081B" w:rsidRPr="00491111">
        <w:t>,</w:t>
      </w:r>
      <w:r w:rsidR="001A54A1" w:rsidRPr="00491111">
        <w:t xml:space="preserve"> is to be </w:t>
      </w:r>
      <w:r w:rsidR="00D04898">
        <w:t>reviewed</w:t>
      </w:r>
      <w:r w:rsidR="00D04898" w:rsidRPr="00491111">
        <w:t xml:space="preserve"> </w:t>
      </w:r>
      <w:r w:rsidR="001A54A1" w:rsidRPr="00491111">
        <w:t>annually by</w:t>
      </w:r>
      <w:r w:rsidR="00F319CF" w:rsidRPr="00491111">
        <w:t xml:space="preserve"> </w:t>
      </w:r>
      <w:r w:rsidR="001A54A1" w:rsidRPr="00491111">
        <w:t>the</w:t>
      </w:r>
      <w:r w:rsidR="00F319CF" w:rsidRPr="00491111">
        <w:t xml:space="preserve"> </w:t>
      </w:r>
      <w:r w:rsidR="001A54A1" w:rsidRPr="00491111">
        <w:t>JSC.</w:t>
      </w:r>
    </w:p>
    <w:p w14:paraId="57713C7F" w14:textId="2C2AA954" w:rsidR="009232E1" w:rsidRPr="00491111" w:rsidRDefault="001A54A1" w:rsidP="00E3434C">
      <w:pPr>
        <w:pStyle w:val="ListParagraph"/>
        <w:numPr>
          <w:ilvl w:val="1"/>
          <w:numId w:val="13"/>
        </w:numPr>
        <w:spacing w:before="135" w:line="360" w:lineRule="auto"/>
      </w:pPr>
      <w:r w:rsidRPr="00491111">
        <w:t xml:space="preserve">The MoU can also be reviewed at the request of either agency or </w:t>
      </w:r>
      <w:proofErr w:type="gramStart"/>
      <w:r w:rsidRPr="00491111">
        <w:t>as a result of</w:t>
      </w:r>
      <w:proofErr w:type="gramEnd"/>
      <w:r w:rsidRPr="00491111">
        <w:t xml:space="preserve"> changes of circumst</w:t>
      </w:r>
      <w:r w:rsidR="00F319CF" w:rsidRPr="00491111">
        <w:t>a</w:t>
      </w:r>
      <w:r w:rsidRPr="00491111">
        <w:t xml:space="preserve">nces such as legislative amendment, machinery of government changes or other matters requiring the MoU to be reviewed or amended. It is intended by the agencies that any variations </w:t>
      </w:r>
      <w:proofErr w:type="gramStart"/>
      <w:r w:rsidRPr="00491111">
        <w:t>as a result of</w:t>
      </w:r>
      <w:proofErr w:type="gramEnd"/>
      <w:r w:rsidRPr="00491111">
        <w:t xml:space="preserve"> a review under this paragraph are to be jointly agreed in writing by the </w:t>
      </w:r>
      <w:r w:rsidR="00811002" w:rsidRPr="00491111">
        <w:t xml:space="preserve">Deputy Secretary </w:t>
      </w:r>
      <w:r w:rsidR="00EB3874">
        <w:t xml:space="preserve">of the Department </w:t>
      </w:r>
      <w:r w:rsidR="00811002" w:rsidRPr="00491111">
        <w:t>and the Commissioner</w:t>
      </w:r>
      <w:r w:rsidR="00517F4A" w:rsidRPr="00491111">
        <w:t xml:space="preserve"> and approved by JSC</w:t>
      </w:r>
      <w:r w:rsidRPr="00491111">
        <w:t>.</w:t>
      </w:r>
    </w:p>
    <w:p w14:paraId="58A13BA7" w14:textId="3C92437C" w:rsidR="009232E1" w:rsidRPr="00491111" w:rsidRDefault="001A54A1" w:rsidP="00E3434C">
      <w:pPr>
        <w:pStyle w:val="ListParagraph"/>
        <w:numPr>
          <w:ilvl w:val="1"/>
          <w:numId w:val="13"/>
        </w:numPr>
        <w:spacing w:before="135" w:line="360" w:lineRule="auto"/>
      </w:pPr>
      <w:r w:rsidRPr="00491111">
        <w:t>Other amendments to a Schedule (</w:t>
      </w:r>
      <w:r w:rsidR="00C407CF" w:rsidRPr="00491111">
        <w:t xml:space="preserve">that is, </w:t>
      </w:r>
      <w:r w:rsidRPr="00491111">
        <w:t xml:space="preserve">separate to amendments made as a result of annual review or substantial policy changes mentioned above) can be </w:t>
      </w:r>
      <w:r w:rsidR="000E7A07" w:rsidRPr="00491111">
        <w:t>considered and approved by</w:t>
      </w:r>
      <w:r w:rsidR="00EB3874">
        <w:t xml:space="preserve"> agreement of</w:t>
      </w:r>
      <w:r w:rsidR="000E7A07" w:rsidRPr="00491111">
        <w:t xml:space="preserve"> </w:t>
      </w:r>
      <w:r w:rsidR="00EB3874">
        <w:t>an</w:t>
      </w:r>
      <w:r w:rsidR="00EB3874" w:rsidRPr="00491111">
        <w:t xml:space="preserve"> </w:t>
      </w:r>
      <w:r w:rsidR="00166621" w:rsidRPr="00491111">
        <w:t xml:space="preserve">Assistant Secretary of the Department and </w:t>
      </w:r>
      <w:r w:rsidR="00EB3874">
        <w:t>an</w:t>
      </w:r>
      <w:r w:rsidR="00890D99">
        <w:t xml:space="preserve"> </w:t>
      </w:r>
      <w:r w:rsidR="00890D99" w:rsidRPr="00420CC6">
        <w:t>Assistant Commissioner</w:t>
      </w:r>
      <w:r w:rsidR="00EB3874">
        <w:t xml:space="preserve"> </w:t>
      </w:r>
      <w:r w:rsidR="00166621" w:rsidRPr="00491111">
        <w:t xml:space="preserve">of </w:t>
      </w:r>
      <w:r w:rsidR="00443814" w:rsidRPr="00491111">
        <w:t>the Commission, with</w:t>
      </w:r>
      <w:r w:rsidR="007953DF" w:rsidRPr="00491111">
        <w:t xml:space="preserve"> JSC</w:t>
      </w:r>
      <w:r w:rsidR="004306E5" w:rsidRPr="00491111">
        <w:t xml:space="preserve"> being informed</w:t>
      </w:r>
      <w:r w:rsidR="00584B57" w:rsidRPr="00491111">
        <w:t xml:space="preserve"> and given the opportunity to </w:t>
      </w:r>
      <w:r w:rsidR="00584B57" w:rsidRPr="00491111">
        <w:lastRenderedPageBreak/>
        <w:t>provide feedback</w:t>
      </w:r>
      <w:r w:rsidR="00443814" w:rsidRPr="00491111">
        <w:t xml:space="preserve"> </w:t>
      </w:r>
      <w:r w:rsidR="00622ADA" w:rsidRPr="00491111">
        <w:t>at the next meeting.</w:t>
      </w:r>
      <w:r w:rsidR="000E7A07" w:rsidRPr="00491111">
        <w:t xml:space="preserve"> </w:t>
      </w:r>
    </w:p>
    <w:p w14:paraId="37C1A0C2" w14:textId="09A6A1FE" w:rsidR="00407955" w:rsidRPr="00491111" w:rsidRDefault="001A54A1" w:rsidP="00E3434C">
      <w:pPr>
        <w:pStyle w:val="ListParagraph"/>
        <w:numPr>
          <w:ilvl w:val="1"/>
          <w:numId w:val="13"/>
        </w:numPr>
        <w:spacing w:before="135" w:line="360" w:lineRule="auto"/>
      </w:pPr>
      <w:r w:rsidRPr="00491111">
        <w:t xml:space="preserve">Other amendments will be documented in a letter of variation and jointly agreed in writing </w:t>
      </w:r>
      <w:bookmarkStart w:id="9" w:name="_bookmark9"/>
      <w:bookmarkEnd w:id="9"/>
      <w:r w:rsidRPr="00491111">
        <w:t>by the Department and the Commission.</w:t>
      </w:r>
    </w:p>
    <w:p w14:paraId="176F8FC0" w14:textId="77777777" w:rsidR="0065569B" w:rsidRPr="00491111" w:rsidRDefault="0065569B" w:rsidP="009570CE">
      <w:pPr>
        <w:spacing w:line="360" w:lineRule="auto"/>
      </w:pPr>
    </w:p>
    <w:p w14:paraId="37C1A0C3" w14:textId="77777777" w:rsidR="00407955" w:rsidRPr="00491111" w:rsidRDefault="001A54A1" w:rsidP="00EB3874">
      <w:pPr>
        <w:pStyle w:val="ListParagraph"/>
        <w:numPr>
          <w:ilvl w:val="0"/>
          <w:numId w:val="13"/>
        </w:numPr>
        <w:spacing w:line="360" w:lineRule="auto"/>
        <w:ind w:left="1036" w:hanging="1036"/>
        <w:rPr>
          <w:b/>
          <w:bCs/>
          <w:sz w:val="24"/>
          <w:szCs w:val="24"/>
        </w:rPr>
      </w:pPr>
      <w:r w:rsidRPr="00491111">
        <w:rPr>
          <w:b/>
          <w:bCs/>
          <w:sz w:val="24"/>
          <w:szCs w:val="24"/>
        </w:rPr>
        <w:t>Issues Resolution</w:t>
      </w:r>
    </w:p>
    <w:p w14:paraId="0A14F09E" w14:textId="1D347A28" w:rsidR="00193F52" w:rsidRPr="00491111" w:rsidRDefault="001A54A1" w:rsidP="00E3434C">
      <w:pPr>
        <w:pStyle w:val="ListParagraph"/>
        <w:numPr>
          <w:ilvl w:val="1"/>
          <w:numId w:val="13"/>
        </w:numPr>
        <w:spacing w:before="135" w:line="360" w:lineRule="auto"/>
      </w:pPr>
      <w:r w:rsidRPr="00491111">
        <w:t xml:space="preserve">Early and constructive resolution of issues is expected between staff of </w:t>
      </w:r>
      <w:r w:rsidR="00EB3874">
        <w:t>both</w:t>
      </w:r>
      <w:r w:rsidR="00EB3874" w:rsidRPr="00491111">
        <w:t xml:space="preserve"> </w:t>
      </w:r>
      <w:r w:rsidRPr="00491111">
        <w:t>agencies with support from their relevant managers. If the matter cannot be resolved effectively and efficiently it will be escalated by taking the following steps:</w:t>
      </w:r>
    </w:p>
    <w:p w14:paraId="37C1A0C5" w14:textId="492FA211" w:rsidR="00407955" w:rsidRPr="00491111" w:rsidRDefault="001A54A1" w:rsidP="00E3434C">
      <w:pPr>
        <w:pStyle w:val="ListParagraph"/>
        <w:numPr>
          <w:ilvl w:val="0"/>
          <w:numId w:val="23"/>
        </w:numPr>
        <w:spacing w:before="135" w:line="360" w:lineRule="auto"/>
      </w:pPr>
      <w:r w:rsidRPr="00491111">
        <w:t xml:space="preserve">identifying the suitable governance forum where the matter can be </w:t>
      </w:r>
      <w:r w:rsidR="00F319CF" w:rsidRPr="00491111">
        <w:t xml:space="preserve">further </w:t>
      </w:r>
      <w:r w:rsidRPr="00491111">
        <w:t>considered (for example a project or program board meeting or</w:t>
      </w:r>
      <w:r w:rsidR="001D0617" w:rsidRPr="00491111">
        <w:t xml:space="preserve"> other interagency</w:t>
      </w:r>
      <w:r w:rsidRPr="00491111">
        <w:t xml:space="preserve"> meeting</w:t>
      </w:r>
      <w:r w:rsidR="001D0617" w:rsidRPr="00491111">
        <w:t>s</w:t>
      </w:r>
      <w:r w:rsidRPr="00491111">
        <w:t>), discussed and resolved. If no formal governance structure exists, the relevant teams involved will convene a meeting of all relevant agencies including a senior decision maker from each agency to discuss and resolve the matter</w:t>
      </w:r>
      <w:r w:rsidR="009E282E" w:rsidRPr="00491111">
        <w:t xml:space="preserve">, </w:t>
      </w:r>
    </w:p>
    <w:p w14:paraId="37C1A0C6" w14:textId="6372F536" w:rsidR="00407955" w:rsidRPr="00491111" w:rsidRDefault="001A54A1" w:rsidP="00E3434C">
      <w:pPr>
        <w:pStyle w:val="ListParagraph"/>
        <w:numPr>
          <w:ilvl w:val="0"/>
          <w:numId w:val="23"/>
        </w:numPr>
        <w:spacing w:before="135" w:line="360" w:lineRule="auto"/>
      </w:pPr>
      <w:r w:rsidRPr="00491111">
        <w:t>if the matter remains unresolved after following the steps in paragraph 11.1</w:t>
      </w:r>
      <w:r w:rsidR="0C43FD66" w:rsidRPr="00491111">
        <w:t>.</w:t>
      </w:r>
      <w:r w:rsidRPr="00491111">
        <w:t xml:space="preserve">a), it is to be referred to </w:t>
      </w:r>
      <w:r w:rsidR="00D85511">
        <w:t>the</w:t>
      </w:r>
      <w:r w:rsidR="00D85511" w:rsidRPr="00491111">
        <w:t xml:space="preserve"> </w:t>
      </w:r>
      <w:r w:rsidRPr="00491111">
        <w:t>relevant</w:t>
      </w:r>
      <w:r w:rsidR="00A87447" w:rsidRPr="00491111">
        <w:t xml:space="preserve"> </w:t>
      </w:r>
      <w:r w:rsidR="00070178">
        <w:t xml:space="preserve">Assistant Secretary </w:t>
      </w:r>
      <w:r w:rsidR="007B663A">
        <w:t>of</w:t>
      </w:r>
      <w:r w:rsidR="00A87447" w:rsidRPr="00491111">
        <w:t xml:space="preserve"> the </w:t>
      </w:r>
      <w:r w:rsidR="00A87447" w:rsidRPr="00420CC6">
        <w:t>Department</w:t>
      </w:r>
      <w:r w:rsidR="00CD242F" w:rsidRPr="00420CC6">
        <w:t xml:space="preserve"> and</w:t>
      </w:r>
      <w:r w:rsidRPr="00420CC6">
        <w:t xml:space="preserve"> </w:t>
      </w:r>
      <w:r w:rsidR="00506673" w:rsidRPr="00420CC6">
        <w:t xml:space="preserve">Assistant Commissioner </w:t>
      </w:r>
      <w:r w:rsidRPr="00420CC6">
        <w:t>of the</w:t>
      </w:r>
      <w:r w:rsidRPr="00491111">
        <w:t xml:space="preserve"> Commission</w:t>
      </w:r>
      <w:r w:rsidR="00A66BD2">
        <w:t xml:space="preserve"> for discussion</w:t>
      </w:r>
      <w:r w:rsidR="006C3387">
        <w:t xml:space="preserve"> and resolution</w:t>
      </w:r>
      <w:r w:rsidRPr="00491111">
        <w:t>, and</w:t>
      </w:r>
    </w:p>
    <w:p w14:paraId="37C1A0C7" w14:textId="00BDE3B0" w:rsidR="00407955" w:rsidRPr="00491111" w:rsidRDefault="001A54A1" w:rsidP="00E3434C">
      <w:pPr>
        <w:pStyle w:val="ListParagraph"/>
        <w:numPr>
          <w:ilvl w:val="0"/>
          <w:numId w:val="23"/>
        </w:numPr>
        <w:spacing w:before="135" w:line="360" w:lineRule="auto"/>
      </w:pPr>
      <w:r w:rsidRPr="00491111">
        <w:t>if the matter remains unresolved after following the steps in paragraph 11.1b</w:t>
      </w:r>
      <w:r w:rsidR="00B548FC" w:rsidRPr="00491111">
        <w:t>)</w:t>
      </w:r>
      <w:r w:rsidRPr="00491111">
        <w:t>, it is to be escalated to the relevant First Assistant Secretary and Deputy Commissioner. All matters escalated to this level will be brought to the attention of the JSC.</w:t>
      </w:r>
    </w:p>
    <w:p w14:paraId="37C1A0C9" w14:textId="7C5A7B00" w:rsidR="00407955" w:rsidRPr="00491111" w:rsidRDefault="001A54A1" w:rsidP="00E3434C">
      <w:pPr>
        <w:pStyle w:val="ListParagraph"/>
        <w:numPr>
          <w:ilvl w:val="1"/>
          <w:numId w:val="13"/>
        </w:numPr>
        <w:spacing w:before="135" w:line="360" w:lineRule="auto"/>
      </w:pPr>
      <w:r w:rsidRPr="00491111">
        <w:t>Each agency will make an appropriate record of any issues and the corresponding</w:t>
      </w:r>
      <w:bookmarkStart w:id="10" w:name="_bookmark10"/>
      <w:bookmarkEnd w:id="10"/>
      <w:r w:rsidR="00332D9F" w:rsidRPr="00491111">
        <w:t xml:space="preserve"> </w:t>
      </w:r>
      <w:r w:rsidRPr="00491111">
        <w:t>resolution.</w:t>
      </w:r>
    </w:p>
    <w:p w14:paraId="37C1A0CB" w14:textId="77777777" w:rsidR="00407955" w:rsidRPr="00491111" w:rsidRDefault="00407955" w:rsidP="009570CE">
      <w:pPr>
        <w:spacing w:line="360" w:lineRule="auto"/>
      </w:pPr>
    </w:p>
    <w:p w14:paraId="37C1A0CC" w14:textId="57A56231" w:rsidR="00407955" w:rsidRPr="00491111" w:rsidRDefault="001A54A1" w:rsidP="00026B7E">
      <w:pPr>
        <w:pStyle w:val="ListParagraph"/>
        <w:numPr>
          <w:ilvl w:val="0"/>
          <w:numId w:val="13"/>
        </w:numPr>
        <w:spacing w:line="360" w:lineRule="auto"/>
        <w:ind w:left="993" w:hanging="993"/>
        <w:rPr>
          <w:b/>
          <w:bCs/>
          <w:sz w:val="24"/>
          <w:szCs w:val="24"/>
        </w:rPr>
      </w:pPr>
      <w:r w:rsidRPr="00491111">
        <w:rPr>
          <w:b/>
          <w:bCs/>
          <w:sz w:val="24"/>
          <w:szCs w:val="24"/>
        </w:rPr>
        <w:t>Term of Mo</w:t>
      </w:r>
      <w:r w:rsidR="001C2A2D" w:rsidRPr="00491111">
        <w:rPr>
          <w:b/>
          <w:bCs/>
          <w:sz w:val="24"/>
          <w:szCs w:val="24"/>
        </w:rPr>
        <w:t>U</w:t>
      </w:r>
    </w:p>
    <w:p w14:paraId="37C1A0CD" w14:textId="3333CB94" w:rsidR="00407955" w:rsidRPr="00491111" w:rsidRDefault="001A54A1" w:rsidP="00E3434C">
      <w:pPr>
        <w:pStyle w:val="ListParagraph"/>
        <w:numPr>
          <w:ilvl w:val="1"/>
          <w:numId w:val="13"/>
        </w:numPr>
        <w:spacing w:before="135" w:line="360" w:lineRule="auto"/>
      </w:pPr>
      <w:r w:rsidRPr="00491111">
        <w:t xml:space="preserve">This MoU comes </w:t>
      </w:r>
      <w:r w:rsidR="00B85B29" w:rsidRPr="00491111">
        <w:t>i</w:t>
      </w:r>
      <w:r w:rsidRPr="00491111">
        <w:t xml:space="preserve">nto effect </w:t>
      </w:r>
      <w:r w:rsidR="0086780C" w:rsidRPr="00491111">
        <w:t>on signing by</w:t>
      </w:r>
      <w:r w:rsidRPr="00491111">
        <w:t xml:space="preserve"> both parties </w:t>
      </w:r>
      <w:r w:rsidR="008A31A2" w:rsidRPr="00491111">
        <w:t xml:space="preserve">if on </w:t>
      </w:r>
      <w:proofErr w:type="gramStart"/>
      <w:r w:rsidR="008A31A2" w:rsidRPr="00491111">
        <w:t>or</w:t>
      </w:r>
      <w:proofErr w:type="gramEnd"/>
      <w:r w:rsidR="008A31A2" w:rsidRPr="00491111">
        <w:t xml:space="preserve"> after 1 November 2025.</w:t>
      </w:r>
    </w:p>
    <w:p w14:paraId="74AC5955" w14:textId="5E01D6F8" w:rsidR="00C83EB0" w:rsidRPr="00491111" w:rsidRDefault="001A54A1" w:rsidP="00E3434C">
      <w:pPr>
        <w:pStyle w:val="ListParagraph"/>
        <w:numPr>
          <w:ilvl w:val="1"/>
          <w:numId w:val="13"/>
        </w:numPr>
        <w:spacing w:before="135" w:line="360" w:lineRule="auto"/>
      </w:pPr>
      <w:r w:rsidRPr="00491111">
        <w:t>The MoU will remain in effect until both agencies jointly agree in writing that it is to be terminated.</w:t>
      </w:r>
    </w:p>
    <w:p w14:paraId="4605746D" w14:textId="334E5138" w:rsidR="00F12281" w:rsidRPr="00491111" w:rsidRDefault="00F12281">
      <w:r w:rsidRPr="00491111">
        <w:br w:type="page"/>
      </w:r>
    </w:p>
    <w:p w14:paraId="5E8EAACE" w14:textId="77777777" w:rsidR="009B439D" w:rsidRPr="00491111" w:rsidRDefault="009B439D" w:rsidP="009570CE">
      <w:pPr>
        <w:spacing w:line="360" w:lineRule="auto"/>
      </w:pPr>
    </w:p>
    <w:p w14:paraId="37C1A0D0" w14:textId="08B222A5" w:rsidR="00407955" w:rsidRPr="00491111" w:rsidRDefault="001A54A1" w:rsidP="00026B7E">
      <w:pPr>
        <w:pStyle w:val="NewSectionHeading"/>
      </w:pPr>
      <w:bookmarkStart w:id="11" w:name="_bookmark11"/>
      <w:bookmarkEnd w:id="11"/>
      <w:r w:rsidRPr="00491111">
        <w:t>Signatories</w:t>
      </w:r>
    </w:p>
    <w:p w14:paraId="37C1A0D1" w14:textId="77777777" w:rsidR="00407955" w:rsidRPr="00491111" w:rsidRDefault="00407955" w:rsidP="009570CE">
      <w:pPr>
        <w:spacing w:line="360" w:lineRule="auto"/>
      </w:pPr>
    </w:p>
    <w:p w14:paraId="37C1A0D2" w14:textId="58839393" w:rsidR="00407955" w:rsidRPr="00491111" w:rsidRDefault="001A54A1" w:rsidP="009570CE">
      <w:pPr>
        <w:spacing w:line="360" w:lineRule="auto"/>
      </w:pPr>
      <w:r w:rsidRPr="00491111">
        <w:t>Signed by the Commissioner of the Aged Care Quality and Safety Commission in the presence of:</w:t>
      </w:r>
    </w:p>
    <w:p w14:paraId="2683189A" w14:textId="77777777" w:rsidR="003030B6" w:rsidRPr="00491111" w:rsidRDefault="003030B6" w:rsidP="009570CE">
      <w:pPr>
        <w:spacing w:line="360" w:lineRule="auto"/>
      </w:pPr>
    </w:p>
    <w:p w14:paraId="39FD8257" w14:textId="77777777" w:rsidR="003030B6" w:rsidRPr="00491111" w:rsidRDefault="003030B6" w:rsidP="009570CE">
      <w:pPr>
        <w:spacing w:line="360" w:lineRule="auto"/>
      </w:pPr>
    </w:p>
    <w:p w14:paraId="7781EF82" w14:textId="7E2E8736" w:rsidR="003030B6" w:rsidRPr="00491111" w:rsidRDefault="00D90209" w:rsidP="009570CE">
      <w:pPr>
        <w:spacing w:line="360" w:lineRule="auto"/>
      </w:pPr>
      <w:r w:rsidRPr="00491111">
        <w:t>________________________                       __</w:t>
      </w:r>
      <w:r w:rsidR="009A0942" w:rsidRPr="00491111">
        <w:t>______________________</w:t>
      </w:r>
      <w:r w:rsidR="00CB3E5E" w:rsidRPr="00491111">
        <w:t>_</w:t>
      </w:r>
    </w:p>
    <w:p w14:paraId="5C2ABDB4" w14:textId="6300DDEA" w:rsidR="003030B6" w:rsidRPr="00491111" w:rsidRDefault="003030B6" w:rsidP="009570CE">
      <w:pPr>
        <w:spacing w:line="360" w:lineRule="auto"/>
      </w:pPr>
      <w:r w:rsidRPr="00491111">
        <w:t xml:space="preserve">Signature of </w:t>
      </w:r>
      <w:r w:rsidR="0048533A" w:rsidRPr="00491111">
        <w:t>Liz Hefren-Webb</w:t>
      </w:r>
      <w:r w:rsidR="009A0942" w:rsidRPr="00491111">
        <w:tab/>
      </w:r>
      <w:r w:rsidR="009A0942" w:rsidRPr="00491111">
        <w:tab/>
        <w:t xml:space="preserve">Signature of witness </w:t>
      </w:r>
    </w:p>
    <w:p w14:paraId="37C1A0D6" w14:textId="428C5CE6" w:rsidR="00407955" w:rsidRPr="00491111" w:rsidRDefault="009A0942" w:rsidP="009570CE">
      <w:pPr>
        <w:spacing w:line="360" w:lineRule="auto"/>
        <w:sectPr w:rsidR="00407955" w:rsidRPr="00491111" w:rsidSect="00E53AF1">
          <w:footerReference w:type="default" r:id="rId18"/>
          <w:pgSz w:w="11910" w:h="16840"/>
          <w:pgMar w:top="1440" w:right="1080" w:bottom="1440" w:left="1080" w:header="0" w:footer="1449" w:gutter="0"/>
          <w:cols w:space="720"/>
          <w:docGrid w:linePitch="299"/>
        </w:sectPr>
      </w:pPr>
      <w:r w:rsidRPr="00491111">
        <w:t xml:space="preserve">Date </w:t>
      </w:r>
      <w:r w:rsidRPr="00491111">
        <w:tab/>
      </w:r>
      <w:r w:rsidRPr="00491111">
        <w:tab/>
      </w:r>
      <w:r w:rsidRPr="00491111">
        <w:tab/>
      </w:r>
      <w:r w:rsidRPr="00491111">
        <w:tab/>
      </w:r>
      <w:r w:rsidRPr="00491111">
        <w:tab/>
      </w:r>
      <w:r w:rsidRPr="00491111">
        <w:tab/>
      </w:r>
      <w:proofErr w:type="spellStart"/>
      <w:r w:rsidRPr="00491111">
        <w:t>Date</w:t>
      </w:r>
      <w:proofErr w:type="spellEnd"/>
    </w:p>
    <w:p w14:paraId="37C1A0D9" w14:textId="77777777" w:rsidR="00407955" w:rsidRPr="00491111" w:rsidRDefault="00407955" w:rsidP="009570CE">
      <w:pPr>
        <w:spacing w:line="360" w:lineRule="auto"/>
        <w:sectPr w:rsidR="00407955" w:rsidRPr="00491111">
          <w:type w:val="continuous"/>
          <w:pgSz w:w="11910" w:h="16840"/>
          <w:pgMar w:top="1920" w:right="1620" w:bottom="280" w:left="1680" w:header="0" w:footer="1449" w:gutter="0"/>
          <w:cols w:num="2" w:space="720" w:equalWidth="0">
            <w:col w:w="3071" w:space="1243"/>
            <w:col w:w="4296"/>
          </w:cols>
        </w:sectPr>
      </w:pPr>
    </w:p>
    <w:p w14:paraId="63EB9652" w14:textId="77777777" w:rsidR="00F12281" w:rsidRPr="00491111" w:rsidRDefault="00F12281" w:rsidP="009570CE">
      <w:pPr>
        <w:spacing w:line="360" w:lineRule="auto"/>
      </w:pPr>
    </w:p>
    <w:p w14:paraId="03F90BB6" w14:textId="77777777" w:rsidR="00D95822" w:rsidRPr="00491111" w:rsidRDefault="00D95822" w:rsidP="009570CE">
      <w:pPr>
        <w:spacing w:line="360" w:lineRule="auto"/>
      </w:pPr>
    </w:p>
    <w:p w14:paraId="37C1A0DF" w14:textId="531912F4" w:rsidR="00407955" w:rsidRPr="00491111" w:rsidRDefault="001A54A1" w:rsidP="009570CE">
      <w:pPr>
        <w:spacing w:line="360" w:lineRule="auto"/>
      </w:pPr>
      <w:r w:rsidRPr="00491111">
        <w:t xml:space="preserve">Signed by the Deputy Secretary of </w:t>
      </w:r>
      <w:r w:rsidR="00A821B0" w:rsidRPr="00491111">
        <w:t xml:space="preserve">Ageing and Aged Care, </w:t>
      </w:r>
      <w:r w:rsidRPr="00491111">
        <w:t>Department of Health</w:t>
      </w:r>
      <w:r w:rsidR="00792816" w:rsidRPr="00491111">
        <w:t xml:space="preserve">, Disability and Ageing </w:t>
      </w:r>
      <w:r w:rsidRPr="00491111">
        <w:t>in the presence of:</w:t>
      </w:r>
    </w:p>
    <w:p w14:paraId="2FA39349" w14:textId="7C4B4547" w:rsidR="003030B6" w:rsidRPr="00491111" w:rsidRDefault="003030B6" w:rsidP="009570CE">
      <w:pPr>
        <w:spacing w:line="360" w:lineRule="auto"/>
      </w:pPr>
    </w:p>
    <w:p w14:paraId="1BC9369E" w14:textId="77777777" w:rsidR="003030B6" w:rsidRPr="00491111" w:rsidRDefault="003030B6" w:rsidP="009570CE">
      <w:pPr>
        <w:spacing w:line="360" w:lineRule="auto"/>
      </w:pPr>
    </w:p>
    <w:p w14:paraId="04E37009" w14:textId="77777777" w:rsidR="003030B6" w:rsidRPr="00491111" w:rsidRDefault="003030B6" w:rsidP="009570CE">
      <w:pPr>
        <w:spacing w:line="360" w:lineRule="auto"/>
      </w:pPr>
    </w:p>
    <w:p w14:paraId="54184B06" w14:textId="525A1C7D" w:rsidR="003030B6" w:rsidRPr="00491111" w:rsidRDefault="008904D5" w:rsidP="009570CE">
      <w:pPr>
        <w:spacing w:line="360" w:lineRule="auto"/>
      </w:pPr>
      <w:r w:rsidRPr="00491111">
        <w:t>________________________                       __</w:t>
      </w:r>
      <w:r w:rsidR="003030B6" w:rsidRPr="00491111">
        <w:t>_______________________</w:t>
      </w:r>
    </w:p>
    <w:p w14:paraId="086DC771" w14:textId="013AC8E5" w:rsidR="003030B6" w:rsidRPr="00491111" w:rsidRDefault="003030B6" w:rsidP="009570CE">
      <w:pPr>
        <w:spacing w:line="360" w:lineRule="auto"/>
      </w:pPr>
      <w:r w:rsidRPr="00491111">
        <w:t>Signature of</w:t>
      </w:r>
      <w:r w:rsidR="00547324" w:rsidRPr="00491111">
        <w:t xml:space="preserve"> Sonja </w:t>
      </w:r>
      <w:r w:rsidR="008904D5" w:rsidRPr="00491111">
        <w:t>Stewart</w:t>
      </w:r>
      <w:r w:rsidRPr="00491111">
        <w:tab/>
      </w:r>
      <w:r w:rsidRPr="00491111">
        <w:tab/>
      </w:r>
      <w:r w:rsidRPr="00491111">
        <w:tab/>
        <w:t xml:space="preserve">Signature of witness </w:t>
      </w:r>
    </w:p>
    <w:p w14:paraId="03363EE2" w14:textId="4C33B884" w:rsidR="003030B6" w:rsidRPr="00491111" w:rsidRDefault="003030B6" w:rsidP="009570CE">
      <w:pPr>
        <w:spacing w:line="360" w:lineRule="auto"/>
      </w:pPr>
      <w:r w:rsidRPr="00491111">
        <w:t xml:space="preserve">Date </w:t>
      </w:r>
      <w:r w:rsidRPr="00491111">
        <w:tab/>
      </w:r>
      <w:r w:rsidRPr="00491111">
        <w:tab/>
      </w:r>
      <w:r w:rsidRPr="00491111">
        <w:tab/>
      </w:r>
      <w:r w:rsidRPr="00491111">
        <w:tab/>
      </w:r>
      <w:r w:rsidRPr="00491111">
        <w:tab/>
      </w:r>
      <w:r w:rsidRPr="00491111">
        <w:tab/>
      </w:r>
      <w:proofErr w:type="spellStart"/>
      <w:r w:rsidRPr="00491111">
        <w:t>Date</w:t>
      </w:r>
      <w:proofErr w:type="spellEnd"/>
      <w:r w:rsidRPr="00491111">
        <w:t xml:space="preserve"> </w:t>
      </w:r>
    </w:p>
    <w:p w14:paraId="37C1A0E1" w14:textId="42DBEF4E" w:rsidR="00407955" w:rsidRPr="00681D07" w:rsidRDefault="00407955" w:rsidP="00016C61"/>
    <w:sectPr w:rsidR="00407955" w:rsidRPr="00681D07" w:rsidSect="00DD0FA5">
      <w:type w:val="continuous"/>
      <w:pgSz w:w="11910" w:h="16840"/>
      <w:pgMar w:top="1440" w:right="1080" w:bottom="1440" w:left="1080" w:header="0" w:footer="144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168AD" w14:textId="77777777" w:rsidR="004630BB" w:rsidRPr="00491111" w:rsidRDefault="004630BB">
      <w:r w:rsidRPr="00491111">
        <w:separator/>
      </w:r>
    </w:p>
  </w:endnote>
  <w:endnote w:type="continuationSeparator" w:id="0">
    <w:p w14:paraId="65944850" w14:textId="77777777" w:rsidR="004630BB" w:rsidRPr="00491111" w:rsidRDefault="004630BB">
      <w:r w:rsidRPr="00491111">
        <w:continuationSeparator/>
      </w:r>
    </w:p>
  </w:endnote>
  <w:endnote w:type="continuationNotice" w:id="1">
    <w:p w14:paraId="189E7249" w14:textId="77777777" w:rsidR="004630BB" w:rsidRPr="00491111" w:rsidRDefault="004630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Serif">
    <w:charset w:val="00"/>
    <w:family w:val="roman"/>
    <w:pitch w:val="variable"/>
    <w:sig w:usb0="A11526FF" w:usb1="C000ECFB" w:usb2="0001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FF24C" w14:textId="436BF411" w:rsidR="00387410" w:rsidRDefault="00897C47">
    <w:pPr>
      <w:pStyle w:val="Footer"/>
    </w:pPr>
    <w:r>
      <w:rPr>
        <w:noProof/>
      </w:rPr>
      <mc:AlternateContent>
        <mc:Choice Requires="wps">
          <w:drawing>
            <wp:anchor distT="0" distB="0" distL="0" distR="0" simplePos="0" relativeHeight="251669504" behindDoc="0" locked="0" layoutInCell="1" allowOverlap="1" wp14:anchorId="1F7F085E" wp14:editId="3C73F5E0">
              <wp:simplePos x="635" y="635"/>
              <wp:positionH relativeFrom="page">
                <wp:align>center</wp:align>
              </wp:positionH>
              <wp:positionV relativeFrom="page">
                <wp:align>bottom</wp:align>
              </wp:positionV>
              <wp:extent cx="622300" cy="376555"/>
              <wp:effectExtent l="0" t="0" r="6350" b="0"/>
              <wp:wrapNone/>
              <wp:docPr id="57820845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DE7446B" w14:textId="5C38A937" w:rsidR="00897C47" w:rsidRPr="00897C47" w:rsidRDefault="00897C47" w:rsidP="00897C47">
                          <w:pPr>
                            <w:rPr>
                              <w:rFonts w:ascii="Aptos" w:eastAsia="Aptos" w:hAnsi="Aptos" w:cs="Aptos"/>
                              <w:noProof/>
                              <w:color w:val="FF0000"/>
                              <w:sz w:val="24"/>
                              <w:szCs w:val="24"/>
                            </w:rPr>
                          </w:pPr>
                          <w:r w:rsidRPr="00897C47">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7F085E"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6DE7446B" w14:textId="5C38A937" w:rsidR="00897C47" w:rsidRPr="00897C47" w:rsidRDefault="00897C47" w:rsidP="00897C47">
                    <w:pPr>
                      <w:rPr>
                        <w:rFonts w:ascii="Aptos" w:eastAsia="Aptos" w:hAnsi="Aptos" w:cs="Aptos"/>
                        <w:noProof/>
                        <w:color w:val="FF0000"/>
                        <w:sz w:val="24"/>
                        <w:szCs w:val="24"/>
                      </w:rPr>
                    </w:pPr>
                    <w:r w:rsidRPr="00897C47">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6D6DD" w14:textId="3A73062A" w:rsidR="00387410" w:rsidRDefault="00897C47">
    <w:pPr>
      <w:pStyle w:val="Footer"/>
    </w:pPr>
    <w:r>
      <w:rPr>
        <w:noProof/>
      </w:rPr>
      <mc:AlternateContent>
        <mc:Choice Requires="wps">
          <w:drawing>
            <wp:anchor distT="0" distB="0" distL="0" distR="0" simplePos="0" relativeHeight="251670528" behindDoc="0" locked="0" layoutInCell="1" allowOverlap="1" wp14:anchorId="69C05378" wp14:editId="73E2012A">
              <wp:simplePos x="635" y="635"/>
              <wp:positionH relativeFrom="page">
                <wp:align>center</wp:align>
              </wp:positionH>
              <wp:positionV relativeFrom="page">
                <wp:align>bottom</wp:align>
              </wp:positionV>
              <wp:extent cx="622300" cy="376555"/>
              <wp:effectExtent l="0" t="0" r="6350" b="0"/>
              <wp:wrapNone/>
              <wp:docPr id="119972732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F3651F4" w14:textId="538C2F0C" w:rsidR="00897C47" w:rsidRPr="00897C47" w:rsidRDefault="00897C47" w:rsidP="00897C47">
                          <w:pPr>
                            <w:rPr>
                              <w:rFonts w:ascii="Aptos" w:eastAsia="Aptos" w:hAnsi="Aptos" w:cs="Aptos"/>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C05378"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7F3651F4" w14:textId="538C2F0C" w:rsidR="00897C47" w:rsidRPr="00897C47" w:rsidRDefault="00897C47" w:rsidP="00897C47">
                    <w:pPr>
                      <w:rPr>
                        <w:rFonts w:ascii="Aptos" w:eastAsia="Aptos" w:hAnsi="Aptos" w:cs="Aptos"/>
                        <w:noProof/>
                        <w:color w:val="FF0000"/>
                        <w:sz w:val="24"/>
                        <w:szCs w:val="2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FC379" w14:textId="18E71DC5" w:rsidR="00387410" w:rsidRDefault="00897C47">
    <w:pPr>
      <w:pStyle w:val="Footer"/>
    </w:pPr>
    <w:r>
      <w:rPr>
        <w:noProof/>
      </w:rPr>
      <mc:AlternateContent>
        <mc:Choice Requires="wps">
          <w:drawing>
            <wp:anchor distT="0" distB="0" distL="0" distR="0" simplePos="0" relativeHeight="251668480" behindDoc="0" locked="0" layoutInCell="1" allowOverlap="1" wp14:anchorId="756DCB8E" wp14:editId="1D637097">
              <wp:simplePos x="635" y="635"/>
              <wp:positionH relativeFrom="page">
                <wp:align>center</wp:align>
              </wp:positionH>
              <wp:positionV relativeFrom="page">
                <wp:align>bottom</wp:align>
              </wp:positionV>
              <wp:extent cx="622300" cy="376555"/>
              <wp:effectExtent l="0" t="0" r="6350" b="0"/>
              <wp:wrapNone/>
              <wp:docPr id="11352350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3678EB3" w14:textId="76DA476F" w:rsidR="00897C47" w:rsidRPr="00897C47" w:rsidRDefault="00897C47" w:rsidP="00897C47">
                          <w:pPr>
                            <w:rPr>
                              <w:rFonts w:ascii="Aptos" w:eastAsia="Aptos" w:hAnsi="Aptos" w:cs="Aptos"/>
                              <w:noProof/>
                              <w:color w:val="FF0000"/>
                              <w:sz w:val="24"/>
                              <w:szCs w:val="24"/>
                            </w:rPr>
                          </w:pPr>
                          <w:r w:rsidRPr="00897C47">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6DCB8E"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43678EB3" w14:textId="76DA476F" w:rsidR="00897C47" w:rsidRPr="00897C47" w:rsidRDefault="00897C47" w:rsidP="00897C47">
                    <w:pPr>
                      <w:rPr>
                        <w:rFonts w:ascii="Aptos" w:eastAsia="Aptos" w:hAnsi="Aptos" w:cs="Aptos"/>
                        <w:noProof/>
                        <w:color w:val="FF0000"/>
                        <w:sz w:val="24"/>
                        <w:szCs w:val="24"/>
                      </w:rPr>
                    </w:pPr>
                    <w:r w:rsidRPr="00897C47">
                      <w:rPr>
                        <w:rFonts w:ascii="Aptos" w:eastAsia="Aptos" w:hAnsi="Aptos" w:cs="Aptos"/>
                        <w:noProof/>
                        <w:color w:val="FF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3E222" w14:textId="5FEED267" w:rsidR="00EB01B5" w:rsidRPr="00491111" w:rsidRDefault="00000000">
    <w:pPr>
      <w:pStyle w:val="Footer"/>
      <w:jc w:val="right"/>
    </w:pPr>
    <w:sdt>
      <w:sdtPr>
        <w:id w:val="1189955197"/>
        <w:docPartObj>
          <w:docPartGallery w:val="Page Numbers (Bottom of Page)"/>
          <w:docPartUnique/>
        </w:docPartObj>
      </w:sdtPr>
      <w:sdtContent>
        <w:sdt>
          <w:sdtPr>
            <w:id w:val="-1769616900"/>
            <w:docPartObj>
              <w:docPartGallery w:val="Page Numbers (Top of Page)"/>
              <w:docPartUnique/>
            </w:docPartObj>
          </w:sdtPr>
          <w:sdtContent>
            <w:r w:rsidR="00EB01B5" w:rsidRPr="00491111">
              <w:t xml:space="preserve">Page </w:t>
            </w:r>
            <w:r w:rsidR="00EB01B5" w:rsidRPr="00491111">
              <w:rPr>
                <w:b/>
                <w:bCs/>
                <w:sz w:val="24"/>
                <w:szCs w:val="24"/>
              </w:rPr>
              <w:fldChar w:fldCharType="begin"/>
            </w:r>
            <w:r w:rsidR="00EB01B5" w:rsidRPr="00491111">
              <w:rPr>
                <w:b/>
                <w:bCs/>
              </w:rPr>
              <w:instrText xml:space="preserve"> PAGE </w:instrText>
            </w:r>
            <w:r w:rsidR="00EB01B5" w:rsidRPr="00491111">
              <w:rPr>
                <w:b/>
                <w:bCs/>
                <w:sz w:val="24"/>
                <w:szCs w:val="24"/>
              </w:rPr>
              <w:fldChar w:fldCharType="separate"/>
            </w:r>
            <w:r w:rsidR="00EB01B5" w:rsidRPr="001360DE">
              <w:rPr>
                <w:b/>
                <w:bCs/>
              </w:rPr>
              <w:t>2</w:t>
            </w:r>
            <w:r w:rsidR="00EB01B5" w:rsidRPr="00491111">
              <w:rPr>
                <w:b/>
                <w:bCs/>
                <w:sz w:val="24"/>
                <w:szCs w:val="24"/>
              </w:rPr>
              <w:fldChar w:fldCharType="end"/>
            </w:r>
            <w:r w:rsidR="00EB01B5" w:rsidRPr="00491111">
              <w:t xml:space="preserve"> of </w:t>
            </w:r>
            <w:r w:rsidR="00EB01B5" w:rsidRPr="00491111">
              <w:rPr>
                <w:b/>
                <w:bCs/>
                <w:sz w:val="24"/>
                <w:szCs w:val="24"/>
              </w:rPr>
              <w:fldChar w:fldCharType="begin"/>
            </w:r>
            <w:r w:rsidR="00EB01B5" w:rsidRPr="00491111">
              <w:rPr>
                <w:b/>
                <w:bCs/>
              </w:rPr>
              <w:instrText xml:space="preserve"> NUMPAGES  </w:instrText>
            </w:r>
            <w:r w:rsidR="00EB01B5" w:rsidRPr="00491111">
              <w:rPr>
                <w:b/>
                <w:bCs/>
                <w:sz w:val="24"/>
                <w:szCs w:val="24"/>
              </w:rPr>
              <w:fldChar w:fldCharType="separate"/>
            </w:r>
            <w:r w:rsidR="00EB01B5" w:rsidRPr="001360DE">
              <w:rPr>
                <w:b/>
                <w:bCs/>
              </w:rPr>
              <w:t>2</w:t>
            </w:r>
            <w:r w:rsidR="00EB01B5" w:rsidRPr="00491111">
              <w:rPr>
                <w:b/>
                <w:bCs/>
                <w:sz w:val="24"/>
                <w:szCs w:val="24"/>
              </w:rPr>
              <w:fldChar w:fldCharType="end"/>
            </w:r>
          </w:sdtContent>
        </w:sdt>
      </w:sdtContent>
    </w:sdt>
  </w:p>
  <w:p w14:paraId="37C1A0EE" w14:textId="5E5EEECB" w:rsidR="00407955" w:rsidRPr="00491111" w:rsidRDefault="00407955">
    <w:pPr>
      <w:pStyle w:val="BodyText"/>
      <w:spacing w:line="14" w:lineRule="auto"/>
      <w:rPr>
        <w:sz w:val="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74531" w14:textId="77777777" w:rsidR="004630BB" w:rsidRPr="00491111" w:rsidRDefault="004630BB">
      <w:r w:rsidRPr="00491111">
        <w:separator/>
      </w:r>
    </w:p>
  </w:footnote>
  <w:footnote w:type="continuationSeparator" w:id="0">
    <w:p w14:paraId="462DF264" w14:textId="77777777" w:rsidR="004630BB" w:rsidRPr="00491111" w:rsidRDefault="004630BB">
      <w:r w:rsidRPr="00491111">
        <w:continuationSeparator/>
      </w:r>
    </w:p>
  </w:footnote>
  <w:footnote w:type="continuationNotice" w:id="1">
    <w:p w14:paraId="290A4ACC" w14:textId="77777777" w:rsidR="004630BB" w:rsidRPr="00491111" w:rsidRDefault="004630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2A54" w14:textId="3A046D3D" w:rsidR="00387410" w:rsidRDefault="00897C47">
    <w:pPr>
      <w:pStyle w:val="Header"/>
    </w:pPr>
    <w:r>
      <w:rPr>
        <w:noProof/>
      </w:rPr>
      <mc:AlternateContent>
        <mc:Choice Requires="wps">
          <w:drawing>
            <wp:anchor distT="0" distB="0" distL="0" distR="0" simplePos="0" relativeHeight="251666432" behindDoc="0" locked="0" layoutInCell="1" allowOverlap="1" wp14:anchorId="56DF9593" wp14:editId="6EA2E2A4">
              <wp:simplePos x="635" y="635"/>
              <wp:positionH relativeFrom="page">
                <wp:align>center</wp:align>
              </wp:positionH>
              <wp:positionV relativeFrom="page">
                <wp:align>top</wp:align>
              </wp:positionV>
              <wp:extent cx="622300" cy="376555"/>
              <wp:effectExtent l="0" t="0" r="6350" b="4445"/>
              <wp:wrapNone/>
              <wp:docPr id="107971731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7A33FF4" w14:textId="6CD93ABF" w:rsidR="00897C47" w:rsidRPr="00897C47" w:rsidRDefault="00897C47" w:rsidP="00897C47">
                          <w:pPr>
                            <w:rPr>
                              <w:rFonts w:ascii="Aptos" w:eastAsia="Aptos" w:hAnsi="Aptos" w:cs="Aptos"/>
                              <w:noProof/>
                              <w:color w:val="FF0000"/>
                              <w:sz w:val="24"/>
                              <w:szCs w:val="24"/>
                            </w:rPr>
                          </w:pPr>
                          <w:r w:rsidRPr="00897C47">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DF9593"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17A33FF4" w14:textId="6CD93ABF" w:rsidR="00897C47" w:rsidRPr="00897C47" w:rsidRDefault="00897C47" w:rsidP="00897C47">
                    <w:pPr>
                      <w:rPr>
                        <w:rFonts w:ascii="Aptos" w:eastAsia="Aptos" w:hAnsi="Aptos" w:cs="Aptos"/>
                        <w:noProof/>
                        <w:color w:val="FF0000"/>
                        <w:sz w:val="24"/>
                        <w:szCs w:val="24"/>
                      </w:rPr>
                    </w:pPr>
                    <w:r w:rsidRPr="00897C47">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9F740" w14:textId="461EDD79" w:rsidR="00387410" w:rsidRDefault="00897C47">
    <w:pPr>
      <w:pStyle w:val="Header"/>
    </w:pPr>
    <w:r>
      <w:rPr>
        <w:noProof/>
      </w:rPr>
      <mc:AlternateContent>
        <mc:Choice Requires="wps">
          <w:drawing>
            <wp:anchor distT="0" distB="0" distL="0" distR="0" simplePos="0" relativeHeight="251667456" behindDoc="0" locked="0" layoutInCell="1" allowOverlap="1" wp14:anchorId="292342B3" wp14:editId="313018DE">
              <wp:simplePos x="635" y="635"/>
              <wp:positionH relativeFrom="page">
                <wp:align>center</wp:align>
              </wp:positionH>
              <wp:positionV relativeFrom="page">
                <wp:align>top</wp:align>
              </wp:positionV>
              <wp:extent cx="622300" cy="376555"/>
              <wp:effectExtent l="0" t="0" r="6350" b="4445"/>
              <wp:wrapNone/>
              <wp:docPr id="154929255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CD0981B" w14:textId="26C7CAE9" w:rsidR="00897C47" w:rsidRPr="00897C47" w:rsidRDefault="00897C47" w:rsidP="00897C47">
                          <w:pPr>
                            <w:rPr>
                              <w:rFonts w:ascii="Aptos" w:eastAsia="Aptos" w:hAnsi="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2342B3"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6CD0981B" w14:textId="26C7CAE9" w:rsidR="00897C47" w:rsidRPr="00897C47" w:rsidRDefault="00897C47" w:rsidP="00897C47">
                    <w:pPr>
                      <w:rPr>
                        <w:rFonts w:ascii="Aptos" w:eastAsia="Aptos" w:hAnsi="Aptos" w:cs="Aptos"/>
                        <w:noProof/>
                        <w:color w:val="FF0000"/>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F96A5" w14:textId="217F39FB" w:rsidR="00387410" w:rsidRDefault="00897C47">
    <w:pPr>
      <w:pStyle w:val="Header"/>
    </w:pPr>
    <w:r>
      <w:rPr>
        <w:noProof/>
      </w:rPr>
      <mc:AlternateContent>
        <mc:Choice Requires="wps">
          <w:drawing>
            <wp:anchor distT="0" distB="0" distL="0" distR="0" simplePos="0" relativeHeight="251665408" behindDoc="0" locked="0" layoutInCell="1" allowOverlap="1" wp14:anchorId="28E017B8" wp14:editId="06CBEEC6">
              <wp:simplePos x="635" y="635"/>
              <wp:positionH relativeFrom="page">
                <wp:align>center</wp:align>
              </wp:positionH>
              <wp:positionV relativeFrom="page">
                <wp:align>top</wp:align>
              </wp:positionV>
              <wp:extent cx="622300" cy="376555"/>
              <wp:effectExtent l="0" t="0" r="6350" b="4445"/>
              <wp:wrapNone/>
              <wp:docPr id="189034246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8477338" w14:textId="581BE0C4" w:rsidR="00897C47" w:rsidRPr="00897C47" w:rsidRDefault="00897C47" w:rsidP="00897C47">
                          <w:pPr>
                            <w:rPr>
                              <w:rFonts w:ascii="Aptos" w:eastAsia="Aptos" w:hAnsi="Aptos" w:cs="Aptos"/>
                              <w:noProof/>
                              <w:color w:val="FF0000"/>
                              <w:sz w:val="24"/>
                              <w:szCs w:val="24"/>
                            </w:rPr>
                          </w:pPr>
                          <w:r w:rsidRPr="00897C47">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E017B8"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28477338" w14:textId="581BE0C4" w:rsidR="00897C47" w:rsidRPr="00897C47" w:rsidRDefault="00897C47" w:rsidP="00897C47">
                    <w:pPr>
                      <w:rPr>
                        <w:rFonts w:ascii="Aptos" w:eastAsia="Aptos" w:hAnsi="Aptos" w:cs="Aptos"/>
                        <w:noProof/>
                        <w:color w:val="FF0000"/>
                        <w:sz w:val="24"/>
                        <w:szCs w:val="24"/>
                      </w:rPr>
                    </w:pPr>
                    <w:r w:rsidRPr="00897C47">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10E1"/>
    <w:multiLevelType w:val="hybridMultilevel"/>
    <w:tmpl w:val="549424B2"/>
    <w:lvl w:ilvl="0" w:tplc="449A1494">
      <w:start w:val="1"/>
      <w:numFmt w:val="bullet"/>
      <w:lvlText w:val=""/>
      <w:lvlJc w:val="left"/>
      <w:pPr>
        <w:ind w:left="1440" w:hanging="360"/>
      </w:pPr>
      <w:rPr>
        <w:rFonts w:ascii="Symbol" w:hAnsi="Symbol"/>
      </w:rPr>
    </w:lvl>
    <w:lvl w:ilvl="1" w:tplc="BC2A2E14">
      <w:start w:val="1"/>
      <w:numFmt w:val="bullet"/>
      <w:lvlText w:val=""/>
      <w:lvlJc w:val="left"/>
      <w:pPr>
        <w:ind w:left="1440" w:hanging="360"/>
      </w:pPr>
      <w:rPr>
        <w:rFonts w:ascii="Symbol" w:hAnsi="Symbol"/>
      </w:rPr>
    </w:lvl>
    <w:lvl w:ilvl="2" w:tplc="027A7D26">
      <w:start w:val="1"/>
      <w:numFmt w:val="bullet"/>
      <w:lvlText w:val=""/>
      <w:lvlJc w:val="left"/>
      <w:pPr>
        <w:ind w:left="1440" w:hanging="360"/>
      </w:pPr>
      <w:rPr>
        <w:rFonts w:ascii="Symbol" w:hAnsi="Symbol"/>
      </w:rPr>
    </w:lvl>
    <w:lvl w:ilvl="3" w:tplc="B65EC084">
      <w:start w:val="1"/>
      <w:numFmt w:val="bullet"/>
      <w:lvlText w:val=""/>
      <w:lvlJc w:val="left"/>
      <w:pPr>
        <w:ind w:left="1440" w:hanging="360"/>
      </w:pPr>
      <w:rPr>
        <w:rFonts w:ascii="Symbol" w:hAnsi="Symbol"/>
      </w:rPr>
    </w:lvl>
    <w:lvl w:ilvl="4" w:tplc="41AE4342">
      <w:start w:val="1"/>
      <w:numFmt w:val="bullet"/>
      <w:lvlText w:val=""/>
      <w:lvlJc w:val="left"/>
      <w:pPr>
        <w:ind w:left="1440" w:hanging="360"/>
      </w:pPr>
      <w:rPr>
        <w:rFonts w:ascii="Symbol" w:hAnsi="Symbol"/>
      </w:rPr>
    </w:lvl>
    <w:lvl w:ilvl="5" w:tplc="9D6830E4">
      <w:start w:val="1"/>
      <w:numFmt w:val="bullet"/>
      <w:lvlText w:val=""/>
      <w:lvlJc w:val="left"/>
      <w:pPr>
        <w:ind w:left="1440" w:hanging="360"/>
      </w:pPr>
      <w:rPr>
        <w:rFonts w:ascii="Symbol" w:hAnsi="Symbol"/>
      </w:rPr>
    </w:lvl>
    <w:lvl w:ilvl="6" w:tplc="008A3090">
      <w:start w:val="1"/>
      <w:numFmt w:val="bullet"/>
      <w:lvlText w:val=""/>
      <w:lvlJc w:val="left"/>
      <w:pPr>
        <w:ind w:left="1440" w:hanging="360"/>
      </w:pPr>
      <w:rPr>
        <w:rFonts w:ascii="Symbol" w:hAnsi="Symbol"/>
      </w:rPr>
    </w:lvl>
    <w:lvl w:ilvl="7" w:tplc="78327288">
      <w:start w:val="1"/>
      <w:numFmt w:val="bullet"/>
      <w:lvlText w:val=""/>
      <w:lvlJc w:val="left"/>
      <w:pPr>
        <w:ind w:left="1440" w:hanging="360"/>
      </w:pPr>
      <w:rPr>
        <w:rFonts w:ascii="Symbol" w:hAnsi="Symbol"/>
      </w:rPr>
    </w:lvl>
    <w:lvl w:ilvl="8" w:tplc="28CCA376">
      <w:start w:val="1"/>
      <w:numFmt w:val="bullet"/>
      <w:lvlText w:val=""/>
      <w:lvlJc w:val="left"/>
      <w:pPr>
        <w:ind w:left="1440" w:hanging="360"/>
      </w:pPr>
      <w:rPr>
        <w:rFonts w:ascii="Symbol" w:hAnsi="Symbol"/>
      </w:rPr>
    </w:lvl>
  </w:abstractNum>
  <w:abstractNum w:abstractNumId="1" w15:restartNumberingAfterBreak="0">
    <w:nsid w:val="0E0916D1"/>
    <w:multiLevelType w:val="hybridMultilevel"/>
    <w:tmpl w:val="E6A84000"/>
    <w:lvl w:ilvl="0" w:tplc="9F32B206">
      <w:start w:val="1"/>
      <w:numFmt w:val="bullet"/>
      <w:lvlText w:val=""/>
      <w:lvlJc w:val="left"/>
      <w:pPr>
        <w:ind w:left="1440" w:hanging="360"/>
      </w:pPr>
      <w:rPr>
        <w:rFonts w:ascii="Symbol" w:hAnsi="Symbol"/>
      </w:rPr>
    </w:lvl>
    <w:lvl w:ilvl="1" w:tplc="1744F7E8">
      <w:start w:val="1"/>
      <w:numFmt w:val="bullet"/>
      <w:lvlText w:val=""/>
      <w:lvlJc w:val="left"/>
      <w:pPr>
        <w:ind w:left="1440" w:hanging="360"/>
      </w:pPr>
      <w:rPr>
        <w:rFonts w:ascii="Symbol" w:hAnsi="Symbol"/>
      </w:rPr>
    </w:lvl>
    <w:lvl w:ilvl="2" w:tplc="0070146A">
      <w:start w:val="1"/>
      <w:numFmt w:val="bullet"/>
      <w:lvlText w:val=""/>
      <w:lvlJc w:val="left"/>
      <w:pPr>
        <w:ind w:left="1440" w:hanging="360"/>
      </w:pPr>
      <w:rPr>
        <w:rFonts w:ascii="Symbol" w:hAnsi="Symbol"/>
      </w:rPr>
    </w:lvl>
    <w:lvl w:ilvl="3" w:tplc="822C3EC4">
      <w:start w:val="1"/>
      <w:numFmt w:val="bullet"/>
      <w:lvlText w:val=""/>
      <w:lvlJc w:val="left"/>
      <w:pPr>
        <w:ind w:left="1440" w:hanging="360"/>
      </w:pPr>
      <w:rPr>
        <w:rFonts w:ascii="Symbol" w:hAnsi="Symbol"/>
      </w:rPr>
    </w:lvl>
    <w:lvl w:ilvl="4" w:tplc="665E8640">
      <w:start w:val="1"/>
      <w:numFmt w:val="bullet"/>
      <w:lvlText w:val=""/>
      <w:lvlJc w:val="left"/>
      <w:pPr>
        <w:ind w:left="1440" w:hanging="360"/>
      </w:pPr>
      <w:rPr>
        <w:rFonts w:ascii="Symbol" w:hAnsi="Symbol"/>
      </w:rPr>
    </w:lvl>
    <w:lvl w:ilvl="5" w:tplc="AC1074D8">
      <w:start w:val="1"/>
      <w:numFmt w:val="bullet"/>
      <w:lvlText w:val=""/>
      <w:lvlJc w:val="left"/>
      <w:pPr>
        <w:ind w:left="1440" w:hanging="360"/>
      </w:pPr>
      <w:rPr>
        <w:rFonts w:ascii="Symbol" w:hAnsi="Symbol"/>
      </w:rPr>
    </w:lvl>
    <w:lvl w:ilvl="6" w:tplc="0A64EC0C">
      <w:start w:val="1"/>
      <w:numFmt w:val="bullet"/>
      <w:lvlText w:val=""/>
      <w:lvlJc w:val="left"/>
      <w:pPr>
        <w:ind w:left="1440" w:hanging="360"/>
      </w:pPr>
      <w:rPr>
        <w:rFonts w:ascii="Symbol" w:hAnsi="Symbol"/>
      </w:rPr>
    </w:lvl>
    <w:lvl w:ilvl="7" w:tplc="39C83C5A">
      <w:start w:val="1"/>
      <w:numFmt w:val="bullet"/>
      <w:lvlText w:val=""/>
      <w:lvlJc w:val="left"/>
      <w:pPr>
        <w:ind w:left="1440" w:hanging="360"/>
      </w:pPr>
      <w:rPr>
        <w:rFonts w:ascii="Symbol" w:hAnsi="Symbol"/>
      </w:rPr>
    </w:lvl>
    <w:lvl w:ilvl="8" w:tplc="9E349682">
      <w:start w:val="1"/>
      <w:numFmt w:val="bullet"/>
      <w:lvlText w:val=""/>
      <w:lvlJc w:val="left"/>
      <w:pPr>
        <w:ind w:left="1440" w:hanging="360"/>
      </w:pPr>
      <w:rPr>
        <w:rFonts w:ascii="Symbol" w:hAnsi="Symbol"/>
      </w:rPr>
    </w:lvl>
  </w:abstractNum>
  <w:abstractNum w:abstractNumId="2" w15:restartNumberingAfterBreak="0">
    <w:nsid w:val="1A2825B9"/>
    <w:multiLevelType w:val="multilevel"/>
    <w:tmpl w:val="F75C338A"/>
    <w:lvl w:ilvl="0">
      <w:start w:val="1"/>
      <w:numFmt w:val="decimal"/>
      <w:pStyle w:val="SectionHeading"/>
      <w:lvlText w:val="%1."/>
      <w:lvlJc w:val="left"/>
      <w:pPr>
        <w:ind w:left="3742" w:hanging="340"/>
        <w:jc w:val="right"/>
      </w:pPr>
      <w:rPr>
        <w:rFonts w:hint="default"/>
        <w:spacing w:val="-1"/>
        <w:w w:val="103"/>
        <w:lang w:val="en-US" w:eastAsia="en-US" w:bidi="ar-SA"/>
      </w:rPr>
    </w:lvl>
    <w:lvl w:ilvl="1">
      <w:start w:val="1"/>
      <w:numFmt w:val="decimal"/>
      <w:lvlText w:val="%1.%2."/>
      <w:lvlJc w:val="left"/>
      <w:pPr>
        <w:ind w:left="894" w:hanging="511"/>
      </w:pPr>
      <w:rPr>
        <w:rFonts w:hint="default"/>
        <w:spacing w:val="-1"/>
        <w:w w:val="103"/>
        <w:lang w:val="en-US" w:eastAsia="en-US" w:bidi="ar-SA"/>
      </w:rPr>
    </w:lvl>
    <w:lvl w:ilvl="2">
      <w:start w:val="1"/>
      <w:numFmt w:val="lowerLetter"/>
      <w:lvlText w:val="%3)"/>
      <w:lvlJc w:val="left"/>
      <w:pPr>
        <w:ind w:left="1179" w:hanging="511"/>
      </w:pPr>
      <w:rPr>
        <w:rFonts w:hint="default"/>
        <w:color w:val="auto"/>
        <w:spacing w:val="-1"/>
        <w:w w:val="102"/>
        <w:lang w:val="en-US" w:eastAsia="en-US" w:bidi="ar-SA"/>
      </w:rPr>
    </w:lvl>
    <w:lvl w:ilvl="3">
      <w:start w:val="1"/>
      <w:numFmt w:val="upperRoman"/>
      <w:lvlText w:val="%4)"/>
      <w:lvlJc w:val="left"/>
      <w:pPr>
        <w:ind w:left="1193" w:hanging="511"/>
      </w:pPr>
      <w:rPr>
        <w:rFonts w:ascii="Arial" w:eastAsia="Arial" w:hAnsi="Arial" w:cs="Arial" w:hint="default"/>
        <w:b w:val="0"/>
        <w:bCs w:val="0"/>
        <w:i w:val="0"/>
        <w:iCs w:val="0"/>
        <w:color w:val="2D2D2D"/>
        <w:spacing w:val="-1"/>
        <w:w w:val="109"/>
        <w:sz w:val="18"/>
        <w:szCs w:val="18"/>
        <w:lang w:val="en-US" w:eastAsia="en-US" w:bidi="ar-SA"/>
      </w:rPr>
    </w:lvl>
    <w:lvl w:ilvl="4">
      <w:numFmt w:val="bullet"/>
      <w:lvlText w:val="•"/>
      <w:lvlJc w:val="left"/>
      <w:pPr>
        <w:ind w:left="900" w:hanging="511"/>
      </w:pPr>
      <w:rPr>
        <w:rFonts w:hint="default"/>
        <w:lang w:val="en-US" w:eastAsia="en-US" w:bidi="ar-SA"/>
      </w:rPr>
    </w:lvl>
    <w:lvl w:ilvl="5">
      <w:numFmt w:val="bullet"/>
      <w:lvlText w:val="•"/>
      <w:lvlJc w:val="left"/>
      <w:pPr>
        <w:ind w:left="920" w:hanging="511"/>
      </w:pPr>
      <w:rPr>
        <w:rFonts w:hint="default"/>
        <w:lang w:val="en-US" w:eastAsia="en-US" w:bidi="ar-SA"/>
      </w:rPr>
    </w:lvl>
    <w:lvl w:ilvl="6">
      <w:numFmt w:val="bullet"/>
      <w:lvlText w:val="•"/>
      <w:lvlJc w:val="left"/>
      <w:pPr>
        <w:ind w:left="940" w:hanging="511"/>
      </w:pPr>
      <w:rPr>
        <w:rFonts w:hint="default"/>
        <w:lang w:val="en-US" w:eastAsia="en-US" w:bidi="ar-SA"/>
      </w:rPr>
    </w:lvl>
    <w:lvl w:ilvl="7">
      <w:numFmt w:val="bullet"/>
      <w:lvlText w:val="•"/>
      <w:lvlJc w:val="left"/>
      <w:pPr>
        <w:ind w:left="960" w:hanging="511"/>
      </w:pPr>
      <w:rPr>
        <w:rFonts w:hint="default"/>
        <w:lang w:val="en-US" w:eastAsia="en-US" w:bidi="ar-SA"/>
      </w:rPr>
    </w:lvl>
    <w:lvl w:ilvl="8">
      <w:numFmt w:val="bullet"/>
      <w:lvlText w:val="•"/>
      <w:lvlJc w:val="left"/>
      <w:pPr>
        <w:ind w:left="1020" w:hanging="511"/>
      </w:pPr>
      <w:rPr>
        <w:rFonts w:hint="default"/>
        <w:lang w:val="en-US" w:eastAsia="en-US" w:bidi="ar-SA"/>
      </w:rPr>
    </w:lvl>
  </w:abstractNum>
  <w:abstractNum w:abstractNumId="3" w15:restartNumberingAfterBreak="0">
    <w:nsid w:val="1CB50CE7"/>
    <w:multiLevelType w:val="multilevel"/>
    <w:tmpl w:val="936AF488"/>
    <w:lvl w:ilvl="0">
      <w:start w:val="1"/>
      <w:numFmt w:val="decimal"/>
      <w:pStyle w:val="NewSectionHeading"/>
      <w:lvlText w:val="Part %1 -"/>
      <w:lvlJc w:val="left"/>
      <w:pPr>
        <w:ind w:left="1021" w:hanging="1021"/>
      </w:pPr>
      <w:rPr>
        <w:rFonts w:hint="default"/>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EB946CC"/>
    <w:multiLevelType w:val="hybridMultilevel"/>
    <w:tmpl w:val="89CCDCFE"/>
    <w:lvl w:ilvl="0" w:tplc="0C090001">
      <w:start w:val="1"/>
      <w:numFmt w:val="bullet"/>
      <w:lvlText w:val=""/>
      <w:lvlJc w:val="left"/>
      <w:pPr>
        <w:ind w:left="2940" w:hanging="360"/>
      </w:pPr>
      <w:rPr>
        <w:rFonts w:ascii="Symbol" w:hAnsi="Symbol" w:hint="default"/>
      </w:rPr>
    </w:lvl>
    <w:lvl w:ilvl="1" w:tplc="0C090003" w:tentative="1">
      <w:start w:val="1"/>
      <w:numFmt w:val="bullet"/>
      <w:lvlText w:val="o"/>
      <w:lvlJc w:val="left"/>
      <w:pPr>
        <w:ind w:left="3660" w:hanging="360"/>
      </w:pPr>
      <w:rPr>
        <w:rFonts w:ascii="Courier New" w:hAnsi="Courier New" w:cs="Courier New" w:hint="default"/>
      </w:rPr>
    </w:lvl>
    <w:lvl w:ilvl="2" w:tplc="0C090005" w:tentative="1">
      <w:start w:val="1"/>
      <w:numFmt w:val="bullet"/>
      <w:lvlText w:val=""/>
      <w:lvlJc w:val="left"/>
      <w:pPr>
        <w:ind w:left="4380" w:hanging="360"/>
      </w:pPr>
      <w:rPr>
        <w:rFonts w:ascii="Wingdings" w:hAnsi="Wingdings" w:hint="default"/>
      </w:rPr>
    </w:lvl>
    <w:lvl w:ilvl="3" w:tplc="0C090001" w:tentative="1">
      <w:start w:val="1"/>
      <w:numFmt w:val="bullet"/>
      <w:lvlText w:val=""/>
      <w:lvlJc w:val="left"/>
      <w:pPr>
        <w:ind w:left="5100" w:hanging="360"/>
      </w:pPr>
      <w:rPr>
        <w:rFonts w:ascii="Symbol" w:hAnsi="Symbol" w:hint="default"/>
      </w:rPr>
    </w:lvl>
    <w:lvl w:ilvl="4" w:tplc="0C090003" w:tentative="1">
      <w:start w:val="1"/>
      <w:numFmt w:val="bullet"/>
      <w:lvlText w:val="o"/>
      <w:lvlJc w:val="left"/>
      <w:pPr>
        <w:ind w:left="5820" w:hanging="360"/>
      </w:pPr>
      <w:rPr>
        <w:rFonts w:ascii="Courier New" w:hAnsi="Courier New" w:cs="Courier New" w:hint="default"/>
      </w:rPr>
    </w:lvl>
    <w:lvl w:ilvl="5" w:tplc="0C090005" w:tentative="1">
      <w:start w:val="1"/>
      <w:numFmt w:val="bullet"/>
      <w:lvlText w:val=""/>
      <w:lvlJc w:val="left"/>
      <w:pPr>
        <w:ind w:left="6540" w:hanging="360"/>
      </w:pPr>
      <w:rPr>
        <w:rFonts w:ascii="Wingdings" w:hAnsi="Wingdings" w:hint="default"/>
      </w:rPr>
    </w:lvl>
    <w:lvl w:ilvl="6" w:tplc="0C090001" w:tentative="1">
      <w:start w:val="1"/>
      <w:numFmt w:val="bullet"/>
      <w:lvlText w:val=""/>
      <w:lvlJc w:val="left"/>
      <w:pPr>
        <w:ind w:left="7260" w:hanging="360"/>
      </w:pPr>
      <w:rPr>
        <w:rFonts w:ascii="Symbol" w:hAnsi="Symbol" w:hint="default"/>
      </w:rPr>
    </w:lvl>
    <w:lvl w:ilvl="7" w:tplc="0C090003" w:tentative="1">
      <w:start w:val="1"/>
      <w:numFmt w:val="bullet"/>
      <w:lvlText w:val="o"/>
      <w:lvlJc w:val="left"/>
      <w:pPr>
        <w:ind w:left="7980" w:hanging="360"/>
      </w:pPr>
      <w:rPr>
        <w:rFonts w:ascii="Courier New" w:hAnsi="Courier New" w:cs="Courier New" w:hint="default"/>
      </w:rPr>
    </w:lvl>
    <w:lvl w:ilvl="8" w:tplc="0C090005" w:tentative="1">
      <w:start w:val="1"/>
      <w:numFmt w:val="bullet"/>
      <w:lvlText w:val=""/>
      <w:lvlJc w:val="left"/>
      <w:pPr>
        <w:ind w:left="8700" w:hanging="360"/>
      </w:pPr>
      <w:rPr>
        <w:rFonts w:ascii="Wingdings" w:hAnsi="Wingdings" w:hint="default"/>
      </w:rPr>
    </w:lvl>
  </w:abstractNum>
  <w:abstractNum w:abstractNumId="5" w15:restartNumberingAfterBreak="0">
    <w:nsid w:val="24D8277E"/>
    <w:multiLevelType w:val="hybridMultilevel"/>
    <w:tmpl w:val="69A4159A"/>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26B06698"/>
    <w:multiLevelType w:val="hybridMultilevel"/>
    <w:tmpl w:val="5698637C"/>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30E61442"/>
    <w:multiLevelType w:val="hybridMultilevel"/>
    <w:tmpl w:val="430A69FE"/>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31C75249"/>
    <w:multiLevelType w:val="hybridMultilevel"/>
    <w:tmpl w:val="376EDE80"/>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32E65C6D"/>
    <w:multiLevelType w:val="hybridMultilevel"/>
    <w:tmpl w:val="2436B802"/>
    <w:lvl w:ilvl="0" w:tplc="C83401EA">
      <w:start w:val="1"/>
      <w:numFmt w:val="bullet"/>
      <w:lvlText w:val=""/>
      <w:lvlJc w:val="left"/>
      <w:pPr>
        <w:ind w:left="1080" w:hanging="360"/>
      </w:pPr>
      <w:rPr>
        <w:rFonts w:ascii="Symbol" w:hAnsi="Symbol"/>
      </w:rPr>
    </w:lvl>
    <w:lvl w:ilvl="1" w:tplc="C4F2F876">
      <w:start w:val="1"/>
      <w:numFmt w:val="bullet"/>
      <w:lvlText w:val=""/>
      <w:lvlJc w:val="left"/>
      <w:pPr>
        <w:ind w:left="1080" w:hanging="360"/>
      </w:pPr>
      <w:rPr>
        <w:rFonts w:ascii="Symbol" w:hAnsi="Symbol"/>
      </w:rPr>
    </w:lvl>
    <w:lvl w:ilvl="2" w:tplc="4FCE0DBC">
      <w:start w:val="1"/>
      <w:numFmt w:val="bullet"/>
      <w:lvlText w:val=""/>
      <w:lvlJc w:val="left"/>
      <w:pPr>
        <w:ind w:left="1080" w:hanging="360"/>
      </w:pPr>
      <w:rPr>
        <w:rFonts w:ascii="Symbol" w:hAnsi="Symbol"/>
      </w:rPr>
    </w:lvl>
    <w:lvl w:ilvl="3" w:tplc="3D264F28">
      <w:start w:val="1"/>
      <w:numFmt w:val="bullet"/>
      <w:lvlText w:val=""/>
      <w:lvlJc w:val="left"/>
      <w:pPr>
        <w:ind w:left="1080" w:hanging="360"/>
      </w:pPr>
      <w:rPr>
        <w:rFonts w:ascii="Symbol" w:hAnsi="Symbol"/>
      </w:rPr>
    </w:lvl>
    <w:lvl w:ilvl="4" w:tplc="10E21A3A">
      <w:start w:val="1"/>
      <w:numFmt w:val="bullet"/>
      <w:lvlText w:val=""/>
      <w:lvlJc w:val="left"/>
      <w:pPr>
        <w:ind w:left="1080" w:hanging="360"/>
      </w:pPr>
      <w:rPr>
        <w:rFonts w:ascii="Symbol" w:hAnsi="Symbol"/>
      </w:rPr>
    </w:lvl>
    <w:lvl w:ilvl="5" w:tplc="80DAAB24">
      <w:start w:val="1"/>
      <w:numFmt w:val="bullet"/>
      <w:lvlText w:val=""/>
      <w:lvlJc w:val="left"/>
      <w:pPr>
        <w:ind w:left="1080" w:hanging="360"/>
      </w:pPr>
      <w:rPr>
        <w:rFonts w:ascii="Symbol" w:hAnsi="Symbol"/>
      </w:rPr>
    </w:lvl>
    <w:lvl w:ilvl="6" w:tplc="F370B654">
      <w:start w:val="1"/>
      <w:numFmt w:val="bullet"/>
      <w:lvlText w:val=""/>
      <w:lvlJc w:val="left"/>
      <w:pPr>
        <w:ind w:left="1080" w:hanging="360"/>
      </w:pPr>
      <w:rPr>
        <w:rFonts w:ascii="Symbol" w:hAnsi="Symbol"/>
      </w:rPr>
    </w:lvl>
    <w:lvl w:ilvl="7" w:tplc="41CEE6CE">
      <w:start w:val="1"/>
      <w:numFmt w:val="bullet"/>
      <w:lvlText w:val=""/>
      <w:lvlJc w:val="left"/>
      <w:pPr>
        <w:ind w:left="1080" w:hanging="360"/>
      </w:pPr>
      <w:rPr>
        <w:rFonts w:ascii="Symbol" w:hAnsi="Symbol"/>
      </w:rPr>
    </w:lvl>
    <w:lvl w:ilvl="8" w:tplc="2E3C26CE">
      <w:start w:val="1"/>
      <w:numFmt w:val="bullet"/>
      <w:lvlText w:val=""/>
      <w:lvlJc w:val="left"/>
      <w:pPr>
        <w:ind w:left="1080" w:hanging="360"/>
      </w:pPr>
      <w:rPr>
        <w:rFonts w:ascii="Symbol" w:hAnsi="Symbol"/>
      </w:rPr>
    </w:lvl>
  </w:abstractNum>
  <w:abstractNum w:abstractNumId="10" w15:restartNumberingAfterBreak="0">
    <w:nsid w:val="34E619B7"/>
    <w:multiLevelType w:val="hybridMultilevel"/>
    <w:tmpl w:val="7006196C"/>
    <w:lvl w:ilvl="0" w:tplc="A0BA7A70">
      <w:start w:val="1"/>
      <w:numFmt w:val="bullet"/>
      <w:lvlText w:val=""/>
      <w:lvlJc w:val="left"/>
      <w:pPr>
        <w:ind w:left="720" w:hanging="360"/>
      </w:pPr>
      <w:rPr>
        <w:rFonts w:ascii="Symbol" w:hAnsi="Symbol"/>
      </w:rPr>
    </w:lvl>
    <w:lvl w:ilvl="1" w:tplc="B296D392">
      <w:start w:val="1"/>
      <w:numFmt w:val="bullet"/>
      <w:lvlText w:val=""/>
      <w:lvlJc w:val="left"/>
      <w:pPr>
        <w:ind w:left="720" w:hanging="360"/>
      </w:pPr>
      <w:rPr>
        <w:rFonts w:ascii="Symbol" w:hAnsi="Symbol"/>
      </w:rPr>
    </w:lvl>
    <w:lvl w:ilvl="2" w:tplc="282A218C">
      <w:start w:val="1"/>
      <w:numFmt w:val="bullet"/>
      <w:lvlText w:val=""/>
      <w:lvlJc w:val="left"/>
      <w:pPr>
        <w:ind w:left="720" w:hanging="360"/>
      </w:pPr>
      <w:rPr>
        <w:rFonts w:ascii="Symbol" w:hAnsi="Symbol"/>
      </w:rPr>
    </w:lvl>
    <w:lvl w:ilvl="3" w:tplc="6E1CC6DA">
      <w:start w:val="1"/>
      <w:numFmt w:val="bullet"/>
      <w:lvlText w:val=""/>
      <w:lvlJc w:val="left"/>
      <w:pPr>
        <w:ind w:left="720" w:hanging="360"/>
      </w:pPr>
      <w:rPr>
        <w:rFonts w:ascii="Symbol" w:hAnsi="Symbol"/>
      </w:rPr>
    </w:lvl>
    <w:lvl w:ilvl="4" w:tplc="24AACEEA">
      <w:start w:val="1"/>
      <w:numFmt w:val="bullet"/>
      <w:lvlText w:val=""/>
      <w:lvlJc w:val="left"/>
      <w:pPr>
        <w:ind w:left="720" w:hanging="360"/>
      </w:pPr>
      <w:rPr>
        <w:rFonts w:ascii="Symbol" w:hAnsi="Symbol"/>
      </w:rPr>
    </w:lvl>
    <w:lvl w:ilvl="5" w:tplc="765AC642">
      <w:start w:val="1"/>
      <w:numFmt w:val="bullet"/>
      <w:lvlText w:val=""/>
      <w:lvlJc w:val="left"/>
      <w:pPr>
        <w:ind w:left="720" w:hanging="360"/>
      </w:pPr>
      <w:rPr>
        <w:rFonts w:ascii="Symbol" w:hAnsi="Symbol"/>
      </w:rPr>
    </w:lvl>
    <w:lvl w:ilvl="6" w:tplc="4A7C0DA8">
      <w:start w:val="1"/>
      <w:numFmt w:val="bullet"/>
      <w:lvlText w:val=""/>
      <w:lvlJc w:val="left"/>
      <w:pPr>
        <w:ind w:left="720" w:hanging="360"/>
      </w:pPr>
      <w:rPr>
        <w:rFonts w:ascii="Symbol" w:hAnsi="Symbol"/>
      </w:rPr>
    </w:lvl>
    <w:lvl w:ilvl="7" w:tplc="5442EB2E">
      <w:start w:val="1"/>
      <w:numFmt w:val="bullet"/>
      <w:lvlText w:val=""/>
      <w:lvlJc w:val="left"/>
      <w:pPr>
        <w:ind w:left="720" w:hanging="360"/>
      </w:pPr>
      <w:rPr>
        <w:rFonts w:ascii="Symbol" w:hAnsi="Symbol"/>
      </w:rPr>
    </w:lvl>
    <w:lvl w:ilvl="8" w:tplc="DFB0ED4A">
      <w:start w:val="1"/>
      <w:numFmt w:val="bullet"/>
      <w:lvlText w:val=""/>
      <w:lvlJc w:val="left"/>
      <w:pPr>
        <w:ind w:left="720" w:hanging="360"/>
      </w:pPr>
      <w:rPr>
        <w:rFonts w:ascii="Symbol" w:hAnsi="Symbol"/>
      </w:rPr>
    </w:lvl>
  </w:abstractNum>
  <w:abstractNum w:abstractNumId="11" w15:restartNumberingAfterBreak="0">
    <w:nsid w:val="433D41C7"/>
    <w:multiLevelType w:val="hybridMultilevel"/>
    <w:tmpl w:val="4BA68062"/>
    <w:lvl w:ilvl="0" w:tplc="82883E88">
      <w:start w:val="1"/>
      <w:numFmt w:val="decimal"/>
      <w:lvlText w:val="%1."/>
      <w:lvlJc w:val="left"/>
      <w:pPr>
        <w:ind w:left="488" w:hanging="360"/>
      </w:pPr>
      <w:rPr>
        <w:rFonts w:hint="default"/>
      </w:rPr>
    </w:lvl>
    <w:lvl w:ilvl="1" w:tplc="0C090019" w:tentative="1">
      <w:start w:val="1"/>
      <w:numFmt w:val="lowerLetter"/>
      <w:lvlText w:val="%2."/>
      <w:lvlJc w:val="left"/>
      <w:pPr>
        <w:ind w:left="1208" w:hanging="360"/>
      </w:pPr>
    </w:lvl>
    <w:lvl w:ilvl="2" w:tplc="0C09001B" w:tentative="1">
      <w:start w:val="1"/>
      <w:numFmt w:val="lowerRoman"/>
      <w:lvlText w:val="%3."/>
      <w:lvlJc w:val="right"/>
      <w:pPr>
        <w:ind w:left="1928" w:hanging="180"/>
      </w:pPr>
    </w:lvl>
    <w:lvl w:ilvl="3" w:tplc="0C09000F" w:tentative="1">
      <w:start w:val="1"/>
      <w:numFmt w:val="decimal"/>
      <w:lvlText w:val="%4."/>
      <w:lvlJc w:val="left"/>
      <w:pPr>
        <w:ind w:left="2648" w:hanging="360"/>
      </w:pPr>
    </w:lvl>
    <w:lvl w:ilvl="4" w:tplc="0C090019" w:tentative="1">
      <w:start w:val="1"/>
      <w:numFmt w:val="lowerLetter"/>
      <w:lvlText w:val="%5."/>
      <w:lvlJc w:val="left"/>
      <w:pPr>
        <w:ind w:left="3368" w:hanging="360"/>
      </w:pPr>
    </w:lvl>
    <w:lvl w:ilvl="5" w:tplc="0C09001B" w:tentative="1">
      <w:start w:val="1"/>
      <w:numFmt w:val="lowerRoman"/>
      <w:lvlText w:val="%6."/>
      <w:lvlJc w:val="right"/>
      <w:pPr>
        <w:ind w:left="4088" w:hanging="180"/>
      </w:pPr>
    </w:lvl>
    <w:lvl w:ilvl="6" w:tplc="0C09000F" w:tentative="1">
      <w:start w:val="1"/>
      <w:numFmt w:val="decimal"/>
      <w:lvlText w:val="%7."/>
      <w:lvlJc w:val="left"/>
      <w:pPr>
        <w:ind w:left="4808" w:hanging="360"/>
      </w:pPr>
    </w:lvl>
    <w:lvl w:ilvl="7" w:tplc="0C090019" w:tentative="1">
      <w:start w:val="1"/>
      <w:numFmt w:val="lowerLetter"/>
      <w:lvlText w:val="%8."/>
      <w:lvlJc w:val="left"/>
      <w:pPr>
        <w:ind w:left="5528" w:hanging="360"/>
      </w:pPr>
    </w:lvl>
    <w:lvl w:ilvl="8" w:tplc="0C09001B" w:tentative="1">
      <w:start w:val="1"/>
      <w:numFmt w:val="lowerRoman"/>
      <w:lvlText w:val="%9."/>
      <w:lvlJc w:val="right"/>
      <w:pPr>
        <w:ind w:left="6248" w:hanging="180"/>
      </w:pPr>
    </w:lvl>
  </w:abstractNum>
  <w:abstractNum w:abstractNumId="12" w15:restartNumberingAfterBreak="0">
    <w:nsid w:val="498B1DC6"/>
    <w:multiLevelType w:val="hybridMultilevel"/>
    <w:tmpl w:val="E86E8622"/>
    <w:lvl w:ilvl="0" w:tplc="424A8428">
      <w:start w:val="1"/>
      <w:numFmt w:val="lowerLetter"/>
      <w:lvlText w:val="%1)"/>
      <w:lvlJc w:val="left"/>
      <w:pPr>
        <w:ind w:left="1080" w:hanging="36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4AE62F58"/>
    <w:multiLevelType w:val="hybridMultilevel"/>
    <w:tmpl w:val="F5F8BB94"/>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4C2328AB"/>
    <w:multiLevelType w:val="multilevel"/>
    <w:tmpl w:val="A6E4E38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6E42BF2"/>
    <w:multiLevelType w:val="hybridMultilevel"/>
    <w:tmpl w:val="890E5DBC"/>
    <w:lvl w:ilvl="0" w:tplc="88C4530A">
      <w:start w:val="1"/>
      <w:numFmt w:val="decimal"/>
      <w:lvlText w:val="%1."/>
      <w:lvlJc w:val="left"/>
      <w:pPr>
        <w:ind w:left="778" w:hanging="643"/>
      </w:pPr>
      <w:rPr>
        <w:rFonts w:ascii="Arial" w:eastAsia="Arial" w:hAnsi="Arial" w:cs="Arial" w:hint="default"/>
        <w:b w:val="0"/>
        <w:bCs w:val="0"/>
        <w:i w:val="0"/>
        <w:iCs w:val="0"/>
        <w:color w:val="auto"/>
        <w:spacing w:val="-1"/>
        <w:w w:val="101"/>
        <w:sz w:val="22"/>
        <w:szCs w:val="22"/>
        <w:lang w:val="en-US" w:eastAsia="en-US" w:bidi="ar-SA"/>
      </w:rPr>
    </w:lvl>
    <w:lvl w:ilvl="1" w:tplc="93C8D00C">
      <w:numFmt w:val="bullet"/>
      <w:lvlText w:val="•"/>
      <w:lvlJc w:val="left"/>
      <w:pPr>
        <w:ind w:left="1556" w:hanging="643"/>
      </w:pPr>
      <w:rPr>
        <w:rFonts w:hint="default"/>
        <w:lang w:val="en-US" w:eastAsia="en-US" w:bidi="ar-SA"/>
      </w:rPr>
    </w:lvl>
    <w:lvl w:ilvl="2" w:tplc="1B6EC49C">
      <w:numFmt w:val="bullet"/>
      <w:lvlText w:val="•"/>
      <w:lvlJc w:val="left"/>
      <w:pPr>
        <w:ind w:left="2332" w:hanging="643"/>
      </w:pPr>
      <w:rPr>
        <w:rFonts w:hint="default"/>
        <w:lang w:val="en-US" w:eastAsia="en-US" w:bidi="ar-SA"/>
      </w:rPr>
    </w:lvl>
    <w:lvl w:ilvl="3" w:tplc="43185B92">
      <w:numFmt w:val="bullet"/>
      <w:lvlText w:val="•"/>
      <w:lvlJc w:val="left"/>
      <w:pPr>
        <w:ind w:left="3109" w:hanging="643"/>
      </w:pPr>
      <w:rPr>
        <w:rFonts w:hint="default"/>
        <w:lang w:val="en-US" w:eastAsia="en-US" w:bidi="ar-SA"/>
      </w:rPr>
    </w:lvl>
    <w:lvl w:ilvl="4" w:tplc="5DBEC5EE">
      <w:numFmt w:val="bullet"/>
      <w:lvlText w:val="•"/>
      <w:lvlJc w:val="left"/>
      <w:pPr>
        <w:ind w:left="3885" w:hanging="643"/>
      </w:pPr>
      <w:rPr>
        <w:rFonts w:hint="default"/>
        <w:lang w:val="en-US" w:eastAsia="en-US" w:bidi="ar-SA"/>
      </w:rPr>
    </w:lvl>
    <w:lvl w:ilvl="5" w:tplc="C4543F08">
      <w:numFmt w:val="bullet"/>
      <w:lvlText w:val="•"/>
      <w:lvlJc w:val="left"/>
      <w:pPr>
        <w:ind w:left="4662" w:hanging="643"/>
      </w:pPr>
      <w:rPr>
        <w:rFonts w:hint="default"/>
        <w:lang w:val="en-US" w:eastAsia="en-US" w:bidi="ar-SA"/>
      </w:rPr>
    </w:lvl>
    <w:lvl w:ilvl="6" w:tplc="903CD864">
      <w:numFmt w:val="bullet"/>
      <w:lvlText w:val="•"/>
      <w:lvlJc w:val="left"/>
      <w:pPr>
        <w:ind w:left="5438" w:hanging="643"/>
      </w:pPr>
      <w:rPr>
        <w:rFonts w:hint="default"/>
        <w:lang w:val="en-US" w:eastAsia="en-US" w:bidi="ar-SA"/>
      </w:rPr>
    </w:lvl>
    <w:lvl w:ilvl="7" w:tplc="080633B2">
      <w:numFmt w:val="bullet"/>
      <w:lvlText w:val="•"/>
      <w:lvlJc w:val="left"/>
      <w:pPr>
        <w:ind w:left="6214" w:hanging="643"/>
      </w:pPr>
      <w:rPr>
        <w:rFonts w:hint="default"/>
        <w:lang w:val="en-US" w:eastAsia="en-US" w:bidi="ar-SA"/>
      </w:rPr>
    </w:lvl>
    <w:lvl w:ilvl="8" w:tplc="8FEA9554">
      <w:numFmt w:val="bullet"/>
      <w:lvlText w:val="•"/>
      <w:lvlJc w:val="left"/>
      <w:pPr>
        <w:ind w:left="6991" w:hanging="643"/>
      </w:pPr>
      <w:rPr>
        <w:rFonts w:hint="default"/>
        <w:lang w:val="en-US" w:eastAsia="en-US" w:bidi="ar-SA"/>
      </w:rPr>
    </w:lvl>
  </w:abstractNum>
  <w:abstractNum w:abstractNumId="16" w15:restartNumberingAfterBreak="0">
    <w:nsid w:val="5B941052"/>
    <w:multiLevelType w:val="hybridMultilevel"/>
    <w:tmpl w:val="B672ABC4"/>
    <w:lvl w:ilvl="0" w:tplc="3064D2D8">
      <w:start w:val="1"/>
      <w:numFmt w:val="bullet"/>
      <w:lvlText w:val=""/>
      <w:lvlJc w:val="left"/>
      <w:pPr>
        <w:ind w:left="1440" w:hanging="360"/>
      </w:pPr>
      <w:rPr>
        <w:rFonts w:ascii="Symbol" w:hAnsi="Symbol"/>
      </w:rPr>
    </w:lvl>
    <w:lvl w:ilvl="1" w:tplc="4B209B14">
      <w:start w:val="1"/>
      <w:numFmt w:val="bullet"/>
      <w:lvlText w:val=""/>
      <w:lvlJc w:val="left"/>
      <w:pPr>
        <w:ind w:left="1440" w:hanging="360"/>
      </w:pPr>
      <w:rPr>
        <w:rFonts w:ascii="Symbol" w:hAnsi="Symbol"/>
      </w:rPr>
    </w:lvl>
    <w:lvl w:ilvl="2" w:tplc="F7761D9E">
      <w:start w:val="1"/>
      <w:numFmt w:val="bullet"/>
      <w:lvlText w:val=""/>
      <w:lvlJc w:val="left"/>
      <w:pPr>
        <w:ind w:left="1440" w:hanging="360"/>
      </w:pPr>
      <w:rPr>
        <w:rFonts w:ascii="Symbol" w:hAnsi="Symbol"/>
      </w:rPr>
    </w:lvl>
    <w:lvl w:ilvl="3" w:tplc="A9BC3E88">
      <w:start w:val="1"/>
      <w:numFmt w:val="bullet"/>
      <w:lvlText w:val=""/>
      <w:lvlJc w:val="left"/>
      <w:pPr>
        <w:ind w:left="1440" w:hanging="360"/>
      </w:pPr>
      <w:rPr>
        <w:rFonts w:ascii="Symbol" w:hAnsi="Symbol"/>
      </w:rPr>
    </w:lvl>
    <w:lvl w:ilvl="4" w:tplc="4A200C82">
      <w:start w:val="1"/>
      <w:numFmt w:val="bullet"/>
      <w:lvlText w:val=""/>
      <w:lvlJc w:val="left"/>
      <w:pPr>
        <w:ind w:left="1440" w:hanging="360"/>
      </w:pPr>
      <w:rPr>
        <w:rFonts w:ascii="Symbol" w:hAnsi="Symbol"/>
      </w:rPr>
    </w:lvl>
    <w:lvl w:ilvl="5" w:tplc="2348F480">
      <w:start w:val="1"/>
      <w:numFmt w:val="bullet"/>
      <w:lvlText w:val=""/>
      <w:lvlJc w:val="left"/>
      <w:pPr>
        <w:ind w:left="1440" w:hanging="360"/>
      </w:pPr>
      <w:rPr>
        <w:rFonts w:ascii="Symbol" w:hAnsi="Symbol"/>
      </w:rPr>
    </w:lvl>
    <w:lvl w:ilvl="6" w:tplc="8A1E104E">
      <w:start w:val="1"/>
      <w:numFmt w:val="bullet"/>
      <w:lvlText w:val=""/>
      <w:lvlJc w:val="left"/>
      <w:pPr>
        <w:ind w:left="1440" w:hanging="360"/>
      </w:pPr>
      <w:rPr>
        <w:rFonts w:ascii="Symbol" w:hAnsi="Symbol"/>
      </w:rPr>
    </w:lvl>
    <w:lvl w:ilvl="7" w:tplc="04F8F474">
      <w:start w:val="1"/>
      <w:numFmt w:val="bullet"/>
      <w:lvlText w:val=""/>
      <w:lvlJc w:val="left"/>
      <w:pPr>
        <w:ind w:left="1440" w:hanging="360"/>
      </w:pPr>
      <w:rPr>
        <w:rFonts w:ascii="Symbol" w:hAnsi="Symbol"/>
      </w:rPr>
    </w:lvl>
    <w:lvl w:ilvl="8" w:tplc="B3B47328">
      <w:start w:val="1"/>
      <w:numFmt w:val="bullet"/>
      <w:lvlText w:val=""/>
      <w:lvlJc w:val="left"/>
      <w:pPr>
        <w:ind w:left="1440" w:hanging="360"/>
      </w:pPr>
      <w:rPr>
        <w:rFonts w:ascii="Symbol" w:hAnsi="Symbol"/>
      </w:rPr>
    </w:lvl>
  </w:abstractNum>
  <w:abstractNum w:abstractNumId="17" w15:restartNumberingAfterBreak="0">
    <w:nsid w:val="5F3C4395"/>
    <w:multiLevelType w:val="hybridMultilevel"/>
    <w:tmpl w:val="35042FB4"/>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5FAB5BBA"/>
    <w:multiLevelType w:val="hybridMultilevel"/>
    <w:tmpl w:val="61FA46D4"/>
    <w:lvl w:ilvl="0" w:tplc="A7CCA656">
      <w:start w:val="1"/>
      <w:numFmt w:val="bullet"/>
      <w:lvlText w:val=""/>
      <w:lvlJc w:val="left"/>
      <w:pPr>
        <w:ind w:left="1080" w:hanging="360"/>
      </w:pPr>
      <w:rPr>
        <w:rFonts w:ascii="Symbol" w:hAnsi="Symbol"/>
      </w:rPr>
    </w:lvl>
    <w:lvl w:ilvl="1" w:tplc="D4D69782">
      <w:start w:val="1"/>
      <w:numFmt w:val="bullet"/>
      <w:lvlText w:val=""/>
      <w:lvlJc w:val="left"/>
      <w:pPr>
        <w:ind w:left="1080" w:hanging="360"/>
      </w:pPr>
      <w:rPr>
        <w:rFonts w:ascii="Symbol" w:hAnsi="Symbol"/>
      </w:rPr>
    </w:lvl>
    <w:lvl w:ilvl="2" w:tplc="FC6EA3D0">
      <w:start w:val="1"/>
      <w:numFmt w:val="bullet"/>
      <w:lvlText w:val=""/>
      <w:lvlJc w:val="left"/>
      <w:pPr>
        <w:ind w:left="1080" w:hanging="360"/>
      </w:pPr>
      <w:rPr>
        <w:rFonts w:ascii="Symbol" w:hAnsi="Symbol"/>
      </w:rPr>
    </w:lvl>
    <w:lvl w:ilvl="3" w:tplc="F04658DA">
      <w:start w:val="1"/>
      <w:numFmt w:val="bullet"/>
      <w:lvlText w:val=""/>
      <w:lvlJc w:val="left"/>
      <w:pPr>
        <w:ind w:left="1080" w:hanging="360"/>
      </w:pPr>
      <w:rPr>
        <w:rFonts w:ascii="Symbol" w:hAnsi="Symbol"/>
      </w:rPr>
    </w:lvl>
    <w:lvl w:ilvl="4" w:tplc="F8EAAC32">
      <w:start w:val="1"/>
      <w:numFmt w:val="bullet"/>
      <w:lvlText w:val=""/>
      <w:lvlJc w:val="left"/>
      <w:pPr>
        <w:ind w:left="1080" w:hanging="360"/>
      </w:pPr>
      <w:rPr>
        <w:rFonts w:ascii="Symbol" w:hAnsi="Symbol"/>
      </w:rPr>
    </w:lvl>
    <w:lvl w:ilvl="5" w:tplc="92206346">
      <w:start w:val="1"/>
      <w:numFmt w:val="bullet"/>
      <w:lvlText w:val=""/>
      <w:lvlJc w:val="left"/>
      <w:pPr>
        <w:ind w:left="1080" w:hanging="360"/>
      </w:pPr>
      <w:rPr>
        <w:rFonts w:ascii="Symbol" w:hAnsi="Symbol"/>
      </w:rPr>
    </w:lvl>
    <w:lvl w:ilvl="6" w:tplc="E9E6B70E">
      <w:start w:val="1"/>
      <w:numFmt w:val="bullet"/>
      <w:lvlText w:val=""/>
      <w:lvlJc w:val="left"/>
      <w:pPr>
        <w:ind w:left="1080" w:hanging="360"/>
      </w:pPr>
      <w:rPr>
        <w:rFonts w:ascii="Symbol" w:hAnsi="Symbol"/>
      </w:rPr>
    </w:lvl>
    <w:lvl w:ilvl="7" w:tplc="41942A02">
      <w:start w:val="1"/>
      <w:numFmt w:val="bullet"/>
      <w:lvlText w:val=""/>
      <w:lvlJc w:val="left"/>
      <w:pPr>
        <w:ind w:left="1080" w:hanging="360"/>
      </w:pPr>
      <w:rPr>
        <w:rFonts w:ascii="Symbol" w:hAnsi="Symbol"/>
      </w:rPr>
    </w:lvl>
    <w:lvl w:ilvl="8" w:tplc="ED3E1EE8">
      <w:start w:val="1"/>
      <w:numFmt w:val="bullet"/>
      <w:lvlText w:val=""/>
      <w:lvlJc w:val="left"/>
      <w:pPr>
        <w:ind w:left="1080" w:hanging="360"/>
      </w:pPr>
      <w:rPr>
        <w:rFonts w:ascii="Symbol" w:hAnsi="Symbol"/>
      </w:rPr>
    </w:lvl>
  </w:abstractNum>
  <w:abstractNum w:abstractNumId="19" w15:restartNumberingAfterBreak="0">
    <w:nsid w:val="67562083"/>
    <w:multiLevelType w:val="hybridMultilevel"/>
    <w:tmpl w:val="F9F8641A"/>
    <w:lvl w:ilvl="0" w:tplc="A1F0DFDE">
      <w:start w:val="1"/>
      <w:numFmt w:val="bullet"/>
      <w:lvlText w:val=""/>
      <w:lvlJc w:val="left"/>
      <w:pPr>
        <w:ind w:left="1440" w:hanging="360"/>
      </w:pPr>
      <w:rPr>
        <w:rFonts w:ascii="Symbol" w:hAnsi="Symbol"/>
      </w:rPr>
    </w:lvl>
    <w:lvl w:ilvl="1" w:tplc="0310CEC2">
      <w:start w:val="1"/>
      <w:numFmt w:val="bullet"/>
      <w:lvlText w:val=""/>
      <w:lvlJc w:val="left"/>
      <w:pPr>
        <w:ind w:left="1440" w:hanging="360"/>
      </w:pPr>
      <w:rPr>
        <w:rFonts w:ascii="Symbol" w:hAnsi="Symbol"/>
      </w:rPr>
    </w:lvl>
    <w:lvl w:ilvl="2" w:tplc="86586704">
      <w:start w:val="1"/>
      <w:numFmt w:val="bullet"/>
      <w:lvlText w:val=""/>
      <w:lvlJc w:val="left"/>
      <w:pPr>
        <w:ind w:left="1440" w:hanging="360"/>
      </w:pPr>
      <w:rPr>
        <w:rFonts w:ascii="Symbol" w:hAnsi="Symbol"/>
      </w:rPr>
    </w:lvl>
    <w:lvl w:ilvl="3" w:tplc="8708B724">
      <w:start w:val="1"/>
      <w:numFmt w:val="bullet"/>
      <w:lvlText w:val=""/>
      <w:lvlJc w:val="left"/>
      <w:pPr>
        <w:ind w:left="1440" w:hanging="360"/>
      </w:pPr>
      <w:rPr>
        <w:rFonts w:ascii="Symbol" w:hAnsi="Symbol"/>
      </w:rPr>
    </w:lvl>
    <w:lvl w:ilvl="4" w:tplc="7C8CACC0">
      <w:start w:val="1"/>
      <w:numFmt w:val="bullet"/>
      <w:lvlText w:val=""/>
      <w:lvlJc w:val="left"/>
      <w:pPr>
        <w:ind w:left="1440" w:hanging="360"/>
      </w:pPr>
      <w:rPr>
        <w:rFonts w:ascii="Symbol" w:hAnsi="Symbol"/>
      </w:rPr>
    </w:lvl>
    <w:lvl w:ilvl="5" w:tplc="CEA42758">
      <w:start w:val="1"/>
      <w:numFmt w:val="bullet"/>
      <w:lvlText w:val=""/>
      <w:lvlJc w:val="left"/>
      <w:pPr>
        <w:ind w:left="1440" w:hanging="360"/>
      </w:pPr>
      <w:rPr>
        <w:rFonts w:ascii="Symbol" w:hAnsi="Symbol"/>
      </w:rPr>
    </w:lvl>
    <w:lvl w:ilvl="6" w:tplc="DC2C1184">
      <w:start w:val="1"/>
      <w:numFmt w:val="bullet"/>
      <w:lvlText w:val=""/>
      <w:lvlJc w:val="left"/>
      <w:pPr>
        <w:ind w:left="1440" w:hanging="360"/>
      </w:pPr>
      <w:rPr>
        <w:rFonts w:ascii="Symbol" w:hAnsi="Symbol"/>
      </w:rPr>
    </w:lvl>
    <w:lvl w:ilvl="7" w:tplc="7054E190">
      <w:start w:val="1"/>
      <w:numFmt w:val="bullet"/>
      <w:lvlText w:val=""/>
      <w:lvlJc w:val="left"/>
      <w:pPr>
        <w:ind w:left="1440" w:hanging="360"/>
      </w:pPr>
      <w:rPr>
        <w:rFonts w:ascii="Symbol" w:hAnsi="Symbol"/>
      </w:rPr>
    </w:lvl>
    <w:lvl w:ilvl="8" w:tplc="CFA44B82">
      <w:start w:val="1"/>
      <w:numFmt w:val="bullet"/>
      <w:lvlText w:val=""/>
      <w:lvlJc w:val="left"/>
      <w:pPr>
        <w:ind w:left="1440" w:hanging="360"/>
      </w:pPr>
      <w:rPr>
        <w:rFonts w:ascii="Symbol" w:hAnsi="Symbol"/>
      </w:rPr>
    </w:lvl>
  </w:abstractNum>
  <w:abstractNum w:abstractNumId="20" w15:restartNumberingAfterBreak="0">
    <w:nsid w:val="6BE5764A"/>
    <w:multiLevelType w:val="hybridMultilevel"/>
    <w:tmpl w:val="A51EE142"/>
    <w:lvl w:ilvl="0" w:tplc="3370C7D0">
      <w:start w:val="1"/>
      <w:numFmt w:val="bullet"/>
      <w:lvlText w:val=""/>
      <w:lvlJc w:val="left"/>
      <w:pPr>
        <w:ind w:left="1440" w:hanging="360"/>
      </w:pPr>
      <w:rPr>
        <w:rFonts w:ascii="Symbol" w:hAnsi="Symbol"/>
      </w:rPr>
    </w:lvl>
    <w:lvl w:ilvl="1" w:tplc="FC2CEEBE">
      <w:start w:val="1"/>
      <w:numFmt w:val="bullet"/>
      <w:lvlText w:val=""/>
      <w:lvlJc w:val="left"/>
      <w:pPr>
        <w:ind w:left="1440" w:hanging="360"/>
      </w:pPr>
      <w:rPr>
        <w:rFonts w:ascii="Symbol" w:hAnsi="Symbol"/>
      </w:rPr>
    </w:lvl>
    <w:lvl w:ilvl="2" w:tplc="6D304D7E">
      <w:start w:val="1"/>
      <w:numFmt w:val="bullet"/>
      <w:lvlText w:val=""/>
      <w:lvlJc w:val="left"/>
      <w:pPr>
        <w:ind w:left="1440" w:hanging="360"/>
      </w:pPr>
      <w:rPr>
        <w:rFonts w:ascii="Symbol" w:hAnsi="Symbol"/>
      </w:rPr>
    </w:lvl>
    <w:lvl w:ilvl="3" w:tplc="61848760">
      <w:start w:val="1"/>
      <w:numFmt w:val="bullet"/>
      <w:lvlText w:val=""/>
      <w:lvlJc w:val="left"/>
      <w:pPr>
        <w:ind w:left="1440" w:hanging="360"/>
      </w:pPr>
      <w:rPr>
        <w:rFonts w:ascii="Symbol" w:hAnsi="Symbol"/>
      </w:rPr>
    </w:lvl>
    <w:lvl w:ilvl="4" w:tplc="F4504EA2">
      <w:start w:val="1"/>
      <w:numFmt w:val="bullet"/>
      <w:lvlText w:val=""/>
      <w:lvlJc w:val="left"/>
      <w:pPr>
        <w:ind w:left="1440" w:hanging="360"/>
      </w:pPr>
      <w:rPr>
        <w:rFonts w:ascii="Symbol" w:hAnsi="Symbol"/>
      </w:rPr>
    </w:lvl>
    <w:lvl w:ilvl="5" w:tplc="2A72B1EA">
      <w:start w:val="1"/>
      <w:numFmt w:val="bullet"/>
      <w:lvlText w:val=""/>
      <w:lvlJc w:val="left"/>
      <w:pPr>
        <w:ind w:left="1440" w:hanging="360"/>
      </w:pPr>
      <w:rPr>
        <w:rFonts w:ascii="Symbol" w:hAnsi="Symbol"/>
      </w:rPr>
    </w:lvl>
    <w:lvl w:ilvl="6" w:tplc="10944904">
      <w:start w:val="1"/>
      <w:numFmt w:val="bullet"/>
      <w:lvlText w:val=""/>
      <w:lvlJc w:val="left"/>
      <w:pPr>
        <w:ind w:left="1440" w:hanging="360"/>
      </w:pPr>
      <w:rPr>
        <w:rFonts w:ascii="Symbol" w:hAnsi="Symbol"/>
      </w:rPr>
    </w:lvl>
    <w:lvl w:ilvl="7" w:tplc="8106438E">
      <w:start w:val="1"/>
      <w:numFmt w:val="bullet"/>
      <w:lvlText w:val=""/>
      <w:lvlJc w:val="left"/>
      <w:pPr>
        <w:ind w:left="1440" w:hanging="360"/>
      </w:pPr>
      <w:rPr>
        <w:rFonts w:ascii="Symbol" w:hAnsi="Symbol"/>
      </w:rPr>
    </w:lvl>
    <w:lvl w:ilvl="8" w:tplc="EDBE3282">
      <w:start w:val="1"/>
      <w:numFmt w:val="bullet"/>
      <w:lvlText w:val=""/>
      <w:lvlJc w:val="left"/>
      <w:pPr>
        <w:ind w:left="1440" w:hanging="360"/>
      </w:pPr>
      <w:rPr>
        <w:rFonts w:ascii="Symbol" w:hAnsi="Symbol"/>
      </w:rPr>
    </w:lvl>
  </w:abstractNum>
  <w:abstractNum w:abstractNumId="21" w15:restartNumberingAfterBreak="0">
    <w:nsid w:val="6D535AEB"/>
    <w:multiLevelType w:val="hybridMultilevel"/>
    <w:tmpl w:val="3DB6FE82"/>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6E591058"/>
    <w:multiLevelType w:val="hybridMultilevel"/>
    <w:tmpl w:val="8032921E"/>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70193D19"/>
    <w:multiLevelType w:val="hybridMultilevel"/>
    <w:tmpl w:val="0ECAB430"/>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77612207"/>
    <w:multiLevelType w:val="hybridMultilevel"/>
    <w:tmpl w:val="217875D4"/>
    <w:lvl w:ilvl="0" w:tplc="A6ACC4CC">
      <w:start w:val="1"/>
      <w:numFmt w:val="bullet"/>
      <w:lvlText w:val=""/>
      <w:lvlJc w:val="left"/>
      <w:pPr>
        <w:ind w:left="1440" w:hanging="360"/>
      </w:pPr>
      <w:rPr>
        <w:rFonts w:ascii="Symbol" w:hAnsi="Symbol"/>
      </w:rPr>
    </w:lvl>
    <w:lvl w:ilvl="1" w:tplc="784447DE">
      <w:start w:val="1"/>
      <w:numFmt w:val="bullet"/>
      <w:lvlText w:val=""/>
      <w:lvlJc w:val="left"/>
      <w:pPr>
        <w:ind w:left="1440" w:hanging="360"/>
      </w:pPr>
      <w:rPr>
        <w:rFonts w:ascii="Symbol" w:hAnsi="Symbol"/>
      </w:rPr>
    </w:lvl>
    <w:lvl w:ilvl="2" w:tplc="89FE6702">
      <w:start w:val="1"/>
      <w:numFmt w:val="bullet"/>
      <w:lvlText w:val=""/>
      <w:lvlJc w:val="left"/>
      <w:pPr>
        <w:ind w:left="1440" w:hanging="360"/>
      </w:pPr>
      <w:rPr>
        <w:rFonts w:ascii="Symbol" w:hAnsi="Symbol"/>
      </w:rPr>
    </w:lvl>
    <w:lvl w:ilvl="3" w:tplc="2604C5D0">
      <w:start w:val="1"/>
      <w:numFmt w:val="bullet"/>
      <w:lvlText w:val=""/>
      <w:lvlJc w:val="left"/>
      <w:pPr>
        <w:ind w:left="1440" w:hanging="360"/>
      </w:pPr>
      <w:rPr>
        <w:rFonts w:ascii="Symbol" w:hAnsi="Symbol"/>
      </w:rPr>
    </w:lvl>
    <w:lvl w:ilvl="4" w:tplc="33CA1348">
      <w:start w:val="1"/>
      <w:numFmt w:val="bullet"/>
      <w:lvlText w:val=""/>
      <w:lvlJc w:val="left"/>
      <w:pPr>
        <w:ind w:left="1440" w:hanging="360"/>
      </w:pPr>
      <w:rPr>
        <w:rFonts w:ascii="Symbol" w:hAnsi="Symbol"/>
      </w:rPr>
    </w:lvl>
    <w:lvl w:ilvl="5" w:tplc="145EBCFA">
      <w:start w:val="1"/>
      <w:numFmt w:val="bullet"/>
      <w:lvlText w:val=""/>
      <w:lvlJc w:val="left"/>
      <w:pPr>
        <w:ind w:left="1440" w:hanging="360"/>
      </w:pPr>
      <w:rPr>
        <w:rFonts w:ascii="Symbol" w:hAnsi="Symbol"/>
      </w:rPr>
    </w:lvl>
    <w:lvl w:ilvl="6" w:tplc="7C148B56">
      <w:start w:val="1"/>
      <w:numFmt w:val="bullet"/>
      <w:lvlText w:val=""/>
      <w:lvlJc w:val="left"/>
      <w:pPr>
        <w:ind w:left="1440" w:hanging="360"/>
      </w:pPr>
      <w:rPr>
        <w:rFonts w:ascii="Symbol" w:hAnsi="Symbol"/>
      </w:rPr>
    </w:lvl>
    <w:lvl w:ilvl="7" w:tplc="CD3CFF50">
      <w:start w:val="1"/>
      <w:numFmt w:val="bullet"/>
      <w:lvlText w:val=""/>
      <w:lvlJc w:val="left"/>
      <w:pPr>
        <w:ind w:left="1440" w:hanging="360"/>
      </w:pPr>
      <w:rPr>
        <w:rFonts w:ascii="Symbol" w:hAnsi="Symbol"/>
      </w:rPr>
    </w:lvl>
    <w:lvl w:ilvl="8" w:tplc="37A2C63E">
      <w:start w:val="1"/>
      <w:numFmt w:val="bullet"/>
      <w:lvlText w:val=""/>
      <w:lvlJc w:val="left"/>
      <w:pPr>
        <w:ind w:left="1440" w:hanging="360"/>
      </w:pPr>
      <w:rPr>
        <w:rFonts w:ascii="Symbol" w:hAnsi="Symbol"/>
      </w:rPr>
    </w:lvl>
  </w:abstractNum>
  <w:num w:numId="1" w16cid:durableId="47463427">
    <w:abstractNumId w:val="2"/>
  </w:num>
  <w:num w:numId="2" w16cid:durableId="1210649199">
    <w:abstractNumId w:val="15"/>
  </w:num>
  <w:num w:numId="3" w16cid:durableId="397482601">
    <w:abstractNumId w:val="9"/>
  </w:num>
  <w:num w:numId="4" w16cid:durableId="2069377992">
    <w:abstractNumId w:val="18"/>
  </w:num>
  <w:num w:numId="5" w16cid:durableId="779955172">
    <w:abstractNumId w:val="16"/>
  </w:num>
  <w:num w:numId="6" w16cid:durableId="2131194874">
    <w:abstractNumId w:val="20"/>
  </w:num>
  <w:num w:numId="7" w16cid:durableId="1813670143">
    <w:abstractNumId w:val="10"/>
  </w:num>
  <w:num w:numId="8" w16cid:durableId="1947540356">
    <w:abstractNumId w:val="24"/>
  </w:num>
  <w:num w:numId="9" w16cid:durableId="1013000113">
    <w:abstractNumId w:val="0"/>
  </w:num>
  <w:num w:numId="10" w16cid:durableId="359665266">
    <w:abstractNumId w:val="19"/>
  </w:num>
  <w:num w:numId="11" w16cid:durableId="1148478656">
    <w:abstractNumId w:val="1"/>
  </w:num>
  <w:num w:numId="12" w16cid:durableId="641663955">
    <w:abstractNumId w:val="14"/>
  </w:num>
  <w:num w:numId="13" w16cid:durableId="1368874093">
    <w:abstractNumId w:val="3"/>
  </w:num>
  <w:num w:numId="14" w16cid:durableId="1149444149">
    <w:abstractNumId w:val="12"/>
  </w:num>
  <w:num w:numId="15" w16cid:durableId="717431923">
    <w:abstractNumId w:val="8"/>
  </w:num>
  <w:num w:numId="16" w16cid:durableId="2083595373">
    <w:abstractNumId w:val="17"/>
  </w:num>
  <w:num w:numId="17" w16cid:durableId="1338342532">
    <w:abstractNumId w:val="21"/>
  </w:num>
  <w:num w:numId="18" w16cid:durableId="1381321327">
    <w:abstractNumId w:val="22"/>
  </w:num>
  <w:num w:numId="19" w16cid:durableId="1076901301">
    <w:abstractNumId w:val="6"/>
  </w:num>
  <w:num w:numId="20" w16cid:durableId="1544249107">
    <w:abstractNumId w:val="5"/>
  </w:num>
  <w:num w:numId="21" w16cid:durableId="1736736069">
    <w:abstractNumId w:val="23"/>
  </w:num>
  <w:num w:numId="22" w16cid:durableId="625088192">
    <w:abstractNumId w:val="13"/>
  </w:num>
  <w:num w:numId="23" w16cid:durableId="768620608">
    <w:abstractNumId w:val="7"/>
  </w:num>
  <w:num w:numId="24" w16cid:durableId="730999131">
    <w:abstractNumId w:val="11"/>
  </w:num>
  <w:num w:numId="25" w16cid:durableId="1315586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55"/>
    <w:rsid w:val="00000A16"/>
    <w:rsid w:val="00000AC7"/>
    <w:rsid w:val="00000BFA"/>
    <w:rsid w:val="00001EF3"/>
    <w:rsid w:val="000022DC"/>
    <w:rsid w:val="0000662F"/>
    <w:rsid w:val="0000668B"/>
    <w:rsid w:val="000101F4"/>
    <w:rsid w:val="000109C7"/>
    <w:rsid w:val="000109D6"/>
    <w:rsid w:val="000133C8"/>
    <w:rsid w:val="00016C61"/>
    <w:rsid w:val="00021500"/>
    <w:rsid w:val="00026B7E"/>
    <w:rsid w:val="00036E27"/>
    <w:rsid w:val="00043CB0"/>
    <w:rsid w:val="00044BE9"/>
    <w:rsid w:val="00047B27"/>
    <w:rsid w:val="000537C8"/>
    <w:rsid w:val="00055635"/>
    <w:rsid w:val="000571C1"/>
    <w:rsid w:val="000606ED"/>
    <w:rsid w:val="00062F29"/>
    <w:rsid w:val="000670D9"/>
    <w:rsid w:val="00070178"/>
    <w:rsid w:val="0007084F"/>
    <w:rsid w:val="000716C3"/>
    <w:rsid w:val="00072D04"/>
    <w:rsid w:val="00077026"/>
    <w:rsid w:val="0008205A"/>
    <w:rsid w:val="00082BD3"/>
    <w:rsid w:val="00084148"/>
    <w:rsid w:val="00084B99"/>
    <w:rsid w:val="000909BC"/>
    <w:rsid w:val="0009126A"/>
    <w:rsid w:val="00094254"/>
    <w:rsid w:val="00096527"/>
    <w:rsid w:val="00097AE0"/>
    <w:rsid w:val="000A1DD4"/>
    <w:rsid w:val="000A2F57"/>
    <w:rsid w:val="000A66D4"/>
    <w:rsid w:val="000B06AF"/>
    <w:rsid w:val="000B0B58"/>
    <w:rsid w:val="000B2E54"/>
    <w:rsid w:val="000B3E84"/>
    <w:rsid w:val="000B4210"/>
    <w:rsid w:val="000B49F2"/>
    <w:rsid w:val="000B718A"/>
    <w:rsid w:val="000C25D0"/>
    <w:rsid w:val="000C37AD"/>
    <w:rsid w:val="000D22C8"/>
    <w:rsid w:val="000D41D6"/>
    <w:rsid w:val="000D4620"/>
    <w:rsid w:val="000E1E86"/>
    <w:rsid w:val="000E28FE"/>
    <w:rsid w:val="000E5989"/>
    <w:rsid w:val="000E7A07"/>
    <w:rsid w:val="000F272E"/>
    <w:rsid w:val="000F540F"/>
    <w:rsid w:val="000F5C72"/>
    <w:rsid w:val="000F6AD8"/>
    <w:rsid w:val="00101AFB"/>
    <w:rsid w:val="00101B4B"/>
    <w:rsid w:val="00105749"/>
    <w:rsid w:val="00107BEA"/>
    <w:rsid w:val="00116081"/>
    <w:rsid w:val="00116DCE"/>
    <w:rsid w:val="0011703C"/>
    <w:rsid w:val="0012166A"/>
    <w:rsid w:val="00122615"/>
    <w:rsid w:val="00126E5A"/>
    <w:rsid w:val="00132A01"/>
    <w:rsid w:val="00134CBC"/>
    <w:rsid w:val="001360DE"/>
    <w:rsid w:val="001370A4"/>
    <w:rsid w:val="001424EA"/>
    <w:rsid w:val="00142FB2"/>
    <w:rsid w:val="00143BC7"/>
    <w:rsid w:val="00147420"/>
    <w:rsid w:val="00153B33"/>
    <w:rsid w:val="001540BD"/>
    <w:rsid w:val="0015427A"/>
    <w:rsid w:val="0015554E"/>
    <w:rsid w:val="0015584B"/>
    <w:rsid w:val="00155C34"/>
    <w:rsid w:val="00155E7B"/>
    <w:rsid w:val="0015734E"/>
    <w:rsid w:val="0016268E"/>
    <w:rsid w:val="00166621"/>
    <w:rsid w:val="00173224"/>
    <w:rsid w:val="00180B6A"/>
    <w:rsid w:val="00183BA1"/>
    <w:rsid w:val="001850C8"/>
    <w:rsid w:val="00185C0D"/>
    <w:rsid w:val="00192FA0"/>
    <w:rsid w:val="00193F52"/>
    <w:rsid w:val="00194145"/>
    <w:rsid w:val="001959DE"/>
    <w:rsid w:val="001A54A1"/>
    <w:rsid w:val="001A5C0C"/>
    <w:rsid w:val="001B593E"/>
    <w:rsid w:val="001B7460"/>
    <w:rsid w:val="001B7EA3"/>
    <w:rsid w:val="001C1300"/>
    <w:rsid w:val="001C1BD1"/>
    <w:rsid w:val="001C25F7"/>
    <w:rsid w:val="001C2A2D"/>
    <w:rsid w:val="001C3117"/>
    <w:rsid w:val="001C64BC"/>
    <w:rsid w:val="001C6921"/>
    <w:rsid w:val="001D0617"/>
    <w:rsid w:val="001D3AB8"/>
    <w:rsid w:val="001D4D17"/>
    <w:rsid w:val="001D50A9"/>
    <w:rsid w:val="001D6371"/>
    <w:rsid w:val="001D639D"/>
    <w:rsid w:val="001D74CA"/>
    <w:rsid w:val="001E35F5"/>
    <w:rsid w:val="001E62F6"/>
    <w:rsid w:val="001E7350"/>
    <w:rsid w:val="001F0FF1"/>
    <w:rsid w:val="001F1F9A"/>
    <w:rsid w:val="001F27FE"/>
    <w:rsid w:val="001F3129"/>
    <w:rsid w:val="001F36F7"/>
    <w:rsid w:val="001F38C1"/>
    <w:rsid w:val="001F4CA3"/>
    <w:rsid w:val="00202745"/>
    <w:rsid w:val="00203ECC"/>
    <w:rsid w:val="002043D1"/>
    <w:rsid w:val="0020777C"/>
    <w:rsid w:val="0021343C"/>
    <w:rsid w:val="00216A87"/>
    <w:rsid w:val="00220133"/>
    <w:rsid w:val="00220ADD"/>
    <w:rsid w:val="002212E0"/>
    <w:rsid w:val="002254E6"/>
    <w:rsid w:val="00226F4A"/>
    <w:rsid w:val="00232CB6"/>
    <w:rsid w:val="00234222"/>
    <w:rsid w:val="0024078D"/>
    <w:rsid w:val="002412C5"/>
    <w:rsid w:val="0024200F"/>
    <w:rsid w:val="00243A4E"/>
    <w:rsid w:val="00243B09"/>
    <w:rsid w:val="00244902"/>
    <w:rsid w:val="002474B5"/>
    <w:rsid w:val="002503CB"/>
    <w:rsid w:val="00252B2C"/>
    <w:rsid w:val="002552FC"/>
    <w:rsid w:val="002636C7"/>
    <w:rsid w:val="00266A27"/>
    <w:rsid w:val="00273D7D"/>
    <w:rsid w:val="0027596A"/>
    <w:rsid w:val="00276375"/>
    <w:rsid w:val="00277087"/>
    <w:rsid w:val="002772A6"/>
    <w:rsid w:val="0028085C"/>
    <w:rsid w:val="002811C3"/>
    <w:rsid w:val="002828E4"/>
    <w:rsid w:val="00285A64"/>
    <w:rsid w:val="00285F0F"/>
    <w:rsid w:val="00286136"/>
    <w:rsid w:val="00286B1E"/>
    <w:rsid w:val="00286D20"/>
    <w:rsid w:val="00287005"/>
    <w:rsid w:val="002910EA"/>
    <w:rsid w:val="00291C38"/>
    <w:rsid w:val="00291D65"/>
    <w:rsid w:val="00292BCC"/>
    <w:rsid w:val="002968CF"/>
    <w:rsid w:val="002977E7"/>
    <w:rsid w:val="002A1138"/>
    <w:rsid w:val="002A269E"/>
    <w:rsid w:val="002B00D9"/>
    <w:rsid w:val="002B02BE"/>
    <w:rsid w:val="002B0B3C"/>
    <w:rsid w:val="002B1719"/>
    <w:rsid w:val="002B24D8"/>
    <w:rsid w:val="002B28E3"/>
    <w:rsid w:val="002B33CE"/>
    <w:rsid w:val="002B583B"/>
    <w:rsid w:val="002C6A70"/>
    <w:rsid w:val="002C7729"/>
    <w:rsid w:val="002D179E"/>
    <w:rsid w:val="002D1F05"/>
    <w:rsid w:val="002D46BB"/>
    <w:rsid w:val="002D59A7"/>
    <w:rsid w:val="002D6F9C"/>
    <w:rsid w:val="002D7253"/>
    <w:rsid w:val="002E16E4"/>
    <w:rsid w:val="002E5DD4"/>
    <w:rsid w:val="002E6272"/>
    <w:rsid w:val="002E6AEF"/>
    <w:rsid w:val="003030B6"/>
    <w:rsid w:val="00303AFE"/>
    <w:rsid w:val="003052EA"/>
    <w:rsid w:val="003111D3"/>
    <w:rsid w:val="003122E1"/>
    <w:rsid w:val="00312CE0"/>
    <w:rsid w:val="003169A0"/>
    <w:rsid w:val="00320F32"/>
    <w:rsid w:val="00322FEE"/>
    <w:rsid w:val="00324F54"/>
    <w:rsid w:val="003309AA"/>
    <w:rsid w:val="003312C0"/>
    <w:rsid w:val="00332D9F"/>
    <w:rsid w:val="00333952"/>
    <w:rsid w:val="00333E32"/>
    <w:rsid w:val="00341330"/>
    <w:rsid w:val="003426CB"/>
    <w:rsid w:val="003529F0"/>
    <w:rsid w:val="00354780"/>
    <w:rsid w:val="00355394"/>
    <w:rsid w:val="00362206"/>
    <w:rsid w:val="003635AE"/>
    <w:rsid w:val="00365152"/>
    <w:rsid w:val="00365B41"/>
    <w:rsid w:val="003709E8"/>
    <w:rsid w:val="00371BDD"/>
    <w:rsid w:val="00375FC0"/>
    <w:rsid w:val="0038048F"/>
    <w:rsid w:val="00380A0B"/>
    <w:rsid w:val="0038422B"/>
    <w:rsid w:val="00384385"/>
    <w:rsid w:val="00387410"/>
    <w:rsid w:val="00387799"/>
    <w:rsid w:val="0039034D"/>
    <w:rsid w:val="003911A2"/>
    <w:rsid w:val="00392DE3"/>
    <w:rsid w:val="003934B0"/>
    <w:rsid w:val="003940A2"/>
    <w:rsid w:val="00394AE2"/>
    <w:rsid w:val="00396464"/>
    <w:rsid w:val="00397D08"/>
    <w:rsid w:val="003A0180"/>
    <w:rsid w:val="003A025A"/>
    <w:rsid w:val="003A4712"/>
    <w:rsid w:val="003A5BE7"/>
    <w:rsid w:val="003A5C2A"/>
    <w:rsid w:val="003A6105"/>
    <w:rsid w:val="003A6DC1"/>
    <w:rsid w:val="003B1866"/>
    <w:rsid w:val="003B3DBD"/>
    <w:rsid w:val="003B4990"/>
    <w:rsid w:val="003B4CE2"/>
    <w:rsid w:val="003B5615"/>
    <w:rsid w:val="003B7020"/>
    <w:rsid w:val="003B72D7"/>
    <w:rsid w:val="003B7A25"/>
    <w:rsid w:val="003C0726"/>
    <w:rsid w:val="003C18E2"/>
    <w:rsid w:val="003C3659"/>
    <w:rsid w:val="003C48EE"/>
    <w:rsid w:val="003C68FC"/>
    <w:rsid w:val="003C6C9C"/>
    <w:rsid w:val="003C7CC0"/>
    <w:rsid w:val="003D446F"/>
    <w:rsid w:val="003D6008"/>
    <w:rsid w:val="003E43F2"/>
    <w:rsid w:val="003E7816"/>
    <w:rsid w:val="003F24FC"/>
    <w:rsid w:val="003F254E"/>
    <w:rsid w:val="003F62E4"/>
    <w:rsid w:val="00400AD8"/>
    <w:rsid w:val="00404538"/>
    <w:rsid w:val="00404A04"/>
    <w:rsid w:val="0040678B"/>
    <w:rsid w:val="0040772E"/>
    <w:rsid w:val="00407955"/>
    <w:rsid w:val="00411D2F"/>
    <w:rsid w:val="00412EA8"/>
    <w:rsid w:val="00415CEB"/>
    <w:rsid w:val="00415DCE"/>
    <w:rsid w:val="00416985"/>
    <w:rsid w:val="00420CC6"/>
    <w:rsid w:val="004229FD"/>
    <w:rsid w:val="004306E5"/>
    <w:rsid w:val="00431557"/>
    <w:rsid w:val="004335CC"/>
    <w:rsid w:val="004375BD"/>
    <w:rsid w:val="00440534"/>
    <w:rsid w:val="00441790"/>
    <w:rsid w:val="00443814"/>
    <w:rsid w:val="00444656"/>
    <w:rsid w:val="00446600"/>
    <w:rsid w:val="00452960"/>
    <w:rsid w:val="00453688"/>
    <w:rsid w:val="004560BB"/>
    <w:rsid w:val="00456DC2"/>
    <w:rsid w:val="00461768"/>
    <w:rsid w:val="004622F7"/>
    <w:rsid w:val="004630BB"/>
    <w:rsid w:val="00464437"/>
    <w:rsid w:val="004658D9"/>
    <w:rsid w:val="00466107"/>
    <w:rsid w:val="00466F42"/>
    <w:rsid w:val="00472BA7"/>
    <w:rsid w:val="0047635B"/>
    <w:rsid w:val="00477B86"/>
    <w:rsid w:val="00480371"/>
    <w:rsid w:val="00481078"/>
    <w:rsid w:val="004827A4"/>
    <w:rsid w:val="00485195"/>
    <w:rsid w:val="0048533A"/>
    <w:rsid w:val="00490AE6"/>
    <w:rsid w:val="00490B99"/>
    <w:rsid w:val="00491111"/>
    <w:rsid w:val="0049128A"/>
    <w:rsid w:val="004936B3"/>
    <w:rsid w:val="004959AB"/>
    <w:rsid w:val="00496162"/>
    <w:rsid w:val="00497EEA"/>
    <w:rsid w:val="004A2103"/>
    <w:rsid w:val="004A25E2"/>
    <w:rsid w:val="004A79F5"/>
    <w:rsid w:val="004A7BFF"/>
    <w:rsid w:val="004A7C39"/>
    <w:rsid w:val="004B4D5A"/>
    <w:rsid w:val="004B4FEB"/>
    <w:rsid w:val="004B650B"/>
    <w:rsid w:val="004C0989"/>
    <w:rsid w:val="004C0DEA"/>
    <w:rsid w:val="004C242D"/>
    <w:rsid w:val="004C4018"/>
    <w:rsid w:val="004C7DC2"/>
    <w:rsid w:val="004D0055"/>
    <w:rsid w:val="004D057F"/>
    <w:rsid w:val="004D368A"/>
    <w:rsid w:val="004D3CA4"/>
    <w:rsid w:val="004D755F"/>
    <w:rsid w:val="004D7EBF"/>
    <w:rsid w:val="004E0F4D"/>
    <w:rsid w:val="004E4E94"/>
    <w:rsid w:val="004E7001"/>
    <w:rsid w:val="004E7776"/>
    <w:rsid w:val="004F0AD8"/>
    <w:rsid w:val="004F2101"/>
    <w:rsid w:val="004F3903"/>
    <w:rsid w:val="004F5FCF"/>
    <w:rsid w:val="00501CF7"/>
    <w:rsid w:val="0050549C"/>
    <w:rsid w:val="00506673"/>
    <w:rsid w:val="00506ECA"/>
    <w:rsid w:val="005128D5"/>
    <w:rsid w:val="00513CB2"/>
    <w:rsid w:val="00514D37"/>
    <w:rsid w:val="00517810"/>
    <w:rsid w:val="00517984"/>
    <w:rsid w:val="00517F4A"/>
    <w:rsid w:val="00522E25"/>
    <w:rsid w:val="00525F2C"/>
    <w:rsid w:val="005262A5"/>
    <w:rsid w:val="00527341"/>
    <w:rsid w:val="005301ED"/>
    <w:rsid w:val="00532FF1"/>
    <w:rsid w:val="0053593D"/>
    <w:rsid w:val="005367B4"/>
    <w:rsid w:val="00536F1F"/>
    <w:rsid w:val="005409CB"/>
    <w:rsid w:val="005449CB"/>
    <w:rsid w:val="00547229"/>
    <w:rsid w:val="00547324"/>
    <w:rsid w:val="005502A7"/>
    <w:rsid w:val="0055354C"/>
    <w:rsid w:val="00555E4C"/>
    <w:rsid w:val="00556345"/>
    <w:rsid w:val="00566822"/>
    <w:rsid w:val="0057229A"/>
    <w:rsid w:val="00573C35"/>
    <w:rsid w:val="00574D8E"/>
    <w:rsid w:val="00584B57"/>
    <w:rsid w:val="00591055"/>
    <w:rsid w:val="005912F6"/>
    <w:rsid w:val="005A03DF"/>
    <w:rsid w:val="005A0889"/>
    <w:rsid w:val="005A1295"/>
    <w:rsid w:val="005A18F4"/>
    <w:rsid w:val="005A1B88"/>
    <w:rsid w:val="005A3B13"/>
    <w:rsid w:val="005A643A"/>
    <w:rsid w:val="005A7E7C"/>
    <w:rsid w:val="005B2A47"/>
    <w:rsid w:val="005B2CE9"/>
    <w:rsid w:val="005B5BA0"/>
    <w:rsid w:val="005C0609"/>
    <w:rsid w:val="005C0AA0"/>
    <w:rsid w:val="005C5499"/>
    <w:rsid w:val="005D15B3"/>
    <w:rsid w:val="005D179C"/>
    <w:rsid w:val="005D2EB2"/>
    <w:rsid w:val="005D5580"/>
    <w:rsid w:val="005E1C0F"/>
    <w:rsid w:val="005E2A99"/>
    <w:rsid w:val="005F208E"/>
    <w:rsid w:val="005F4627"/>
    <w:rsid w:val="005F51B2"/>
    <w:rsid w:val="0060250B"/>
    <w:rsid w:val="00603379"/>
    <w:rsid w:val="00605CF3"/>
    <w:rsid w:val="00605E76"/>
    <w:rsid w:val="00605F29"/>
    <w:rsid w:val="006068AF"/>
    <w:rsid w:val="006136AF"/>
    <w:rsid w:val="00615E4F"/>
    <w:rsid w:val="006207AC"/>
    <w:rsid w:val="00622ADA"/>
    <w:rsid w:val="00623A86"/>
    <w:rsid w:val="00624E1F"/>
    <w:rsid w:val="006310D6"/>
    <w:rsid w:val="006318D5"/>
    <w:rsid w:val="006361B3"/>
    <w:rsid w:val="00636A64"/>
    <w:rsid w:val="00637236"/>
    <w:rsid w:val="00642AE5"/>
    <w:rsid w:val="00643309"/>
    <w:rsid w:val="00645AEE"/>
    <w:rsid w:val="00651521"/>
    <w:rsid w:val="006523D1"/>
    <w:rsid w:val="0065280E"/>
    <w:rsid w:val="00652871"/>
    <w:rsid w:val="00652EC4"/>
    <w:rsid w:val="0065569B"/>
    <w:rsid w:val="00662445"/>
    <w:rsid w:val="00664724"/>
    <w:rsid w:val="0066661F"/>
    <w:rsid w:val="00667855"/>
    <w:rsid w:val="00673ABD"/>
    <w:rsid w:val="006750F6"/>
    <w:rsid w:val="0067581B"/>
    <w:rsid w:val="00677BB9"/>
    <w:rsid w:val="00677EC9"/>
    <w:rsid w:val="00680557"/>
    <w:rsid w:val="0068132A"/>
    <w:rsid w:val="00681D07"/>
    <w:rsid w:val="00681DF5"/>
    <w:rsid w:val="006823FB"/>
    <w:rsid w:val="006865AD"/>
    <w:rsid w:val="00694419"/>
    <w:rsid w:val="006953A9"/>
    <w:rsid w:val="0069630E"/>
    <w:rsid w:val="00696F68"/>
    <w:rsid w:val="00697933"/>
    <w:rsid w:val="006A3E60"/>
    <w:rsid w:val="006A54B4"/>
    <w:rsid w:val="006A5A2F"/>
    <w:rsid w:val="006B0DE5"/>
    <w:rsid w:val="006B15CF"/>
    <w:rsid w:val="006B16C9"/>
    <w:rsid w:val="006C3387"/>
    <w:rsid w:val="006C3773"/>
    <w:rsid w:val="006C73AB"/>
    <w:rsid w:val="006D1A7A"/>
    <w:rsid w:val="006D2F5D"/>
    <w:rsid w:val="006D4FBF"/>
    <w:rsid w:val="006E4316"/>
    <w:rsid w:val="006E72B3"/>
    <w:rsid w:val="006E76BC"/>
    <w:rsid w:val="006F20F2"/>
    <w:rsid w:val="006F61F5"/>
    <w:rsid w:val="006F7476"/>
    <w:rsid w:val="00701867"/>
    <w:rsid w:val="00703501"/>
    <w:rsid w:val="00704AC2"/>
    <w:rsid w:val="00710478"/>
    <w:rsid w:val="00712349"/>
    <w:rsid w:val="00712A64"/>
    <w:rsid w:val="00712B38"/>
    <w:rsid w:val="007164FF"/>
    <w:rsid w:val="00722BD3"/>
    <w:rsid w:val="0072634F"/>
    <w:rsid w:val="00730950"/>
    <w:rsid w:val="007316E4"/>
    <w:rsid w:val="00731B7D"/>
    <w:rsid w:val="00734E6C"/>
    <w:rsid w:val="00735A13"/>
    <w:rsid w:val="0073772C"/>
    <w:rsid w:val="00740BAD"/>
    <w:rsid w:val="00750A34"/>
    <w:rsid w:val="007529D8"/>
    <w:rsid w:val="00753E76"/>
    <w:rsid w:val="00753FDB"/>
    <w:rsid w:val="00754546"/>
    <w:rsid w:val="00755F39"/>
    <w:rsid w:val="00756805"/>
    <w:rsid w:val="00760B0C"/>
    <w:rsid w:val="00762421"/>
    <w:rsid w:val="00762642"/>
    <w:rsid w:val="00766652"/>
    <w:rsid w:val="007673F5"/>
    <w:rsid w:val="00771E85"/>
    <w:rsid w:val="007720EF"/>
    <w:rsid w:val="00774A93"/>
    <w:rsid w:val="00774CB1"/>
    <w:rsid w:val="00782464"/>
    <w:rsid w:val="0078253C"/>
    <w:rsid w:val="007835ED"/>
    <w:rsid w:val="00784428"/>
    <w:rsid w:val="00784D55"/>
    <w:rsid w:val="00787EEF"/>
    <w:rsid w:val="00792816"/>
    <w:rsid w:val="007953DF"/>
    <w:rsid w:val="0079696C"/>
    <w:rsid w:val="00797553"/>
    <w:rsid w:val="007976B4"/>
    <w:rsid w:val="007A1C0F"/>
    <w:rsid w:val="007A4BC5"/>
    <w:rsid w:val="007A4DB9"/>
    <w:rsid w:val="007A51C5"/>
    <w:rsid w:val="007A7DAA"/>
    <w:rsid w:val="007A7F86"/>
    <w:rsid w:val="007B2CBF"/>
    <w:rsid w:val="007B56D9"/>
    <w:rsid w:val="007B60A3"/>
    <w:rsid w:val="007B663A"/>
    <w:rsid w:val="007B7BAB"/>
    <w:rsid w:val="007C28D1"/>
    <w:rsid w:val="007C2FDF"/>
    <w:rsid w:val="007D04F6"/>
    <w:rsid w:val="007D1881"/>
    <w:rsid w:val="007D49C6"/>
    <w:rsid w:val="007D5EAD"/>
    <w:rsid w:val="007D676C"/>
    <w:rsid w:val="007E25B9"/>
    <w:rsid w:val="007E30EE"/>
    <w:rsid w:val="007E34D1"/>
    <w:rsid w:val="007E718E"/>
    <w:rsid w:val="007E71EB"/>
    <w:rsid w:val="007E7983"/>
    <w:rsid w:val="007F3471"/>
    <w:rsid w:val="007F39FC"/>
    <w:rsid w:val="007F47DA"/>
    <w:rsid w:val="007F5F77"/>
    <w:rsid w:val="00800461"/>
    <w:rsid w:val="008009C1"/>
    <w:rsid w:val="008025D3"/>
    <w:rsid w:val="00802FC4"/>
    <w:rsid w:val="00803F1C"/>
    <w:rsid w:val="008060B4"/>
    <w:rsid w:val="00810797"/>
    <w:rsid w:val="00811002"/>
    <w:rsid w:val="0081213B"/>
    <w:rsid w:val="00814F00"/>
    <w:rsid w:val="0081679D"/>
    <w:rsid w:val="0082060A"/>
    <w:rsid w:val="00822404"/>
    <w:rsid w:val="008229C2"/>
    <w:rsid w:val="00823193"/>
    <w:rsid w:val="00826624"/>
    <w:rsid w:val="0083350C"/>
    <w:rsid w:val="00834E98"/>
    <w:rsid w:val="00842AB5"/>
    <w:rsid w:val="008447A7"/>
    <w:rsid w:val="00847B91"/>
    <w:rsid w:val="00851C77"/>
    <w:rsid w:val="0085240B"/>
    <w:rsid w:val="008526AC"/>
    <w:rsid w:val="008533A0"/>
    <w:rsid w:val="00856989"/>
    <w:rsid w:val="008618B9"/>
    <w:rsid w:val="00862838"/>
    <w:rsid w:val="0086780C"/>
    <w:rsid w:val="00867BDB"/>
    <w:rsid w:val="00871DB5"/>
    <w:rsid w:val="008725B9"/>
    <w:rsid w:val="008755DA"/>
    <w:rsid w:val="00876A6E"/>
    <w:rsid w:val="008775D0"/>
    <w:rsid w:val="0088798D"/>
    <w:rsid w:val="008904D5"/>
    <w:rsid w:val="00890D99"/>
    <w:rsid w:val="00894D7F"/>
    <w:rsid w:val="008959F0"/>
    <w:rsid w:val="00897C47"/>
    <w:rsid w:val="008A05CB"/>
    <w:rsid w:val="008A1B81"/>
    <w:rsid w:val="008A1D0F"/>
    <w:rsid w:val="008A2AC8"/>
    <w:rsid w:val="008A2E21"/>
    <w:rsid w:val="008A31A2"/>
    <w:rsid w:val="008A539A"/>
    <w:rsid w:val="008A67D4"/>
    <w:rsid w:val="008A6EF5"/>
    <w:rsid w:val="008A7654"/>
    <w:rsid w:val="008B019A"/>
    <w:rsid w:val="008B047A"/>
    <w:rsid w:val="008B05B5"/>
    <w:rsid w:val="008B0FA3"/>
    <w:rsid w:val="008B4F54"/>
    <w:rsid w:val="008B7D96"/>
    <w:rsid w:val="008B7F5A"/>
    <w:rsid w:val="008C0003"/>
    <w:rsid w:val="008C0791"/>
    <w:rsid w:val="008C58F8"/>
    <w:rsid w:val="008D0F6E"/>
    <w:rsid w:val="008D1D0F"/>
    <w:rsid w:val="008D5120"/>
    <w:rsid w:val="008D5F91"/>
    <w:rsid w:val="008D6ABD"/>
    <w:rsid w:val="008E23A4"/>
    <w:rsid w:val="008E4336"/>
    <w:rsid w:val="008E5BAD"/>
    <w:rsid w:val="008E7114"/>
    <w:rsid w:val="008E7630"/>
    <w:rsid w:val="008F3C02"/>
    <w:rsid w:val="008F45A8"/>
    <w:rsid w:val="0090155B"/>
    <w:rsid w:val="00902501"/>
    <w:rsid w:val="009030A1"/>
    <w:rsid w:val="00904324"/>
    <w:rsid w:val="009049B4"/>
    <w:rsid w:val="009056CF"/>
    <w:rsid w:val="009152E5"/>
    <w:rsid w:val="009157E1"/>
    <w:rsid w:val="00915DC1"/>
    <w:rsid w:val="0092122E"/>
    <w:rsid w:val="009231B2"/>
    <w:rsid w:val="009232E1"/>
    <w:rsid w:val="009273D4"/>
    <w:rsid w:val="00932BF4"/>
    <w:rsid w:val="009363F1"/>
    <w:rsid w:val="00940BD4"/>
    <w:rsid w:val="0094433A"/>
    <w:rsid w:val="00950B84"/>
    <w:rsid w:val="00951AEF"/>
    <w:rsid w:val="00952803"/>
    <w:rsid w:val="009565E4"/>
    <w:rsid w:val="009570CE"/>
    <w:rsid w:val="009626C6"/>
    <w:rsid w:val="00964E58"/>
    <w:rsid w:val="009715B6"/>
    <w:rsid w:val="00972B93"/>
    <w:rsid w:val="009734F9"/>
    <w:rsid w:val="00975F7E"/>
    <w:rsid w:val="0097637C"/>
    <w:rsid w:val="00977BC7"/>
    <w:rsid w:val="009811B0"/>
    <w:rsid w:val="0098262F"/>
    <w:rsid w:val="00985EFF"/>
    <w:rsid w:val="00986667"/>
    <w:rsid w:val="00986D2A"/>
    <w:rsid w:val="0098779D"/>
    <w:rsid w:val="009908AD"/>
    <w:rsid w:val="00991307"/>
    <w:rsid w:val="0099384F"/>
    <w:rsid w:val="0099737E"/>
    <w:rsid w:val="009A04E5"/>
    <w:rsid w:val="009A0773"/>
    <w:rsid w:val="009A0942"/>
    <w:rsid w:val="009A377B"/>
    <w:rsid w:val="009A3B0A"/>
    <w:rsid w:val="009A4851"/>
    <w:rsid w:val="009A4BE0"/>
    <w:rsid w:val="009B1607"/>
    <w:rsid w:val="009B439D"/>
    <w:rsid w:val="009C77F0"/>
    <w:rsid w:val="009D00BA"/>
    <w:rsid w:val="009D4011"/>
    <w:rsid w:val="009D4A6A"/>
    <w:rsid w:val="009E282E"/>
    <w:rsid w:val="009E2BF7"/>
    <w:rsid w:val="009F5FD0"/>
    <w:rsid w:val="009F6592"/>
    <w:rsid w:val="009F7263"/>
    <w:rsid w:val="009F751D"/>
    <w:rsid w:val="009F7530"/>
    <w:rsid w:val="00A01593"/>
    <w:rsid w:val="00A075F1"/>
    <w:rsid w:val="00A10574"/>
    <w:rsid w:val="00A10CF8"/>
    <w:rsid w:val="00A10D06"/>
    <w:rsid w:val="00A1419C"/>
    <w:rsid w:val="00A15C8A"/>
    <w:rsid w:val="00A168E0"/>
    <w:rsid w:val="00A16BA2"/>
    <w:rsid w:val="00A16CB2"/>
    <w:rsid w:val="00A17C7B"/>
    <w:rsid w:val="00A17C91"/>
    <w:rsid w:val="00A267F5"/>
    <w:rsid w:val="00A32424"/>
    <w:rsid w:val="00A33356"/>
    <w:rsid w:val="00A34550"/>
    <w:rsid w:val="00A35253"/>
    <w:rsid w:val="00A37134"/>
    <w:rsid w:val="00A415B3"/>
    <w:rsid w:val="00A420FC"/>
    <w:rsid w:val="00A430CC"/>
    <w:rsid w:val="00A45273"/>
    <w:rsid w:val="00A52C8C"/>
    <w:rsid w:val="00A5606C"/>
    <w:rsid w:val="00A62591"/>
    <w:rsid w:val="00A637B7"/>
    <w:rsid w:val="00A6520D"/>
    <w:rsid w:val="00A662D0"/>
    <w:rsid w:val="00A66BD2"/>
    <w:rsid w:val="00A74ABC"/>
    <w:rsid w:val="00A76AE6"/>
    <w:rsid w:val="00A81F87"/>
    <w:rsid w:val="00A821B0"/>
    <w:rsid w:val="00A832D1"/>
    <w:rsid w:val="00A84E97"/>
    <w:rsid w:val="00A87447"/>
    <w:rsid w:val="00A902B4"/>
    <w:rsid w:val="00A9139A"/>
    <w:rsid w:val="00A957A9"/>
    <w:rsid w:val="00A963F4"/>
    <w:rsid w:val="00AA210C"/>
    <w:rsid w:val="00AA3204"/>
    <w:rsid w:val="00AA458A"/>
    <w:rsid w:val="00AA4768"/>
    <w:rsid w:val="00AA4E26"/>
    <w:rsid w:val="00AA74C8"/>
    <w:rsid w:val="00AA76FC"/>
    <w:rsid w:val="00AB0616"/>
    <w:rsid w:val="00AB2027"/>
    <w:rsid w:val="00AB2B19"/>
    <w:rsid w:val="00AB2DE4"/>
    <w:rsid w:val="00AB3307"/>
    <w:rsid w:val="00AC020F"/>
    <w:rsid w:val="00AC2F30"/>
    <w:rsid w:val="00AC395D"/>
    <w:rsid w:val="00AC441E"/>
    <w:rsid w:val="00AC59D9"/>
    <w:rsid w:val="00AC773A"/>
    <w:rsid w:val="00AC7B4D"/>
    <w:rsid w:val="00AD2E70"/>
    <w:rsid w:val="00AD4688"/>
    <w:rsid w:val="00AE0473"/>
    <w:rsid w:val="00AF2831"/>
    <w:rsid w:val="00B01883"/>
    <w:rsid w:val="00B03A17"/>
    <w:rsid w:val="00B04EB3"/>
    <w:rsid w:val="00B07150"/>
    <w:rsid w:val="00B07D68"/>
    <w:rsid w:val="00B1706F"/>
    <w:rsid w:val="00B22E27"/>
    <w:rsid w:val="00B25874"/>
    <w:rsid w:val="00B31F8A"/>
    <w:rsid w:val="00B33170"/>
    <w:rsid w:val="00B352F6"/>
    <w:rsid w:val="00B372BF"/>
    <w:rsid w:val="00B37FB7"/>
    <w:rsid w:val="00B407DF"/>
    <w:rsid w:val="00B444F0"/>
    <w:rsid w:val="00B46C0C"/>
    <w:rsid w:val="00B470FA"/>
    <w:rsid w:val="00B51E06"/>
    <w:rsid w:val="00B548FC"/>
    <w:rsid w:val="00B54B26"/>
    <w:rsid w:val="00B54FC8"/>
    <w:rsid w:val="00B55497"/>
    <w:rsid w:val="00B61E36"/>
    <w:rsid w:val="00B6275A"/>
    <w:rsid w:val="00B631C4"/>
    <w:rsid w:val="00B65456"/>
    <w:rsid w:val="00B65678"/>
    <w:rsid w:val="00B676AC"/>
    <w:rsid w:val="00B71FD3"/>
    <w:rsid w:val="00B720D3"/>
    <w:rsid w:val="00B7380E"/>
    <w:rsid w:val="00B82E2A"/>
    <w:rsid w:val="00B843A0"/>
    <w:rsid w:val="00B84A0A"/>
    <w:rsid w:val="00B858EF"/>
    <w:rsid w:val="00B85B29"/>
    <w:rsid w:val="00B87207"/>
    <w:rsid w:val="00B905C8"/>
    <w:rsid w:val="00B916C3"/>
    <w:rsid w:val="00B93972"/>
    <w:rsid w:val="00B939C7"/>
    <w:rsid w:val="00B96000"/>
    <w:rsid w:val="00B969D2"/>
    <w:rsid w:val="00B96F96"/>
    <w:rsid w:val="00BA2118"/>
    <w:rsid w:val="00BA464D"/>
    <w:rsid w:val="00BA614D"/>
    <w:rsid w:val="00BA617A"/>
    <w:rsid w:val="00BA72CA"/>
    <w:rsid w:val="00BA7574"/>
    <w:rsid w:val="00BA7832"/>
    <w:rsid w:val="00BB10B8"/>
    <w:rsid w:val="00BC2D65"/>
    <w:rsid w:val="00BC4891"/>
    <w:rsid w:val="00BC66B4"/>
    <w:rsid w:val="00BD477C"/>
    <w:rsid w:val="00BD5481"/>
    <w:rsid w:val="00BE0180"/>
    <w:rsid w:val="00BE070B"/>
    <w:rsid w:val="00BE1104"/>
    <w:rsid w:val="00BE2535"/>
    <w:rsid w:val="00BE6C04"/>
    <w:rsid w:val="00BF435F"/>
    <w:rsid w:val="00BF52D6"/>
    <w:rsid w:val="00C02DA9"/>
    <w:rsid w:val="00C03AB5"/>
    <w:rsid w:val="00C10682"/>
    <w:rsid w:val="00C10A66"/>
    <w:rsid w:val="00C14993"/>
    <w:rsid w:val="00C20A78"/>
    <w:rsid w:val="00C20FC3"/>
    <w:rsid w:val="00C23CD4"/>
    <w:rsid w:val="00C23DA9"/>
    <w:rsid w:val="00C25D11"/>
    <w:rsid w:val="00C30618"/>
    <w:rsid w:val="00C31129"/>
    <w:rsid w:val="00C32CDB"/>
    <w:rsid w:val="00C407CF"/>
    <w:rsid w:val="00C53051"/>
    <w:rsid w:val="00C5659E"/>
    <w:rsid w:val="00C6354C"/>
    <w:rsid w:val="00C63984"/>
    <w:rsid w:val="00C71D88"/>
    <w:rsid w:val="00C72E30"/>
    <w:rsid w:val="00C73F66"/>
    <w:rsid w:val="00C83EB0"/>
    <w:rsid w:val="00C85204"/>
    <w:rsid w:val="00C900D2"/>
    <w:rsid w:val="00C90241"/>
    <w:rsid w:val="00C905F3"/>
    <w:rsid w:val="00C92F83"/>
    <w:rsid w:val="00C9720B"/>
    <w:rsid w:val="00C9789E"/>
    <w:rsid w:val="00C97922"/>
    <w:rsid w:val="00C97FBB"/>
    <w:rsid w:val="00CA1024"/>
    <w:rsid w:val="00CA274D"/>
    <w:rsid w:val="00CA421A"/>
    <w:rsid w:val="00CA451B"/>
    <w:rsid w:val="00CA49D6"/>
    <w:rsid w:val="00CA5E71"/>
    <w:rsid w:val="00CB3E5E"/>
    <w:rsid w:val="00CB42DA"/>
    <w:rsid w:val="00CB506A"/>
    <w:rsid w:val="00CB5330"/>
    <w:rsid w:val="00CB6747"/>
    <w:rsid w:val="00CB74D6"/>
    <w:rsid w:val="00CC08EA"/>
    <w:rsid w:val="00CC10F0"/>
    <w:rsid w:val="00CC5B05"/>
    <w:rsid w:val="00CC7C34"/>
    <w:rsid w:val="00CD180F"/>
    <w:rsid w:val="00CD242F"/>
    <w:rsid w:val="00CD477C"/>
    <w:rsid w:val="00CD5748"/>
    <w:rsid w:val="00CE03D8"/>
    <w:rsid w:val="00CE49FD"/>
    <w:rsid w:val="00CF0464"/>
    <w:rsid w:val="00CF169E"/>
    <w:rsid w:val="00CF1849"/>
    <w:rsid w:val="00CF3A65"/>
    <w:rsid w:val="00D006C5"/>
    <w:rsid w:val="00D04898"/>
    <w:rsid w:val="00D06A24"/>
    <w:rsid w:val="00D06C62"/>
    <w:rsid w:val="00D1086A"/>
    <w:rsid w:val="00D1232A"/>
    <w:rsid w:val="00D226C7"/>
    <w:rsid w:val="00D24099"/>
    <w:rsid w:val="00D2647A"/>
    <w:rsid w:val="00D3017A"/>
    <w:rsid w:val="00D355E8"/>
    <w:rsid w:val="00D36564"/>
    <w:rsid w:val="00D40C79"/>
    <w:rsid w:val="00D41E52"/>
    <w:rsid w:val="00D433DB"/>
    <w:rsid w:val="00D43993"/>
    <w:rsid w:val="00D461C9"/>
    <w:rsid w:val="00D51077"/>
    <w:rsid w:val="00D53357"/>
    <w:rsid w:val="00D5406C"/>
    <w:rsid w:val="00D60218"/>
    <w:rsid w:val="00D6040D"/>
    <w:rsid w:val="00D60BA5"/>
    <w:rsid w:val="00D60F37"/>
    <w:rsid w:val="00D664E1"/>
    <w:rsid w:val="00D805D5"/>
    <w:rsid w:val="00D84F62"/>
    <w:rsid w:val="00D85511"/>
    <w:rsid w:val="00D90209"/>
    <w:rsid w:val="00D932D5"/>
    <w:rsid w:val="00D93713"/>
    <w:rsid w:val="00D954F7"/>
    <w:rsid w:val="00D95822"/>
    <w:rsid w:val="00DA0266"/>
    <w:rsid w:val="00DA10F0"/>
    <w:rsid w:val="00DA20A9"/>
    <w:rsid w:val="00DA3172"/>
    <w:rsid w:val="00DA3B4D"/>
    <w:rsid w:val="00DA6AD6"/>
    <w:rsid w:val="00DB091F"/>
    <w:rsid w:val="00DB16D0"/>
    <w:rsid w:val="00DB1AC3"/>
    <w:rsid w:val="00DB3EA7"/>
    <w:rsid w:val="00DB5248"/>
    <w:rsid w:val="00DB5882"/>
    <w:rsid w:val="00DD0A4C"/>
    <w:rsid w:val="00DD0FA5"/>
    <w:rsid w:val="00DD64B5"/>
    <w:rsid w:val="00DE6C8B"/>
    <w:rsid w:val="00DF0BFA"/>
    <w:rsid w:val="00DF188A"/>
    <w:rsid w:val="00DF4F5B"/>
    <w:rsid w:val="00DF6348"/>
    <w:rsid w:val="00E006E4"/>
    <w:rsid w:val="00E02B7D"/>
    <w:rsid w:val="00E039BA"/>
    <w:rsid w:val="00E03CDD"/>
    <w:rsid w:val="00E06ACA"/>
    <w:rsid w:val="00E10E02"/>
    <w:rsid w:val="00E1160A"/>
    <w:rsid w:val="00E1298C"/>
    <w:rsid w:val="00E20517"/>
    <w:rsid w:val="00E22075"/>
    <w:rsid w:val="00E31CA5"/>
    <w:rsid w:val="00E32669"/>
    <w:rsid w:val="00E33DB8"/>
    <w:rsid w:val="00E3434C"/>
    <w:rsid w:val="00E36C42"/>
    <w:rsid w:val="00E4006B"/>
    <w:rsid w:val="00E41B39"/>
    <w:rsid w:val="00E41C02"/>
    <w:rsid w:val="00E440A5"/>
    <w:rsid w:val="00E456A5"/>
    <w:rsid w:val="00E506E1"/>
    <w:rsid w:val="00E5303F"/>
    <w:rsid w:val="00E53AF1"/>
    <w:rsid w:val="00E624E4"/>
    <w:rsid w:val="00E66B06"/>
    <w:rsid w:val="00E70B82"/>
    <w:rsid w:val="00E70C99"/>
    <w:rsid w:val="00E7285D"/>
    <w:rsid w:val="00E73028"/>
    <w:rsid w:val="00E75975"/>
    <w:rsid w:val="00E76FE7"/>
    <w:rsid w:val="00E8011D"/>
    <w:rsid w:val="00E82324"/>
    <w:rsid w:val="00E82AD2"/>
    <w:rsid w:val="00E924B2"/>
    <w:rsid w:val="00E94EE7"/>
    <w:rsid w:val="00E95B33"/>
    <w:rsid w:val="00E967F4"/>
    <w:rsid w:val="00EA0B76"/>
    <w:rsid w:val="00EA17F5"/>
    <w:rsid w:val="00EA1844"/>
    <w:rsid w:val="00EA284B"/>
    <w:rsid w:val="00EA2CBB"/>
    <w:rsid w:val="00EA62C5"/>
    <w:rsid w:val="00EB01B5"/>
    <w:rsid w:val="00EB0404"/>
    <w:rsid w:val="00EB28B8"/>
    <w:rsid w:val="00EB3874"/>
    <w:rsid w:val="00EC058A"/>
    <w:rsid w:val="00EC50BC"/>
    <w:rsid w:val="00ED05EE"/>
    <w:rsid w:val="00ED10BE"/>
    <w:rsid w:val="00ED311D"/>
    <w:rsid w:val="00ED475B"/>
    <w:rsid w:val="00ED63F4"/>
    <w:rsid w:val="00ED69A7"/>
    <w:rsid w:val="00ED6CBB"/>
    <w:rsid w:val="00EE3D2D"/>
    <w:rsid w:val="00EE41C3"/>
    <w:rsid w:val="00EE51C9"/>
    <w:rsid w:val="00EF06B6"/>
    <w:rsid w:val="00EF13DE"/>
    <w:rsid w:val="00EF26A0"/>
    <w:rsid w:val="00EF3843"/>
    <w:rsid w:val="00EF61DF"/>
    <w:rsid w:val="00EF7A30"/>
    <w:rsid w:val="00EF7F7D"/>
    <w:rsid w:val="00F00205"/>
    <w:rsid w:val="00F036D9"/>
    <w:rsid w:val="00F05FD4"/>
    <w:rsid w:val="00F12281"/>
    <w:rsid w:val="00F1262D"/>
    <w:rsid w:val="00F23A91"/>
    <w:rsid w:val="00F25C60"/>
    <w:rsid w:val="00F25F07"/>
    <w:rsid w:val="00F27051"/>
    <w:rsid w:val="00F319CF"/>
    <w:rsid w:val="00F35350"/>
    <w:rsid w:val="00F47CB0"/>
    <w:rsid w:val="00F52EE5"/>
    <w:rsid w:val="00F52F86"/>
    <w:rsid w:val="00F545EF"/>
    <w:rsid w:val="00F56809"/>
    <w:rsid w:val="00F57474"/>
    <w:rsid w:val="00F6068C"/>
    <w:rsid w:val="00F63CC4"/>
    <w:rsid w:val="00F650A2"/>
    <w:rsid w:val="00F669D0"/>
    <w:rsid w:val="00F66B70"/>
    <w:rsid w:val="00F7249A"/>
    <w:rsid w:val="00F73B46"/>
    <w:rsid w:val="00F752D2"/>
    <w:rsid w:val="00F75898"/>
    <w:rsid w:val="00F763B7"/>
    <w:rsid w:val="00F76623"/>
    <w:rsid w:val="00F823EC"/>
    <w:rsid w:val="00F83962"/>
    <w:rsid w:val="00F842A3"/>
    <w:rsid w:val="00F91FC0"/>
    <w:rsid w:val="00F969E7"/>
    <w:rsid w:val="00FA040A"/>
    <w:rsid w:val="00FA3810"/>
    <w:rsid w:val="00FB51A2"/>
    <w:rsid w:val="00FC07EE"/>
    <w:rsid w:val="00FC354C"/>
    <w:rsid w:val="00FC3883"/>
    <w:rsid w:val="00FC7182"/>
    <w:rsid w:val="00FD7117"/>
    <w:rsid w:val="00FE1502"/>
    <w:rsid w:val="00FE18FA"/>
    <w:rsid w:val="00FE40B7"/>
    <w:rsid w:val="00FE4824"/>
    <w:rsid w:val="00FE4F8B"/>
    <w:rsid w:val="00FF180E"/>
    <w:rsid w:val="00FF2D57"/>
    <w:rsid w:val="00FF3812"/>
    <w:rsid w:val="00FF41C9"/>
    <w:rsid w:val="00FF6365"/>
    <w:rsid w:val="01AB7B20"/>
    <w:rsid w:val="040F6BE9"/>
    <w:rsid w:val="0642BD92"/>
    <w:rsid w:val="0652F383"/>
    <w:rsid w:val="06A36649"/>
    <w:rsid w:val="0A30EF79"/>
    <w:rsid w:val="0B208CB1"/>
    <w:rsid w:val="0C43FD66"/>
    <w:rsid w:val="10EDF891"/>
    <w:rsid w:val="1193D193"/>
    <w:rsid w:val="12E790C4"/>
    <w:rsid w:val="140B49DB"/>
    <w:rsid w:val="14163751"/>
    <w:rsid w:val="1598A409"/>
    <w:rsid w:val="1640058A"/>
    <w:rsid w:val="16F8BDCE"/>
    <w:rsid w:val="1802DC86"/>
    <w:rsid w:val="18279AB7"/>
    <w:rsid w:val="1A2A066E"/>
    <w:rsid w:val="1E31525B"/>
    <w:rsid w:val="1F443176"/>
    <w:rsid w:val="20A80505"/>
    <w:rsid w:val="2450E8B2"/>
    <w:rsid w:val="26682B93"/>
    <w:rsid w:val="27F1D56B"/>
    <w:rsid w:val="28AC113A"/>
    <w:rsid w:val="2EC17699"/>
    <w:rsid w:val="303BE6E8"/>
    <w:rsid w:val="310F8A8D"/>
    <w:rsid w:val="31A88182"/>
    <w:rsid w:val="390D6047"/>
    <w:rsid w:val="39BA27DE"/>
    <w:rsid w:val="39CFCBE8"/>
    <w:rsid w:val="40162D16"/>
    <w:rsid w:val="40740E56"/>
    <w:rsid w:val="41185FF3"/>
    <w:rsid w:val="41360039"/>
    <w:rsid w:val="46B49A63"/>
    <w:rsid w:val="4824A597"/>
    <w:rsid w:val="4AFF6AC2"/>
    <w:rsid w:val="4CBB7DBA"/>
    <w:rsid w:val="4E6284FF"/>
    <w:rsid w:val="52E9CADA"/>
    <w:rsid w:val="5425B7B4"/>
    <w:rsid w:val="55DC081B"/>
    <w:rsid w:val="560DEC50"/>
    <w:rsid w:val="5618CA73"/>
    <w:rsid w:val="57B6C5D5"/>
    <w:rsid w:val="5B5098BC"/>
    <w:rsid w:val="5C3DBF77"/>
    <w:rsid w:val="5DDE4B97"/>
    <w:rsid w:val="5F7D9C62"/>
    <w:rsid w:val="60B51DD5"/>
    <w:rsid w:val="646D665C"/>
    <w:rsid w:val="64978543"/>
    <w:rsid w:val="6553C075"/>
    <w:rsid w:val="689987F3"/>
    <w:rsid w:val="6ADF914F"/>
    <w:rsid w:val="6B976B06"/>
    <w:rsid w:val="6D421C9C"/>
    <w:rsid w:val="712426D4"/>
    <w:rsid w:val="720169D6"/>
    <w:rsid w:val="730B9980"/>
    <w:rsid w:val="730FA210"/>
    <w:rsid w:val="751955E7"/>
    <w:rsid w:val="76821727"/>
    <w:rsid w:val="768431CE"/>
    <w:rsid w:val="798409EE"/>
    <w:rsid w:val="7ACC54F6"/>
    <w:rsid w:val="7F2419C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1A020"/>
  <w15:docId w15:val="{483DAF0E-D9E4-4CB4-8025-6ABB539CC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469" w:hanging="324"/>
      <w:outlineLvl w:val="0"/>
    </w:pPr>
  </w:style>
  <w:style w:type="paragraph" w:styleId="Heading2">
    <w:name w:val="heading 2"/>
    <w:basedOn w:val="Normal"/>
    <w:link w:val="Heading2Char"/>
    <w:uiPriority w:val="9"/>
    <w:unhideWhenUsed/>
    <w:qFormat/>
    <w:pPr>
      <w:ind w:left="425" w:hanging="338"/>
      <w:outlineLvl w:val="1"/>
    </w:pPr>
    <w:rPr>
      <w:sz w:val="21"/>
      <w:szCs w:val="21"/>
    </w:rPr>
  </w:style>
  <w:style w:type="paragraph" w:styleId="Heading3">
    <w:name w:val="heading 3"/>
    <w:basedOn w:val="Normal"/>
    <w:uiPriority w:val="9"/>
    <w:unhideWhenUsed/>
    <w:qFormat/>
    <w:pPr>
      <w:ind w:left="438" w:hanging="333"/>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42"/>
      <w:ind w:left="771" w:hanging="643"/>
    </w:pPr>
    <w:rPr>
      <w:sz w:val="19"/>
      <w:szCs w:val="19"/>
    </w:rPr>
  </w:style>
  <w:style w:type="paragraph" w:styleId="TOC2">
    <w:name w:val="toc 2"/>
    <w:basedOn w:val="Normal"/>
    <w:uiPriority w:val="39"/>
    <w:qFormat/>
    <w:pPr>
      <w:spacing w:before="142"/>
      <w:ind w:left="777" w:hanging="636"/>
    </w:pPr>
    <w:rPr>
      <w:sz w:val="19"/>
      <w:szCs w:val="19"/>
    </w:rPr>
  </w:style>
  <w:style w:type="paragraph" w:styleId="BodyText">
    <w:name w:val="Body Text"/>
    <w:basedOn w:val="Normal"/>
    <w:uiPriority w:val="1"/>
    <w:qFormat/>
    <w:rPr>
      <w:sz w:val="18"/>
      <w:szCs w:val="18"/>
    </w:rPr>
  </w:style>
  <w:style w:type="paragraph" w:styleId="Title">
    <w:name w:val="Title"/>
    <w:basedOn w:val="Normal"/>
    <w:uiPriority w:val="10"/>
    <w:qFormat/>
    <w:pPr>
      <w:spacing w:before="1"/>
      <w:ind w:left="1531" w:right="1453"/>
      <w:jc w:val="center"/>
    </w:pPr>
    <w:rPr>
      <w:b/>
      <w:bCs/>
      <w:sz w:val="32"/>
      <w:szCs w:val="32"/>
    </w:rPr>
  </w:style>
  <w:style w:type="paragraph" w:styleId="ListParagraph">
    <w:name w:val="List Paragraph"/>
    <w:basedOn w:val="Normal"/>
    <w:link w:val="ListParagraphChar"/>
    <w:uiPriority w:val="1"/>
    <w:qFormat/>
    <w:pPr>
      <w:ind w:left="771" w:hanging="255"/>
    </w:pPr>
  </w:style>
  <w:style w:type="paragraph" w:customStyle="1" w:styleId="TableParagraph">
    <w:name w:val="Table Paragraph"/>
    <w:basedOn w:val="Normal"/>
    <w:uiPriority w:val="1"/>
    <w:qFormat/>
  </w:style>
  <w:style w:type="paragraph" w:styleId="Revision">
    <w:name w:val="Revision"/>
    <w:hidden/>
    <w:uiPriority w:val="99"/>
    <w:semiHidden/>
    <w:rsid w:val="001A54A1"/>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2474B5"/>
    <w:rPr>
      <w:sz w:val="16"/>
      <w:szCs w:val="16"/>
    </w:rPr>
  </w:style>
  <w:style w:type="paragraph" w:styleId="CommentText">
    <w:name w:val="annotation text"/>
    <w:basedOn w:val="Normal"/>
    <w:link w:val="CommentTextChar"/>
    <w:uiPriority w:val="99"/>
    <w:unhideWhenUsed/>
    <w:rsid w:val="002474B5"/>
    <w:rPr>
      <w:sz w:val="20"/>
      <w:szCs w:val="20"/>
    </w:rPr>
  </w:style>
  <w:style w:type="character" w:customStyle="1" w:styleId="CommentTextChar">
    <w:name w:val="Comment Text Char"/>
    <w:basedOn w:val="DefaultParagraphFont"/>
    <w:link w:val="CommentText"/>
    <w:uiPriority w:val="99"/>
    <w:rsid w:val="002474B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474B5"/>
    <w:rPr>
      <w:b/>
      <w:bCs/>
    </w:rPr>
  </w:style>
  <w:style w:type="character" w:customStyle="1" w:styleId="CommentSubjectChar">
    <w:name w:val="Comment Subject Char"/>
    <w:basedOn w:val="CommentTextChar"/>
    <w:link w:val="CommentSubject"/>
    <w:uiPriority w:val="99"/>
    <w:semiHidden/>
    <w:rsid w:val="002474B5"/>
    <w:rPr>
      <w:rFonts w:ascii="Arial" w:eastAsia="Arial" w:hAnsi="Arial" w:cs="Arial"/>
      <w:b/>
      <w:bCs/>
      <w:sz w:val="20"/>
      <w:szCs w:val="20"/>
    </w:rPr>
  </w:style>
  <w:style w:type="paragraph" w:styleId="Header">
    <w:name w:val="header"/>
    <w:basedOn w:val="Normal"/>
    <w:link w:val="HeaderChar"/>
    <w:uiPriority w:val="99"/>
    <w:unhideWhenUsed/>
    <w:rsid w:val="00D5406C"/>
    <w:pPr>
      <w:tabs>
        <w:tab w:val="center" w:pos="4513"/>
        <w:tab w:val="right" w:pos="9026"/>
      </w:tabs>
    </w:pPr>
  </w:style>
  <w:style w:type="character" w:customStyle="1" w:styleId="HeaderChar">
    <w:name w:val="Header Char"/>
    <w:basedOn w:val="DefaultParagraphFont"/>
    <w:link w:val="Header"/>
    <w:uiPriority w:val="99"/>
    <w:rsid w:val="00D5406C"/>
    <w:rPr>
      <w:rFonts w:ascii="Arial" w:eastAsia="Arial" w:hAnsi="Arial" w:cs="Arial"/>
    </w:rPr>
  </w:style>
  <w:style w:type="paragraph" w:styleId="Footer">
    <w:name w:val="footer"/>
    <w:basedOn w:val="Normal"/>
    <w:link w:val="FooterChar"/>
    <w:uiPriority w:val="99"/>
    <w:unhideWhenUsed/>
    <w:rsid w:val="00D5406C"/>
    <w:pPr>
      <w:tabs>
        <w:tab w:val="center" w:pos="4513"/>
        <w:tab w:val="right" w:pos="9026"/>
      </w:tabs>
    </w:pPr>
  </w:style>
  <w:style w:type="character" w:customStyle="1" w:styleId="FooterChar">
    <w:name w:val="Footer Char"/>
    <w:basedOn w:val="DefaultParagraphFont"/>
    <w:link w:val="Footer"/>
    <w:uiPriority w:val="99"/>
    <w:rsid w:val="00D5406C"/>
    <w:rPr>
      <w:rFonts w:ascii="Arial" w:eastAsia="Arial" w:hAnsi="Arial" w:cs="Arial"/>
    </w:rPr>
  </w:style>
  <w:style w:type="paragraph" w:styleId="NoSpacing">
    <w:name w:val="No Spacing"/>
    <w:uiPriority w:val="1"/>
    <w:qFormat/>
    <w:rsid w:val="00701867"/>
    <w:rPr>
      <w:rFonts w:ascii="Arial" w:eastAsia="Arial" w:hAnsi="Arial" w:cs="Arial"/>
    </w:rPr>
  </w:style>
  <w:style w:type="paragraph" w:customStyle="1" w:styleId="MainHeading">
    <w:name w:val="Main Heading"/>
    <w:link w:val="MainHeadingChar"/>
    <w:qFormat/>
    <w:rsid w:val="00DD0FA5"/>
    <w:pPr>
      <w:spacing w:before="166"/>
      <w:ind w:left="190"/>
    </w:pPr>
    <w:rPr>
      <w:rFonts w:ascii="Aptos Serif" w:eastAsia="Arial" w:hAnsi="Aptos Serif" w:cs="Arial"/>
      <w:b/>
      <w:w w:val="85"/>
      <w:sz w:val="24"/>
      <w:szCs w:val="28"/>
    </w:rPr>
  </w:style>
  <w:style w:type="character" w:customStyle="1" w:styleId="MainHeadingChar">
    <w:name w:val="Main Heading Char"/>
    <w:basedOn w:val="DefaultParagraphFont"/>
    <w:link w:val="MainHeading"/>
    <w:rsid w:val="00DD0FA5"/>
    <w:rPr>
      <w:rFonts w:ascii="Aptos Serif" w:eastAsia="Arial" w:hAnsi="Aptos Serif" w:cs="Arial"/>
      <w:b/>
      <w:w w:val="85"/>
      <w:sz w:val="24"/>
      <w:szCs w:val="28"/>
    </w:rPr>
  </w:style>
  <w:style w:type="paragraph" w:customStyle="1" w:styleId="SectionHeading">
    <w:name w:val="Section Heading"/>
    <w:basedOn w:val="Heading2"/>
    <w:link w:val="SectionHeadingChar"/>
    <w:qFormat/>
    <w:rsid w:val="005D179C"/>
    <w:pPr>
      <w:numPr>
        <w:numId w:val="1"/>
      </w:numPr>
      <w:tabs>
        <w:tab w:val="left" w:pos="519"/>
      </w:tabs>
      <w:spacing w:line="360" w:lineRule="auto"/>
      <w:ind w:left="521"/>
      <w:jc w:val="left"/>
    </w:pPr>
    <w:rPr>
      <w:b/>
      <w:spacing w:val="-2"/>
      <w:sz w:val="24"/>
    </w:rPr>
  </w:style>
  <w:style w:type="character" w:customStyle="1" w:styleId="Heading2Char">
    <w:name w:val="Heading 2 Char"/>
    <w:basedOn w:val="DefaultParagraphFont"/>
    <w:link w:val="Heading2"/>
    <w:uiPriority w:val="9"/>
    <w:rsid w:val="004C0989"/>
    <w:rPr>
      <w:rFonts w:ascii="Arial" w:eastAsia="Arial" w:hAnsi="Arial" w:cs="Arial"/>
      <w:sz w:val="21"/>
      <w:szCs w:val="21"/>
    </w:rPr>
  </w:style>
  <w:style w:type="character" w:customStyle="1" w:styleId="SectionHeadingChar">
    <w:name w:val="Section Heading Char"/>
    <w:basedOn w:val="Heading2Char"/>
    <w:link w:val="SectionHeading"/>
    <w:rsid w:val="005D179C"/>
    <w:rPr>
      <w:rFonts w:ascii="Arial" w:eastAsia="Arial" w:hAnsi="Arial" w:cs="Arial"/>
      <w:b/>
      <w:spacing w:val="-2"/>
      <w:sz w:val="24"/>
      <w:szCs w:val="21"/>
    </w:rPr>
  </w:style>
  <w:style w:type="character" w:styleId="Hyperlink">
    <w:name w:val="Hyperlink"/>
    <w:basedOn w:val="DefaultParagraphFont"/>
    <w:uiPriority w:val="99"/>
    <w:unhideWhenUsed/>
    <w:rsid w:val="0090155B"/>
    <w:rPr>
      <w:color w:val="0000FF" w:themeColor="hyperlink"/>
      <w:u w:val="single"/>
    </w:rPr>
  </w:style>
  <w:style w:type="character" w:styleId="UnresolvedMention">
    <w:name w:val="Unresolved Mention"/>
    <w:basedOn w:val="DefaultParagraphFont"/>
    <w:uiPriority w:val="99"/>
    <w:semiHidden/>
    <w:unhideWhenUsed/>
    <w:rsid w:val="0090155B"/>
    <w:rPr>
      <w:color w:val="605E5C"/>
      <w:shd w:val="clear" w:color="auto" w:fill="E1DFDD"/>
    </w:rPr>
  </w:style>
  <w:style w:type="character" w:styleId="FollowedHyperlink">
    <w:name w:val="FollowedHyperlink"/>
    <w:basedOn w:val="DefaultParagraphFont"/>
    <w:uiPriority w:val="99"/>
    <w:semiHidden/>
    <w:unhideWhenUsed/>
    <w:rsid w:val="00285A64"/>
    <w:rPr>
      <w:color w:val="800080" w:themeColor="followedHyperlink"/>
      <w:u w:val="single"/>
    </w:rPr>
  </w:style>
  <w:style w:type="paragraph" w:customStyle="1" w:styleId="NewSectionHeading">
    <w:name w:val="New Section Heading"/>
    <w:basedOn w:val="ListParagraph"/>
    <w:link w:val="NewSectionHeadingChar"/>
    <w:qFormat/>
    <w:rsid w:val="00461768"/>
    <w:pPr>
      <w:numPr>
        <w:numId w:val="13"/>
      </w:numPr>
      <w:spacing w:line="360" w:lineRule="auto"/>
    </w:pPr>
    <w:rPr>
      <w:b/>
      <w:bCs/>
      <w:sz w:val="24"/>
      <w:szCs w:val="24"/>
    </w:rPr>
  </w:style>
  <w:style w:type="character" w:customStyle="1" w:styleId="ListParagraphChar">
    <w:name w:val="List Paragraph Char"/>
    <w:basedOn w:val="DefaultParagraphFont"/>
    <w:link w:val="ListParagraph"/>
    <w:uiPriority w:val="1"/>
    <w:rsid w:val="00461768"/>
    <w:rPr>
      <w:rFonts w:ascii="Arial" w:eastAsia="Arial" w:hAnsi="Arial" w:cs="Arial"/>
    </w:rPr>
  </w:style>
  <w:style w:type="character" w:customStyle="1" w:styleId="NewSectionHeadingChar">
    <w:name w:val="New Section Heading Char"/>
    <w:basedOn w:val="ListParagraphChar"/>
    <w:link w:val="NewSectionHeading"/>
    <w:rsid w:val="00461768"/>
    <w:rPr>
      <w:rFonts w:ascii="Arial" w:eastAsia="Arial" w:hAnsi="Arial" w:cs="Arial"/>
      <w:b/>
      <w:bCs/>
      <w:sz w:val="24"/>
      <w:szCs w:val="24"/>
    </w:rPr>
  </w:style>
  <w:style w:type="paragraph" w:styleId="TOCHeading">
    <w:name w:val="TOC Heading"/>
    <w:basedOn w:val="Heading1"/>
    <w:next w:val="Normal"/>
    <w:uiPriority w:val="39"/>
    <w:unhideWhenUsed/>
    <w:qFormat/>
    <w:rsid w:val="00143BC7"/>
    <w:pPr>
      <w:keepNext/>
      <w:keepLines/>
      <w:widowControl/>
      <w:autoSpaceDE/>
      <w:autoSpaceDN/>
      <w:spacing w:before="240" w:line="259" w:lineRule="auto"/>
      <w:ind w:left="0" w:firstLine="0"/>
      <w:outlineLvl w:val="9"/>
    </w:pPr>
    <w:rPr>
      <w:rFonts w:asciiTheme="majorHAnsi" w:eastAsiaTheme="majorEastAsia" w:hAnsiTheme="majorHAnsi" w:cstheme="majorBidi"/>
      <w:color w:val="365F91" w:themeColor="accent1" w:themeShade="BF"/>
      <w:sz w:val="32"/>
      <w:szCs w:val="32"/>
    </w:rPr>
  </w:style>
  <w:style w:type="paragraph" w:styleId="TOC3">
    <w:name w:val="toc 3"/>
    <w:basedOn w:val="Normal"/>
    <w:next w:val="Normal"/>
    <w:autoRedefine/>
    <w:uiPriority w:val="39"/>
    <w:unhideWhenUsed/>
    <w:rsid w:val="00B858EF"/>
    <w:pPr>
      <w:widowControl/>
      <w:autoSpaceDE/>
      <w:autoSpaceDN/>
      <w:spacing w:after="100" w:line="259" w:lineRule="auto"/>
      <w:ind w:left="440"/>
    </w:pPr>
    <w:rPr>
      <w:rFonts w:asciiTheme="minorHAnsi" w:eastAsiaTheme="minorEastAsia" w:hAnsiTheme="minorHAns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Number xmlns="d162bdb0-97f7-404f-b2f7-876bbba43c22" xsi:nil="true"/>
    <lcf76f155ced4ddcb4097134ff3c332f xmlns="d162bdb0-97f7-404f-b2f7-876bbba43c22">
      <Terms xmlns="http://schemas.microsoft.com/office/infopath/2007/PartnerControls"/>
    </lcf76f155ced4ddcb4097134ff3c332f>
    <TaxCatchAll xmlns="0248287d-23c7-4a2a-a3e0-c0447c1b254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4740DFC7CADE48B96F06633685CE6A" ma:contentTypeVersion="19" ma:contentTypeDescription="Create a new document." ma:contentTypeScope="" ma:versionID="78594e4aca424da1c2a27086be3d5152">
  <xsd:schema xmlns:xsd="http://www.w3.org/2001/XMLSchema" xmlns:xs="http://www.w3.org/2001/XMLSchema" xmlns:p="http://schemas.microsoft.com/office/2006/metadata/properties" xmlns:ns2="d162bdb0-97f7-404f-b2f7-876bbba43c22" xmlns:ns3="0248287d-23c7-4a2a-a3e0-c0447c1b254b" targetNamespace="http://schemas.microsoft.com/office/2006/metadata/properties" ma:root="true" ma:fieldsID="46cebad7f5e0dae2e546ddb3d4ec71f9" ns2:_="" ns3:_="">
    <xsd:import namespace="d162bdb0-97f7-404f-b2f7-876bbba43c22"/>
    <xsd:import namespace="0248287d-23c7-4a2a-a3e0-c0447c1b25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Numbe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2bdb0-97f7-404f-b2f7-876bbba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Number" ma:index="22" nillable="true" ma:displayName="Number" ma:format="Dropdown" ma:internalName="Number" ma:percentage="FALSE">
      <xsd:simpleType>
        <xsd:restriction base="dms:Number"/>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48287d-23c7-4a2a-a3e0-c0447c1b25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80bcdcb-5d35-4cfa-b459-3cbb3cdeb293}" ma:internalName="TaxCatchAll" ma:showField="CatchAllData" ma:web="0248287d-23c7-4a2a-a3e0-c0447c1b25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D98BAF-2176-4638-BFD2-11B179FBEC27}">
  <ds:schemaRefs>
    <ds:schemaRef ds:uri="http://schemas.openxmlformats.org/officeDocument/2006/bibliography"/>
  </ds:schemaRefs>
</ds:datastoreItem>
</file>

<file path=customXml/itemProps2.xml><?xml version="1.0" encoding="utf-8"?>
<ds:datastoreItem xmlns:ds="http://schemas.openxmlformats.org/officeDocument/2006/customXml" ds:itemID="{DDFE8D3A-24E3-4677-B976-4EE363B2946C}">
  <ds:schemaRefs>
    <ds:schemaRef ds:uri="http://schemas.microsoft.com/office/2006/metadata/properties"/>
    <ds:schemaRef ds:uri="http://schemas.microsoft.com/office/infopath/2007/PartnerControls"/>
    <ds:schemaRef ds:uri="d162bdb0-97f7-404f-b2f7-876bbba43c22"/>
    <ds:schemaRef ds:uri="0248287d-23c7-4a2a-a3e0-c0447c1b254b"/>
  </ds:schemaRefs>
</ds:datastoreItem>
</file>

<file path=customXml/itemProps3.xml><?xml version="1.0" encoding="utf-8"?>
<ds:datastoreItem xmlns:ds="http://schemas.openxmlformats.org/officeDocument/2006/customXml" ds:itemID="{F491A3B8-154F-4BB3-92A0-76A0A6B52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62bdb0-97f7-404f-b2f7-876bbba43c22"/>
    <ds:schemaRef ds:uri="0248287d-23c7-4a2a-a3e0-c0447c1b25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356F37-2B20-4326-B653-37211FBF26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3093</Words>
  <Characters>17697</Characters>
  <Application>Microsoft Office Word</Application>
  <DocSecurity>0</DocSecurity>
  <Lines>347</Lines>
  <Paragraphs>138</Paragraphs>
  <ScaleCrop>false</ScaleCrop>
  <HeadingPairs>
    <vt:vector size="2" baseType="variant">
      <vt:variant>
        <vt:lpstr>Title</vt:lpstr>
      </vt:variant>
      <vt:variant>
        <vt:i4>1</vt:i4>
      </vt:variant>
    </vt:vector>
  </HeadingPairs>
  <TitlesOfParts>
    <vt:vector size="1" baseType="lpstr">
      <vt:lpstr>Memorandum of Understanding</vt:lpstr>
    </vt:vector>
  </TitlesOfParts>
  <Company/>
  <LinksUpToDate>false</LinksUpToDate>
  <CharactersWithSpaces>20756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Understanding</dc:title>
  <dc:subject>Memorandum of Understanding between Department of Health, Disability and Ageing and Aged Care Quality and Safety Commission</dc:subject>
  <dc:creator>Australian Government Department of Health, Disability and Ageing</dc:creator>
  <cp:keywords>Aged care, regulatory model</cp:keywords>
  <cp:revision>6</cp:revision>
  <dcterms:created xsi:type="dcterms:W3CDTF">2026-02-04T01:47:00Z</dcterms:created>
  <dcterms:modified xsi:type="dcterms:W3CDTF">2026-02-09T04:46:00Z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70ac5640,405b2dbe,5c585406</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6c43b2f,2276c2c8,478262df,ea53bd6</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2026-02-04T01:55:05Z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d6911027-04f4-4a49-83e1-6f15b62e3d7b</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LastSaved">
    <vt:filetime>2025-03-26T00:00:00Z</vt:filetime>
  </property>
  <property fmtid="{D5CDD505-2E9C-101B-9397-08002B2CF9AE}" pid="17" name="MediaServiceImageTags">
    <vt:lpwstr/>
  </property>
  <property fmtid="{D5CDD505-2E9C-101B-9397-08002B2CF9AE}" pid="18" name="ContentTypeId">
    <vt:lpwstr>0x010100294740DFC7CADE48B96F06633685CE6A</vt:lpwstr>
  </property>
  <property fmtid="{D5CDD505-2E9C-101B-9397-08002B2CF9AE}" pid="19" name="Creator">
    <vt:lpwstr>YSoft SafeQ 6</vt:lpwstr>
  </property>
  <property fmtid="{D5CDD505-2E9C-101B-9397-08002B2CF9AE}" pid="20" name="docLang">
    <vt:lpwstr>en</vt:lpwstr>
  </property>
  <property fmtid="{D5CDD505-2E9C-101B-9397-08002B2CF9AE}" pid="21" name="Producer">
    <vt:lpwstr>Adobe Acrobat Pro (32-bit) 23 Paper Capture Plug-in</vt:lpwstr>
  </property>
  <property fmtid="{D5CDD505-2E9C-101B-9397-08002B2CF9AE}" pid="22" name="Created">
    <vt:filetime>2024-07-03T00:00:00Z</vt:filetime>
  </property>
</Properties>
</file>