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9DB43" w14:textId="42E7EE85" w:rsidR="0093200A" w:rsidRPr="00783AAE" w:rsidRDefault="002A0549" w:rsidP="00783AAE">
      <w:pPr>
        <w:pStyle w:val="Title"/>
        <w:ind w:right="-472"/>
      </w:pPr>
      <w:r w:rsidRPr="00783AAE">
        <w:t xml:space="preserve">Restrictive Practice use in </w:t>
      </w:r>
      <w:r w:rsidR="00C5627F" w:rsidRPr="00783AAE">
        <w:t xml:space="preserve">residential </w:t>
      </w:r>
      <w:r w:rsidRPr="00783AAE">
        <w:t xml:space="preserve">aged care </w:t>
      </w:r>
      <w:bookmarkStart w:id="0" w:name="_Hlk120641860"/>
      <w:r w:rsidR="0093200A" w:rsidRPr="00783AAE">
        <w:t>Fact</w:t>
      </w:r>
      <w:r w:rsidR="00783AAE">
        <w:t xml:space="preserve"> </w:t>
      </w:r>
      <w:r w:rsidR="0093200A" w:rsidRPr="00783AAE">
        <w:t>sheet</w:t>
      </w:r>
      <w:r w:rsidR="003505E8" w:rsidRPr="00783AAE">
        <w:t xml:space="preserve"> – </w:t>
      </w:r>
      <w:r w:rsidR="00CD5D41" w:rsidRPr="00783AAE">
        <w:t>Types of restrictive practices</w:t>
      </w:r>
    </w:p>
    <w:p w14:paraId="3D663F35" w14:textId="365FB58B" w:rsidR="005E0D5C" w:rsidRPr="004D5FB4" w:rsidRDefault="005E0D5C" w:rsidP="004D5FB4">
      <w:pPr>
        <w:rPr>
          <w:lang w:eastAsia="zh-CN"/>
        </w:rPr>
      </w:pPr>
      <w:r w:rsidRPr="002B391E">
        <w:rPr>
          <w:rFonts w:ascii="Helvetica" w:eastAsia="SimHei" w:hAnsi="Helvetica"/>
          <w:noProof/>
          <w:color w:val="auto"/>
          <w:shd w:val="clear" w:color="auto" w:fill="FFFFFF"/>
          <w:lang w:eastAsia="zh-CN"/>
        </w:rPr>
        <w:t>This document outlines the different types of restrictive practices.</w:t>
      </w:r>
    </w:p>
    <w:bookmarkEnd w:id="0"/>
    <w:p w14:paraId="613D5B80" w14:textId="099C1ACD" w:rsidR="00324785" w:rsidRPr="002B391E" w:rsidRDefault="00B10F72" w:rsidP="0093200A">
      <w:pPr>
        <w:pStyle w:val="Heading2"/>
        <w:rPr>
          <w:b/>
          <w:iCs w:val="0"/>
          <w:color w:val="002060"/>
          <w:sz w:val="28"/>
        </w:rPr>
      </w:pPr>
      <w:r w:rsidRPr="002B391E">
        <w:rPr>
          <w:b/>
          <w:iCs w:val="0"/>
          <w:color w:val="002060"/>
          <w:sz w:val="28"/>
        </w:rPr>
        <w:t>What is a restrictive practice</w:t>
      </w:r>
      <w:r w:rsidR="006F61B8" w:rsidRPr="002B391E">
        <w:rPr>
          <w:b/>
          <w:iCs w:val="0"/>
          <w:color w:val="002060"/>
          <w:sz w:val="28"/>
        </w:rPr>
        <w:t>?</w:t>
      </w:r>
    </w:p>
    <w:p w14:paraId="43843C8B" w14:textId="193A15C7" w:rsidR="00324785" w:rsidRPr="004D5FB4" w:rsidRDefault="00B10F72" w:rsidP="004D5FB4">
      <w:r w:rsidRPr="002B391E">
        <w:rPr>
          <w:rFonts w:eastAsia="Times New Roman"/>
          <w:color w:val="000000" w:themeColor="text1"/>
        </w:rPr>
        <w:t xml:space="preserve">A restrictive practice is any </w:t>
      </w:r>
      <w:r w:rsidR="007631E7" w:rsidRPr="002B391E">
        <w:rPr>
          <w:rFonts w:eastAsia="Times New Roman"/>
          <w:color w:val="000000" w:themeColor="text1"/>
        </w:rPr>
        <w:t xml:space="preserve">action that restricts the </w:t>
      </w:r>
      <w:r w:rsidRPr="002B391E">
        <w:rPr>
          <w:rFonts w:eastAsia="Times New Roman"/>
          <w:color w:val="000000" w:themeColor="text1"/>
        </w:rPr>
        <w:t xml:space="preserve">rights or freedom of movement of </w:t>
      </w:r>
      <w:r w:rsidR="00A374E8" w:rsidRPr="005C70CB">
        <w:rPr>
          <w:rFonts w:eastAsia="Times New Roman"/>
          <w:color w:val="000000" w:themeColor="text1"/>
        </w:rPr>
        <w:t>an</w:t>
      </w:r>
      <w:r w:rsidRPr="005C70CB">
        <w:rPr>
          <w:rFonts w:eastAsia="Times New Roman"/>
          <w:color w:val="000000" w:themeColor="text1"/>
        </w:rPr>
        <w:t xml:space="preserve"> </w:t>
      </w:r>
      <w:r w:rsidR="00B0774A" w:rsidRPr="005C70CB">
        <w:rPr>
          <w:rFonts w:eastAsia="Times New Roman"/>
          <w:color w:val="000000" w:themeColor="text1"/>
        </w:rPr>
        <w:t>older person</w:t>
      </w:r>
      <w:r w:rsidRPr="005C70CB">
        <w:rPr>
          <w:rFonts w:eastAsia="Times New Roman"/>
          <w:color w:val="000000" w:themeColor="text1"/>
        </w:rPr>
        <w:t xml:space="preserve">. </w:t>
      </w:r>
    </w:p>
    <w:p w14:paraId="43136B6D" w14:textId="2FC8B315" w:rsidR="00324785" w:rsidRPr="002B391E" w:rsidRDefault="007078EC" w:rsidP="00324785">
      <w:pPr>
        <w:pStyle w:val="Heading2"/>
        <w:rPr>
          <w:b/>
          <w:iCs w:val="0"/>
          <w:color w:val="002060"/>
          <w:sz w:val="28"/>
        </w:rPr>
      </w:pPr>
      <w:r w:rsidRPr="002B391E">
        <w:rPr>
          <w:b/>
          <w:iCs w:val="0"/>
          <w:color w:val="002060"/>
          <w:sz w:val="28"/>
        </w:rPr>
        <w:t>What do restrictive practices include?</w:t>
      </w:r>
    </w:p>
    <w:p w14:paraId="1B16CEBE" w14:textId="05CE8D54" w:rsidR="00B10F72" w:rsidRPr="004D5FB4" w:rsidRDefault="00B10F72" w:rsidP="004D5FB4">
      <w:r w:rsidRPr="002B391E">
        <w:t>There are five types of restrictive practices</w:t>
      </w:r>
      <w:r w:rsidR="00A34142" w:rsidRPr="002B391E">
        <w:t>:</w:t>
      </w:r>
    </w:p>
    <w:p w14:paraId="0BB5F1AE" w14:textId="418B0472" w:rsidR="00B10F72" w:rsidRPr="004D5FB4" w:rsidRDefault="006F61B8" w:rsidP="004D5FB4">
      <w:pPr>
        <w:pStyle w:val="ListBullet"/>
      </w:pPr>
      <w:r w:rsidRPr="004D5FB4">
        <w:t>c</w:t>
      </w:r>
      <w:r w:rsidR="00B10F72" w:rsidRPr="004D5FB4">
        <w:t>hemical restraint</w:t>
      </w:r>
    </w:p>
    <w:p w14:paraId="7D58DD82" w14:textId="0D365EC3" w:rsidR="00B10F72" w:rsidRPr="004D5FB4" w:rsidRDefault="006F61B8" w:rsidP="004D5FB4">
      <w:pPr>
        <w:pStyle w:val="ListBullet"/>
      </w:pPr>
      <w:r w:rsidRPr="004D5FB4">
        <w:t>e</w:t>
      </w:r>
      <w:r w:rsidR="00B10F72" w:rsidRPr="004D5FB4">
        <w:t>nvironmental restraint</w:t>
      </w:r>
    </w:p>
    <w:p w14:paraId="0723ED50" w14:textId="79DE0E0B" w:rsidR="00B10F72" w:rsidRPr="004D5FB4" w:rsidRDefault="006F61B8" w:rsidP="004D5FB4">
      <w:pPr>
        <w:pStyle w:val="ListBullet"/>
      </w:pPr>
      <w:r w:rsidRPr="004D5FB4">
        <w:t>m</w:t>
      </w:r>
      <w:r w:rsidR="00B10F72" w:rsidRPr="004D5FB4">
        <w:t>echanical restraint</w:t>
      </w:r>
    </w:p>
    <w:p w14:paraId="1CBD19D8" w14:textId="56CDA678" w:rsidR="00B10F72" w:rsidRPr="004D5FB4" w:rsidRDefault="006F61B8" w:rsidP="004D5FB4">
      <w:pPr>
        <w:pStyle w:val="ListBullet"/>
      </w:pPr>
      <w:r w:rsidRPr="004D5FB4">
        <w:t>p</w:t>
      </w:r>
      <w:r w:rsidR="00B10F72" w:rsidRPr="004D5FB4">
        <w:t>hysical restraint</w:t>
      </w:r>
    </w:p>
    <w:p w14:paraId="5B0D00A6" w14:textId="59BD206F" w:rsidR="00324785" w:rsidRPr="004D5FB4" w:rsidRDefault="006F61B8" w:rsidP="004D5FB4">
      <w:pPr>
        <w:pStyle w:val="ListBullet"/>
      </w:pPr>
      <w:r w:rsidRPr="004D5FB4">
        <w:t>s</w:t>
      </w:r>
      <w:r w:rsidR="00B10F72" w:rsidRPr="004D5FB4">
        <w:t xml:space="preserve">eclusion </w:t>
      </w:r>
    </w:p>
    <w:p w14:paraId="1CDEC828" w14:textId="5E9AE37E" w:rsidR="00324785" w:rsidRPr="002B391E" w:rsidRDefault="00CD5D41" w:rsidP="00324785">
      <w:pPr>
        <w:pStyle w:val="Heading2"/>
        <w:rPr>
          <w:b/>
          <w:bCs w:val="0"/>
          <w:color w:val="002060"/>
          <w:sz w:val="28"/>
        </w:rPr>
      </w:pPr>
      <w:r w:rsidRPr="002B391E">
        <w:rPr>
          <w:b/>
          <w:bCs w:val="0"/>
          <w:color w:val="002060"/>
          <w:sz w:val="28"/>
        </w:rPr>
        <w:t xml:space="preserve">Chemical </w:t>
      </w:r>
      <w:r w:rsidR="006F61B8" w:rsidRPr="002B391E">
        <w:rPr>
          <w:b/>
          <w:bCs w:val="0"/>
          <w:color w:val="002060"/>
          <w:sz w:val="28"/>
        </w:rPr>
        <w:t>r</w:t>
      </w:r>
      <w:r w:rsidRPr="002B391E">
        <w:rPr>
          <w:b/>
          <w:bCs w:val="0"/>
          <w:color w:val="002060"/>
          <w:sz w:val="28"/>
        </w:rPr>
        <w:t>estraint</w:t>
      </w:r>
    </w:p>
    <w:p w14:paraId="422DD76E" w14:textId="7D604F89" w:rsidR="00BE0EC8" w:rsidRPr="004D5FB4" w:rsidRDefault="00BE0EC8" w:rsidP="004D5FB4">
      <w:r w:rsidRPr="004D5FB4">
        <w:t xml:space="preserve">Chemical restraint is a practice or intervention </w:t>
      </w:r>
      <w:r w:rsidR="008C4339" w:rsidRPr="004D5FB4">
        <w:t xml:space="preserve">that </w:t>
      </w:r>
      <w:r w:rsidRPr="004D5FB4">
        <w:t>involves the use of medication or a chemical substance for the primary purpose of influencing a</w:t>
      </w:r>
      <w:r w:rsidR="000C7560" w:rsidRPr="004D5FB4">
        <w:t xml:space="preserve">n older </w:t>
      </w:r>
      <w:r w:rsidR="00422A9F" w:rsidRPr="004D5FB4">
        <w:t>person’s behaviour</w:t>
      </w:r>
      <w:r w:rsidR="00CA288E" w:rsidRPr="004D5FB4">
        <w:t>. It</w:t>
      </w:r>
      <w:r w:rsidRPr="004D5FB4">
        <w:t xml:space="preserve"> does not include the use of medication prescribed for:</w:t>
      </w:r>
    </w:p>
    <w:p w14:paraId="73AE669B" w14:textId="03473EA6" w:rsidR="00BE0EC8" w:rsidRPr="004D5FB4" w:rsidRDefault="00BE0EC8" w:rsidP="004D5FB4">
      <w:pPr>
        <w:pStyle w:val="ListBullet"/>
      </w:pPr>
      <w:r w:rsidRPr="004D5FB4">
        <w:t xml:space="preserve">the treatment of, or to enable treatment of, the </w:t>
      </w:r>
      <w:r w:rsidR="000C7560" w:rsidRPr="004D5FB4">
        <w:t>older person</w:t>
      </w:r>
      <w:r w:rsidRPr="004D5FB4">
        <w:t xml:space="preserve"> for a diagnosed mental disorder, a physical illness or a physical condition; or</w:t>
      </w:r>
    </w:p>
    <w:p w14:paraId="04A34BBD" w14:textId="780FC127" w:rsidR="00BE0EC8" w:rsidRPr="004D5FB4" w:rsidRDefault="00BE0EC8" w:rsidP="004D5FB4">
      <w:pPr>
        <w:pStyle w:val="ListBullet"/>
      </w:pPr>
      <w:r w:rsidRPr="004D5FB4">
        <w:t xml:space="preserve">end of life care for the </w:t>
      </w:r>
      <w:r w:rsidR="0059091D" w:rsidRPr="004D5FB4">
        <w:t>older person</w:t>
      </w:r>
      <w:r w:rsidRPr="004D5FB4">
        <w:t>.</w:t>
      </w:r>
    </w:p>
    <w:p w14:paraId="59090A1D" w14:textId="680FF677" w:rsidR="000832DA" w:rsidRPr="004D5FB4" w:rsidRDefault="00BE0EC8" w:rsidP="004D5FB4">
      <w:r w:rsidRPr="004D5FB4">
        <w:t xml:space="preserve">The most common type of chemical restraint used in </w:t>
      </w:r>
      <w:r w:rsidR="00C5627F" w:rsidRPr="004D5FB4">
        <w:t xml:space="preserve">residential </w:t>
      </w:r>
      <w:r w:rsidRPr="004D5FB4">
        <w:t xml:space="preserve">aged care </w:t>
      </w:r>
      <w:r w:rsidR="000832DA" w:rsidRPr="004D5FB4">
        <w:t xml:space="preserve">are </w:t>
      </w:r>
      <w:r w:rsidRPr="004D5FB4">
        <w:t>psychotropic medic</w:t>
      </w:r>
      <w:r w:rsidR="000832DA" w:rsidRPr="004D5FB4">
        <w:t>ations</w:t>
      </w:r>
      <w:r w:rsidRPr="004D5FB4">
        <w:t>. Psychotropic medications are any drug capable of affecting the mind, emotions and behaviour. The three main classes of psychotropic</w:t>
      </w:r>
      <w:r w:rsidR="000832DA" w:rsidRPr="004D5FB4">
        <w:t xml:space="preserve"> medications</w:t>
      </w:r>
      <w:r w:rsidRPr="004D5FB4">
        <w:t xml:space="preserve"> prescribed are</w:t>
      </w:r>
      <w:r w:rsidR="000832DA" w:rsidRPr="004D5FB4">
        <w:t>:</w:t>
      </w:r>
    </w:p>
    <w:p w14:paraId="09F34506" w14:textId="32E57096" w:rsidR="000832DA" w:rsidRPr="004D5FB4" w:rsidRDefault="000832DA" w:rsidP="004D5FB4">
      <w:pPr>
        <w:pStyle w:val="ListBullet"/>
      </w:pPr>
      <w:proofErr w:type="gramStart"/>
      <w:r w:rsidRPr="004D5FB4">
        <w:t>a</w:t>
      </w:r>
      <w:r w:rsidR="00BE0EC8" w:rsidRPr="004D5FB4">
        <w:t>ntidepressants</w:t>
      </w:r>
      <w:r w:rsidR="00342463" w:rsidRPr="004D5FB4">
        <w:t>;</w:t>
      </w:r>
      <w:proofErr w:type="gramEnd"/>
    </w:p>
    <w:p w14:paraId="1AD988C1" w14:textId="271D05D5" w:rsidR="000832DA" w:rsidRPr="004D5FB4" w:rsidRDefault="00BE0EC8" w:rsidP="004D5FB4">
      <w:pPr>
        <w:pStyle w:val="ListBullet"/>
      </w:pPr>
      <w:r w:rsidRPr="004D5FB4">
        <w:t>anxiolytic/ hypnotics (mostly benzodiazepines to manage anxiety and insomnia</w:t>
      </w:r>
      <w:proofErr w:type="gramStart"/>
      <w:r w:rsidRPr="004D5FB4">
        <w:t>)</w:t>
      </w:r>
      <w:r w:rsidR="00342463" w:rsidRPr="004D5FB4">
        <w:t>;</w:t>
      </w:r>
      <w:proofErr w:type="gramEnd"/>
    </w:p>
    <w:p w14:paraId="1CB7213B" w14:textId="7708EF87" w:rsidR="00BE0EC8" w:rsidRPr="004D5FB4" w:rsidRDefault="00BE0EC8" w:rsidP="004D5FB4">
      <w:pPr>
        <w:pStyle w:val="ListBullet"/>
      </w:pPr>
      <w:r w:rsidRPr="004D5FB4">
        <w:t>antipsychotics.</w:t>
      </w:r>
    </w:p>
    <w:p w14:paraId="645B0FB1" w14:textId="40879DC8" w:rsidR="00CA288E" w:rsidRPr="004D5FB4" w:rsidRDefault="00BE0EC8" w:rsidP="004D5FB4">
      <w:r w:rsidRPr="004D5FB4">
        <w:t xml:space="preserve">The chemical restraint definition excludes medication prescribed for a diagnosed mental disorder, a physical illness or physical condition or end of life care. This </w:t>
      </w:r>
      <w:r w:rsidRPr="004D5FB4">
        <w:lastRenderedPageBreak/>
        <w:t xml:space="preserve">allows for the continued use of these medications where there is a genuine and clear medical need. </w:t>
      </w:r>
      <w:r w:rsidR="00CA288E" w:rsidRPr="004D5FB4">
        <w:t xml:space="preserve">Providers need to ensure they are using the medication as prescribed when used for: </w:t>
      </w:r>
    </w:p>
    <w:p w14:paraId="041E6177" w14:textId="6F6C9037" w:rsidR="00CA288E" w:rsidRPr="002B391E" w:rsidRDefault="00CA288E" w:rsidP="004D5FB4">
      <w:pPr>
        <w:pStyle w:val="ListBullet"/>
      </w:pPr>
      <w:r w:rsidRPr="002B391E">
        <w:t xml:space="preserve">a physical </w:t>
      </w:r>
      <w:proofErr w:type="gramStart"/>
      <w:r w:rsidRPr="002B391E">
        <w:t>illness</w:t>
      </w:r>
      <w:r w:rsidR="00342463" w:rsidRPr="002B391E">
        <w:t>;</w:t>
      </w:r>
      <w:proofErr w:type="gramEnd"/>
    </w:p>
    <w:p w14:paraId="6E9644F9" w14:textId="6E27B382" w:rsidR="00CA288E" w:rsidRPr="002B391E" w:rsidRDefault="00CA288E" w:rsidP="004D5FB4">
      <w:pPr>
        <w:pStyle w:val="ListBullet"/>
      </w:pPr>
      <w:r w:rsidRPr="002B391E">
        <w:t>the medical treatment of a diagnosed mental disorder; or</w:t>
      </w:r>
    </w:p>
    <w:p w14:paraId="538D489E" w14:textId="67D45C6B" w:rsidR="00CA288E" w:rsidRPr="002B391E" w:rsidRDefault="00CA288E" w:rsidP="004D5FB4">
      <w:pPr>
        <w:pStyle w:val="ListBullet"/>
      </w:pPr>
      <w:r w:rsidRPr="002B391E">
        <w:t>a physical illness or physical condition or end of life care.</w:t>
      </w:r>
    </w:p>
    <w:p w14:paraId="0E1EF67B" w14:textId="598A556B" w:rsidR="0093200A" w:rsidRPr="002B391E" w:rsidRDefault="00CD5D41" w:rsidP="003518A9">
      <w:pPr>
        <w:pStyle w:val="Heading2"/>
        <w:rPr>
          <w:b/>
          <w:bCs w:val="0"/>
          <w:color w:val="002060"/>
          <w:sz w:val="28"/>
        </w:rPr>
      </w:pPr>
      <w:r w:rsidRPr="002B391E">
        <w:rPr>
          <w:b/>
          <w:bCs w:val="0"/>
          <w:color w:val="002060"/>
          <w:sz w:val="28"/>
        </w:rPr>
        <w:t xml:space="preserve">Environmental </w:t>
      </w:r>
      <w:r w:rsidR="006F61B8" w:rsidRPr="002B391E">
        <w:rPr>
          <w:b/>
          <w:bCs w:val="0"/>
          <w:color w:val="002060"/>
          <w:sz w:val="28"/>
        </w:rPr>
        <w:t>r</w:t>
      </w:r>
      <w:r w:rsidRPr="002B391E">
        <w:rPr>
          <w:b/>
          <w:bCs w:val="0"/>
          <w:color w:val="002060"/>
          <w:sz w:val="28"/>
        </w:rPr>
        <w:t>estraint</w:t>
      </w:r>
    </w:p>
    <w:p w14:paraId="2BA1A6E5" w14:textId="359DF471" w:rsidR="00BE0EC8" w:rsidRPr="004D5FB4" w:rsidRDefault="00BE0EC8" w:rsidP="004D5FB4">
      <w:r w:rsidRPr="004D5FB4">
        <w:t>Environmental restraint is a practice or intervention that restricts, or involves restricting, a</w:t>
      </w:r>
      <w:r w:rsidR="00BA60B7" w:rsidRPr="004D5FB4">
        <w:t>n older person</w:t>
      </w:r>
      <w:r w:rsidRPr="004D5FB4">
        <w:t>’s free access to all parts of the</w:t>
      </w:r>
      <w:r w:rsidR="00C5627F" w:rsidRPr="004D5FB4">
        <w:t xml:space="preserve">ir </w:t>
      </w:r>
      <w:r w:rsidRPr="004D5FB4">
        <w:t xml:space="preserve">environment (including items and activities) for the primary purpose of influencing </w:t>
      </w:r>
      <w:r w:rsidR="00C5627F" w:rsidRPr="004D5FB4">
        <w:t>their</w:t>
      </w:r>
      <w:r w:rsidRPr="004D5FB4">
        <w:t xml:space="preserve"> behaviour.</w:t>
      </w:r>
    </w:p>
    <w:p w14:paraId="0856D4A4" w14:textId="507F0100" w:rsidR="00B059DD" w:rsidRPr="004D5FB4" w:rsidRDefault="00BE0EC8" w:rsidP="004D5FB4">
      <w:r w:rsidRPr="004D5FB4">
        <w:t xml:space="preserve">The </w:t>
      </w:r>
      <w:r w:rsidR="00882087" w:rsidRPr="004D5FB4">
        <w:t xml:space="preserve">older person’s </w:t>
      </w:r>
      <w:r w:rsidRPr="004D5FB4">
        <w:t>environment include</w:t>
      </w:r>
      <w:r w:rsidR="00882087" w:rsidRPr="004D5FB4">
        <w:t>s</w:t>
      </w:r>
      <w:r w:rsidRPr="004D5FB4">
        <w:t xml:space="preserve"> </w:t>
      </w:r>
      <w:proofErr w:type="spellStart"/>
      <w:r w:rsidRPr="004D5FB4">
        <w:t>the</w:t>
      </w:r>
      <w:r w:rsidR="00882087" w:rsidRPr="004D5FB4">
        <w:t>ir</w:t>
      </w:r>
      <w:proofErr w:type="spellEnd"/>
      <w:r w:rsidR="00882087" w:rsidRPr="004D5FB4">
        <w:t xml:space="preserve">: </w:t>
      </w:r>
    </w:p>
    <w:p w14:paraId="5F6D8FAE" w14:textId="1D8A15C0" w:rsidR="00B059DD" w:rsidRPr="004D5FB4" w:rsidRDefault="00BE0EC8" w:rsidP="004D5FB4">
      <w:pPr>
        <w:pStyle w:val="ListBullet"/>
      </w:pPr>
      <w:proofErr w:type="gramStart"/>
      <w:r w:rsidRPr="004D5FB4">
        <w:t>room</w:t>
      </w:r>
      <w:r w:rsidR="00342463" w:rsidRPr="004D5FB4">
        <w:t>;</w:t>
      </w:r>
      <w:proofErr w:type="gramEnd"/>
    </w:p>
    <w:p w14:paraId="70DACC56" w14:textId="55711CD9" w:rsidR="00B059DD" w:rsidRPr="004D5FB4" w:rsidRDefault="00BE0EC8" w:rsidP="004D5FB4">
      <w:pPr>
        <w:pStyle w:val="ListBullet"/>
      </w:pPr>
      <w:r w:rsidRPr="004D5FB4">
        <w:t xml:space="preserve">any common areas within the </w:t>
      </w:r>
      <w:proofErr w:type="gramStart"/>
      <w:r w:rsidRPr="004D5FB4">
        <w:t>facility</w:t>
      </w:r>
      <w:r w:rsidR="00342463" w:rsidRPr="004D5FB4">
        <w:t>;</w:t>
      </w:r>
      <w:proofErr w:type="gramEnd"/>
    </w:p>
    <w:p w14:paraId="6936BE6A" w14:textId="070DE622" w:rsidR="00BE0EC8" w:rsidRPr="004D5FB4" w:rsidRDefault="00BE0EC8" w:rsidP="004D5FB4">
      <w:pPr>
        <w:pStyle w:val="ListBullet"/>
      </w:pPr>
      <w:r w:rsidRPr="004D5FB4">
        <w:t xml:space="preserve">the common grounds outside of the facility. </w:t>
      </w:r>
    </w:p>
    <w:p w14:paraId="456FE221" w14:textId="2F6B9D8C" w:rsidR="00B059DD" w:rsidRPr="004D5FB4" w:rsidRDefault="00BE0EC8" w:rsidP="004D5FB4">
      <w:r w:rsidRPr="004D5FB4">
        <w:t>It does not include areas within the facility that a</w:t>
      </w:r>
      <w:r w:rsidR="00882087" w:rsidRPr="004D5FB4">
        <w:t xml:space="preserve">n older person </w:t>
      </w:r>
      <w:r w:rsidRPr="004D5FB4">
        <w:t>would not normally be permitted</w:t>
      </w:r>
      <w:r w:rsidR="00B059DD" w:rsidRPr="004D5FB4">
        <w:t xml:space="preserve"> </w:t>
      </w:r>
      <w:r w:rsidRPr="004D5FB4">
        <w:t>such as</w:t>
      </w:r>
      <w:r w:rsidR="00B059DD" w:rsidRPr="004D5FB4">
        <w:t>:</w:t>
      </w:r>
    </w:p>
    <w:p w14:paraId="37DDB9CE" w14:textId="77AF613F" w:rsidR="00B059DD" w:rsidRPr="004D5FB4" w:rsidRDefault="00BE0EC8" w:rsidP="004D5FB4">
      <w:pPr>
        <w:pStyle w:val="ListBullet"/>
      </w:pPr>
      <w:r w:rsidRPr="004D5FB4">
        <w:t xml:space="preserve">the </w:t>
      </w:r>
      <w:proofErr w:type="gramStart"/>
      <w:r w:rsidRPr="004D5FB4">
        <w:t>kitchen</w:t>
      </w:r>
      <w:r w:rsidR="00342463" w:rsidRPr="004D5FB4">
        <w:t>;</w:t>
      </w:r>
      <w:proofErr w:type="gramEnd"/>
    </w:p>
    <w:p w14:paraId="0B578ACB" w14:textId="1E32A8D9" w:rsidR="00B059DD" w:rsidRPr="004D5FB4" w:rsidRDefault="00BE0EC8" w:rsidP="004D5FB4">
      <w:pPr>
        <w:pStyle w:val="ListBullet"/>
      </w:pPr>
      <w:r w:rsidRPr="004D5FB4">
        <w:t xml:space="preserve">meal preparation </w:t>
      </w:r>
      <w:proofErr w:type="gramStart"/>
      <w:r w:rsidRPr="004D5FB4">
        <w:t>areas</w:t>
      </w:r>
      <w:r w:rsidR="00342463" w:rsidRPr="004D5FB4">
        <w:t>;</w:t>
      </w:r>
      <w:proofErr w:type="gramEnd"/>
    </w:p>
    <w:p w14:paraId="5EEE59C4" w14:textId="18844328" w:rsidR="00B059DD" w:rsidRPr="004D5FB4" w:rsidRDefault="00BE0EC8" w:rsidP="004D5FB4">
      <w:pPr>
        <w:pStyle w:val="ListBullet"/>
      </w:pPr>
      <w:proofErr w:type="gramStart"/>
      <w:r w:rsidRPr="004D5FB4">
        <w:t>laundry</w:t>
      </w:r>
      <w:r w:rsidR="00342463" w:rsidRPr="004D5FB4">
        <w:t>;</w:t>
      </w:r>
      <w:proofErr w:type="gramEnd"/>
    </w:p>
    <w:p w14:paraId="6FD0E03D" w14:textId="25112375" w:rsidR="00B059DD" w:rsidRPr="004D5FB4" w:rsidRDefault="00BE0EC8" w:rsidP="004D5FB4">
      <w:pPr>
        <w:pStyle w:val="ListBullet"/>
      </w:pPr>
      <w:r w:rsidRPr="004D5FB4">
        <w:t>maintenance areas or</w:t>
      </w:r>
      <w:r w:rsidR="00B059DD" w:rsidRPr="004D5FB4">
        <w:t xml:space="preserve"> </w:t>
      </w:r>
      <w:r w:rsidRPr="004D5FB4">
        <w:t xml:space="preserve">medication storage </w:t>
      </w:r>
      <w:proofErr w:type="gramStart"/>
      <w:r w:rsidRPr="004D5FB4">
        <w:t>areas</w:t>
      </w:r>
      <w:r w:rsidR="00342463" w:rsidRPr="004D5FB4">
        <w:t>;</w:t>
      </w:r>
      <w:proofErr w:type="gramEnd"/>
    </w:p>
    <w:p w14:paraId="6CC753B3" w14:textId="34B09C93" w:rsidR="00BE0EC8" w:rsidRPr="004D5FB4" w:rsidRDefault="00BE0EC8" w:rsidP="004D5FB4">
      <w:pPr>
        <w:pStyle w:val="ListBullet"/>
      </w:pPr>
      <w:r w:rsidRPr="004D5FB4">
        <w:t xml:space="preserve">other </w:t>
      </w:r>
      <w:r w:rsidR="00DF2D23" w:rsidRPr="004D5FB4">
        <w:t xml:space="preserve">older </w:t>
      </w:r>
      <w:r w:rsidR="007B79DF" w:rsidRPr="004D5FB4">
        <w:t>people’s</w:t>
      </w:r>
      <w:r w:rsidRPr="004D5FB4">
        <w:t xml:space="preserve"> rooms. </w:t>
      </w:r>
    </w:p>
    <w:p w14:paraId="0D1411B8" w14:textId="1B1FDADF" w:rsidR="00DB4FB0" w:rsidRPr="004D5FB4" w:rsidRDefault="00BE0EC8" w:rsidP="004D5FB4">
      <w:r w:rsidRPr="004D5FB4">
        <w:t>Environmental restraint may involve restricting a</w:t>
      </w:r>
      <w:r w:rsidR="00882087" w:rsidRPr="004D5FB4">
        <w:t xml:space="preserve">n older person </w:t>
      </w:r>
      <w:r w:rsidRPr="004D5FB4">
        <w:t xml:space="preserve">from accessing a room or area within their environment, or an item or activity. </w:t>
      </w:r>
      <w:r w:rsidR="00B059DD" w:rsidRPr="004D5FB4">
        <w:t>Environmental</w:t>
      </w:r>
      <w:r w:rsidR="00DB4FB0" w:rsidRPr="004D5FB4">
        <w:t xml:space="preserve"> restraints can include:</w:t>
      </w:r>
    </w:p>
    <w:p w14:paraId="05E336DB" w14:textId="601DF0E5" w:rsidR="00DB4FB0" w:rsidRPr="004D5FB4" w:rsidRDefault="00BE0EC8" w:rsidP="004D5FB4">
      <w:pPr>
        <w:pStyle w:val="ListBullet"/>
      </w:pPr>
      <w:r w:rsidRPr="004D5FB4">
        <w:t xml:space="preserve">locking away cutlery, tea/coffee, or mobile phones, in cupboards and/or </w:t>
      </w:r>
      <w:proofErr w:type="gramStart"/>
      <w:r w:rsidRPr="004D5FB4">
        <w:t>drawers</w:t>
      </w:r>
      <w:r w:rsidR="00342463" w:rsidRPr="004D5FB4">
        <w:t>;</w:t>
      </w:r>
      <w:proofErr w:type="gramEnd"/>
    </w:p>
    <w:p w14:paraId="62A4B871" w14:textId="78260D05" w:rsidR="00DB4FB0" w:rsidRPr="004D5FB4" w:rsidRDefault="00BE0EC8" w:rsidP="004D5FB4">
      <w:pPr>
        <w:pStyle w:val="ListBullet"/>
      </w:pPr>
      <w:r w:rsidRPr="004D5FB4">
        <w:t>restricting a</w:t>
      </w:r>
      <w:r w:rsidR="00263444" w:rsidRPr="004D5FB4">
        <w:t>n</w:t>
      </w:r>
      <w:r w:rsidRPr="004D5FB4">
        <w:t xml:space="preserve"> </w:t>
      </w:r>
      <w:r w:rsidR="00FD0AA5" w:rsidRPr="004D5FB4">
        <w:t>older person</w:t>
      </w:r>
      <w:r w:rsidRPr="004D5FB4">
        <w:t xml:space="preserve"> from accessing activities such as watching television</w:t>
      </w:r>
      <w:r w:rsidR="00DB4FB0" w:rsidRPr="004D5FB4">
        <w:t>; or</w:t>
      </w:r>
    </w:p>
    <w:p w14:paraId="5DDA8FDF" w14:textId="20F0F9DD" w:rsidR="00BE0EC8" w:rsidRPr="004D5FB4" w:rsidRDefault="00BE0EC8" w:rsidP="004D5FB4">
      <w:pPr>
        <w:pStyle w:val="ListBullet"/>
      </w:pPr>
      <w:r w:rsidRPr="004D5FB4">
        <w:t>making tea or coffee</w:t>
      </w:r>
      <w:r w:rsidR="00DB4FB0" w:rsidRPr="004D5FB4">
        <w:t>.</w:t>
      </w:r>
    </w:p>
    <w:p w14:paraId="3CF60B08" w14:textId="4F69D091" w:rsidR="00BE0EC8" w:rsidRPr="004D5FB4" w:rsidRDefault="00BE0EC8" w:rsidP="004D5FB4">
      <w:r w:rsidRPr="004D5FB4">
        <w:t>Whilst environmental restraints are commonly used for the safety</w:t>
      </w:r>
      <w:r w:rsidR="004B0723" w:rsidRPr="004D5FB4">
        <w:t xml:space="preserve"> of an older person</w:t>
      </w:r>
      <w:r w:rsidRPr="004D5FB4">
        <w:t xml:space="preserve"> they can have unanticipated effects on other </w:t>
      </w:r>
      <w:r w:rsidR="00FE0AB5" w:rsidRPr="004D5FB4">
        <w:t>older pe</w:t>
      </w:r>
      <w:r w:rsidR="00A75FE1" w:rsidRPr="004D5FB4">
        <w:t>ople’s</w:t>
      </w:r>
      <w:r w:rsidR="00FE0AB5" w:rsidRPr="004D5FB4">
        <w:t xml:space="preserve"> </w:t>
      </w:r>
      <w:r w:rsidRPr="004D5FB4">
        <w:t xml:space="preserve">rights. Therefore, any environmental restraint should not only consider the impact for </w:t>
      </w:r>
      <w:r w:rsidR="005662BA" w:rsidRPr="004D5FB4">
        <w:t>an individual</w:t>
      </w:r>
      <w:r w:rsidRPr="004D5FB4">
        <w:t xml:space="preserve"> but for </w:t>
      </w:r>
      <w:r w:rsidR="00FE0AB5" w:rsidRPr="004D5FB4">
        <w:t xml:space="preserve">all older people </w:t>
      </w:r>
      <w:r w:rsidRPr="004D5FB4">
        <w:t>that ha</w:t>
      </w:r>
      <w:r w:rsidR="00A61B46" w:rsidRPr="004D5FB4">
        <w:t>ve</w:t>
      </w:r>
      <w:r w:rsidR="00FE0AB5" w:rsidRPr="004D5FB4">
        <w:t xml:space="preserve"> </w:t>
      </w:r>
      <w:r w:rsidRPr="004D5FB4">
        <w:t xml:space="preserve">access to that environment and/or item or activity.  </w:t>
      </w:r>
    </w:p>
    <w:p w14:paraId="67156BF3" w14:textId="50BE0F5D" w:rsidR="00CD5D41" w:rsidRPr="002B391E" w:rsidRDefault="00CD5D41" w:rsidP="00CD5D41">
      <w:pPr>
        <w:pStyle w:val="Heading2"/>
        <w:rPr>
          <w:b/>
          <w:bCs w:val="0"/>
          <w:color w:val="002060"/>
          <w:sz w:val="28"/>
        </w:rPr>
      </w:pPr>
      <w:r w:rsidRPr="002B391E">
        <w:rPr>
          <w:b/>
          <w:bCs w:val="0"/>
          <w:color w:val="002060"/>
          <w:sz w:val="28"/>
        </w:rPr>
        <w:t xml:space="preserve">Mechanical </w:t>
      </w:r>
      <w:r w:rsidR="006F61B8" w:rsidRPr="002B391E">
        <w:rPr>
          <w:b/>
          <w:bCs w:val="0"/>
          <w:color w:val="002060"/>
          <w:sz w:val="28"/>
        </w:rPr>
        <w:t>r</w:t>
      </w:r>
      <w:r w:rsidRPr="002B391E">
        <w:rPr>
          <w:b/>
          <w:bCs w:val="0"/>
          <w:color w:val="002060"/>
          <w:sz w:val="28"/>
        </w:rPr>
        <w:t>estraint</w:t>
      </w:r>
    </w:p>
    <w:p w14:paraId="08571810" w14:textId="3F11122D" w:rsidR="00BE0EC8" w:rsidRPr="004D5FB4" w:rsidRDefault="00BE0EC8" w:rsidP="004D5FB4">
      <w:r w:rsidRPr="004D5FB4">
        <w:t>Mechanical restraint is a practice or intervention that is, or involves, the use of a device to prevent, restrict or subdue a</w:t>
      </w:r>
      <w:r w:rsidR="003B362B" w:rsidRPr="004D5FB4">
        <w:t xml:space="preserve">n older person’s </w:t>
      </w:r>
      <w:r w:rsidRPr="004D5FB4">
        <w:t xml:space="preserve">movement for the primary </w:t>
      </w:r>
      <w:r w:rsidRPr="004D5FB4">
        <w:lastRenderedPageBreak/>
        <w:t xml:space="preserve">purpose of influencing the </w:t>
      </w:r>
      <w:r w:rsidR="00FD0AA5" w:rsidRPr="004D5FB4">
        <w:t>older person</w:t>
      </w:r>
      <w:r w:rsidR="0077536B" w:rsidRPr="004D5FB4">
        <w:t>’</w:t>
      </w:r>
      <w:r w:rsidR="00FD0AA5" w:rsidRPr="004D5FB4">
        <w:t>s</w:t>
      </w:r>
      <w:r w:rsidRPr="004D5FB4">
        <w:t xml:space="preserve"> behaviour</w:t>
      </w:r>
      <w:r w:rsidR="00B059DD" w:rsidRPr="004D5FB4">
        <w:t xml:space="preserve">. It </w:t>
      </w:r>
      <w:r w:rsidRPr="004D5FB4">
        <w:t>does not include the use of a device for therapeutic or non</w:t>
      </w:r>
      <w:r w:rsidRPr="004D5FB4">
        <w:noBreakHyphen/>
        <w:t>behavioural purposes</w:t>
      </w:r>
      <w:r w:rsidR="003B362B" w:rsidRPr="004D5FB4">
        <w:t xml:space="preserve">. </w:t>
      </w:r>
      <w:r w:rsidRPr="004D5FB4">
        <w:t xml:space="preserve"> </w:t>
      </w:r>
    </w:p>
    <w:p w14:paraId="57B85A12" w14:textId="77777777" w:rsidR="00DB4FB0" w:rsidRPr="004D5FB4" w:rsidRDefault="00BE0EC8" w:rsidP="004D5FB4">
      <w:r w:rsidRPr="004D5FB4">
        <w:t>Examples of mechanical restraint include</w:t>
      </w:r>
      <w:r w:rsidR="00DB4FB0" w:rsidRPr="004D5FB4">
        <w:t xml:space="preserve">: </w:t>
      </w:r>
    </w:p>
    <w:p w14:paraId="6177415A" w14:textId="6F52B1F8" w:rsidR="00DB4FB0" w:rsidRPr="004D5FB4" w:rsidRDefault="00BE0EC8" w:rsidP="004D5FB4">
      <w:pPr>
        <w:pStyle w:val="ListBullet"/>
      </w:pPr>
      <w:r w:rsidRPr="004D5FB4">
        <w:t xml:space="preserve">bed </w:t>
      </w:r>
      <w:proofErr w:type="gramStart"/>
      <w:r w:rsidRPr="004D5FB4">
        <w:t>rails</w:t>
      </w:r>
      <w:r w:rsidR="00342463" w:rsidRPr="004D5FB4">
        <w:t>;</w:t>
      </w:r>
      <w:proofErr w:type="gramEnd"/>
    </w:p>
    <w:p w14:paraId="718DACF8" w14:textId="52826131" w:rsidR="00DB4FB0" w:rsidRPr="004D5FB4" w:rsidRDefault="00BE0EC8" w:rsidP="004D5FB4">
      <w:pPr>
        <w:pStyle w:val="ListBullet"/>
      </w:pPr>
      <w:r w:rsidRPr="004D5FB4">
        <w:t xml:space="preserve">tray </w:t>
      </w:r>
      <w:proofErr w:type="gramStart"/>
      <w:r w:rsidRPr="004D5FB4">
        <w:t>tables</w:t>
      </w:r>
      <w:r w:rsidR="00342463" w:rsidRPr="004D5FB4">
        <w:t>;</w:t>
      </w:r>
      <w:proofErr w:type="gramEnd"/>
    </w:p>
    <w:p w14:paraId="7E5EB60C" w14:textId="6ED7766E" w:rsidR="00DB4FB0" w:rsidRPr="004D5FB4" w:rsidRDefault="00BE0EC8" w:rsidP="004D5FB4">
      <w:pPr>
        <w:pStyle w:val="ListBullet"/>
      </w:pPr>
      <w:proofErr w:type="gramStart"/>
      <w:r w:rsidRPr="004D5FB4">
        <w:t>belts</w:t>
      </w:r>
      <w:r w:rsidR="00342463" w:rsidRPr="004D5FB4">
        <w:t>;</w:t>
      </w:r>
      <w:proofErr w:type="gramEnd"/>
    </w:p>
    <w:p w14:paraId="122075A5" w14:textId="5AE74DCC" w:rsidR="00DB4FB0" w:rsidRPr="004D5FB4" w:rsidRDefault="00BE0EC8" w:rsidP="004D5FB4">
      <w:pPr>
        <w:pStyle w:val="ListBullet"/>
      </w:pPr>
      <w:proofErr w:type="gramStart"/>
      <w:r w:rsidRPr="004D5FB4">
        <w:t>harnesses</w:t>
      </w:r>
      <w:r w:rsidR="00342463" w:rsidRPr="004D5FB4">
        <w:t>;</w:t>
      </w:r>
      <w:proofErr w:type="gramEnd"/>
    </w:p>
    <w:p w14:paraId="02B1F132" w14:textId="76A0846A" w:rsidR="00DB4FB0" w:rsidRPr="004D5FB4" w:rsidRDefault="00BE0EC8" w:rsidP="004D5FB4">
      <w:pPr>
        <w:pStyle w:val="ListBullet"/>
      </w:pPr>
      <w:r w:rsidRPr="004D5FB4">
        <w:t xml:space="preserve">restrictive </w:t>
      </w:r>
      <w:proofErr w:type="gramStart"/>
      <w:r w:rsidRPr="004D5FB4">
        <w:t>clothing</w:t>
      </w:r>
      <w:r w:rsidR="00342463" w:rsidRPr="004D5FB4">
        <w:t>;</w:t>
      </w:r>
      <w:proofErr w:type="gramEnd"/>
    </w:p>
    <w:p w14:paraId="0CB9F2FE" w14:textId="0704D9A3" w:rsidR="005662BA" w:rsidRPr="004D5FB4" w:rsidRDefault="005662BA" w:rsidP="004D5FB4">
      <w:pPr>
        <w:pStyle w:val="ListBullet"/>
      </w:pPr>
      <w:r w:rsidRPr="004D5FB4">
        <w:t xml:space="preserve">splints or </w:t>
      </w:r>
      <w:proofErr w:type="gramStart"/>
      <w:r w:rsidRPr="004D5FB4">
        <w:t>gloves</w:t>
      </w:r>
      <w:r w:rsidR="00342463" w:rsidRPr="004D5FB4">
        <w:t>;</w:t>
      </w:r>
      <w:proofErr w:type="gramEnd"/>
    </w:p>
    <w:p w14:paraId="6D8DA698" w14:textId="7924692F" w:rsidR="00BE0EC8" w:rsidRPr="004D5FB4" w:rsidRDefault="00BE0EC8" w:rsidP="004D5FB4">
      <w:pPr>
        <w:pStyle w:val="ListBullet"/>
      </w:pPr>
      <w:r w:rsidRPr="004D5FB4">
        <w:t>the use of straps to restrain any part of the body</w:t>
      </w:r>
      <w:r w:rsidR="005662BA" w:rsidRPr="004D5FB4">
        <w:t>.</w:t>
      </w:r>
    </w:p>
    <w:p w14:paraId="6C86AB05" w14:textId="3DA4AD94" w:rsidR="00BE0EC8" w:rsidRPr="004D5FB4" w:rsidRDefault="00BE0EC8" w:rsidP="004D5FB4">
      <w:r w:rsidRPr="004D5FB4">
        <w:t>Devices used for therapeutic purposes or non</w:t>
      </w:r>
      <w:r w:rsidRPr="004D5FB4">
        <w:noBreakHyphen/>
        <w:t>behavioural purposes are not considered to be mechanical restraints</w:t>
      </w:r>
      <w:r w:rsidR="00B059DD" w:rsidRPr="004D5FB4">
        <w:t>. These include</w:t>
      </w:r>
      <w:r w:rsidRPr="004D5FB4">
        <w:t xml:space="preserve"> splints/casts for broken bones, or wheelchairs for someone unable to walk long distances.</w:t>
      </w:r>
    </w:p>
    <w:p w14:paraId="0A63B57C" w14:textId="483C243F" w:rsidR="00CD5D41" w:rsidRPr="004D5FB4" w:rsidRDefault="00BE0EC8" w:rsidP="004D5FB4">
      <w:r w:rsidRPr="004D5FB4">
        <w:t xml:space="preserve">Devices used for safety purposes or to prevent harm, even if </w:t>
      </w:r>
      <w:r w:rsidR="00EE5124" w:rsidRPr="004D5FB4">
        <w:t>consented to by the older person</w:t>
      </w:r>
      <w:r w:rsidRPr="004D5FB4">
        <w:t xml:space="preserve">, </w:t>
      </w:r>
      <w:r w:rsidR="00187F44" w:rsidRPr="004D5FB4">
        <w:t>are</w:t>
      </w:r>
      <w:r w:rsidRPr="004D5FB4">
        <w:t xml:space="preserve"> a mechanical restraint if not used for therapeutic or non</w:t>
      </w:r>
      <w:r w:rsidRPr="004D5FB4">
        <w:noBreakHyphen/>
        <w:t xml:space="preserve">behavioural purposes. </w:t>
      </w:r>
    </w:p>
    <w:p w14:paraId="6D066998" w14:textId="344EAA1D" w:rsidR="00CD5D41" w:rsidRPr="002B391E" w:rsidRDefault="00CD5D41" w:rsidP="00CD5D41">
      <w:pPr>
        <w:pStyle w:val="Heading2"/>
        <w:rPr>
          <w:b/>
          <w:bCs w:val="0"/>
          <w:color w:val="002060"/>
          <w:sz w:val="28"/>
        </w:rPr>
      </w:pPr>
      <w:r w:rsidRPr="002B391E">
        <w:rPr>
          <w:b/>
          <w:bCs w:val="0"/>
          <w:color w:val="002060"/>
          <w:sz w:val="28"/>
        </w:rPr>
        <w:t xml:space="preserve">Physical </w:t>
      </w:r>
      <w:r w:rsidR="006F61B8" w:rsidRPr="002B391E">
        <w:rPr>
          <w:b/>
          <w:bCs w:val="0"/>
          <w:color w:val="002060"/>
          <w:sz w:val="28"/>
        </w:rPr>
        <w:t>r</w:t>
      </w:r>
      <w:r w:rsidRPr="002B391E">
        <w:rPr>
          <w:b/>
          <w:bCs w:val="0"/>
          <w:color w:val="002060"/>
          <w:sz w:val="28"/>
        </w:rPr>
        <w:t>estraint</w:t>
      </w:r>
    </w:p>
    <w:p w14:paraId="39887AB9" w14:textId="29733C7E" w:rsidR="005662BA" w:rsidRPr="004D5FB4" w:rsidRDefault="00BE0EC8" w:rsidP="004D5FB4">
      <w:r w:rsidRPr="002B391E">
        <w:t>Physical restraint is a practice or intervention that is</w:t>
      </w:r>
      <w:r w:rsidR="00342463" w:rsidRPr="002B391E">
        <w:t>,</w:t>
      </w:r>
      <w:r w:rsidRPr="002B391E">
        <w:t xml:space="preserve"> or involves</w:t>
      </w:r>
      <w:r w:rsidR="00342463" w:rsidRPr="002B391E">
        <w:t>,</w:t>
      </w:r>
      <w:r w:rsidRPr="002B391E">
        <w:t xml:space="preserve"> the use of physical force to prevent, restrict or subdue movement of </w:t>
      </w:r>
      <w:r w:rsidRPr="00E56DEC">
        <w:t>a</w:t>
      </w:r>
      <w:r w:rsidR="001929E1" w:rsidRPr="00E56DEC">
        <w:t xml:space="preserve">n older person’s </w:t>
      </w:r>
      <w:r w:rsidRPr="002B391E">
        <w:t xml:space="preserve">body, or part of </w:t>
      </w:r>
      <w:r w:rsidR="001929E1" w:rsidRPr="002B391E">
        <w:t>their</w:t>
      </w:r>
      <w:r w:rsidR="001929E1" w:rsidRPr="004D5FB4">
        <w:t xml:space="preserve"> </w:t>
      </w:r>
      <w:r w:rsidRPr="004D5FB4">
        <w:t>body, for the primary purpose of influencing</w:t>
      </w:r>
      <w:r w:rsidR="000E3FB6" w:rsidRPr="004D5FB4">
        <w:t xml:space="preserve"> the older persons</w:t>
      </w:r>
      <w:r w:rsidRPr="004D5FB4">
        <w:t xml:space="preserve"> behaviour. This does not include the use of a hands</w:t>
      </w:r>
      <w:r w:rsidRPr="004D5FB4">
        <w:noBreakHyphen/>
        <w:t xml:space="preserve">on technique in a reflexive way to guide or redirect the </w:t>
      </w:r>
      <w:r w:rsidR="001929E1" w:rsidRPr="004D5FB4">
        <w:t xml:space="preserve">older person </w:t>
      </w:r>
      <w:r w:rsidRPr="004D5FB4">
        <w:t>away from potential harm or injury</w:t>
      </w:r>
      <w:r w:rsidR="00C5627F" w:rsidRPr="004D5FB4">
        <w:t xml:space="preserve"> or if</w:t>
      </w:r>
      <w:r w:rsidR="00187F44" w:rsidRPr="004D5FB4">
        <w:t xml:space="preserve"> it </w:t>
      </w:r>
      <w:r w:rsidRPr="004D5FB4">
        <w:t xml:space="preserve">is consistent with what could reasonably be considered the exercise of care towards the </w:t>
      </w:r>
      <w:r w:rsidR="00EF0A56" w:rsidRPr="004D5FB4">
        <w:t xml:space="preserve">older person. </w:t>
      </w:r>
      <w:r w:rsidRPr="004D5FB4">
        <w:t>Examples of physical restraint are pulling a</w:t>
      </w:r>
      <w:r w:rsidR="00EF0A56" w:rsidRPr="004D5FB4">
        <w:t xml:space="preserve">n older person </w:t>
      </w:r>
      <w:r w:rsidRPr="004D5FB4">
        <w:t>in a direction they do not wish to go or holding a</w:t>
      </w:r>
      <w:r w:rsidR="00EF0A56" w:rsidRPr="004D5FB4">
        <w:t xml:space="preserve">n older person </w:t>
      </w:r>
      <w:r w:rsidRPr="004D5FB4">
        <w:t>down to administer medication.</w:t>
      </w:r>
    </w:p>
    <w:p w14:paraId="2A026295" w14:textId="12518825" w:rsidR="00BE0EC8" w:rsidRPr="004D5FB4" w:rsidRDefault="005662BA" w:rsidP="004D5FB4">
      <w:r w:rsidRPr="004D5FB4">
        <w:t>An example of the use of a hands-on technique in a reflexive way</w:t>
      </w:r>
      <w:r w:rsidR="00187F44" w:rsidRPr="004D5FB4">
        <w:t xml:space="preserve"> </w:t>
      </w:r>
      <w:r w:rsidRPr="004D5FB4">
        <w:t>may be where a person holds a</w:t>
      </w:r>
      <w:r w:rsidR="00590148" w:rsidRPr="004D5FB4">
        <w:t xml:space="preserve">n older </w:t>
      </w:r>
      <w:r w:rsidR="00661F7B" w:rsidRPr="004D5FB4">
        <w:t>person back</w:t>
      </w:r>
      <w:r w:rsidRPr="004D5FB4">
        <w:t xml:space="preserve"> from crossing the road</w:t>
      </w:r>
      <w:r w:rsidR="000E6CD6" w:rsidRPr="004D5FB4">
        <w:t xml:space="preserve"> i</w:t>
      </w:r>
      <w:r w:rsidR="00187F44" w:rsidRPr="004D5FB4">
        <w:t>f the</w:t>
      </w:r>
      <w:r w:rsidRPr="004D5FB4">
        <w:t xml:space="preserve"> </w:t>
      </w:r>
      <w:r w:rsidR="00BD1CDA" w:rsidRPr="004D5FB4">
        <w:t>older person</w:t>
      </w:r>
      <w:r w:rsidRPr="004D5FB4">
        <w:t xml:space="preserve"> began to move forward without consideration of the oncoming traffic. Another example may be where a person catches a</w:t>
      </w:r>
      <w:r w:rsidR="00BD1CDA" w:rsidRPr="004D5FB4">
        <w:t xml:space="preserve">n older person </w:t>
      </w:r>
      <w:r w:rsidRPr="004D5FB4">
        <w:t xml:space="preserve">when they begin to </w:t>
      </w:r>
      <w:r w:rsidR="00187F44" w:rsidRPr="004D5FB4">
        <w:t>fall</w:t>
      </w:r>
      <w:r w:rsidRPr="004D5FB4">
        <w:t xml:space="preserve">. </w:t>
      </w:r>
    </w:p>
    <w:p w14:paraId="6FA2FADC" w14:textId="5933A877" w:rsidR="00F3442C" w:rsidRPr="004D5FB4" w:rsidRDefault="00BE0EC8" w:rsidP="004D5FB4">
      <w:r w:rsidRPr="004D5FB4">
        <w:t xml:space="preserve">Assisting </w:t>
      </w:r>
      <w:r w:rsidR="00BD1CDA" w:rsidRPr="004D5FB4">
        <w:t>older people</w:t>
      </w:r>
      <w:r w:rsidRPr="004D5FB4">
        <w:t xml:space="preserve"> during activities of daily living and therapeutic activities where the </w:t>
      </w:r>
      <w:r w:rsidR="00CD2337" w:rsidRPr="004D5FB4">
        <w:t>older person</w:t>
      </w:r>
      <w:r w:rsidRPr="004D5FB4">
        <w:t xml:space="preserve"> is unable to perform these tasks themselves or has requested assistance</w:t>
      </w:r>
      <w:r w:rsidR="00C5627F" w:rsidRPr="004D5FB4">
        <w:t xml:space="preserve"> would not </w:t>
      </w:r>
      <w:r w:rsidR="00526C39" w:rsidRPr="004D5FB4">
        <w:t>be considered</w:t>
      </w:r>
      <w:r w:rsidR="00C5627F" w:rsidRPr="004D5FB4">
        <w:t xml:space="preserve"> a physical restraint</w:t>
      </w:r>
      <w:r w:rsidR="00F3442C" w:rsidRPr="004D5FB4">
        <w:t xml:space="preserve">. </w:t>
      </w:r>
      <w:r w:rsidR="00C5627F" w:rsidRPr="004D5FB4">
        <w:t xml:space="preserve">Examples include: </w:t>
      </w:r>
    </w:p>
    <w:p w14:paraId="4B93312A" w14:textId="33EB3828" w:rsidR="00F3442C" w:rsidRPr="004D5FB4" w:rsidRDefault="00BE0EC8" w:rsidP="004D5FB4">
      <w:pPr>
        <w:pStyle w:val="ListBullet"/>
      </w:pPr>
      <w:r w:rsidRPr="004D5FB4">
        <w:t xml:space="preserve">assisting during </w:t>
      </w:r>
      <w:proofErr w:type="gramStart"/>
      <w:r w:rsidRPr="004D5FB4">
        <w:t>dressing</w:t>
      </w:r>
      <w:r w:rsidR="00342463" w:rsidRPr="004D5FB4">
        <w:t>;</w:t>
      </w:r>
      <w:proofErr w:type="gramEnd"/>
    </w:p>
    <w:p w14:paraId="59A6163A" w14:textId="61D624E8" w:rsidR="00F3442C" w:rsidRPr="004D5FB4" w:rsidRDefault="00BE0EC8" w:rsidP="004D5FB4">
      <w:pPr>
        <w:pStyle w:val="ListBullet"/>
      </w:pPr>
      <w:proofErr w:type="gramStart"/>
      <w:r w:rsidRPr="004D5FB4">
        <w:t>shaving</w:t>
      </w:r>
      <w:r w:rsidR="00342463" w:rsidRPr="004D5FB4">
        <w:t>;</w:t>
      </w:r>
      <w:proofErr w:type="gramEnd"/>
    </w:p>
    <w:p w14:paraId="1955FA12" w14:textId="1D77A7CE" w:rsidR="00F3442C" w:rsidRPr="004D5FB4" w:rsidRDefault="00BE0EC8" w:rsidP="004D5FB4">
      <w:pPr>
        <w:pStyle w:val="ListBullet"/>
      </w:pPr>
      <w:r w:rsidRPr="004D5FB4">
        <w:t>teeth brushing</w:t>
      </w:r>
      <w:r w:rsidR="008243CF" w:rsidRPr="004D5FB4">
        <w:t>;</w:t>
      </w:r>
      <w:r w:rsidR="00187F44" w:rsidRPr="004D5FB4">
        <w:t xml:space="preserve"> </w:t>
      </w:r>
      <w:r w:rsidRPr="004D5FB4">
        <w:t>or</w:t>
      </w:r>
    </w:p>
    <w:p w14:paraId="39DF5385" w14:textId="3FEC2DFB" w:rsidR="00CD5D41" w:rsidRPr="004D5FB4" w:rsidRDefault="00BE0EC8" w:rsidP="004D5FB4">
      <w:pPr>
        <w:pStyle w:val="ListBullet"/>
      </w:pPr>
      <w:r w:rsidRPr="004D5FB4">
        <w:t>assisting to complete physiotherapy activities</w:t>
      </w:r>
      <w:r w:rsidR="00F3442C" w:rsidRPr="004D5FB4">
        <w:t>.</w:t>
      </w:r>
      <w:r w:rsidRPr="004D5FB4">
        <w:t xml:space="preserve"> </w:t>
      </w:r>
    </w:p>
    <w:p w14:paraId="0FBDF50E" w14:textId="79B36438" w:rsidR="00CD5D41" w:rsidRPr="002B391E" w:rsidRDefault="00CD5D41" w:rsidP="00CD5D41">
      <w:pPr>
        <w:pStyle w:val="Heading2"/>
        <w:rPr>
          <w:b/>
          <w:bCs w:val="0"/>
          <w:color w:val="002060"/>
        </w:rPr>
      </w:pPr>
      <w:r w:rsidRPr="002B391E">
        <w:rPr>
          <w:b/>
          <w:bCs w:val="0"/>
          <w:color w:val="002060"/>
        </w:rPr>
        <w:lastRenderedPageBreak/>
        <w:t xml:space="preserve">Seclusion </w:t>
      </w:r>
    </w:p>
    <w:p w14:paraId="3A04FDAD" w14:textId="32DA65A2" w:rsidR="00BE0EC8" w:rsidRPr="004D5FB4" w:rsidRDefault="00BE0EC8" w:rsidP="004D5FB4">
      <w:r w:rsidRPr="004D5FB4">
        <w:t>Seclusion is a practice or intervention that is, or involves, the solitary confinement of a</w:t>
      </w:r>
      <w:r w:rsidR="00CD2337" w:rsidRPr="004D5FB4">
        <w:t xml:space="preserve">n older person </w:t>
      </w:r>
      <w:r w:rsidRPr="004D5FB4">
        <w:t>in a room or a physical space at any hour of the day or night for the primary purpose of influencing</w:t>
      </w:r>
      <w:r w:rsidR="00861A2F" w:rsidRPr="004D5FB4">
        <w:t xml:space="preserve"> the older person’s</w:t>
      </w:r>
      <w:r w:rsidRPr="004D5FB4">
        <w:t xml:space="preserve"> behaviour where:</w:t>
      </w:r>
    </w:p>
    <w:p w14:paraId="6C84BB13" w14:textId="62ACD5F1" w:rsidR="00BE0EC8" w:rsidRPr="004D5FB4" w:rsidRDefault="00BE0EC8" w:rsidP="004D5FB4">
      <w:pPr>
        <w:pStyle w:val="ListBullet"/>
      </w:pPr>
      <w:r w:rsidRPr="004D5FB4">
        <w:t xml:space="preserve">voluntary exit is prevented or not </w:t>
      </w:r>
      <w:proofErr w:type="gramStart"/>
      <w:r w:rsidRPr="004D5FB4">
        <w:t>facilitated;</w:t>
      </w:r>
      <w:proofErr w:type="gramEnd"/>
      <w:r w:rsidRPr="004D5FB4">
        <w:t xml:space="preserve"> </w:t>
      </w:r>
    </w:p>
    <w:p w14:paraId="3B09B0F4" w14:textId="1B985DA3" w:rsidR="00BE0EC8" w:rsidRPr="004D5FB4" w:rsidRDefault="00BE0EC8" w:rsidP="004D5FB4">
      <w:pPr>
        <w:pStyle w:val="ListBullet"/>
      </w:pPr>
      <w:r w:rsidRPr="004D5FB4">
        <w:t>it is implied that voluntary exit is not permitted</w:t>
      </w:r>
      <w:r w:rsidR="00510A99" w:rsidRPr="004D5FB4">
        <w:t>; or</w:t>
      </w:r>
    </w:p>
    <w:p w14:paraId="401824A3" w14:textId="7D0F96CF" w:rsidR="00510A99" w:rsidRPr="004D5FB4" w:rsidRDefault="00510A99" w:rsidP="004D5FB4">
      <w:pPr>
        <w:pStyle w:val="ListBullet"/>
      </w:pPr>
      <w:r w:rsidRPr="004D5FB4">
        <w:t>for the primary purpose of influencing a</w:t>
      </w:r>
      <w:r w:rsidR="00811BD3" w:rsidRPr="004D5FB4">
        <w:t>n</w:t>
      </w:r>
      <w:r w:rsidRPr="004D5FB4">
        <w:t xml:space="preserve"> </w:t>
      </w:r>
      <w:r w:rsidR="006E4B5D" w:rsidRPr="004D5FB4">
        <w:t>older person</w:t>
      </w:r>
      <w:r w:rsidR="00DA0919" w:rsidRPr="004D5FB4">
        <w:t>’</w:t>
      </w:r>
      <w:r w:rsidR="006E4B5D" w:rsidRPr="004D5FB4">
        <w:t>s</w:t>
      </w:r>
      <w:r w:rsidR="00342463" w:rsidRPr="004D5FB4">
        <w:t xml:space="preserve"> </w:t>
      </w:r>
      <w:r w:rsidRPr="004D5FB4">
        <w:t>behaviour.</w:t>
      </w:r>
    </w:p>
    <w:p w14:paraId="79AA26EE" w14:textId="0150A27C" w:rsidR="00F3442C" w:rsidRPr="004D5FB4" w:rsidRDefault="00BE0EC8" w:rsidP="004D5FB4">
      <w:r w:rsidRPr="004D5FB4">
        <w:t>Seclusion involves the solitary confinement of a</w:t>
      </w:r>
      <w:r w:rsidR="00BB12E5" w:rsidRPr="004D5FB4">
        <w:t xml:space="preserve">n older person. </w:t>
      </w:r>
      <w:r w:rsidRPr="004D5FB4">
        <w:t>Examples of seclusion</w:t>
      </w:r>
      <w:r w:rsidR="00F3442C" w:rsidRPr="004D5FB4">
        <w:t xml:space="preserve"> include:</w:t>
      </w:r>
      <w:r w:rsidRPr="004D5FB4">
        <w:t xml:space="preserve"> </w:t>
      </w:r>
    </w:p>
    <w:p w14:paraId="315928F5" w14:textId="57B907DC" w:rsidR="00F3442C" w:rsidRPr="004D5FB4" w:rsidRDefault="00BE0EC8" w:rsidP="004D5FB4">
      <w:pPr>
        <w:pStyle w:val="ListBullet"/>
      </w:pPr>
      <w:r w:rsidRPr="004D5FB4">
        <w:t>locking a</w:t>
      </w:r>
      <w:r w:rsidR="00B41154" w:rsidRPr="004D5FB4">
        <w:t xml:space="preserve">n older person </w:t>
      </w:r>
      <w:r w:rsidRPr="004D5FB4">
        <w:t xml:space="preserve">in their room or other area of the </w:t>
      </w:r>
      <w:proofErr w:type="gramStart"/>
      <w:r w:rsidRPr="004D5FB4">
        <w:t>facility</w:t>
      </w:r>
      <w:r w:rsidR="00342463" w:rsidRPr="004D5FB4">
        <w:t>;</w:t>
      </w:r>
      <w:proofErr w:type="gramEnd"/>
    </w:p>
    <w:p w14:paraId="5E0749F7" w14:textId="76747D41" w:rsidR="00F3442C" w:rsidRPr="004D5FB4" w:rsidRDefault="00BE0EC8" w:rsidP="004D5FB4">
      <w:pPr>
        <w:pStyle w:val="ListBullet"/>
      </w:pPr>
      <w:r w:rsidRPr="004D5FB4">
        <w:t>ordering a</w:t>
      </w:r>
      <w:r w:rsidR="00B41154" w:rsidRPr="004D5FB4">
        <w:t>n olde</w:t>
      </w:r>
      <w:r w:rsidR="006E4B5D" w:rsidRPr="004D5FB4">
        <w:t>r</w:t>
      </w:r>
      <w:r w:rsidR="00B41154" w:rsidRPr="004D5FB4">
        <w:t xml:space="preserve"> person </w:t>
      </w:r>
      <w:r w:rsidRPr="004D5FB4">
        <w:t>to a specific area within the facility with them believing they are not permitted to leave</w:t>
      </w:r>
      <w:r w:rsidR="00F3442C" w:rsidRPr="004D5FB4">
        <w:t>;</w:t>
      </w:r>
      <w:r w:rsidR="00342463" w:rsidRPr="004D5FB4">
        <w:t xml:space="preserve"> or</w:t>
      </w:r>
    </w:p>
    <w:p w14:paraId="35644168" w14:textId="44E4843E" w:rsidR="00BE0EC8" w:rsidRPr="004D5FB4" w:rsidRDefault="00BE0EC8" w:rsidP="004D5FB4">
      <w:pPr>
        <w:pStyle w:val="ListBullet"/>
      </w:pPr>
      <w:r w:rsidRPr="004D5FB4">
        <w:t xml:space="preserve">staff and other </w:t>
      </w:r>
      <w:r w:rsidR="00514DD4" w:rsidRPr="004D5FB4">
        <w:t xml:space="preserve">residents </w:t>
      </w:r>
      <w:r w:rsidRPr="004D5FB4">
        <w:t xml:space="preserve">retreating to other rooms whilst the </w:t>
      </w:r>
      <w:r w:rsidR="00514DD4" w:rsidRPr="004D5FB4">
        <w:t>older person</w:t>
      </w:r>
      <w:r w:rsidRPr="004D5FB4">
        <w:t xml:space="preserve"> is unable to follow.</w:t>
      </w:r>
    </w:p>
    <w:p w14:paraId="2AEBEEB9" w14:textId="598655A6" w:rsidR="00BE0EC8" w:rsidRPr="004D5FB4" w:rsidRDefault="00BE0EC8" w:rsidP="004D5FB4">
      <w:r w:rsidRPr="004D5FB4">
        <w:t>A</w:t>
      </w:r>
      <w:r w:rsidR="00514DD4" w:rsidRPr="004D5FB4">
        <w:t>n older person</w:t>
      </w:r>
      <w:r w:rsidR="006E4B5D" w:rsidRPr="004D5FB4">
        <w:t xml:space="preserve"> </w:t>
      </w:r>
      <w:r w:rsidRPr="004D5FB4">
        <w:t>choosing to go to their own room or bathroom and locking the door</w:t>
      </w:r>
      <w:r w:rsidR="005662BA" w:rsidRPr="004D5FB4">
        <w:t xml:space="preserve"> themselves</w:t>
      </w:r>
      <w:r w:rsidRPr="004D5FB4">
        <w:t xml:space="preserve"> is not seclusion, provided they are free to leave when they wish to. </w:t>
      </w:r>
    </w:p>
    <w:p w14:paraId="581DEC9F" w14:textId="0DB20988" w:rsidR="00510A99" w:rsidRPr="004D5FB4" w:rsidRDefault="00510A99" w:rsidP="004D5FB4">
      <w:r w:rsidRPr="004D5FB4">
        <w:t>Seclusion significantly affects a</w:t>
      </w:r>
      <w:r w:rsidR="00E14772" w:rsidRPr="004D5FB4">
        <w:t xml:space="preserve">n older person’s </w:t>
      </w:r>
      <w:r w:rsidRPr="004D5FB4">
        <w:t>dignity and rights and should only be used after all other forms of behaviour management or appropriate alternative restrictive practices have been exhausted. Seclusion is an extreme form of restrictive practice and should never be used as a punishment.</w:t>
      </w:r>
    </w:p>
    <w:p w14:paraId="622DF4DE" w14:textId="669FF5FD" w:rsidR="00BE0EC8" w:rsidRPr="004D5FB4" w:rsidRDefault="00131EA6" w:rsidP="004D5FB4">
      <w:r w:rsidRPr="004D5FB4">
        <w:t>Older pe</w:t>
      </w:r>
      <w:r w:rsidR="00401A08" w:rsidRPr="004D5FB4">
        <w:t>ople</w:t>
      </w:r>
      <w:r w:rsidR="00BE0EC8" w:rsidRPr="004D5FB4">
        <w:t xml:space="preserve"> required to isolate for the purpose of complying with state and territory public health directives would not </w:t>
      </w:r>
      <w:r w:rsidR="00187F44" w:rsidRPr="004D5FB4">
        <w:t>be</w:t>
      </w:r>
      <w:r w:rsidR="00BE0EC8" w:rsidRPr="004D5FB4">
        <w:t xml:space="preserve"> seclusion</w:t>
      </w:r>
      <w:r w:rsidR="00205051" w:rsidRPr="004D5FB4">
        <w:t xml:space="preserve">, as its </w:t>
      </w:r>
      <w:r w:rsidR="00BE0EC8" w:rsidRPr="004D5FB4">
        <w:t>primary purpose is not to influence</w:t>
      </w:r>
      <w:r w:rsidR="002B391E" w:rsidRPr="004D5FB4">
        <w:t xml:space="preserve"> the older person’s</w:t>
      </w:r>
      <w:r w:rsidR="00BE0EC8" w:rsidRPr="004D5FB4">
        <w:t xml:space="preserve"> behaviour.</w:t>
      </w:r>
    </w:p>
    <w:p w14:paraId="6E8C4B63" w14:textId="77777777" w:rsidR="0093200A" w:rsidRPr="002B391E" w:rsidRDefault="0093200A" w:rsidP="0093200A">
      <w:pPr>
        <w:pStyle w:val="Heading1"/>
        <w:rPr>
          <w:b/>
          <w:bCs w:val="0"/>
          <w:color w:val="002060"/>
          <w:lang w:val="en-US"/>
        </w:rPr>
      </w:pPr>
      <w:bookmarkStart w:id="1" w:name="_Toc62043372"/>
      <w:r w:rsidRPr="002B391E">
        <w:rPr>
          <w:b/>
          <w:bCs w:val="0"/>
          <w:color w:val="002060"/>
          <w:lang w:val="en-US"/>
        </w:rPr>
        <w:t>How can I get more information?</w:t>
      </w:r>
      <w:bookmarkEnd w:id="1"/>
    </w:p>
    <w:p w14:paraId="17350A28" w14:textId="62B5F776" w:rsidR="00CF3F18" w:rsidRPr="002B391E" w:rsidRDefault="009232A4" w:rsidP="00CF3F18">
      <w:pPr>
        <w:pStyle w:val="Heading2"/>
        <w:rPr>
          <w:b/>
          <w:bCs w:val="0"/>
          <w:color w:val="002060"/>
          <w:sz w:val="28"/>
        </w:rPr>
      </w:pPr>
      <w:r w:rsidRPr="002B391E">
        <w:rPr>
          <w:b/>
          <w:bCs w:val="0"/>
          <w:color w:val="002060"/>
          <w:sz w:val="28"/>
        </w:rPr>
        <w:t>Department of Healt</w:t>
      </w:r>
      <w:r w:rsidR="00131EA6" w:rsidRPr="002B391E">
        <w:rPr>
          <w:b/>
          <w:bCs w:val="0"/>
          <w:color w:val="002060"/>
          <w:sz w:val="28"/>
        </w:rPr>
        <w:t>h, Disability and Ageing</w:t>
      </w:r>
    </w:p>
    <w:p w14:paraId="2042B2E7" w14:textId="07A64A11" w:rsidR="007631E7" w:rsidRPr="004D5FB4" w:rsidRDefault="007078EC" w:rsidP="004D5FB4">
      <w:r w:rsidRPr="004D5FB4">
        <w:t>General information about the use of restrictive practices in aged care can be found on the Department of Health</w:t>
      </w:r>
      <w:r w:rsidR="00131EA6" w:rsidRPr="004D5FB4">
        <w:t>, Disability and Ageing</w:t>
      </w:r>
      <w:r w:rsidR="00A740E7" w:rsidRPr="004D5FB4">
        <w:t xml:space="preserve"> website</w:t>
      </w:r>
      <w:r w:rsidRPr="004D5FB4">
        <w:t xml:space="preserve"> at </w:t>
      </w:r>
      <w:hyperlink r:id="rId10" w:history="1">
        <w:r w:rsidR="007631E7" w:rsidRPr="002B391E">
          <w:rPr>
            <w:rStyle w:val="Hyperlink"/>
          </w:rPr>
          <w:t>Restrictive practices in aged care - a last resort</w:t>
        </w:r>
      </w:hyperlink>
      <w:r w:rsidR="007631E7" w:rsidRPr="004D5FB4">
        <w:t>.</w:t>
      </w:r>
    </w:p>
    <w:p w14:paraId="545F2FA2" w14:textId="74FD0310" w:rsidR="00CF3F18" w:rsidRPr="002B391E" w:rsidRDefault="009232A4" w:rsidP="00CF3F18">
      <w:pPr>
        <w:pStyle w:val="Heading2"/>
        <w:rPr>
          <w:b/>
          <w:bCs w:val="0"/>
          <w:color w:val="002060"/>
          <w:sz w:val="28"/>
        </w:rPr>
      </w:pPr>
      <w:r w:rsidRPr="002B391E">
        <w:rPr>
          <w:b/>
          <w:bCs w:val="0"/>
          <w:color w:val="002060"/>
          <w:sz w:val="28"/>
        </w:rPr>
        <w:t>Aged Care Quality and Safety Commission</w:t>
      </w:r>
    </w:p>
    <w:p w14:paraId="6CD75666" w14:textId="66F73C5F" w:rsidR="007631E7" w:rsidRPr="004D5FB4" w:rsidRDefault="007078EC" w:rsidP="004D5FB4">
      <w:r w:rsidRPr="004D5FB4">
        <w:t>Information about the use of restrictive practices in aged care including education and regulatory requirements can be found on the</w:t>
      </w:r>
      <w:r w:rsidR="008050A2" w:rsidRPr="004D5FB4">
        <w:t xml:space="preserve"> Aged Care Quality and Safety Commission website at </w:t>
      </w:r>
      <w:hyperlink r:id="rId11" w:history="1">
        <w:r w:rsidR="005545DD" w:rsidRPr="005545DD">
          <w:rPr>
            <w:rStyle w:val="Hyperlink"/>
            <w:rFonts w:cs="Arial"/>
          </w:rPr>
          <w:t>Minimising restrictive practices | Aged Care Quality and Safety Commission</w:t>
        </w:r>
      </w:hyperlink>
      <w:r w:rsidR="005545DD">
        <w:rPr>
          <w:rFonts w:cs="Arial"/>
          <w:color w:val="000000"/>
        </w:rPr>
        <w:t>.</w:t>
      </w:r>
    </w:p>
    <w:sectPr w:rsidR="007631E7" w:rsidRPr="004D5FB4" w:rsidSect="00F61BE4">
      <w:headerReference w:type="even" r:id="rId12"/>
      <w:headerReference w:type="default" r:id="rId13"/>
      <w:footerReference w:type="even" r:id="rId14"/>
      <w:footerReference w:type="default" r:id="rId15"/>
      <w:headerReference w:type="first" r:id="rId16"/>
      <w:footerReference w:type="first" r:id="rId17"/>
      <w:pgSz w:w="11906" w:h="16838" w:code="9"/>
      <w:pgMar w:top="2410" w:right="1440" w:bottom="1440" w:left="144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180F5" w14:textId="77777777" w:rsidR="00A6098D" w:rsidRDefault="00A6098D" w:rsidP="00A8093E">
      <w:pPr>
        <w:spacing w:after="0" w:line="240" w:lineRule="auto"/>
      </w:pPr>
      <w:r>
        <w:separator/>
      </w:r>
    </w:p>
  </w:endnote>
  <w:endnote w:type="continuationSeparator" w:id="0">
    <w:p w14:paraId="5C149FC0" w14:textId="77777777" w:rsidR="00A6098D" w:rsidRDefault="00A6098D" w:rsidP="00A80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2003" w14:textId="7CFFBC04" w:rsidR="003B3FF3" w:rsidRDefault="00AA1AA8">
    <w:pPr>
      <w:pStyle w:val="Footer"/>
    </w:pPr>
    <w:r>
      <w:rPr>
        <w:noProof/>
      </w:rPr>
      <mc:AlternateContent>
        <mc:Choice Requires="wps">
          <w:drawing>
            <wp:anchor distT="0" distB="0" distL="0" distR="0" simplePos="0" relativeHeight="251665413" behindDoc="0" locked="0" layoutInCell="1" allowOverlap="1" wp14:anchorId="79DCE14E" wp14:editId="1F2E76DC">
              <wp:simplePos x="635" y="635"/>
              <wp:positionH relativeFrom="page">
                <wp:align>center</wp:align>
              </wp:positionH>
              <wp:positionV relativeFrom="page">
                <wp:align>bottom</wp:align>
              </wp:positionV>
              <wp:extent cx="622300" cy="391160"/>
              <wp:effectExtent l="0" t="0" r="6350" b="0"/>
              <wp:wrapNone/>
              <wp:docPr id="166903446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E38C811" w14:textId="236015E2" w:rsidR="00AA1AA8" w:rsidRPr="00AA1AA8" w:rsidRDefault="00AA1AA8" w:rsidP="00AA1AA8">
                          <w:pPr>
                            <w:spacing w:after="0"/>
                            <w:rPr>
                              <w:rFonts w:ascii="Aptos" w:eastAsia="Aptos" w:hAnsi="Aptos" w:cs="Aptos"/>
                              <w:noProof/>
                              <w:color w:val="FF0000"/>
                            </w:rPr>
                          </w:pPr>
                          <w:r w:rsidRPr="00AA1AA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DCE14E" id="_x0000_t202" coordsize="21600,21600" o:spt="202" path="m,l,21600r21600,l21600,xe">
              <v:stroke joinstyle="miter"/>
              <v:path gradientshapeok="t" o:connecttype="rect"/>
            </v:shapetype>
            <v:shape id="Text Box 5" o:spid="_x0000_s1027" type="#_x0000_t202" alt="OFFICIAL" style="position:absolute;margin-left:0;margin-top:0;width:49pt;height:30.8pt;z-index:25166541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filled="f" stroked="f">
              <v:textbox style="mso-fit-shape-to-text:t" inset="0,0,0,15pt">
                <w:txbxContent>
                  <w:p w14:paraId="3E38C811" w14:textId="236015E2" w:rsidR="00AA1AA8" w:rsidRPr="00AA1AA8" w:rsidRDefault="00AA1AA8" w:rsidP="00AA1AA8">
                    <w:pPr>
                      <w:spacing w:after="0"/>
                      <w:rPr>
                        <w:rFonts w:ascii="Aptos" w:eastAsia="Aptos" w:hAnsi="Aptos" w:cs="Aptos"/>
                        <w:noProof/>
                        <w:color w:val="FF0000"/>
                      </w:rPr>
                    </w:pPr>
                    <w:r w:rsidRPr="00AA1AA8">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767538"/>
      <w:docPartObj>
        <w:docPartGallery w:val="Page Numbers (Bottom of Page)"/>
        <w:docPartUnique/>
      </w:docPartObj>
    </w:sdtPr>
    <w:sdtEndPr>
      <w:rPr>
        <w:rFonts w:ascii="Arial" w:hAnsi="Arial" w:cs="Arial"/>
        <w:noProof/>
        <w:sz w:val="20"/>
      </w:rPr>
    </w:sdtEndPr>
    <w:sdtContent>
      <w:p w14:paraId="30E0B98A" w14:textId="5DB596C7" w:rsidR="007A05EC" w:rsidRPr="007A05EC" w:rsidRDefault="007A05EC" w:rsidP="00140966">
        <w:pPr>
          <w:pStyle w:val="Footer"/>
          <w:rPr>
            <w:rFonts w:ascii="Arial" w:hAnsi="Arial" w:cs="Arial"/>
            <w:sz w:val="20"/>
          </w:rPr>
        </w:pPr>
        <w:r w:rsidRPr="007A05EC">
          <w:rPr>
            <w:rFonts w:ascii="Arial" w:hAnsi="Arial" w:cs="Arial"/>
            <w:sz w:val="20"/>
          </w:rPr>
          <w:t xml:space="preserve">Factsheet – </w:t>
        </w:r>
        <w:r w:rsidR="00A56DD8">
          <w:rPr>
            <w:rFonts w:ascii="Arial" w:hAnsi="Arial" w:cs="Arial"/>
            <w:sz w:val="20"/>
          </w:rPr>
          <w:t xml:space="preserve">Restrictive Practice use in residential aged care - </w:t>
        </w:r>
        <w:r w:rsidR="00E208C7">
          <w:rPr>
            <w:rFonts w:ascii="Arial" w:hAnsi="Arial" w:cs="Arial"/>
            <w:sz w:val="20"/>
          </w:rPr>
          <w:t xml:space="preserve">Types of </w:t>
        </w:r>
        <w:r w:rsidR="00A56DD8">
          <w:rPr>
            <w:rFonts w:ascii="Arial" w:hAnsi="Arial" w:cs="Arial"/>
            <w:sz w:val="20"/>
          </w:rPr>
          <w:t>r</w:t>
        </w:r>
        <w:r w:rsidR="00E208C7">
          <w:rPr>
            <w:rFonts w:ascii="Arial" w:hAnsi="Arial" w:cs="Arial"/>
            <w:sz w:val="20"/>
          </w:rPr>
          <w:t xml:space="preserve">estrictive </w:t>
        </w:r>
        <w:r w:rsidR="00A56DD8">
          <w:rPr>
            <w:rFonts w:ascii="Arial" w:hAnsi="Arial" w:cs="Arial"/>
            <w:sz w:val="20"/>
          </w:rPr>
          <w:t>p</w:t>
        </w:r>
        <w:r w:rsidR="00E208C7">
          <w:rPr>
            <w:rFonts w:ascii="Arial" w:hAnsi="Arial" w:cs="Arial"/>
            <w:sz w:val="20"/>
          </w:rPr>
          <w:t>ractices</w:t>
        </w:r>
      </w:p>
      <w:p w14:paraId="383AAE10" w14:textId="5D355244" w:rsidR="007A05EC" w:rsidRPr="00F61BE4" w:rsidRDefault="007A05EC" w:rsidP="00F61BE4">
        <w:pPr>
          <w:pStyle w:val="Footer"/>
          <w:jc w:val="right"/>
          <w:rPr>
            <w:rFonts w:ascii="Arial" w:hAnsi="Arial" w:cs="Arial"/>
            <w:sz w:val="20"/>
          </w:rPr>
        </w:pPr>
        <w:r w:rsidRPr="007A05EC">
          <w:rPr>
            <w:rFonts w:ascii="Arial" w:hAnsi="Arial" w:cs="Arial"/>
            <w:sz w:val="20"/>
          </w:rPr>
          <w:fldChar w:fldCharType="begin"/>
        </w:r>
        <w:r w:rsidRPr="007A05EC">
          <w:rPr>
            <w:rFonts w:ascii="Arial" w:hAnsi="Arial" w:cs="Arial"/>
            <w:sz w:val="20"/>
          </w:rPr>
          <w:instrText xml:space="preserve"> PAGE   \* MERGEFORMAT </w:instrText>
        </w:r>
        <w:r w:rsidRPr="007A05EC">
          <w:rPr>
            <w:rFonts w:ascii="Arial" w:hAnsi="Arial" w:cs="Arial"/>
            <w:sz w:val="20"/>
          </w:rPr>
          <w:fldChar w:fldCharType="separate"/>
        </w:r>
        <w:r w:rsidR="00F755EA">
          <w:rPr>
            <w:rFonts w:ascii="Arial" w:hAnsi="Arial" w:cs="Arial"/>
            <w:noProof/>
            <w:sz w:val="20"/>
          </w:rPr>
          <w:t>1</w:t>
        </w:r>
        <w:r w:rsidRPr="007A05EC">
          <w:rPr>
            <w:rFonts w:ascii="Arial" w:hAnsi="Arial" w:cs="Arial"/>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3B006" w14:textId="524E4A4E" w:rsidR="003B3FF3" w:rsidRDefault="00AA1AA8">
    <w:pPr>
      <w:pStyle w:val="Footer"/>
    </w:pPr>
    <w:r>
      <w:rPr>
        <w:noProof/>
      </w:rPr>
      <mc:AlternateContent>
        <mc:Choice Requires="wps">
          <w:drawing>
            <wp:anchor distT="0" distB="0" distL="0" distR="0" simplePos="0" relativeHeight="251664389" behindDoc="0" locked="0" layoutInCell="1" allowOverlap="1" wp14:anchorId="20857C83" wp14:editId="1D59FE4A">
              <wp:simplePos x="635" y="635"/>
              <wp:positionH relativeFrom="page">
                <wp:align>center</wp:align>
              </wp:positionH>
              <wp:positionV relativeFrom="page">
                <wp:align>bottom</wp:align>
              </wp:positionV>
              <wp:extent cx="622300" cy="391160"/>
              <wp:effectExtent l="0" t="0" r="6350" b="0"/>
              <wp:wrapNone/>
              <wp:docPr id="142525967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DFCE15E" w14:textId="495ECCAF" w:rsidR="00AA1AA8" w:rsidRPr="00AA1AA8" w:rsidRDefault="00AA1AA8" w:rsidP="00AA1AA8">
                          <w:pPr>
                            <w:spacing w:after="0"/>
                            <w:rPr>
                              <w:rFonts w:ascii="Aptos" w:eastAsia="Aptos" w:hAnsi="Aptos" w:cs="Aptos"/>
                              <w:noProof/>
                              <w:color w:val="FF0000"/>
                            </w:rPr>
                          </w:pPr>
                          <w:r w:rsidRPr="00AA1AA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857C83" id="_x0000_t202" coordsize="21600,21600" o:spt="202" path="m,l,21600r21600,l21600,xe">
              <v:stroke joinstyle="miter"/>
              <v:path gradientshapeok="t" o:connecttype="rect"/>
            </v:shapetype>
            <v:shape id="Text Box 4" o:spid="_x0000_s1029" type="#_x0000_t202" alt="OFFICIAL" style="position:absolute;margin-left:0;margin-top:0;width:49pt;height:30.8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5DFCE15E" w14:textId="495ECCAF" w:rsidR="00AA1AA8" w:rsidRPr="00AA1AA8" w:rsidRDefault="00AA1AA8" w:rsidP="00AA1AA8">
                    <w:pPr>
                      <w:spacing w:after="0"/>
                      <w:rPr>
                        <w:rFonts w:ascii="Aptos" w:eastAsia="Aptos" w:hAnsi="Aptos" w:cs="Aptos"/>
                        <w:noProof/>
                        <w:color w:val="FF0000"/>
                      </w:rPr>
                    </w:pPr>
                    <w:r w:rsidRPr="00AA1AA8">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2B873" w14:textId="77777777" w:rsidR="00A6098D" w:rsidRDefault="00A6098D" w:rsidP="00A8093E">
      <w:pPr>
        <w:spacing w:after="0" w:line="240" w:lineRule="auto"/>
      </w:pPr>
      <w:r>
        <w:separator/>
      </w:r>
    </w:p>
  </w:footnote>
  <w:footnote w:type="continuationSeparator" w:id="0">
    <w:p w14:paraId="39A608E6" w14:textId="77777777" w:rsidR="00A6098D" w:rsidRDefault="00A6098D" w:rsidP="00A80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505C" w14:textId="5A455D84" w:rsidR="003B3FF3" w:rsidRDefault="00AA1AA8">
    <w:pPr>
      <w:pStyle w:val="Header"/>
    </w:pPr>
    <w:r>
      <w:rPr>
        <w:noProof/>
      </w:rPr>
      <mc:AlternateContent>
        <mc:Choice Requires="wps">
          <w:drawing>
            <wp:anchor distT="0" distB="0" distL="0" distR="0" simplePos="0" relativeHeight="251662341" behindDoc="0" locked="0" layoutInCell="1" allowOverlap="1" wp14:anchorId="322176C8" wp14:editId="51C96E44">
              <wp:simplePos x="635" y="635"/>
              <wp:positionH relativeFrom="page">
                <wp:align>center</wp:align>
              </wp:positionH>
              <wp:positionV relativeFrom="page">
                <wp:align>top</wp:align>
              </wp:positionV>
              <wp:extent cx="622300" cy="391160"/>
              <wp:effectExtent l="0" t="0" r="6350" b="8890"/>
              <wp:wrapNone/>
              <wp:docPr id="7672048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E6073C4" w14:textId="05460A03" w:rsidR="00AA1AA8" w:rsidRPr="00AA1AA8" w:rsidRDefault="00AA1AA8" w:rsidP="00AA1AA8">
                          <w:pPr>
                            <w:spacing w:after="0"/>
                            <w:rPr>
                              <w:rFonts w:ascii="Aptos" w:eastAsia="Aptos" w:hAnsi="Aptos" w:cs="Aptos"/>
                              <w:noProof/>
                              <w:color w:val="FF0000"/>
                            </w:rPr>
                          </w:pPr>
                          <w:r w:rsidRPr="00AA1AA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176C8"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623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6E6073C4" w14:textId="05460A03" w:rsidR="00AA1AA8" w:rsidRPr="00AA1AA8" w:rsidRDefault="00AA1AA8" w:rsidP="00AA1AA8">
                    <w:pPr>
                      <w:spacing w:after="0"/>
                      <w:rPr>
                        <w:rFonts w:ascii="Aptos" w:eastAsia="Aptos" w:hAnsi="Aptos" w:cs="Aptos"/>
                        <w:noProof/>
                        <w:color w:val="FF0000"/>
                      </w:rPr>
                    </w:pPr>
                    <w:r w:rsidRPr="00AA1AA8">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8407" w14:textId="10802272" w:rsidR="00A8093E" w:rsidRDefault="00D63754">
    <w:pPr>
      <w:pStyle w:val="Header"/>
    </w:pPr>
    <w:r w:rsidRPr="00D63754">
      <w:rPr>
        <w:rFonts w:ascii="Arial" w:eastAsia="Calibri" w:hAnsi="Arial"/>
        <w:noProof/>
        <w:lang w:val="en-US"/>
      </w:rPr>
      <w:drawing>
        <wp:anchor distT="0" distB="0" distL="114300" distR="114300" simplePos="0" relativeHeight="251660293" behindDoc="0" locked="0" layoutInCell="1" allowOverlap="1" wp14:anchorId="704F0749" wp14:editId="65A4C174">
          <wp:simplePos x="0" y="0"/>
          <wp:positionH relativeFrom="page">
            <wp:posOffset>28575</wp:posOffset>
          </wp:positionH>
          <wp:positionV relativeFrom="page">
            <wp:posOffset>3810</wp:posOffset>
          </wp:positionV>
          <wp:extent cx="7558363" cy="2112411"/>
          <wp:effectExtent l="0" t="0" r="508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58363" cy="21124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1079" w14:textId="478C3659" w:rsidR="003B3FF3" w:rsidRDefault="00AA1AA8">
    <w:pPr>
      <w:pStyle w:val="Header"/>
    </w:pPr>
    <w:r>
      <w:rPr>
        <w:noProof/>
      </w:rPr>
      <mc:AlternateContent>
        <mc:Choice Requires="wps">
          <w:drawing>
            <wp:anchor distT="0" distB="0" distL="0" distR="0" simplePos="0" relativeHeight="251661317" behindDoc="0" locked="0" layoutInCell="1" allowOverlap="1" wp14:anchorId="690DBD9C" wp14:editId="48D0DE00">
              <wp:simplePos x="635" y="635"/>
              <wp:positionH relativeFrom="page">
                <wp:align>center</wp:align>
              </wp:positionH>
              <wp:positionV relativeFrom="page">
                <wp:align>top</wp:align>
              </wp:positionV>
              <wp:extent cx="622300" cy="391160"/>
              <wp:effectExtent l="0" t="0" r="6350" b="8890"/>
              <wp:wrapNone/>
              <wp:docPr id="5749284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EEC7F95" w14:textId="51E765A6" w:rsidR="00AA1AA8" w:rsidRPr="00AA1AA8" w:rsidRDefault="00AA1AA8" w:rsidP="00AA1AA8">
                          <w:pPr>
                            <w:spacing w:after="0"/>
                            <w:rPr>
                              <w:rFonts w:ascii="Aptos" w:eastAsia="Aptos" w:hAnsi="Aptos" w:cs="Aptos"/>
                              <w:noProof/>
                              <w:color w:val="FF0000"/>
                            </w:rPr>
                          </w:pPr>
                          <w:r w:rsidRPr="00AA1AA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0DBD9C" id="_x0000_t202" coordsize="21600,21600" o:spt="202" path="m,l,21600r21600,l21600,xe">
              <v:stroke joinstyle="miter"/>
              <v:path gradientshapeok="t" o:connecttype="rect"/>
            </v:shapetype>
            <v:shape id="Text Box 1" o:spid="_x0000_s1028" type="#_x0000_t202" alt="OFFICIAL" style="position:absolute;margin-left:0;margin-top:0;width:49pt;height:30.8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textbox style="mso-fit-shape-to-text:t" inset="0,15pt,0,0">
                <w:txbxContent>
                  <w:p w14:paraId="7EEC7F95" w14:textId="51E765A6" w:rsidR="00AA1AA8" w:rsidRPr="00AA1AA8" w:rsidRDefault="00AA1AA8" w:rsidP="00AA1AA8">
                    <w:pPr>
                      <w:spacing w:after="0"/>
                      <w:rPr>
                        <w:rFonts w:ascii="Aptos" w:eastAsia="Aptos" w:hAnsi="Aptos" w:cs="Aptos"/>
                        <w:noProof/>
                        <w:color w:val="FF0000"/>
                      </w:rPr>
                    </w:pPr>
                    <w:r w:rsidRPr="00AA1AA8">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5AADF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FA4307F"/>
    <w:multiLevelType w:val="hybridMultilevel"/>
    <w:tmpl w:val="62749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363506"/>
    <w:multiLevelType w:val="hybridMultilevel"/>
    <w:tmpl w:val="C55CFE62"/>
    <w:lvl w:ilvl="0" w:tplc="B722292C">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D90B83"/>
    <w:multiLevelType w:val="hybridMultilevel"/>
    <w:tmpl w:val="9BDCBE88"/>
    <w:lvl w:ilvl="0" w:tplc="FFDE6FC6">
      <w:start w:val="1"/>
      <w:numFmt w:val="bullet"/>
      <w:lvlText w:val=""/>
      <w:lvlJc w:val="left"/>
      <w:pPr>
        <w:ind w:left="360" w:hanging="360"/>
      </w:pPr>
      <w:rPr>
        <w:rFonts w:ascii="Symbol" w:hAnsi="Symbol" w:hint="default"/>
      </w:rPr>
    </w:lvl>
    <w:lvl w:ilvl="1" w:tplc="7A9C3188">
      <w:start w:val="1"/>
      <w:numFmt w:val="bullet"/>
      <w:lvlText w:val="o"/>
      <w:lvlJc w:val="left"/>
      <w:pPr>
        <w:ind w:left="1440" w:hanging="360"/>
      </w:pPr>
      <w:rPr>
        <w:rFonts w:ascii="Courier New" w:hAnsi="Courier New" w:cs="Courier New" w:hint="default"/>
      </w:rPr>
    </w:lvl>
    <w:lvl w:ilvl="2" w:tplc="7898C2B4" w:tentative="1">
      <w:start w:val="1"/>
      <w:numFmt w:val="bullet"/>
      <w:lvlText w:val=""/>
      <w:lvlJc w:val="left"/>
      <w:pPr>
        <w:ind w:left="2160" w:hanging="360"/>
      </w:pPr>
      <w:rPr>
        <w:rFonts w:ascii="Wingdings" w:hAnsi="Wingdings" w:hint="default"/>
      </w:rPr>
    </w:lvl>
    <w:lvl w:ilvl="3" w:tplc="E7787F6A" w:tentative="1">
      <w:start w:val="1"/>
      <w:numFmt w:val="bullet"/>
      <w:lvlText w:val=""/>
      <w:lvlJc w:val="left"/>
      <w:pPr>
        <w:ind w:left="2880" w:hanging="360"/>
      </w:pPr>
      <w:rPr>
        <w:rFonts w:ascii="Symbol" w:hAnsi="Symbol" w:hint="default"/>
      </w:rPr>
    </w:lvl>
    <w:lvl w:ilvl="4" w:tplc="676E6F98" w:tentative="1">
      <w:start w:val="1"/>
      <w:numFmt w:val="bullet"/>
      <w:lvlText w:val="o"/>
      <w:lvlJc w:val="left"/>
      <w:pPr>
        <w:ind w:left="3600" w:hanging="360"/>
      </w:pPr>
      <w:rPr>
        <w:rFonts w:ascii="Courier New" w:hAnsi="Courier New" w:cs="Courier New" w:hint="default"/>
      </w:rPr>
    </w:lvl>
    <w:lvl w:ilvl="5" w:tplc="821258A8" w:tentative="1">
      <w:start w:val="1"/>
      <w:numFmt w:val="bullet"/>
      <w:lvlText w:val=""/>
      <w:lvlJc w:val="left"/>
      <w:pPr>
        <w:ind w:left="4320" w:hanging="360"/>
      </w:pPr>
      <w:rPr>
        <w:rFonts w:ascii="Wingdings" w:hAnsi="Wingdings" w:hint="default"/>
      </w:rPr>
    </w:lvl>
    <w:lvl w:ilvl="6" w:tplc="A894A2A4" w:tentative="1">
      <w:start w:val="1"/>
      <w:numFmt w:val="bullet"/>
      <w:lvlText w:val=""/>
      <w:lvlJc w:val="left"/>
      <w:pPr>
        <w:ind w:left="5040" w:hanging="360"/>
      </w:pPr>
      <w:rPr>
        <w:rFonts w:ascii="Symbol" w:hAnsi="Symbol" w:hint="default"/>
      </w:rPr>
    </w:lvl>
    <w:lvl w:ilvl="7" w:tplc="F738E79C" w:tentative="1">
      <w:start w:val="1"/>
      <w:numFmt w:val="bullet"/>
      <w:lvlText w:val="o"/>
      <w:lvlJc w:val="left"/>
      <w:pPr>
        <w:ind w:left="5760" w:hanging="360"/>
      </w:pPr>
      <w:rPr>
        <w:rFonts w:ascii="Courier New" w:hAnsi="Courier New" w:cs="Courier New" w:hint="default"/>
      </w:rPr>
    </w:lvl>
    <w:lvl w:ilvl="8" w:tplc="F55EAC74" w:tentative="1">
      <w:start w:val="1"/>
      <w:numFmt w:val="bullet"/>
      <w:lvlText w:val=""/>
      <w:lvlJc w:val="left"/>
      <w:pPr>
        <w:ind w:left="6480" w:hanging="360"/>
      </w:pPr>
      <w:rPr>
        <w:rFonts w:ascii="Wingdings" w:hAnsi="Wingdings" w:hint="default"/>
      </w:rPr>
    </w:lvl>
  </w:abstractNum>
  <w:abstractNum w:abstractNumId="4" w15:restartNumberingAfterBreak="0">
    <w:nsid w:val="3CCA5A95"/>
    <w:multiLevelType w:val="hybridMultilevel"/>
    <w:tmpl w:val="9306B4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D27C1B"/>
    <w:multiLevelType w:val="hybridMultilevel"/>
    <w:tmpl w:val="678CCAEC"/>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4C371E"/>
    <w:multiLevelType w:val="singleLevel"/>
    <w:tmpl w:val="F7BC9572"/>
    <w:lvl w:ilvl="0">
      <w:start w:val="1"/>
      <w:numFmt w:val="bullet"/>
      <w:pStyle w:val="legcomeasuredot"/>
      <w:lvlText w:val=""/>
      <w:lvlJc w:val="left"/>
      <w:pPr>
        <w:tabs>
          <w:tab w:val="num" w:pos="757"/>
        </w:tabs>
        <w:ind w:left="397" w:firstLine="0"/>
      </w:pPr>
      <w:rPr>
        <w:rFonts w:ascii="Wingdings" w:hAnsi="Wingdings" w:hint="default"/>
        <w:sz w:val="16"/>
      </w:rPr>
    </w:lvl>
  </w:abstractNum>
  <w:abstractNum w:abstractNumId="7" w15:restartNumberingAfterBreak="0">
    <w:nsid w:val="58AC10E1"/>
    <w:multiLevelType w:val="hybridMultilevel"/>
    <w:tmpl w:val="71B24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BD2E6F"/>
    <w:multiLevelType w:val="hybridMultilevel"/>
    <w:tmpl w:val="69DC84CA"/>
    <w:lvl w:ilvl="0" w:tplc="BBDC8AB0">
      <w:start w:val="1"/>
      <w:numFmt w:val="bullet"/>
      <w:pStyle w:val="TableTex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B2C36D2"/>
    <w:multiLevelType w:val="multilevel"/>
    <w:tmpl w:val="99AC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AE1489"/>
    <w:multiLevelType w:val="hybridMultilevel"/>
    <w:tmpl w:val="ED4E6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5282970">
    <w:abstractNumId w:val="2"/>
  </w:num>
  <w:num w:numId="2" w16cid:durableId="1197155997">
    <w:abstractNumId w:val="8"/>
  </w:num>
  <w:num w:numId="3" w16cid:durableId="1081635020">
    <w:abstractNumId w:val="5"/>
  </w:num>
  <w:num w:numId="4" w16cid:durableId="1777408080">
    <w:abstractNumId w:val="6"/>
  </w:num>
  <w:num w:numId="5" w16cid:durableId="1763261483">
    <w:abstractNumId w:val="4"/>
  </w:num>
  <w:num w:numId="6" w16cid:durableId="1830632451">
    <w:abstractNumId w:val="10"/>
  </w:num>
  <w:num w:numId="7" w16cid:durableId="1909923558">
    <w:abstractNumId w:val="9"/>
  </w:num>
  <w:num w:numId="8" w16cid:durableId="632097163">
    <w:abstractNumId w:val="7"/>
  </w:num>
  <w:num w:numId="9" w16cid:durableId="976842179">
    <w:abstractNumId w:val="1"/>
  </w:num>
  <w:num w:numId="10" w16cid:durableId="698120178">
    <w:abstractNumId w:val="3"/>
  </w:num>
  <w:num w:numId="11" w16cid:durableId="866719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823"/>
    <w:rsid w:val="00000B8D"/>
    <w:rsid w:val="000059A7"/>
    <w:rsid w:val="0002145C"/>
    <w:rsid w:val="00060F53"/>
    <w:rsid w:val="00070FDD"/>
    <w:rsid w:val="00072FC0"/>
    <w:rsid w:val="00074C39"/>
    <w:rsid w:val="00077AF4"/>
    <w:rsid w:val="000832DA"/>
    <w:rsid w:val="00095C56"/>
    <w:rsid w:val="0009708A"/>
    <w:rsid w:val="000C7560"/>
    <w:rsid w:val="000E02AA"/>
    <w:rsid w:val="000E3FB6"/>
    <w:rsid w:val="000E6CD6"/>
    <w:rsid w:val="000F372D"/>
    <w:rsid w:val="000F3823"/>
    <w:rsid w:val="00115920"/>
    <w:rsid w:val="001201E8"/>
    <w:rsid w:val="001244CE"/>
    <w:rsid w:val="001247DB"/>
    <w:rsid w:val="00131EA6"/>
    <w:rsid w:val="00140966"/>
    <w:rsid w:val="00161DBA"/>
    <w:rsid w:val="001761D1"/>
    <w:rsid w:val="001763A3"/>
    <w:rsid w:val="00187F44"/>
    <w:rsid w:val="00190D28"/>
    <w:rsid w:val="001929E1"/>
    <w:rsid w:val="001D0449"/>
    <w:rsid w:val="001F455C"/>
    <w:rsid w:val="00200477"/>
    <w:rsid w:val="00205051"/>
    <w:rsid w:val="00217658"/>
    <w:rsid w:val="00222D80"/>
    <w:rsid w:val="002369F5"/>
    <w:rsid w:val="0025440B"/>
    <w:rsid w:val="00263444"/>
    <w:rsid w:val="00280050"/>
    <w:rsid w:val="00281098"/>
    <w:rsid w:val="00293D32"/>
    <w:rsid w:val="002A0549"/>
    <w:rsid w:val="002B391E"/>
    <w:rsid w:val="002E037F"/>
    <w:rsid w:val="002E0832"/>
    <w:rsid w:val="002F0759"/>
    <w:rsid w:val="00323166"/>
    <w:rsid w:val="00324785"/>
    <w:rsid w:val="00342463"/>
    <w:rsid w:val="003505E8"/>
    <w:rsid w:val="003518A9"/>
    <w:rsid w:val="00377053"/>
    <w:rsid w:val="00386962"/>
    <w:rsid w:val="00392A8F"/>
    <w:rsid w:val="003B362B"/>
    <w:rsid w:val="003B3FF3"/>
    <w:rsid w:val="003B7A3A"/>
    <w:rsid w:val="003C1F3D"/>
    <w:rsid w:val="003C436F"/>
    <w:rsid w:val="00401A08"/>
    <w:rsid w:val="00402764"/>
    <w:rsid w:val="004062F3"/>
    <w:rsid w:val="00422A9F"/>
    <w:rsid w:val="00422EE7"/>
    <w:rsid w:val="00456C53"/>
    <w:rsid w:val="00467A65"/>
    <w:rsid w:val="004700A5"/>
    <w:rsid w:val="00496946"/>
    <w:rsid w:val="004B0723"/>
    <w:rsid w:val="004B175A"/>
    <w:rsid w:val="004C65CE"/>
    <w:rsid w:val="004D5FB4"/>
    <w:rsid w:val="00510A99"/>
    <w:rsid w:val="00511092"/>
    <w:rsid w:val="00514DD4"/>
    <w:rsid w:val="00526C39"/>
    <w:rsid w:val="0053393D"/>
    <w:rsid w:val="00542959"/>
    <w:rsid w:val="005524C7"/>
    <w:rsid w:val="005545DD"/>
    <w:rsid w:val="005662BA"/>
    <w:rsid w:val="00574897"/>
    <w:rsid w:val="00590148"/>
    <w:rsid w:val="0059091D"/>
    <w:rsid w:val="00593FA8"/>
    <w:rsid w:val="005A1D5F"/>
    <w:rsid w:val="005C5CD7"/>
    <w:rsid w:val="005C70CB"/>
    <w:rsid w:val="005C7C14"/>
    <w:rsid w:val="005E0D5C"/>
    <w:rsid w:val="005F1404"/>
    <w:rsid w:val="005F273D"/>
    <w:rsid w:val="006074DE"/>
    <w:rsid w:val="0062166A"/>
    <w:rsid w:val="006320D7"/>
    <w:rsid w:val="00652EC4"/>
    <w:rsid w:val="006540B0"/>
    <w:rsid w:val="00661F7B"/>
    <w:rsid w:val="006622DE"/>
    <w:rsid w:val="006818AB"/>
    <w:rsid w:val="00690F03"/>
    <w:rsid w:val="006A4A8C"/>
    <w:rsid w:val="006B0F9E"/>
    <w:rsid w:val="006E4B5D"/>
    <w:rsid w:val="006F61B8"/>
    <w:rsid w:val="007078EC"/>
    <w:rsid w:val="007631E7"/>
    <w:rsid w:val="00765F0D"/>
    <w:rsid w:val="0077536B"/>
    <w:rsid w:val="00783AAE"/>
    <w:rsid w:val="00784238"/>
    <w:rsid w:val="007A05EC"/>
    <w:rsid w:val="007B0362"/>
    <w:rsid w:val="007B79DF"/>
    <w:rsid w:val="007C6E38"/>
    <w:rsid w:val="007D42D1"/>
    <w:rsid w:val="007D4988"/>
    <w:rsid w:val="007E7059"/>
    <w:rsid w:val="007F22D0"/>
    <w:rsid w:val="008050A2"/>
    <w:rsid w:val="00811BD3"/>
    <w:rsid w:val="008167B1"/>
    <w:rsid w:val="008168DF"/>
    <w:rsid w:val="00816ED1"/>
    <w:rsid w:val="008243CF"/>
    <w:rsid w:val="008257B9"/>
    <w:rsid w:val="00847493"/>
    <w:rsid w:val="0085428D"/>
    <w:rsid w:val="00861A2F"/>
    <w:rsid w:val="0087247A"/>
    <w:rsid w:val="00875D81"/>
    <w:rsid w:val="00882087"/>
    <w:rsid w:val="008B3627"/>
    <w:rsid w:val="008B6614"/>
    <w:rsid w:val="008C4339"/>
    <w:rsid w:val="008E145A"/>
    <w:rsid w:val="00903090"/>
    <w:rsid w:val="00905900"/>
    <w:rsid w:val="0091044E"/>
    <w:rsid w:val="009232A4"/>
    <w:rsid w:val="00927C31"/>
    <w:rsid w:val="0093200A"/>
    <w:rsid w:val="00947B7D"/>
    <w:rsid w:val="00966F1F"/>
    <w:rsid w:val="00990AB4"/>
    <w:rsid w:val="009D0E7F"/>
    <w:rsid w:val="009F3786"/>
    <w:rsid w:val="009F512C"/>
    <w:rsid w:val="00A01883"/>
    <w:rsid w:val="00A34142"/>
    <w:rsid w:val="00A374E8"/>
    <w:rsid w:val="00A56DD8"/>
    <w:rsid w:val="00A6098D"/>
    <w:rsid w:val="00A61B46"/>
    <w:rsid w:val="00A740E7"/>
    <w:rsid w:val="00A75FE1"/>
    <w:rsid w:val="00A8093E"/>
    <w:rsid w:val="00AA1AA8"/>
    <w:rsid w:val="00AA6070"/>
    <w:rsid w:val="00AB7AD6"/>
    <w:rsid w:val="00AE0125"/>
    <w:rsid w:val="00B04435"/>
    <w:rsid w:val="00B059DD"/>
    <w:rsid w:val="00B0774A"/>
    <w:rsid w:val="00B10F72"/>
    <w:rsid w:val="00B17C86"/>
    <w:rsid w:val="00B41154"/>
    <w:rsid w:val="00B4718E"/>
    <w:rsid w:val="00B65A61"/>
    <w:rsid w:val="00B76144"/>
    <w:rsid w:val="00BA0C53"/>
    <w:rsid w:val="00BA60B7"/>
    <w:rsid w:val="00BB12E5"/>
    <w:rsid w:val="00BC392C"/>
    <w:rsid w:val="00BD1CDA"/>
    <w:rsid w:val="00BE0EC8"/>
    <w:rsid w:val="00C023C9"/>
    <w:rsid w:val="00C166C4"/>
    <w:rsid w:val="00C202C0"/>
    <w:rsid w:val="00C257C6"/>
    <w:rsid w:val="00C5627F"/>
    <w:rsid w:val="00CA109E"/>
    <w:rsid w:val="00CA1142"/>
    <w:rsid w:val="00CA288E"/>
    <w:rsid w:val="00CB6D0E"/>
    <w:rsid w:val="00CD2337"/>
    <w:rsid w:val="00CD5D41"/>
    <w:rsid w:val="00CD6A45"/>
    <w:rsid w:val="00CF3F18"/>
    <w:rsid w:val="00CF4071"/>
    <w:rsid w:val="00D240E2"/>
    <w:rsid w:val="00D63754"/>
    <w:rsid w:val="00D63DB7"/>
    <w:rsid w:val="00D73D21"/>
    <w:rsid w:val="00DA0919"/>
    <w:rsid w:val="00DB4FB0"/>
    <w:rsid w:val="00DB72BC"/>
    <w:rsid w:val="00DE672D"/>
    <w:rsid w:val="00DF2D23"/>
    <w:rsid w:val="00E022E1"/>
    <w:rsid w:val="00E14772"/>
    <w:rsid w:val="00E208C7"/>
    <w:rsid w:val="00E20EBA"/>
    <w:rsid w:val="00E23A62"/>
    <w:rsid w:val="00E56DEC"/>
    <w:rsid w:val="00E633DB"/>
    <w:rsid w:val="00E66DA6"/>
    <w:rsid w:val="00EA4A03"/>
    <w:rsid w:val="00ED082E"/>
    <w:rsid w:val="00EE5124"/>
    <w:rsid w:val="00EF0A56"/>
    <w:rsid w:val="00F00078"/>
    <w:rsid w:val="00F02F93"/>
    <w:rsid w:val="00F031B8"/>
    <w:rsid w:val="00F14D6C"/>
    <w:rsid w:val="00F16B42"/>
    <w:rsid w:val="00F3442C"/>
    <w:rsid w:val="00F36CC8"/>
    <w:rsid w:val="00F56ED9"/>
    <w:rsid w:val="00F61719"/>
    <w:rsid w:val="00F61BE4"/>
    <w:rsid w:val="00F755EA"/>
    <w:rsid w:val="00F764C3"/>
    <w:rsid w:val="00FC1B27"/>
    <w:rsid w:val="00FC636C"/>
    <w:rsid w:val="00FD0AA5"/>
    <w:rsid w:val="00FE0AB5"/>
    <w:rsid w:val="00FF03A3"/>
    <w:rsid w:val="00FF4AD9"/>
    <w:rsid w:val="00FF7A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BD7B7"/>
  <w15:chartTrackingRefBased/>
  <w15:docId w15:val="{EB3D88B4-0141-48B4-9849-6A660236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FB4"/>
    <w:rPr>
      <w:rFonts w:asciiTheme="minorBidi" w:hAnsiTheme="minorBidi"/>
      <w:color w:val="222A35" w:themeColor="text2" w:themeShade="80"/>
    </w:rPr>
  </w:style>
  <w:style w:type="paragraph" w:styleId="Heading1">
    <w:name w:val="heading 1"/>
    <w:basedOn w:val="Normal"/>
    <w:next w:val="Normal"/>
    <w:link w:val="Heading1Char"/>
    <w:qFormat/>
    <w:rsid w:val="00324785"/>
    <w:pPr>
      <w:keepNext/>
      <w:spacing w:before="240" w:after="60" w:line="240" w:lineRule="auto"/>
      <w:outlineLvl w:val="0"/>
    </w:pPr>
    <w:rPr>
      <w:rFonts w:ascii="Arial" w:eastAsia="Times New Roman" w:hAnsi="Arial" w:cs="Arial"/>
      <w:bCs/>
      <w:color w:val="3F4A75"/>
      <w:kern w:val="28"/>
      <w:sz w:val="36"/>
      <w:szCs w:val="36"/>
    </w:rPr>
  </w:style>
  <w:style w:type="paragraph" w:styleId="Heading2">
    <w:name w:val="heading 2"/>
    <w:next w:val="Paragraphtext"/>
    <w:link w:val="Heading2Char"/>
    <w:qFormat/>
    <w:rsid w:val="00324785"/>
    <w:pPr>
      <w:keepNext/>
      <w:spacing w:before="240" w:after="60" w:line="240" w:lineRule="auto"/>
      <w:outlineLvl w:val="1"/>
    </w:pPr>
    <w:rPr>
      <w:rFonts w:ascii="Arial" w:eastAsia="Times New Roman" w:hAnsi="Arial" w:cs="Arial"/>
      <w:bCs/>
      <w:iCs/>
      <w:color w:val="358189"/>
      <w:sz w:val="32"/>
      <w:szCs w:val="28"/>
    </w:rPr>
  </w:style>
  <w:style w:type="paragraph" w:styleId="Heading3">
    <w:name w:val="heading 3"/>
    <w:basedOn w:val="Normal"/>
    <w:next w:val="Normal"/>
    <w:link w:val="Heading3Char"/>
    <w:uiPriority w:val="9"/>
    <w:unhideWhenUsed/>
    <w:qFormat/>
    <w:rsid w:val="009232A4"/>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785"/>
    <w:rPr>
      <w:rFonts w:ascii="Arial" w:eastAsia="Times New Roman" w:hAnsi="Arial" w:cs="Arial"/>
      <w:bCs/>
      <w:color w:val="3F4A75"/>
      <w:kern w:val="28"/>
      <w:sz w:val="36"/>
      <w:szCs w:val="36"/>
    </w:rPr>
  </w:style>
  <w:style w:type="character" w:customStyle="1" w:styleId="Heading2Char">
    <w:name w:val="Heading 2 Char"/>
    <w:basedOn w:val="DefaultParagraphFont"/>
    <w:link w:val="Heading2"/>
    <w:rsid w:val="00324785"/>
    <w:rPr>
      <w:rFonts w:ascii="Arial" w:eastAsia="Times New Roman" w:hAnsi="Arial" w:cs="Arial"/>
      <w:bCs/>
      <w:iCs/>
      <w:color w:val="358189"/>
      <w:sz w:val="32"/>
      <w:szCs w:val="28"/>
    </w:rPr>
  </w:style>
  <w:style w:type="paragraph" w:customStyle="1" w:styleId="Paragraphtext">
    <w:name w:val="Paragraph text"/>
    <w:basedOn w:val="Normal"/>
    <w:qFormat/>
    <w:rsid w:val="00324785"/>
    <w:pPr>
      <w:spacing w:before="120" w:after="60" w:line="240" w:lineRule="auto"/>
    </w:pPr>
    <w:rPr>
      <w:rFonts w:ascii="Arial" w:eastAsia="Times New Roman" w:hAnsi="Arial"/>
      <w:color w:val="000000" w:themeColor="text1"/>
      <w:sz w:val="21"/>
    </w:rPr>
  </w:style>
  <w:style w:type="paragraph" w:styleId="Subtitle">
    <w:name w:val="Subtitle"/>
    <w:next w:val="Normal"/>
    <w:link w:val="SubtitleChar"/>
    <w:uiPriority w:val="11"/>
    <w:qFormat/>
    <w:rsid w:val="00324785"/>
    <w:pPr>
      <w:numPr>
        <w:ilvl w:val="1"/>
      </w:numPr>
      <w:spacing w:before="120" w:after="60" w:line="240" w:lineRule="auto"/>
    </w:pPr>
    <w:rPr>
      <w:rFonts w:ascii="Arial" w:eastAsiaTheme="majorEastAsia" w:hAnsi="Arial" w:cstheme="majorBidi"/>
      <w:iCs/>
      <w:color w:val="3F4A75"/>
      <w:spacing w:val="15"/>
      <w:sz w:val="40"/>
    </w:rPr>
  </w:style>
  <w:style w:type="character" w:customStyle="1" w:styleId="SubtitleChar">
    <w:name w:val="Subtitle Char"/>
    <w:basedOn w:val="DefaultParagraphFont"/>
    <w:link w:val="Subtitle"/>
    <w:uiPriority w:val="11"/>
    <w:rsid w:val="00324785"/>
    <w:rPr>
      <w:rFonts w:ascii="Arial" w:eastAsiaTheme="majorEastAsia" w:hAnsi="Arial" w:cstheme="majorBidi"/>
      <w:iCs/>
      <w:color w:val="3F4A75"/>
      <w:spacing w:val="15"/>
      <w:sz w:val="40"/>
    </w:rPr>
  </w:style>
  <w:style w:type="paragraph" w:styleId="ListBullet">
    <w:name w:val="List Bullet"/>
    <w:basedOn w:val="Normal"/>
    <w:qFormat/>
    <w:rsid w:val="004D5FB4"/>
    <w:pPr>
      <w:numPr>
        <w:numId w:val="1"/>
      </w:numPr>
      <w:spacing w:before="60" w:after="60" w:line="240" w:lineRule="auto"/>
      <w:ind w:left="641" w:hanging="357"/>
    </w:pPr>
    <w:rPr>
      <w:rFonts w:ascii="Arial" w:eastAsia="Times New Roman" w:hAnsi="Arial"/>
    </w:rPr>
  </w:style>
  <w:style w:type="paragraph" w:customStyle="1" w:styleId="TableText">
    <w:name w:val="Table Text"/>
    <w:autoRedefine/>
    <w:qFormat/>
    <w:locked/>
    <w:rsid w:val="00095C56"/>
    <w:pPr>
      <w:numPr>
        <w:numId w:val="2"/>
      </w:numPr>
      <w:spacing w:before="60" w:after="60" w:line="240" w:lineRule="auto"/>
    </w:pPr>
    <w:rPr>
      <w:rFonts w:ascii="Arial" w:eastAsia="Times New Roman" w:hAnsi="Arial" w:cs="Arial"/>
      <w:color w:val="000000" w:themeColor="text1"/>
      <w:sz w:val="22"/>
      <w:szCs w:val="22"/>
    </w:rPr>
  </w:style>
  <w:style w:type="paragraph" w:customStyle="1" w:styleId="TableHeaderWhite">
    <w:name w:val="Table Header White"/>
    <w:basedOn w:val="Normal"/>
    <w:next w:val="TableText"/>
    <w:qFormat/>
    <w:rsid w:val="0053393D"/>
    <w:pPr>
      <w:spacing w:before="80" w:after="80" w:line="240" w:lineRule="auto"/>
    </w:pPr>
    <w:rPr>
      <w:rFonts w:ascii="Arial" w:eastAsia="Cambria" w:hAnsi="Arial"/>
      <w:color w:val="FFFFFF" w:themeColor="background1"/>
      <w:sz w:val="22"/>
      <w:szCs w:val="22"/>
      <w:lang w:val="en-US"/>
    </w:rPr>
  </w:style>
  <w:style w:type="table" w:customStyle="1" w:styleId="DepartmentofHealthtable">
    <w:name w:val="Department of Health table"/>
    <w:basedOn w:val="TableNormal"/>
    <w:uiPriority w:val="99"/>
    <w:rsid w:val="0053393D"/>
    <w:pPr>
      <w:spacing w:after="0" w:line="240" w:lineRule="auto"/>
    </w:pPr>
    <w:rPr>
      <w:rFonts w:ascii="Arial" w:eastAsia="Times New Roman" w:hAnsi="Arial"/>
      <w:color w:val="000000" w:themeColor="text1"/>
      <w:sz w:val="21"/>
      <w:szCs w:val="20"/>
      <w:lang w:eastAsia="en-AU"/>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
    <w:name w:val="Table title"/>
    <w:basedOn w:val="Normal"/>
    <w:rsid w:val="0053393D"/>
    <w:pPr>
      <w:spacing w:before="120" w:after="120" w:line="240" w:lineRule="auto"/>
    </w:pPr>
    <w:rPr>
      <w:rFonts w:ascii="Arial" w:eastAsia="Times New Roman" w:hAnsi="Arial"/>
      <w:b/>
      <w:bCs/>
      <w:color w:val="000000" w:themeColor="text1"/>
      <w:sz w:val="22"/>
      <w:szCs w:val="20"/>
    </w:rPr>
  </w:style>
  <w:style w:type="paragraph" w:styleId="Header">
    <w:name w:val="header"/>
    <w:basedOn w:val="Normal"/>
    <w:link w:val="HeaderChar"/>
    <w:uiPriority w:val="99"/>
    <w:unhideWhenUsed/>
    <w:rsid w:val="00A809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093E"/>
  </w:style>
  <w:style w:type="paragraph" w:styleId="Footer">
    <w:name w:val="footer"/>
    <w:basedOn w:val="Normal"/>
    <w:link w:val="FooterChar"/>
    <w:uiPriority w:val="99"/>
    <w:unhideWhenUsed/>
    <w:rsid w:val="00A809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93E"/>
  </w:style>
  <w:style w:type="character" w:styleId="Hyperlink">
    <w:name w:val="Hyperlink"/>
    <w:basedOn w:val="DefaultParagraphFont"/>
    <w:uiPriority w:val="99"/>
    <w:unhideWhenUsed/>
    <w:rsid w:val="00CF3F18"/>
    <w:rPr>
      <w:color w:val="0563C1" w:themeColor="hyperlink"/>
      <w:u w:val="single"/>
    </w:rPr>
  </w:style>
  <w:style w:type="paragraph" w:styleId="Caption">
    <w:name w:val="caption"/>
    <w:basedOn w:val="Normal"/>
    <w:next w:val="Normal"/>
    <w:unhideWhenUsed/>
    <w:rsid w:val="00095C56"/>
    <w:pPr>
      <w:spacing w:before="120" w:after="120" w:line="240" w:lineRule="auto"/>
    </w:pPr>
    <w:rPr>
      <w:rFonts w:ascii="Arial" w:eastAsia="Times New Roman" w:hAnsi="Arial"/>
      <w:iCs/>
      <w:color w:val="44546A" w:themeColor="text2"/>
      <w:sz w:val="20"/>
      <w:szCs w:val="18"/>
    </w:rPr>
  </w:style>
  <w:style w:type="paragraph" w:styleId="ListParagraph">
    <w:name w:val="List Paragraph"/>
    <w:basedOn w:val="Normal"/>
    <w:uiPriority w:val="34"/>
    <w:qFormat/>
    <w:rsid w:val="00095C56"/>
    <w:pPr>
      <w:ind w:left="720"/>
      <w:contextualSpacing/>
    </w:pPr>
  </w:style>
  <w:style w:type="paragraph" w:styleId="Title">
    <w:name w:val="Title"/>
    <w:basedOn w:val="Heading1"/>
    <w:next w:val="Normal"/>
    <w:link w:val="TitleChar"/>
    <w:uiPriority w:val="10"/>
    <w:qFormat/>
    <w:rsid w:val="00783AAE"/>
    <w:pPr>
      <w:spacing w:before="120" w:after="120" w:line="283" w:lineRule="auto"/>
      <w:ind w:right="340"/>
    </w:pPr>
    <w:rPr>
      <w:b/>
      <w:sz w:val="60"/>
    </w:rPr>
  </w:style>
  <w:style w:type="character" w:customStyle="1" w:styleId="TitleChar">
    <w:name w:val="Title Char"/>
    <w:basedOn w:val="DefaultParagraphFont"/>
    <w:link w:val="Title"/>
    <w:uiPriority w:val="10"/>
    <w:rsid w:val="00783AAE"/>
    <w:rPr>
      <w:rFonts w:ascii="Arial" w:eastAsia="Times New Roman" w:hAnsi="Arial" w:cs="Arial"/>
      <w:b/>
      <w:bCs/>
      <w:color w:val="3F4A75"/>
      <w:kern w:val="28"/>
      <w:sz w:val="60"/>
      <w:szCs w:val="36"/>
    </w:rPr>
  </w:style>
  <w:style w:type="character" w:styleId="Strong">
    <w:name w:val="Strong"/>
    <w:basedOn w:val="DefaultParagraphFont"/>
    <w:uiPriority w:val="22"/>
    <w:qFormat/>
    <w:rsid w:val="00200477"/>
    <w:rPr>
      <w:b/>
      <w:bCs/>
    </w:rPr>
  </w:style>
  <w:style w:type="paragraph" w:styleId="BalloonText">
    <w:name w:val="Balloon Text"/>
    <w:basedOn w:val="Normal"/>
    <w:link w:val="BalloonTextChar"/>
    <w:uiPriority w:val="99"/>
    <w:semiHidden/>
    <w:unhideWhenUsed/>
    <w:rsid w:val="00077A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AF4"/>
    <w:rPr>
      <w:rFonts w:ascii="Segoe UI" w:hAnsi="Segoe UI" w:cs="Segoe UI"/>
      <w:sz w:val="18"/>
      <w:szCs w:val="18"/>
    </w:rPr>
  </w:style>
  <w:style w:type="paragraph" w:customStyle="1" w:styleId="legcomeasuredot">
    <w:name w:val="legcomeasuredot"/>
    <w:basedOn w:val="Normal"/>
    <w:rsid w:val="00542959"/>
    <w:pPr>
      <w:numPr>
        <w:numId w:val="4"/>
      </w:numPr>
      <w:tabs>
        <w:tab w:val="left" w:pos="794"/>
      </w:tabs>
      <w:spacing w:after="0" w:line="240" w:lineRule="auto"/>
    </w:pPr>
    <w:rPr>
      <w:rFonts w:eastAsia="Times New Roman"/>
      <w:szCs w:val="20"/>
      <w:lang w:eastAsia="en-AU"/>
    </w:rPr>
  </w:style>
  <w:style w:type="character" w:customStyle="1" w:styleId="Heading3Char">
    <w:name w:val="Heading 3 Char"/>
    <w:basedOn w:val="DefaultParagraphFont"/>
    <w:link w:val="Heading3"/>
    <w:uiPriority w:val="9"/>
    <w:rsid w:val="009232A4"/>
    <w:rPr>
      <w:rFonts w:asciiTheme="majorHAnsi" w:eastAsiaTheme="majorEastAsia" w:hAnsiTheme="majorHAnsi" w:cstheme="majorBidi"/>
      <w:color w:val="1F4D78" w:themeColor="accent1" w:themeShade="7F"/>
    </w:rPr>
  </w:style>
  <w:style w:type="character" w:styleId="CommentReference">
    <w:name w:val="annotation reference"/>
    <w:basedOn w:val="DefaultParagraphFont"/>
    <w:uiPriority w:val="99"/>
    <w:semiHidden/>
    <w:unhideWhenUsed/>
    <w:rsid w:val="009232A4"/>
    <w:rPr>
      <w:sz w:val="16"/>
      <w:szCs w:val="16"/>
    </w:rPr>
  </w:style>
  <w:style w:type="paragraph" w:styleId="CommentText">
    <w:name w:val="annotation text"/>
    <w:basedOn w:val="Normal"/>
    <w:link w:val="CommentTextChar"/>
    <w:uiPriority w:val="99"/>
    <w:unhideWhenUsed/>
    <w:rsid w:val="009232A4"/>
    <w:pPr>
      <w:spacing w:line="240" w:lineRule="auto"/>
    </w:pPr>
    <w:rPr>
      <w:sz w:val="20"/>
      <w:szCs w:val="20"/>
    </w:rPr>
  </w:style>
  <w:style w:type="character" w:customStyle="1" w:styleId="CommentTextChar">
    <w:name w:val="Comment Text Char"/>
    <w:basedOn w:val="DefaultParagraphFont"/>
    <w:link w:val="CommentText"/>
    <w:uiPriority w:val="99"/>
    <w:rsid w:val="009232A4"/>
    <w:rPr>
      <w:sz w:val="20"/>
      <w:szCs w:val="20"/>
    </w:rPr>
  </w:style>
  <w:style w:type="paragraph" w:styleId="CommentSubject">
    <w:name w:val="annotation subject"/>
    <w:basedOn w:val="CommentText"/>
    <w:next w:val="CommentText"/>
    <w:link w:val="CommentSubjectChar"/>
    <w:uiPriority w:val="99"/>
    <w:semiHidden/>
    <w:unhideWhenUsed/>
    <w:rsid w:val="009232A4"/>
    <w:rPr>
      <w:b/>
      <w:bCs/>
    </w:rPr>
  </w:style>
  <w:style w:type="character" w:customStyle="1" w:styleId="CommentSubjectChar">
    <w:name w:val="Comment Subject Char"/>
    <w:basedOn w:val="CommentTextChar"/>
    <w:link w:val="CommentSubject"/>
    <w:uiPriority w:val="99"/>
    <w:semiHidden/>
    <w:rsid w:val="009232A4"/>
    <w:rPr>
      <w:b/>
      <w:bCs/>
      <w:sz w:val="20"/>
      <w:szCs w:val="20"/>
    </w:rPr>
  </w:style>
  <w:style w:type="paragraph" w:customStyle="1" w:styleId="paragraph">
    <w:name w:val="paragraph"/>
    <w:aliases w:val="a"/>
    <w:basedOn w:val="Normal"/>
    <w:link w:val="paragraphChar"/>
    <w:rsid w:val="00BE0EC8"/>
    <w:pPr>
      <w:tabs>
        <w:tab w:val="right" w:pos="1531"/>
      </w:tabs>
      <w:spacing w:before="40" w:after="0" w:line="240" w:lineRule="auto"/>
      <w:ind w:left="1644" w:hanging="1644"/>
    </w:pPr>
    <w:rPr>
      <w:rFonts w:eastAsia="Times New Roman"/>
      <w:sz w:val="22"/>
      <w:szCs w:val="20"/>
      <w:lang w:eastAsia="en-AU"/>
    </w:rPr>
  </w:style>
  <w:style w:type="character" w:customStyle="1" w:styleId="paragraphChar">
    <w:name w:val="paragraph Char"/>
    <w:aliases w:val="a Char"/>
    <w:link w:val="paragraph"/>
    <w:rsid w:val="00BE0EC8"/>
    <w:rPr>
      <w:rFonts w:eastAsia="Times New Roman"/>
      <w:sz w:val="22"/>
      <w:szCs w:val="20"/>
      <w:lang w:eastAsia="en-AU"/>
    </w:rPr>
  </w:style>
  <w:style w:type="paragraph" w:customStyle="1" w:styleId="subsection">
    <w:name w:val="subsection"/>
    <w:aliases w:val="ss,Subsection"/>
    <w:basedOn w:val="Normal"/>
    <w:link w:val="subsectionChar"/>
    <w:rsid w:val="00BE0EC8"/>
    <w:pPr>
      <w:tabs>
        <w:tab w:val="right" w:pos="1021"/>
      </w:tabs>
      <w:spacing w:before="180" w:after="0" w:line="240" w:lineRule="auto"/>
      <w:ind w:left="1134" w:hanging="1134"/>
    </w:pPr>
    <w:rPr>
      <w:rFonts w:eastAsia="Times New Roman"/>
      <w:sz w:val="22"/>
      <w:szCs w:val="20"/>
      <w:lang w:eastAsia="en-AU"/>
    </w:rPr>
  </w:style>
  <w:style w:type="character" w:customStyle="1" w:styleId="subsectionChar">
    <w:name w:val="subsection Char"/>
    <w:aliases w:val="ss Char"/>
    <w:link w:val="subsection"/>
    <w:locked/>
    <w:rsid w:val="00BE0EC8"/>
    <w:rPr>
      <w:rFonts w:eastAsia="Times New Roman"/>
      <w:sz w:val="22"/>
      <w:szCs w:val="20"/>
      <w:lang w:eastAsia="en-AU"/>
    </w:rPr>
  </w:style>
  <w:style w:type="paragraph" w:customStyle="1" w:styleId="subsection2">
    <w:name w:val="subsection2"/>
    <w:aliases w:val="ss2"/>
    <w:basedOn w:val="Normal"/>
    <w:next w:val="Normal"/>
    <w:rsid w:val="00BE0EC8"/>
    <w:pPr>
      <w:spacing w:before="40" w:after="0" w:line="240" w:lineRule="auto"/>
      <w:ind w:left="1134"/>
    </w:pPr>
    <w:rPr>
      <w:rFonts w:eastAsia="Times New Roman"/>
      <w:sz w:val="22"/>
      <w:szCs w:val="20"/>
      <w:lang w:eastAsia="en-AU"/>
    </w:rPr>
  </w:style>
  <w:style w:type="paragraph" w:styleId="NormalWeb">
    <w:name w:val="Normal (Web)"/>
    <w:basedOn w:val="Normal"/>
    <w:uiPriority w:val="99"/>
    <w:semiHidden/>
    <w:unhideWhenUsed/>
    <w:rsid w:val="00BE0EC8"/>
    <w:pPr>
      <w:spacing w:before="100" w:beforeAutospacing="1" w:after="100" w:afterAutospacing="1" w:line="240" w:lineRule="auto"/>
    </w:pPr>
    <w:rPr>
      <w:rFonts w:eastAsia="Times New Roman"/>
      <w:lang w:eastAsia="en-AU"/>
    </w:rPr>
  </w:style>
  <w:style w:type="character" w:customStyle="1" w:styleId="normaltextrun">
    <w:name w:val="normaltextrun"/>
    <w:basedOn w:val="DefaultParagraphFont"/>
    <w:rsid w:val="007078EC"/>
  </w:style>
  <w:style w:type="character" w:styleId="UnresolvedMention">
    <w:name w:val="Unresolved Mention"/>
    <w:basedOn w:val="DefaultParagraphFont"/>
    <w:uiPriority w:val="99"/>
    <w:semiHidden/>
    <w:unhideWhenUsed/>
    <w:rsid w:val="00BA0C53"/>
    <w:rPr>
      <w:color w:val="605E5C"/>
      <w:shd w:val="clear" w:color="auto" w:fill="E1DFDD"/>
    </w:rPr>
  </w:style>
  <w:style w:type="character" w:styleId="FollowedHyperlink">
    <w:name w:val="FollowedHyperlink"/>
    <w:basedOn w:val="DefaultParagraphFont"/>
    <w:uiPriority w:val="99"/>
    <w:semiHidden/>
    <w:unhideWhenUsed/>
    <w:rsid w:val="004B175A"/>
    <w:rPr>
      <w:color w:val="954F72" w:themeColor="followedHyperlink"/>
      <w:u w:val="single"/>
    </w:rPr>
  </w:style>
  <w:style w:type="paragraph" w:styleId="BodyText">
    <w:name w:val="Body Text"/>
    <w:basedOn w:val="Normal"/>
    <w:link w:val="BodyTextChar"/>
    <w:uiPriority w:val="1"/>
    <w:qFormat/>
    <w:rsid w:val="000E6CD6"/>
    <w:pPr>
      <w:widowControl w:val="0"/>
      <w:autoSpaceDE w:val="0"/>
      <w:autoSpaceDN w:val="0"/>
      <w:spacing w:before="119" w:after="0" w:line="240" w:lineRule="auto"/>
      <w:ind w:left="720"/>
    </w:pPr>
    <w:rPr>
      <w:rFonts w:ascii="Segoe UI" w:eastAsia="Segoe UI" w:hAnsi="Segoe UI" w:cs="Segoe UI"/>
      <w:sz w:val="22"/>
      <w:szCs w:val="22"/>
      <w:lang w:val="en-US"/>
    </w:rPr>
  </w:style>
  <w:style w:type="character" w:customStyle="1" w:styleId="BodyTextChar">
    <w:name w:val="Body Text Char"/>
    <w:basedOn w:val="DefaultParagraphFont"/>
    <w:link w:val="BodyText"/>
    <w:uiPriority w:val="1"/>
    <w:rsid w:val="000E6CD6"/>
    <w:rPr>
      <w:rFonts w:ascii="Segoe UI" w:eastAsia="Segoe UI" w:hAnsi="Segoe UI" w:cs="Segoe UI"/>
      <w:sz w:val="22"/>
      <w:szCs w:val="22"/>
      <w:lang w:val="en-US"/>
    </w:rPr>
  </w:style>
  <w:style w:type="paragraph" w:styleId="Revision">
    <w:name w:val="Revision"/>
    <w:hidden/>
    <w:uiPriority w:val="99"/>
    <w:semiHidden/>
    <w:rsid w:val="002F0759"/>
    <w:pPr>
      <w:spacing w:after="0" w:line="240" w:lineRule="auto"/>
    </w:pPr>
  </w:style>
  <w:style w:type="paragraph" w:styleId="ListBullet2">
    <w:name w:val="List Bullet 2"/>
    <w:basedOn w:val="Normal"/>
    <w:uiPriority w:val="99"/>
    <w:unhideWhenUsed/>
    <w:rsid w:val="004D5FB4"/>
    <w:pPr>
      <w:numPr>
        <w:numId w:val="11"/>
      </w:numPr>
      <w:tabs>
        <w:tab w:val="clear" w:pos="643"/>
      </w:tabs>
      <w:ind w:left="641" w:hanging="357"/>
      <w:contextualSpacing/>
    </w:pPr>
    <w:rPr>
      <w:rFonts w:ascii="Arial" w:hAnsi="Arial"/>
      <w:color w:val="44546A"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873066">
      <w:bodyDiv w:val="1"/>
      <w:marLeft w:val="0"/>
      <w:marRight w:val="0"/>
      <w:marTop w:val="0"/>
      <w:marBottom w:val="0"/>
      <w:divBdr>
        <w:top w:val="none" w:sz="0" w:space="0" w:color="auto"/>
        <w:left w:val="none" w:sz="0" w:space="0" w:color="auto"/>
        <w:bottom w:val="none" w:sz="0" w:space="0" w:color="auto"/>
        <w:right w:val="none" w:sz="0" w:space="0" w:color="auto"/>
      </w:divBdr>
    </w:div>
    <w:div w:id="904339483">
      <w:bodyDiv w:val="1"/>
      <w:marLeft w:val="0"/>
      <w:marRight w:val="0"/>
      <w:marTop w:val="0"/>
      <w:marBottom w:val="0"/>
      <w:divBdr>
        <w:top w:val="none" w:sz="0" w:space="0" w:color="auto"/>
        <w:left w:val="none" w:sz="0" w:space="0" w:color="auto"/>
        <w:bottom w:val="none" w:sz="0" w:space="0" w:color="auto"/>
        <w:right w:val="none" w:sz="0" w:space="0" w:color="auto"/>
      </w:divBdr>
    </w:div>
    <w:div w:id="1123889027">
      <w:bodyDiv w:val="1"/>
      <w:marLeft w:val="0"/>
      <w:marRight w:val="0"/>
      <w:marTop w:val="0"/>
      <w:marBottom w:val="0"/>
      <w:divBdr>
        <w:top w:val="none" w:sz="0" w:space="0" w:color="auto"/>
        <w:left w:val="none" w:sz="0" w:space="0" w:color="auto"/>
        <w:bottom w:val="none" w:sz="0" w:space="0" w:color="auto"/>
        <w:right w:val="none" w:sz="0" w:space="0" w:color="auto"/>
      </w:divBdr>
    </w:div>
    <w:div w:id="179595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gedcarequality.gov.au/older-australians/safety-care/minimising-restrictive-practic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health.gov.au/health-topics/aged-care/providing-aged-care-services/working-in-aged-care/minimising-restrictive-practices-in-aged-car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C328AABD4C8E49883AF7DD40DD7927" ma:contentTypeVersion="13" ma:contentTypeDescription="Create a new document." ma:contentTypeScope="" ma:versionID="4d93b01fb2b4b2d4516a2e450971892b">
  <xsd:schema xmlns:xsd="http://www.w3.org/2001/XMLSchema" xmlns:xs="http://www.w3.org/2001/XMLSchema" xmlns:p="http://schemas.microsoft.com/office/2006/metadata/properties" xmlns:ns2="b216a581-5805-4dcc-9065-78091fa30ad6" xmlns:ns3="988f68dd-21f3-4c56-9965-1d76ba918335" targetNamespace="http://schemas.microsoft.com/office/2006/metadata/properties" ma:root="true" ma:fieldsID="918b62d7eb3218bcfb9ae72461ecec56" ns2:_="" ns3:_="">
    <xsd:import namespace="b216a581-5805-4dcc-9065-78091fa30ad6"/>
    <xsd:import namespace="988f68dd-21f3-4c56-9965-1d76ba9183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6a581-5805-4dcc-9065-78091fa30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8f68dd-21f3-4c56-9965-1d76ba9183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fada25e-7b18-4e0e-a742-db2555da92f1}" ma:internalName="TaxCatchAll" ma:showField="CatchAllData" ma:web="988f68dd-21f3-4c56-9965-1d76ba918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16a581-5805-4dcc-9065-78091fa30ad6">
      <Terms xmlns="http://schemas.microsoft.com/office/infopath/2007/PartnerControls"/>
    </lcf76f155ced4ddcb4097134ff3c332f>
    <TaxCatchAll xmlns="988f68dd-21f3-4c56-9965-1d76ba918335" xsi:nil="true"/>
  </documentManagement>
</p:properties>
</file>

<file path=customXml/itemProps1.xml><?xml version="1.0" encoding="utf-8"?>
<ds:datastoreItem xmlns:ds="http://schemas.openxmlformats.org/officeDocument/2006/customXml" ds:itemID="{35D4BDFF-B382-4BBC-BAFD-FE73DAB09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6a581-5805-4dcc-9065-78091fa30ad6"/>
    <ds:schemaRef ds:uri="988f68dd-21f3-4c56-9965-1d76ba918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B4E087-6325-41AE-A98D-3E42796A9C28}">
  <ds:schemaRefs>
    <ds:schemaRef ds:uri="http://schemas.microsoft.com/sharepoint/v3/contenttype/forms"/>
  </ds:schemaRefs>
</ds:datastoreItem>
</file>

<file path=customXml/itemProps3.xml><?xml version="1.0" encoding="utf-8"?>
<ds:datastoreItem xmlns:ds="http://schemas.openxmlformats.org/officeDocument/2006/customXml" ds:itemID="{6634AEA9-2A66-482A-B05F-E79E6787B609}">
  <ds:schemaRefs>
    <ds:schemaRef ds:uri="http://purl.org/dc/terms/"/>
    <ds:schemaRef ds:uri="http://purl.org/dc/elements/1.1/"/>
    <ds:schemaRef ds:uri="http://schemas.microsoft.com/office/2006/metadata/properties"/>
    <ds:schemaRef ds:uri="988f68dd-21f3-4c56-9965-1d76ba918335"/>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b216a581-5805-4dcc-9065-78091fa30ad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1187</Words>
  <Characters>6521</Characters>
  <Application>Microsoft Office Word</Application>
  <DocSecurity>0</DocSecurity>
  <Lines>141</Lines>
  <Paragraphs>93</Paragraphs>
  <ScaleCrop>false</ScaleCrop>
  <HeadingPairs>
    <vt:vector size="2" baseType="variant">
      <vt:variant>
        <vt:lpstr>Title</vt:lpstr>
      </vt:variant>
      <vt:variant>
        <vt:i4>1</vt:i4>
      </vt:variant>
    </vt:vector>
  </HeadingPairs>
  <TitlesOfParts>
    <vt:vector size="1" baseType="lpstr">
      <vt:lpstr>Restrictive Practice use in residential aged care fact sheet – Types of restrictive practices</vt:lpstr>
    </vt:vector>
  </TitlesOfParts>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Restrictive Practice use in residential aged care fact sheet – Types of restrictive practices</dc:title>
  <dc:subject>Aged care</dc:subject>
  <dc:creator>Australian Government Department of Health, Disability and Ageing</dc:creator>
  <cp:keywords>aged care; restrictive practices; residential aged care</cp:keywords>
  <dc:description/>
  <cp:lastModifiedBy>MASCHKE, Elvia</cp:lastModifiedBy>
  <cp:revision>2</cp:revision>
  <dcterms:created xsi:type="dcterms:W3CDTF">2026-02-11T22:46:00Z</dcterms:created>
  <dcterms:modified xsi:type="dcterms:W3CDTF">2026-02-11T22:46:00Z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0x010100F3C328AABD4C8E49883AF7DD40DD7927</vt:lpwstr>
  </property>
  <property fmtid="{D5CDD505-2E9C-101B-9397-08002B2CF9AE}" pid="3" name="ClassificationContentMarkingHeaderShapeIds">
    <vt:lpwstr>2244b661,2dba9dd6,7e9d7dd8</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54f3bc9a,637b71e1,78d01d71</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ediaServiceImageTags">
    <vt:lpwstr/>
  </property>
  <property fmtid="{D5CDD505-2E9C-101B-9397-08002B2CF9AE}" pid="10" name="MSIP_Label_7cd3e8b9-ffed-43a8-b7f4-cc2fa0382d36_Enabled">
    <vt:lpwstr>true</vt:lpwstr>
  </property>
  <property fmtid="{D5CDD505-2E9C-101B-9397-08002B2CF9AE}" pid="11" name="MSIP_Label_7cd3e8b9-ffed-43a8-b7f4-cc2fa0382d36_SetDate">
    <vt:lpwstr>2026-02-04T05:03:29Z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e3e43d2a-4ec9-45a5-a998-ba0b57f8e57d</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