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B627" w14:textId="1D6E5384" w:rsidR="00751A23" w:rsidRDefault="009214DA" w:rsidP="00751A23">
      <w:pPr>
        <w:pStyle w:val="Title"/>
      </w:pPr>
      <w:r>
        <w:t>Spinal cord stimulator p</w:t>
      </w:r>
      <w:r w:rsidR="006939FF">
        <w:t xml:space="preserve">ost-listing review </w:t>
      </w:r>
    </w:p>
    <w:p w14:paraId="0685F9D6" w14:textId="0B70C0B1" w:rsidR="00751A23" w:rsidRDefault="00191FEC" w:rsidP="00AE3FEC">
      <w:pPr>
        <w:pStyle w:val="Subtitle"/>
        <w:sectPr w:rsidR="00751A23"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r>
        <w:t xml:space="preserve">DRAFT </w:t>
      </w:r>
      <w:r w:rsidR="003A404F">
        <w:t>Department</w:t>
      </w:r>
      <w:r w:rsidR="00FB1CCD">
        <w:t xml:space="preserve"> </w:t>
      </w:r>
      <w:r w:rsidR="009E4FA0">
        <w:t xml:space="preserve">report </w:t>
      </w:r>
      <w:r w:rsidR="00915656">
        <w:t>–</w:t>
      </w:r>
      <w:r w:rsidR="00587AEB">
        <w:t xml:space="preserve"> </w:t>
      </w:r>
      <w:r w:rsidR="004F5848">
        <w:t>February</w:t>
      </w:r>
      <w:r w:rsidR="00915656">
        <w:t xml:space="preserve"> 2026</w:t>
      </w:r>
    </w:p>
    <w:p w14:paraId="13B10C95" w14:textId="13643990" w:rsidR="00CA4BE3" w:rsidRPr="00CA4BE3" w:rsidRDefault="006939FF" w:rsidP="00900B0D">
      <w:pPr>
        <w:pStyle w:val="Heading1"/>
      </w:pPr>
      <w:r>
        <w:lastRenderedPageBreak/>
        <w:t>Purpose</w:t>
      </w:r>
    </w:p>
    <w:p w14:paraId="7652A9D4" w14:textId="1BE7BF8D" w:rsidR="002F0FC4" w:rsidRDefault="002F0FC4" w:rsidP="009417CD">
      <w:r>
        <w:t>The purpose of the spinal cord stimulator</w:t>
      </w:r>
      <w:r w:rsidR="004F24B6">
        <w:t xml:space="preserve"> </w:t>
      </w:r>
      <w:r w:rsidR="003C73D7">
        <w:t xml:space="preserve">(SCS) </w:t>
      </w:r>
      <w:r w:rsidR="004F24B6">
        <w:t>post-listing review</w:t>
      </w:r>
      <w:r>
        <w:t xml:space="preserve"> </w:t>
      </w:r>
      <w:r w:rsidR="00972E7B">
        <w:t>was</w:t>
      </w:r>
      <w:r w:rsidR="004F24B6">
        <w:t xml:space="preserve"> to determine </w:t>
      </w:r>
      <w:r w:rsidR="00E72CFC">
        <w:t xml:space="preserve">if </w:t>
      </w:r>
      <w:r>
        <w:t xml:space="preserve">the benefits </w:t>
      </w:r>
      <w:r w:rsidR="00E72CFC">
        <w:t xml:space="preserve">for devices </w:t>
      </w:r>
      <w:r w:rsidR="00CE142A">
        <w:t xml:space="preserve">in the </w:t>
      </w:r>
      <w:r w:rsidR="00972E7B" w:rsidRPr="00655E4F">
        <w:t>s</w:t>
      </w:r>
      <w:r w:rsidR="00CE142A" w:rsidRPr="00655E4F">
        <w:t>ub</w:t>
      </w:r>
      <w:r w:rsidR="00972E7B" w:rsidRPr="00655E4F">
        <w:t>c</w:t>
      </w:r>
      <w:r w:rsidR="00CE142A" w:rsidRPr="00655E4F">
        <w:t xml:space="preserve">ategory </w:t>
      </w:r>
      <w:r w:rsidR="00CE142A" w:rsidRPr="009417CD">
        <w:rPr>
          <w:rStyle w:val="Emphasis"/>
        </w:rPr>
        <w:t xml:space="preserve">04.05 </w:t>
      </w:r>
      <w:r w:rsidR="000662E5" w:rsidRPr="009417CD">
        <w:rPr>
          <w:rStyle w:val="Emphasis"/>
        </w:rPr>
        <w:t xml:space="preserve">- </w:t>
      </w:r>
      <w:r w:rsidR="00CE142A" w:rsidRPr="009417CD">
        <w:rPr>
          <w:rStyle w:val="Emphasis"/>
        </w:rPr>
        <w:t>Neurostimulation therapies for pain management</w:t>
      </w:r>
      <w:r w:rsidR="00CE142A">
        <w:t xml:space="preserve"> represent </w:t>
      </w:r>
      <w:r>
        <w:t>comparative clinical and cost effectiveness</w:t>
      </w:r>
      <w:r w:rsidR="009D4FA6">
        <w:t>.</w:t>
      </w:r>
    </w:p>
    <w:p w14:paraId="7390D05F" w14:textId="3D5B1384" w:rsidR="00CA4BE3" w:rsidRDefault="006939FF" w:rsidP="009417CD">
      <w:r>
        <w:t xml:space="preserve">The purpose of </w:t>
      </w:r>
      <w:r w:rsidR="0011418B">
        <w:t xml:space="preserve">the draft department </w:t>
      </w:r>
      <w:r w:rsidR="005C65F5">
        <w:t>report</w:t>
      </w:r>
      <w:r>
        <w:t xml:space="preserve"> is </w:t>
      </w:r>
      <w:r w:rsidR="00EA1FFE">
        <w:t xml:space="preserve">to </w:t>
      </w:r>
      <w:r w:rsidR="00411F9B">
        <w:t>summar</w:t>
      </w:r>
      <w:r w:rsidR="006F7B26">
        <w:t>ise</w:t>
      </w:r>
      <w:r w:rsidR="00411F9B">
        <w:t xml:space="preserve"> the </w:t>
      </w:r>
      <w:r w:rsidR="000036EE">
        <w:t xml:space="preserve">review process </w:t>
      </w:r>
      <w:r w:rsidR="00D63CA7">
        <w:t xml:space="preserve">to date </w:t>
      </w:r>
      <w:r w:rsidR="000036EE">
        <w:t xml:space="preserve">and </w:t>
      </w:r>
      <w:r w:rsidR="00D63CA7">
        <w:t xml:space="preserve">outline the </w:t>
      </w:r>
      <w:r w:rsidR="000036EE">
        <w:t>proposed recommendations</w:t>
      </w:r>
      <w:r w:rsidR="00D63CA7">
        <w:t xml:space="preserve">. </w:t>
      </w:r>
      <w:r w:rsidR="00915656">
        <w:t xml:space="preserve">The report is provided as a draft for stakeholder feedback on the proposed recommendations. The department will consider all stakeholder feedback before finalising the recommendations for </w:t>
      </w:r>
      <w:r w:rsidR="000036EE">
        <w:t xml:space="preserve">delegate decision. </w:t>
      </w:r>
    </w:p>
    <w:p w14:paraId="156E96BD" w14:textId="3C1A7DE6" w:rsidR="00CA4BE3" w:rsidRPr="00CA4BE3" w:rsidRDefault="006939FF" w:rsidP="00900B0D">
      <w:pPr>
        <w:pStyle w:val="Heading1"/>
      </w:pPr>
      <w:r>
        <w:t>Background</w:t>
      </w:r>
    </w:p>
    <w:p w14:paraId="4C9025FE" w14:textId="0C568B12" w:rsidR="00677CC8" w:rsidRDefault="00677CC8" w:rsidP="009417CD">
      <w:bookmarkStart w:id="0" w:name="_Hlk85795649"/>
      <w:r w:rsidRPr="00DC1977">
        <w:t xml:space="preserve">In the 2021-22 Federal Budget, the Australian Government announced an investment of $22 million over four years to improve the </w:t>
      </w:r>
      <w:r w:rsidR="00915656" w:rsidRPr="00DC1977">
        <w:t>P</w:t>
      </w:r>
      <w:r w:rsidR="00915656">
        <w:t xml:space="preserve">rescribed </w:t>
      </w:r>
      <w:r w:rsidRPr="00DC1977">
        <w:t>L</w:t>
      </w:r>
      <w:r w:rsidR="00915656">
        <w:t>ist</w:t>
      </w:r>
      <w:r w:rsidRPr="00DC1977">
        <w:t xml:space="preserve"> </w:t>
      </w:r>
      <w:r w:rsidR="00F97703">
        <w:t xml:space="preserve">(PL) </w:t>
      </w:r>
      <w:r w:rsidRPr="00DC1977">
        <w:t xml:space="preserve">and its arrangements. </w:t>
      </w:r>
      <w:r>
        <w:t>A process for formalised post-listing reviews was introduced as part of the reforms</w:t>
      </w:r>
      <w:r w:rsidR="000C717A">
        <w:t xml:space="preserve">. </w:t>
      </w:r>
      <w:r w:rsidR="000C717A" w:rsidRPr="000C717A">
        <w:t xml:space="preserve">Post-listing reviews of devices on the PL </w:t>
      </w:r>
      <w:r w:rsidR="0037250F">
        <w:t>help ensure</w:t>
      </w:r>
      <w:r w:rsidR="000C717A" w:rsidRPr="000C717A">
        <w:t xml:space="preserve"> that Australians, with relevant health insurance cover, continue to have access to appropriate</w:t>
      </w:r>
      <w:r w:rsidR="0037250F">
        <w:t>,</w:t>
      </w:r>
      <w:r w:rsidR="000C717A" w:rsidRPr="000C717A">
        <w:t xml:space="preserve"> clinically effective devices that meet their healthcare needs.</w:t>
      </w:r>
    </w:p>
    <w:p w14:paraId="260B7F26" w14:textId="0A50A03A" w:rsidR="0047225D" w:rsidRDefault="000D7E80" w:rsidP="009417CD">
      <w:r>
        <w:t xml:space="preserve">The </w:t>
      </w:r>
      <w:hyperlink r:id="rId16" w:history="1">
        <w:r w:rsidRPr="000D7E80">
          <w:rPr>
            <w:rStyle w:val="Hyperlink"/>
          </w:rPr>
          <w:t>p</w:t>
        </w:r>
        <w:r w:rsidR="004378B7" w:rsidRPr="000D7E80">
          <w:rPr>
            <w:rStyle w:val="Hyperlink"/>
          </w:rPr>
          <w:t>ost listing review framework</w:t>
        </w:r>
      </w:hyperlink>
      <w:r w:rsidR="004378B7">
        <w:t xml:space="preserve"> was first published online in June 2022. The framework </w:t>
      </w:r>
      <w:r w:rsidR="004378B7" w:rsidRPr="004378B7">
        <w:t>promote</w:t>
      </w:r>
      <w:r w:rsidR="004378B7">
        <w:t>s</w:t>
      </w:r>
      <w:r w:rsidR="004378B7" w:rsidRPr="004378B7">
        <w:t xml:space="preserve"> a consistent approach </w:t>
      </w:r>
      <w:r w:rsidR="004378B7">
        <w:t>to</w:t>
      </w:r>
      <w:r w:rsidR="004378B7" w:rsidRPr="004378B7">
        <w:t xml:space="preserve"> </w:t>
      </w:r>
      <w:r w:rsidR="004378B7">
        <w:t xml:space="preserve">each </w:t>
      </w:r>
      <w:r w:rsidR="004378B7" w:rsidRPr="004378B7">
        <w:t>review while providing flexibility to accommodate different review requirements.</w:t>
      </w:r>
      <w:r w:rsidR="004378B7">
        <w:t xml:space="preserve"> </w:t>
      </w:r>
      <w:r w:rsidR="008B798C">
        <w:t>SCS</w:t>
      </w:r>
      <w:r w:rsidR="001E3782">
        <w:t xml:space="preserve"> were identified as 1 of </w:t>
      </w:r>
      <w:r w:rsidR="00655E4F">
        <w:t xml:space="preserve">the </w:t>
      </w:r>
      <w:r w:rsidR="00333ECC">
        <w:t xml:space="preserve">4 topics </w:t>
      </w:r>
      <w:r w:rsidR="001E3782">
        <w:t>suitable</w:t>
      </w:r>
      <w:r w:rsidR="00D155B2">
        <w:t xml:space="preserve"> </w:t>
      </w:r>
      <w:r w:rsidR="00333ECC">
        <w:t xml:space="preserve">to pilot </w:t>
      </w:r>
      <w:r w:rsidR="004378B7">
        <w:t xml:space="preserve">a draft </w:t>
      </w:r>
      <w:r w:rsidR="001E3782">
        <w:t xml:space="preserve">post-listing review framework. </w:t>
      </w:r>
      <w:r w:rsidR="00655E4F">
        <w:t>R</w:t>
      </w:r>
      <w:r w:rsidR="0047225D">
        <w:t>eason</w:t>
      </w:r>
      <w:r w:rsidR="00333ECC">
        <w:t xml:space="preserve">s </w:t>
      </w:r>
      <w:r w:rsidR="0047225D">
        <w:t>include</w:t>
      </w:r>
      <w:r w:rsidR="00655E4F">
        <w:t>d</w:t>
      </w:r>
      <w:r w:rsidR="0047225D">
        <w:t>:</w:t>
      </w:r>
    </w:p>
    <w:p w14:paraId="509DAC29" w14:textId="1C2604FE" w:rsidR="0047225D" w:rsidRDefault="00CE21ED" w:rsidP="009417CD">
      <w:pPr>
        <w:pStyle w:val="ListBullet"/>
      </w:pPr>
      <w:r>
        <w:t xml:space="preserve">a </w:t>
      </w:r>
      <w:r w:rsidR="00677CC8">
        <w:t>review by Jones et al in 2022</w:t>
      </w:r>
      <w:r w:rsidR="00900B0D">
        <w:rPr>
          <w:rStyle w:val="FootnoteReference"/>
        </w:rPr>
        <w:footnoteReference w:id="2"/>
      </w:r>
      <w:r w:rsidR="00677CC8">
        <w:t xml:space="preserve"> raised </w:t>
      </w:r>
      <w:r w:rsidR="00523DCE">
        <w:t>concerns</w:t>
      </w:r>
      <w:r w:rsidR="00677CC8">
        <w:t xml:space="preserve"> about the long</w:t>
      </w:r>
      <w:r w:rsidR="00FC112F">
        <w:t>-</w:t>
      </w:r>
      <w:r w:rsidR="00677CC8">
        <w:t xml:space="preserve">term benefit and safety profile of </w:t>
      </w:r>
      <w:r>
        <w:t>SCS</w:t>
      </w:r>
    </w:p>
    <w:p w14:paraId="53C128CF" w14:textId="3D5B3506" w:rsidR="00677CC8" w:rsidRDefault="0047225D" w:rsidP="009417CD">
      <w:pPr>
        <w:pStyle w:val="ListBullet"/>
      </w:pPr>
      <w:r>
        <w:t xml:space="preserve">prior to being listed on the PL, SCS </w:t>
      </w:r>
      <w:r w:rsidR="00655E4F">
        <w:t>were not</w:t>
      </w:r>
      <w:r w:rsidR="00677CC8">
        <w:t xml:space="preserve"> assessed by the </w:t>
      </w:r>
      <w:r w:rsidR="00677CC8" w:rsidRPr="00CB347D">
        <w:t>Medical Services Advisory Committee (MSAC) or the Prostheses List Advisory Committee (PLAC)</w:t>
      </w:r>
      <w:r w:rsidR="00677CC8">
        <w:t xml:space="preserve"> (now the Medical Devices and Human Tissue Advisory Committee </w:t>
      </w:r>
      <w:r w:rsidR="00BB0AC8">
        <w:t>(</w:t>
      </w:r>
      <w:r w:rsidR="00677CC8">
        <w:t>MDHTAC</w:t>
      </w:r>
      <w:r w:rsidR="00BB0AC8">
        <w:t>)</w:t>
      </w:r>
      <w:r w:rsidR="00677CC8">
        <w:t>).</w:t>
      </w:r>
    </w:p>
    <w:p w14:paraId="48EA6757" w14:textId="753475A1" w:rsidR="009214DA" w:rsidRDefault="009214DA" w:rsidP="009214DA">
      <w:pPr>
        <w:pStyle w:val="Heading2"/>
      </w:pPr>
      <w:r>
        <w:t>Scope</w:t>
      </w:r>
    </w:p>
    <w:p w14:paraId="5BD415EA" w14:textId="36C496CE" w:rsidR="009214DA" w:rsidRPr="009214DA" w:rsidRDefault="009214DA" w:rsidP="009417CD">
      <w:r>
        <w:t xml:space="preserve">Devices in the </w:t>
      </w:r>
      <w:r w:rsidRPr="00655E4F">
        <w:t xml:space="preserve">subcategory </w:t>
      </w:r>
      <w:r w:rsidRPr="009417CD">
        <w:rPr>
          <w:rStyle w:val="Emphasis"/>
        </w:rPr>
        <w:t>04.05 - Neurostimulation therapies for pain management</w:t>
      </w:r>
      <w:r w:rsidR="009B3D5C" w:rsidRPr="009417CD">
        <w:rPr>
          <w:rStyle w:val="Emphasis"/>
        </w:rPr>
        <w:t>,</w:t>
      </w:r>
      <w:r w:rsidRPr="009417CD">
        <w:rPr>
          <w:rStyle w:val="Emphasis"/>
        </w:rPr>
        <w:t xml:space="preserve"> </w:t>
      </w:r>
      <w:r w:rsidR="009B3D5C">
        <w:t>e</w:t>
      </w:r>
      <w:r>
        <w:t>xcluding peripheral nerve stimulators</w:t>
      </w:r>
      <w:r w:rsidR="008E378F">
        <w:t>.</w:t>
      </w:r>
      <w:r>
        <w:t xml:space="preserve"> </w:t>
      </w:r>
    </w:p>
    <w:p w14:paraId="6D83E129" w14:textId="3BAFA702" w:rsidR="0047225D" w:rsidRDefault="0047225D" w:rsidP="00900B0D">
      <w:pPr>
        <w:pStyle w:val="Heading2"/>
      </w:pPr>
      <w:r>
        <w:t>TGA review</w:t>
      </w:r>
    </w:p>
    <w:p w14:paraId="26904539" w14:textId="203408AE" w:rsidR="00D155B2" w:rsidRDefault="00CE142A" w:rsidP="009417CD">
      <w:r>
        <w:t xml:space="preserve">The </w:t>
      </w:r>
      <w:r w:rsidR="00EC57AF">
        <w:t>Therapeutic</w:t>
      </w:r>
      <w:r>
        <w:t xml:space="preserve"> Goods Administration </w:t>
      </w:r>
      <w:r w:rsidR="003C73D7">
        <w:t xml:space="preserve">(TGA) </w:t>
      </w:r>
      <w:r w:rsidR="00AC7A01">
        <w:t>completed a post market review of</w:t>
      </w:r>
      <w:r w:rsidR="003C73D7">
        <w:t xml:space="preserve"> SCS </w:t>
      </w:r>
      <w:r w:rsidR="00AC7A01">
        <w:t xml:space="preserve">in 2024. </w:t>
      </w:r>
      <w:r w:rsidR="003C73D7">
        <w:t>The TGA review</w:t>
      </w:r>
      <w:r w:rsidR="009B3D5C">
        <w:t xml:space="preserve"> only</w:t>
      </w:r>
      <w:r w:rsidR="003C73D7">
        <w:t xml:space="preserve"> focused on safety and performance of SCS devices. The </w:t>
      </w:r>
      <w:r w:rsidR="00300A16">
        <w:t xml:space="preserve">TGA review resulted in </w:t>
      </w:r>
      <w:r w:rsidR="00043DE3">
        <w:t xml:space="preserve">cancellation of some SCS devices from the Australian Register of Therapeutic Goods (ARTG) </w:t>
      </w:r>
      <w:r w:rsidR="0023132B">
        <w:t xml:space="preserve">and </w:t>
      </w:r>
      <w:r w:rsidR="00F3414C">
        <w:t>i</w:t>
      </w:r>
      <w:r w:rsidR="0023132B">
        <w:t xml:space="preserve">mposed </w:t>
      </w:r>
      <w:r w:rsidR="009168B9">
        <w:t>conditions</w:t>
      </w:r>
      <w:r w:rsidR="0023132B">
        <w:t xml:space="preserve"> on the</w:t>
      </w:r>
      <w:r w:rsidR="009168B9">
        <w:t xml:space="preserve"> inclusion</w:t>
      </w:r>
      <w:r w:rsidR="0023132B">
        <w:t xml:space="preserve"> </w:t>
      </w:r>
      <w:r w:rsidR="0037250F">
        <w:t xml:space="preserve">of the </w:t>
      </w:r>
      <w:r w:rsidR="0023132B">
        <w:t xml:space="preserve">remaining SCS devices in the ARTG. The TGA </w:t>
      </w:r>
      <w:r w:rsidR="00A52AC7">
        <w:t>required change</w:t>
      </w:r>
      <w:r w:rsidR="00ED5C9D">
        <w:t>s</w:t>
      </w:r>
      <w:r w:rsidR="00A52AC7">
        <w:t xml:space="preserve"> to labelling to improve information about </w:t>
      </w:r>
      <w:r w:rsidR="009B3D5C">
        <w:t xml:space="preserve">the </w:t>
      </w:r>
      <w:r w:rsidR="005645B4">
        <w:t>risks</w:t>
      </w:r>
      <w:r w:rsidR="00ED5C9D">
        <w:t xml:space="preserve"> </w:t>
      </w:r>
      <w:r w:rsidR="00182BD4">
        <w:t>associated with SCS</w:t>
      </w:r>
      <w:r w:rsidR="00ED5C9D">
        <w:t xml:space="preserve"> </w:t>
      </w:r>
      <w:r w:rsidR="005645B4">
        <w:t xml:space="preserve">and </w:t>
      </w:r>
      <w:r w:rsidR="009168B9">
        <w:t xml:space="preserve">to </w:t>
      </w:r>
      <w:r w:rsidR="005F798F">
        <w:t>clarify</w:t>
      </w:r>
      <w:r w:rsidR="005645B4">
        <w:t xml:space="preserve"> </w:t>
      </w:r>
      <w:r w:rsidR="00ED5C9D">
        <w:t xml:space="preserve">the </w:t>
      </w:r>
      <w:r w:rsidR="005645B4">
        <w:t>indication</w:t>
      </w:r>
      <w:r w:rsidR="009B3D5C">
        <w:t>s</w:t>
      </w:r>
      <w:r w:rsidR="005645B4">
        <w:t xml:space="preserve"> and contraindications </w:t>
      </w:r>
      <w:r w:rsidR="00ED5C9D">
        <w:t xml:space="preserve">for </w:t>
      </w:r>
      <w:r w:rsidR="00182BD4">
        <w:t>use</w:t>
      </w:r>
      <w:r w:rsidR="00ED5C9D">
        <w:t xml:space="preserve">. </w:t>
      </w:r>
      <w:r w:rsidR="001A15C0">
        <w:t xml:space="preserve">There were also requirements for </w:t>
      </w:r>
      <w:r w:rsidR="00182BD4">
        <w:t>providing further</w:t>
      </w:r>
      <w:r w:rsidR="001A15C0">
        <w:t xml:space="preserve"> information</w:t>
      </w:r>
      <w:r w:rsidR="005645B4">
        <w:t xml:space="preserve"> about the lifespan and performance of the devices. More information can be found </w:t>
      </w:r>
      <w:hyperlink r:id="rId17" w:history="1">
        <w:r w:rsidR="005645B4" w:rsidRPr="00ED5C9D">
          <w:rPr>
            <w:rStyle w:val="Hyperlink"/>
          </w:rPr>
          <w:t>here.</w:t>
        </w:r>
      </w:hyperlink>
    </w:p>
    <w:p w14:paraId="50359BB4" w14:textId="3D0E7261" w:rsidR="0047225D" w:rsidRDefault="0047225D" w:rsidP="00900B0D">
      <w:pPr>
        <w:pStyle w:val="Heading1"/>
      </w:pPr>
      <w:r>
        <w:t>Process</w:t>
      </w:r>
    </w:p>
    <w:p w14:paraId="07ED982A" w14:textId="19E2D320" w:rsidR="00676C3A" w:rsidRPr="009417CD" w:rsidRDefault="00676C3A" w:rsidP="009417CD">
      <w:r w:rsidRPr="009417CD">
        <w:t>Th</w:t>
      </w:r>
      <w:r w:rsidR="009B3D5C" w:rsidRPr="009417CD">
        <w:t>is</w:t>
      </w:r>
      <w:r w:rsidRPr="009417CD">
        <w:t xml:space="preserve"> review was conducted in 3 stages. Each stage involved different research questions</w:t>
      </w:r>
      <w:r w:rsidR="00900B0D" w:rsidRPr="009417CD">
        <w:t>,</w:t>
      </w:r>
      <w:r w:rsidRPr="009417CD">
        <w:t xml:space="preserve"> based on findings from the previous stage and </w:t>
      </w:r>
      <w:r w:rsidR="00D65136" w:rsidRPr="009417CD">
        <w:t xml:space="preserve">MDHTAC </w:t>
      </w:r>
      <w:r w:rsidRPr="009417CD">
        <w:t>advice.</w:t>
      </w:r>
    </w:p>
    <w:p w14:paraId="0ED79841" w14:textId="15C29CF2" w:rsidR="001D68B2" w:rsidRDefault="00972E7B" w:rsidP="001D68B2">
      <w:pPr>
        <w:pStyle w:val="Heading2"/>
      </w:pPr>
      <w:r>
        <w:t>Sources</w:t>
      </w:r>
      <w:r w:rsidR="00804248">
        <w:t xml:space="preserve"> of evidence</w:t>
      </w:r>
    </w:p>
    <w:p w14:paraId="0EFAEBEB" w14:textId="2CEDACA0" w:rsidR="006D7C3F" w:rsidRPr="006D7C3F" w:rsidRDefault="006D7C3F" w:rsidP="009417CD">
      <w:r>
        <w:t xml:space="preserve">Multiple </w:t>
      </w:r>
      <w:r w:rsidR="00972E7B">
        <w:t>sources</w:t>
      </w:r>
      <w:r w:rsidR="009B3D5C">
        <w:t xml:space="preserve"> of </w:t>
      </w:r>
      <w:r w:rsidR="00804248">
        <w:t>evidence</w:t>
      </w:r>
      <w:r>
        <w:t xml:space="preserve"> </w:t>
      </w:r>
      <w:r w:rsidR="00655E4F">
        <w:t>were</w:t>
      </w:r>
      <w:r w:rsidR="00E43FA1">
        <w:t xml:space="preserve"> considered as part of the review. A description </w:t>
      </w:r>
      <w:r w:rsidR="00D65136">
        <w:t xml:space="preserve">of each source </w:t>
      </w:r>
      <w:r w:rsidR="00E43FA1">
        <w:t>is</w:t>
      </w:r>
      <w:r w:rsidR="00D65136">
        <w:t xml:space="preserve"> </w:t>
      </w:r>
      <w:r w:rsidR="00E43FA1">
        <w:t>in the table below.</w:t>
      </w:r>
    </w:p>
    <w:tbl>
      <w:tblPr>
        <w:tblStyle w:val="DepartmentofHealthtable"/>
        <w:tblW w:w="9072" w:type="dxa"/>
        <w:tblLook w:val="04A0" w:firstRow="1" w:lastRow="0" w:firstColumn="1" w:lastColumn="0" w:noHBand="0" w:noVBand="1"/>
        <w:tblDescription w:val="Add Alt Text describing the content of the table"/>
      </w:tblPr>
      <w:tblGrid>
        <w:gridCol w:w="3402"/>
        <w:gridCol w:w="5670"/>
      </w:tblGrid>
      <w:tr w:rsidR="0010419E" w14:paraId="69467D0B" w14:textId="77777777" w:rsidTr="001041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2" w:type="dxa"/>
          </w:tcPr>
          <w:p w14:paraId="2C906613" w14:textId="5B66B164" w:rsidR="0010419E" w:rsidRPr="00DC7910" w:rsidRDefault="00D65136" w:rsidP="009417CD">
            <w:pPr>
              <w:pStyle w:val="TableHeaderWhite"/>
            </w:pPr>
            <w:r>
              <w:t>Source</w:t>
            </w:r>
          </w:p>
        </w:tc>
        <w:tc>
          <w:tcPr>
            <w:tcW w:w="5670" w:type="dxa"/>
          </w:tcPr>
          <w:p w14:paraId="3AA8B414" w14:textId="24E135BD" w:rsidR="0010419E" w:rsidRDefault="0010419E" w:rsidP="009417CD">
            <w:pPr>
              <w:pStyle w:val="TableHeader"/>
              <w:cnfStyle w:val="100000000000" w:firstRow="1" w:lastRow="0" w:firstColumn="0" w:lastColumn="0" w:oddVBand="0" w:evenVBand="0" w:oddHBand="0" w:evenHBand="0" w:firstRowFirstColumn="0" w:firstRowLastColumn="0" w:lastRowFirstColumn="0" w:lastRowLastColumn="0"/>
            </w:pPr>
            <w:r>
              <w:t>Description</w:t>
            </w:r>
          </w:p>
        </w:tc>
      </w:tr>
      <w:tr w:rsidR="0010419E" w14:paraId="23869816" w14:textId="77777777" w:rsidTr="00104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037EE74" w14:textId="3E6EC8BE" w:rsidR="0010419E" w:rsidRDefault="0010419E" w:rsidP="004D29A6">
            <w:pPr>
              <w:pStyle w:val="Tabletextleft"/>
            </w:pPr>
            <w:r>
              <w:t xml:space="preserve">External </w:t>
            </w:r>
            <w:r w:rsidR="009146AF">
              <w:t xml:space="preserve">health technology assessment (HTA) </w:t>
            </w:r>
            <w:r>
              <w:t xml:space="preserve">consultant report: </w:t>
            </w:r>
            <w:r w:rsidR="00726417">
              <w:t>S</w:t>
            </w:r>
            <w:r>
              <w:t xml:space="preserve">tage 1 </w:t>
            </w:r>
            <w:r w:rsidR="009D241D">
              <w:t>evidence review</w:t>
            </w:r>
          </w:p>
        </w:tc>
        <w:tc>
          <w:tcPr>
            <w:tcW w:w="5670" w:type="dxa"/>
          </w:tcPr>
          <w:p w14:paraId="0CC3C1B8" w14:textId="784CC9AC" w:rsidR="0010419E" w:rsidRDefault="0010419E" w:rsidP="004D29A6">
            <w:pPr>
              <w:pStyle w:val="Tabletextleft"/>
              <w:cnfStyle w:val="000000100000" w:firstRow="0" w:lastRow="0" w:firstColumn="0" w:lastColumn="0" w:oddVBand="0" w:evenVBand="0" w:oddHBand="1" w:evenHBand="0" w:firstRowFirstColumn="0" w:firstRowLastColumn="0" w:lastRowFirstColumn="0" w:lastRowLastColumn="0"/>
            </w:pPr>
            <w:r>
              <w:t>Analysis and evaluation of</w:t>
            </w:r>
            <w:r w:rsidR="003F35E8">
              <w:t xml:space="preserve"> comparative</w:t>
            </w:r>
            <w:r>
              <w:t xml:space="preserve"> clinical </w:t>
            </w:r>
            <w:r w:rsidR="009D241D">
              <w:t>and cost effectiveness evidence</w:t>
            </w:r>
          </w:p>
        </w:tc>
      </w:tr>
      <w:tr w:rsidR="0010419E" w14:paraId="3E925F37" w14:textId="77777777" w:rsidTr="00104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D854540" w14:textId="636E52F6" w:rsidR="0010419E" w:rsidRDefault="0010419E" w:rsidP="009417CD">
            <w:r>
              <w:t>Pain Australia consumer experience report</w:t>
            </w:r>
            <w:r w:rsidR="009B3D5C">
              <w:t xml:space="preserve"> (</w:t>
            </w:r>
            <w:r w:rsidR="00804248">
              <w:t>December 2023)</w:t>
            </w:r>
          </w:p>
        </w:tc>
        <w:tc>
          <w:tcPr>
            <w:tcW w:w="5670" w:type="dxa"/>
          </w:tcPr>
          <w:p w14:paraId="7CBEB077" w14:textId="1D1280DF" w:rsidR="0010419E" w:rsidRDefault="0010419E" w:rsidP="004D29A6">
            <w:pPr>
              <w:pStyle w:val="Tabletextleft"/>
              <w:cnfStyle w:val="000000010000" w:firstRow="0" w:lastRow="0" w:firstColumn="0" w:lastColumn="0" w:oddVBand="0" w:evenVBand="0" w:oddHBand="0" w:evenHBand="1" w:firstRowFirstColumn="0" w:firstRowLastColumn="0" w:lastRowFirstColumn="0" w:lastRowLastColumn="0"/>
            </w:pPr>
            <w:r>
              <w:t>Report on consumer experience from pain advocacy group</w:t>
            </w:r>
          </w:p>
        </w:tc>
      </w:tr>
      <w:tr w:rsidR="0010419E" w14:paraId="1B03DC06" w14:textId="77777777" w:rsidTr="00104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9BDA66B" w14:textId="4C355FF8" w:rsidR="0010419E" w:rsidRDefault="0010419E" w:rsidP="004D29A6">
            <w:pPr>
              <w:pStyle w:val="Tabletextleft"/>
            </w:pPr>
            <w:r>
              <w:t>Outcomes from the TGA post market review</w:t>
            </w:r>
            <w:r w:rsidR="009B3D5C">
              <w:t xml:space="preserve"> </w:t>
            </w:r>
            <w:r w:rsidR="00804248">
              <w:t>(December 2024)</w:t>
            </w:r>
          </w:p>
        </w:tc>
        <w:tc>
          <w:tcPr>
            <w:tcW w:w="5670" w:type="dxa"/>
          </w:tcPr>
          <w:p w14:paraId="2BA65307" w14:textId="52FCC0EA" w:rsidR="0010419E" w:rsidRDefault="0010419E" w:rsidP="004D29A6">
            <w:pPr>
              <w:pStyle w:val="Tabletextleft"/>
              <w:cnfStyle w:val="000000100000" w:firstRow="0" w:lastRow="0" w:firstColumn="0" w:lastColumn="0" w:oddVBand="0" w:evenVBand="0" w:oddHBand="1" w:evenHBand="0" w:firstRowFirstColumn="0" w:firstRowLastColumn="0" w:lastRowFirstColumn="0" w:lastRowLastColumn="0"/>
            </w:pPr>
            <w:r>
              <w:t>Advice about</w:t>
            </w:r>
            <w:r w:rsidR="00F36B31">
              <w:t xml:space="preserve"> changes to ARTG listing of devices including cancellations</w:t>
            </w:r>
          </w:p>
        </w:tc>
      </w:tr>
      <w:tr w:rsidR="0010419E" w14:paraId="05331BCD" w14:textId="77777777" w:rsidTr="00104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9D11D83" w14:textId="58B5C29A" w:rsidR="0010419E" w:rsidRDefault="00522565" w:rsidP="004D29A6">
            <w:pPr>
              <w:pStyle w:val="Tabletextleft"/>
            </w:pPr>
            <w:r>
              <w:t>Expert HTA advice</w:t>
            </w:r>
            <w:r w:rsidR="0010419E">
              <w:t>: benefit setting</w:t>
            </w:r>
          </w:p>
        </w:tc>
        <w:tc>
          <w:tcPr>
            <w:tcW w:w="5670" w:type="dxa"/>
          </w:tcPr>
          <w:p w14:paraId="16662B9F" w14:textId="4D4FAA9C" w:rsidR="0010419E" w:rsidRDefault="0010419E" w:rsidP="004D29A6">
            <w:pPr>
              <w:pStyle w:val="Tabletextleft"/>
              <w:cnfStyle w:val="000000010000" w:firstRow="0" w:lastRow="0" w:firstColumn="0" w:lastColumn="0" w:oddVBand="0" w:evenVBand="0" w:oddHBand="0" w:evenHBand="1" w:firstRowFirstColumn="0" w:firstRowLastColumn="0" w:lastRowFirstColumn="0" w:lastRowLastColumn="0"/>
            </w:pPr>
            <w:r>
              <w:t>Expert HTA advice comparing different types of neurostimulator implantable pulse generators (IPG) and leads on the PL</w:t>
            </w:r>
          </w:p>
        </w:tc>
      </w:tr>
      <w:tr w:rsidR="0010419E" w14:paraId="73EDAF99" w14:textId="77777777" w:rsidTr="00104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42D1D5F" w14:textId="3042A100" w:rsidR="0010419E" w:rsidRDefault="0010419E" w:rsidP="004D29A6">
            <w:pPr>
              <w:pStyle w:val="Tabletextleft"/>
            </w:pPr>
            <w:r>
              <w:t>Internal data</w:t>
            </w:r>
            <w:r w:rsidR="00726417">
              <w:t xml:space="preserve"> – H</w:t>
            </w:r>
            <w:r w:rsidR="00804248">
              <w:t xml:space="preserve">ospital </w:t>
            </w:r>
            <w:r w:rsidR="00726417">
              <w:t>C</w:t>
            </w:r>
            <w:r w:rsidR="00804248">
              <w:t>asemix Protocol (HCP)</w:t>
            </w:r>
            <w:r w:rsidR="00726417">
              <w:t>1</w:t>
            </w:r>
          </w:p>
        </w:tc>
        <w:tc>
          <w:tcPr>
            <w:tcW w:w="5670" w:type="dxa"/>
          </w:tcPr>
          <w:p w14:paraId="41CC904A" w14:textId="36440A2D" w:rsidR="0010419E" w:rsidRDefault="0010419E" w:rsidP="004D29A6">
            <w:pPr>
              <w:pStyle w:val="Tabletextleft"/>
              <w:cnfStyle w:val="000000100000" w:firstRow="0" w:lastRow="0" w:firstColumn="0" w:lastColumn="0" w:oddVBand="0" w:evenVBand="0" w:oddHBand="1" w:evenHBand="0" w:firstRowFirstColumn="0" w:firstRowLastColumn="0" w:lastRowFirstColumn="0" w:lastRowLastColumn="0"/>
            </w:pPr>
            <w:r>
              <w:t xml:space="preserve">Review of </w:t>
            </w:r>
            <w:r w:rsidR="00804248">
              <w:t>HCP1</w:t>
            </w:r>
            <w:r w:rsidR="009A25E0">
              <w:t xml:space="preserve"> </w:t>
            </w:r>
            <w:r>
              <w:t>data on use of PL SCS devices</w:t>
            </w:r>
          </w:p>
        </w:tc>
      </w:tr>
      <w:tr w:rsidR="0010419E" w14:paraId="10893F01" w14:textId="77777777" w:rsidTr="00104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C887A3A" w14:textId="1FD84DA7" w:rsidR="0010419E" w:rsidRDefault="0010419E" w:rsidP="004D29A6">
            <w:pPr>
              <w:pStyle w:val="Tabletextleft"/>
            </w:pPr>
            <w:r>
              <w:t>Stakeholder input</w:t>
            </w:r>
            <w:r w:rsidR="009B3D5C">
              <w:t xml:space="preserve"> </w:t>
            </w:r>
            <w:r w:rsidR="009B3D5C" w:rsidRPr="00196867">
              <w:t>(</w:t>
            </w:r>
            <w:r w:rsidR="00804248" w:rsidRPr="00196867">
              <w:t>throughout the review</w:t>
            </w:r>
            <w:r w:rsidR="009B3D5C" w:rsidRPr="00196867">
              <w:t>)</w:t>
            </w:r>
          </w:p>
        </w:tc>
        <w:tc>
          <w:tcPr>
            <w:tcW w:w="5670" w:type="dxa"/>
          </w:tcPr>
          <w:p w14:paraId="7B0CB684" w14:textId="77777777" w:rsidR="0010419E" w:rsidRDefault="0010419E" w:rsidP="009417CD">
            <w:pPr>
              <w:pStyle w:val="Tablelistbullet"/>
              <w:cnfStyle w:val="000000010000" w:firstRow="0" w:lastRow="0" w:firstColumn="0" w:lastColumn="0" w:oddVBand="0" w:evenVBand="0" w:oddHBand="0" w:evenHBand="1" w:firstRowFirstColumn="0" w:firstRowLastColumn="0" w:lastRowFirstColumn="0" w:lastRowLastColumn="0"/>
            </w:pPr>
            <w:r>
              <w:t>written submissions</w:t>
            </w:r>
          </w:p>
          <w:p w14:paraId="7F9807A5" w14:textId="0848C994" w:rsidR="00C61A29" w:rsidRDefault="0010419E" w:rsidP="009417CD">
            <w:pPr>
              <w:pStyle w:val="Tablelistbullet"/>
              <w:cnfStyle w:val="000000010000" w:firstRow="0" w:lastRow="0" w:firstColumn="0" w:lastColumn="0" w:oddVBand="0" w:evenVBand="0" w:oddHBand="0" w:evenHBand="1" w:firstRowFirstColumn="0" w:firstRowLastColumn="0" w:lastRowFirstColumn="0" w:lastRowLastColumn="0"/>
            </w:pPr>
            <w:r>
              <w:t>stakeholder meetings</w:t>
            </w:r>
            <w:r w:rsidR="006A715F">
              <w:t xml:space="preserve"> </w:t>
            </w:r>
            <w:r w:rsidR="00792BCB">
              <w:t xml:space="preserve">including sponsors and clinical associations to understand </w:t>
            </w:r>
            <w:r w:rsidR="00C73F4F">
              <w:t>device use</w:t>
            </w:r>
          </w:p>
          <w:p w14:paraId="1AC60C91" w14:textId="56D27768" w:rsidR="0010419E" w:rsidRDefault="0010419E" w:rsidP="009417CD">
            <w:pPr>
              <w:pStyle w:val="Tablelistbullet"/>
              <w:cnfStyle w:val="000000010000" w:firstRow="0" w:lastRow="0" w:firstColumn="0" w:lastColumn="0" w:oddVBand="0" w:evenVBand="0" w:oddHBand="0" w:evenHBand="1" w:firstRowFirstColumn="0" w:firstRowLastColumn="0" w:lastRowFirstColumn="0" w:lastRowLastColumn="0"/>
            </w:pPr>
            <w:r>
              <w:t xml:space="preserve">feedback on </w:t>
            </w:r>
            <w:r w:rsidR="00726417">
              <w:t>S</w:t>
            </w:r>
            <w:r>
              <w:t>tage 1 report</w:t>
            </w:r>
          </w:p>
        </w:tc>
      </w:tr>
      <w:tr w:rsidR="0010419E" w14:paraId="0A018BB7" w14:textId="77777777" w:rsidTr="00104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AB4F84A" w14:textId="310E7BDF" w:rsidR="0010419E" w:rsidRDefault="0010419E" w:rsidP="004D29A6">
            <w:pPr>
              <w:pStyle w:val="Tabletextleft"/>
            </w:pPr>
            <w:r>
              <w:t xml:space="preserve">External </w:t>
            </w:r>
            <w:r w:rsidR="00522565">
              <w:t>HTA advice</w:t>
            </w:r>
            <w:r>
              <w:t>: benefit setting</w:t>
            </w:r>
          </w:p>
        </w:tc>
        <w:tc>
          <w:tcPr>
            <w:tcW w:w="5670" w:type="dxa"/>
          </w:tcPr>
          <w:p w14:paraId="0BA63994" w14:textId="5639D51D" w:rsidR="00655E4F" w:rsidRDefault="0010419E" w:rsidP="009417CD">
            <w:pPr>
              <w:pStyle w:val="Tabletextleft"/>
              <w:cnfStyle w:val="000000100000" w:firstRow="0" w:lastRow="0" w:firstColumn="0" w:lastColumn="0" w:oddVBand="0" w:evenVBand="0" w:oddHBand="1" w:evenHBand="0" w:firstRowFirstColumn="0" w:firstRowLastColumn="0" w:lastRowFirstColumn="0" w:lastRowLastColumn="0"/>
            </w:pPr>
            <w:r>
              <w:t xml:space="preserve">Expert HTA advice comparing the benefits of SCS IPG and </w:t>
            </w:r>
            <w:r w:rsidR="00310A85">
              <w:t>deep brain s</w:t>
            </w:r>
            <w:r w:rsidR="00092EF0">
              <w:t>t</w:t>
            </w:r>
            <w:r w:rsidR="00310A85">
              <w:t>imulation (</w:t>
            </w:r>
            <w:r>
              <w:t>DBS</w:t>
            </w:r>
            <w:r w:rsidR="00310A85">
              <w:t>)</w:t>
            </w:r>
            <w:r>
              <w:t xml:space="preserve"> IPG</w:t>
            </w:r>
          </w:p>
        </w:tc>
      </w:tr>
      <w:tr w:rsidR="0010419E" w14:paraId="2B238624" w14:textId="7D703FD9" w:rsidTr="00104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0843588" w14:textId="0C513DC3" w:rsidR="0010419E" w:rsidRDefault="00522565" w:rsidP="004D29A6">
            <w:pPr>
              <w:pStyle w:val="Tabletextleft"/>
            </w:pPr>
            <w:r>
              <w:t>External HTA advice: benefit setting</w:t>
            </w:r>
          </w:p>
        </w:tc>
        <w:tc>
          <w:tcPr>
            <w:tcW w:w="5670" w:type="dxa"/>
          </w:tcPr>
          <w:p w14:paraId="3B0665C4" w14:textId="4E145791" w:rsidR="0010419E" w:rsidRDefault="0010419E" w:rsidP="004D29A6">
            <w:pPr>
              <w:pStyle w:val="Tabletextleft"/>
              <w:cnfStyle w:val="000000010000" w:firstRow="0" w:lastRow="0" w:firstColumn="0" w:lastColumn="0" w:oddVBand="0" w:evenVBand="0" w:oddHBand="0" w:evenHBand="1" w:firstRowFirstColumn="0" w:firstRowLastColumn="0" w:lastRowFirstColumn="0" w:lastRowLastColumn="0"/>
            </w:pPr>
            <w:r>
              <w:t>Expert HTA advice to assess the use of leads in SCS trial procedures and review the benefits payable for SCS leads</w:t>
            </w:r>
          </w:p>
        </w:tc>
      </w:tr>
      <w:tr w:rsidR="002E42B2" w14:paraId="090D02F1" w14:textId="77777777" w:rsidTr="00104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8262011" w14:textId="1E5687CA" w:rsidR="002E42B2" w:rsidRDefault="002E42B2" w:rsidP="004D29A6">
            <w:pPr>
              <w:pStyle w:val="Tabletextleft"/>
            </w:pPr>
            <w:r>
              <w:t xml:space="preserve">Best Practice Guidelines for </w:t>
            </w:r>
            <w:r w:rsidR="00044F8A">
              <w:t xml:space="preserve">Neuromodulation in Pain Management: Insight </w:t>
            </w:r>
            <w:r w:rsidR="008764E8">
              <w:t>f</w:t>
            </w:r>
            <w:r w:rsidR="00044F8A">
              <w:t>rom the Neuromodulation Society of Australia and New Zealand</w:t>
            </w:r>
            <w:r w:rsidR="008764E8">
              <w:t xml:space="preserve"> (</w:t>
            </w:r>
            <w:r w:rsidR="00804248">
              <w:t>May 2025</w:t>
            </w:r>
            <w:r w:rsidR="008764E8">
              <w:t>)</w:t>
            </w:r>
          </w:p>
        </w:tc>
        <w:tc>
          <w:tcPr>
            <w:tcW w:w="5670" w:type="dxa"/>
          </w:tcPr>
          <w:p w14:paraId="19A9256A" w14:textId="1652130A" w:rsidR="002E42B2" w:rsidRDefault="00044F8A" w:rsidP="004D29A6">
            <w:pPr>
              <w:pStyle w:val="Tabletextleft"/>
              <w:cnfStyle w:val="000000100000" w:firstRow="0" w:lastRow="0" w:firstColumn="0" w:lastColumn="0" w:oddVBand="0" w:evenVBand="0" w:oddHBand="1" w:evenHBand="0" w:firstRowFirstColumn="0" w:firstRowLastColumn="0" w:lastRowFirstColumn="0" w:lastRowLastColumn="0"/>
            </w:pPr>
            <w:r>
              <w:t>Australian evidence-based best practice guidelines for SCS in chronic pain management</w:t>
            </w:r>
          </w:p>
        </w:tc>
      </w:tr>
      <w:tr w:rsidR="00223ECC" w14:paraId="35D0EEA3" w14:textId="77777777" w:rsidTr="00104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41B56BA" w14:textId="15E69BD4" w:rsidR="00223ECC" w:rsidRDefault="00223ECC" w:rsidP="004D29A6">
            <w:pPr>
              <w:pStyle w:val="Tabletextleft"/>
            </w:pPr>
            <w:r>
              <w:t xml:space="preserve">MDHTAC </w:t>
            </w:r>
            <w:r w:rsidR="00411A4D">
              <w:t xml:space="preserve">and SNECAG </w:t>
            </w:r>
            <w:r>
              <w:t>advice</w:t>
            </w:r>
          </w:p>
        </w:tc>
        <w:tc>
          <w:tcPr>
            <w:tcW w:w="5670" w:type="dxa"/>
          </w:tcPr>
          <w:p w14:paraId="47DAF40A" w14:textId="4C80928E" w:rsidR="00223ECC" w:rsidRDefault="00BB110E" w:rsidP="004D29A6">
            <w:pPr>
              <w:pStyle w:val="Tabletextleft"/>
              <w:cnfStyle w:val="000000010000" w:firstRow="0" w:lastRow="0" w:firstColumn="0" w:lastColumn="0" w:oddVBand="0" w:evenVBand="0" w:oddHBand="0" w:evenHBand="1" w:firstRowFirstColumn="0" w:firstRowLastColumn="0" w:lastRowFirstColumn="0" w:lastRowLastColumn="0"/>
            </w:pPr>
            <w:r>
              <w:t xml:space="preserve">Expert advice </w:t>
            </w:r>
            <w:r w:rsidR="009146AF">
              <w:t>on</w:t>
            </w:r>
            <w:r w:rsidR="00AD2B2B">
              <w:t xml:space="preserve"> direction of the review and </w:t>
            </w:r>
            <w:r w:rsidR="009146AF">
              <w:t xml:space="preserve">outcome </w:t>
            </w:r>
            <w:r w:rsidR="00165F91">
              <w:t>options</w:t>
            </w:r>
            <w:r w:rsidR="009146AF">
              <w:t xml:space="preserve"> for the department to consider</w:t>
            </w:r>
          </w:p>
        </w:tc>
      </w:tr>
    </w:tbl>
    <w:p w14:paraId="33991488" w14:textId="61CE8BD8" w:rsidR="00F82954" w:rsidRDefault="009214DA" w:rsidP="009214DA">
      <w:pPr>
        <w:pStyle w:val="Heading1"/>
      </w:pPr>
      <w:bookmarkStart w:id="1" w:name="_Toc197684409"/>
      <w:bookmarkEnd w:id="0"/>
      <w:r>
        <w:t>Findings of the review</w:t>
      </w:r>
      <w:bookmarkEnd w:id="1"/>
    </w:p>
    <w:p w14:paraId="54F9C6EC" w14:textId="778504AC" w:rsidR="00F82954" w:rsidRPr="00F82954" w:rsidRDefault="00F82954" w:rsidP="00F82954">
      <w:pPr>
        <w:pStyle w:val="Heading2"/>
      </w:pPr>
      <w:r>
        <w:t>Stage 1</w:t>
      </w:r>
    </w:p>
    <w:p w14:paraId="5AD64ACA" w14:textId="12BBBB2F" w:rsidR="00497868" w:rsidRDefault="00F958D4" w:rsidP="009417CD">
      <w:r>
        <w:t xml:space="preserve">The department engaged </w:t>
      </w:r>
      <w:r w:rsidR="00F10348">
        <w:t xml:space="preserve">an external </w:t>
      </w:r>
      <w:r w:rsidR="002C5D90">
        <w:t xml:space="preserve">HTA </w:t>
      </w:r>
      <w:r w:rsidR="00F10348">
        <w:t>consulta</w:t>
      </w:r>
      <w:r w:rsidR="0010419E">
        <w:t>n</w:t>
      </w:r>
      <w:r w:rsidR="00F10348">
        <w:t xml:space="preserve">t </w:t>
      </w:r>
      <w:r w:rsidR="00587AEB">
        <w:t xml:space="preserve">(consultant) </w:t>
      </w:r>
      <w:r>
        <w:t xml:space="preserve">to assess the comparative clinical and cost effectiveness of SCS. </w:t>
      </w:r>
      <w:r w:rsidR="00321773">
        <w:t>T</w:t>
      </w:r>
      <w:r>
        <w:t xml:space="preserve">he </w:t>
      </w:r>
      <w:r w:rsidR="00972E7B">
        <w:t>consultant</w:t>
      </w:r>
      <w:r>
        <w:t xml:space="preserve"> found that</w:t>
      </w:r>
      <w:r w:rsidR="00303F24">
        <w:t>, overall,</w:t>
      </w:r>
      <w:r>
        <w:t xml:space="preserve"> the evidence for clinical effectiveness </w:t>
      </w:r>
      <w:r w:rsidR="0047225D">
        <w:t xml:space="preserve">of SCS </w:t>
      </w:r>
      <w:r>
        <w:t>was uncertain. The</w:t>
      </w:r>
      <w:r w:rsidR="003221C1">
        <w:t xml:space="preserve"> consultant sought stakeholder feedback on the draft report</w:t>
      </w:r>
      <w:r w:rsidR="009168B9">
        <w:t xml:space="preserve"> and</w:t>
      </w:r>
      <w:r w:rsidR="00804248">
        <w:t xml:space="preserve"> finalised </w:t>
      </w:r>
      <w:r w:rsidR="009168B9">
        <w:t>it</w:t>
      </w:r>
      <w:r w:rsidR="00804248">
        <w:t xml:space="preserve"> in September 2023 (</w:t>
      </w:r>
      <w:hyperlink r:id="rId18" w:history="1">
        <w:r w:rsidR="00804248" w:rsidRPr="00804248">
          <w:rPr>
            <w:rStyle w:val="Hyperlink"/>
          </w:rPr>
          <w:t>available on our website).</w:t>
        </w:r>
      </w:hyperlink>
      <w:r w:rsidR="00804248">
        <w:t xml:space="preserve"> The report </w:t>
      </w:r>
      <w:r>
        <w:t xml:space="preserve">recommended SCS devices continue to be listed on the PL and advised that a cost effectiveness analysis </w:t>
      </w:r>
      <w:r w:rsidR="00895604">
        <w:t xml:space="preserve">to establish a suitable benefit </w:t>
      </w:r>
      <w:r>
        <w:t xml:space="preserve">was unlikely to be informative. The MDHTAC discussed the </w:t>
      </w:r>
      <w:r w:rsidR="009A25E0">
        <w:t xml:space="preserve">consultant </w:t>
      </w:r>
      <w:r>
        <w:t xml:space="preserve">report at </w:t>
      </w:r>
      <w:r w:rsidR="00303F24">
        <w:t xml:space="preserve">its </w:t>
      </w:r>
      <w:r>
        <w:t>December 2023</w:t>
      </w:r>
      <w:r w:rsidR="0008288F">
        <w:t xml:space="preserve"> meeting</w:t>
      </w:r>
      <w:r>
        <w:t>. MDHTAC advised the department to consider reviewing the benefits payable for SCS.</w:t>
      </w:r>
      <w:r w:rsidR="00321773">
        <w:t xml:space="preserve"> </w:t>
      </w:r>
      <w:r w:rsidR="00851E43">
        <w:t>This initiated Stage 2 of the post-listing review.</w:t>
      </w:r>
    </w:p>
    <w:p w14:paraId="789AA56A" w14:textId="03CE4A06" w:rsidR="00F958D4" w:rsidRPr="009417CD" w:rsidRDefault="00851E43" w:rsidP="009417CD">
      <w:pPr>
        <w:rPr>
          <w:rStyle w:val="IntenseEmphasis"/>
        </w:rPr>
      </w:pPr>
      <w:r w:rsidRPr="009417CD">
        <w:rPr>
          <w:rStyle w:val="IntenseEmphasis"/>
        </w:rPr>
        <w:t>Please note</w:t>
      </w:r>
      <w:r w:rsidR="003221C1" w:rsidRPr="009417CD">
        <w:rPr>
          <w:rStyle w:val="IntenseEmphasis"/>
        </w:rPr>
        <w:t>. Some recommendations in the</w:t>
      </w:r>
      <w:r w:rsidR="00303F24" w:rsidRPr="009417CD">
        <w:rPr>
          <w:rStyle w:val="IntenseEmphasis"/>
        </w:rPr>
        <w:t xml:space="preserve"> consultant’s</w:t>
      </w:r>
      <w:r w:rsidR="003221C1" w:rsidRPr="009417CD">
        <w:rPr>
          <w:rStyle w:val="IntenseEmphasis"/>
        </w:rPr>
        <w:t xml:space="preserve"> report, such as </w:t>
      </w:r>
      <w:r w:rsidR="008F15A0" w:rsidRPr="009417CD">
        <w:rPr>
          <w:rStyle w:val="IntenseEmphasis"/>
        </w:rPr>
        <w:t xml:space="preserve">develop </w:t>
      </w:r>
      <w:r w:rsidR="00303F24" w:rsidRPr="009417CD">
        <w:rPr>
          <w:rStyle w:val="IntenseEmphasis"/>
        </w:rPr>
        <w:t>high-quality</w:t>
      </w:r>
      <w:r w:rsidR="008F15A0" w:rsidRPr="009417CD">
        <w:rPr>
          <w:rStyle w:val="IntenseEmphasis"/>
        </w:rPr>
        <w:t xml:space="preserve"> clinical guidelines </w:t>
      </w:r>
      <w:r w:rsidR="003221C1" w:rsidRPr="009417CD">
        <w:rPr>
          <w:rStyle w:val="IntenseEmphasis"/>
        </w:rPr>
        <w:t xml:space="preserve">were outside the </w:t>
      </w:r>
      <w:r w:rsidR="009A25E0" w:rsidRPr="009417CD">
        <w:rPr>
          <w:rStyle w:val="IntenseEmphasis"/>
        </w:rPr>
        <w:t>Technology Assessment and Access Division (TAAD) remit</w:t>
      </w:r>
      <w:r w:rsidR="003221C1" w:rsidRPr="009417CD">
        <w:rPr>
          <w:rStyle w:val="IntenseEmphasis"/>
        </w:rPr>
        <w:t>. These recommendations</w:t>
      </w:r>
      <w:r w:rsidR="00497868" w:rsidRPr="009417CD">
        <w:rPr>
          <w:rStyle w:val="IntenseEmphasis"/>
        </w:rPr>
        <w:t xml:space="preserve"> were not considered</w:t>
      </w:r>
      <w:r w:rsidR="00F82954" w:rsidRPr="009417CD">
        <w:rPr>
          <w:rStyle w:val="IntenseEmphasis"/>
        </w:rPr>
        <w:t xml:space="preserve"> as part of the review</w:t>
      </w:r>
      <w:r w:rsidR="00497868" w:rsidRPr="009417CD">
        <w:rPr>
          <w:rStyle w:val="IntenseEmphasis"/>
        </w:rPr>
        <w:t>.</w:t>
      </w:r>
    </w:p>
    <w:p w14:paraId="65245C89" w14:textId="10943145" w:rsidR="00851E43" w:rsidRDefault="00851E43" w:rsidP="009417CD">
      <w:r>
        <w:t xml:space="preserve">Stakeholder input into Stage 1 </w:t>
      </w:r>
      <w:r w:rsidR="00303F24">
        <w:t xml:space="preserve">also </w:t>
      </w:r>
      <w:r>
        <w:t>identified that permanent leads are used in SCS trial procedures</w:t>
      </w:r>
      <w:r w:rsidR="00303F24">
        <w:t xml:space="preserve">, and this issue </w:t>
      </w:r>
      <w:r>
        <w:t>was referred to Stage 2.</w:t>
      </w:r>
    </w:p>
    <w:p w14:paraId="5FC8C6E5" w14:textId="77777777" w:rsidR="00F958D4" w:rsidRDefault="00F958D4" w:rsidP="006D5699">
      <w:pPr>
        <w:pStyle w:val="Heading2"/>
      </w:pPr>
      <w:r>
        <w:t>Stage 2</w:t>
      </w:r>
    </w:p>
    <w:p w14:paraId="5922F4ED" w14:textId="7775E416" w:rsidR="009A25E0" w:rsidRDefault="00895604" w:rsidP="009417CD">
      <w:r>
        <w:t xml:space="preserve">The department considered options to </w:t>
      </w:r>
      <w:r w:rsidR="00682CAF">
        <w:t>review the benefits payable for SCS</w:t>
      </w:r>
      <w:r w:rsidR="0016652C">
        <w:t xml:space="preserve"> </w:t>
      </w:r>
      <w:r w:rsidR="00682CAF">
        <w:t xml:space="preserve">devices </w:t>
      </w:r>
      <w:r w:rsidR="0016652C">
        <w:t>(including the implantable pulse generator and leads)</w:t>
      </w:r>
      <w:r w:rsidR="00D57D73">
        <w:t xml:space="preserve">. </w:t>
      </w:r>
      <w:r w:rsidR="00082715">
        <w:t xml:space="preserve">Expert advice noted that </w:t>
      </w:r>
      <w:r w:rsidR="00D57D73">
        <w:t>SCS devices attract a substantially higher benefit than other neurostimulation devices on the PL</w:t>
      </w:r>
      <w:r w:rsidR="00FF1015">
        <w:t>,</w:t>
      </w:r>
      <w:r w:rsidR="00D57D73">
        <w:t xml:space="preserve"> with no clear reason for the discrepancy. </w:t>
      </w:r>
      <w:r w:rsidR="001A2F36">
        <w:t xml:space="preserve">The department engaged </w:t>
      </w:r>
      <w:r w:rsidR="00352F7D">
        <w:t>the</w:t>
      </w:r>
      <w:r w:rsidR="006D5699">
        <w:t xml:space="preserve"> </w:t>
      </w:r>
      <w:r w:rsidR="001A2F36">
        <w:t xml:space="preserve">consultant to </w:t>
      </w:r>
      <w:r w:rsidR="003221C1">
        <w:t>provide advice on the</w:t>
      </w:r>
      <w:r w:rsidR="001A2F36">
        <w:t xml:space="preserve"> potential </w:t>
      </w:r>
      <w:r w:rsidR="006B6CE3">
        <w:t xml:space="preserve">to benchmark benefits payable for SCS devices against </w:t>
      </w:r>
      <w:r w:rsidR="0047225D">
        <w:t xml:space="preserve">the following </w:t>
      </w:r>
      <w:r w:rsidR="006B6CE3">
        <w:t>neurostimulation devices on the PL:</w:t>
      </w:r>
    </w:p>
    <w:p w14:paraId="527AA2EB" w14:textId="2FCAC04B" w:rsidR="009A25E0" w:rsidRDefault="00BA5860" w:rsidP="009417CD">
      <w:pPr>
        <w:pStyle w:val="ListBullet"/>
      </w:pPr>
      <w:r w:rsidRPr="00BA5860">
        <w:t>vagal neurostimulation (VNS)</w:t>
      </w:r>
    </w:p>
    <w:p w14:paraId="346591C1" w14:textId="7B9FE04C" w:rsidR="009A25E0" w:rsidRDefault="00BA5860" w:rsidP="009417CD">
      <w:pPr>
        <w:pStyle w:val="ListBullet"/>
      </w:pPr>
      <w:r w:rsidRPr="00BA5860">
        <w:t>sacral neurostimulation (SNS)</w:t>
      </w:r>
    </w:p>
    <w:p w14:paraId="184FC987" w14:textId="562C8D2E" w:rsidR="00D57D73" w:rsidRDefault="009A25E0" w:rsidP="009417CD">
      <w:pPr>
        <w:pStyle w:val="ListBullet"/>
      </w:pPr>
      <w:r>
        <w:t>deep brain stimulators (</w:t>
      </w:r>
      <w:r w:rsidR="00BA5860" w:rsidRPr="00BA5860">
        <w:t>DBS</w:t>
      </w:r>
      <w:r>
        <w:t>)</w:t>
      </w:r>
      <w:r w:rsidR="00BA5860">
        <w:t>.</w:t>
      </w:r>
    </w:p>
    <w:p w14:paraId="4EDA2D80" w14:textId="677177D8" w:rsidR="00740F22" w:rsidRDefault="006D5699" w:rsidP="009417CD">
      <w:r>
        <w:t>PL l</w:t>
      </w:r>
      <w:r w:rsidR="0016652C">
        <w:t>i</w:t>
      </w:r>
      <w:r w:rsidR="00FF1015">
        <w:t xml:space="preserve">sting of </w:t>
      </w:r>
      <w:r w:rsidR="009A25E0">
        <w:t>SCS</w:t>
      </w:r>
      <w:r w:rsidR="00A47A19">
        <w:t xml:space="preserve"> </w:t>
      </w:r>
      <w:r w:rsidR="009229A5">
        <w:t>predate</w:t>
      </w:r>
      <w:r w:rsidR="00A47A19">
        <w:t>s</w:t>
      </w:r>
      <w:r w:rsidR="009229A5">
        <w:t xml:space="preserve"> </w:t>
      </w:r>
      <w:r w:rsidR="00A47A19">
        <w:t xml:space="preserve">the </w:t>
      </w:r>
      <w:r w:rsidR="009229A5">
        <w:t xml:space="preserve">MSAC </w:t>
      </w:r>
      <w:r w:rsidR="00AF492F">
        <w:t>assessment</w:t>
      </w:r>
      <w:r w:rsidR="00A47A19">
        <w:t xml:space="preserve"> process</w:t>
      </w:r>
      <w:r w:rsidR="003221C1">
        <w:t xml:space="preserve">, but </w:t>
      </w:r>
      <w:r w:rsidR="00AF492F">
        <w:t xml:space="preserve">DBS, SNS and VNS have </w:t>
      </w:r>
      <w:r w:rsidR="003221C1">
        <w:t xml:space="preserve">all </w:t>
      </w:r>
      <w:r w:rsidR="00AF492F">
        <w:t xml:space="preserve">undergone </w:t>
      </w:r>
      <w:r w:rsidR="00C75F5B">
        <w:t xml:space="preserve">MSAC </w:t>
      </w:r>
      <w:r w:rsidR="00AF492F">
        <w:t>assessment</w:t>
      </w:r>
      <w:r w:rsidR="00740F22">
        <w:t xml:space="preserve">. The consultant </w:t>
      </w:r>
      <w:r w:rsidR="001C03A0">
        <w:t>summarised</w:t>
      </w:r>
      <w:r w:rsidR="00740F22">
        <w:t xml:space="preserve"> the MSA</w:t>
      </w:r>
      <w:r w:rsidR="003A47A4">
        <w:t>C</w:t>
      </w:r>
      <w:r w:rsidR="00740F22">
        <w:t xml:space="preserve"> assessment</w:t>
      </w:r>
      <w:r w:rsidR="00D922F9">
        <w:t>s</w:t>
      </w:r>
      <w:r w:rsidR="00740F22">
        <w:t xml:space="preserve"> and their outcomes and evaluated current PL benefits for SCS devices compared to other </w:t>
      </w:r>
      <w:r w:rsidR="001C03A0">
        <w:t>neurostimulator</w:t>
      </w:r>
      <w:r w:rsidR="003A47A4">
        <w:t>s</w:t>
      </w:r>
      <w:r w:rsidR="00740F22">
        <w:t>.</w:t>
      </w:r>
    </w:p>
    <w:p w14:paraId="0BCBB366" w14:textId="532B8FCD" w:rsidR="00463C3A" w:rsidRDefault="006D5699" w:rsidP="009417CD">
      <w:r>
        <w:t>C</w:t>
      </w:r>
      <w:r w:rsidR="004E4048">
        <w:t>onsultant f</w:t>
      </w:r>
      <w:r w:rsidR="00107487">
        <w:t>indings</w:t>
      </w:r>
      <w:r w:rsidR="00C14F9D">
        <w:t>:</w:t>
      </w:r>
    </w:p>
    <w:p w14:paraId="56B9E8CD" w14:textId="0A3B69A5" w:rsidR="00125718" w:rsidRDefault="00FF1015" w:rsidP="009417CD">
      <w:pPr>
        <w:pStyle w:val="ListBullet"/>
      </w:pPr>
      <w:r>
        <w:t>p</w:t>
      </w:r>
      <w:r w:rsidR="00125718">
        <w:t xml:space="preserve">ermanent leads have comparable PL benefits across </w:t>
      </w:r>
      <w:r w:rsidR="009A25E0">
        <w:t>SCS, VNS, SNS and DBS</w:t>
      </w:r>
    </w:p>
    <w:p w14:paraId="3E3724D9" w14:textId="557825DE" w:rsidR="006D5699" w:rsidRDefault="00BE1D04" w:rsidP="009417CD">
      <w:pPr>
        <w:pStyle w:val="ListBullet"/>
      </w:pPr>
      <w:r>
        <w:t>SCS IPG</w:t>
      </w:r>
      <w:r w:rsidR="0016652C">
        <w:t>s</w:t>
      </w:r>
      <w:r>
        <w:t xml:space="preserve"> have a higher benefit compared to IPG</w:t>
      </w:r>
      <w:r w:rsidR="0016652C">
        <w:t>s</w:t>
      </w:r>
      <w:r w:rsidR="00FF1015">
        <w:t xml:space="preserve"> for other neurostimulators</w:t>
      </w:r>
      <w:r w:rsidR="00D922F9">
        <w:t>,</w:t>
      </w:r>
      <w:r>
        <w:t xml:space="preserve"> without a clear justification</w:t>
      </w:r>
      <w:r w:rsidR="00C1727B">
        <w:t>.</w:t>
      </w:r>
    </w:p>
    <w:p w14:paraId="2E08ED0D" w14:textId="4ED348CE" w:rsidR="009A25E0" w:rsidRDefault="006D5699" w:rsidP="009417CD">
      <w:r>
        <w:t>Consultant</w:t>
      </w:r>
      <w:r w:rsidR="009A25E0">
        <w:t xml:space="preserve"> recommendations:</w:t>
      </w:r>
    </w:p>
    <w:p w14:paraId="31873EE2" w14:textId="7DCD42A1" w:rsidR="001D359E" w:rsidRDefault="001D359E" w:rsidP="009417CD">
      <w:pPr>
        <w:pStyle w:val="ListBullet"/>
      </w:pPr>
      <w:r>
        <w:t>non-rechargeable IPG:</w:t>
      </w:r>
    </w:p>
    <w:p w14:paraId="4609F09E" w14:textId="35A2B363" w:rsidR="00DB6CEA" w:rsidRDefault="00D56D04" w:rsidP="009417CD">
      <w:pPr>
        <w:pStyle w:val="ListBullet2"/>
      </w:pPr>
      <w:r>
        <w:t>reduce</w:t>
      </w:r>
      <w:r w:rsidR="001D359E">
        <w:t xml:space="preserve"> the PL</w:t>
      </w:r>
      <w:r>
        <w:t xml:space="preserve"> </w:t>
      </w:r>
      <w:r w:rsidR="001D359E">
        <w:t xml:space="preserve">benefits </w:t>
      </w:r>
      <w:r w:rsidR="00DB6CEA">
        <w:t>by 43% in line with non-rechargeable VNS</w:t>
      </w:r>
      <w:r w:rsidR="006D5699">
        <w:t xml:space="preserve"> (mid-point of the 3 comparators)</w:t>
      </w:r>
      <w:r w:rsidR="00AC5F57">
        <w:t>.</w:t>
      </w:r>
    </w:p>
    <w:p w14:paraId="0660AE7A" w14:textId="2279B21B" w:rsidR="00DB6CEA" w:rsidRDefault="00DB6CEA" w:rsidP="009417CD">
      <w:pPr>
        <w:pStyle w:val="ListBullet"/>
      </w:pPr>
      <w:r>
        <w:t xml:space="preserve">rechargeable </w:t>
      </w:r>
      <w:r w:rsidR="006D5699">
        <w:t>IPG</w:t>
      </w:r>
      <w:r>
        <w:t>:</w:t>
      </w:r>
    </w:p>
    <w:p w14:paraId="46121FF7" w14:textId="46677A67" w:rsidR="00DB6CEA" w:rsidRDefault="003F7D22" w:rsidP="009417CD">
      <w:pPr>
        <w:pStyle w:val="ListBullet2"/>
      </w:pPr>
      <w:r>
        <w:t>r</w:t>
      </w:r>
      <w:r w:rsidR="00DB6CEA">
        <w:t>educe the PL benefits by 43% as per non-rechargeable devices</w:t>
      </w:r>
      <w:r w:rsidR="00300FED">
        <w:t xml:space="preserve"> (t</w:t>
      </w:r>
      <w:r w:rsidR="00DB6CEA">
        <w:t>here are no rechargeable VNS on the PL</w:t>
      </w:r>
      <w:r w:rsidR="00300FED">
        <w:t>)</w:t>
      </w:r>
      <w:r w:rsidR="00D56D04">
        <w:t>, or</w:t>
      </w:r>
    </w:p>
    <w:p w14:paraId="5C3305BD" w14:textId="31EE0A4D" w:rsidR="00D56D04" w:rsidRDefault="00CE074B" w:rsidP="009417CD">
      <w:pPr>
        <w:pStyle w:val="ListBullet2"/>
      </w:pPr>
      <w:r>
        <w:t>assess the likely cost savings associated with rechargeable devices to determine a suitable benefit</w:t>
      </w:r>
      <w:r w:rsidR="00125718">
        <w:t>.</w:t>
      </w:r>
    </w:p>
    <w:p w14:paraId="22E89BDB" w14:textId="02CB781D" w:rsidR="0016652C" w:rsidRPr="009417CD" w:rsidRDefault="00F958D4" w:rsidP="009417CD">
      <w:r w:rsidRPr="009417CD">
        <w:t xml:space="preserve">MDHTAC discussed the </w:t>
      </w:r>
      <w:r w:rsidR="001D359E" w:rsidRPr="009417CD">
        <w:t xml:space="preserve">consultant </w:t>
      </w:r>
      <w:r w:rsidR="009A25E0" w:rsidRPr="009417CD">
        <w:t>findings and recommendations</w:t>
      </w:r>
      <w:r w:rsidRPr="009417CD">
        <w:t xml:space="preserve"> at the</w:t>
      </w:r>
      <w:r w:rsidR="0008288F" w:rsidRPr="009417CD">
        <w:t xml:space="preserve"> September 2024</w:t>
      </w:r>
      <w:r w:rsidRPr="009417CD">
        <w:t xml:space="preserve"> meeting. The MDHTAC noted that DBS have</w:t>
      </w:r>
      <w:r w:rsidR="006267B7" w:rsidRPr="009417CD">
        <w:t xml:space="preserve"> demonstrated </w:t>
      </w:r>
      <w:r w:rsidR="003C334F" w:rsidRPr="009417CD">
        <w:t>clinical and cost</w:t>
      </w:r>
      <w:r w:rsidR="002A3740" w:rsidRPr="009417CD">
        <w:t>-</w:t>
      </w:r>
      <w:r w:rsidR="003C334F" w:rsidRPr="009417CD">
        <w:t>effectiveness</w:t>
      </w:r>
      <w:r w:rsidRPr="009417CD">
        <w:t>. The MDHTAC a</w:t>
      </w:r>
      <w:r w:rsidR="003754FC" w:rsidRPr="009417CD">
        <w:t>dvised the department to consider benchmarking the SCS IPG</w:t>
      </w:r>
      <w:r w:rsidRPr="009417CD">
        <w:t xml:space="preserve"> </w:t>
      </w:r>
      <w:r w:rsidR="003754FC" w:rsidRPr="009417CD">
        <w:t>benefits to the DBS IPG benefits</w:t>
      </w:r>
      <w:r w:rsidRPr="009417CD">
        <w:t>.</w:t>
      </w:r>
      <w:r w:rsidR="001F70A5" w:rsidRPr="009417CD">
        <w:t xml:space="preserve"> This initiated Stage 3 of the post-listing review.</w:t>
      </w:r>
    </w:p>
    <w:p w14:paraId="01C54B6E" w14:textId="68D37866" w:rsidR="00F958D4" w:rsidRPr="00B64587" w:rsidRDefault="00F958D4" w:rsidP="000B48AD">
      <w:pPr>
        <w:pStyle w:val="Heading3"/>
      </w:pPr>
      <w:r w:rsidRPr="00B64587">
        <w:t>Leads</w:t>
      </w:r>
    </w:p>
    <w:p w14:paraId="2E810ABC" w14:textId="33B072FD" w:rsidR="00F958D4" w:rsidRDefault="00F958D4" w:rsidP="009417CD">
      <w:r>
        <w:t xml:space="preserve">Stakeholder input into </w:t>
      </w:r>
      <w:r w:rsidR="003A47A4">
        <w:t>S</w:t>
      </w:r>
      <w:r>
        <w:t xml:space="preserve">tage 1 identified that leads in subgroup </w:t>
      </w:r>
      <w:r w:rsidRPr="009417CD">
        <w:rPr>
          <w:rStyle w:val="Emphasis"/>
        </w:rPr>
        <w:t>04.04.03.01 - Permanent Lead</w:t>
      </w:r>
      <w:r>
        <w:t xml:space="preserve"> are used in SCS trial procedures. This is despite a dedicated PL </w:t>
      </w:r>
      <w:r w:rsidR="001D359E">
        <w:t>s</w:t>
      </w:r>
      <w:r>
        <w:t>ub</w:t>
      </w:r>
      <w:r w:rsidR="001D359E">
        <w:t>g</w:t>
      </w:r>
      <w:r>
        <w:t xml:space="preserve">roup </w:t>
      </w:r>
      <w:r w:rsidR="001D359E">
        <w:t xml:space="preserve">for trial leads </w:t>
      </w:r>
      <w:r w:rsidRPr="009417CD">
        <w:rPr>
          <w:rStyle w:val="Emphasis"/>
        </w:rPr>
        <w:t>04.05.03.02 - Trial Lead</w:t>
      </w:r>
      <w:r w:rsidR="00943097">
        <w:t xml:space="preserve">, which has a </w:t>
      </w:r>
      <w:r w:rsidR="2E914911">
        <w:t>significantly</w:t>
      </w:r>
      <w:r w:rsidR="00943097">
        <w:t xml:space="preserve"> lower benefit</w:t>
      </w:r>
      <w:r>
        <w:t xml:space="preserve">. The department spoke with clinical stakeholders and sponsors in December 2024 to understand more about </w:t>
      </w:r>
      <w:r w:rsidR="00C14F9D">
        <w:t xml:space="preserve">the type of </w:t>
      </w:r>
      <w:r>
        <w:t>leads claimed in a SCS trial procedure. The stakeholder consultation identified:</w:t>
      </w:r>
    </w:p>
    <w:p w14:paraId="48DE8E72" w14:textId="5A66E4D1" w:rsidR="00F958D4" w:rsidRDefault="001F70A5" w:rsidP="009417CD">
      <w:pPr>
        <w:pStyle w:val="ListBullet"/>
      </w:pPr>
      <w:r>
        <w:t>t</w:t>
      </w:r>
      <w:r w:rsidR="005F1CFB">
        <w:t xml:space="preserve">he funding source </w:t>
      </w:r>
      <w:r w:rsidR="0016652C">
        <w:t xml:space="preserve">for devices used in a trial </w:t>
      </w:r>
      <w:r w:rsidR="005F1CFB">
        <w:t xml:space="preserve">varies </w:t>
      </w:r>
      <w:r w:rsidR="000749ED">
        <w:t>between sponsors</w:t>
      </w:r>
      <w:r>
        <w:t>:</w:t>
      </w:r>
      <w:r w:rsidR="000749ED">
        <w:t xml:space="preserve"> some sponsors provide some components at no charge</w:t>
      </w:r>
      <w:r>
        <w:t>;</w:t>
      </w:r>
      <w:r w:rsidR="000749ED">
        <w:t xml:space="preserve"> some components are reus</w:t>
      </w:r>
      <w:r w:rsidR="00125718">
        <w:t>ed</w:t>
      </w:r>
      <w:r w:rsidR="000749ED">
        <w:t xml:space="preserve"> between patients</w:t>
      </w:r>
      <w:r>
        <w:t>;</w:t>
      </w:r>
      <w:r w:rsidR="000749ED">
        <w:t xml:space="preserve"> and some components are</w:t>
      </w:r>
      <w:r w:rsidR="00234C56">
        <w:t xml:space="preserve"> </w:t>
      </w:r>
      <w:r>
        <w:t>reimbursed through</w:t>
      </w:r>
      <w:r w:rsidR="000749ED">
        <w:t xml:space="preserve"> the PL</w:t>
      </w:r>
    </w:p>
    <w:p w14:paraId="1D0B810F" w14:textId="5227DE3B" w:rsidR="00F958D4" w:rsidRDefault="001F70A5" w:rsidP="009417CD">
      <w:pPr>
        <w:pStyle w:val="ListBullet"/>
      </w:pPr>
      <w:r>
        <w:t>l</w:t>
      </w:r>
      <w:r w:rsidR="00F958D4" w:rsidRPr="003162A1">
        <w:t xml:space="preserve">eads in </w:t>
      </w:r>
      <w:r>
        <w:t>s</w:t>
      </w:r>
      <w:r w:rsidR="00F958D4" w:rsidRPr="003162A1">
        <w:t>ub</w:t>
      </w:r>
      <w:r>
        <w:t>g</w:t>
      </w:r>
      <w:r w:rsidR="00F958D4" w:rsidRPr="003162A1">
        <w:t xml:space="preserve">roup </w:t>
      </w:r>
      <w:r w:rsidRPr="009417CD">
        <w:rPr>
          <w:rStyle w:val="Emphasis"/>
        </w:rPr>
        <w:t>04.05.03.02 - Trial Lead</w:t>
      </w:r>
      <w:r w:rsidRPr="003162A1">
        <w:t xml:space="preserve"> </w:t>
      </w:r>
      <w:r w:rsidR="00F958D4" w:rsidRPr="003162A1">
        <w:t xml:space="preserve">are </w:t>
      </w:r>
      <w:r w:rsidR="000749ED">
        <w:t xml:space="preserve">not </w:t>
      </w:r>
      <w:r w:rsidR="00F958D4" w:rsidRPr="003162A1">
        <w:t xml:space="preserve">currently being </w:t>
      </w:r>
      <w:r w:rsidR="008F15A0">
        <w:t>supplied</w:t>
      </w:r>
      <w:r w:rsidR="00F958D4" w:rsidRPr="003162A1">
        <w:t xml:space="preserve"> in Australia</w:t>
      </w:r>
    </w:p>
    <w:p w14:paraId="79F94275" w14:textId="150D4C3D" w:rsidR="00CE71EE" w:rsidRPr="003162A1" w:rsidRDefault="001F70A5" w:rsidP="009417CD">
      <w:pPr>
        <w:pStyle w:val="ListBullet"/>
      </w:pPr>
      <w:r>
        <w:t>l</w:t>
      </w:r>
      <w:r w:rsidR="00CE71EE">
        <w:t xml:space="preserve">eads </w:t>
      </w:r>
      <w:r>
        <w:t>in s</w:t>
      </w:r>
      <w:r w:rsidR="00CE71EE">
        <w:t>ub</w:t>
      </w:r>
      <w:r>
        <w:t>g</w:t>
      </w:r>
      <w:r w:rsidR="00CE71EE">
        <w:t xml:space="preserve">roup </w:t>
      </w:r>
      <w:r w:rsidRPr="009417CD">
        <w:rPr>
          <w:rStyle w:val="Emphasis"/>
        </w:rPr>
        <w:t>04.04.03.01 - Permanent Lead</w:t>
      </w:r>
      <w:r>
        <w:t xml:space="preserve"> </w:t>
      </w:r>
      <w:r w:rsidR="00CE71EE">
        <w:t xml:space="preserve">are used in both trial and </w:t>
      </w:r>
      <w:r w:rsidR="00C53324">
        <w:t xml:space="preserve">permanent </w:t>
      </w:r>
      <w:r w:rsidR="00CF6F19">
        <w:t xml:space="preserve">SCS </w:t>
      </w:r>
      <w:r w:rsidR="00A97CEF">
        <w:t>implants</w:t>
      </w:r>
    </w:p>
    <w:p w14:paraId="10340572" w14:textId="245C95AC" w:rsidR="003F7D22" w:rsidRPr="003F7D22" w:rsidRDefault="001F70A5" w:rsidP="009417CD">
      <w:pPr>
        <w:pStyle w:val="ListBullet"/>
      </w:pPr>
      <w:r>
        <w:t>in most cases, l</w:t>
      </w:r>
      <w:r w:rsidR="00F958D4" w:rsidRPr="003162A1">
        <w:t>eads used in a SCS trial are removed</w:t>
      </w:r>
      <w:r>
        <w:t xml:space="preserve"> </w:t>
      </w:r>
      <w:r w:rsidR="0068760A">
        <w:t xml:space="preserve">after </w:t>
      </w:r>
      <w:r w:rsidR="00156B07">
        <w:t>the</w:t>
      </w:r>
      <w:r w:rsidR="0068760A">
        <w:t xml:space="preserve"> trial is comple</w:t>
      </w:r>
      <w:r>
        <w:t>te</w:t>
      </w:r>
    </w:p>
    <w:p w14:paraId="5D62E787" w14:textId="7232091A" w:rsidR="00F958D4" w:rsidRDefault="001F70A5" w:rsidP="009417CD">
      <w:pPr>
        <w:pStyle w:val="ListBullet"/>
      </w:pPr>
      <w:r>
        <w:t>n</w:t>
      </w:r>
      <w:r w:rsidR="0068760A">
        <w:t>ew leads are implanted</w:t>
      </w:r>
      <w:r w:rsidR="004744C1">
        <w:t xml:space="preserve"> </w:t>
      </w:r>
      <w:r w:rsidR="003F7D22">
        <w:t>if</w:t>
      </w:r>
      <w:r w:rsidR="00F958D4" w:rsidRPr="003162A1">
        <w:t xml:space="preserve"> a patient goes onto have a permanent SCS</w:t>
      </w:r>
      <w:r w:rsidR="00156B07">
        <w:t xml:space="preserve"> after a successful trial</w:t>
      </w:r>
    </w:p>
    <w:p w14:paraId="54B6F9E6" w14:textId="1C516159" w:rsidR="0016652C" w:rsidRDefault="001F70A5" w:rsidP="009417CD">
      <w:pPr>
        <w:pStyle w:val="ListBullet"/>
      </w:pPr>
      <w:r w:rsidRPr="0016652C">
        <w:t>s</w:t>
      </w:r>
      <w:r w:rsidR="00F958D4" w:rsidRPr="0016652C">
        <w:t>ponsor</w:t>
      </w:r>
      <w:r w:rsidR="003F7D22" w:rsidRPr="0016652C">
        <w:t xml:space="preserve"> technicians provide varying</w:t>
      </w:r>
      <w:r w:rsidR="00F958D4" w:rsidRPr="0016652C">
        <w:t xml:space="preserve"> </w:t>
      </w:r>
      <w:r w:rsidR="003F7D22" w:rsidRPr="0016652C">
        <w:t xml:space="preserve">levels of </w:t>
      </w:r>
      <w:r w:rsidR="00F958D4" w:rsidRPr="0016652C">
        <w:t xml:space="preserve">support </w:t>
      </w:r>
      <w:r w:rsidR="003F7D22" w:rsidRPr="0016652C">
        <w:t xml:space="preserve">to </w:t>
      </w:r>
      <w:r w:rsidR="00F958D4" w:rsidRPr="0016652C">
        <w:t>surgeons</w:t>
      </w:r>
      <w:r w:rsidR="00D17AAA">
        <w:t>,</w:t>
      </w:r>
      <w:r w:rsidR="00F958D4" w:rsidRPr="0016652C">
        <w:t xml:space="preserve"> </w:t>
      </w:r>
      <w:r w:rsidR="003F7D22" w:rsidRPr="0016652C">
        <w:t>such as</w:t>
      </w:r>
      <w:r w:rsidR="00F958D4" w:rsidRPr="0016652C">
        <w:t xml:space="preserve"> device programming</w:t>
      </w:r>
      <w:r w:rsidR="003F7D22" w:rsidRPr="0016652C">
        <w:t xml:space="preserve"> during and/or after the procedure</w:t>
      </w:r>
      <w:r w:rsidR="00F958D4" w:rsidRPr="0016652C">
        <w:t xml:space="preserve"> and patient monitoring</w:t>
      </w:r>
      <w:r w:rsidR="00156B07" w:rsidRPr="0016652C">
        <w:t>.</w:t>
      </w:r>
    </w:p>
    <w:p w14:paraId="3439AF0D" w14:textId="48AFDEC6" w:rsidR="00386BA7" w:rsidRPr="009417CD" w:rsidRDefault="00386BA7" w:rsidP="009417CD">
      <w:r w:rsidRPr="009417CD">
        <w:t xml:space="preserve">After reviewing these findings, the department obtained expert advice on the types of leads and the benefits payable as part of stage 3. </w:t>
      </w:r>
    </w:p>
    <w:p w14:paraId="0F631285" w14:textId="10CD6F76" w:rsidR="00F958D4" w:rsidRPr="0016652C" w:rsidRDefault="00F958D4" w:rsidP="0016652C">
      <w:pPr>
        <w:pStyle w:val="Heading2"/>
      </w:pPr>
      <w:r w:rsidRPr="0016652C">
        <w:t>Stage 3</w:t>
      </w:r>
    </w:p>
    <w:p w14:paraId="66CA2319" w14:textId="77777777" w:rsidR="00F958D4" w:rsidRPr="00B64587" w:rsidRDefault="00F958D4" w:rsidP="000B48AD">
      <w:pPr>
        <w:pStyle w:val="Heading3"/>
      </w:pPr>
      <w:r w:rsidRPr="00B64587">
        <w:t>Implantable pulse generators</w:t>
      </w:r>
    </w:p>
    <w:p w14:paraId="73B16B6B" w14:textId="41F4C4AD" w:rsidR="00F958D4" w:rsidRDefault="005D7AA8" w:rsidP="009417CD">
      <w:r>
        <w:t>As per MDHTAC advice in Stage 2, t</w:t>
      </w:r>
      <w:r w:rsidR="00884F6A">
        <w:t>he</w:t>
      </w:r>
      <w:r w:rsidR="00FD0AAF">
        <w:t xml:space="preserve"> consultant</w:t>
      </w:r>
      <w:r w:rsidR="00F958D4">
        <w:t xml:space="preserve"> was asked to provide</w:t>
      </w:r>
      <w:r w:rsidR="00607555">
        <w:t xml:space="preserve"> </w:t>
      </w:r>
      <w:r w:rsidR="008C3E53">
        <w:t xml:space="preserve">revised benchmarking of SCS IPG </w:t>
      </w:r>
      <w:r w:rsidR="00114AC6">
        <w:t xml:space="preserve">(in grouping </w:t>
      </w:r>
      <w:r w:rsidR="00114AC6" w:rsidRPr="00114AC6">
        <w:t>04.05.01 - Pulse Generators</w:t>
      </w:r>
      <w:r w:rsidR="00114AC6">
        <w:t xml:space="preserve">) </w:t>
      </w:r>
      <w:r w:rsidR="008C3E53">
        <w:t xml:space="preserve">compared </w:t>
      </w:r>
      <w:r w:rsidR="00F958D4">
        <w:t>to DBS IPG</w:t>
      </w:r>
      <w:r>
        <w:t>.</w:t>
      </w:r>
    </w:p>
    <w:p w14:paraId="5DF7D8E2" w14:textId="50C7EBE5" w:rsidR="005A5EC1" w:rsidRDefault="00FE77DA" w:rsidP="009417CD">
      <w:r>
        <w:t xml:space="preserve">The consultant </w:t>
      </w:r>
      <w:r w:rsidR="009956C0">
        <w:t>compared suffixes</w:t>
      </w:r>
      <w:r w:rsidR="009956C0">
        <w:rPr>
          <w:rStyle w:val="FootnoteReference"/>
        </w:rPr>
        <w:footnoteReference w:id="3"/>
      </w:r>
      <w:r w:rsidR="009956C0">
        <w:t xml:space="preserve"> and features across SCS and DBS IPG and </w:t>
      </w:r>
      <w:r w:rsidR="00D17AAA">
        <w:t xml:space="preserve">examined the </w:t>
      </w:r>
      <w:r>
        <w:t xml:space="preserve">MSAC assessment of DBS to understand cost-effectiveness and clinical </w:t>
      </w:r>
      <w:r w:rsidR="002B6121">
        <w:t>justification</w:t>
      </w:r>
      <w:r w:rsidR="009956C0">
        <w:t>.</w:t>
      </w:r>
    </w:p>
    <w:p w14:paraId="16B9F150" w14:textId="3A2E20EB" w:rsidR="001D696A" w:rsidRDefault="00682CAF" w:rsidP="009417CD">
      <w:r>
        <w:t>C</w:t>
      </w:r>
      <w:r w:rsidR="004E4048">
        <w:t>onsultant f</w:t>
      </w:r>
      <w:r w:rsidR="001D696A">
        <w:t>indings</w:t>
      </w:r>
      <w:r w:rsidR="002B4F9D">
        <w:t>:</w:t>
      </w:r>
    </w:p>
    <w:p w14:paraId="1896F029" w14:textId="6B54747E" w:rsidR="00D75971" w:rsidRDefault="00682CAF" w:rsidP="009417CD">
      <w:pPr>
        <w:pStyle w:val="ListBullet"/>
      </w:pPr>
      <w:r>
        <w:t>s</w:t>
      </w:r>
      <w:r w:rsidR="002E581F">
        <w:t>uffixes associated with advance</w:t>
      </w:r>
      <w:r w:rsidR="005D7AA8">
        <w:t>d</w:t>
      </w:r>
      <w:r w:rsidR="002E581F">
        <w:t xml:space="preserve"> features in SCS are no longer r</w:t>
      </w:r>
      <w:r w:rsidR="00FC1624">
        <w:t>elevant and do not justify higher benefits</w:t>
      </w:r>
    </w:p>
    <w:p w14:paraId="0A9BA5D8" w14:textId="789E3DE7" w:rsidR="001D696A" w:rsidRDefault="00682CAF" w:rsidP="009417CD">
      <w:pPr>
        <w:pStyle w:val="ListBullet"/>
      </w:pPr>
      <w:r>
        <w:t>n</w:t>
      </w:r>
      <w:r w:rsidR="001D696A">
        <w:t xml:space="preserve">on-rechargeable SCS IPG </w:t>
      </w:r>
      <w:r w:rsidR="3E5D4EE2">
        <w:t xml:space="preserve">are suitable to </w:t>
      </w:r>
      <w:r w:rsidR="424B0A00">
        <w:t xml:space="preserve">be </w:t>
      </w:r>
      <w:r w:rsidR="001D696A">
        <w:t xml:space="preserve">benchmarked </w:t>
      </w:r>
      <w:r w:rsidR="00C40E06">
        <w:t xml:space="preserve">against </w:t>
      </w:r>
      <w:r w:rsidR="001D696A">
        <w:t>dual channel DBS IPG</w:t>
      </w:r>
    </w:p>
    <w:p w14:paraId="5A22C8A1" w14:textId="506FED30" w:rsidR="00F82954" w:rsidRDefault="00682CAF" w:rsidP="009417CD">
      <w:pPr>
        <w:pStyle w:val="ListBullet"/>
      </w:pPr>
      <w:r>
        <w:t>r</w:t>
      </w:r>
      <w:r w:rsidR="001D696A">
        <w:t xml:space="preserve">echargeable SCS IPG </w:t>
      </w:r>
      <w:r w:rsidR="7F76B8AB">
        <w:t xml:space="preserve">are suitable to </w:t>
      </w:r>
      <w:r w:rsidR="751B0CFC">
        <w:t xml:space="preserve">be </w:t>
      </w:r>
      <w:r w:rsidR="001D696A">
        <w:t xml:space="preserve">benchmarked </w:t>
      </w:r>
      <w:r w:rsidR="00C40E06">
        <w:t xml:space="preserve">against </w:t>
      </w:r>
      <w:r w:rsidR="001D696A">
        <w:t xml:space="preserve">rechargeable dual channel </w:t>
      </w:r>
      <w:r w:rsidR="005916C0">
        <w:t xml:space="preserve">DBS </w:t>
      </w:r>
      <w:r w:rsidR="001D696A">
        <w:t>IPG</w:t>
      </w:r>
      <w:r w:rsidR="00C1727B">
        <w:t>.</w:t>
      </w:r>
    </w:p>
    <w:p w14:paraId="49020592" w14:textId="1E7A6FE1" w:rsidR="00F958D4" w:rsidRDefault="005D7AA8" w:rsidP="009417CD">
      <w:r>
        <w:t xml:space="preserve">The </w:t>
      </w:r>
      <w:r w:rsidR="00682CAF">
        <w:t xml:space="preserve">consultant </w:t>
      </w:r>
      <w:r w:rsidR="00584E63">
        <w:t xml:space="preserve">recommended </w:t>
      </w:r>
      <w:r w:rsidR="00682CAF">
        <w:t xml:space="preserve">the following adjustment to the benefits for </w:t>
      </w:r>
      <w:r w:rsidR="00584E63">
        <w:t>SCS IPG</w:t>
      </w:r>
      <w:r w:rsidR="00682CAF">
        <w:t>:</w:t>
      </w:r>
    </w:p>
    <w:tbl>
      <w:tblPr>
        <w:tblStyle w:val="DepartmentofHealthtable"/>
        <w:tblW w:w="9252" w:type="dxa"/>
        <w:tblLayout w:type="fixed"/>
        <w:tblLook w:val="06A0" w:firstRow="1" w:lastRow="0" w:firstColumn="1" w:lastColumn="0" w:noHBand="1" w:noVBand="1"/>
      </w:tblPr>
      <w:tblGrid>
        <w:gridCol w:w="1680"/>
        <w:gridCol w:w="1279"/>
        <w:gridCol w:w="2003"/>
        <w:gridCol w:w="1312"/>
        <w:gridCol w:w="1239"/>
        <w:gridCol w:w="1739"/>
      </w:tblGrid>
      <w:tr w:rsidR="00F958D4" w:rsidRPr="00256124" w14:paraId="640419FA" w14:textId="77777777" w:rsidTr="00FE2A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0" w:type="dxa"/>
          </w:tcPr>
          <w:p w14:paraId="6D9C8C8D" w14:textId="2CC7EE91" w:rsidR="00F958D4" w:rsidRPr="009417CD" w:rsidRDefault="00114AC6" w:rsidP="009417CD">
            <w:pPr>
              <w:pStyle w:val="TableHeaderWhite"/>
            </w:pPr>
            <w:r w:rsidRPr="009417CD">
              <w:t>Device type in 04.05.01 - Pulse Generators</w:t>
            </w:r>
          </w:p>
        </w:tc>
        <w:tc>
          <w:tcPr>
            <w:tcW w:w="1279" w:type="dxa"/>
          </w:tcPr>
          <w:p w14:paraId="29C8E73F" w14:textId="3FE5AEC2" w:rsidR="00F958D4" w:rsidRPr="009417CD" w:rsidRDefault="00F958D4" w:rsidP="009417CD">
            <w:pPr>
              <w:pStyle w:val="TableHeaderWhite"/>
              <w:cnfStyle w:val="100000000000" w:firstRow="1" w:lastRow="0" w:firstColumn="0" w:lastColumn="0" w:oddVBand="0" w:evenVBand="0" w:oddHBand="0" w:evenHBand="0" w:firstRowFirstColumn="0" w:firstRowLastColumn="0" w:lastRowFirstColumn="0" w:lastRowLastColumn="0"/>
            </w:pPr>
            <w:r w:rsidRPr="009417CD">
              <w:t xml:space="preserve">SCS IPG </w:t>
            </w:r>
            <w:r w:rsidR="005D7AA8" w:rsidRPr="009417CD">
              <w:t xml:space="preserve">current </w:t>
            </w:r>
            <w:r w:rsidRPr="009417CD">
              <w:t>benefits</w:t>
            </w:r>
          </w:p>
        </w:tc>
        <w:tc>
          <w:tcPr>
            <w:tcW w:w="2003" w:type="dxa"/>
          </w:tcPr>
          <w:p w14:paraId="1B5C36A1" w14:textId="5B29667B" w:rsidR="00F958D4" w:rsidRPr="009417CD" w:rsidRDefault="00F958D4" w:rsidP="009417CD">
            <w:pPr>
              <w:pStyle w:val="TableHeaderWhite"/>
              <w:cnfStyle w:val="100000000000" w:firstRow="1" w:lastRow="0" w:firstColumn="0" w:lastColumn="0" w:oddVBand="0" w:evenVBand="0" w:oddHBand="0" w:evenHBand="0" w:firstRowFirstColumn="0" w:firstRowLastColumn="0" w:lastRowFirstColumn="0" w:lastRowLastColumn="0"/>
            </w:pPr>
            <w:r w:rsidRPr="009417CD">
              <w:t>DBS IPG</w:t>
            </w:r>
            <w:r w:rsidR="005D7AA8" w:rsidRPr="009417CD">
              <w:t xml:space="preserve"> </w:t>
            </w:r>
            <w:r w:rsidRPr="009417CD">
              <w:t>benefits</w:t>
            </w:r>
          </w:p>
        </w:tc>
        <w:tc>
          <w:tcPr>
            <w:tcW w:w="1312" w:type="dxa"/>
          </w:tcPr>
          <w:p w14:paraId="3BA870B1" w14:textId="77777777" w:rsidR="00F958D4" w:rsidRPr="009417CD" w:rsidRDefault="00F958D4" w:rsidP="009417CD">
            <w:pPr>
              <w:pStyle w:val="TableHeaderWhite"/>
              <w:cnfStyle w:val="100000000000" w:firstRow="1" w:lastRow="0" w:firstColumn="0" w:lastColumn="0" w:oddVBand="0" w:evenVBand="0" w:oddHBand="0" w:evenHBand="0" w:firstRowFirstColumn="0" w:firstRowLastColumn="0" w:lastRowFirstColumn="0" w:lastRowLastColumn="0"/>
            </w:pPr>
            <w:r w:rsidRPr="009417CD">
              <w:t>Proposed SCS IPG benefit</w:t>
            </w:r>
          </w:p>
        </w:tc>
        <w:tc>
          <w:tcPr>
            <w:tcW w:w="1239" w:type="dxa"/>
          </w:tcPr>
          <w:p w14:paraId="47F8049A" w14:textId="77777777" w:rsidR="00F958D4" w:rsidRPr="009417CD" w:rsidRDefault="00F958D4" w:rsidP="009417CD">
            <w:pPr>
              <w:pStyle w:val="TableHeaderWhite"/>
              <w:cnfStyle w:val="100000000000" w:firstRow="1" w:lastRow="0" w:firstColumn="0" w:lastColumn="0" w:oddVBand="0" w:evenVBand="0" w:oddHBand="0" w:evenHBand="0" w:firstRowFirstColumn="0" w:firstRowLastColumn="0" w:lastRowFirstColumn="0" w:lastRowLastColumn="0"/>
            </w:pPr>
            <w:r w:rsidRPr="009417CD">
              <w:t>Difference (%)</w:t>
            </w:r>
          </w:p>
        </w:tc>
        <w:tc>
          <w:tcPr>
            <w:tcW w:w="1739" w:type="dxa"/>
          </w:tcPr>
          <w:p w14:paraId="10D55AAB" w14:textId="77777777" w:rsidR="00F958D4" w:rsidRPr="009417CD" w:rsidRDefault="00F958D4" w:rsidP="009417CD">
            <w:pPr>
              <w:pStyle w:val="TableHeaderWhite"/>
              <w:cnfStyle w:val="100000000000" w:firstRow="1" w:lastRow="0" w:firstColumn="0" w:lastColumn="0" w:oddVBand="0" w:evenVBand="0" w:oddHBand="0" w:evenHBand="0" w:firstRowFirstColumn="0" w:firstRowLastColumn="0" w:lastRowFirstColumn="0" w:lastRowLastColumn="0"/>
            </w:pPr>
            <w:r w:rsidRPr="009417CD">
              <w:t>Billing codes impacted</w:t>
            </w:r>
          </w:p>
        </w:tc>
      </w:tr>
      <w:tr w:rsidR="00F958D4" w:rsidRPr="00256124" w14:paraId="5A26951D" w14:textId="77777777" w:rsidTr="00FE2A22">
        <w:trPr>
          <w:trHeight w:val="300"/>
        </w:trPr>
        <w:tc>
          <w:tcPr>
            <w:cnfStyle w:val="001000000000" w:firstRow="0" w:lastRow="0" w:firstColumn="1" w:lastColumn="0" w:oddVBand="0" w:evenVBand="0" w:oddHBand="0" w:evenHBand="0" w:firstRowFirstColumn="0" w:firstRowLastColumn="0" w:lastRowFirstColumn="0" w:lastRowLastColumn="0"/>
            <w:tcW w:w="1680" w:type="dxa"/>
          </w:tcPr>
          <w:p w14:paraId="0C656D15" w14:textId="77777777" w:rsidR="00F958D4" w:rsidRPr="009417CD" w:rsidRDefault="00F958D4" w:rsidP="009417CD">
            <w:r w:rsidRPr="009417CD">
              <w:t>Non-rechargeable</w:t>
            </w:r>
          </w:p>
        </w:tc>
        <w:tc>
          <w:tcPr>
            <w:tcW w:w="1279" w:type="dxa"/>
          </w:tcPr>
          <w:p w14:paraId="2A166944" w14:textId="77777777" w:rsidR="00F958D4" w:rsidRPr="009417CD" w:rsidRDefault="00F958D4" w:rsidP="009417CD">
            <w:pPr>
              <w:cnfStyle w:val="000000000000" w:firstRow="0" w:lastRow="0" w:firstColumn="0" w:lastColumn="0" w:oddVBand="0" w:evenVBand="0" w:oddHBand="0" w:evenHBand="0" w:firstRowFirstColumn="0" w:firstRowLastColumn="0" w:lastRowFirstColumn="0" w:lastRowLastColumn="0"/>
            </w:pPr>
            <w:r w:rsidRPr="009417CD">
              <w:t>$21,660</w:t>
            </w:r>
          </w:p>
        </w:tc>
        <w:tc>
          <w:tcPr>
            <w:tcW w:w="2003" w:type="dxa"/>
          </w:tcPr>
          <w:p w14:paraId="38D116BE" w14:textId="77777777" w:rsidR="00F958D4" w:rsidRPr="009417CD" w:rsidRDefault="00F958D4" w:rsidP="009417CD">
            <w:pPr>
              <w:cnfStyle w:val="000000000000" w:firstRow="0" w:lastRow="0" w:firstColumn="0" w:lastColumn="0" w:oddVBand="0" w:evenVBand="0" w:oddHBand="0" w:evenHBand="0" w:firstRowFirstColumn="0" w:firstRowLastColumn="0" w:lastRowFirstColumn="0" w:lastRowLastColumn="0"/>
            </w:pPr>
            <w:r w:rsidRPr="009417CD">
              <w:t>$13,592 (dual channel)</w:t>
            </w:r>
          </w:p>
        </w:tc>
        <w:tc>
          <w:tcPr>
            <w:tcW w:w="1312" w:type="dxa"/>
          </w:tcPr>
          <w:p w14:paraId="486243F9" w14:textId="77777777" w:rsidR="00F958D4" w:rsidRPr="009417CD" w:rsidRDefault="00F958D4" w:rsidP="009417CD">
            <w:pPr>
              <w:cnfStyle w:val="000000000000" w:firstRow="0" w:lastRow="0" w:firstColumn="0" w:lastColumn="0" w:oddVBand="0" w:evenVBand="0" w:oddHBand="0" w:evenHBand="0" w:firstRowFirstColumn="0" w:firstRowLastColumn="0" w:lastRowFirstColumn="0" w:lastRowLastColumn="0"/>
            </w:pPr>
            <w:r w:rsidRPr="009417CD">
              <w:t>$13,592</w:t>
            </w:r>
          </w:p>
        </w:tc>
        <w:tc>
          <w:tcPr>
            <w:tcW w:w="1239" w:type="dxa"/>
          </w:tcPr>
          <w:p w14:paraId="7CD69633" w14:textId="77777777" w:rsidR="00F958D4" w:rsidRPr="009417CD" w:rsidRDefault="00F958D4" w:rsidP="009417CD">
            <w:pPr>
              <w:cnfStyle w:val="000000000000" w:firstRow="0" w:lastRow="0" w:firstColumn="0" w:lastColumn="0" w:oddVBand="0" w:evenVBand="0" w:oddHBand="0" w:evenHBand="0" w:firstRowFirstColumn="0" w:firstRowLastColumn="0" w:lastRowFirstColumn="0" w:lastRowLastColumn="0"/>
            </w:pPr>
            <w:r w:rsidRPr="009417CD">
              <w:t>-37.3%</w:t>
            </w:r>
          </w:p>
        </w:tc>
        <w:tc>
          <w:tcPr>
            <w:tcW w:w="1739" w:type="dxa"/>
          </w:tcPr>
          <w:p w14:paraId="4F4D0E33" w14:textId="77777777" w:rsidR="00F958D4" w:rsidRPr="009417CD" w:rsidRDefault="00F958D4" w:rsidP="009417CD">
            <w:pPr>
              <w:cnfStyle w:val="000000000000" w:firstRow="0" w:lastRow="0" w:firstColumn="0" w:lastColumn="0" w:oddVBand="0" w:evenVBand="0" w:oddHBand="0" w:evenHBand="0" w:firstRowFirstColumn="0" w:firstRowLastColumn="0" w:lastRowFirstColumn="0" w:lastRowLastColumn="0"/>
            </w:pPr>
            <w:r w:rsidRPr="009417CD">
              <w:t>SJ379, SJ389, SJ432, BS383</w:t>
            </w:r>
          </w:p>
        </w:tc>
      </w:tr>
      <w:tr w:rsidR="00F958D4" w:rsidRPr="00256124" w14:paraId="5918BCC1" w14:textId="77777777" w:rsidTr="00FE2A22">
        <w:trPr>
          <w:trHeight w:val="300"/>
        </w:trPr>
        <w:tc>
          <w:tcPr>
            <w:cnfStyle w:val="001000000000" w:firstRow="0" w:lastRow="0" w:firstColumn="1" w:lastColumn="0" w:oddVBand="0" w:evenVBand="0" w:oddHBand="0" w:evenHBand="0" w:firstRowFirstColumn="0" w:firstRowLastColumn="0" w:lastRowFirstColumn="0" w:lastRowLastColumn="0"/>
            <w:tcW w:w="1680" w:type="dxa"/>
          </w:tcPr>
          <w:p w14:paraId="15336A88" w14:textId="77777777" w:rsidR="00F958D4" w:rsidRPr="009417CD" w:rsidRDefault="00F958D4" w:rsidP="009417CD">
            <w:r w:rsidRPr="009417CD">
              <w:t>Rechargeable</w:t>
            </w:r>
          </w:p>
        </w:tc>
        <w:tc>
          <w:tcPr>
            <w:tcW w:w="1279" w:type="dxa"/>
          </w:tcPr>
          <w:p w14:paraId="708A9395" w14:textId="77777777" w:rsidR="00F958D4" w:rsidRPr="009417CD" w:rsidRDefault="00F958D4" w:rsidP="009417CD">
            <w:pPr>
              <w:cnfStyle w:val="000000000000" w:firstRow="0" w:lastRow="0" w:firstColumn="0" w:lastColumn="0" w:oddVBand="0" w:evenVBand="0" w:oddHBand="0" w:evenHBand="0" w:firstRowFirstColumn="0" w:firstRowLastColumn="0" w:lastRowFirstColumn="0" w:lastRowLastColumn="0"/>
            </w:pPr>
            <w:r w:rsidRPr="009417CD">
              <w:t xml:space="preserve">$23,465 </w:t>
            </w:r>
          </w:p>
        </w:tc>
        <w:tc>
          <w:tcPr>
            <w:tcW w:w="2003" w:type="dxa"/>
          </w:tcPr>
          <w:p w14:paraId="0F4CB378" w14:textId="77777777" w:rsidR="00F958D4" w:rsidRPr="009417CD" w:rsidRDefault="00F958D4" w:rsidP="009417CD">
            <w:pPr>
              <w:cnfStyle w:val="000000000000" w:firstRow="0" w:lastRow="0" w:firstColumn="0" w:lastColumn="0" w:oddVBand="0" w:evenVBand="0" w:oddHBand="0" w:evenHBand="0" w:firstRowFirstColumn="0" w:firstRowLastColumn="0" w:lastRowFirstColumn="0" w:lastRowLastColumn="0"/>
            </w:pPr>
            <w:r w:rsidRPr="009417CD">
              <w:t>$17,283 (dual channel)</w:t>
            </w:r>
          </w:p>
        </w:tc>
        <w:tc>
          <w:tcPr>
            <w:tcW w:w="1312" w:type="dxa"/>
          </w:tcPr>
          <w:p w14:paraId="0C8DAB49" w14:textId="77777777" w:rsidR="00F958D4" w:rsidRPr="009417CD" w:rsidRDefault="00F958D4" w:rsidP="009417CD">
            <w:pPr>
              <w:cnfStyle w:val="000000000000" w:firstRow="0" w:lastRow="0" w:firstColumn="0" w:lastColumn="0" w:oddVBand="0" w:evenVBand="0" w:oddHBand="0" w:evenHBand="0" w:firstRowFirstColumn="0" w:firstRowLastColumn="0" w:lastRowFirstColumn="0" w:lastRowLastColumn="0"/>
            </w:pPr>
            <w:r w:rsidRPr="009417CD">
              <w:t>$17,283</w:t>
            </w:r>
          </w:p>
        </w:tc>
        <w:tc>
          <w:tcPr>
            <w:tcW w:w="1239" w:type="dxa"/>
          </w:tcPr>
          <w:p w14:paraId="31F0B4D6" w14:textId="77777777" w:rsidR="00F958D4" w:rsidRPr="009417CD" w:rsidRDefault="00F958D4" w:rsidP="009417CD">
            <w:pPr>
              <w:cnfStyle w:val="000000000000" w:firstRow="0" w:lastRow="0" w:firstColumn="0" w:lastColumn="0" w:oddVBand="0" w:evenVBand="0" w:oddHBand="0" w:evenHBand="0" w:firstRowFirstColumn="0" w:firstRowLastColumn="0" w:lastRowFirstColumn="0" w:lastRowLastColumn="0"/>
            </w:pPr>
            <w:r w:rsidRPr="009417CD">
              <w:t>-26.3%</w:t>
            </w:r>
          </w:p>
        </w:tc>
        <w:tc>
          <w:tcPr>
            <w:tcW w:w="1739" w:type="dxa"/>
          </w:tcPr>
          <w:p w14:paraId="7A563ABF" w14:textId="77777777" w:rsidR="00F958D4" w:rsidRPr="009417CD" w:rsidRDefault="00F958D4" w:rsidP="009417CD">
            <w:pPr>
              <w:cnfStyle w:val="000000000000" w:firstRow="0" w:lastRow="0" w:firstColumn="0" w:lastColumn="0" w:oddVBand="0" w:evenVBand="0" w:oddHBand="0" w:evenHBand="0" w:firstRowFirstColumn="0" w:firstRowLastColumn="0" w:lastRowFirstColumn="0" w:lastRowLastColumn="0"/>
            </w:pPr>
            <w:r w:rsidRPr="009417CD">
              <w:t>UY003, BS389, QQ660, SJ374, BS330, WW003, WW021</w:t>
            </w:r>
          </w:p>
        </w:tc>
      </w:tr>
    </w:tbl>
    <w:p w14:paraId="250E0C42" w14:textId="180DCBA5" w:rsidR="00F958D4" w:rsidRDefault="00F958D4" w:rsidP="009417CD">
      <w:r>
        <w:t xml:space="preserve">MDHTAC </w:t>
      </w:r>
      <w:r w:rsidR="00C94F63">
        <w:t>discussed</w:t>
      </w:r>
      <w:r>
        <w:t xml:space="preserve"> the</w:t>
      </w:r>
      <w:r w:rsidR="005D7AA8">
        <w:t xml:space="preserve"> consultant findings and recommendations </w:t>
      </w:r>
      <w:r>
        <w:t>at their May</w:t>
      </w:r>
      <w:r w:rsidR="005D7AA8">
        <w:t> </w:t>
      </w:r>
      <w:r>
        <w:t xml:space="preserve">2025 meeting. The MDHTAC agreed with the proposed benefits and advised the department to consider reducing the benefits as per the </w:t>
      </w:r>
      <w:r w:rsidR="005D7AA8">
        <w:t>recommendation</w:t>
      </w:r>
      <w:r>
        <w:t>.</w:t>
      </w:r>
    </w:p>
    <w:p w14:paraId="26F91925" w14:textId="6A0A9444" w:rsidR="00F958D4" w:rsidRPr="00B64587" w:rsidRDefault="00F958D4" w:rsidP="000B48AD">
      <w:pPr>
        <w:pStyle w:val="Heading3"/>
      </w:pPr>
      <w:r w:rsidRPr="00B64587">
        <w:t>Leads</w:t>
      </w:r>
    </w:p>
    <w:p w14:paraId="3D4659C3" w14:textId="4F7E8D18" w:rsidR="00F958D4" w:rsidRDefault="00607555" w:rsidP="009417CD">
      <w:r>
        <w:t>The consultant</w:t>
      </w:r>
      <w:r w:rsidR="00F958D4">
        <w:t xml:space="preserve"> was asked to provide </w:t>
      </w:r>
      <w:r>
        <w:t xml:space="preserve">expert HTA advice </w:t>
      </w:r>
      <w:r w:rsidR="00F958D4">
        <w:t>on</w:t>
      </w:r>
      <w:r w:rsidR="7C70CD52">
        <w:t>:</w:t>
      </w:r>
    </w:p>
    <w:p w14:paraId="4EEE65F4" w14:textId="0314A430" w:rsidR="00F958D4" w:rsidRDefault="005D7AA8" w:rsidP="009417CD">
      <w:pPr>
        <w:pStyle w:val="ListBullet"/>
      </w:pPr>
      <w:r>
        <w:t>t</w:t>
      </w:r>
      <w:r w:rsidR="00F958D4">
        <w:t xml:space="preserve">he </w:t>
      </w:r>
      <w:r w:rsidR="00E955E8">
        <w:t>charac</w:t>
      </w:r>
      <w:r w:rsidR="003A341E">
        <w:t xml:space="preserve">teristics and </w:t>
      </w:r>
      <w:r w:rsidR="00F958D4">
        <w:t xml:space="preserve">differences </w:t>
      </w:r>
      <w:r w:rsidR="003472C9">
        <w:t xml:space="preserve">in </w:t>
      </w:r>
      <w:r w:rsidR="003A341E">
        <w:t xml:space="preserve">technology </w:t>
      </w:r>
      <w:r w:rsidR="003472C9">
        <w:t xml:space="preserve">between leads with different benefit </w:t>
      </w:r>
      <w:r w:rsidR="00C73F4F">
        <w:t>settings</w:t>
      </w:r>
    </w:p>
    <w:p w14:paraId="0FA79717" w14:textId="09001D3B" w:rsidR="00BF715C" w:rsidRDefault="005D7AA8" w:rsidP="009417CD">
      <w:pPr>
        <w:pStyle w:val="ListBullet"/>
      </w:pPr>
      <w:r>
        <w:t>t</w:t>
      </w:r>
      <w:r w:rsidR="00832C04">
        <w:t>he composition</w:t>
      </w:r>
      <w:r w:rsidR="00C50D70">
        <w:t>, structure and function of trial leads (</w:t>
      </w:r>
      <w:r w:rsidR="000F2750">
        <w:t xml:space="preserve">on the ARTG or internationally) </w:t>
      </w:r>
      <w:r w:rsidR="00524453">
        <w:t xml:space="preserve">compared to </w:t>
      </w:r>
      <w:r w:rsidR="000F2750">
        <w:t>permanent leads</w:t>
      </w:r>
    </w:p>
    <w:p w14:paraId="2ACA32DC" w14:textId="505E2B5C" w:rsidR="00F958D4" w:rsidRDefault="005D7AA8" w:rsidP="009417CD">
      <w:pPr>
        <w:pStyle w:val="ListBullet"/>
      </w:pPr>
      <w:r>
        <w:t>t</w:t>
      </w:r>
      <w:r w:rsidR="00BF715C">
        <w:t xml:space="preserve">he </w:t>
      </w:r>
      <w:r w:rsidR="00F958D4">
        <w:t>practice of using leads in a trial</w:t>
      </w:r>
      <w:r w:rsidR="00BF715C">
        <w:t xml:space="preserve"> procedure</w:t>
      </w:r>
    </w:p>
    <w:p w14:paraId="2A0DE702" w14:textId="2AD59196" w:rsidR="00F958D4" w:rsidRDefault="005D7AA8" w:rsidP="009417CD">
      <w:pPr>
        <w:pStyle w:val="ListBullet"/>
      </w:pPr>
      <w:r>
        <w:t>o</w:t>
      </w:r>
      <w:r w:rsidR="00F958D4">
        <w:t xml:space="preserve">ptions </w:t>
      </w:r>
      <w:r w:rsidR="000F2750">
        <w:t>to determine the appropriate benefit for</w:t>
      </w:r>
      <w:r w:rsidR="00F958D4">
        <w:t xml:space="preserve"> leads when used in a SCS trial procedure</w:t>
      </w:r>
      <w:r w:rsidR="00932EB4">
        <w:t>.</w:t>
      </w:r>
    </w:p>
    <w:p w14:paraId="105F26A0" w14:textId="453AB1A3" w:rsidR="00421EB1" w:rsidRDefault="002375AE" w:rsidP="009417CD">
      <w:r>
        <w:t xml:space="preserve">The consultant </w:t>
      </w:r>
      <w:r w:rsidR="00700CA1">
        <w:t xml:space="preserve">used PL and MBS claims data, </w:t>
      </w:r>
      <w:r w:rsidR="002D57FB">
        <w:t>publicly</w:t>
      </w:r>
      <w:r w:rsidR="00700CA1">
        <w:t xml:space="preserve"> available product information</w:t>
      </w:r>
      <w:r w:rsidR="00A53BE3">
        <w:t>,</w:t>
      </w:r>
      <w:r w:rsidR="00700CA1">
        <w:t xml:space="preserve"> and </w:t>
      </w:r>
      <w:r w:rsidR="00A53BE3">
        <w:t xml:space="preserve">conducted </w:t>
      </w:r>
      <w:r w:rsidR="00700CA1">
        <w:t xml:space="preserve">a desktop review of </w:t>
      </w:r>
      <w:r w:rsidR="002D57FB">
        <w:t>comparative clinical and cost-effective evidence.</w:t>
      </w:r>
    </w:p>
    <w:p w14:paraId="00FA9C45" w14:textId="23384334" w:rsidR="00F958D4" w:rsidRPr="0058555B" w:rsidRDefault="00682CAF" w:rsidP="009417CD">
      <w:r>
        <w:t>C</w:t>
      </w:r>
      <w:r w:rsidR="004E4048">
        <w:t>onsultant f</w:t>
      </w:r>
      <w:r w:rsidR="00F958D4" w:rsidRPr="629BA1C6">
        <w:t>inding</w:t>
      </w:r>
      <w:r w:rsidR="00FD7AAE" w:rsidRPr="629BA1C6">
        <w:t>s</w:t>
      </w:r>
      <w:r w:rsidR="00C14F9D">
        <w:t>:</w:t>
      </w:r>
    </w:p>
    <w:p w14:paraId="2949B63F" w14:textId="69477F38" w:rsidR="00F958D4" w:rsidRDefault="00E276EE" w:rsidP="009417CD">
      <w:pPr>
        <w:pStyle w:val="ListBullet"/>
      </w:pPr>
      <w:r>
        <w:t xml:space="preserve">leads, in </w:t>
      </w:r>
      <w:r w:rsidR="005D7AA8">
        <w:t>t</w:t>
      </w:r>
      <w:r w:rsidR="00352C9F">
        <w:t xml:space="preserve">rial procedures can </w:t>
      </w:r>
      <w:r>
        <w:t xml:space="preserve">be used according to </w:t>
      </w:r>
      <w:r w:rsidR="00CB26B7">
        <w:t xml:space="preserve">2 </w:t>
      </w:r>
      <w:r w:rsidR="00A53BE3">
        <w:t xml:space="preserve">different </w:t>
      </w:r>
      <w:r w:rsidR="008F15A0">
        <w:t>approaches</w:t>
      </w:r>
      <w:r w:rsidR="00CB26B7">
        <w:t xml:space="preserve">: </w:t>
      </w:r>
      <w:r w:rsidRPr="00E276EE">
        <w:t>‘temporary’ where the lead</w:t>
      </w:r>
      <w:r>
        <w:t>/</w:t>
      </w:r>
      <w:r w:rsidRPr="00E276EE">
        <w:t xml:space="preserve">s </w:t>
      </w:r>
      <w:r>
        <w:t xml:space="preserve">are </w:t>
      </w:r>
      <w:r w:rsidRPr="00E276EE">
        <w:t>removed after the trial or ‘permanent’ where the lead</w:t>
      </w:r>
      <w:r>
        <w:t>/s</w:t>
      </w:r>
      <w:r w:rsidRPr="00E276EE">
        <w:t xml:space="preserve"> </w:t>
      </w:r>
      <w:r>
        <w:t xml:space="preserve">are </w:t>
      </w:r>
      <w:r w:rsidRPr="00E276EE">
        <w:t>retained and used with the IPG after successful tria</w:t>
      </w:r>
      <w:r>
        <w:t>l</w:t>
      </w:r>
      <w:r w:rsidR="00CB26B7">
        <w:t>. No evidence was identified to support one approach over the other and there is international variation</w:t>
      </w:r>
    </w:p>
    <w:p w14:paraId="218963E2" w14:textId="25E93637" w:rsidR="00F958D4" w:rsidRDefault="005D7AA8" w:rsidP="009417CD">
      <w:pPr>
        <w:pStyle w:val="ListBullet"/>
      </w:pPr>
      <w:r>
        <w:t>n</w:t>
      </w:r>
      <w:r w:rsidR="00F958D4" w:rsidRPr="00EC15BD">
        <w:t xml:space="preserve">o evidence </w:t>
      </w:r>
      <w:r w:rsidR="00F958D4">
        <w:t xml:space="preserve">was </w:t>
      </w:r>
      <w:r w:rsidR="00F958D4" w:rsidRPr="00EC15BD">
        <w:t xml:space="preserve">identified to suggest </w:t>
      </w:r>
      <w:r w:rsidR="00F958D4">
        <w:t xml:space="preserve">leads used </w:t>
      </w:r>
      <w:r w:rsidR="00877B8B">
        <w:t xml:space="preserve">in </w:t>
      </w:r>
      <w:r w:rsidR="00FF4328">
        <w:t xml:space="preserve">temporary </w:t>
      </w:r>
      <w:r w:rsidR="00F958D4">
        <w:t>tri</w:t>
      </w:r>
      <w:r w:rsidR="007A5C12">
        <w:t>a</w:t>
      </w:r>
      <w:r w:rsidR="00F958D4">
        <w:t>l procedures</w:t>
      </w:r>
      <w:r w:rsidR="00F958D4" w:rsidRPr="00EC15BD">
        <w:t xml:space="preserve"> differ in composition or structure </w:t>
      </w:r>
      <w:r w:rsidR="00F958D4">
        <w:t xml:space="preserve">compared </w:t>
      </w:r>
      <w:r w:rsidR="00F958D4" w:rsidRPr="00EC15BD">
        <w:t xml:space="preserve">to </w:t>
      </w:r>
      <w:r w:rsidR="00F958D4">
        <w:t>leads used in permanent procedur</w:t>
      </w:r>
      <w:r w:rsidR="00DF3092">
        <w:t>es</w:t>
      </w:r>
    </w:p>
    <w:p w14:paraId="63D31C9F" w14:textId="7D9819FA" w:rsidR="0019000F" w:rsidRPr="009417CD" w:rsidRDefault="0019000F" w:rsidP="009417CD">
      <w:pPr>
        <w:pStyle w:val="ListBullet"/>
      </w:pPr>
      <w:r w:rsidRPr="009417CD">
        <w:t xml:space="preserve">leads listed in </w:t>
      </w:r>
      <w:r>
        <w:t xml:space="preserve">subgroup </w:t>
      </w:r>
      <w:r w:rsidRPr="009417CD">
        <w:rPr>
          <w:rStyle w:val="Emphasis"/>
        </w:rPr>
        <w:t>04.04.03.01 - Permanent Lead</w:t>
      </w:r>
      <w:r>
        <w:t xml:space="preserve"> are used for both trial and definitive procedures</w:t>
      </w:r>
      <w:r w:rsidR="00C1727B">
        <w:t>. N</w:t>
      </w:r>
      <w:r w:rsidR="00C1727B" w:rsidRPr="009417CD">
        <w:t>o strong evidence was identified to justify higher benefits for</w:t>
      </w:r>
      <w:r w:rsidR="00237C1F" w:rsidRPr="009417CD">
        <w:t>:</w:t>
      </w:r>
    </w:p>
    <w:p w14:paraId="03A49B60" w14:textId="7F8AED69" w:rsidR="0019000F" w:rsidRPr="00BB2E75" w:rsidRDefault="0019000F" w:rsidP="009417CD">
      <w:pPr>
        <w:pStyle w:val="ListBullet2"/>
      </w:pPr>
      <w:r w:rsidRPr="00BB2E75">
        <w:t>paddle leads</w:t>
      </w:r>
      <w:r w:rsidR="009956C0">
        <w:t xml:space="preserve"> </w:t>
      </w:r>
      <w:r w:rsidR="00237C1F">
        <w:t>(H</w:t>
      </w:r>
      <w:r>
        <w:t>owever</w:t>
      </w:r>
      <w:r w:rsidR="00A53BE3">
        <w:t>,</w:t>
      </w:r>
      <w:r>
        <w:t xml:space="preserve"> paddle leads have low usage and tend to </w:t>
      </w:r>
      <w:r w:rsidR="00A53BE3">
        <w:t xml:space="preserve">only </w:t>
      </w:r>
      <w:r>
        <w:t>be used for a select group of patients</w:t>
      </w:r>
      <w:r w:rsidR="00237C1F">
        <w:t>)</w:t>
      </w:r>
    </w:p>
    <w:p w14:paraId="6655398B" w14:textId="022C21C0" w:rsidR="002B6121" w:rsidRPr="00C1727B" w:rsidRDefault="0019000F" w:rsidP="009417CD">
      <w:pPr>
        <w:pStyle w:val="ListBullet2"/>
      </w:pPr>
      <w:r>
        <w:t>leads with higher numbers of electrodes</w:t>
      </w:r>
    </w:p>
    <w:p w14:paraId="76DFD58D" w14:textId="6ED11666" w:rsidR="005D7AA8" w:rsidRDefault="00E71F3A" w:rsidP="009417CD">
      <w:r>
        <w:t>C</w:t>
      </w:r>
      <w:r w:rsidR="005D7AA8">
        <w:t>onsultant recommendations:</w:t>
      </w:r>
    </w:p>
    <w:p w14:paraId="4AEC0EAD" w14:textId="4D0EEF1C" w:rsidR="00F958D4" w:rsidRPr="00EA2592" w:rsidRDefault="005D7AA8" w:rsidP="009417CD">
      <w:pPr>
        <w:pStyle w:val="ListBullet"/>
      </w:pPr>
      <w:r>
        <w:t>c</w:t>
      </w:r>
      <w:r w:rsidR="000A0ED5">
        <w:t xml:space="preserve">onsider removing </w:t>
      </w:r>
      <w:r w:rsidR="0019000F">
        <w:t xml:space="preserve">subgroup </w:t>
      </w:r>
      <w:r w:rsidR="0019000F" w:rsidRPr="009417CD">
        <w:rPr>
          <w:rStyle w:val="Emphasis"/>
        </w:rPr>
        <w:t>04.05.03.02 - Trial Lead</w:t>
      </w:r>
      <w:r w:rsidR="0019000F" w:rsidRPr="009417CD">
        <w:t xml:space="preserve"> </w:t>
      </w:r>
      <w:r w:rsidR="00F958D4">
        <w:t>from the PL</w:t>
      </w:r>
      <w:r w:rsidR="000D789A">
        <w:t xml:space="preserve"> due to redundancy</w:t>
      </w:r>
    </w:p>
    <w:p w14:paraId="5CFBDAE3" w14:textId="1FE7FBB2" w:rsidR="00F958D4" w:rsidRDefault="0019000F" w:rsidP="009417CD">
      <w:pPr>
        <w:pStyle w:val="ListBullet"/>
      </w:pPr>
      <w:r>
        <w:t>c</w:t>
      </w:r>
      <w:r w:rsidR="000D789A">
        <w:t xml:space="preserve">onsider removing </w:t>
      </w:r>
      <w:r>
        <w:t>e</w:t>
      </w:r>
      <w:r w:rsidR="000D789A">
        <w:t xml:space="preserve">xternal pulse generators (EPGs) from the PL </w:t>
      </w:r>
    </w:p>
    <w:p w14:paraId="4267B5E1" w14:textId="3D0656F4" w:rsidR="00584E63" w:rsidRPr="00584E63" w:rsidRDefault="0019000F" w:rsidP="009417CD">
      <w:pPr>
        <w:pStyle w:val="ListBullet"/>
      </w:pPr>
      <w:r>
        <w:t>c</w:t>
      </w:r>
      <w:r w:rsidR="00BA4142">
        <w:t xml:space="preserve">onsider removing accessory devices that are known to be </w:t>
      </w:r>
      <w:r w:rsidR="00207BD6">
        <w:t>packaged in kits with leads (</w:t>
      </w:r>
      <w:r w:rsidR="005511D9">
        <w:t>e</w:t>
      </w:r>
      <w:r w:rsidR="00C520CF">
        <w:t>.</w:t>
      </w:r>
      <w:r w:rsidR="005511D9">
        <w:t xml:space="preserve">g. </w:t>
      </w:r>
      <w:r>
        <w:t>l</w:t>
      </w:r>
      <w:r w:rsidR="005511D9">
        <w:t>ead anchors, epidural needles, tunnelling tool)</w:t>
      </w:r>
      <w:r w:rsidR="000D789A">
        <w:t xml:space="preserve"> from the PL</w:t>
      </w:r>
    </w:p>
    <w:p w14:paraId="666188C9" w14:textId="364F043A" w:rsidR="0019000F" w:rsidRPr="009417CD" w:rsidRDefault="0019000F" w:rsidP="009417CD">
      <w:pPr>
        <w:pStyle w:val="ListBullet"/>
      </w:pPr>
      <w:r w:rsidRPr="009417CD">
        <w:t xml:space="preserve">for leads listed in </w:t>
      </w:r>
      <w:r>
        <w:t xml:space="preserve">subgroup </w:t>
      </w:r>
      <w:r w:rsidRPr="009417CD">
        <w:rPr>
          <w:rStyle w:val="Emphasis"/>
        </w:rPr>
        <w:t>04.04.03.01 - Permanent Lead:</w:t>
      </w:r>
    </w:p>
    <w:p w14:paraId="125C1F61" w14:textId="557A6E13" w:rsidR="004F7376" w:rsidRPr="009417CD" w:rsidRDefault="0019000F" w:rsidP="009417CD">
      <w:pPr>
        <w:pStyle w:val="ListBullet2"/>
      </w:pPr>
      <w:r>
        <w:t>c</w:t>
      </w:r>
      <w:r w:rsidR="004F7376">
        <w:t>onside</w:t>
      </w:r>
      <w:r w:rsidR="004F7376" w:rsidRPr="009417CD">
        <w:t>r separating surgical and percutaneous leads</w:t>
      </w:r>
    </w:p>
    <w:p w14:paraId="420FF56E" w14:textId="7B7118FF" w:rsidR="0019000F" w:rsidRPr="009417CD" w:rsidRDefault="0019000F" w:rsidP="009417CD">
      <w:pPr>
        <w:pStyle w:val="ListBullet2"/>
      </w:pPr>
      <w:r w:rsidRPr="009417CD">
        <w:t>for paddle leads, consider a benefit that is 1.5 times that of percutaneous leads (O</w:t>
      </w:r>
      <w:r w:rsidR="00B44A7B" w:rsidRPr="009417CD">
        <w:t>ption</w:t>
      </w:r>
      <w:r w:rsidRPr="009417CD">
        <w:t xml:space="preserve"> 1 in table below)</w:t>
      </w:r>
    </w:p>
    <w:p w14:paraId="7C33E1E2" w14:textId="7B1FDF3F" w:rsidR="0019000F" w:rsidRPr="0019000F" w:rsidRDefault="0019000F" w:rsidP="009417CD">
      <w:pPr>
        <w:pStyle w:val="ListBullet2"/>
      </w:pPr>
      <w:r w:rsidRPr="009417CD">
        <w:t>consider reducing or removing the benefit premium for 8 electrodes or more (O</w:t>
      </w:r>
      <w:r w:rsidR="00B44A7B" w:rsidRPr="009417CD">
        <w:t>ption</w:t>
      </w:r>
      <w:r w:rsidRPr="009417CD">
        <w:t xml:space="preserve"> 2 i</w:t>
      </w:r>
      <w:r>
        <w:t>n table below)</w:t>
      </w:r>
    </w:p>
    <w:tbl>
      <w:tblPr>
        <w:tblStyle w:val="TableGrid"/>
        <w:tblW w:w="9498" w:type="dxa"/>
        <w:tblInd w:w="-15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702"/>
        <w:gridCol w:w="1559"/>
        <w:gridCol w:w="1134"/>
        <w:gridCol w:w="1276"/>
        <w:gridCol w:w="1275"/>
        <w:gridCol w:w="1276"/>
        <w:gridCol w:w="1276"/>
      </w:tblGrid>
      <w:tr w:rsidR="00C1698C" w:rsidRPr="0099633A" w14:paraId="72CA9F17" w14:textId="77777777" w:rsidTr="002B6121">
        <w:trPr>
          <w:cantSplit/>
          <w:trHeight w:val="300"/>
          <w:tblHeader/>
        </w:trPr>
        <w:tc>
          <w:tcPr>
            <w:tcW w:w="1702" w:type="dxa"/>
            <w:tcBorders>
              <w:bottom w:val="dotted" w:sz="6" w:space="0" w:color="808080" w:themeColor="background1" w:themeShade="80"/>
            </w:tcBorders>
            <w:shd w:val="clear" w:color="auto" w:fill="4A578A"/>
            <w:tcMar>
              <w:left w:w="105" w:type="dxa"/>
              <w:right w:w="105" w:type="dxa"/>
            </w:tcMar>
          </w:tcPr>
          <w:p w14:paraId="0DED9FA3" w14:textId="1B75775D" w:rsidR="00F958D4" w:rsidRPr="009417CD" w:rsidRDefault="00114AC6" w:rsidP="009417CD">
            <w:pPr>
              <w:pStyle w:val="TableHeaderWhite"/>
            </w:pPr>
            <w:r w:rsidRPr="009417CD">
              <w:t>Device type in 04.05.03.01 - Permanent Lead</w:t>
            </w:r>
          </w:p>
        </w:tc>
        <w:tc>
          <w:tcPr>
            <w:tcW w:w="1559" w:type="dxa"/>
            <w:shd w:val="clear" w:color="auto" w:fill="4A578A"/>
            <w:tcMar>
              <w:left w:w="105" w:type="dxa"/>
              <w:right w:w="105" w:type="dxa"/>
            </w:tcMar>
          </w:tcPr>
          <w:p w14:paraId="7011E93C" w14:textId="77777777" w:rsidR="00F958D4" w:rsidRPr="009417CD" w:rsidRDefault="00F958D4" w:rsidP="009417CD">
            <w:pPr>
              <w:pStyle w:val="TableHeaderWhite"/>
            </w:pPr>
            <w:r w:rsidRPr="009417CD">
              <w:t>Suffix</w:t>
            </w:r>
          </w:p>
        </w:tc>
        <w:tc>
          <w:tcPr>
            <w:tcW w:w="1134" w:type="dxa"/>
            <w:shd w:val="clear" w:color="auto" w:fill="4A578A"/>
            <w:tcMar>
              <w:left w:w="105" w:type="dxa"/>
              <w:right w:w="105" w:type="dxa"/>
            </w:tcMar>
          </w:tcPr>
          <w:p w14:paraId="7A2D8566" w14:textId="77777777" w:rsidR="00F958D4" w:rsidRPr="009417CD" w:rsidRDefault="00F958D4" w:rsidP="009417CD">
            <w:pPr>
              <w:pStyle w:val="TableHeaderWhite"/>
            </w:pPr>
            <w:r w:rsidRPr="009417CD">
              <w:t>Current Benefit</w:t>
            </w:r>
          </w:p>
        </w:tc>
        <w:tc>
          <w:tcPr>
            <w:tcW w:w="1276" w:type="dxa"/>
            <w:shd w:val="clear" w:color="auto" w:fill="4A578A"/>
            <w:tcMar>
              <w:left w:w="105" w:type="dxa"/>
              <w:right w:w="105" w:type="dxa"/>
            </w:tcMar>
          </w:tcPr>
          <w:p w14:paraId="6B5B2522" w14:textId="4DFAE79C" w:rsidR="002F63D0" w:rsidRPr="009417CD" w:rsidRDefault="00F958D4" w:rsidP="009417CD">
            <w:pPr>
              <w:pStyle w:val="TableHeaderWhite"/>
            </w:pPr>
            <w:r w:rsidRPr="009417CD">
              <w:t xml:space="preserve">OPTION 1 </w:t>
            </w:r>
            <w:r w:rsidR="0099633A" w:rsidRPr="009417CD">
              <w:t>p</w:t>
            </w:r>
            <w:r w:rsidR="002F63D0" w:rsidRPr="009417CD">
              <w:t>roposed Benefit</w:t>
            </w:r>
          </w:p>
        </w:tc>
        <w:tc>
          <w:tcPr>
            <w:tcW w:w="1275" w:type="dxa"/>
            <w:shd w:val="clear" w:color="auto" w:fill="4A578A"/>
            <w:tcMar>
              <w:left w:w="105" w:type="dxa"/>
              <w:right w:w="105" w:type="dxa"/>
            </w:tcMar>
          </w:tcPr>
          <w:p w14:paraId="22AC8A61" w14:textId="77777777" w:rsidR="00F958D4" w:rsidRPr="009417CD" w:rsidRDefault="00F958D4" w:rsidP="009417CD">
            <w:pPr>
              <w:pStyle w:val="TableHeaderWhite"/>
            </w:pPr>
            <w:r w:rsidRPr="009417CD">
              <w:t>Difference (%)</w:t>
            </w:r>
          </w:p>
        </w:tc>
        <w:tc>
          <w:tcPr>
            <w:tcW w:w="1276" w:type="dxa"/>
            <w:shd w:val="clear" w:color="auto" w:fill="4A578A"/>
            <w:tcMar>
              <w:left w:w="105" w:type="dxa"/>
              <w:right w:w="105" w:type="dxa"/>
            </w:tcMar>
          </w:tcPr>
          <w:p w14:paraId="14D8AFE8" w14:textId="2605B48F" w:rsidR="00F958D4" w:rsidRPr="009417CD" w:rsidRDefault="00F958D4" w:rsidP="009417CD">
            <w:pPr>
              <w:pStyle w:val="TableHeaderWhite"/>
            </w:pPr>
            <w:r w:rsidRPr="009417CD">
              <w:t>OPTION 2</w:t>
            </w:r>
            <w:r w:rsidR="002F63D0" w:rsidRPr="009417CD">
              <w:t xml:space="preserve"> </w:t>
            </w:r>
            <w:r w:rsidR="0099633A" w:rsidRPr="009417CD">
              <w:t>p</w:t>
            </w:r>
            <w:r w:rsidR="002F63D0" w:rsidRPr="009417CD">
              <w:t>roposed Benefit</w:t>
            </w:r>
          </w:p>
        </w:tc>
        <w:tc>
          <w:tcPr>
            <w:tcW w:w="1276" w:type="dxa"/>
            <w:shd w:val="clear" w:color="auto" w:fill="4A578A"/>
            <w:tcMar>
              <w:left w:w="105" w:type="dxa"/>
              <w:right w:w="105" w:type="dxa"/>
            </w:tcMar>
          </w:tcPr>
          <w:p w14:paraId="57E12162" w14:textId="77777777" w:rsidR="00F958D4" w:rsidRPr="009417CD" w:rsidRDefault="00F958D4" w:rsidP="009417CD">
            <w:pPr>
              <w:pStyle w:val="TableHeaderWhite"/>
            </w:pPr>
            <w:r w:rsidRPr="009417CD">
              <w:t>Difference (%)</w:t>
            </w:r>
          </w:p>
        </w:tc>
      </w:tr>
      <w:tr w:rsidR="009417CD" w:rsidRPr="00256124" w14:paraId="379C9D01" w14:textId="77777777" w:rsidTr="00A92C2B">
        <w:trPr>
          <w:cantSplit/>
          <w:trHeight w:val="300"/>
          <w:tblHeader/>
        </w:trPr>
        <w:tc>
          <w:tcPr>
            <w:tcW w:w="1702" w:type="dxa"/>
            <w:vMerge w:val="restart"/>
            <w:tcBorders>
              <w:top w:val="dotted" w:sz="6" w:space="0" w:color="808080" w:themeColor="background1" w:themeShade="80"/>
            </w:tcBorders>
            <w:tcMar>
              <w:left w:w="105" w:type="dxa"/>
              <w:right w:w="105" w:type="dxa"/>
            </w:tcMar>
          </w:tcPr>
          <w:p w14:paraId="6246242C" w14:textId="77777777" w:rsidR="009417CD" w:rsidRPr="009417CD" w:rsidRDefault="009417CD" w:rsidP="009417CD">
            <w:pPr>
              <w:pStyle w:val="Tabletextleft"/>
            </w:pPr>
            <w:r w:rsidRPr="009417CD">
              <w:t>Percutaneous lead</w:t>
            </w:r>
          </w:p>
        </w:tc>
        <w:tc>
          <w:tcPr>
            <w:tcW w:w="1559" w:type="dxa"/>
            <w:tcMar>
              <w:left w:w="105" w:type="dxa"/>
              <w:right w:w="105" w:type="dxa"/>
            </w:tcMar>
          </w:tcPr>
          <w:p w14:paraId="37E69EB3" w14:textId="77777777" w:rsidR="009417CD" w:rsidRPr="009417CD" w:rsidRDefault="009417CD" w:rsidP="009417CD">
            <w:pPr>
              <w:pStyle w:val="Tabletextleft"/>
            </w:pPr>
            <w:r w:rsidRPr="009417CD">
              <w:t>4 electrodes</w:t>
            </w:r>
          </w:p>
        </w:tc>
        <w:tc>
          <w:tcPr>
            <w:tcW w:w="1134" w:type="dxa"/>
            <w:tcMar>
              <w:left w:w="105" w:type="dxa"/>
              <w:right w:w="105" w:type="dxa"/>
            </w:tcMar>
          </w:tcPr>
          <w:p w14:paraId="25631664" w14:textId="77777777" w:rsidR="009417CD" w:rsidRPr="009417CD" w:rsidRDefault="009417CD" w:rsidP="009417CD">
            <w:pPr>
              <w:pStyle w:val="Tabletextleft"/>
            </w:pPr>
            <w:r w:rsidRPr="009417CD">
              <w:t>$3,041</w:t>
            </w:r>
          </w:p>
        </w:tc>
        <w:tc>
          <w:tcPr>
            <w:tcW w:w="1276" w:type="dxa"/>
            <w:vMerge w:val="restart"/>
            <w:tcMar>
              <w:left w:w="105" w:type="dxa"/>
              <w:right w:w="105" w:type="dxa"/>
            </w:tcMar>
          </w:tcPr>
          <w:p w14:paraId="655EBA3D" w14:textId="77777777" w:rsidR="009417CD" w:rsidRPr="009417CD" w:rsidRDefault="009417CD" w:rsidP="009417CD">
            <w:pPr>
              <w:pStyle w:val="Tabletextleft"/>
            </w:pPr>
            <w:r w:rsidRPr="009417CD">
              <w:t>$3,041 (all billing codes)</w:t>
            </w:r>
          </w:p>
        </w:tc>
        <w:tc>
          <w:tcPr>
            <w:tcW w:w="1275" w:type="dxa"/>
            <w:tcMar>
              <w:left w:w="105" w:type="dxa"/>
              <w:right w:w="105" w:type="dxa"/>
            </w:tcMar>
          </w:tcPr>
          <w:p w14:paraId="7E1BB409" w14:textId="77777777" w:rsidR="009417CD" w:rsidRPr="009417CD" w:rsidRDefault="009417CD" w:rsidP="009417CD">
            <w:pPr>
              <w:pStyle w:val="Tabletextleft"/>
            </w:pPr>
            <w:r w:rsidRPr="009417CD">
              <w:t>-</w:t>
            </w:r>
          </w:p>
        </w:tc>
        <w:tc>
          <w:tcPr>
            <w:tcW w:w="1276" w:type="dxa"/>
            <w:tcMar>
              <w:left w:w="105" w:type="dxa"/>
              <w:right w:w="105" w:type="dxa"/>
            </w:tcMar>
          </w:tcPr>
          <w:p w14:paraId="07D6C378" w14:textId="77777777" w:rsidR="009417CD" w:rsidRPr="009417CD" w:rsidRDefault="009417CD" w:rsidP="009417CD">
            <w:pPr>
              <w:pStyle w:val="Tabletextleft"/>
            </w:pPr>
            <w:r w:rsidRPr="009417CD">
              <w:t>$3,041</w:t>
            </w:r>
          </w:p>
        </w:tc>
        <w:tc>
          <w:tcPr>
            <w:tcW w:w="1276" w:type="dxa"/>
            <w:tcMar>
              <w:left w:w="105" w:type="dxa"/>
              <w:right w:w="105" w:type="dxa"/>
            </w:tcMar>
          </w:tcPr>
          <w:p w14:paraId="5515925B" w14:textId="77777777" w:rsidR="009417CD" w:rsidRPr="009417CD" w:rsidRDefault="009417CD" w:rsidP="009417CD">
            <w:pPr>
              <w:pStyle w:val="Tabletextleft"/>
            </w:pPr>
            <w:r w:rsidRPr="009417CD">
              <w:t>-</w:t>
            </w:r>
          </w:p>
        </w:tc>
      </w:tr>
      <w:tr w:rsidR="009417CD" w:rsidRPr="00256124" w14:paraId="52E919E9" w14:textId="77777777" w:rsidTr="00A92C2B">
        <w:trPr>
          <w:cantSplit/>
          <w:trHeight w:val="300"/>
          <w:tblHeader/>
        </w:trPr>
        <w:tc>
          <w:tcPr>
            <w:tcW w:w="1702" w:type="dxa"/>
            <w:vMerge/>
            <w:tcMar>
              <w:left w:w="105" w:type="dxa"/>
              <w:right w:w="105" w:type="dxa"/>
            </w:tcMar>
          </w:tcPr>
          <w:p w14:paraId="0E3FF114" w14:textId="77777777" w:rsidR="009417CD" w:rsidRPr="00256124" w:rsidRDefault="009417CD" w:rsidP="009417CD">
            <w:pPr>
              <w:pStyle w:val="Tabletextleft"/>
            </w:pPr>
          </w:p>
        </w:tc>
        <w:tc>
          <w:tcPr>
            <w:tcW w:w="1559" w:type="dxa"/>
            <w:tcMar>
              <w:left w:w="105" w:type="dxa"/>
              <w:right w:w="105" w:type="dxa"/>
            </w:tcMar>
          </w:tcPr>
          <w:p w14:paraId="46104B35" w14:textId="77777777" w:rsidR="009417CD" w:rsidRPr="009417CD" w:rsidRDefault="009417CD" w:rsidP="009417CD">
            <w:pPr>
              <w:pStyle w:val="Tabletextleft"/>
            </w:pPr>
            <w:r w:rsidRPr="009417CD">
              <w:t>8 electrodes</w:t>
            </w:r>
          </w:p>
        </w:tc>
        <w:tc>
          <w:tcPr>
            <w:tcW w:w="1134" w:type="dxa"/>
            <w:tcMar>
              <w:left w:w="105" w:type="dxa"/>
              <w:right w:w="105" w:type="dxa"/>
            </w:tcMar>
          </w:tcPr>
          <w:p w14:paraId="7A21F9E8" w14:textId="77777777" w:rsidR="009417CD" w:rsidRPr="009417CD" w:rsidRDefault="009417CD" w:rsidP="009417CD">
            <w:pPr>
              <w:pStyle w:val="Tabletextleft"/>
            </w:pPr>
            <w:r w:rsidRPr="009417CD">
              <w:t>$3,817</w:t>
            </w:r>
          </w:p>
        </w:tc>
        <w:tc>
          <w:tcPr>
            <w:tcW w:w="1276" w:type="dxa"/>
            <w:vMerge/>
            <w:tcMar>
              <w:left w:w="105" w:type="dxa"/>
              <w:right w:w="105" w:type="dxa"/>
            </w:tcMar>
          </w:tcPr>
          <w:p w14:paraId="047D2854" w14:textId="77777777" w:rsidR="009417CD" w:rsidRPr="00256124" w:rsidRDefault="009417CD" w:rsidP="009417CD">
            <w:pPr>
              <w:pStyle w:val="Tabletextleft"/>
            </w:pPr>
          </w:p>
        </w:tc>
        <w:tc>
          <w:tcPr>
            <w:tcW w:w="1275" w:type="dxa"/>
            <w:tcMar>
              <w:left w:w="105" w:type="dxa"/>
              <w:right w:w="105" w:type="dxa"/>
            </w:tcMar>
          </w:tcPr>
          <w:p w14:paraId="5080D97C" w14:textId="77777777" w:rsidR="009417CD" w:rsidRPr="009417CD" w:rsidRDefault="009417CD" w:rsidP="009417CD">
            <w:pPr>
              <w:pStyle w:val="Tabletextleft"/>
            </w:pPr>
            <w:r w:rsidRPr="009417CD">
              <w:t>-20.3%</w:t>
            </w:r>
          </w:p>
        </w:tc>
        <w:tc>
          <w:tcPr>
            <w:tcW w:w="1276" w:type="dxa"/>
            <w:tcMar>
              <w:left w:w="105" w:type="dxa"/>
              <w:right w:w="105" w:type="dxa"/>
            </w:tcMar>
          </w:tcPr>
          <w:p w14:paraId="7A244202" w14:textId="77777777" w:rsidR="009417CD" w:rsidRPr="009417CD" w:rsidRDefault="009417CD" w:rsidP="009417CD">
            <w:pPr>
              <w:pStyle w:val="Tabletextleft"/>
            </w:pPr>
            <w:r w:rsidRPr="009417CD">
              <w:t>$3,817</w:t>
            </w:r>
          </w:p>
        </w:tc>
        <w:tc>
          <w:tcPr>
            <w:tcW w:w="1276" w:type="dxa"/>
            <w:tcMar>
              <w:left w:w="105" w:type="dxa"/>
              <w:right w:w="105" w:type="dxa"/>
            </w:tcMar>
          </w:tcPr>
          <w:p w14:paraId="5C05505E" w14:textId="77777777" w:rsidR="009417CD" w:rsidRPr="009417CD" w:rsidRDefault="009417CD" w:rsidP="009417CD">
            <w:pPr>
              <w:pStyle w:val="Tabletextleft"/>
            </w:pPr>
            <w:r w:rsidRPr="009417CD">
              <w:t>-</w:t>
            </w:r>
          </w:p>
        </w:tc>
      </w:tr>
      <w:tr w:rsidR="009417CD" w:rsidRPr="00256124" w14:paraId="47567F53" w14:textId="77777777" w:rsidTr="00A92C2B">
        <w:trPr>
          <w:cantSplit/>
          <w:trHeight w:val="300"/>
          <w:tblHeader/>
        </w:trPr>
        <w:tc>
          <w:tcPr>
            <w:tcW w:w="1702" w:type="dxa"/>
            <w:vMerge/>
            <w:tcMar>
              <w:left w:w="105" w:type="dxa"/>
              <w:right w:w="105" w:type="dxa"/>
            </w:tcMar>
          </w:tcPr>
          <w:p w14:paraId="5393F1D6" w14:textId="77777777" w:rsidR="009417CD" w:rsidRPr="00256124" w:rsidRDefault="009417CD" w:rsidP="009417CD">
            <w:pPr>
              <w:pStyle w:val="Tabletextleft"/>
            </w:pPr>
          </w:p>
        </w:tc>
        <w:tc>
          <w:tcPr>
            <w:tcW w:w="1559" w:type="dxa"/>
            <w:tcMar>
              <w:left w:w="105" w:type="dxa"/>
              <w:right w:w="105" w:type="dxa"/>
            </w:tcMar>
          </w:tcPr>
          <w:p w14:paraId="6DB171AF" w14:textId="77777777" w:rsidR="009417CD" w:rsidRPr="009417CD" w:rsidRDefault="009417CD" w:rsidP="009417CD">
            <w:pPr>
              <w:pStyle w:val="Tabletextleft"/>
            </w:pPr>
            <w:r w:rsidRPr="009417CD">
              <w:t>&gt;8 electrodes</w:t>
            </w:r>
          </w:p>
        </w:tc>
        <w:tc>
          <w:tcPr>
            <w:tcW w:w="1134" w:type="dxa"/>
            <w:tcMar>
              <w:left w:w="105" w:type="dxa"/>
              <w:right w:w="105" w:type="dxa"/>
            </w:tcMar>
          </w:tcPr>
          <w:p w14:paraId="4B6349B3" w14:textId="77777777" w:rsidR="009417CD" w:rsidRPr="009417CD" w:rsidRDefault="009417CD" w:rsidP="009417CD">
            <w:pPr>
              <w:pStyle w:val="Tabletextleft"/>
            </w:pPr>
            <w:r w:rsidRPr="009417CD">
              <w:t>$6,895</w:t>
            </w:r>
          </w:p>
        </w:tc>
        <w:tc>
          <w:tcPr>
            <w:tcW w:w="1276" w:type="dxa"/>
            <w:vMerge/>
            <w:tcMar>
              <w:left w:w="105" w:type="dxa"/>
              <w:right w:w="105" w:type="dxa"/>
            </w:tcMar>
          </w:tcPr>
          <w:p w14:paraId="3B0F2D12" w14:textId="77777777" w:rsidR="009417CD" w:rsidRPr="00256124" w:rsidRDefault="009417CD" w:rsidP="009417CD">
            <w:pPr>
              <w:pStyle w:val="Tabletextleft"/>
            </w:pPr>
          </w:p>
        </w:tc>
        <w:tc>
          <w:tcPr>
            <w:tcW w:w="1275" w:type="dxa"/>
            <w:tcMar>
              <w:left w:w="105" w:type="dxa"/>
              <w:right w:w="105" w:type="dxa"/>
            </w:tcMar>
          </w:tcPr>
          <w:p w14:paraId="5040EB99" w14:textId="77777777" w:rsidR="009417CD" w:rsidRPr="009417CD" w:rsidRDefault="009417CD" w:rsidP="009417CD">
            <w:pPr>
              <w:pStyle w:val="Tabletextleft"/>
            </w:pPr>
            <w:r w:rsidRPr="009417CD">
              <w:t>-55.9%</w:t>
            </w:r>
          </w:p>
        </w:tc>
        <w:tc>
          <w:tcPr>
            <w:tcW w:w="1276" w:type="dxa"/>
            <w:tcMar>
              <w:left w:w="105" w:type="dxa"/>
              <w:right w:w="105" w:type="dxa"/>
            </w:tcMar>
          </w:tcPr>
          <w:p w14:paraId="659B212D" w14:textId="77777777" w:rsidR="009417CD" w:rsidRPr="009417CD" w:rsidRDefault="009417CD" w:rsidP="009417CD">
            <w:pPr>
              <w:pStyle w:val="Tabletextleft"/>
            </w:pPr>
            <w:r w:rsidRPr="009417CD">
              <w:t>$4,593</w:t>
            </w:r>
          </w:p>
        </w:tc>
        <w:tc>
          <w:tcPr>
            <w:tcW w:w="1276" w:type="dxa"/>
            <w:tcMar>
              <w:left w:w="105" w:type="dxa"/>
              <w:right w:w="105" w:type="dxa"/>
            </w:tcMar>
          </w:tcPr>
          <w:p w14:paraId="0B5497F6" w14:textId="77777777" w:rsidR="009417CD" w:rsidRPr="009417CD" w:rsidRDefault="009417CD" w:rsidP="009417CD">
            <w:pPr>
              <w:pStyle w:val="Tabletextleft"/>
            </w:pPr>
            <w:r w:rsidRPr="009417CD">
              <w:t>-33.4%</w:t>
            </w:r>
          </w:p>
        </w:tc>
      </w:tr>
      <w:tr w:rsidR="009417CD" w:rsidRPr="00256124" w14:paraId="1AD43AB5" w14:textId="77777777" w:rsidTr="00A92C2B">
        <w:trPr>
          <w:cantSplit/>
          <w:trHeight w:val="300"/>
          <w:tblHeader/>
        </w:trPr>
        <w:tc>
          <w:tcPr>
            <w:tcW w:w="1702" w:type="dxa"/>
            <w:vMerge/>
            <w:tcBorders>
              <w:bottom w:val="single" w:sz="12" w:space="0" w:color="000000" w:themeColor="text1" w:themeShade="00"/>
            </w:tcBorders>
            <w:tcMar>
              <w:left w:w="105" w:type="dxa"/>
              <w:right w:w="105" w:type="dxa"/>
            </w:tcMar>
          </w:tcPr>
          <w:p w14:paraId="5C5F6D84" w14:textId="77777777" w:rsidR="009417CD" w:rsidRPr="00256124" w:rsidRDefault="009417CD" w:rsidP="009417CD">
            <w:pPr>
              <w:pStyle w:val="Tabletextleft"/>
            </w:pPr>
          </w:p>
        </w:tc>
        <w:tc>
          <w:tcPr>
            <w:tcW w:w="1559" w:type="dxa"/>
            <w:tcBorders>
              <w:bottom w:val="single" w:sz="12" w:space="0" w:color="000000" w:themeColor="text1"/>
            </w:tcBorders>
            <w:tcMar>
              <w:left w:w="105" w:type="dxa"/>
              <w:right w:w="105" w:type="dxa"/>
            </w:tcMar>
          </w:tcPr>
          <w:p w14:paraId="53F93D0A" w14:textId="3952B055" w:rsidR="009417CD" w:rsidRPr="009417CD" w:rsidRDefault="009417CD" w:rsidP="009417CD">
            <w:pPr>
              <w:pStyle w:val="Tabletextleft"/>
            </w:pPr>
            <w:r w:rsidRPr="009417CD">
              <w:t>&gt;8 electrodes bifurcated proximal tail</w:t>
            </w:r>
          </w:p>
        </w:tc>
        <w:tc>
          <w:tcPr>
            <w:tcW w:w="1134" w:type="dxa"/>
            <w:tcMar>
              <w:left w:w="105" w:type="dxa"/>
              <w:right w:w="105" w:type="dxa"/>
            </w:tcMar>
          </w:tcPr>
          <w:p w14:paraId="1BA78B8A" w14:textId="77777777" w:rsidR="009417CD" w:rsidRPr="009417CD" w:rsidRDefault="009417CD" w:rsidP="009417CD">
            <w:pPr>
              <w:pStyle w:val="Tabletextleft"/>
            </w:pPr>
            <w:r w:rsidRPr="009417CD">
              <w:t>$8,123</w:t>
            </w:r>
          </w:p>
        </w:tc>
        <w:tc>
          <w:tcPr>
            <w:tcW w:w="1276" w:type="dxa"/>
            <w:vMerge/>
            <w:tcMar>
              <w:left w:w="105" w:type="dxa"/>
              <w:right w:w="105" w:type="dxa"/>
            </w:tcMar>
          </w:tcPr>
          <w:p w14:paraId="05A0FDFC" w14:textId="77777777" w:rsidR="009417CD" w:rsidRPr="00256124" w:rsidRDefault="009417CD" w:rsidP="009417CD">
            <w:pPr>
              <w:pStyle w:val="Tabletextleft"/>
            </w:pPr>
          </w:p>
        </w:tc>
        <w:tc>
          <w:tcPr>
            <w:tcW w:w="1275" w:type="dxa"/>
            <w:tcMar>
              <w:left w:w="105" w:type="dxa"/>
              <w:right w:w="105" w:type="dxa"/>
            </w:tcMar>
          </w:tcPr>
          <w:p w14:paraId="0C3C5FA7" w14:textId="77777777" w:rsidR="009417CD" w:rsidRPr="009417CD" w:rsidRDefault="009417CD" w:rsidP="009417CD">
            <w:pPr>
              <w:pStyle w:val="Tabletextleft"/>
            </w:pPr>
            <w:r w:rsidRPr="009417CD">
              <w:t>-62.5%</w:t>
            </w:r>
          </w:p>
        </w:tc>
        <w:tc>
          <w:tcPr>
            <w:tcW w:w="1276" w:type="dxa"/>
            <w:tcMar>
              <w:left w:w="105" w:type="dxa"/>
              <w:right w:w="105" w:type="dxa"/>
            </w:tcMar>
          </w:tcPr>
          <w:p w14:paraId="032E3881" w14:textId="77777777" w:rsidR="009417CD" w:rsidRPr="009417CD" w:rsidRDefault="009417CD" w:rsidP="009417CD">
            <w:pPr>
              <w:pStyle w:val="Tabletextleft"/>
            </w:pPr>
            <w:r w:rsidRPr="009417CD">
              <w:t>$5,821</w:t>
            </w:r>
          </w:p>
        </w:tc>
        <w:tc>
          <w:tcPr>
            <w:tcW w:w="1276" w:type="dxa"/>
            <w:tcMar>
              <w:left w:w="105" w:type="dxa"/>
              <w:right w:w="105" w:type="dxa"/>
            </w:tcMar>
          </w:tcPr>
          <w:p w14:paraId="1F3A4E22" w14:textId="77777777" w:rsidR="009417CD" w:rsidRPr="009417CD" w:rsidRDefault="009417CD" w:rsidP="009417CD">
            <w:pPr>
              <w:pStyle w:val="Tabletextleft"/>
            </w:pPr>
            <w:r w:rsidRPr="009417CD">
              <w:t>-28%</w:t>
            </w:r>
          </w:p>
        </w:tc>
      </w:tr>
      <w:tr w:rsidR="009417CD" w:rsidRPr="00256124" w14:paraId="4D2CE07C" w14:textId="77777777" w:rsidTr="00EA3B84">
        <w:trPr>
          <w:cantSplit/>
          <w:trHeight w:val="300"/>
          <w:tblHeader/>
        </w:trPr>
        <w:tc>
          <w:tcPr>
            <w:tcW w:w="1702" w:type="dxa"/>
            <w:vMerge w:val="restart"/>
            <w:tcBorders>
              <w:top w:val="single" w:sz="12" w:space="0" w:color="000000" w:themeColor="text1" w:themeShade="00"/>
            </w:tcBorders>
            <w:tcMar>
              <w:left w:w="105" w:type="dxa"/>
              <w:right w:w="105" w:type="dxa"/>
            </w:tcMar>
          </w:tcPr>
          <w:p w14:paraId="5ADCFFC1" w14:textId="77777777" w:rsidR="009417CD" w:rsidRPr="009417CD" w:rsidRDefault="009417CD" w:rsidP="009417CD">
            <w:pPr>
              <w:pStyle w:val="Tabletextleft"/>
            </w:pPr>
            <w:r w:rsidRPr="009417CD">
              <w:t>Epidural paddle lead</w:t>
            </w:r>
          </w:p>
        </w:tc>
        <w:tc>
          <w:tcPr>
            <w:tcW w:w="1559" w:type="dxa"/>
            <w:tcBorders>
              <w:top w:val="single" w:sz="12" w:space="0" w:color="000000" w:themeColor="text1"/>
            </w:tcBorders>
            <w:tcMar>
              <w:left w:w="105" w:type="dxa"/>
              <w:right w:w="105" w:type="dxa"/>
            </w:tcMar>
          </w:tcPr>
          <w:p w14:paraId="6B4C6C52" w14:textId="77777777" w:rsidR="009417CD" w:rsidRPr="009417CD" w:rsidRDefault="009417CD" w:rsidP="009417CD">
            <w:pPr>
              <w:pStyle w:val="Tabletextleft"/>
            </w:pPr>
            <w:r w:rsidRPr="009417CD">
              <w:t>greater than 8 and less than 32 electrodes</w:t>
            </w:r>
          </w:p>
        </w:tc>
        <w:tc>
          <w:tcPr>
            <w:tcW w:w="1134" w:type="dxa"/>
            <w:tcMar>
              <w:left w:w="105" w:type="dxa"/>
              <w:right w:w="105" w:type="dxa"/>
            </w:tcMar>
          </w:tcPr>
          <w:p w14:paraId="6DE4847E" w14:textId="77777777" w:rsidR="009417CD" w:rsidRPr="009417CD" w:rsidRDefault="009417CD" w:rsidP="009417CD">
            <w:pPr>
              <w:pStyle w:val="Tabletextleft"/>
            </w:pPr>
            <w:r w:rsidRPr="009417CD">
              <w:t>$6,895</w:t>
            </w:r>
          </w:p>
        </w:tc>
        <w:tc>
          <w:tcPr>
            <w:tcW w:w="1276" w:type="dxa"/>
            <w:vMerge w:val="restart"/>
            <w:tcMar>
              <w:left w:w="105" w:type="dxa"/>
              <w:right w:w="105" w:type="dxa"/>
            </w:tcMar>
          </w:tcPr>
          <w:p w14:paraId="72BBB59B" w14:textId="77777777" w:rsidR="009417CD" w:rsidRPr="009417CD" w:rsidRDefault="009417CD" w:rsidP="009417CD">
            <w:pPr>
              <w:pStyle w:val="Tabletextleft"/>
            </w:pPr>
            <w:r w:rsidRPr="009417CD">
              <w:t>$4,561.50 (all billing codes)</w:t>
            </w:r>
          </w:p>
        </w:tc>
        <w:tc>
          <w:tcPr>
            <w:tcW w:w="1275" w:type="dxa"/>
            <w:tcMar>
              <w:left w:w="105" w:type="dxa"/>
              <w:right w:w="105" w:type="dxa"/>
            </w:tcMar>
          </w:tcPr>
          <w:p w14:paraId="2632E170" w14:textId="77777777" w:rsidR="009417CD" w:rsidRPr="009417CD" w:rsidRDefault="009417CD" w:rsidP="009417CD">
            <w:pPr>
              <w:pStyle w:val="Tabletextleft"/>
            </w:pPr>
            <w:r w:rsidRPr="009417CD">
              <w:t xml:space="preserve">-33.8% </w:t>
            </w:r>
          </w:p>
        </w:tc>
        <w:tc>
          <w:tcPr>
            <w:tcW w:w="1276" w:type="dxa"/>
            <w:tcMar>
              <w:left w:w="105" w:type="dxa"/>
              <w:right w:w="105" w:type="dxa"/>
            </w:tcMar>
          </w:tcPr>
          <w:p w14:paraId="08FF4F58" w14:textId="77777777" w:rsidR="009417CD" w:rsidRPr="009417CD" w:rsidRDefault="009417CD" w:rsidP="009417CD">
            <w:pPr>
              <w:pStyle w:val="Tabletextleft"/>
            </w:pPr>
            <w:r w:rsidRPr="009417CD">
              <w:t>$5,725.50</w:t>
            </w:r>
          </w:p>
        </w:tc>
        <w:tc>
          <w:tcPr>
            <w:tcW w:w="1276" w:type="dxa"/>
            <w:tcMar>
              <w:left w:w="105" w:type="dxa"/>
              <w:right w:w="105" w:type="dxa"/>
            </w:tcMar>
          </w:tcPr>
          <w:p w14:paraId="4593ABA6" w14:textId="77777777" w:rsidR="009417CD" w:rsidRPr="009417CD" w:rsidRDefault="009417CD" w:rsidP="009417CD">
            <w:pPr>
              <w:pStyle w:val="Tabletextleft"/>
            </w:pPr>
            <w:r w:rsidRPr="009417CD">
              <w:t>-29.5%</w:t>
            </w:r>
          </w:p>
        </w:tc>
      </w:tr>
      <w:tr w:rsidR="009417CD" w:rsidRPr="00256124" w14:paraId="28281391" w14:textId="77777777" w:rsidTr="00EA3B84">
        <w:trPr>
          <w:cantSplit/>
          <w:trHeight w:val="300"/>
          <w:tblHeader/>
        </w:trPr>
        <w:tc>
          <w:tcPr>
            <w:tcW w:w="1702" w:type="dxa"/>
            <w:vMerge/>
            <w:tcMar>
              <w:left w:w="105" w:type="dxa"/>
              <w:right w:w="105" w:type="dxa"/>
            </w:tcMar>
          </w:tcPr>
          <w:p w14:paraId="4DACE570" w14:textId="77777777" w:rsidR="009417CD" w:rsidRPr="00256124" w:rsidRDefault="009417CD" w:rsidP="009417CD">
            <w:pPr>
              <w:pStyle w:val="Tabletextleft"/>
            </w:pPr>
          </w:p>
        </w:tc>
        <w:tc>
          <w:tcPr>
            <w:tcW w:w="1559" w:type="dxa"/>
            <w:tcMar>
              <w:left w:w="105" w:type="dxa"/>
              <w:right w:w="105" w:type="dxa"/>
            </w:tcMar>
          </w:tcPr>
          <w:p w14:paraId="7CEAE535" w14:textId="5DCEB122" w:rsidR="009417CD" w:rsidRPr="009417CD" w:rsidRDefault="009417CD" w:rsidP="009417CD">
            <w:pPr>
              <w:pStyle w:val="Tabletextleft"/>
            </w:pPr>
            <w:r w:rsidRPr="009417CD">
              <w:t>greater than 8 and less than 32 electrodes, bifurcated proximal tail</w:t>
            </w:r>
          </w:p>
        </w:tc>
        <w:tc>
          <w:tcPr>
            <w:tcW w:w="1134" w:type="dxa"/>
            <w:tcMar>
              <w:left w:w="105" w:type="dxa"/>
              <w:right w:w="105" w:type="dxa"/>
            </w:tcMar>
          </w:tcPr>
          <w:p w14:paraId="5A681531" w14:textId="77777777" w:rsidR="009417CD" w:rsidRPr="009417CD" w:rsidRDefault="009417CD" w:rsidP="009417CD">
            <w:pPr>
              <w:pStyle w:val="Tabletextleft"/>
            </w:pPr>
            <w:r w:rsidRPr="009417CD">
              <w:t>$8,123</w:t>
            </w:r>
          </w:p>
        </w:tc>
        <w:tc>
          <w:tcPr>
            <w:tcW w:w="1276" w:type="dxa"/>
            <w:vMerge/>
            <w:tcMar>
              <w:left w:w="105" w:type="dxa"/>
              <w:right w:w="105" w:type="dxa"/>
            </w:tcMar>
          </w:tcPr>
          <w:p w14:paraId="6601EB37" w14:textId="77777777" w:rsidR="009417CD" w:rsidRPr="00256124" w:rsidRDefault="009417CD" w:rsidP="009417CD">
            <w:pPr>
              <w:pStyle w:val="Tabletextleft"/>
            </w:pPr>
          </w:p>
        </w:tc>
        <w:tc>
          <w:tcPr>
            <w:tcW w:w="1275" w:type="dxa"/>
            <w:tcMar>
              <w:left w:w="105" w:type="dxa"/>
              <w:right w:w="105" w:type="dxa"/>
            </w:tcMar>
          </w:tcPr>
          <w:p w14:paraId="72A984D4" w14:textId="77777777" w:rsidR="009417CD" w:rsidRPr="009417CD" w:rsidRDefault="009417CD" w:rsidP="009417CD">
            <w:pPr>
              <w:pStyle w:val="Tabletextleft"/>
            </w:pPr>
            <w:r w:rsidRPr="009417CD">
              <w:t xml:space="preserve">-43.8%  </w:t>
            </w:r>
          </w:p>
        </w:tc>
        <w:tc>
          <w:tcPr>
            <w:tcW w:w="1276" w:type="dxa"/>
            <w:tcMar>
              <w:left w:w="105" w:type="dxa"/>
              <w:right w:w="105" w:type="dxa"/>
            </w:tcMar>
          </w:tcPr>
          <w:p w14:paraId="6C59AFC6" w14:textId="77777777" w:rsidR="009417CD" w:rsidRPr="009417CD" w:rsidRDefault="009417CD" w:rsidP="009417CD">
            <w:pPr>
              <w:pStyle w:val="Tabletextleft"/>
            </w:pPr>
            <w:r w:rsidRPr="009417CD">
              <w:t>$6,953.50</w:t>
            </w:r>
          </w:p>
        </w:tc>
        <w:tc>
          <w:tcPr>
            <w:tcW w:w="1276" w:type="dxa"/>
            <w:tcMar>
              <w:left w:w="105" w:type="dxa"/>
              <w:right w:w="105" w:type="dxa"/>
            </w:tcMar>
          </w:tcPr>
          <w:p w14:paraId="47B93B63" w14:textId="77777777" w:rsidR="009417CD" w:rsidRPr="009417CD" w:rsidRDefault="009417CD" w:rsidP="009417CD">
            <w:pPr>
              <w:pStyle w:val="Tabletextleft"/>
            </w:pPr>
            <w:r w:rsidRPr="009417CD">
              <w:t>-14.4%</w:t>
            </w:r>
          </w:p>
        </w:tc>
      </w:tr>
      <w:tr w:rsidR="009417CD" w:rsidRPr="00256124" w14:paraId="6A734E4D" w14:textId="77777777" w:rsidTr="00EA3B84">
        <w:trPr>
          <w:cantSplit/>
          <w:trHeight w:val="300"/>
          <w:tblHeader/>
        </w:trPr>
        <w:tc>
          <w:tcPr>
            <w:tcW w:w="1702" w:type="dxa"/>
            <w:vMerge/>
            <w:tcMar>
              <w:left w:w="105" w:type="dxa"/>
              <w:right w:w="105" w:type="dxa"/>
            </w:tcMar>
          </w:tcPr>
          <w:p w14:paraId="248369E9" w14:textId="77777777" w:rsidR="009417CD" w:rsidRPr="00256124" w:rsidRDefault="009417CD" w:rsidP="009417CD">
            <w:pPr>
              <w:pStyle w:val="Tabletextleft"/>
            </w:pPr>
          </w:p>
        </w:tc>
        <w:tc>
          <w:tcPr>
            <w:tcW w:w="1559" w:type="dxa"/>
            <w:tcMar>
              <w:left w:w="105" w:type="dxa"/>
              <w:right w:w="105" w:type="dxa"/>
            </w:tcMar>
          </w:tcPr>
          <w:p w14:paraId="6082C704" w14:textId="77777777" w:rsidR="009417CD" w:rsidRPr="009417CD" w:rsidRDefault="009417CD" w:rsidP="009417CD">
            <w:pPr>
              <w:pStyle w:val="Tabletextleft"/>
            </w:pPr>
            <w:r w:rsidRPr="009417CD">
              <w:t>≥32 electrodes</w:t>
            </w:r>
          </w:p>
        </w:tc>
        <w:tc>
          <w:tcPr>
            <w:tcW w:w="1134" w:type="dxa"/>
            <w:tcMar>
              <w:left w:w="105" w:type="dxa"/>
              <w:right w:w="105" w:type="dxa"/>
            </w:tcMar>
          </w:tcPr>
          <w:p w14:paraId="1419C736" w14:textId="77777777" w:rsidR="009417CD" w:rsidRPr="009417CD" w:rsidRDefault="009417CD" w:rsidP="009417CD">
            <w:pPr>
              <w:pStyle w:val="Tabletextleft"/>
            </w:pPr>
            <w:r w:rsidRPr="009417CD">
              <w:t>$11,011</w:t>
            </w:r>
          </w:p>
        </w:tc>
        <w:tc>
          <w:tcPr>
            <w:tcW w:w="1276" w:type="dxa"/>
            <w:vMerge/>
            <w:tcMar>
              <w:left w:w="105" w:type="dxa"/>
              <w:right w:w="105" w:type="dxa"/>
            </w:tcMar>
          </w:tcPr>
          <w:p w14:paraId="3BFC2587" w14:textId="77777777" w:rsidR="009417CD" w:rsidRPr="00256124" w:rsidRDefault="009417CD" w:rsidP="009417CD">
            <w:pPr>
              <w:pStyle w:val="Tabletextleft"/>
            </w:pPr>
          </w:p>
        </w:tc>
        <w:tc>
          <w:tcPr>
            <w:tcW w:w="1275" w:type="dxa"/>
            <w:tcMar>
              <w:left w:w="105" w:type="dxa"/>
              <w:right w:w="105" w:type="dxa"/>
            </w:tcMar>
          </w:tcPr>
          <w:p w14:paraId="53388DC0" w14:textId="77777777" w:rsidR="009417CD" w:rsidRPr="009417CD" w:rsidRDefault="009417CD" w:rsidP="009417CD">
            <w:pPr>
              <w:pStyle w:val="Tabletextleft"/>
            </w:pPr>
            <w:r w:rsidRPr="009417CD">
              <w:t>-58.6%</w:t>
            </w:r>
          </w:p>
        </w:tc>
        <w:tc>
          <w:tcPr>
            <w:tcW w:w="1276" w:type="dxa"/>
            <w:tcMar>
              <w:left w:w="105" w:type="dxa"/>
              <w:right w:w="105" w:type="dxa"/>
            </w:tcMar>
          </w:tcPr>
          <w:p w14:paraId="3BA2D332" w14:textId="77777777" w:rsidR="009417CD" w:rsidRPr="009417CD" w:rsidRDefault="009417CD" w:rsidP="009417CD">
            <w:pPr>
              <w:pStyle w:val="Tabletextleft"/>
            </w:pPr>
            <w:r w:rsidRPr="009417CD">
              <w:t>$6,501.50</w:t>
            </w:r>
          </w:p>
        </w:tc>
        <w:tc>
          <w:tcPr>
            <w:tcW w:w="1276" w:type="dxa"/>
            <w:tcMar>
              <w:left w:w="105" w:type="dxa"/>
              <w:right w:w="105" w:type="dxa"/>
            </w:tcMar>
          </w:tcPr>
          <w:p w14:paraId="708CF3D6" w14:textId="77777777" w:rsidR="009417CD" w:rsidRPr="009417CD" w:rsidRDefault="009417CD" w:rsidP="009417CD">
            <w:pPr>
              <w:pStyle w:val="Tabletextleft"/>
            </w:pPr>
            <w:r w:rsidRPr="009417CD">
              <w:t>-40.9%</w:t>
            </w:r>
          </w:p>
        </w:tc>
      </w:tr>
    </w:tbl>
    <w:p w14:paraId="7DDFBEE4" w14:textId="2FC10A69" w:rsidR="00952D20" w:rsidRDefault="0099633A" w:rsidP="009417CD">
      <w:r>
        <w:t xml:space="preserve">The </w:t>
      </w:r>
      <w:r w:rsidR="00FE2A22">
        <w:t>MDHTAC discussed the</w:t>
      </w:r>
      <w:r w:rsidR="00F958D4">
        <w:t xml:space="preserve"> </w:t>
      </w:r>
      <w:r w:rsidR="00AA3B61">
        <w:t>consultant findings and recommendation</w:t>
      </w:r>
      <w:r w:rsidR="00B44A7B">
        <w:t xml:space="preserve">s </w:t>
      </w:r>
      <w:r w:rsidR="00FE2A22">
        <w:t>a</w:t>
      </w:r>
      <w:r w:rsidR="00F958D4">
        <w:t xml:space="preserve">t </w:t>
      </w:r>
      <w:r w:rsidR="00C54A79">
        <w:t>their</w:t>
      </w:r>
      <w:r w:rsidR="00FE2A22">
        <w:t xml:space="preserve"> </w:t>
      </w:r>
      <w:r w:rsidR="00F958D4">
        <w:t>May</w:t>
      </w:r>
      <w:r w:rsidR="00B44A7B">
        <w:t> </w:t>
      </w:r>
      <w:r w:rsidR="00F958D4">
        <w:t xml:space="preserve">2025 meeting. </w:t>
      </w:r>
      <w:r w:rsidR="00FE2A22">
        <w:t xml:space="preserve">The MDHTAC agreed with the proposed benefits in </w:t>
      </w:r>
      <w:r w:rsidR="00B44A7B">
        <w:t>O</w:t>
      </w:r>
      <w:r w:rsidR="00FE2A22">
        <w:t xml:space="preserve">ption 1 and advised the department to consider reducing the benefits as per </w:t>
      </w:r>
      <w:r w:rsidR="000B1039">
        <w:t>O</w:t>
      </w:r>
      <w:r w:rsidR="00FE2A22">
        <w:t>ption 1.</w:t>
      </w:r>
      <w:r w:rsidR="00952D20">
        <w:t xml:space="preserve"> The MDHTAC agreed with </w:t>
      </w:r>
      <w:r w:rsidR="0085176C">
        <w:t xml:space="preserve">the </w:t>
      </w:r>
      <w:r w:rsidR="00952D20">
        <w:t xml:space="preserve">proposed removal of </w:t>
      </w:r>
      <w:r w:rsidR="00B44A7B">
        <w:t>s</w:t>
      </w:r>
      <w:r w:rsidR="00952D20">
        <w:t>ub</w:t>
      </w:r>
      <w:r w:rsidR="00B44A7B">
        <w:t>g</w:t>
      </w:r>
      <w:r w:rsidR="00952D20">
        <w:t xml:space="preserve">roup </w:t>
      </w:r>
      <w:r w:rsidR="00952D20" w:rsidRPr="009417CD">
        <w:rPr>
          <w:rStyle w:val="Emphasis"/>
        </w:rPr>
        <w:t>04.05.03.02 – Trial Lead</w:t>
      </w:r>
      <w:r w:rsidR="00952D20">
        <w:t xml:space="preserve"> from the PL due to redundancy.</w:t>
      </w:r>
      <w:r w:rsidR="00584E63">
        <w:t xml:space="preserve"> The MDHTAC advised the department to consider reviewing the benefits payable for leads when used in a SCS trial procedure.</w:t>
      </w:r>
    </w:p>
    <w:p w14:paraId="4C0AAAD7" w14:textId="23C3C1CE" w:rsidR="00D70DF6" w:rsidRPr="009417CD" w:rsidRDefault="00457E6B" w:rsidP="009417CD">
      <w:pPr>
        <w:rPr>
          <w:rStyle w:val="Strong"/>
        </w:rPr>
      </w:pPr>
      <w:r w:rsidRPr="009417CD">
        <w:rPr>
          <w:rStyle w:val="Strong"/>
        </w:rPr>
        <w:t>Benefits payable for l</w:t>
      </w:r>
      <w:r w:rsidR="00D70DF6" w:rsidRPr="009417CD">
        <w:rPr>
          <w:rStyle w:val="Strong"/>
        </w:rPr>
        <w:t>eads used in trial procedures</w:t>
      </w:r>
    </w:p>
    <w:p w14:paraId="22522648" w14:textId="33207740" w:rsidR="0008288F" w:rsidRDefault="00457E6B" w:rsidP="009417CD">
      <w:r>
        <w:t xml:space="preserve">As per MDHTAC advice </w:t>
      </w:r>
      <w:r w:rsidR="0030752F">
        <w:t>the d</w:t>
      </w:r>
      <w:r w:rsidR="000B5F67">
        <w:t xml:space="preserve">epartment </w:t>
      </w:r>
      <w:r w:rsidR="007A3E8E">
        <w:t>considered reviewing the benefits payable for leads when used in a SCS trial procedure. T</w:t>
      </w:r>
      <w:r w:rsidR="0008288F">
        <w:t>he department reviewed:</w:t>
      </w:r>
    </w:p>
    <w:p w14:paraId="642821DE" w14:textId="1867F51C" w:rsidR="0008288F" w:rsidRDefault="009956C0" w:rsidP="009417CD">
      <w:pPr>
        <w:pStyle w:val="ListBullet"/>
      </w:pPr>
      <w:r>
        <w:t xml:space="preserve">HCP1 </w:t>
      </w:r>
      <w:r w:rsidR="0008288F">
        <w:t>data on claims for leads used in spinal cord stimulator trial procedures</w:t>
      </w:r>
    </w:p>
    <w:p w14:paraId="1C30355A" w14:textId="2A109A35" w:rsidR="0008288F" w:rsidRDefault="0008288F" w:rsidP="009417CD">
      <w:pPr>
        <w:pStyle w:val="ListBullet"/>
      </w:pPr>
      <w:hyperlink r:id="rId19" w:history="1">
        <w:r w:rsidRPr="0008288F">
          <w:rPr>
            <w:rStyle w:val="Hyperlink"/>
          </w:rPr>
          <w:t xml:space="preserve">Best Practice Guidelines for Neuromodulation in Pain Management: Insight </w:t>
        </w:r>
        <w:r w:rsidR="00546B88">
          <w:rPr>
            <w:rStyle w:val="Hyperlink"/>
          </w:rPr>
          <w:t>f</w:t>
        </w:r>
        <w:r w:rsidRPr="0008288F">
          <w:rPr>
            <w:rStyle w:val="Hyperlink"/>
          </w:rPr>
          <w:t>rom the Neuromodulation Society of Australia and New Zealand</w:t>
        </w:r>
      </w:hyperlink>
      <w:r>
        <w:t xml:space="preserve"> 2025</w:t>
      </w:r>
    </w:p>
    <w:p w14:paraId="741A411B" w14:textId="6E0A4ADC" w:rsidR="00917AC5" w:rsidRDefault="0083305E" w:rsidP="009417CD">
      <w:r>
        <w:t xml:space="preserve">The </w:t>
      </w:r>
      <w:r w:rsidR="0008288F">
        <w:t xml:space="preserve">Spinal and Neurosurgical Expert Advisory Committee </w:t>
      </w:r>
      <w:r w:rsidR="00FD36AB">
        <w:t>(SNECAG)</w:t>
      </w:r>
      <w:r>
        <w:t xml:space="preserve"> discussed leads used in trial procedures</w:t>
      </w:r>
      <w:r w:rsidR="00FD36AB">
        <w:t xml:space="preserve"> </w:t>
      </w:r>
      <w:r w:rsidR="0008288F">
        <w:t>at the October 2025 meeting</w:t>
      </w:r>
      <w:r w:rsidR="004E0450">
        <w:t>.</w:t>
      </w:r>
      <w:r w:rsidR="0008288F">
        <w:t xml:space="preserve"> </w:t>
      </w:r>
      <w:r w:rsidR="00917AC5">
        <w:t xml:space="preserve">The department requested </w:t>
      </w:r>
      <w:r w:rsidR="001F1F96">
        <w:t xml:space="preserve">SNEGAC </w:t>
      </w:r>
      <w:r w:rsidR="00917AC5">
        <w:t xml:space="preserve">advice on: </w:t>
      </w:r>
    </w:p>
    <w:p w14:paraId="2F98102D" w14:textId="4DF03A9D" w:rsidR="00917AC5" w:rsidRDefault="00917AC5" w:rsidP="009417CD">
      <w:pPr>
        <w:pStyle w:val="ListBullet"/>
      </w:pPr>
      <w:r>
        <w:t>current clinical practice and the impact of the recently published guidelines</w:t>
      </w:r>
    </w:p>
    <w:p w14:paraId="343ED1D3" w14:textId="77777777" w:rsidR="007A3E8E" w:rsidRPr="009956C0" w:rsidRDefault="007A3E8E" w:rsidP="009417CD">
      <w:pPr>
        <w:pStyle w:val="ListBullet"/>
      </w:pPr>
      <w:r w:rsidRPr="009956C0">
        <w:t>assessing cost effectiveness of the devices used in trial procedures</w:t>
      </w:r>
    </w:p>
    <w:p w14:paraId="2A8FA57C" w14:textId="2B07F08D" w:rsidR="00917AC5" w:rsidRDefault="00917AC5" w:rsidP="009417CD">
      <w:pPr>
        <w:pStyle w:val="ListBullet"/>
      </w:pPr>
      <w:r>
        <w:t>the direction of the review for the department to consider</w:t>
      </w:r>
      <w:r w:rsidR="007A3E8E">
        <w:t>.</w:t>
      </w:r>
    </w:p>
    <w:p w14:paraId="69CDE1D7" w14:textId="60BF5B24" w:rsidR="00917AC5" w:rsidRPr="009417CD" w:rsidRDefault="00917AC5" w:rsidP="009417CD">
      <w:pPr>
        <w:keepNext/>
      </w:pPr>
      <w:r w:rsidRPr="009417CD">
        <w:t>The SNECAG noted:</w:t>
      </w:r>
    </w:p>
    <w:p w14:paraId="5050DAA6" w14:textId="3B1B3263" w:rsidR="00917AC5" w:rsidRPr="009956C0" w:rsidRDefault="00917AC5" w:rsidP="009417CD">
      <w:pPr>
        <w:pStyle w:val="ListBullet"/>
      </w:pPr>
      <w:r w:rsidRPr="009956C0">
        <w:t>spinal cord stimulation (SCS) is a complicated matter and different clinicians (e.g. pain care physicians, and spinal and neurosurgical surgeons) often have different opinions regarding SCS trial procedures</w:t>
      </w:r>
    </w:p>
    <w:p w14:paraId="370CDC99" w14:textId="17841C24" w:rsidR="00917AC5" w:rsidRPr="007A3E8E" w:rsidRDefault="00917AC5" w:rsidP="009417CD">
      <w:pPr>
        <w:pStyle w:val="ListBullet"/>
      </w:pPr>
      <w:r w:rsidRPr="009956C0">
        <w:t>concerns over lack of robust scientific evidence demonstrating that trial procedures are more effective than proceeding directly to permanent implantation of SCS IPG and leads. Prior to trial procedures, patients need to undergo a comprehensive clinical assessment to determine suitability, and obtaining the second opinion is considered best practice given the likely unintended consequences</w:t>
      </w:r>
    </w:p>
    <w:p w14:paraId="0377AA22" w14:textId="5648352B" w:rsidR="00917AC5" w:rsidRPr="007A3E8E" w:rsidRDefault="00917AC5" w:rsidP="009417CD">
      <w:pPr>
        <w:pStyle w:val="ListBullet"/>
      </w:pPr>
      <w:r w:rsidRPr="009956C0">
        <w:t>patients selected for SCS trials often belong to vulnerable cohorts with significant comorbidities.</w:t>
      </w:r>
    </w:p>
    <w:p w14:paraId="54292B53" w14:textId="6185D31B" w:rsidR="002A03D4" w:rsidRDefault="0008288F" w:rsidP="009417CD">
      <w:r>
        <w:t xml:space="preserve">The SNECAG </w:t>
      </w:r>
      <w:r w:rsidR="002A03D4">
        <w:t>advised the department to:</w:t>
      </w:r>
    </w:p>
    <w:p w14:paraId="07CB9058" w14:textId="3E2CFCC2" w:rsidR="002A03D4" w:rsidRDefault="002A03D4" w:rsidP="009417CD">
      <w:pPr>
        <w:pStyle w:val="ListBullet"/>
      </w:pPr>
      <w:r w:rsidRPr="002A03D4">
        <w:t>review all available guidelines relating to trial SCS procedures to ensure information is objective and comprehensive and includes inputs from all states and territories, and different perspectives of both pain management physicians as well as spinal and neurosurgical surgeons.</w:t>
      </w:r>
    </w:p>
    <w:p w14:paraId="1CC0B00B" w14:textId="4456B46A" w:rsidR="002A03D4" w:rsidRDefault="002A03D4" w:rsidP="009417CD">
      <w:pPr>
        <w:pStyle w:val="ListBullet"/>
      </w:pPr>
      <w:r w:rsidRPr="002A03D4">
        <w:t>expressed support to assess both the clinical and cost-effectiveness of trial procedures</w:t>
      </w:r>
      <w:r>
        <w:t xml:space="preserve">. </w:t>
      </w:r>
    </w:p>
    <w:p w14:paraId="49639787" w14:textId="1C40BEC5" w:rsidR="0026522D" w:rsidRPr="009417CD" w:rsidRDefault="002A03D4" w:rsidP="009417CD">
      <w:r w:rsidRPr="009417CD">
        <w:t xml:space="preserve">The department discussed </w:t>
      </w:r>
      <w:r w:rsidR="00917AC5" w:rsidRPr="009417CD">
        <w:t xml:space="preserve">SNECAG’s </w:t>
      </w:r>
      <w:r w:rsidRPr="009417CD">
        <w:t xml:space="preserve">advice </w:t>
      </w:r>
      <w:r w:rsidR="00FB57E7" w:rsidRPr="009417CD">
        <w:t xml:space="preserve">at the </w:t>
      </w:r>
      <w:r w:rsidRPr="009417CD">
        <w:t>December 202</w:t>
      </w:r>
      <w:r w:rsidR="00FD36AB" w:rsidRPr="009417CD">
        <w:t>5</w:t>
      </w:r>
      <w:r w:rsidRPr="009417CD">
        <w:t xml:space="preserve"> </w:t>
      </w:r>
      <w:r w:rsidR="00FB57E7" w:rsidRPr="009417CD">
        <w:t xml:space="preserve">MDHTAC </w:t>
      </w:r>
      <w:r w:rsidRPr="009417CD">
        <w:t>meeting</w:t>
      </w:r>
      <w:r w:rsidR="007A3E8E" w:rsidRPr="009417CD">
        <w:t>.</w:t>
      </w:r>
      <w:r w:rsidR="0026522D" w:rsidRPr="009417CD">
        <w:t xml:space="preserve"> It was noted that there are no </w:t>
      </w:r>
      <w:r w:rsidR="0026522D" w:rsidRPr="009417CD">
        <w:rPr>
          <w:rFonts w:eastAsia="Calibri"/>
        </w:rPr>
        <w:t xml:space="preserve">further actions </w:t>
      </w:r>
      <w:r w:rsidR="007675DB" w:rsidRPr="009417CD">
        <w:rPr>
          <w:rFonts w:eastAsia="Calibri"/>
        </w:rPr>
        <w:t>for</w:t>
      </w:r>
      <w:r w:rsidR="0026522D" w:rsidRPr="009417CD">
        <w:rPr>
          <w:rFonts w:eastAsia="Calibri"/>
        </w:rPr>
        <w:t xml:space="preserve"> the PL as the advice </w:t>
      </w:r>
      <w:r w:rsidR="00AB2C7D" w:rsidRPr="009417CD">
        <w:rPr>
          <w:rFonts w:eastAsia="Calibri"/>
        </w:rPr>
        <w:t>relates</w:t>
      </w:r>
      <w:r w:rsidR="0026522D" w:rsidRPr="009417CD">
        <w:rPr>
          <w:rFonts w:eastAsia="Calibri"/>
        </w:rPr>
        <w:t xml:space="preserve"> to</w:t>
      </w:r>
      <w:r w:rsidR="00C72745" w:rsidRPr="009417CD">
        <w:rPr>
          <w:rFonts w:eastAsia="Calibri"/>
        </w:rPr>
        <w:t xml:space="preserve"> </w:t>
      </w:r>
      <w:r w:rsidR="0026522D" w:rsidRPr="009417CD">
        <w:rPr>
          <w:rFonts w:eastAsia="Calibri"/>
        </w:rPr>
        <w:t>an overall procedure perspective</w:t>
      </w:r>
      <w:r w:rsidR="00620196" w:rsidRPr="009417CD">
        <w:rPr>
          <w:rFonts w:eastAsia="Calibri"/>
        </w:rPr>
        <w:t xml:space="preserve"> which is out of scope</w:t>
      </w:r>
      <w:r w:rsidR="0026522D" w:rsidRPr="009417CD">
        <w:rPr>
          <w:rFonts w:eastAsia="Calibri"/>
        </w:rPr>
        <w:t>. The department noted that the review found the comparative clinical effectiveness of SCS versus standard care remains uncertain. Consequently, any HTA review of devices used in trials would be limited by the availability of high-quality evidence. However, this situation may change if further evidence on clinical and cost-effectiveness is published.</w:t>
      </w:r>
      <w:r w:rsidR="00F81CB4" w:rsidRPr="009417CD">
        <w:t xml:space="preserve"> SNECAG’s advice has been passed onto the relevant areas of the department</w:t>
      </w:r>
      <w:r w:rsidRPr="009417CD">
        <w:t xml:space="preserve"> </w:t>
      </w:r>
    </w:p>
    <w:p w14:paraId="1502B91C" w14:textId="11555DAF" w:rsidR="001D68B2" w:rsidRDefault="00B44A7B" w:rsidP="00584E63">
      <w:pPr>
        <w:pStyle w:val="Heading1"/>
      </w:pPr>
      <w:r>
        <w:t>P</w:t>
      </w:r>
      <w:r w:rsidR="00E746BF">
        <w:t xml:space="preserve">roposed </w:t>
      </w:r>
      <w:r w:rsidR="00FB1CCD">
        <w:t>outcomes</w:t>
      </w:r>
    </w:p>
    <w:p w14:paraId="4215875D" w14:textId="3FC0F049" w:rsidR="00214661" w:rsidRPr="00214661" w:rsidRDefault="00796E1C" w:rsidP="009417CD">
      <w:r>
        <w:t xml:space="preserve">The proposed outcomes have been developed based on MDHTACs advice on the </w:t>
      </w:r>
      <w:r w:rsidR="002446EF">
        <w:t>findings of the review</w:t>
      </w:r>
      <w:r>
        <w:t xml:space="preserve">. </w:t>
      </w:r>
      <w:r w:rsidR="00214661">
        <w:t xml:space="preserve">The proposed </w:t>
      </w:r>
      <w:r w:rsidR="00B44A7B">
        <w:t xml:space="preserve">outcomes </w:t>
      </w:r>
      <w:r w:rsidR="00214661">
        <w:t xml:space="preserve">are </w:t>
      </w:r>
      <w:r>
        <w:t xml:space="preserve">outlined </w:t>
      </w:r>
      <w:r w:rsidR="00214661">
        <w:t xml:space="preserve">for </w:t>
      </w:r>
      <w:r w:rsidR="00FB2409">
        <w:t xml:space="preserve">stakeholders </w:t>
      </w:r>
      <w:r>
        <w:t xml:space="preserve">to </w:t>
      </w:r>
      <w:r w:rsidR="008D586D">
        <w:t>provide feedback to the department</w:t>
      </w:r>
      <w:r w:rsidR="004B72E4">
        <w:t xml:space="preserve"> </w:t>
      </w:r>
      <w:r w:rsidR="00FB2409">
        <w:t xml:space="preserve">before </w:t>
      </w:r>
      <w:r w:rsidR="004B72E4">
        <w:t xml:space="preserve">the review is finalised and </w:t>
      </w:r>
      <w:r>
        <w:t xml:space="preserve">the proposed outcomes </w:t>
      </w:r>
      <w:r w:rsidR="00FB2409">
        <w:t>presented to the Delegate for decision.</w:t>
      </w:r>
    </w:p>
    <w:p w14:paraId="434B8DF2" w14:textId="0ABD6E96" w:rsidR="0074160F" w:rsidRDefault="1D645420" w:rsidP="000B48AD">
      <w:pPr>
        <w:pStyle w:val="Heading2"/>
      </w:pPr>
      <w:r>
        <w:t>IPG</w:t>
      </w:r>
      <w:r w:rsidR="00FB1CCD">
        <w:t xml:space="preserve"> outcomes</w:t>
      </w:r>
    </w:p>
    <w:p w14:paraId="5DF1AAFD" w14:textId="2B465B3D" w:rsidR="001D68B2" w:rsidRPr="00584E63" w:rsidRDefault="004A5506" w:rsidP="009417CD">
      <w:pPr>
        <w:pStyle w:val="ListBullet"/>
      </w:pPr>
      <w:r w:rsidRPr="00584E63">
        <w:t>Adjust</w:t>
      </w:r>
      <w:r w:rsidR="2905652B" w:rsidRPr="00584E63">
        <w:t xml:space="preserve"> the benefits payable </w:t>
      </w:r>
      <w:r w:rsidRPr="00584E63">
        <w:t xml:space="preserve">for </w:t>
      </w:r>
      <w:r w:rsidR="00E746BF" w:rsidRPr="00584E63">
        <w:t>SCS devices</w:t>
      </w:r>
      <w:r w:rsidRPr="00584E63">
        <w:t xml:space="preserve"> </w:t>
      </w:r>
      <w:r w:rsidRPr="009417CD">
        <w:rPr>
          <w:rStyle w:val="Emphasis"/>
        </w:rPr>
        <w:t>in</w:t>
      </w:r>
      <w:r w:rsidR="2905652B" w:rsidRPr="009417CD">
        <w:rPr>
          <w:rStyle w:val="Emphasis"/>
        </w:rPr>
        <w:t xml:space="preserve"> </w:t>
      </w:r>
      <w:r w:rsidRPr="009417CD">
        <w:rPr>
          <w:rStyle w:val="Emphasis"/>
        </w:rPr>
        <w:t>04.05.01</w:t>
      </w:r>
      <w:r w:rsidR="2905652B" w:rsidRPr="009417CD">
        <w:rPr>
          <w:rStyle w:val="Emphasis"/>
        </w:rPr>
        <w:t xml:space="preserve"> </w:t>
      </w:r>
      <w:r w:rsidRPr="009417CD">
        <w:rPr>
          <w:rStyle w:val="Emphasis"/>
        </w:rPr>
        <w:t>– Pulse Generators</w:t>
      </w:r>
      <w:r w:rsidR="2905652B" w:rsidRPr="00584E63">
        <w:t xml:space="preserve"> by benchmarking </w:t>
      </w:r>
      <w:r w:rsidR="66901296" w:rsidRPr="00584E63">
        <w:t>against</w:t>
      </w:r>
      <w:r w:rsidR="2905652B" w:rsidRPr="00584E63">
        <w:t xml:space="preserve"> </w:t>
      </w:r>
      <w:r w:rsidR="00E746BF" w:rsidRPr="00584E63">
        <w:t xml:space="preserve">DBS </w:t>
      </w:r>
      <w:r w:rsidR="2905652B" w:rsidRPr="00584E63">
        <w:t xml:space="preserve">devices </w:t>
      </w:r>
      <w:r w:rsidR="00E746BF" w:rsidRPr="00584E63">
        <w:t xml:space="preserve">in </w:t>
      </w:r>
      <w:r w:rsidR="00E746BF" w:rsidRPr="009417CD">
        <w:rPr>
          <w:rStyle w:val="Emphasis"/>
        </w:rPr>
        <w:t>04.04.01 – Implantable Pulse Generators</w:t>
      </w:r>
      <w:r w:rsidR="2905652B" w:rsidRPr="00584E63">
        <w:t>.</w:t>
      </w:r>
    </w:p>
    <w:p w14:paraId="24998955" w14:textId="19DD3B88" w:rsidR="001D68B2" w:rsidRDefault="008C0475" w:rsidP="009417CD">
      <w:pPr>
        <w:keepNext/>
        <w:pageBreakBefore/>
      </w:pPr>
      <w:r>
        <w:t>Th</w:t>
      </w:r>
      <w:r w:rsidR="000662E5">
        <w:t>e</w:t>
      </w:r>
      <w:r>
        <w:t xml:space="preserve"> </w:t>
      </w:r>
      <w:r w:rsidR="00B44A7B">
        <w:t>proposed</w:t>
      </w:r>
      <w:r>
        <w:t xml:space="preserve"> benefit amounts are below</w:t>
      </w:r>
      <w:r w:rsidR="00B44A7B">
        <w:t>:</w:t>
      </w:r>
    </w:p>
    <w:tbl>
      <w:tblPr>
        <w:tblStyle w:val="DepartmentofHealthtable"/>
        <w:tblW w:w="6095" w:type="dxa"/>
        <w:tblLayout w:type="fixed"/>
        <w:tblLook w:val="06A0" w:firstRow="1" w:lastRow="0" w:firstColumn="1" w:lastColumn="0" w:noHBand="1" w:noVBand="1"/>
      </w:tblPr>
      <w:tblGrid>
        <w:gridCol w:w="1985"/>
        <w:gridCol w:w="1417"/>
        <w:gridCol w:w="2693"/>
      </w:tblGrid>
      <w:tr w:rsidR="008F15A0" w14:paraId="35CF4792" w14:textId="77777777" w:rsidTr="009417C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85" w:type="dxa"/>
          </w:tcPr>
          <w:p w14:paraId="0F7E0F74" w14:textId="2A2AFF2B" w:rsidR="008F15A0" w:rsidRPr="009417CD" w:rsidRDefault="00114AC6" w:rsidP="009417CD">
            <w:pPr>
              <w:pStyle w:val="TableHeaderWhite"/>
            </w:pPr>
            <w:r w:rsidRPr="009417CD">
              <w:t>Device type in 04.05.01 - Pulse Generators</w:t>
            </w:r>
          </w:p>
        </w:tc>
        <w:tc>
          <w:tcPr>
            <w:tcW w:w="1417" w:type="dxa"/>
          </w:tcPr>
          <w:p w14:paraId="7159DB18" w14:textId="4FC2B3BA" w:rsidR="008F15A0" w:rsidRDefault="008F15A0" w:rsidP="009417CD">
            <w:pPr>
              <w:pStyle w:val="TableHeaderWhite"/>
              <w:cnfStyle w:val="100000000000" w:firstRow="1" w:lastRow="0" w:firstColumn="0" w:lastColumn="0" w:oddVBand="0" w:evenVBand="0" w:oddHBand="0" w:evenHBand="0" w:firstRowFirstColumn="0" w:firstRowLastColumn="0" w:lastRowFirstColumn="0" w:lastRowLastColumn="0"/>
            </w:pPr>
            <w:r>
              <w:t>SCS IPG current benefits</w:t>
            </w:r>
          </w:p>
        </w:tc>
        <w:tc>
          <w:tcPr>
            <w:tcW w:w="2693" w:type="dxa"/>
          </w:tcPr>
          <w:p w14:paraId="7E0E645B" w14:textId="5C6820B1" w:rsidR="008F15A0" w:rsidRDefault="008F15A0" w:rsidP="009417CD">
            <w:pPr>
              <w:pStyle w:val="TableHeaderWhite"/>
              <w:cnfStyle w:val="100000000000" w:firstRow="1" w:lastRow="0" w:firstColumn="0" w:lastColumn="0" w:oddVBand="0" w:evenVBand="0" w:oddHBand="0" w:evenHBand="0" w:firstRowFirstColumn="0" w:firstRowLastColumn="0" w:lastRowFirstColumn="0" w:lastRowLastColumn="0"/>
            </w:pPr>
            <w:r>
              <w:t>Proposed SCS IPG benefit</w:t>
            </w:r>
          </w:p>
        </w:tc>
      </w:tr>
      <w:tr w:rsidR="008F15A0" w14:paraId="4CE6E541" w14:textId="77777777" w:rsidTr="008F15A0">
        <w:trPr>
          <w:trHeight w:val="300"/>
        </w:trPr>
        <w:tc>
          <w:tcPr>
            <w:cnfStyle w:val="001000000000" w:firstRow="0" w:lastRow="0" w:firstColumn="1" w:lastColumn="0" w:oddVBand="0" w:evenVBand="0" w:oddHBand="0" w:evenHBand="0" w:firstRowFirstColumn="0" w:firstRowLastColumn="0" w:lastRowFirstColumn="0" w:lastRowLastColumn="0"/>
            <w:tcW w:w="1985" w:type="dxa"/>
          </w:tcPr>
          <w:p w14:paraId="3E1CB77C" w14:textId="3EDEF1B7" w:rsidR="008F15A0" w:rsidRDefault="008F15A0" w:rsidP="009417CD">
            <w:pPr>
              <w:pStyle w:val="Tabletextleft"/>
            </w:pPr>
            <w:r>
              <w:t>Non-rechargeable</w:t>
            </w:r>
          </w:p>
        </w:tc>
        <w:tc>
          <w:tcPr>
            <w:tcW w:w="1417" w:type="dxa"/>
          </w:tcPr>
          <w:p w14:paraId="599014DA" w14:textId="24B16454" w:rsidR="008F15A0" w:rsidRDefault="008F15A0" w:rsidP="009417CD">
            <w:pPr>
              <w:pStyle w:val="Tabletextleft"/>
              <w:cnfStyle w:val="000000000000" w:firstRow="0" w:lastRow="0" w:firstColumn="0" w:lastColumn="0" w:oddVBand="0" w:evenVBand="0" w:oddHBand="0" w:evenHBand="0" w:firstRowFirstColumn="0" w:firstRowLastColumn="0" w:lastRowFirstColumn="0" w:lastRowLastColumn="0"/>
            </w:pPr>
            <w:r>
              <w:t>$21,660</w:t>
            </w:r>
          </w:p>
        </w:tc>
        <w:tc>
          <w:tcPr>
            <w:tcW w:w="2693" w:type="dxa"/>
          </w:tcPr>
          <w:p w14:paraId="4028D9F5" w14:textId="3C290A74" w:rsidR="008F15A0" w:rsidRDefault="008F15A0" w:rsidP="009417CD">
            <w:pPr>
              <w:pStyle w:val="Tabletextleft"/>
              <w:cnfStyle w:val="000000000000" w:firstRow="0" w:lastRow="0" w:firstColumn="0" w:lastColumn="0" w:oddVBand="0" w:evenVBand="0" w:oddHBand="0" w:evenHBand="0" w:firstRowFirstColumn="0" w:firstRowLastColumn="0" w:lastRowFirstColumn="0" w:lastRowLastColumn="0"/>
              <w:rPr>
                <w:strike/>
              </w:rPr>
            </w:pPr>
            <w:r>
              <w:t>$13,592</w:t>
            </w:r>
          </w:p>
        </w:tc>
      </w:tr>
      <w:tr w:rsidR="008F15A0" w14:paraId="66B96D3F" w14:textId="77777777" w:rsidTr="008F15A0">
        <w:trPr>
          <w:trHeight w:val="300"/>
        </w:trPr>
        <w:tc>
          <w:tcPr>
            <w:cnfStyle w:val="001000000000" w:firstRow="0" w:lastRow="0" w:firstColumn="1" w:lastColumn="0" w:oddVBand="0" w:evenVBand="0" w:oddHBand="0" w:evenHBand="0" w:firstRowFirstColumn="0" w:firstRowLastColumn="0" w:lastRowFirstColumn="0" w:lastRowLastColumn="0"/>
            <w:tcW w:w="1985" w:type="dxa"/>
          </w:tcPr>
          <w:p w14:paraId="7E4C77C4" w14:textId="0AA6A763" w:rsidR="008F15A0" w:rsidRDefault="008F15A0" w:rsidP="009417CD">
            <w:pPr>
              <w:pStyle w:val="Tabletextleft"/>
            </w:pPr>
            <w:r>
              <w:t>Rechargeable</w:t>
            </w:r>
          </w:p>
        </w:tc>
        <w:tc>
          <w:tcPr>
            <w:tcW w:w="1417" w:type="dxa"/>
          </w:tcPr>
          <w:p w14:paraId="36CB23C2" w14:textId="2AF5BBA1" w:rsidR="008F15A0" w:rsidRDefault="008F15A0" w:rsidP="009417CD">
            <w:pPr>
              <w:pStyle w:val="Tabletextleft"/>
              <w:cnfStyle w:val="000000000000" w:firstRow="0" w:lastRow="0" w:firstColumn="0" w:lastColumn="0" w:oddVBand="0" w:evenVBand="0" w:oddHBand="0" w:evenHBand="0" w:firstRowFirstColumn="0" w:firstRowLastColumn="0" w:lastRowFirstColumn="0" w:lastRowLastColumn="0"/>
            </w:pPr>
            <w:r>
              <w:t xml:space="preserve">$23,465 </w:t>
            </w:r>
          </w:p>
        </w:tc>
        <w:tc>
          <w:tcPr>
            <w:tcW w:w="2693" w:type="dxa"/>
          </w:tcPr>
          <w:p w14:paraId="484C387A" w14:textId="40635B78" w:rsidR="008F15A0" w:rsidRDefault="008F15A0" w:rsidP="009417CD">
            <w:pPr>
              <w:pStyle w:val="Tabletextleft"/>
              <w:cnfStyle w:val="000000000000" w:firstRow="0" w:lastRow="0" w:firstColumn="0" w:lastColumn="0" w:oddVBand="0" w:evenVBand="0" w:oddHBand="0" w:evenHBand="0" w:firstRowFirstColumn="0" w:firstRowLastColumn="0" w:lastRowFirstColumn="0" w:lastRowLastColumn="0"/>
            </w:pPr>
            <w:r>
              <w:t>$17,283</w:t>
            </w:r>
          </w:p>
        </w:tc>
      </w:tr>
    </w:tbl>
    <w:p w14:paraId="6CC42C0B" w14:textId="4E5AB01E" w:rsidR="03268AAD" w:rsidRDefault="03966697" w:rsidP="000B48AD">
      <w:pPr>
        <w:pStyle w:val="Heading2"/>
      </w:pPr>
      <w:r>
        <w:t xml:space="preserve">Lead related </w:t>
      </w:r>
      <w:r w:rsidR="00FB1CCD">
        <w:t>outcomes</w:t>
      </w:r>
    </w:p>
    <w:p w14:paraId="15895931" w14:textId="77777777" w:rsidR="008F15A0" w:rsidRPr="008F15A0" w:rsidRDefault="008F15A0" w:rsidP="009417CD">
      <w:pPr>
        <w:pStyle w:val="ListBullet"/>
      </w:pPr>
      <w:r>
        <w:t xml:space="preserve">Remove subgroup </w:t>
      </w:r>
      <w:r w:rsidRPr="00584E63">
        <w:t>04.05.03.02 – Trial Lead.</w:t>
      </w:r>
    </w:p>
    <w:p w14:paraId="6573F829" w14:textId="72BE644F" w:rsidR="00B44A7B" w:rsidRPr="00584E63" w:rsidRDefault="00E746BF" w:rsidP="009417CD">
      <w:pPr>
        <w:pStyle w:val="ListBullet"/>
      </w:pPr>
      <w:r w:rsidRPr="00584E63">
        <w:t>Remove suffi</w:t>
      </w:r>
      <w:r w:rsidR="57630457" w:rsidRPr="00584E63">
        <w:t>c</w:t>
      </w:r>
      <w:r w:rsidRPr="00584E63">
        <w:t xml:space="preserve">es for </w:t>
      </w:r>
      <w:r w:rsidR="009403BF" w:rsidRPr="00584E63">
        <w:t xml:space="preserve">SCS devices in </w:t>
      </w:r>
      <w:r w:rsidR="009403BF" w:rsidRPr="009417CD">
        <w:rPr>
          <w:rStyle w:val="Emphasis"/>
        </w:rPr>
        <w:t>04.</w:t>
      </w:r>
      <w:r w:rsidR="00EF7491" w:rsidRPr="009417CD">
        <w:rPr>
          <w:rStyle w:val="Emphasis"/>
        </w:rPr>
        <w:t xml:space="preserve">05.03 </w:t>
      </w:r>
      <w:r w:rsidR="00B44A7B" w:rsidRPr="009417CD">
        <w:rPr>
          <w:rStyle w:val="Emphasis"/>
        </w:rPr>
        <w:t>–</w:t>
      </w:r>
      <w:r w:rsidR="00EF7491" w:rsidRPr="009417CD">
        <w:rPr>
          <w:rStyle w:val="Emphasis"/>
        </w:rPr>
        <w:t xml:space="preserve"> L</w:t>
      </w:r>
      <w:r w:rsidRPr="009417CD">
        <w:rPr>
          <w:rStyle w:val="Emphasis"/>
        </w:rPr>
        <w:t>eads</w:t>
      </w:r>
    </w:p>
    <w:p w14:paraId="57F78248" w14:textId="19DAECAE" w:rsidR="00FB57E7" w:rsidRPr="00FB57E7" w:rsidRDefault="00B44A7B" w:rsidP="009417CD">
      <w:pPr>
        <w:pStyle w:val="ListBullet"/>
      </w:pPr>
      <w:r w:rsidRPr="00584E63">
        <w:t>A</w:t>
      </w:r>
      <w:r w:rsidR="00E746BF" w:rsidRPr="00584E63">
        <w:t>djust the benefits for paddle and percutaneous leads</w:t>
      </w:r>
      <w:r w:rsidR="004A0EDD" w:rsidRPr="00584E63">
        <w:t>.</w:t>
      </w:r>
    </w:p>
    <w:p w14:paraId="0ADDBE87" w14:textId="24B8934C" w:rsidR="00627207" w:rsidRPr="000662E5" w:rsidRDefault="000662E5" w:rsidP="009417CD">
      <w:r>
        <w:t xml:space="preserve">The </w:t>
      </w:r>
      <w:r w:rsidR="00B44A7B">
        <w:t>proposed</w:t>
      </w:r>
      <w:r>
        <w:t xml:space="preserve"> benefit amounts are below</w:t>
      </w:r>
      <w:r w:rsidR="00B44A7B">
        <w:t>:</w:t>
      </w:r>
    </w:p>
    <w:tbl>
      <w:tblPr>
        <w:tblStyle w:val="DepartmentofHealthtable"/>
        <w:tblW w:w="8931" w:type="dxa"/>
        <w:tblLayout w:type="fixed"/>
        <w:tblLook w:val="06A0" w:firstRow="1" w:lastRow="0" w:firstColumn="1" w:lastColumn="0" w:noHBand="1" w:noVBand="1"/>
      </w:tblPr>
      <w:tblGrid>
        <w:gridCol w:w="1985"/>
        <w:gridCol w:w="2126"/>
        <w:gridCol w:w="1276"/>
        <w:gridCol w:w="1417"/>
        <w:gridCol w:w="2127"/>
      </w:tblGrid>
      <w:tr w:rsidR="00E746BF" w:rsidRPr="009417CD" w14:paraId="49DDDCAF" w14:textId="26F699E1" w:rsidTr="009417C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85" w:type="dxa"/>
          </w:tcPr>
          <w:p w14:paraId="1ACA49C8" w14:textId="4196AE71" w:rsidR="00E746BF" w:rsidRPr="009417CD" w:rsidRDefault="00114AC6" w:rsidP="009417CD">
            <w:pPr>
              <w:pStyle w:val="TableHeaderWhite"/>
            </w:pPr>
            <w:r w:rsidRPr="009417CD">
              <w:t>Device type in 04.05.03.01 - Permanent Lead</w:t>
            </w:r>
          </w:p>
        </w:tc>
        <w:tc>
          <w:tcPr>
            <w:tcW w:w="2126" w:type="dxa"/>
          </w:tcPr>
          <w:p w14:paraId="3098FBE1" w14:textId="64B3FAF5" w:rsidR="00E746BF" w:rsidRPr="009417CD" w:rsidRDefault="00E746BF" w:rsidP="009417CD">
            <w:pPr>
              <w:pStyle w:val="TableHeaderWhite"/>
              <w:cnfStyle w:val="100000000000" w:firstRow="1" w:lastRow="0" w:firstColumn="0" w:lastColumn="0" w:oddVBand="0" w:evenVBand="0" w:oddHBand="0" w:evenHBand="0" w:firstRowFirstColumn="0" w:firstRowLastColumn="0" w:lastRowFirstColumn="0" w:lastRowLastColumn="0"/>
            </w:pPr>
            <w:r w:rsidRPr="009417CD">
              <w:t>Number of electrodes</w:t>
            </w:r>
          </w:p>
        </w:tc>
        <w:tc>
          <w:tcPr>
            <w:tcW w:w="1276" w:type="dxa"/>
          </w:tcPr>
          <w:p w14:paraId="12DF68A6" w14:textId="5031BCFB" w:rsidR="00E746BF" w:rsidRPr="009417CD" w:rsidRDefault="00E746BF" w:rsidP="009417CD">
            <w:pPr>
              <w:pStyle w:val="TableHeaderWhite"/>
              <w:cnfStyle w:val="100000000000" w:firstRow="1" w:lastRow="0" w:firstColumn="0" w:lastColumn="0" w:oddVBand="0" w:evenVBand="0" w:oddHBand="0" w:evenHBand="0" w:firstRowFirstColumn="0" w:firstRowLastColumn="0" w:lastRowFirstColumn="0" w:lastRowLastColumn="0"/>
            </w:pPr>
            <w:r w:rsidRPr="009417CD">
              <w:t>Current benefit</w:t>
            </w:r>
          </w:p>
        </w:tc>
        <w:tc>
          <w:tcPr>
            <w:tcW w:w="1417" w:type="dxa"/>
          </w:tcPr>
          <w:p w14:paraId="27A2E346" w14:textId="01508CA5" w:rsidR="00E746BF" w:rsidRPr="009417CD" w:rsidRDefault="00E746BF" w:rsidP="009417CD">
            <w:pPr>
              <w:pStyle w:val="TableHeaderWhite"/>
              <w:cnfStyle w:val="100000000000" w:firstRow="1" w:lastRow="0" w:firstColumn="0" w:lastColumn="0" w:oddVBand="0" w:evenVBand="0" w:oddHBand="0" w:evenHBand="0" w:firstRowFirstColumn="0" w:firstRowLastColumn="0" w:lastRowFirstColumn="0" w:lastRowLastColumn="0"/>
            </w:pPr>
            <w:r w:rsidRPr="009417CD">
              <w:t>Proposed benefit</w:t>
            </w:r>
          </w:p>
        </w:tc>
        <w:tc>
          <w:tcPr>
            <w:tcW w:w="2127" w:type="dxa"/>
          </w:tcPr>
          <w:p w14:paraId="64B92B0B" w14:textId="113B3449" w:rsidR="00E746BF" w:rsidRPr="009417CD" w:rsidRDefault="005104CF" w:rsidP="009417CD">
            <w:pPr>
              <w:pStyle w:val="TableHeaderWhite"/>
              <w:cnfStyle w:val="100000000000" w:firstRow="1" w:lastRow="0" w:firstColumn="0" w:lastColumn="0" w:oddVBand="0" w:evenVBand="0" w:oddHBand="0" w:evenHBand="0" w:firstRowFirstColumn="0" w:firstRowLastColumn="0" w:lastRowFirstColumn="0" w:lastRowLastColumn="0"/>
            </w:pPr>
            <w:r w:rsidRPr="009417CD">
              <w:t>Other changes</w:t>
            </w:r>
          </w:p>
        </w:tc>
      </w:tr>
      <w:tr w:rsidR="00E746BF" w14:paraId="778B0808" w14:textId="77777777" w:rsidTr="00114AC6">
        <w:trPr>
          <w:trHeight w:val="207"/>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75F1A174" w14:textId="74CB2614" w:rsidR="00E746BF" w:rsidRDefault="00E746BF" w:rsidP="009417CD">
            <w:pPr>
              <w:pStyle w:val="Tabletextleft"/>
            </w:pPr>
            <w:r w:rsidRPr="121E65FD">
              <w:t>Percutaneous lead</w:t>
            </w:r>
          </w:p>
        </w:tc>
        <w:tc>
          <w:tcPr>
            <w:tcW w:w="2126" w:type="dxa"/>
          </w:tcPr>
          <w:p w14:paraId="51CBE197" w14:textId="1506ED1E"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t>4 electrodes</w:t>
            </w:r>
          </w:p>
        </w:tc>
        <w:tc>
          <w:tcPr>
            <w:tcW w:w="1276" w:type="dxa"/>
          </w:tcPr>
          <w:p w14:paraId="159A40D7" w14:textId="1A609024"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rsidRPr="00551B58">
              <w:t>$3,041</w:t>
            </w:r>
          </w:p>
        </w:tc>
        <w:tc>
          <w:tcPr>
            <w:tcW w:w="1417" w:type="dxa"/>
            <w:vMerge w:val="restart"/>
          </w:tcPr>
          <w:p w14:paraId="59B6298F" w14:textId="6B1A2CBA"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rsidRPr="00551B58">
              <w:t>$3,041</w:t>
            </w:r>
          </w:p>
        </w:tc>
        <w:tc>
          <w:tcPr>
            <w:tcW w:w="2127" w:type="dxa"/>
            <w:vMerge w:val="restart"/>
          </w:tcPr>
          <w:p w14:paraId="3C65284B" w14:textId="2B3F860B" w:rsidR="00E746BF" w:rsidRDefault="00C468AD" w:rsidP="009417CD">
            <w:pPr>
              <w:pStyle w:val="Tabletextleft"/>
              <w:cnfStyle w:val="000000000000" w:firstRow="0" w:lastRow="0" w:firstColumn="0" w:lastColumn="0" w:oddVBand="0" w:evenVBand="0" w:oddHBand="0" w:evenHBand="0" w:firstRowFirstColumn="0" w:firstRowLastColumn="0" w:lastRowFirstColumn="0" w:lastRowLastColumn="0"/>
            </w:pPr>
            <w:r>
              <w:t>S</w:t>
            </w:r>
            <w:r w:rsidR="00E746BF">
              <w:t xml:space="preserve">uffices </w:t>
            </w:r>
            <w:r>
              <w:t>removed</w:t>
            </w:r>
          </w:p>
        </w:tc>
      </w:tr>
      <w:tr w:rsidR="00E746BF" w14:paraId="11A01ACC" w14:textId="77777777" w:rsidTr="00114AC6">
        <w:trPr>
          <w:trHeight w:val="206"/>
        </w:trPr>
        <w:tc>
          <w:tcPr>
            <w:cnfStyle w:val="001000000000" w:firstRow="0" w:lastRow="0" w:firstColumn="1" w:lastColumn="0" w:oddVBand="0" w:evenVBand="0" w:oddHBand="0" w:evenHBand="0" w:firstRowFirstColumn="0" w:firstRowLastColumn="0" w:lastRowFirstColumn="0" w:lastRowLastColumn="0"/>
            <w:tcW w:w="1985" w:type="dxa"/>
            <w:vMerge/>
          </w:tcPr>
          <w:p w14:paraId="7A896148" w14:textId="77777777" w:rsidR="00E746BF" w:rsidRPr="121E65FD" w:rsidRDefault="00E746BF" w:rsidP="009417CD">
            <w:pPr>
              <w:pStyle w:val="Tabletextleft"/>
            </w:pPr>
          </w:p>
        </w:tc>
        <w:tc>
          <w:tcPr>
            <w:tcW w:w="2126" w:type="dxa"/>
          </w:tcPr>
          <w:p w14:paraId="0365FBAC" w14:textId="744004BA"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t>8 electrodes</w:t>
            </w:r>
          </w:p>
        </w:tc>
        <w:tc>
          <w:tcPr>
            <w:tcW w:w="1276" w:type="dxa"/>
          </w:tcPr>
          <w:p w14:paraId="7A74BA57" w14:textId="05867E83"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rsidRPr="00152256">
              <w:t>$3,817</w:t>
            </w:r>
          </w:p>
        </w:tc>
        <w:tc>
          <w:tcPr>
            <w:tcW w:w="1417" w:type="dxa"/>
            <w:vMerge/>
          </w:tcPr>
          <w:p w14:paraId="6B1D9908" w14:textId="3FE02489"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p>
        </w:tc>
        <w:tc>
          <w:tcPr>
            <w:tcW w:w="2127" w:type="dxa"/>
            <w:vMerge/>
          </w:tcPr>
          <w:p w14:paraId="6984CACE" w14:textId="77777777"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p>
        </w:tc>
      </w:tr>
      <w:tr w:rsidR="00E746BF" w14:paraId="183E5143" w14:textId="77777777" w:rsidTr="00114AC6">
        <w:trPr>
          <w:trHeight w:val="206"/>
        </w:trPr>
        <w:tc>
          <w:tcPr>
            <w:cnfStyle w:val="001000000000" w:firstRow="0" w:lastRow="0" w:firstColumn="1" w:lastColumn="0" w:oddVBand="0" w:evenVBand="0" w:oddHBand="0" w:evenHBand="0" w:firstRowFirstColumn="0" w:firstRowLastColumn="0" w:lastRowFirstColumn="0" w:lastRowLastColumn="0"/>
            <w:tcW w:w="1985" w:type="dxa"/>
            <w:vMerge/>
          </w:tcPr>
          <w:p w14:paraId="4630B556" w14:textId="77777777" w:rsidR="00E746BF" w:rsidRPr="121E65FD" w:rsidRDefault="00E746BF" w:rsidP="009417CD">
            <w:pPr>
              <w:pStyle w:val="Tabletextleft"/>
            </w:pPr>
          </w:p>
        </w:tc>
        <w:tc>
          <w:tcPr>
            <w:tcW w:w="2126" w:type="dxa"/>
          </w:tcPr>
          <w:p w14:paraId="55A98B0B" w14:textId="0FEA1DF4"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t>&gt;8 electrodes</w:t>
            </w:r>
          </w:p>
        </w:tc>
        <w:tc>
          <w:tcPr>
            <w:tcW w:w="1276" w:type="dxa"/>
          </w:tcPr>
          <w:p w14:paraId="644806ED" w14:textId="13B01B5E"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rsidRPr="00326485">
              <w:t>$6,895</w:t>
            </w:r>
          </w:p>
        </w:tc>
        <w:tc>
          <w:tcPr>
            <w:tcW w:w="1417" w:type="dxa"/>
            <w:vMerge/>
          </w:tcPr>
          <w:p w14:paraId="3A3E9B73" w14:textId="14E68233"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p>
        </w:tc>
        <w:tc>
          <w:tcPr>
            <w:tcW w:w="2127" w:type="dxa"/>
            <w:vMerge/>
          </w:tcPr>
          <w:p w14:paraId="0EDE4D18" w14:textId="77777777"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p>
        </w:tc>
      </w:tr>
      <w:tr w:rsidR="00E746BF" w14:paraId="1FCF6EBC" w14:textId="77777777" w:rsidTr="00114AC6">
        <w:trPr>
          <w:trHeight w:val="206"/>
        </w:trPr>
        <w:tc>
          <w:tcPr>
            <w:cnfStyle w:val="001000000000" w:firstRow="0" w:lastRow="0" w:firstColumn="1" w:lastColumn="0" w:oddVBand="0" w:evenVBand="0" w:oddHBand="0" w:evenHBand="0" w:firstRowFirstColumn="0" w:firstRowLastColumn="0" w:lastRowFirstColumn="0" w:lastRowLastColumn="0"/>
            <w:tcW w:w="1985" w:type="dxa"/>
            <w:vMerge/>
          </w:tcPr>
          <w:p w14:paraId="29C04305" w14:textId="77777777" w:rsidR="00E746BF" w:rsidRPr="121E65FD" w:rsidRDefault="00E746BF" w:rsidP="009417CD">
            <w:pPr>
              <w:pStyle w:val="Tabletextleft"/>
            </w:pPr>
          </w:p>
        </w:tc>
        <w:tc>
          <w:tcPr>
            <w:tcW w:w="2126" w:type="dxa"/>
          </w:tcPr>
          <w:p w14:paraId="4FD7E754" w14:textId="48A442E7"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t>&gt;8 electrodes, bifurcated proximal tail</w:t>
            </w:r>
          </w:p>
        </w:tc>
        <w:tc>
          <w:tcPr>
            <w:tcW w:w="1276" w:type="dxa"/>
          </w:tcPr>
          <w:p w14:paraId="28D24ECE" w14:textId="412A8DB2"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rsidRPr="00D002E4">
              <w:t>$6,895</w:t>
            </w:r>
            <w:r>
              <w:t xml:space="preserve"> - </w:t>
            </w:r>
            <w:r w:rsidRPr="00D002E4">
              <w:t>$8,123</w:t>
            </w:r>
          </w:p>
        </w:tc>
        <w:tc>
          <w:tcPr>
            <w:tcW w:w="1417" w:type="dxa"/>
            <w:vMerge/>
          </w:tcPr>
          <w:p w14:paraId="2726095B" w14:textId="6A1D9D9D"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p>
        </w:tc>
        <w:tc>
          <w:tcPr>
            <w:tcW w:w="2127" w:type="dxa"/>
            <w:vMerge/>
          </w:tcPr>
          <w:p w14:paraId="7941BDB3" w14:textId="77777777"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p>
        </w:tc>
      </w:tr>
      <w:tr w:rsidR="00E746BF" w14:paraId="0425686D" w14:textId="77777777" w:rsidTr="00114AC6">
        <w:trPr>
          <w:trHeight w:val="777"/>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005A771F" w14:textId="2A23BE31" w:rsidR="00E746BF" w:rsidRDefault="00E746BF" w:rsidP="009417CD">
            <w:pPr>
              <w:pStyle w:val="Tabletextleft"/>
            </w:pPr>
            <w:r w:rsidRPr="352DB01E">
              <w:t>Epidural paddle lead</w:t>
            </w:r>
          </w:p>
        </w:tc>
        <w:tc>
          <w:tcPr>
            <w:tcW w:w="2126" w:type="dxa"/>
          </w:tcPr>
          <w:p w14:paraId="2998831B" w14:textId="7326D455"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t>&gt;8 and &lt;32</w:t>
            </w:r>
          </w:p>
        </w:tc>
        <w:tc>
          <w:tcPr>
            <w:tcW w:w="1276" w:type="dxa"/>
          </w:tcPr>
          <w:p w14:paraId="5AEA680B" w14:textId="33ACBC96"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rsidRPr="00D002E4">
              <w:t>$6,895</w:t>
            </w:r>
            <w:r>
              <w:t xml:space="preserve"> - </w:t>
            </w:r>
            <w:r w:rsidRPr="00D002E4">
              <w:t>$8,123</w:t>
            </w:r>
            <w:r w:rsidRPr="00D0077F">
              <w:rPr>
                <w:vertAlign w:val="superscript"/>
              </w:rPr>
              <w:t>a</w:t>
            </w:r>
          </w:p>
        </w:tc>
        <w:tc>
          <w:tcPr>
            <w:tcW w:w="1417" w:type="dxa"/>
            <w:vMerge w:val="restart"/>
          </w:tcPr>
          <w:p w14:paraId="6DA64FED" w14:textId="0A2C9661"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t>$4,561.50</w:t>
            </w:r>
          </w:p>
        </w:tc>
        <w:tc>
          <w:tcPr>
            <w:tcW w:w="2127" w:type="dxa"/>
            <w:vMerge w:val="restart"/>
          </w:tcPr>
          <w:p w14:paraId="20552073" w14:textId="3991AFDA"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t>Suffices removed</w:t>
            </w:r>
          </w:p>
        </w:tc>
      </w:tr>
      <w:tr w:rsidR="00E746BF" w14:paraId="41A9301C" w14:textId="77777777" w:rsidTr="00114AC6">
        <w:trPr>
          <w:trHeight w:val="558"/>
        </w:trPr>
        <w:tc>
          <w:tcPr>
            <w:cnfStyle w:val="001000000000" w:firstRow="0" w:lastRow="0" w:firstColumn="1" w:lastColumn="0" w:oddVBand="0" w:evenVBand="0" w:oddHBand="0" w:evenHBand="0" w:firstRowFirstColumn="0" w:firstRowLastColumn="0" w:lastRowFirstColumn="0" w:lastRowLastColumn="0"/>
            <w:tcW w:w="1985" w:type="dxa"/>
            <w:vMerge/>
          </w:tcPr>
          <w:p w14:paraId="340F36C0" w14:textId="77777777" w:rsidR="00E746BF" w:rsidRPr="352DB01E" w:rsidRDefault="00E746BF" w:rsidP="009417CD"/>
        </w:tc>
        <w:tc>
          <w:tcPr>
            <w:tcW w:w="2126" w:type="dxa"/>
          </w:tcPr>
          <w:p w14:paraId="46B42550" w14:textId="04CB9C24"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t>&gt;32</w:t>
            </w:r>
          </w:p>
        </w:tc>
        <w:tc>
          <w:tcPr>
            <w:tcW w:w="1276" w:type="dxa"/>
          </w:tcPr>
          <w:p w14:paraId="0808456F" w14:textId="1231B5CC"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r w:rsidRPr="000427E7">
              <w:t>$11,011</w:t>
            </w:r>
          </w:p>
        </w:tc>
        <w:tc>
          <w:tcPr>
            <w:tcW w:w="1417" w:type="dxa"/>
            <w:vMerge/>
          </w:tcPr>
          <w:p w14:paraId="405C5EDC" w14:textId="77777777" w:rsidR="00E746BF" w:rsidRDefault="00E746BF" w:rsidP="009417CD">
            <w:pPr>
              <w:pStyle w:val="Tabletextleft"/>
              <w:cnfStyle w:val="000000000000" w:firstRow="0" w:lastRow="0" w:firstColumn="0" w:lastColumn="0" w:oddVBand="0" w:evenVBand="0" w:oddHBand="0" w:evenHBand="0" w:firstRowFirstColumn="0" w:firstRowLastColumn="0" w:lastRowFirstColumn="0" w:lastRowLastColumn="0"/>
            </w:pPr>
          </w:p>
        </w:tc>
        <w:tc>
          <w:tcPr>
            <w:tcW w:w="2127" w:type="dxa"/>
            <w:vMerge/>
          </w:tcPr>
          <w:p w14:paraId="32AFE5DB" w14:textId="77777777" w:rsidR="00E746BF" w:rsidRDefault="00E746BF" w:rsidP="009417CD">
            <w:pPr>
              <w:cnfStyle w:val="000000000000" w:firstRow="0" w:lastRow="0" w:firstColumn="0" w:lastColumn="0" w:oddVBand="0" w:evenVBand="0" w:oddHBand="0" w:evenHBand="0" w:firstRowFirstColumn="0" w:firstRowLastColumn="0" w:lastRowFirstColumn="0" w:lastRowLastColumn="0"/>
            </w:pPr>
          </w:p>
        </w:tc>
      </w:tr>
    </w:tbl>
    <w:p w14:paraId="0F21FC74" w14:textId="77777777" w:rsidR="0014759C" w:rsidRPr="009417CD" w:rsidRDefault="0014759C" w:rsidP="009417CD"/>
    <w:p w14:paraId="74203742" w14:textId="77777777" w:rsidR="006F13A0" w:rsidRPr="004D1339" w:rsidRDefault="006F13A0" w:rsidP="009417CD">
      <w:pPr>
        <w:pStyle w:val="URL"/>
      </w:pPr>
      <w:r w:rsidRPr="004D1339">
        <w:t>Health.gov.au</w:t>
      </w:r>
    </w:p>
    <w:p w14:paraId="03DE32F1" w14:textId="576DCD66" w:rsidR="00BF5D37" w:rsidRPr="00362DFE" w:rsidRDefault="006F13A0" w:rsidP="009417CD">
      <w:pPr>
        <w:jc w:val="center"/>
      </w:pPr>
      <w:r w:rsidRPr="004D1339">
        <w:t xml:space="preserve">All information in this publication is correct as at </w:t>
      </w:r>
      <w:r w:rsidR="00191FEC">
        <w:t>February</w:t>
      </w:r>
      <w:r w:rsidR="003A1CAF">
        <w:t xml:space="preserve"> 2026</w:t>
      </w:r>
    </w:p>
    <w:sectPr w:rsidR="00BF5D37" w:rsidRPr="00362DFE" w:rsidSect="00D155B2">
      <w:headerReference w:type="default" r:id="rId20"/>
      <w:footerReference w:type="default" r:id="rId21"/>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0B56" w14:textId="77777777" w:rsidR="00C931B4" w:rsidRDefault="00C931B4" w:rsidP="009417CD">
      <w:r>
        <w:separator/>
      </w:r>
    </w:p>
    <w:p w14:paraId="2158E43F" w14:textId="77777777" w:rsidR="00C931B4" w:rsidRDefault="00C931B4" w:rsidP="009417CD"/>
  </w:endnote>
  <w:endnote w:type="continuationSeparator" w:id="0">
    <w:p w14:paraId="27774FA1" w14:textId="77777777" w:rsidR="00C931B4" w:rsidRDefault="00C931B4" w:rsidP="009417CD">
      <w:r>
        <w:continuationSeparator/>
      </w:r>
    </w:p>
    <w:p w14:paraId="2736A696" w14:textId="77777777" w:rsidR="00C931B4" w:rsidRDefault="00C931B4" w:rsidP="009417CD"/>
  </w:endnote>
  <w:endnote w:type="continuationNotice" w:id="1">
    <w:p w14:paraId="2EA46DAB" w14:textId="77777777" w:rsidR="00C931B4" w:rsidRDefault="00C931B4" w:rsidP="00941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9F43" w14:textId="341FF376" w:rsidR="00972E7B" w:rsidRDefault="00972E7B">
    <w:pPr>
      <w:pStyle w:val="Footer"/>
    </w:pPr>
    <w:r>
      <w:rPr>
        <w:noProof/>
      </w:rPr>
      <mc:AlternateContent>
        <mc:Choice Requires="wps">
          <w:drawing>
            <wp:anchor distT="0" distB="0" distL="0" distR="0" simplePos="0" relativeHeight="251658240" behindDoc="0" locked="0" layoutInCell="1" allowOverlap="1" wp14:anchorId="48CBB495" wp14:editId="7304DD8B">
              <wp:simplePos x="635" y="635"/>
              <wp:positionH relativeFrom="page">
                <wp:align>center</wp:align>
              </wp:positionH>
              <wp:positionV relativeFrom="page">
                <wp:align>bottom</wp:align>
              </wp:positionV>
              <wp:extent cx="551815" cy="480695"/>
              <wp:effectExtent l="0" t="0" r="635" b="0"/>
              <wp:wrapNone/>
              <wp:docPr id="165441694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0B348BD" w14:textId="78FA28E3" w:rsidR="00972E7B" w:rsidRPr="00972E7B" w:rsidRDefault="00972E7B" w:rsidP="009417CD">
                          <w:pPr>
                            <w:rPr>
                              <w:rFonts w:eastAsia="Calibri"/>
                              <w:noProof/>
                            </w:rPr>
                          </w:pPr>
                          <w:r w:rsidRPr="00972E7B">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CBB495"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7.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00B348BD" w14:textId="78FA28E3" w:rsidR="00972E7B" w:rsidRPr="00972E7B" w:rsidRDefault="00972E7B" w:rsidP="009417CD">
                    <w:pPr>
                      <w:rPr>
                        <w:rFonts w:eastAsia="Calibri"/>
                        <w:noProof/>
                      </w:rPr>
                    </w:pPr>
                    <w:r w:rsidRPr="00972E7B">
                      <w:rPr>
                        <w:rFonts w:eastAsia="Calibri"/>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DDF3" w14:textId="45DB62A7" w:rsidR="00972E7B" w:rsidRDefault="00972E7B">
    <w:pPr>
      <w:pStyle w:val="Footer"/>
    </w:pPr>
    <w:r>
      <w:rPr>
        <w:noProof/>
      </w:rPr>
      <mc:AlternateContent>
        <mc:Choice Requires="wps">
          <w:drawing>
            <wp:anchor distT="0" distB="0" distL="0" distR="0" simplePos="0" relativeHeight="251659264" behindDoc="0" locked="0" layoutInCell="1" allowOverlap="1" wp14:anchorId="0C6477E3" wp14:editId="65EFE1FE">
              <wp:simplePos x="635" y="635"/>
              <wp:positionH relativeFrom="page">
                <wp:align>center</wp:align>
              </wp:positionH>
              <wp:positionV relativeFrom="page">
                <wp:align>bottom</wp:align>
              </wp:positionV>
              <wp:extent cx="551815" cy="480695"/>
              <wp:effectExtent l="0" t="0" r="635" b="0"/>
              <wp:wrapNone/>
              <wp:docPr id="18738757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190390B" w14:textId="04E92EEB" w:rsidR="00972E7B" w:rsidRPr="00972E7B" w:rsidRDefault="00972E7B" w:rsidP="009417CD">
                          <w:pPr>
                            <w:rPr>
                              <w:rFonts w:eastAsia="Calibri"/>
                              <w:noProof/>
                            </w:rPr>
                          </w:pPr>
                          <w:r w:rsidRPr="00972E7B">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6477E3" id="_x0000_t202" coordsize="21600,21600" o:spt="202" path="m,l,21600r21600,l21600,xe">
              <v:stroke joinstyle="miter"/>
              <v:path gradientshapeok="t" o:connecttype="rect"/>
            </v:shapetype>
            <v:shape id="Text Box 7" o:spid="_x0000_s1029" type="#_x0000_t202" alt="OFFICIAL" style="position:absolute;left:0;text-align:left;margin-left:0;margin-top:0;width:43.45pt;height:37.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3190390B" w14:textId="04E92EEB" w:rsidR="00972E7B" w:rsidRPr="00972E7B" w:rsidRDefault="00972E7B" w:rsidP="009417CD">
                    <w:pPr>
                      <w:rPr>
                        <w:rFonts w:eastAsia="Calibri"/>
                        <w:noProof/>
                      </w:rPr>
                    </w:pPr>
                    <w:r w:rsidRPr="00972E7B">
                      <w:rPr>
                        <w:rFonts w:eastAsia="Calibri"/>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20F7" w14:textId="4E232E81" w:rsidR="00751A23" w:rsidRPr="00751A23" w:rsidRDefault="00726417" w:rsidP="00934368">
    <w:pPr>
      <w:pStyle w:val="Footer"/>
    </w:pPr>
    <w:r>
      <w:t xml:space="preserve">Post-listing </w:t>
    </w:r>
    <w:r w:rsidR="001F70A5">
      <w:t>r</w:t>
    </w:r>
    <w:r>
      <w:t xml:space="preserve">eview – Spinal Cord Stimulators, </w:t>
    </w:r>
    <w:r w:rsidR="004F5848">
      <w:t>department</w:t>
    </w:r>
    <w:r>
      <w:t xml:space="preserve"> report</w:t>
    </w:r>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3F3D" w14:textId="77777777" w:rsidR="00C931B4" w:rsidRDefault="00C931B4" w:rsidP="009417CD">
      <w:r>
        <w:separator/>
      </w:r>
    </w:p>
  </w:footnote>
  <w:footnote w:type="continuationSeparator" w:id="0">
    <w:p w14:paraId="520F5BCE" w14:textId="77777777" w:rsidR="00C931B4" w:rsidRDefault="00C931B4" w:rsidP="009417CD">
      <w:r>
        <w:continuationSeparator/>
      </w:r>
    </w:p>
    <w:p w14:paraId="3241DA09" w14:textId="77777777" w:rsidR="00C931B4" w:rsidRDefault="00C931B4" w:rsidP="009417CD"/>
  </w:footnote>
  <w:footnote w:type="continuationNotice" w:id="1">
    <w:p w14:paraId="405B63EB" w14:textId="77777777" w:rsidR="00C931B4" w:rsidRDefault="00C931B4" w:rsidP="009417CD"/>
  </w:footnote>
  <w:footnote w:id="2">
    <w:p w14:paraId="799A4396" w14:textId="2C7DD993" w:rsidR="00900B0D" w:rsidRDefault="00900B0D">
      <w:pPr>
        <w:pStyle w:val="FootnoteText"/>
      </w:pPr>
      <w:r>
        <w:rPr>
          <w:rStyle w:val="FootnoteReference"/>
        </w:rPr>
        <w:footnoteRef/>
      </w:r>
      <w:r>
        <w:t xml:space="preserve"> </w:t>
      </w:r>
      <w:r w:rsidRPr="00900B0D">
        <w:rPr>
          <w:sz w:val="18"/>
          <w:szCs w:val="18"/>
        </w:rPr>
        <w:t>Jones CMP, Shaheed CA, Ferreira G, Mannix L, Harris IA, Buchbinder R, Maher CG. Spinal Cord Stimulators: An Analysis of the Adverse Events Reported to the Australian Therapeutic Goods Administration. J Patient Saf. 2022 Aug 1;18(5):507-511. doi: 10.1097/PTS.0000000000000971. Epub 2022 Jan 24. PMID: 35067619; PMCID: PMC9329040.</w:t>
      </w:r>
    </w:p>
  </w:footnote>
  <w:footnote w:id="3">
    <w:p w14:paraId="7884A1C5" w14:textId="77777777" w:rsidR="009956C0" w:rsidRPr="009956C0" w:rsidRDefault="009956C0" w:rsidP="009956C0">
      <w:pPr>
        <w:pStyle w:val="FootnoteText"/>
        <w:rPr>
          <w:sz w:val="18"/>
          <w:szCs w:val="18"/>
        </w:rPr>
      </w:pPr>
      <w:r w:rsidRPr="009956C0">
        <w:rPr>
          <w:rStyle w:val="FootnoteReference"/>
          <w:sz w:val="18"/>
          <w:szCs w:val="18"/>
        </w:rPr>
        <w:footnoteRef/>
      </w:r>
      <w:r w:rsidRPr="009956C0">
        <w:rPr>
          <w:sz w:val="18"/>
          <w:szCs w:val="18"/>
        </w:rPr>
        <w:t xml:space="preserve"> Suffixes are part of the Prescribed List grouping scheme. There are 13 categories of devices on the PL. The categories have subcategories, groups, and subgroups that are identified numerically; and in some instances, they have suffixes, which are identified alphabetically. The final benefit point is the ‘grouping’. The grouping schemes determines the benefits payable for a device. Each grouping has an individual benefit amount assigned.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939C" w14:textId="3BF2BDF9" w:rsidR="00972E7B" w:rsidRDefault="00972E7B">
    <w:pPr>
      <w:pStyle w:val="Header"/>
    </w:pPr>
    <w:r>
      <w:rPr>
        <w:noProof/>
      </w:rPr>
      <mc:AlternateContent>
        <mc:Choice Requires="wps">
          <w:drawing>
            <wp:anchor distT="0" distB="0" distL="0" distR="0" simplePos="0" relativeHeight="251654144" behindDoc="0" locked="0" layoutInCell="1" allowOverlap="1" wp14:anchorId="6A6ED338" wp14:editId="53AA804E">
              <wp:simplePos x="635" y="635"/>
              <wp:positionH relativeFrom="page">
                <wp:align>center</wp:align>
              </wp:positionH>
              <wp:positionV relativeFrom="page">
                <wp:align>top</wp:align>
              </wp:positionV>
              <wp:extent cx="551815" cy="480695"/>
              <wp:effectExtent l="0" t="0" r="635" b="14605"/>
              <wp:wrapNone/>
              <wp:docPr id="3107296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3C26BE2" w14:textId="44B18C73" w:rsidR="00972E7B" w:rsidRPr="00972E7B" w:rsidRDefault="00972E7B" w:rsidP="009417CD">
                          <w:pPr>
                            <w:rPr>
                              <w:rFonts w:eastAsia="Calibri"/>
                              <w:noProof/>
                            </w:rPr>
                          </w:pPr>
                          <w:r w:rsidRPr="00972E7B">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ED338"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3C26BE2" w14:textId="44B18C73" w:rsidR="00972E7B" w:rsidRPr="00972E7B" w:rsidRDefault="00972E7B" w:rsidP="009417CD">
                    <w:pPr>
                      <w:rPr>
                        <w:rFonts w:eastAsia="Calibri"/>
                        <w:noProof/>
                      </w:rPr>
                    </w:pPr>
                    <w:r w:rsidRPr="00972E7B">
                      <w:rPr>
                        <w:rFonts w:eastAsia="Calibri"/>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EE3F" w14:textId="2B9E3214" w:rsidR="00972E7B" w:rsidRDefault="00972E7B">
    <w:pPr>
      <w:pStyle w:val="Header"/>
    </w:pPr>
    <w:r>
      <w:rPr>
        <w:noProof/>
      </w:rPr>
      <mc:AlternateContent>
        <mc:Choice Requires="wps">
          <w:drawing>
            <wp:anchor distT="0" distB="0" distL="0" distR="0" simplePos="0" relativeHeight="251655168" behindDoc="0" locked="0" layoutInCell="1" allowOverlap="1" wp14:anchorId="6EF3EE32" wp14:editId="021A1700">
              <wp:simplePos x="635" y="635"/>
              <wp:positionH relativeFrom="page">
                <wp:align>center</wp:align>
              </wp:positionH>
              <wp:positionV relativeFrom="page">
                <wp:align>top</wp:align>
              </wp:positionV>
              <wp:extent cx="551815" cy="480695"/>
              <wp:effectExtent l="0" t="0" r="635" b="14605"/>
              <wp:wrapNone/>
              <wp:docPr id="10524906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E76DA6D" w14:textId="10A666AF" w:rsidR="00972E7B" w:rsidRPr="00972E7B" w:rsidRDefault="00972E7B" w:rsidP="009417CD">
                          <w:pPr>
                            <w:rPr>
                              <w:rFonts w:eastAsia="Calibri"/>
                              <w:noProof/>
                            </w:rPr>
                          </w:pPr>
                          <w:r w:rsidRPr="00972E7B">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F3EE32"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5E76DA6D" w14:textId="10A666AF" w:rsidR="00972E7B" w:rsidRPr="00972E7B" w:rsidRDefault="00972E7B" w:rsidP="009417CD">
                    <w:pPr>
                      <w:rPr>
                        <w:rFonts w:eastAsia="Calibri"/>
                        <w:noProof/>
                      </w:rPr>
                    </w:pPr>
                    <w:r w:rsidRPr="00972E7B">
                      <w:rPr>
                        <w:rFonts w:eastAsia="Calibri"/>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BF28" w14:textId="71E85397" w:rsidR="00751A23" w:rsidRDefault="006F13A0" w:rsidP="00584E63">
    <w:pPr>
      <w:pStyle w:val="Header"/>
      <w:tabs>
        <w:tab w:val="clear" w:pos="4513"/>
        <w:tab w:val="clear" w:pos="9026"/>
        <w:tab w:val="left" w:pos="1924"/>
      </w:tabs>
    </w:pPr>
    <w:r>
      <w:rPr>
        <w:noProof/>
        <w:lang w:eastAsia="en-AU"/>
      </w:rPr>
      <w:drawing>
        <wp:anchor distT="0" distB="0" distL="114300" distR="114300" simplePos="0" relativeHeight="251661312" behindDoc="1" locked="0" layoutInCell="1" allowOverlap="1" wp14:anchorId="5E7131C5" wp14:editId="5EA7E3CA">
          <wp:simplePos x="0" y="0"/>
          <wp:positionH relativeFrom="page">
            <wp:posOffset>-6654</wp:posOffset>
          </wp:positionH>
          <wp:positionV relativeFrom="page">
            <wp:posOffset>-1626</wp:posOffset>
          </wp:positionV>
          <wp:extent cx="7559245" cy="10692673"/>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9976" w14:textId="19D5B378"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714"/>
    <w:multiLevelType w:val="hybridMultilevel"/>
    <w:tmpl w:val="27BCC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234A0B"/>
    <w:multiLevelType w:val="hybridMultilevel"/>
    <w:tmpl w:val="8FF070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2633C"/>
    <w:multiLevelType w:val="hybridMultilevel"/>
    <w:tmpl w:val="93466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14EC5"/>
    <w:multiLevelType w:val="hybridMultilevel"/>
    <w:tmpl w:val="323A5D2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24531"/>
    <w:multiLevelType w:val="hybridMultilevel"/>
    <w:tmpl w:val="45727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112D00"/>
    <w:multiLevelType w:val="hybridMultilevel"/>
    <w:tmpl w:val="39108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A37C9"/>
    <w:multiLevelType w:val="hybridMultilevel"/>
    <w:tmpl w:val="92BA58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7835C9"/>
    <w:multiLevelType w:val="hybridMultilevel"/>
    <w:tmpl w:val="3586E446"/>
    <w:lvl w:ilvl="0" w:tplc="0D5CD0A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D32EA0"/>
    <w:multiLevelType w:val="hybridMultilevel"/>
    <w:tmpl w:val="B916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4654D4"/>
    <w:multiLevelType w:val="hybridMultilevel"/>
    <w:tmpl w:val="3E20A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7F5EB4"/>
    <w:multiLevelType w:val="hybridMultilevel"/>
    <w:tmpl w:val="D1EE2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A24CBE"/>
    <w:multiLevelType w:val="hybridMultilevel"/>
    <w:tmpl w:val="C4F20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EC5FC6"/>
    <w:multiLevelType w:val="hybridMultilevel"/>
    <w:tmpl w:val="1422AA0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2E21E8C"/>
    <w:multiLevelType w:val="hybridMultilevel"/>
    <w:tmpl w:val="C6E860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C442FD"/>
    <w:multiLevelType w:val="hybridMultilevel"/>
    <w:tmpl w:val="2A383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FBC654"/>
    <w:multiLevelType w:val="hybridMultilevel"/>
    <w:tmpl w:val="FFFFFFFF"/>
    <w:lvl w:ilvl="0" w:tplc="50A08B04">
      <w:start w:val="1"/>
      <w:numFmt w:val="decimal"/>
      <w:lvlText w:val="%1."/>
      <w:lvlJc w:val="left"/>
      <w:pPr>
        <w:ind w:left="720" w:hanging="360"/>
      </w:pPr>
    </w:lvl>
    <w:lvl w:ilvl="1" w:tplc="AADC265A">
      <w:start w:val="1"/>
      <w:numFmt w:val="lowerLetter"/>
      <w:lvlText w:val="%2."/>
      <w:lvlJc w:val="left"/>
      <w:pPr>
        <w:ind w:left="1440" w:hanging="360"/>
      </w:pPr>
    </w:lvl>
    <w:lvl w:ilvl="2" w:tplc="CDF833BE">
      <w:start w:val="1"/>
      <w:numFmt w:val="lowerRoman"/>
      <w:lvlText w:val="%3."/>
      <w:lvlJc w:val="right"/>
      <w:pPr>
        <w:ind w:left="2160" w:hanging="180"/>
      </w:pPr>
    </w:lvl>
    <w:lvl w:ilvl="3" w:tplc="91BC53C6">
      <w:start w:val="1"/>
      <w:numFmt w:val="decimal"/>
      <w:lvlText w:val="%4."/>
      <w:lvlJc w:val="left"/>
      <w:pPr>
        <w:ind w:left="2880" w:hanging="360"/>
      </w:pPr>
    </w:lvl>
    <w:lvl w:ilvl="4" w:tplc="46AEEC3E">
      <w:start w:val="1"/>
      <w:numFmt w:val="lowerLetter"/>
      <w:lvlText w:val="%5."/>
      <w:lvlJc w:val="left"/>
      <w:pPr>
        <w:ind w:left="3600" w:hanging="360"/>
      </w:pPr>
    </w:lvl>
    <w:lvl w:ilvl="5" w:tplc="907A2D08">
      <w:start w:val="1"/>
      <w:numFmt w:val="lowerRoman"/>
      <w:lvlText w:val="%6."/>
      <w:lvlJc w:val="right"/>
      <w:pPr>
        <w:ind w:left="4320" w:hanging="180"/>
      </w:pPr>
    </w:lvl>
    <w:lvl w:ilvl="6" w:tplc="F21CC39C">
      <w:start w:val="1"/>
      <w:numFmt w:val="decimal"/>
      <w:lvlText w:val="%7."/>
      <w:lvlJc w:val="left"/>
      <w:pPr>
        <w:ind w:left="5040" w:hanging="360"/>
      </w:pPr>
    </w:lvl>
    <w:lvl w:ilvl="7" w:tplc="DFB25BA0">
      <w:start w:val="1"/>
      <w:numFmt w:val="lowerLetter"/>
      <w:lvlText w:val="%8."/>
      <w:lvlJc w:val="left"/>
      <w:pPr>
        <w:ind w:left="5760" w:hanging="360"/>
      </w:pPr>
    </w:lvl>
    <w:lvl w:ilvl="8" w:tplc="656A1766">
      <w:start w:val="1"/>
      <w:numFmt w:val="lowerRoman"/>
      <w:lvlText w:val="%9."/>
      <w:lvlJc w:val="right"/>
      <w:pPr>
        <w:ind w:left="6480" w:hanging="180"/>
      </w:p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C34C9E"/>
    <w:multiLevelType w:val="hybridMultilevel"/>
    <w:tmpl w:val="9A98450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181DB4"/>
    <w:multiLevelType w:val="hybridMultilevel"/>
    <w:tmpl w:val="66C62A9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ED4D6C"/>
    <w:multiLevelType w:val="hybridMultilevel"/>
    <w:tmpl w:val="FFFFFFFF"/>
    <w:lvl w:ilvl="0" w:tplc="A5484CE0">
      <w:start w:val="1"/>
      <w:numFmt w:val="bullet"/>
      <w:lvlText w:val="-"/>
      <w:lvlJc w:val="left"/>
      <w:pPr>
        <w:ind w:left="720" w:hanging="360"/>
      </w:pPr>
      <w:rPr>
        <w:rFonts w:ascii="Aptos" w:hAnsi="Aptos" w:hint="default"/>
      </w:rPr>
    </w:lvl>
    <w:lvl w:ilvl="1" w:tplc="953EEE0C">
      <w:start w:val="1"/>
      <w:numFmt w:val="bullet"/>
      <w:lvlText w:val="o"/>
      <w:lvlJc w:val="left"/>
      <w:pPr>
        <w:ind w:left="1440" w:hanging="360"/>
      </w:pPr>
      <w:rPr>
        <w:rFonts w:ascii="Courier New" w:hAnsi="Courier New" w:hint="default"/>
      </w:rPr>
    </w:lvl>
    <w:lvl w:ilvl="2" w:tplc="D2DE0940">
      <w:start w:val="1"/>
      <w:numFmt w:val="bullet"/>
      <w:lvlText w:val=""/>
      <w:lvlJc w:val="left"/>
      <w:pPr>
        <w:ind w:left="2160" w:hanging="360"/>
      </w:pPr>
      <w:rPr>
        <w:rFonts w:ascii="Wingdings" w:hAnsi="Wingdings" w:hint="default"/>
      </w:rPr>
    </w:lvl>
    <w:lvl w:ilvl="3" w:tplc="37261D10">
      <w:start w:val="1"/>
      <w:numFmt w:val="bullet"/>
      <w:lvlText w:val=""/>
      <w:lvlJc w:val="left"/>
      <w:pPr>
        <w:ind w:left="2880" w:hanging="360"/>
      </w:pPr>
      <w:rPr>
        <w:rFonts w:ascii="Symbol" w:hAnsi="Symbol" w:hint="default"/>
      </w:rPr>
    </w:lvl>
    <w:lvl w:ilvl="4" w:tplc="70FCEA46">
      <w:start w:val="1"/>
      <w:numFmt w:val="bullet"/>
      <w:lvlText w:val="o"/>
      <w:lvlJc w:val="left"/>
      <w:pPr>
        <w:ind w:left="3600" w:hanging="360"/>
      </w:pPr>
      <w:rPr>
        <w:rFonts w:ascii="Courier New" w:hAnsi="Courier New" w:hint="default"/>
      </w:rPr>
    </w:lvl>
    <w:lvl w:ilvl="5" w:tplc="039A8186">
      <w:start w:val="1"/>
      <w:numFmt w:val="bullet"/>
      <w:lvlText w:val=""/>
      <w:lvlJc w:val="left"/>
      <w:pPr>
        <w:ind w:left="4320" w:hanging="360"/>
      </w:pPr>
      <w:rPr>
        <w:rFonts w:ascii="Wingdings" w:hAnsi="Wingdings" w:hint="default"/>
      </w:rPr>
    </w:lvl>
    <w:lvl w:ilvl="6" w:tplc="589E2C2E">
      <w:start w:val="1"/>
      <w:numFmt w:val="bullet"/>
      <w:lvlText w:val=""/>
      <w:lvlJc w:val="left"/>
      <w:pPr>
        <w:ind w:left="5040" w:hanging="360"/>
      </w:pPr>
      <w:rPr>
        <w:rFonts w:ascii="Symbol" w:hAnsi="Symbol" w:hint="default"/>
      </w:rPr>
    </w:lvl>
    <w:lvl w:ilvl="7" w:tplc="556A314C">
      <w:start w:val="1"/>
      <w:numFmt w:val="bullet"/>
      <w:lvlText w:val="o"/>
      <w:lvlJc w:val="left"/>
      <w:pPr>
        <w:ind w:left="5760" w:hanging="360"/>
      </w:pPr>
      <w:rPr>
        <w:rFonts w:ascii="Courier New" w:hAnsi="Courier New" w:hint="default"/>
      </w:rPr>
    </w:lvl>
    <w:lvl w:ilvl="8" w:tplc="B052F154">
      <w:start w:val="1"/>
      <w:numFmt w:val="bullet"/>
      <w:lvlText w:val=""/>
      <w:lvlJc w:val="left"/>
      <w:pPr>
        <w:ind w:left="6480" w:hanging="360"/>
      </w:pPr>
      <w:rPr>
        <w:rFonts w:ascii="Wingdings" w:hAnsi="Wingdings" w:hint="default"/>
      </w:rPr>
    </w:lvl>
  </w:abstractNum>
  <w:abstractNum w:abstractNumId="23" w15:restartNumberingAfterBreak="0">
    <w:nsid w:val="5E617AD6"/>
    <w:multiLevelType w:val="hybridMultilevel"/>
    <w:tmpl w:val="4EEE8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AC066C"/>
    <w:multiLevelType w:val="hybridMultilevel"/>
    <w:tmpl w:val="3F5C1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F2303E"/>
    <w:multiLevelType w:val="hybridMultilevel"/>
    <w:tmpl w:val="0A800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67F73C0"/>
    <w:multiLevelType w:val="hybridMultilevel"/>
    <w:tmpl w:val="99CA3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F504D2"/>
    <w:multiLevelType w:val="hybridMultilevel"/>
    <w:tmpl w:val="26B08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7FEE12C4"/>
    <w:multiLevelType w:val="hybridMultilevel"/>
    <w:tmpl w:val="426A3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5966594">
    <w:abstractNumId w:val="7"/>
  </w:num>
  <w:num w:numId="2" w16cid:durableId="653529967">
    <w:abstractNumId w:val="15"/>
  </w:num>
  <w:num w:numId="3" w16cid:durableId="7144868">
    <w:abstractNumId w:val="29"/>
  </w:num>
  <w:num w:numId="4" w16cid:durableId="1099594704">
    <w:abstractNumId w:val="19"/>
  </w:num>
  <w:num w:numId="5" w16cid:durableId="1942495280">
    <w:abstractNumId w:val="28"/>
  </w:num>
  <w:num w:numId="6" w16cid:durableId="584609245">
    <w:abstractNumId w:val="1"/>
  </w:num>
  <w:num w:numId="7" w16cid:durableId="657806290">
    <w:abstractNumId w:val="26"/>
  </w:num>
  <w:num w:numId="8" w16cid:durableId="448817335">
    <w:abstractNumId w:val="30"/>
  </w:num>
  <w:num w:numId="9" w16cid:durableId="33846156">
    <w:abstractNumId w:val="22"/>
  </w:num>
  <w:num w:numId="10" w16cid:durableId="1446852622">
    <w:abstractNumId w:val="16"/>
  </w:num>
  <w:num w:numId="11" w16cid:durableId="104496947">
    <w:abstractNumId w:val="4"/>
  </w:num>
  <w:num w:numId="12" w16cid:durableId="118887271">
    <w:abstractNumId w:val="18"/>
  </w:num>
  <w:num w:numId="13" w16cid:durableId="1371607804">
    <w:abstractNumId w:val="2"/>
  </w:num>
  <w:num w:numId="14" w16cid:durableId="2059744563">
    <w:abstractNumId w:val="14"/>
  </w:num>
  <w:num w:numId="15" w16cid:durableId="894043621">
    <w:abstractNumId w:val="23"/>
  </w:num>
  <w:num w:numId="16" w16cid:durableId="1967615792">
    <w:abstractNumId w:val="17"/>
  </w:num>
  <w:num w:numId="17" w16cid:durableId="1621954377">
    <w:abstractNumId w:val="8"/>
  </w:num>
  <w:num w:numId="18" w16cid:durableId="1135639821">
    <w:abstractNumId w:val="21"/>
  </w:num>
  <w:num w:numId="19" w16cid:durableId="158813791">
    <w:abstractNumId w:val="20"/>
  </w:num>
  <w:num w:numId="20" w16cid:durableId="759523741">
    <w:abstractNumId w:val="27"/>
  </w:num>
  <w:num w:numId="21" w16cid:durableId="1143816809">
    <w:abstractNumId w:val="0"/>
  </w:num>
  <w:num w:numId="22" w16cid:durableId="177626375">
    <w:abstractNumId w:val="10"/>
  </w:num>
  <w:num w:numId="23" w16cid:durableId="1078164665">
    <w:abstractNumId w:val="5"/>
  </w:num>
  <w:num w:numId="24" w16cid:durableId="1941445834">
    <w:abstractNumId w:val="12"/>
  </w:num>
  <w:num w:numId="25" w16cid:durableId="789667866">
    <w:abstractNumId w:val="9"/>
  </w:num>
  <w:num w:numId="26" w16cid:durableId="369230406">
    <w:abstractNumId w:val="24"/>
  </w:num>
  <w:num w:numId="27" w16cid:durableId="505169871">
    <w:abstractNumId w:val="11"/>
  </w:num>
  <w:num w:numId="28" w16cid:durableId="954480123">
    <w:abstractNumId w:val="6"/>
  </w:num>
  <w:num w:numId="29" w16cid:durableId="1123647319">
    <w:abstractNumId w:val="3"/>
  </w:num>
  <w:num w:numId="30" w16cid:durableId="1718703133">
    <w:abstractNumId w:val="13"/>
  </w:num>
  <w:num w:numId="31" w16cid:durableId="1557933785">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7A"/>
    <w:rsid w:val="0000179E"/>
    <w:rsid w:val="00001BBD"/>
    <w:rsid w:val="00001F41"/>
    <w:rsid w:val="0000227C"/>
    <w:rsid w:val="00002AFE"/>
    <w:rsid w:val="000036EE"/>
    <w:rsid w:val="00003743"/>
    <w:rsid w:val="000047B4"/>
    <w:rsid w:val="00004A42"/>
    <w:rsid w:val="00005712"/>
    <w:rsid w:val="00007FD8"/>
    <w:rsid w:val="0001024F"/>
    <w:rsid w:val="000117F8"/>
    <w:rsid w:val="00011AFA"/>
    <w:rsid w:val="00011BE7"/>
    <w:rsid w:val="00012835"/>
    <w:rsid w:val="00012B95"/>
    <w:rsid w:val="00012E6B"/>
    <w:rsid w:val="00013BE9"/>
    <w:rsid w:val="00014048"/>
    <w:rsid w:val="0001780A"/>
    <w:rsid w:val="000206AD"/>
    <w:rsid w:val="00022AB6"/>
    <w:rsid w:val="00022F1C"/>
    <w:rsid w:val="00022F8B"/>
    <w:rsid w:val="00023120"/>
    <w:rsid w:val="00023227"/>
    <w:rsid w:val="00023FD2"/>
    <w:rsid w:val="00024B20"/>
    <w:rsid w:val="000254F4"/>
    <w:rsid w:val="00025658"/>
    <w:rsid w:val="00026139"/>
    <w:rsid w:val="00027071"/>
    <w:rsid w:val="00027601"/>
    <w:rsid w:val="00030005"/>
    <w:rsid w:val="000306A6"/>
    <w:rsid w:val="00030C0E"/>
    <w:rsid w:val="0003216A"/>
    <w:rsid w:val="00032EFB"/>
    <w:rsid w:val="00033321"/>
    <w:rsid w:val="000338E5"/>
    <w:rsid w:val="00033995"/>
    <w:rsid w:val="00033AA5"/>
    <w:rsid w:val="00033ECC"/>
    <w:rsid w:val="0003422F"/>
    <w:rsid w:val="00034B62"/>
    <w:rsid w:val="00035640"/>
    <w:rsid w:val="0003623E"/>
    <w:rsid w:val="000373B8"/>
    <w:rsid w:val="00041CB7"/>
    <w:rsid w:val="00042C25"/>
    <w:rsid w:val="000430F0"/>
    <w:rsid w:val="00043CA8"/>
    <w:rsid w:val="00043DCC"/>
    <w:rsid w:val="00043DE3"/>
    <w:rsid w:val="00044F8A"/>
    <w:rsid w:val="00046124"/>
    <w:rsid w:val="00046FF0"/>
    <w:rsid w:val="00047390"/>
    <w:rsid w:val="00050176"/>
    <w:rsid w:val="0005057A"/>
    <w:rsid w:val="0005072A"/>
    <w:rsid w:val="000514D8"/>
    <w:rsid w:val="00052ABA"/>
    <w:rsid w:val="00052B9C"/>
    <w:rsid w:val="000535EE"/>
    <w:rsid w:val="00054632"/>
    <w:rsid w:val="00055B2C"/>
    <w:rsid w:val="00056759"/>
    <w:rsid w:val="00057729"/>
    <w:rsid w:val="000577FA"/>
    <w:rsid w:val="0006022A"/>
    <w:rsid w:val="00060585"/>
    <w:rsid w:val="00061720"/>
    <w:rsid w:val="00061F90"/>
    <w:rsid w:val="00062110"/>
    <w:rsid w:val="000626C9"/>
    <w:rsid w:val="00062B65"/>
    <w:rsid w:val="00062C7D"/>
    <w:rsid w:val="00062C9F"/>
    <w:rsid w:val="00064002"/>
    <w:rsid w:val="00064407"/>
    <w:rsid w:val="00064409"/>
    <w:rsid w:val="00064769"/>
    <w:rsid w:val="00064FD6"/>
    <w:rsid w:val="000658C3"/>
    <w:rsid w:val="000662E5"/>
    <w:rsid w:val="00067456"/>
    <w:rsid w:val="00071013"/>
    <w:rsid w:val="00071506"/>
    <w:rsid w:val="0007154F"/>
    <w:rsid w:val="000715E4"/>
    <w:rsid w:val="00071612"/>
    <w:rsid w:val="00072D63"/>
    <w:rsid w:val="000732B7"/>
    <w:rsid w:val="00073834"/>
    <w:rsid w:val="000749E1"/>
    <w:rsid w:val="000749ED"/>
    <w:rsid w:val="00075293"/>
    <w:rsid w:val="000752C4"/>
    <w:rsid w:val="00075B89"/>
    <w:rsid w:val="00075E8A"/>
    <w:rsid w:val="00081332"/>
    <w:rsid w:val="00081AB1"/>
    <w:rsid w:val="00082715"/>
    <w:rsid w:val="0008288F"/>
    <w:rsid w:val="00084131"/>
    <w:rsid w:val="00084FF0"/>
    <w:rsid w:val="000855CD"/>
    <w:rsid w:val="00085E25"/>
    <w:rsid w:val="00086CB0"/>
    <w:rsid w:val="00087F1D"/>
    <w:rsid w:val="0009007A"/>
    <w:rsid w:val="00090316"/>
    <w:rsid w:val="00092EF0"/>
    <w:rsid w:val="00093981"/>
    <w:rsid w:val="00093CD9"/>
    <w:rsid w:val="00093D5A"/>
    <w:rsid w:val="00095FDA"/>
    <w:rsid w:val="000A0ED5"/>
    <w:rsid w:val="000A10A7"/>
    <w:rsid w:val="000A1C23"/>
    <w:rsid w:val="000A2EB7"/>
    <w:rsid w:val="000A3222"/>
    <w:rsid w:val="000A3E28"/>
    <w:rsid w:val="000A420E"/>
    <w:rsid w:val="000A4CCB"/>
    <w:rsid w:val="000A4D71"/>
    <w:rsid w:val="000A5DBB"/>
    <w:rsid w:val="000A6CC2"/>
    <w:rsid w:val="000B0142"/>
    <w:rsid w:val="000B067A"/>
    <w:rsid w:val="000B1039"/>
    <w:rsid w:val="000B1504"/>
    <w:rsid w:val="000B1540"/>
    <w:rsid w:val="000B183D"/>
    <w:rsid w:val="000B2747"/>
    <w:rsid w:val="000B2C49"/>
    <w:rsid w:val="000B2D31"/>
    <w:rsid w:val="000B33FD"/>
    <w:rsid w:val="000B3BE0"/>
    <w:rsid w:val="000B3C8B"/>
    <w:rsid w:val="000B414D"/>
    <w:rsid w:val="000B48AD"/>
    <w:rsid w:val="000B4ABA"/>
    <w:rsid w:val="000B5F67"/>
    <w:rsid w:val="000B7CD7"/>
    <w:rsid w:val="000C08BC"/>
    <w:rsid w:val="000C21BF"/>
    <w:rsid w:val="000C3837"/>
    <w:rsid w:val="000C3873"/>
    <w:rsid w:val="000C438E"/>
    <w:rsid w:val="000C4B16"/>
    <w:rsid w:val="000C4BC9"/>
    <w:rsid w:val="000C50C3"/>
    <w:rsid w:val="000C51AB"/>
    <w:rsid w:val="000C717A"/>
    <w:rsid w:val="000C7331"/>
    <w:rsid w:val="000C7715"/>
    <w:rsid w:val="000D00BC"/>
    <w:rsid w:val="000D00CA"/>
    <w:rsid w:val="000D01A2"/>
    <w:rsid w:val="000D0AA7"/>
    <w:rsid w:val="000D21F6"/>
    <w:rsid w:val="000D24AB"/>
    <w:rsid w:val="000D31A2"/>
    <w:rsid w:val="000D3650"/>
    <w:rsid w:val="000D42C3"/>
    <w:rsid w:val="000D4500"/>
    <w:rsid w:val="000D496A"/>
    <w:rsid w:val="000D50E4"/>
    <w:rsid w:val="000D72AF"/>
    <w:rsid w:val="000D789A"/>
    <w:rsid w:val="000D7AEA"/>
    <w:rsid w:val="000D7E80"/>
    <w:rsid w:val="000E01A9"/>
    <w:rsid w:val="000E2741"/>
    <w:rsid w:val="000E28D4"/>
    <w:rsid w:val="000E2C66"/>
    <w:rsid w:val="000E37EF"/>
    <w:rsid w:val="000E50CB"/>
    <w:rsid w:val="000E594F"/>
    <w:rsid w:val="000E67B0"/>
    <w:rsid w:val="000E6891"/>
    <w:rsid w:val="000E6E7D"/>
    <w:rsid w:val="000F0E6A"/>
    <w:rsid w:val="000F0F4F"/>
    <w:rsid w:val="000F114C"/>
    <w:rsid w:val="000F123C"/>
    <w:rsid w:val="000F20D2"/>
    <w:rsid w:val="000F2750"/>
    <w:rsid w:val="000F2FED"/>
    <w:rsid w:val="000F3494"/>
    <w:rsid w:val="000F43E1"/>
    <w:rsid w:val="000F733B"/>
    <w:rsid w:val="001012AD"/>
    <w:rsid w:val="00102755"/>
    <w:rsid w:val="00102928"/>
    <w:rsid w:val="0010419E"/>
    <w:rsid w:val="0010554F"/>
    <w:rsid w:val="0010616D"/>
    <w:rsid w:val="001067FA"/>
    <w:rsid w:val="00107487"/>
    <w:rsid w:val="00110478"/>
    <w:rsid w:val="00110ECD"/>
    <w:rsid w:val="00112B96"/>
    <w:rsid w:val="0011418B"/>
    <w:rsid w:val="0011459E"/>
    <w:rsid w:val="00114AC6"/>
    <w:rsid w:val="0011711B"/>
    <w:rsid w:val="00117F8A"/>
    <w:rsid w:val="00121B9B"/>
    <w:rsid w:val="0012296E"/>
    <w:rsid w:val="00122ADC"/>
    <w:rsid w:val="00123542"/>
    <w:rsid w:val="0012494F"/>
    <w:rsid w:val="00125718"/>
    <w:rsid w:val="001261FB"/>
    <w:rsid w:val="00126791"/>
    <w:rsid w:val="00127406"/>
    <w:rsid w:val="00127C3C"/>
    <w:rsid w:val="00130F59"/>
    <w:rsid w:val="00132346"/>
    <w:rsid w:val="00133A31"/>
    <w:rsid w:val="00133DED"/>
    <w:rsid w:val="00133EC0"/>
    <w:rsid w:val="0013513C"/>
    <w:rsid w:val="00137E5E"/>
    <w:rsid w:val="001408D6"/>
    <w:rsid w:val="00140CCD"/>
    <w:rsid w:val="00141084"/>
    <w:rsid w:val="00141CE5"/>
    <w:rsid w:val="001424AA"/>
    <w:rsid w:val="00142FFE"/>
    <w:rsid w:val="00144908"/>
    <w:rsid w:val="00144E35"/>
    <w:rsid w:val="00144FC6"/>
    <w:rsid w:val="00147520"/>
    <w:rsid w:val="0014759C"/>
    <w:rsid w:val="0014766E"/>
    <w:rsid w:val="00150DCC"/>
    <w:rsid w:val="00152854"/>
    <w:rsid w:val="00154888"/>
    <w:rsid w:val="0015520E"/>
    <w:rsid w:val="001554D4"/>
    <w:rsid w:val="00156B07"/>
    <w:rsid w:val="001571C7"/>
    <w:rsid w:val="0015792F"/>
    <w:rsid w:val="00157C67"/>
    <w:rsid w:val="00160560"/>
    <w:rsid w:val="00161094"/>
    <w:rsid w:val="001613B8"/>
    <w:rsid w:val="00162DEB"/>
    <w:rsid w:val="00163044"/>
    <w:rsid w:val="00165CB4"/>
    <w:rsid w:val="00165F91"/>
    <w:rsid w:val="00166242"/>
    <w:rsid w:val="00166491"/>
    <w:rsid w:val="001664E5"/>
    <w:rsid w:val="0016652C"/>
    <w:rsid w:val="00170EA8"/>
    <w:rsid w:val="00170FF2"/>
    <w:rsid w:val="00171446"/>
    <w:rsid w:val="00172A55"/>
    <w:rsid w:val="00173C34"/>
    <w:rsid w:val="00174C3C"/>
    <w:rsid w:val="001758CD"/>
    <w:rsid w:val="0017665C"/>
    <w:rsid w:val="00177AD2"/>
    <w:rsid w:val="00180B33"/>
    <w:rsid w:val="001815A8"/>
    <w:rsid w:val="00181E97"/>
    <w:rsid w:val="00182BD4"/>
    <w:rsid w:val="001840FA"/>
    <w:rsid w:val="00184771"/>
    <w:rsid w:val="00184C30"/>
    <w:rsid w:val="00185BE4"/>
    <w:rsid w:val="00187245"/>
    <w:rsid w:val="00187B4B"/>
    <w:rsid w:val="0019000F"/>
    <w:rsid w:val="00190079"/>
    <w:rsid w:val="001900FA"/>
    <w:rsid w:val="0019123D"/>
    <w:rsid w:val="00191FEC"/>
    <w:rsid w:val="00192E63"/>
    <w:rsid w:val="001930BE"/>
    <w:rsid w:val="0019441E"/>
    <w:rsid w:val="001946F8"/>
    <w:rsid w:val="00195B48"/>
    <w:rsid w:val="0019622E"/>
    <w:rsid w:val="001966A7"/>
    <w:rsid w:val="00196867"/>
    <w:rsid w:val="001A04AF"/>
    <w:rsid w:val="001A13CB"/>
    <w:rsid w:val="001A15C0"/>
    <w:rsid w:val="001A28ED"/>
    <w:rsid w:val="001A2DED"/>
    <w:rsid w:val="001A2F36"/>
    <w:rsid w:val="001A36CC"/>
    <w:rsid w:val="001A39B9"/>
    <w:rsid w:val="001A39E0"/>
    <w:rsid w:val="001A4627"/>
    <w:rsid w:val="001A4728"/>
    <w:rsid w:val="001A4979"/>
    <w:rsid w:val="001A4DC2"/>
    <w:rsid w:val="001A61E5"/>
    <w:rsid w:val="001A63BD"/>
    <w:rsid w:val="001B15D3"/>
    <w:rsid w:val="001B1919"/>
    <w:rsid w:val="001B2445"/>
    <w:rsid w:val="001B3443"/>
    <w:rsid w:val="001B4394"/>
    <w:rsid w:val="001B717E"/>
    <w:rsid w:val="001C0326"/>
    <w:rsid w:val="001C03A0"/>
    <w:rsid w:val="001C192F"/>
    <w:rsid w:val="001C1B65"/>
    <w:rsid w:val="001C3514"/>
    <w:rsid w:val="001C3C42"/>
    <w:rsid w:val="001C482B"/>
    <w:rsid w:val="001C56A8"/>
    <w:rsid w:val="001C6737"/>
    <w:rsid w:val="001D020C"/>
    <w:rsid w:val="001D359E"/>
    <w:rsid w:val="001D38A0"/>
    <w:rsid w:val="001D3F54"/>
    <w:rsid w:val="001D4B1A"/>
    <w:rsid w:val="001D5034"/>
    <w:rsid w:val="001D68B2"/>
    <w:rsid w:val="001D68B5"/>
    <w:rsid w:val="001D696A"/>
    <w:rsid w:val="001D716C"/>
    <w:rsid w:val="001D7869"/>
    <w:rsid w:val="001D792B"/>
    <w:rsid w:val="001E25EE"/>
    <w:rsid w:val="001E3301"/>
    <w:rsid w:val="001E3782"/>
    <w:rsid w:val="001E3844"/>
    <w:rsid w:val="001E3E2B"/>
    <w:rsid w:val="001E4555"/>
    <w:rsid w:val="001E4FF2"/>
    <w:rsid w:val="001E71A3"/>
    <w:rsid w:val="001E7D97"/>
    <w:rsid w:val="001F0B91"/>
    <w:rsid w:val="001F11CF"/>
    <w:rsid w:val="001F1F96"/>
    <w:rsid w:val="001F2F78"/>
    <w:rsid w:val="001F5523"/>
    <w:rsid w:val="001F6D3E"/>
    <w:rsid w:val="001F70A5"/>
    <w:rsid w:val="001F7626"/>
    <w:rsid w:val="001F7A09"/>
    <w:rsid w:val="001F7D0F"/>
    <w:rsid w:val="00200D42"/>
    <w:rsid w:val="0020103F"/>
    <w:rsid w:val="002026CD"/>
    <w:rsid w:val="00202ABA"/>
    <w:rsid w:val="002033FC"/>
    <w:rsid w:val="002044BB"/>
    <w:rsid w:val="00204EFA"/>
    <w:rsid w:val="00205030"/>
    <w:rsid w:val="002054DB"/>
    <w:rsid w:val="002055C1"/>
    <w:rsid w:val="0020588E"/>
    <w:rsid w:val="002059FD"/>
    <w:rsid w:val="00206488"/>
    <w:rsid w:val="002075A8"/>
    <w:rsid w:val="00207BD6"/>
    <w:rsid w:val="00210B09"/>
    <w:rsid w:val="00210C9E"/>
    <w:rsid w:val="00211840"/>
    <w:rsid w:val="00211D42"/>
    <w:rsid w:val="00212F35"/>
    <w:rsid w:val="00214661"/>
    <w:rsid w:val="00214EB4"/>
    <w:rsid w:val="0021528A"/>
    <w:rsid w:val="00215B74"/>
    <w:rsid w:val="00216C40"/>
    <w:rsid w:val="00217746"/>
    <w:rsid w:val="00220293"/>
    <w:rsid w:val="00220E5F"/>
    <w:rsid w:val="002212B5"/>
    <w:rsid w:val="002220C5"/>
    <w:rsid w:val="0022292F"/>
    <w:rsid w:val="00223A9C"/>
    <w:rsid w:val="00223ECC"/>
    <w:rsid w:val="00223F19"/>
    <w:rsid w:val="002241F1"/>
    <w:rsid w:val="00226668"/>
    <w:rsid w:val="002274F5"/>
    <w:rsid w:val="0023132B"/>
    <w:rsid w:val="002317CB"/>
    <w:rsid w:val="00232007"/>
    <w:rsid w:val="00232640"/>
    <w:rsid w:val="00233809"/>
    <w:rsid w:val="00234C56"/>
    <w:rsid w:val="00236D1B"/>
    <w:rsid w:val="002373AF"/>
    <w:rsid w:val="002375AE"/>
    <w:rsid w:val="0023783E"/>
    <w:rsid w:val="00237C1F"/>
    <w:rsid w:val="00240046"/>
    <w:rsid w:val="00240259"/>
    <w:rsid w:val="002407EA"/>
    <w:rsid w:val="00240848"/>
    <w:rsid w:val="00241950"/>
    <w:rsid w:val="002446EF"/>
    <w:rsid w:val="00245C86"/>
    <w:rsid w:val="00246886"/>
    <w:rsid w:val="00246A5F"/>
    <w:rsid w:val="0024797F"/>
    <w:rsid w:val="00250411"/>
    <w:rsid w:val="002504C2"/>
    <w:rsid w:val="0025119E"/>
    <w:rsid w:val="00251269"/>
    <w:rsid w:val="00251487"/>
    <w:rsid w:val="00251967"/>
    <w:rsid w:val="00252F99"/>
    <w:rsid w:val="002535C0"/>
    <w:rsid w:val="0025419A"/>
    <w:rsid w:val="002550F7"/>
    <w:rsid w:val="00256101"/>
    <w:rsid w:val="00256124"/>
    <w:rsid w:val="00257269"/>
    <w:rsid w:val="002579FE"/>
    <w:rsid w:val="00260407"/>
    <w:rsid w:val="00261F09"/>
    <w:rsid w:val="0026311C"/>
    <w:rsid w:val="00263750"/>
    <w:rsid w:val="0026522D"/>
    <w:rsid w:val="00265F2C"/>
    <w:rsid w:val="0026668C"/>
    <w:rsid w:val="00266AC1"/>
    <w:rsid w:val="00266C41"/>
    <w:rsid w:val="0027178C"/>
    <w:rsid w:val="002719FA"/>
    <w:rsid w:val="00272668"/>
    <w:rsid w:val="00272A4B"/>
    <w:rsid w:val="0027315E"/>
    <w:rsid w:val="0027330B"/>
    <w:rsid w:val="00273E71"/>
    <w:rsid w:val="002744E4"/>
    <w:rsid w:val="00275A01"/>
    <w:rsid w:val="00275E95"/>
    <w:rsid w:val="00276CD4"/>
    <w:rsid w:val="00277161"/>
    <w:rsid w:val="002773ED"/>
    <w:rsid w:val="002803AD"/>
    <w:rsid w:val="002804E0"/>
    <w:rsid w:val="002809D2"/>
    <w:rsid w:val="0028110A"/>
    <w:rsid w:val="00281492"/>
    <w:rsid w:val="00282052"/>
    <w:rsid w:val="002823B7"/>
    <w:rsid w:val="00282F58"/>
    <w:rsid w:val="00284590"/>
    <w:rsid w:val="002849AE"/>
    <w:rsid w:val="0028519E"/>
    <w:rsid w:val="002856A5"/>
    <w:rsid w:val="00286833"/>
    <w:rsid w:val="00286EB7"/>
    <w:rsid w:val="002872ED"/>
    <w:rsid w:val="00287F1F"/>
    <w:rsid w:val="002901CD"/>
    <w:rsid w:val="002905C2"/>
    <w:rsid w:val="00290650"/>
    <w:rsid w:val="0029107D"/>
    <w:rsid w:val="00291329"/>
    <w:rsid w:val="0029200E"/>
    <w:rsid w:val="00292189"/>
    <w:rsid w:val="00292990"/>
    <w:rsid w:val="00294173"/>
    <w:rsid w:val="00295AF2"/>
    <w:rsid w:val="00295C91"/>
    <w:rsid w:val="0029630A"/>
    <w:rsid w:val="00297151"/>
    <w:rsid w:val="00297BCE"/>
    <w:rsid w:val="002A03D4"/>
    <w:rsid w:val="002A0910"/>
    <w:rsid w:val="002A1291"/>
    <w:rsid w:val="002A1C63"/>
    <w:rsid w:val="002A1F61"/>
    <w:rsid w:val="002A3740"/>
    <w:rsid w:val="002A3780"/>
    <w:rsid w:val="002A5254"/>
    <w:rsid w:val="002A65F7"/>
    <w:rsid w:val="002A7E95"/>
    <w:rsid w:val="002B20E6"/>
    <w:rsid w:val="002B21CE"/>
    <w:rsid w:val="002B2222"/>
    <w:rsid w:val="002B2AF5"/>
    <w:rsid w:val="002B2D8C"/>
    <w:rsid w:val="002B42A3"/>
    <w:rsid w:val="002B4F9D"/>
    <w:rsid w:val="002B60E1"/>
    <w:rsid w:val="002B6121"/>
    <w:rsid w:val="002B62D6"/>
    <w:rsid w:val="002B68DA"/>
    <w:rsid w:val="002B7557"/>
    <w:rsid w:val="002B7932"/>
    <w:rsid w:val="002B7BC7"/>
    <w:rsid w:val="002C0810"/>
    <w:rsid w:val="002C0CDD"/>
    <w:rsid w:val="002C16CC"/>
    <w:rsid w:val="002C3BDE"/>
    <w:rsid w:val="002C42E7"/>
    <w:rsid w:val="002C5D90"/>
    <w:rsid w:val="002D1C2D"/>
    <w:rsid w:val="002D2006"/>
    <w:rsid w:val="002D216B"/>
    <w:rsid w:val="002D288F"/>
    <w:rsid w:val="002D2F59"/>
    <w:rsid w:val="002D4684"/>
    <w:rsid w:val="002D5466"/>
    <w:rsid w:val="002D57FB"/>
    <w:rsid w:val="002D66D6"/>
    <w:rsid w:val="002D6A37"/>
    <w:rsid w:val="002D6C69"/>
    <w:rsid w:val="002D72E6"/>
    <w:rsid w:val="002E0555"/>
    <w:rsid w:val="002E1A1D"/>
    <w:rsid w:val="002E2937"/>
    <w:rsid w:val="002E2E86"/>
    <w:rsid w:val="002E32CB"/>
    <w:rsid w:val="002E3878"/>
    <w:rsid w:val="002E3C25"/>
    <w:rsid w:val="002E4081"/>
    <w:rsid w:val="002E42B2"/>
    <w:rsid w:val="002E4592"/>
    <w:rsid w:val="002E4F23"/>
    <w:rsid w:val="002E581F"/>
    <w:rsid w:val="002E5B78"/>
    <w:rsid w:val="002E5E11"/>
    <w:rsid w:val="002E6E19"/>
    <w:rsid w:val="002E753B"/>
    <w:rsid w:val="002E785F"/>
    <w:rsid w:val="002F0EA4"/>
    <w:rsid w:val="002F0FC4"/>
    <w:rsid w:val="002F1F92"/>
    <w:rsid w:val="002F3AE3"/>
    <w:rsid w:val="002F443E"/>
    <w:rsid w:val="002F4858"/>
    <w:rsid w:val="002F5893"/>
    <w:rsid w:val="002F63D0"/>
    <w:rsid w:val="002F71C5"/>
    <w:rsid w:val="00300A16"/>
    <w:rsid w:val="00300EEE"/>
    <w:rsid w:val="00300FED"/>
    <w:rsid w:val="00301F97"/>
    <w:rsid w:val="003020B4"/>
    <w:rsid w:val="00303F24"/>
    <w:rsid w:val="00303FE2"/>
    <w:rsid w:val="003040EE"/>
    <w:rsid w:val="0030464B"/>
    <w:rsid w:val="003057D3"/>
    <w:rsid w:val="0030752F"/>
    <w:rsid w:val="0030786C"/>
    <w:rsid w:val="0031079A"/>
    <w:rsid w:val="00310A85"/>
    <w:rsid w:val="003110E8"/>
    <w:rsid w:val="00312AF8"/>
    <w:rsid w:val="00314EF9"/>
    <w:rsid w:val="00315C32"/>
    <w:rsid w:val="003162A1"/>
    <w:rsid w:val="00316E81"/>
    <w:rsid w:val="00317654"/>
    <w:rsid w:val="00321773"/>
    <w:rsid w:val="003221C1"/>
    <w:rsid w:val="003233DE"/>
    <w:rsid w:val="00323FB0"/>
    <w:rsid w:val="0032466B"/>
    <w:rsid w:val="0032549E"/>
    <w:rsid w:val="00327141"/>
    <w:rsid w:val="00327199"/>
    <w:rsid w:val="00327587"/>
    <w:rsid w:val="00327B44"/>
    <w:rsid w:val="003327CC"/>
    <w:rsid w:val="00332DFB"/>
    <w:rsid w:val="003330EB"/>
    <w:rsid w:val="003337DC"/>
    <w:rsid w:val="003339CE"/>
    <w:rsid w:val="00333ECC"/>
    <w:rsid w:val="00336605"/>
    <w:rsid w:val="00341387"/>
    <w:rsid w:val="0034159F"/>
    <w:rsid w:val="003415D3"/>
    <w:rsid w:val="003415FD"/>
    <w:rsid w:val="00341CD6"/>
    <w:rsid w:val="00342972"/>
    <w:rsid w:val="003429F0"/>
    <w:rsid w:val="003435A5"/>
    <w:rsid w:val="00343D23"/>
    <w:rsid w:val="00345761"/>
    <w:rsid w:val="00345FEA"/>
    <w:rsid w:val="00346A3C"/>
    <w:rsid w:val="003472C9"/>
    <w:rsid w:val="00347625"/>
    <w:rsid w:val="0035097A"/>
    <w:rsid w:val="00352C9F"/>
    <w:rsid w:val="00352F7D"/>
    <w:rsid w:val="003530DE"/>
    <w:rsid w:val="00353B58"/>
    <w:rsid w:val="003540A4"/>
    <w:rsid w:val="00355836"/>
    <w:rsid w:val="003566CC"/>
    <w:rsid w:val="00360B0F"/>
    <w:rsid w:val="00360E4E"/>
    <w:rsid w:val="00361503"/>
    <w:rsid w:val="00362DFE"/>
    <w:rsid w:val="00362E34"/>
    <w:rsid w:val="00364387"/>
    <w:rsid w:val="003665F3"/>
    <w:rsid w:val="00367BF1"/>
    <w:rsid w:val="00370AAA"/>
    <w:rsid w:val="00371C3C"/>
    <w:rsid w:val="00371E2F"/>
    <w:rsid w:val="00371F22"/>
    <w:rsid w:val="003722A4"/>
    <w:rsid w:val="0037250F"/>
    <w:rsid w:val="0037334A"/>
    <w:rsid w:val="00373C50"/>
    <w:rsid w:val="003754FC"/>
    <w:rsid w:val="00375F77"/>
    <w:rsid w:val="00376221"/>
    <w:rsid w:val="00376903"/>
    <w:rsid w:val="00377353"/>
    <w:rsid w:val="00377A78"/>
    <w:rsid w:val="00380DB4"/>
    <w:rsid w:val="0038104D"/>
    <w:rsid w:val="00381BBE"/>
    <w:rsid w:val="00382307"/>
    <w:rsid w:val="00382402"/>
    <w:rsid w:val="003824D6"/>
    <w:rsid w:val="00382903"/>
    <w:rsid w:val="003846FF"/>
    <w:rsid w:val="00384A1F"/>
    <w:rsid w:val="00385675"/>
    <w:rsid w:val="00385AD4"/>
    <w:rsid w:val="00386BA7"/>
    <w:rsid w:val="00387924"/>
    <w:rsid w:val="00387EE9"/>
    <w:rsid w:val="00390307"/>
    <w:rsid w:val="00390DF7"/>
    <w:rsid w:val="00390F5B"/>
    <w:rsid w:val="003915EF"/>
    <w:rsid w:val="00392299"/>
    <w:rsid w:val="0039384D"/>
    <w:rsid w:val="00394A6D"/>
    <w:rsid w:val="00395C23"/>
    <w:rsid w:val="00396D35"/>
    <w:rsid w:val="00397281"/>
    <w:rsid w:val="00397BFC"/>
    <w:rsid w:val="003A1CAF"/>
    <w:rsid w:val="003A2300"/>
    <w:rsid w:val="003A28F4"/>
    <w:rsid w:val="003A2E4F"/>
    <w:rsid w:val="003A341E"/>
    <w:rsid w:val="003A404F"/>
    <w:rsid w:val="003A4438"/>
    <w:rsid w:val="003A47A4"/>
    <w:rsid w:val="003A4FD4"/>
    <w:rsid w:val="003A5013"/>
    <w:rsid w:val="003A5078"/>
    <w:rsid w:val="003A5307"/>
    <w:rsid w:val="003A6133"/>
    <w:rsid w:val="003A62DD"/>
    <w:rsid w:val="003A775A"/>
    <w:rsid w:val="003B037E"/>
    <w:rsid w:val="003B0DAB"/>
    <w:rsid w:val="003B213A"/>
    <w:rsid w:val="003B378F"/>
    <w:rsid w:val="003B43AD"/>
    <w:rsid w:val="003B4567"/>
    <w:rsid w:val="003B72AB"/>
    <w:rsid w:val="003B74E2"/>
    <w:rsid w:val="003B7F94"/>
    <w:rsid w:val="003C0FEC"/>
    <w:rsid w:val="003C15B8"/>
    <w:rsid w:val="003C2A7E"/>
    <w:rsid w:val="003C2AC8"/>
    <w:rsid w:val="003C334F"/>
    <w:rsid w:val="003C3EE5"/>
    <w:rsid w:val="003C439E"/>
    <w:rsid w:val="003C46A6"/>
    <w:rsid w:val="003C4B56"/>
    <w:rsid w:val="003C53F9"/>
    <w:rsid w:val="003C5F50"/>
    <w:rsid w:val="003C6B46"/>
    <w:rsid w:val="003C73D7"/>
    <w:rsid w:val="003C7862"/>
    <w:rsid w:val="003D0364"/>
    <w:rsid w:val="003D0FF5"/>
    <w:rsid w:val="003D17F9"/>
    <w:rsid w:val="003D1C29"/>
    <w:rsid w:val="003D289F"/>
    <w:rsid w:val="003D2D88"/>
    <w:rsid w:val="003D33D3"/>
    <w:rsid w:val="003D35B8"/>
    <w:rsid w:val="003D41EA"/>
    <w:rsid w:val="003D4850"/>
    <w:rsid w:val="003D4FBD"/>
    <w:rsid w:val="003D535A"/>
    <w:rsid w:val="003D5F27"/>
    <w:rsid w:val="003D72B2"/>
    <w:rsid w:val="003D78A9"/>
    <w:rsid w:val="003D798B"/>
    <w:rsid w:val="003E0455"/>
    <w:rsid w:val="003E2083"/>
    <w:rsid w:val="003E4407"/>
    <w:rsid w:val="003E4834"/>
    <w:rsid w:val="003E5265"/>
    <w:rsid w:val="003E5322"/>
    <w:rsid w:val="003E61D6"/>
    <w:rsid w:val="003F01FC"/>
    <w:rsid w:val="003F0955"/>
    <w:rsid w:val="003F0E45"/>
    <w:rsid w:val="003F150C"/>
    <w:rsid w:val="003F25B3"/>
    <w:rsid w:val="003F2BE5"/>
    <w:rsid w:val="003F33CB"/>
    <w:rsid w:val="003F35E8"/>
    <w:rsid w:val="003F427A"/>
    <w:rsid w:val="003F465B"/>
    <w:rsid w:val="003F6E7D"/>
    <w:rsid w:val="003F6FE1"/>
    <w:rsid w:val="003F7A94"/>
    <w:rsid w:val="003F7D22"/>
    <w:rsid w:val="0040070F"/>
    <w:rsid w:val="004007B0"/>
    <w:rsid w:val="00400F00"/>
    <w:rsid w:val="004016CC"/>
    <w:rsid w:val="0040319A"/>
    <w:rsid w:val="00403990"/>
    <w:rsid w:val="0040433D"/>
    <w:rsid w:val="00404F8B"/>
    <w:rsid w:val="00405256"/>
    <w:rsid w:val="00405D73"/>
    <w:rsid w:val="0040655B"/>
    <w:rsid w:val="0040677B"/>
    <w:rsid w:val="0040717A"/>
    <w:rsid w:val="00410031"/>
    <w:rsid w:val="00410311"/>
    <w:rsid w:val="004115A2"/>
    <w:rsid w:val="00411A4D"/>
    <w:rsid w:val="00411F9B"/>
    <w:rsid w:val="00412F25"/>
    <w:rsid w:val="0041399C"/>
    <w:rsid w:val="004142A7"/>
    <w:rsid w:val="0041447C"/>
    <w:rsid w:val="004149FC"/>
    <w:rsid w:val="00414C30"/>
    <w:rsid w:val="00415C81"/>
    <w:rsid w:val="00416731"/>
    <w:rsid w:val="00416901"/>
    <w:rsid w:val="0042191F"/>
    <w:rsid w:val="00421EB1"/>
    <w:rsid w:val="00421FBB"/>
    <w:rsid w:val="00425ECF"/>
    <w:rsid w:val="004265DD"/>
    <w:rsid w:val="00426754"/>
    <w:rsid w:val="00427661"/>
    <w:rsid w:val="00427D47"/>
    <w:rsid w:val="004304A8"/>
    <w:rsid w:val="00430A13"/>
    <w:rsid w:val="00432378"/>
    <w:rsid w:val="00432BC8"/>
    <w:rsid w:val="0043358E"/>
    <w:rsid w:val="00433C7A"/>
    <w:rsid w:val="004367A6"/>
    <w:rsid w:val="00436EC4"/>
    <w:rsid w:val="0043740F"/>
    <w:rsid w:val="004378B7"/>
    <w:rsid w:val="00440140"/>
    <w:rsid w:val="0044031E"/>
    <w:rsid w:val="00440633"/>
    <w:rsid w:val="004408CE"/>
    <w:rsid w:val="00440D65"/>
    <w:rsid w:val="00441FAE"/>
    <w:rsid w:val="004435E6"/>
    <w:rsid w:val="00443C9E"/>
    <w:rsid w:val="00443CFB"/>
    <w:rsid w:val="004461F5"/>
    <w:rsid w:val="00446EE0"/>
    <w:rsid w:val="0044783B"/>
    <w:rsid w:val="00447B2A"/>
    <w:rsid w:val="00447E31"/>
    <w:rsid w:val="004500A0"/>
    <w:rsid w:val="00452B78"/>
    <w:rsid w:val="00453923"/>
    <w:rsid w:val="0045430E"/>
    <w:rsid w:val="00454B9B"/>
    <w:rsid w:val="00454D91"/>
    <w:rsid w:val="00456B1F"/>
    <w:rsid w:val="00457858"/>
    <w:rsid w:val="00457E6B"/>
    <w:rsid w:val="004608B8"/>
    <w:rsid w:val="00460B0B"/>
    <w:rsid w:val="00461023"/>
    <w:rsid w:val="00462863"/>
    <w:rsid w:val="00462FAC"/>
    <w:rsid w:val="0046357F"/>
    <w:rsid w:val="004639C2"/>
    <w:rsid w:val="00463C3A"/>
    <w:rsid w:val="00464631"/>
    <w:rsid w:val="00464B79"/>
    <w:rsid w:val="00464D0B"/>
    <w:rsid w:val="0046513D"/>
    <w:rsid w:val="00465526"/>
    <w:rsid w:val="00465B95"/>
    <w:rsid w:val="00467BBF"/>
    <w:rsid w:val="00470B6A"/>
    <w:rsid w:val="004718E2"/>
    <w:rsid w:val="00471F4A"/>
    <w:rsid w:val="00471FF5"/>
    <w:rsid w:val="0047225D"/>
    <w:rsid w:val="004744C1"/>
    <w:rsid w:val="004756CC"/>
    <w:rsid w:val="00475BCC"/>
    <w:rsid w:val="004779C4"/>
    <w:rsid w:val="004804C6"/>
    <w:rsid w:val="004814B6"/>
    <w:rsid w:val="00481BF8"/>
    <w:rsid w:val="004825B4"/>
    <w:rsid w:val="00484D7E"/>
    <w:rsid w:val="004867E2"/>
    <w:rsid w:val="0048758A"/>
    <w:rsid w:val="004905DA"/>
    <w:rsid w:val="00490A20"/>
    <w:rsid w:val="00490FA5"/>
    <w:rsid w:val="00491A25"/>
    <w:rsid w:val="0049250F"/>
    <w:rsid w:val="004929A9"/>
    <w:rsid w:val="00492BD6"/>
    <w:rsid w:val="00493699"/>
    <w:rsid w:val="00493752"/>
    <w:rsid w:val="00493A62"/>
    <w:rsid w:val="00495DE0"/>
    <w:rsid w:val="00496302"/>
    <w:rsid w:val="00496BBF"/>
    <w:rsid w:val="00497868"/>
    <w:rsid w:val="00497F6A"/>
    <w:rsid w:val="004A0EDD"/>
    <w:rsid w:val="004A1A34"/>
    <w:rsid w:val="004A2179"/>
    <w:rsid w:val="004A27D5"/>
    <w:rsid w:val="004A3667"/>
    <w:rsid w:val="004A3C1A"/>
    <w:rsid w:val="004A4362"/>
    <w:rsid w:val="004A4EF4"/>
    <w:rsid w:val="004A53A8"/>
    <w:rsid w:val="004A5506"/>
    <w:rsid w:val="004A57CF"/>
    <w:rsid w:val="004A626B"/>
    <w:rsid w:val="004B027C"/>
    <w:rsid w:val="004B4108"/>
    <w:rsid w:val="004B441D"/>
    <w:rsid w:val="004B4448"/>
    <w:rsid w:val="004B54FE"/>
    <w:rsid w:val="004B6612"/>
    <w:rsid w:val="004B72E4"/>
    <w:rsid w:val="004B739A"/>
    <w:rsid w:val="004C1E1E"/>
    <w:rsid w:val="004C2FEC"/>
    <w:rsid w:val="004C3158"/>
    <w:rsid w:val="004C3F91"/>
    <w:rsid w:val="004C40D0"/>
    <w:rsid w:val="004C4B5C"/>
    <w:rsid w:val="004C4D33"/>
    <w:rsid w:val="004C55F2"/>
    <w:rsid w:val="004C683A"/>
    <w:rsid w:val="004C6BCF"/>
    <w:rsid w:val="004C7657"/>
    <w:rsid w:val="004C7898"/>
    <w:rsid w:val="004D0033"/>
    <w:rsid w:val="004D09F2"/>
    <w:rsid w:val="004D114F"/>
    <w:rsid w:val="004D29A6"/>
    <w:rsid w:val="004D3C16"/>
    <w:rsid w:val="004D58BF"/>
    <w:rsid w:val="004D5D4E"/>
    <w:rsid w:val="004D64B3"/>
    <w:rsid w:val="004D75C8"/>
    <w:rsid w:val="004E0450"/>
    <w:rsid w:val="004E0912"/>
    <w:rsid w:val="004E2113"/>
    <w:rsid w:val="004E2B8C"/>
    <w:rsid w:val="004E4048"/>
    <w:rsid w:val="004E4335"/>
    <w:rsid w:val="004E5ACF"/>
    <w:rsid w:val="004E6CF8"/>
    <w:rsid w:val="004E7F6F"/>
    <w:rsid w:val="004F0E4D"/>
    <w:rsid w:val="004F11BF"/>
    <w:rsid w:val="004F12C9"/>
    <w:rsid w:val="004F13EE"/>
    <w:rsid w:val="004F2022"/>
    <w:rsid w:val="004F24B6"/>
    <w:rsid w:val="004F3154"/>
    <w:rsid w:val="004F4C94"/>
    <w:rsid w:val="004F5369"/>
    <w:rsid w:val="004F536E"/>
    <w:rsid w:val="004F5848"/>
    <w:rsid w:val="004F7058"/>
    <w:rsid w:val="004F733F"/>
    <w:rsid w:val="004F7376"/>
    <w:rsid w:val="004F7925"/>
    <w:rsid w:val="004F7C05"/>
    <w:rsid w:val="00500225"/>
    <w:rsid w:val="00501C94"/>
    <w:rsid w:val="00502108"/>
    <w:rsid w:val="00503863"/>
    <w:rsid w:val="00506432"/>
    <w:rsid w:val="005065D4"/>
    <w:rsid w:val="005104CF"/>
    <w:rsid w:val="0051242B"/>
    <w:rsid w:val="00512B50"/>
    <w:rsid w:val="00513800"/>
    <w:rsid w:val="0051396E"/>
    <w:rsid w:val="00515CD3"/>
    <w:rsid w:val="00515DCB"/>
    <w:rsid w:val="00516D6E"/>
    <w:rsid w:val="00517049"/>
    <w:rsid w:val="0051726F"/>
    <w:rsid w:val="00517A30"/>
    <w:rsid w:val="00517EB9"/>
    <w:rsid w:val="0052051D"/>
    <w:rsid w:val="00521297"/>
    <w:rsid w:val="0052187A"/>
    <w:rsid w:val="00522565"/>
    <w:rsid w:val="00523DCE"/>
    <w:rsid w:val="00524453"/>
    <w:rsid w:val="00525096"/>
    <w:rsid w:val="0052563E"/>
    <w:rsid w:val="00530225"/>
    <w:rsid w:val="0053147F"/>
    <w:rsid w:val="00532341"/>
    <w:rsid w:val="00532EC7"/>
    <w:rsid w:val="00532FC5"/>
    <w:rsid w:val="00533041"/>
    <w:rsid w:val="0053495C"/>
    <w:rsid w:val="0054040F"/>
    <w:rsid w:val="00540DD7"/>
    <w:rsid w:val="00541828"/>
    <w:rsid w:val="00541A8B"/>
    <w:rsid w:val="00542974"/>
    <w:rsid w:val="00542A7F"/>
    <w:rsid w:val="0054308B"/>
    <w:rsid w:val="005453C8"/>
    <w:rsid w:val="00545EE6"/>
    <w:rsid w:val="00546B88"/>
    <w:rsid w:val="00547854"/>
    <w:rsid w:val="0055103B"/>
    <w:rsid w:val="005511D9"/>
    <w:rsid w:val="00551C56"/>
    <w:rsid w:val="005550E7"/>
    <w:rsid w:val="0055521A"/>
    <w:rsid w:val="0055582B"/>
    <w:rsid w:val="005564FB"/>
    <w:rsid w:val="005565AE"/>
    <w:rsid w:val="005572C7"/>
    <w:rsid w:val="00557B8B"/>
    <w:rsid w:val="0056026F"/>
    <w:rsid w:val="005645B4"/>
    <w:rsid w:val="00564969"/>
    <w:rsid w:val="005650ED"/>
    <w:rsid w:val="00566D37"/>
    <w:rsid w:val="00570A02"/>
    <w:rsid w:val="00572279"/>
    <w:rsid w:val="005733C8"/>
    <w:rsid w:val="0057363F"/>
    <w:rsid w:val="005751F0"/>
    <w:rsid w:val="00575754"/>
    <w:rsid w:val="005758AF"/>
    <w:rsid w:val="005758C4"/>
    <w:rsid w:val="00575E49"/>
    <w:rsid w:val="0058018B"/>
    <w:rsid w:val="005810A4"/>
    <w:rsid w:val="00582151"/>
    <w:rsid w:val="00582E69"/>
    <w:rsid w:val="00584E63"/>
    <w:rsid w:val="00584FC8"/>
    <w:rsid w:val="0058555B"/>
    <w:rsid w:val="005858F2"/>
    <w:rsid w:val="00587AEB"/>
    <w:rsid w:val="00590247"/>
    <w:rsid w:val="00590B54"/>
    <w:rsid w:val="005916C0"/>
    <w:rsid w:val="00591A10"/>
    <w:rsid w:val="00591E20"/>
    <w:rsid w:val="005930CB"/>
    <w:rsid w:val="005934AE"/>
    <w:rsid w:val="00593B63"/>
    <w:rsid w:val="0059402D"/>
    <w:rsid w:val="00595408"/>
    <w:rsid w:val="00595550"/>
    <w:rsid w:val="00595E84"/>
    <w:rsid w:val="005960F8"/>
    <w:rsid w:val="00597D79"/>
    <w:rsid w:val="005A06ED"/>
    <w:rsid w:val="005A0771"/>
    <w:rsid w:val="005A0C59"/>
    <w:rsid w:val="005A18CD"/>
    <w:rsid w:val="005A1994"/>
    <w:rsid w:val="005A1A4D"/>
    <w:rsid w:val="005A1A86"/>
    <w:rsid w:val="005A23CF"/>
    <w:rsid w:val="005A2D57"/>
    <w:rsid w:val="005A30F7"/>
    <w:rsid w:val="005A48EB"/>
    <w:rsid w:val="005A550F"/>
    <w:rsid w:val="005A5915"/>
    <w:rsid w:val="005A5EC1"/>
    <w:rsid w:val="005A676E"/>
    <w:rsid w:val="005A6CFB"/>
    <w:rsid w:val="005A6D58"/>
    <w:rsid w:val="005B7904"/>
    <w:rsid w:val="005C0AAA"/>
    <w:rsid w:val="005C1B4B"/>
    <w:rsid w:val="005C2608"/>
    <w:rsid w:val="005C4797"/>
    <w:rsid w:val="005C5AEB"/>
    <w:rsid w:val="005C5C48"/>
    <w:rsid w:val="005C65F5"/>
    <w:rsid w:val="005C7AB8"/>
    <w:rsid w:val="005C7BFC"/>
    <w:rsid w:val="005C7C22"/>
    <w:rsid w:val="005C7DE8"/>
    <w:rsid w:val="005D22F9"/>
    <w:rsid w:val="005D616E"/>
    <w:rsid w:val="005D6FC1"/>
    <w:rsid w:val="005D7A2E"/>
    <w:rsid w:val="005D7AA8"/>
    <w:rsid w:val="005E0A3F"/>
    <w:rsid w:val="005E15C5"/>
    <w:rsid w:val="005E1655"/>
    <w:rsid w:val="005E1F4B"/>
    <w:rsid w:val="005E1FF8"/>
    <w:rsid w:val="005E4D9E"/>
    <w:rsid w:val="005E529B"/>
    <w:rsid w:val="005E5395"/>
    <w:rsid w:val="005E54B2"/>
    <w:rsid w:val="005E62E7"/>
    <w:rsid w:val="005E6883"/>
    <w:rsid w:val="005E772F"/>
    <w:rsid w:val="005E7D5B"/>
    <w:rsid w:val="005F0774"/>
    <w:rsid w:val="005F1532"/>
    <w:rsid w:val="005F1CFB"/>
    <w:rsid w:val="005F2525"/>
    <w:rsid w:val="005F27A6"/>
    <w:rsid w:val="005F30C9"/>
    <w:rsid w:val="005F4347"/>
    <w:rsid w:val="005F4ECA"/>
    <w:rsid w:val="005F5E46"/>
    <w:rsid w:val="005F74B7"/>
    <w:rsid w:val="005F7918"/>
    <w:rsid w:val="005F798F"/>
    <w:rsid w:val="005F7E7E"/>
    <w:rsid w:val="006015C4"/>
    <w:rsid w:val="00601D4D"/>
    <w:rsid w:val="00602E88"/>
    <w:rsid w:val="00603AF2"/>
    <w:rsid w:val="006041BE"/>
    <w:rsid w:val="006043C7"/>
    <w:rsid w:val="00605100"/>
    <w:rsid w:val="00606EA8"/>
    <w:rsid w:val="00607555"/>
    <w:rsid w:val="006078F4"/>
    <w:rsid w:val="0061047D"/>
    <w:rsid w:val="006112C6"/>
    <w:rsid w:val="00612361"/>
    <w:rsid w:val="00613201"/>
    <w:rsid w:val="0061567C"/>
    <w:rsid w:val="006159A5"/>
    <w:rsid w:val="00616434"/>
    <w:rsid w:val="00620196"/>
    <w:rsid w:val="00620F0B"/>
    <w:rsid w:val="0062117E"/>
    <w:rsid w:val="00622343"/>
    <w:rsid w:val="006244A9"/>
    <w:rsid w:val="00624A72"/>
    <w:rsid w:val="00624B52"/>
    <w:rsid w:val="00625B10"/>
    <w:rsid w:val="00625FED"/>
    <w:rsid w:val="006267B7"/>
    <w:rsid w:val="006267EE"/>
    <w:rsid w:val="00626CE5"/>
    <w:rsid w:val="00626EE7"/>
    <w:rsid w:val="00627207"/>
    <w:rsid w:val="0063077C"/>
    <w:rsid w:val="00631C37"/>
    <w:rsid w:val="00631DF4"/>
    <w:rsid w:val="00632CAB"/>
    <w:rsid w:val="00634175"/>
    <w:rsid w:val="006346D0"/>
    <w:rsid w:val="00634A17"/>
    <w:rsid w:val="0063523D"/>
    <w:rsid w:val="00636481"/>
    <w:rsid w:val="006408AC"/>
    <w:rsid w:val="0064115E"/>
    <w:rsid w:val="006437C3"/>
    <w:rsid w:val="006445FE"/>
    <w:rsid w:val="00645126"/>
    <w:rsid w:val="006466FB"/>
    <w:rsid w:val="00647B0E"/>
    <w:rsid w:val="006504DA"/>
    <w:rsid w:val="006511B6"/>
    <w:rsid w:val="00651BA4"/>
    <w:rsid w:val="00652742"/>
    <w:rsid w:val="00653270"/>
    <w:rsid w:val="006539C1"/>
    <w:rsid w:val="00655E4F"/>
    <w:rsid w:val="00656570"/>
    <w:rsid w:val="00657FF8"/>
    <w:rsid w:val="00664BD7"/>
    <w:rsid w:val="006653C5"/>
    <w:rsid w:val="0066663B"/>
    <w:rsid w:val="006671AF"/>
    <w:rsid w:val="00670357"/>
    <w:rsid w:val="00670AC3"/>
    <w:rsid w:val="00670D99"/>
    <w:rsid w:val="00670E2B"/>
    <w:rsid w:val="00671161"/>
    <w:rsid w:val="00672743"/>
    <w:rsid w:val="00672E4C"/>
    <w:rsid w:val="0067307D"/>
    <w:rsid w:val="006734BB"/>
    <w:rsid w:val="0067524B"/>
    <w:rsid w:val="00675321"/>
    <w:rsid w:val="00675641"/>
    <w:rsid w:val="00675DF2"/>
    <w:rsid w:val="00676980"/>
    <w:rsid w:val="00676C3A"/>
    <w:rsid w:val="00676D41"/>
    <w:rsid w:val="00677CC8"/>
    <w:rsid w:val="00681A34"/>
    <w:rsid w:val="006821EB"/>
    <w:rsid w:val="00682CAF"/>
    <w:rsid w:val="00683205"/>
    <w:rsid w:val="00685714"/>
    <w:rsid w:val="0068607C"/>
    <w:rsid w:val="0068733C"/>
    <w:rsid w:val="0068760A"/>
    <w:rsid w:val="00690C3C"/>
    <w:rsid w:val="00693891"/>
    <w:rsid w:val="006939FF"/>
    <w:rsid w:val="00693D09"/>
    <w:rsid w:val="006940B4"/>
    <w:rsid w:val="00694DA4"/>
    <w:rsid w:val="00696034"/>
    <w:rsid w:val="006A1A04"/>
    <w:rsid w:val="006A3166"/>
    <w:rsid w:val="006A5B27"/>
    <w:rsid w:val="006A715F"/>
    <w:rsid w:val="006A753E"/>
    <w:rsid w:val="006B07C8"/>
    <w:rsid w:val="006B11D9"/>
    <w:rsid w:val="006B1255"/>
    <w:rsid w:val="006B1491"/>
    <w:rsid w:val="006B1521"/>
    <w:rsid w:val="006B223F"/>
    <w:rsid w:val="006B2286"/>
    <w:rsid w:val="006B25BD"/>
    <w:rsid w:val="006B2C1E"/>
    <w:rsid w:val="006B518A"/>
    <w:rsid w:val="006B55FA"/>
    <w:rsid w:val="006B56BB"/>
    <w:rsid w:val="006B6CE3"/>
    <w:rsid w:val="006B7729"/>
    <w:rsid w:val="006C32AC"/>
    <w:rsid w:val="006C3740"/>
    <w:rsid w:val="006C3BC8"/>
    <w:rsid w:val="006C4491"/>
    <w:rsid w:val="006C4ED7"/>
    <w:rsid w:val="006C77A8"/>
    <w:rsid w:val="006D0621"/>
    <w:rsid w:val="006D16E6"/>
    <w:rsid w:val="006D1AA7"/>
    <w:rsid w:val="006D2599"/>
    <w:rsid w:val="006D2B4A"/>
    <w:rsid w:val="006D4098"/>
    <w:rsid w:val="006D4328"/>
    <w:rsid w:val="006D48FF"/>
    <w:rsid w:val="006D51C4"/>
    <w:rsid w:val="006D5699"/>
    <w:rsid w:val="006D7681"/>
    <w:rsid w:val="006D7B2E"/>
    <w:rsid w:val="006D7C3F"/>
    <w:rsid w:val="006E02EA"/>
    <w:rsid w:val="006E0569"/>
    <w:rsid w:val="006E0968"/>
    <w:rsid w:val="006E2AF6"/>
    <w:rsid w:val="006E36EE"/>
    <w:rsid w:val="006E4A7F"/>
    <w:rsid w:val="006E64B9"/>
    <w:rsid w:val="006F13A0"/>
    <w:rsid w:val="006F375E"/>
    <w:rsid w:val="006F6AEB"/>
    <w:rsid w:val="006F6FB3"/>
    <w:rsid w:val="006F7B26"/>
    <w:rsid w:val="007000D9"/>
    <w:rsid w:val="00700CA1"/>
    <w:rsid w:val="00701275"/>
    <w:rsid w:val="00701C46"/>
    <w:rsid w:val="00702EB6"/>
    <w:rsid w:val="00703D7E"/>
    <w:rsid w:val="0070496E"/>
    <w:rsid w:val="00704ADD"/>
    <w:rsid w:val="007055BC"/>
    <w:rsid w:val="00706623"/>
    <w:rsid w:val="00707717"/>
    <w:rsid w:val="00707F56"/>
    <w:rsid w:val="00710843"/>
    <w:rsid w:val="00710A56"/>
    <w:rsid w:val="00712996"/>
    <w:rsid w:val="00713558"/>
    <w:rsid w:val="0071356B"/>
    <w:rsid w:val="007143E5"/>
    <w:rsid w:val="00714620"/>
    <w:rsid w:val="007174F0"/>
    <w:rsid w:val="00720027"/>
    <w:rsid w:val="00720D08"/>
    <w:rsid w:val="00720DC2"/>
    <w:rsid w:val="0072355A"/>
    <w:rsid w:val="00723991"/>
    <w:rsid w:val="00723FAD"/>
    <w:rsid w:val="00724C4B"/>
    <w:rsid w:val="007263B9"/>
    <w:rsid w:val="00726417"/>
    <w:rsid w:val="007270BA"/>
    <w:rsid w:val="007325D5"/>
    <w:rsid w:val="007334F8"/>
    <w:rsid w:val="007339CD"/>
    <w:rsid w:val="007359D8"/>
    <w:rsid w:val="00735A9D"/>
    <w:rsid w:val="0073629A"/>
    <w:rsid w:val="007362AC"/>
    <w:rsid w:val="007362D4"/>
    <w:rsid w:val="00740F22"/>
    <w:rsid w:val="0074160F"/>
    <w:rsid w:val="00741EB3"/>
    <w:rsid w:val="007422C1"/>
    <w:rsid w:val="00742C91"/>
    <w:rsid w:val="00745177"/>
    <w:rsid w:val="007468EB"/>
    <w:rsid w:val="00750E65"/>
    <w:rsid w:val="00751A23"/>
    <w:rsid w:val="00751CB6"/>
    <w:rsid w:val="00752E65"/>
    <w:rsid w:val="00753A82"/>
    <w:rsid w:val="00756012"/>
    <w:rsid w:val="00756EA2"/>
    <w:rsid w:val="0075703C"/>
    <w:rsid w:val="007575B9"/>
    <w:rsid w:val="00757F10"/>
    <w:rsid w:val="00765BD6"/>
    <w:rsid w:val="00765C29"/>
    <w:rsid w:val="00766118"/>
    <w:rsid w:val="0076672A"/>
    <w:rsid w:val="007667C7"/>
    <w:rsid w:val="00766B80"/>
    <w:rsid w:val="007672C7"/>
    <w:rsid w:val="00767419"/>
    <w:rsid w:val="007675DB"/>
    <w:rsid w:val="00767FED"/>
    <w:rsid w:val="00770FFF"/>
    <w:rsid w:val="00773499"/>
    <w:rsid w:val="007746E9"/>
    <w:rsid w:val="00775320"/>
    <w:rsid w:val="00775E45"/>
    <w:rsid w:val="007767DB"/>
    <w:rsid w:val="00776E74"/>
    <w:rsid w:val="007814D2"/>
    <w:rsid w:val="007820E0"/>
    <w:rsid w:val="00782E40"/>
    <w:rsid w:val="00784123"/>
    <w:rsid w:val="007849F6"/>
    <w:rsid w:val="00785169"/>
    <w:rsid w:val="00786D35"/>
    <w:rsid w:val="00787778"/>
    <w:rsid w:val="00790486"/>
    <w:rsid w:val="007904DB"/>
    <w:rsid w:val="00791006"/>
    <w:rsid w:val="00792BCB"/>
    <w:rsid w:val="00793F50"/>
    <w:rsid w:val="00794192"/>
    <w:rsid w:val="007954AB"/>
    <w:rsid w:val="007957E2"/>
    <w:rsid w:val="0079666B"/>
    <w:rsid w:val="00796B3F"/>
    <w:rsid w:val="00796E1C"/>
    <w:rsid w:val="0079710C"/>
    <w:rsid w:val="007971EB"/>
    <w:rsid w:val="00797E27"/>
    <w:rsid w:val="007A0F65"/>
    <w:rsid w:val="007A14C5"/>
    <w:rsid w:val="007A2377"/>
    <w:rsid w:val="007A2920"/>
    <w:rsid w:val="007A38BB"/>
    <w:rsid w:val="007A3DB9"/>
    <w:rsid w:val="007A3E38"/>
    <w:rsid w:val="007A3E8E"/>
    <w:rsid w:val="007A4A10"/>
    <w:rsid w:val="007A56FA"/>
    <w:rsid w:val="007A5785"/>
    <w:rsid w:val="007A5C12"/>
    <w:rsid w:val="007A745F"/>
    <w:rsid w:val="007A7D69"/>
    <w:rsid w:val="007B0CD2"/>
    <w:rsid w:val="007B0E04"/>
    <w:rsid w:val="007B1480"/>
    <w:rsid w:val="007B1760"/>
    <w:rsid w:val="007B2ACA"/>
    <w:rsid w:val="007B2B92"/>
    <w:rsid w:val="007B3D03"/>
    <w:rsid w:val="007B433E"/>
    <w:rsid w:val="007B4C6E"/>
    <w:rsid w:val="007B6F51"/>
    <w:rsid w:val="007B73A4"/>
    <w:rsid w:val="007C0ACB"/>
    <w:rsid w:val="007C0F7C"/>
    <w:rsid w:val="007C28D6"/>
    <w:rsid w:val="007C310D"/>
    <w:rsid w:val="007C4577"/>
    <w:rsid w:val="007C4EEA"/>
    <w:rsid w:val="007C6D9C"/>
    <w:rsid w:val="007C72D6"/>
    <w:rsid w:val="007C7600"/>
    <w:rsid w:val="007C7DDB"/>
    <w:rsid w:val="007D0151"/>
    <w:rsid w:val="007D05C8"/>
    <w:rsid w:val="007D102C"/>
    <w:rsid w:val="007D219C"/>
    <w:rsid w:val="007D2432"/>
    <w:rsid w:val="007D2CC7"/>
    <w:rsid w:val="007D3A5C"/>
    <w:rsid w:val="007D43CD"/>
    <w:rsid w:val="007D457C"/>
    <w:rsid w:val="007D538C"/>
    <w:rsid w:val="007D65DD"/>
    <w:rsid w:val="007D673D"/>
    <w:rsid w:val="007D70CC"/>
    <w:rsid w:val="007D7869"/>
    <w:rsid w:val="007E03F5"/>
    <w:rsid w:val="007E2387"/>
    <w:rsid w:val="007E495C"/>
    <w:rsid w:val="007E57EE"/>
    <w:rsid w:val="007E637E"/>
    <w:rsid w:val="007E7C36"/>
    <w:rsid w:val="007E7F3A"/>
    <w:rsid w:val="007F03F8"/>
    <w:rsid w:val="007F0636"/>
    <w:rsid w:val="007F1594"/>
    <w:rsid w:val="007F1BB6"/>
    <w:rsid w:val="007F2220"/>
    <w:rsid w:val="007F348A"/>
    <w:rsid w:val="007F44FB"/>
    <w:rsid w:val="007F45A3"/>
    <w:rsid w:val="007F49C1"/>
    <w:rsid w:val="007F4B3E"/>
    <w:rsid w:val="007F56DD"/>
    <w:rsid w:val="007F588A"/>
    <w:rsid w:val="007F5E3F"/>
    <w:rsid w:val="007F774F"/>
    <w:rsid w:val="007F7AA7"/>
    <w:rsid w:val="00801059"/>
    <w:rsid w:val="0080210F"/>
    <w:rsid w:val="00802E5B"/>
    <w:rsid w:val="00804248"/>
    <w:rsid w:val="008045F4"/>
    <w:rsid w:val="00806E2B"/>
    <w:rsid w:val="00806E63"/>
    <w:rsid w:val="00806F82"/>
    <w:rsid w:val="00811B7F"/>
    <w:rsid w:val="008126E0"/>
    <w:rsid w:val="008127AF"/>
    <w:rsid w:val="00812B46"/>
    <w:rsid w:val="0081335E"/>
    <w:rsid w:val="008142AB"/>
    <w:rsid w:val="0081487A"/>
    <w:rsid w:val="00814FD1"/>
    <w:rsid w:val="008151FC"/>
    <w:rsid w:val="008155C6"/>
    <w:rsid w:val="00815700"/>
    <w:rsid w:val="00815A9A"/>
    <w:rsid w:val="00817B70"/>
    <w:rsid w:val="00820409"/>
    <w:rsid w:val="00821470"/>
    <w:rsid w:val="00821886"/>
    <w:rsid w:val="0082230F"/>
    <w:rsid w:val="008227FD"/>
    <w:rsid w:val="0082537C"/>
    <w:rsid w:val="008264EB"/>
    <w:rsid w:val="00826B8F"/>
    <w:rsid w:val="008300EC"/>
    <w:rsid w:val="00830868"/>
    <w:rsid w:val="00831628"/>
    <w:rsid w:val="00831E8A"/>
    <w:rsid w:val="008325F6"/>
    <w:rsid w:val="00832C04"/>
    <w:rsid w:val="0083305E"/>
    <w:rsid w:val="008335E3"/>
    <w:rsid w:val="00833A9E"/>
    <w:rsid w:val="00835C76"/>
    <w:rsid w:val="00836E98"/>
    <w:rsid w:val="00840186"/>
    <w:rsid w:val="008417D9"/>
    <w:rsid w:val="0084291B"/>
    <w:rsid w:val="00843049"/>
    <w:rsid w:val="00845B61"/>
    <w:rsid w:val="00846968"/>
    <w:rsid w:val="00847898"/>
    <w:rsid w:val="00851062"/>
    <w:rsid w:val="0085176C"/>
    <w:rsid w:val="00851E43"/>
    <w:rsid w:val="0085209B"/>
    <w:rsid w:val="008553B7"/>
    <w:rsid w:val="0085572A"/>
    <w:rsid w:val="00855BBB"/>
    <w:rsid w:val="00856800"/>
    <w:rsid w:val="00856B66"/>
    <w:rsid w:val="00856E90"/>
    <w:rsid w:val="00861410"/>
    <w:rsid w:val="00861A5F"/>
    <w:rsid w:val="008644AD"/>
    <w:rsid w:val="00864C5D"/>
    <w:rsid w:val="00865735"/>
    <w:rsid w:val="00865DDB"/>
    <w:rsid w:val="0086643A"/>
    <w:rsid w:val="00866680"/>
    <w:rsid w:val="008668F3"/>
    <w:rsid w:val="00867193"/>
    <w:rsid w:val="00867538"/>
    <w:rsid w:val="00867D9A"/>
    <w:rsid w:val="00873D90"/>
    <w:rsid w:val="00873FC8"/>
    <w:rsid w:val="0087567F"/>
    <w:rsid w:val="008764E8"/>
    <w:rsid w:val="00876FA0"/>
    <w:rsid w:val="008774D7"/>
    <w:rsid w:val="00877B8B"/>
    <w:rsid w:val="0088050D"/>
    <w:rsid w:val="008817CA"/>
    <w:rsid w:val="008821C5"/>
    <w:rsid w:val="0088469C"/>
    <w:rsid w:val="00884C63"/>
    <w:rsid w:val="00884F6A"/>
    <w:rsid w:val="00885039"/>
    <w:rsid w:val="00885908"/>
    <w:rsid w:val="008864B7"/>
    <w:rsid w:val="00887315"/>
    <w:rsid w:val="00892816"/>
    <w:rsid w:val="00892ACE"/>
    <w:rsid w:val="00892D54"/>
    <w:rsid w:val="008931AE"/>
    <w:rsid w:val="008947E0"/>
    <w:rsid w:val="00895604"/>
    <w:rsid w:val="0089677E"/>
    <w:rsid w:val="00896E8C"/>
    <w:rsid w:val="008A293F"/>
    <w:rsid w:val="008A2D4E"/>
    <w:rsid w:val="008A5349"/>
    <w:rsid w:val="008A543C"/>
    <w:rsid w:val="008A59EA"/>
    <w:rsid w:val="008A7438"/>
    <w:rsid w:val="008B1334"/>
    <w:rsid w:val="008B2871"/>
    <w:rsid w:val="008B2A05"/>
    <w:rsid w:val="008B2F43"/>
    <w:rsid w:val="008B3A06"/>
    <w:rsid w:val="008B4125"/>
    <w:rsid w:val="008B5B2E"/>
    <w:rsid w:val="008B5EA5"/>
    <w:rsid w:val="008B6CDC"/>
    <w:rsid w:val="008B798C"/>
    <w:rsid w:val="008B798E"/>
    <w:rsid w:val="008C022A"/>
    <w:rsid w:val="008C0278"/>
    <w:rsid w:val="008C0475"/>
    <w:rsid w:val="008C066D"/>
    <w:rsid w:val="008C24E9"/>
    <w:rsid w:val="008C3E26"/>
    <w:rsid w:val="008C3E53"/>
    <w:rsid w:val="008C4B3E"/>
    <w:rsid w:val="008C611D"/>
    <w:rsid w:val="008C6941"/>
    <w:rsid w:val="008C7AF6"/>
    <w:rsid w:val="008D0533"/>
    <w:rsid w:val="008D0DB5"/>
    <w:rsid w:val="008D3E5A"/>
    <w:rsid w:val="008D42CB"/>
    <w:rsid w:val="008D47D8"/>
    <w:rsid w:val="008D48C9"/>
    <w:rsid w:val="008D586D"/>
    <w:rsid w:val="008D5B79"/>
    <w:rsid w:val="008D6381"/>
    <w:rsid w:val="008E0C77"/>
    <w:rsid w:val="008E112A"/>
    <w:rsid w:val="008E19C8"/>
    <w:rsid w:val="008E1C31"/>
    <w:rsid w:val="008E2462"/>
    <w:rsid w:val="008E2641"/>
    <w:rsid w:val="008E378F"/>
    <w:rsid w:val="008E5BCE"/>
    <w:rsid w:val="008E625F"/>
    <w:rsid w:val="008F02B9"/>
    <w:rsid w:val="008F15A0"/>
    <w:rsid w:val="008F264D"/>
    <w:rsid w:val="008F29BA"/>
    <w:rsid w:val="008F2ADE"/>
    <w:rsid w:val="008F435A"/>
    <w:rsid w:val="008F5235"/>
    <w:rsid w:val="008F6855"/>
    <w:rsid w:val="008F6B17"/>
    <w:rsid w:val="008F73F5"/>
    <w:rsid w:val="00900B0D"/>
    <w:rsid w:val="00901A4D"/>
    <w:rsid w:val="009021BC"/>
    <w:rsid w:val="0090242F"/>
    <w:rsid w:val="00903A20"/>
    <w:rsid w:val="009048E5"/>
    <w:rsid w:val="009074E1"/>
    <w:rsid w:val="00910CA0"/>
    <w:rsid w:val="009112F7"/>
    <w:rsid w:val="009122AF"/>
    <w:rsid w:val="009127BC"/>
    <w:rsid w:val="00912D54"/>
    <w:rsid w:val="00912EA5"/>
    <w:rsid w:val="00913708"/>
    <w:rsid w:val="0091389F"/>
    <w:rsid w:val="00914621"/>
    <w:rsid w:val="009146AF"/>
    <w:rsid w:val="00914D9E"/>
    <w:rsid w:val="00915656"/>
    <w:rsid w:val="009168B9"/>
    <w:rsid w:val="00917AC5"/>
    <w:rsid w:val="009208F7"/>
    <w:rsid w:val="00920A7F"/>
    <w:rsid w:val="009214DA"/>
    <w:rsid w:val="00922285"/>
    <w:rsid w:val="00922517"/>
    <w:rsid w:val="00922722"/>
    <w:rsid w:val="009229A5"/>
    <w:rsid w:val="0092465F"/>
    <w:rsid w:val="00925871"/>
    <w:rsid w:val="009261E6"/>
    <w:rsid w:val="009268E1"/>
    <w:rsid w:val="009270BB"/>
    <w:rsid w:val="00927A2C"/>
    <w:rsid w:val="0093000D"/>
    <w:rsid w:val="00932EB4"/>
    <w:rsid w:val="00934368"/>
    <w:rsid w:val="0093484F"/>
    <w:rsid w:val="00934F4B"/>
    <w:rsid w:val="009362ED"/>
    <w:rsid w:val="0094015B"/>
    <w:rsid w:val="009403BF"/>
    <w:rsid w:val="009408EC"/>
    <w:rsid w:val="0094143D"/>
    <w:rsid w:val="009417CD"/>
    <w:rsid w:val="00942C0D"/>
    <w:rsid w:val="00943097"/>
    <w:rsid w:val="009433CA"/>
    <w:rsid w:val="0094377D"/>
    <w:rsid w:val="00943CCC"/>
    <w:rsid w:val="009446C5"/>
    <w:rsid w:val="00945CC3"/>
    <w:rsid w:val="00945E7F"/>
    <w:rsid w:val="00951651"/>
    <w:rsid w:val="0095296F"/>
    <w:rsid w:val="00952D20"/>
    <w:rsid w:val="009557C1"/>
    <w:rsid w:val="009572D4"/>
    <w:rsid w:val="009573F4"/>
    <w:rsid w:val="0095763B"/>
    <w:rsid w:val="00957A85"/>
    <w:rsid w:val="00960113"/>
    <w:rsid w:val="00960D6E"/>
    <w:rsid w:val="00961900"/>
    <w:rsid w:val="00961E38"/>
    <w:rsid w:val="00962106"/>
    <w:rsid w:val="00962AFC"/>
    <w:rsid w:val="00962FF6"/>
    <w:rsid w:val="009655E6"/>
    <w:rsid w:val="009666C2"/>
    <w:rsid w:val="00970C3E"/>
    <w:rsid w:val="0097107C"/>
    <w:rsid w:val="009728BD"/>
    <w:rsid w:val="00972BC1"/>
    <w:rsid w:val="00972E7B"/>
    <w:rsid w:val="00973B87"/>
    <w:rsid w:val="009742E7"/>
    <w:rsid w:val="00974B59"/>
    <w:rsid w:val="00976226"/>
    <w:rsid w:val="00976328"/>
    <w:rsid w:val="0097709F"/>
    <w:rsid w:val="00977309"/>
    <w:rsid w:val="00980500"/>
    <w:rsid w:val="00982112"/>
    <w:rsid w:val="009829A4"/>
    <w:rsid w:val="0098338E"/>
    <w:rsid w:val="0098340B"/>
    <w:rsid w:val="00983B83"/>
    <w:rsid w:val="00985E43"/>
    <w:rsid w:val="00986830"/>
    <w:rsid w:val="00987486"/>
    <w:rsid w:val="009877BF"/>
    <w:rsid w:val="00987B96"/>
    <w:rsid w:val="00990B08"/>
    <w:rsid w:val="009924C3"/>
    <w:rsid w:val="00992D49"/>
    <w:rsid w:val="00993102"/>
    <w:rsid w:val="00995066"/>
    <w:rsid w:val="00995197"/>
    <w:rsid w:val="009956C0"/>
    <w:rsid w:val="00995D13"/>
    <w:rsid w:val="00995FC7"/>
    <w:rsid w:val="0099633A"/>
    <w:rsid w:val="00996986"/>
    <w:rsid w:val="00997F9F"/>
    <w:rsid w:val="009A1D58"/>
    <w:rsid w:val="009A25E0"/>
    <w:rsid w:val="009A3D94"/>
    <w:rsid w:val="009A3DDF"/>
    <w:rsid w:val="009A403C"/>
    <w:rsid w:val="009A5B6D"/>
    <w:rsid w:val="009A647B"/>
    <w:rsid w:val="009A74D8"/>
    <w:rsid w:val="009A7AEC"/>
    <w:rsid w:val="009B3C1F"/>
    <w:rsid w:val="009B3D5C"/>
    <w:rsid w:val="009B3D64"/>
    <w:rsid w:val="009B487E"/>
    <w:rsid w:val="009B4916"/>
    <w:rsid w:val="009B4C52"/>
    <w:rsid w:val="009B50CC"/>
    <w:rsid w:val="009B5278"/>
    <w:rsid w:val="009B5E67"/>
    <w:rsid w:val="009B604E"/>
    <w:rsid w:val="009C0313"/>
    <w:rsid w:val="009C1514"/>
    <w:rsid w:val="009C1BA8"/>
    <w:rsid w:val="009C330A"/>
    <w:rsid w:val="009C3963"/>
    <w:rsid w:val="009C4A39"/>
    <w:rsid w:val="009C58CD"/>
    <w:rsid w:val="009C62F9"/>
    <w:rsid w:val="009C6A8D"/>
    <w:rsid w:val="009C6F10"/>
    <w:rsid w:val="009C7C9E"/>
    <w:rsid w:val="009D148F"/>
    <w:rsid w:val="009D241D"/>
    <w:rsid w:val="009D3729"/>
    <w:rsid w:val="009D3B67"/>
    <w:rsid w:val="009D3CF2"/>
    <w:rsid w:val="009D3D70"/>
    <w:rsid w:val="009D4FA6"/>
    <w:rsid w:val="009D5422"/>
    <w:rsid w:val="009D5E38"/>
    <w:rsid w:val="009D763E"/>
    <w:rsid w:val="009E054D"/>
    <w:rsid w:val="009E0B27"/>
    <w:rsid w:val="009E4585"/>
    <w:rsid w:val="009E4FA0"/>
    <w:rsid w:val="009E5F55"/>
    <w:rsid w:val="009E6F7E"/>
    <w:rsid w:val="009E70A1"/>
    <w:rsid w:val="009E7A57"/>
    <w:rsid w:val="009F1099"/>
    <w:rsid w:val="009F2268"/>
    <w:rsid w:val="009F3BFD"/>
    <w:rsid w:val="009F4842"/>
    <w:rsid w:val="009F4F6A"/>
    <w:rsid w:val="009F7B9B"/>
    <w:rsid w:val="00A00A56"/>
    <w:rsid w:val="00A025DF"/>
    <w:rsid w:val="00A03191"/>
    <w:rsid w:val="00A04084"/>
    <w:rsid w:val="00A04164"/>
    <w:rsid w:val="00A07C8A"/>
    <w:rsid w:val="00A1072A"/>
    <w:rsid w:val="00A116B0"/>
    <w:rsid w:val="00A13B63"/>
    <w:rsid w:val="00A13F68"/>
    <w:rsid w:val="00A16E36"/>
    <w:rsid w:val="00A1701B"/>
    <w:rsid w:val="00A172EE"/>
    <w:rsid w:val="00A178A5"/>
    <w:rsid w:val="00A20A6D"/>
    <w:rsid w:val="00A2312F"/>
    <w:rsid w:val="00A242CD"/>
    <w:rsid w:val="00A24961"/>
    <w:rsid w:val="00A24B10"/>
    <w:rsid w:val="00A25D80"/>
    <w:rsid w:val="00A30E9B"/>
    <w:rsid w:val="00A32039"/>
    <w:rsid w:val="00A3220F"/>
    <w:rsid w:val="00A335D0"/>
    <w:rsid w:val="00A35712"/>
    <w:rsid w:val="00A361DF"/>
    <w:rsid w:val="00A36B70"/>
    <w:rsid w:val="00A37CC7"/>
    <w:rsid w:val="00A407B3"/>
    <w:rsid w:val="00A4103E"/>
    <w:rsid w:val="00A410D6"/>
    <w:rsid w:val="00A4178C"/>
    <w:rsid w:val="00A41E07"/>
    <w:rsid w:val="00A426A3"/>
    <w:rsid w:val="00A427B3"/>
    <w:rsid w:val="00A4448B"/>
    <w:rsid w:val="00A4512D"/>
    <w:rsid w:val="00A45E79"/>
    <w:rsid w:val="00A4653C"/>
    <w:rsid w:val="00A46B43"/>
    <w:rsid w:val="00A46BF3"/>
    <w:rsid w:val="00A47A19"/>
    <w:rsid w:val="00A50244"/>
    <w:rsid w:val="00A50DCE"/>
    <w:rsid w:val="00A51732"/>
    <w:rsid w:val="00A52AC7"/>
    <w:rsid w:val="00A53AFE"/>
    <w:rsid w:val="00A53B99"/>
    <w:rsid w:val="00A53BE3"/>
    <w:rsid w:val="00A561FC"/>
    <w:rsid w:val="00A56F17"/>
    <w:rsid w:val="00A57FD3"/>
    <w:rsid w:val="00A60595"/>
    <w:rsid w:val="00A61DE6"/>
    <w:rsid w:val="00A627D7"/>
    <w:rsid w:val="00A64F37"/>
    <w:rsid w:val="00A656C7"/>
    <w:rsid w:val="00A66322"/>
    <w:rsid w:val="00A705AF"/>
    <w:rsid w:val="00A71AE7"/>
    <w:rsid w:val="00A71FF9"/>
    <w:rsid w:val="00A72454"/>
    <w:rsid w:val="00A73251"/>
    <w:rsid w:val="00A74345"/>
    <w:rsid w:val="00A74512"/>
    <w:rsid w:val="00A7485D"/>
    <w:rsid w:val="00A77182"/>
    <w:rsid w:val="00A77696"/>
    <w:rsid w:val="00A80557"/>
    <w:rsid w:val="00A808BD"/>
    <w:rsid w:val="00A8176C"/>
    <w:rsid w:val="00A81D33"/>
    <w:rsid w:val="00A81D9A"/>
    <w:rsid w:val="00A825FC"/>
    <w:rsid w:val="00A83074"/>
    <w:rsid w:val="00A83C6F"/>
    <w:rsid w:val="00A83C94"/>
    <w:rsid w:val="00A86F6C"/>
    <w:rsid w:val="00A877CA"/>
    <w:rsid w:val="00A87A05"/>
    <w:rsid w:val="00A930AE"/>
    <w:rsid w:val="00A938CE"/>
    <w:rsid w:val="00A94715"/>
    <w:rsid w:val="00A957EB"/>
    <w:rsid w:val="00A97299"/>
    <w:rsid w:val="00A97592"/>
    <w:rsid w:val="00A977ED"/>
    <w:rsid w:val="00A97CEF"/>
    <w:rsid w:val="00AA0195"/>
    <w:rsid w:val="00AA1507"/>
    <w:rsid w:val="00AA1A95"/>
    <w:rsid w:val="00AA260F"/>
    <w:rsid w:val="00AA3805"/>
    <w:rsid w:val="00AA3882"/>
    <w:rsid w:val="00AA3B61"/>
    <w:rsid w:val="00AA3FDE"/>
    <w:rsid w:val="00AA4AE9"/>
    <w:rsid w:val="00AA5630"/>
    <w:rsid w:val="00AA7551"/>
    <w:rsid w:val="00AB06BE"/>
    <w:rsid w:val="00AB1BBC"/>
    <w:rsid w:val="00AB1EE7"/>
    <w:rsid w:val="00AB1FEF"/>
    <w:rsid w:val="00AB2BE7"/>
    <w:rsid w:val="00AB2C7D"/>
    <w:rsid w:val="00AB3FB2"/>
    <w:rsid w:val="00AB40D7"/>
    <w:rsid w:val="00AB42BD"/>
    <w:rsid w:val="00AB4B37"/>
    <w:rsid w:val="00AB55F8"/>
    <w:rsid w:val="00AB5762"/>
    <w:rsid w:val="00AC1755"/>
    <w:rsid w:val="00AC2679"/>
    <w:rsid w:val="00AC342A"/>
    <w:rsid w:val="00AC4BE4"/>
    <w:rsid w:val="00AC5F57"/>
    <w:rsid w:val="00AC6BF9"/>
    <w:rsid w:val="00AC7A01"/>
    <w:rsid w:val="00AC7E65"/>
    <w:rsid w:val="00AD01C8"/>
    <w:rsid w:val="00AD05E6"/>
    <w:rsid w:val="00AD0D3F"/>
    <w:rsid w:val="00AD0E28"/>
    <w:rsid w:val="00AD1C5A"/>
    <w:rsid w:val="00AD290B"/>
    <w:rsid w:val="00AD294C"/>
    <w:rsid w:val="00AD2B2B"/>
    <w:rsid w:val="00AD3992"/>
    <w:rsid w:val="00AD3D36"/>
    <w:rsid w:val="00AD3F93"/>
    <w:rsid w:val="00AD4277"/>
    <w:rsid w:val="00AD569F"/>
    <w:rsid w:val="00AD5CAC"/>
    <w:rsid w:val="00AD7463"/>
    <w:rsid w:val="00AE005B"/>
    <w:rsid w:val="00AE0681"/>
    <w:rsid w:val="00AE0F7F"/>
    <w:rsid w:val="00AE1D7D"/>
    <w:rsid w:val="00AE2A8B"/>
    <w:rsid w:val="00AE30C6"/>
    <w:rsid w:val="00AE39F4"/>
    <w:rsid w:val="00AE3F64"/>
    <w:rsid w:val="00AE3FEC"/>
    <w:rsid w:val="00AE422A"/>
    <w:rsid w:val="00AE4DC2"/>
    <w:rsid w:val="00AE6824"/>
    <w:rsid w:val="00AE6982"/>
    <w:rsid w:val="00AF2E48"/>
    <w:rsid w:val="00AF3522"/>
    <w:rsid w:val="00AF492F"/>
    <w:rsid w:val="00AF7386"/>
    <w:rsid w:val="00AF751D"/>
    <w:rsid w:val="00AF7934"/>
    <w:rsid w:val="00B00A95"/>
    <w:rsid w:val="00B00B81"/>
    <w:rsid w:val="00B01C66"/>
    <w:rsid w:val="00B02065"/>
    <w:rsid w:val="00B0323A"/>
    <w:rsid w:val="00B0341E"/>
    <w:rsid w:val="00B03A9C"/>
    <w:rsid w:val="00B03B38"/>
    <w:rsid w:val="00B04436"/>
    <w:rsid w:val="00B04580"/>
    <w:rsid w:val="00B04B09"/>
    <w:rsid w:val="00B0598D"/>
    <w:rsid w:val="00B067F3"/>
    <w:rsid w:val="00B1181F"/>
    <w:rsid w:val="00B135B5"/>
    <w:rsid w:val="00B135F9"/>
    <w:rsid w:val="00B13B38"/>
    <w:rsid w:val="00B13D40"/>
    <w:rsid w:val="00B163E9"/>
    <w:rsid w:val="00B16A51"/>
    <w:rsid w:val="00B17250"/>
    <w:rsid w:val="00B201F6"/>
    <w:rsid w:val="00B22276"/>
    <w:rsid w:val="00B22FC5"/>
    <w:rsid w:val="00B232EF"/>
    <w:rsid w:val="00B236A6"/>
    <w:rsid w:val="00B241AC"/>
    <w:rsid w:val="00B25317"/>
    <w:rsid w:val="00B25440"/>
    <w:rsid w:val="00B25CFF"/>
    <w:rsid w:val="00B27540"/>
    <w:rsid w:val="00B31605"/>
    <w:rsid w:val="00B32222"/>
    <w:rsid w:val="00B343D6"/>
    <w:rsid w:val="00B35777"/>
    <w:rsid w:val="00B358A0"/>
    <w:rsid w:val="00B3618D"/>
    <w:rsid w:val="00B36233"/>
    <w:rsid w:val="00B40ED9"/>
    <w:rsid w:val="00B41FB8"/>
    <w:rsid w:val="00B42155"/>
    <w:rsid w:val="00B4266D"/>
    <w:rsid w:val="00B42851"/>
    <w:rsid w:val="00B43AC7"/>
    <w:rsid w:val="00B43F47"/>
    <w:rsid w:val="00B44A7B"/>
    <w:rsid w:val="00B45AC7"/>
    <w:rsid w:val="00B45C02"/>
    <w:rsid w:val="00B462CA"/>
    <w:rsid w:val="00B471B3"/>
    <w:rsid w:val="00B50BB0"/>
    <w:rsid w:val="00B515E9"/>
    <w:rsid w:val="00B51A8C"/>
    <w:rsid w:val="00B51E0F"/>
    <w:rsid w:val="00B5372F"/>
    <w:rsid w:val="00B54D3E"/>
    <w:rsid w:val="00B56371"/>
    <w:rsid w:val="00B5677F"/>
    <w:rsid w:val="00B5723E"/>
    <w:rsid w:val="00B57706"/>
    <w:rsid w:val="00B61129"/>
    <w:rsid w:val="00B61524"/>
    <w:rsid w:val="00B617AE"/>
    <w:rsid w:val="00B6365B"/>
    <w:rsid w:val="00B63A0C"/>
    <w:rsid w:val="00B64587"/>
    <w:rsid w:val="00B64C05"/>
    <w:rsid w:val="00B64F67"/>
    <w:rsid w:val="00B671B0"/>
    <w:rsid w:val="00B67E7F"/>
    <w:rsid w:val="00B71FC3"/>
    <w:rsid w:val="00B72760"/>
    <w:rsid w:val="00B729A6"/>
    <w:rsid w:val="00B737C3"/>
    <w:rsid w:val="00B75A04"/>
    <w:rsid w:val="00B75F07"/>
    <w:rsid w:val="00B80596"/>
    <w:rsid w:val="00B80B62"/>
    <w:rsid w:val="00B81D52"/>
    <w:rsid w:val="00B8274E"/>
    <w:rsid w:val="00B839B2"/>
    <w:rsid w:val="00B84642"/>
    <w:rsid w:val="00B84F79"/>
    <w:rsid w:val="00B86723"/>
    <w:rsid w:val="00B87DD5"/>
    <w:rsid w:val="00B90022"/>
    <w:rsid w:val="00B90E3D"/>
    <w:rsid w:val="00B90F92"/>
    <w:rsid w:val="00B91077"/>
    <w:rsid w:val="00B92272"/>
    <w:rsid w:val="00B93148"/>
    <w:rsid w:val="00B93EC2"/>
    <w:rsid w:val="00B94252"/>
    <w:rsid w:val="00B94E13"/>
    <w:rsid w:val="00B95CF9"/>
    <w:rsid w:val="00B9715A"/>
    <w:rsid w:val="00B97452"/>
    <w:rsid w:val="00BA14BE"/>
    <w:rsid w:val="00BA20DA"/>
    <w:rsid w:val="00BA2732"/>
    <w:rsid w:val="00BA2921"/>
    <w:rsid w:val="00BA293D"/>
    <w:rsid w:val="00BA2B6C"/>
    <w:rsid w:val="00BA2FFA"/>
    <w:rsid w:val="00BA3483"/>
    <w:rsid w:val="00BA4142"/>
    <w:rsid w:val="00BA42AF"/>
    <w:rsid w:val="00BA49BC"/>
    <w:rsid w:val="00BA505D"/>
    <w:rsid w:val="00BA56B7"/>
    <w:rsid w:val="00BA5860"/>
    <w:rsid w:val="00BA7822"/>
    <w:rsid w:val="00BA7A0C"/>
    <w:rsid w:val="00BA7A1E"/>
    <w:rsid w:val="00BA7CA9"/>
    <w:rsid w:val="00BB020F"/>
    <w:rsid w:val="00BB0AC8"/>
    <w:rsid w:val="00BB110E"/>
    <w:rsid w:val="00BB13CE"/>
    <w:rsid w:val="00BB2E75"/>
    <w:rsid w:val="00BB2F6C"/>
    <w:rsid w:val="00BB3875"/>
    <w:rsid w:val="00BB4C1F"/>
    <w:rsid w:val="00BB5860"/>
    <w:rsid w:val="00BB6620"/>
    <w:rsid w:val="00BB6742"/>
    <w:rsid w:val="00BB6AAD"/>
    <w:rsid w:val="00BC013F"/>
    <w:rsid w:val="00BC079A"/>
    <w:rsid w:val="00BC0B99"/>
    <w:rsid w:val="00BC1DBB"/>
    <w:rsid w:val="00BC25F2"/>
    <w:rsid w:val="00BC2837"/>
    <w:rsid w:val="00BC2C0D"/>
    <w:rsid w:val="00BC307A"/>
    <w:rsid w:val="00BC41F1"/>
    <w:rsid w:val="00BC4901"/>
    <w:rsid w:val="00BC4A19"/>
    <w:rsid w:val="00BC4E6D"/>
    <w:rsid w:val="00BC5951"/>
    <w:rsid w:val="00BC7119"/>
    <w:rsid w:val="00BC7B1D"/>
    <w:rsid w:val="00BD0617"/>
    <w:rsid w:val="00BD0ACD"/>
    <w:rsid w:val="00BD2E9B"/>
    <w:rsid w:val="00BD2F55"/>
    <w:rsid w:val="00BD38AF"/>
    <w:rsid w:val="00BD41EA"/>
    <w:rsid w:val="00BD51A4"/>
    <w:rsid w:val="00BD5458"/>
    <w:rsid w:val="00BD6085"/>
    <w:rsid w:val="00BD7240"/>
    <w:rsid w:val="00BE163A"/>
    <w:rsid w:val="00BE18D4"/>
    <w:rsid w:val="00BE1D04"/>
    <w:rsid w:val="00BE2126"/>
    <w:rsid w:val="00BE3C4C"/>
    <w:rsid w:val="00BE4E1D"/>
    <w:rsid w:val="00BE55E1"/>
    <w:rsid w:val="00BE5910"/>
    <w:rsid w:val="00BF039C"/>
    <w:rsid w:val="00BF2263"/>
    <w:rsid w:val="00BF228E"/>
    <w:rsid w:val="00BF3702"/>
    <w:rsid w:val="00BF387F"/>
    <w:rsid w:val="00BF3C4A"/>
    <w:rsid w:val="00BF503A"/>
    <w:rsid w:val="00BF5D37"/>
    <w:rsid w:val="00BF6D06"/>
    <w:rsid w:val="00BF715C"/>
    <w:rsid w:val="00BF7AD7"/>
    <w:rsid w:val="00C00930"/>
    <w:rsid w:val="00C060AD"/>
    <w:rsid w:val="00C0670D"/>
    <w:rsid w:val="00C06A8B"/>
    <w:rsid w:val="00C0713D"/>
    <w:rsid w:val="00C113BF"/>
    <w:rsid w:val="00C11538"/>
    <w:rsid w:val="00C1156E"/>
    <w:rsid w:val="00C11A45"/>
    <w:rsid w:val="00C12445"/>
    <w:rsid w:val="00C1246D"/>
    <w:rsid w:val="00C124D8"/>
    <w:rsid w:val="00C13A48"/>
    <w:rsid w:val="00C13B42"/>
    <w:rsid w:val="00C13D7D"/>
    <w:rsid w:val="00C142F6"/>
    <w:rsid w:val="00C14432"/>
    <w:rsid w:val="00C14F9D"/>
    <w:rsid w:val="00C15B10"/>
    <w:rsid w:val="00C1698C"/>
    <w:rsid w:val="00C1727B"/>
    <w:rsid w:val="00C200B1"/>
    <w:rsid w:val="00C2043D"/>
    <w:rsid w:val="00C2176E"/>
    <w:rsid w:val="00C220C2"/>
    <w:rsid w:val="00C22668"/>
    <w:rsid w:val="00C23430"/>
    <w:rsid w:val="00C24837"/>
    <w:rsid w:val="00C250BD"/>
    <w:rsid w:val="00C26284"/>
    <w:rsid w:val="00C2633F"/>
    <w:rsid w:val="00C27384"/>
    <w:rsid w:val="00C27D67"/>
    <w:rsid w:val="00C30C24"/>
    <w:rsid w:val="00C30CDE"/>
    <w:rsid w:val="00C32678"/>
    <w:rsid w:val="00C3291F"/>
    <w:rsid w:val="00C32D42"/>
    <w:rsid w:val="00C3461D"/>
    <w:rsid w:val="00C3490F"/>
    <w:rsid w:val="00C375FC"/>
    <w:rsid w:val="00C40D56"/>
    <w:rsid w:val="00C40E06"/>
    <w:rsid w:val="00C41680"/>
    <w:rsid w:val="00C427EE"/>
    <w:rsid w:val="00C42EB9"/>
    <w:rsid w:val="00C42EE2"/>
    <w:rsid w:val="00C43CDC"/>
    <w:rsid w:val="00C44408"/>
    <w:rsid w:val="00C4567A"/>
    <w:rsid w:val="00C4631F"/>
    <w:rsid w:val="00C468AD"/>
    <w:rsid w:val="00C46B21"/>
    <w:rsid w:val="00C46C24"/>
    <w:rsid w:val="00C50D0F"/>
    <w:rsid w:val="00C50D70"/>
    <w:rsid w:val="00C50E16"/>
    <w:rsid w:val="00C517AC"/>
    <w:rsid w:val="00C51F9B"/>
    <w:rsid w:val="00C520CF"/>
    <w:rsid w:val="00C530F3"/>
    <w:rsid w:val="00C53324"/>
    <w:rsid w:val="00C53F39"/>
    <w:rsid w:val="00C54A79"/>
    <w:rsid w:val="00C55258"/>
    <w:rsid w:val="00C5799C"/>
    <w:rsid w:val="00C60F8E"/>
    <w:rsid w:val="00C61A29"/>
    <w:rsid w:val="00C61C68"/>
    <w:rsid w:val="00C62D91"/>
    <w:rsid w:val="00C636AA"/>
    <w:rsid w:val="00C6588D"/>
    <w:rsid w:val="00C66A82"/>
    <w:rsid w:val="00C72715"/>
    <w:rsid w:val="00C72745"/>
    <w:rsid w:val="00C72FDC"/>
    <w:rsid w:val="00C734D9"/>
    <w:rsid w:val="00C738D7"/>
    <w:rsid w:val="00C73F4F"/>
    <w:rsid w:val="00C74876"/>
    <w:rsid w:val="00C74D27"/>
    <w:rsid w:val="00C75F5B"/>
    <w:rsid w:val="00C7605F"/>
    <w:rsid w:val="00C760E3"/>
    <w:rsid w:val="00C76353"/>
    <w:rsid w:val="00C763E6"/>
    <w:rsid w:val="00C771EE"/>
    <w:rsid w:val="00C774CE"/>
    <w:rsid w:val="00C80BBF"/>
    <w:rsid w:val="00C8205C"/>
    <w:rsid w:val="00C82370"/>
    <w:rsid w:val="00C82EEB"/>
    <w:rsid w:val="00C83744"/>
    <w:rsid w:val="00C84C07"/>
    <w:rsid w:val="00C84D08"/>
    <w:rsid w:val="00C853E3"/>
    <w:rsid w:val="00C86297"/>
    <w:rsid w:val="00C86B76"/>
    <w:rsid w:val="00C90655"/>
    <w:rsid w:val="00C931B4"/>
    <w:rsid w:val="00C937B2"/>
    <w:rsid w:val="00C9430A"/>
    <w:rsid w:val="00C94739"/>
    <w:rsid w:val="00C94F63"/>
    <w:rsid w:val="00C95203"/>
    <w:rsid w:val="00C95422"/>
    <w:rsid w:val="00C971DC"/>
    <w:rsid w:val="00C97E25"/>
    <w:rsid w:val="00CA0C76"/>
    <w:rsid w:val="00CA0F0B"/>
    <w:rsid w:val="00CA16B7"/>
    <w:rsid w:val="00CA44F3"/>
    <w:rsid w:val="00CA458B"/>
    <w:rsid w:val="00CA4BE3"/>
    <w:rsid w:val="00CA62AE"/>
    <w:rsid w:val="00CB0D0C"/>
    <w:rsid w:val="00CB111C"/>
    <w:rsid w:val="00CB26B7"/>
    <w:rsid w:val="00CB2CA5"/>
    <w:rsid w:val="00CB36F7"/>
    <w:rsid w:val="00CB447B"/>
    <w:rsid w:val="00CB5B1A"/>
    <w:rsid w:val="00CB6A8B"/>
    <w:rsid w:val="00CC03BF"/>
    <w:rsid w:val="00CC1F68"/>
    <w:rsid w:val="00CC220B"/>
    <w:rsid w:val="00CC2389"/>
    <w:rsid w:val="00CC2A9A"/>
    <w:rsid w:val="00CC2F5D"/>
    <w:rsid w:val="00CC48CE"/>
    <w:rsid w:val="00CC5C43"/>
    <w:rsid w:val="00CC7160"/>
    <w:rsid w:val="00CC74B0"/>
    <w:rsid w:val="00CD02AE"/>
    <w:rsid w:val="00CD1D9D"/>
    <w:rsid w:val="00CD23C8"/>
    <w:rsid w:val="00CD2A4F"/>
    <w:rsid w:val="00CD2DCB"/>
    <w:rsid w:val="00CD3434"/>
    <w:rsid w:val="00CD3CE3"/>
    <w:rsid w:val="00CD5865"/>
    <w:rsid w:val="00CD5E13"/>
    <w:rsid w:val="00CD5E8A"/>
    <w:rsid w:val="00CE03CA"/>
    <w:rsid w:val="00CE074B"/>
    <w:rsid w:val="00CE142A"/>
    <w:rsid w:val="00CE21ED"/>
    <w:rsid w:val="00CE22F1"/>
    <w:rsid w:val="00CE47CA"/>
    <w:rsid w:val="00CE5042"/>
    <w:rsid w:val="00CE50F2"/>
    <w:rsid w:val="00CE6502"/>
    <w:rsid w:val="00CE6B6E"/>
    <w:rsid w:val="00CE71EE"/>
    <w:rsid w:val="00CE754C"/>
    <w:rsid w:val="00CF162B"/>
    <w:rsid w:val="00CF1D94"/>
    <w:rsid w:val="00CF3E4C"/>
    <w:rsid w:val="00CF52D6"/>
    <w:rsid w:val="00CF655F"/>
    <w:rsid w:val="00CF6CC9"/>
    <w:rsid w:val="00CF6F19"/>
    <w:rsid w:val="00CF7549"/>
    <w:rsid w:val="00CF7784"/>
    <w:rsid w:val="00CF7A2E"/>
    <w:rsid w:val="00CF7D3C"/>
    <w:rsid w:val="00CF7E8B"/>
    <w:rsid w:val="00D001BA"/>
    <w:rsid w:val="00D0104F"/>
    <w:rsid w:val="00D02924"/>
    <w:rsid w:val="00D03933"/>
    <w:rsid w:val="00D03ABF"/>
    <w:rsid w:val="00D04A1B"/>
    <w:rsid w:val="00D05820"/>
    <w:rsid w:val="00D060D8"/>
    <w:rsid w:val="00D06612"/>
    <w:rsid w:val="00D071F8"/>
    <w:rsid w:val="00D10282"/>
    <w:rsid w:val="00D107CB"/>
    <w:rsid w:val="00D10F89"/>
    <w:rsid w:val="00D11C2E"/>
    <w:rsid w:val="00D129EE"/>
    <w:rsid w:val="00D147EB"/>
    <w:rsid w:val="00D155B2"/>
    <w:rsid w:val="00D17182"/>
    <w:rsid w:val="00D17AAA"/>
    <w:rsid w:val="00D21EC8"/>
    <w:rsid w:val="00D237CE"/>
    <w:rsid w:val="00D23DCE"/>
    <w:rsid w:val="00D240FA"/>
    <w:rsid w:val="00D2418E"/>
    <w:rsid w:val="00D24467"/>
    <w:rsid w:val="00D25F97"/>
    <w:rsid w:val="00D27565"/>
    <w:rsid w:val="00D279D6"/>
    <w:rsid w:val="00D30059"/>
    <w:rsid w:val="00D301E7"/>
    <w:rsid w:val="00D310F1"/>
    <w:rsid w:val="00D31746"/>
    <w:rsid w:val="00D32383"/>
    <w:rsid w:val="00D34667"/>
    <w:rsid w:val="00D3685C"/>
    <w:rsid w:val="00D36D8C"/>
    <w:rsid w:val="00D37BF4"/>
    <w:rsid w:val="00D400FA"/>
    <w:rsid w:val="00D401E1"/>
    <w:rsid w:val="00D408B4"/>
    <w:rsid w:val="00D40904"/>
    <w:rsid w:val="00D4115D"/>
    <w:rsid w:val="00D423B1"/>
    <w:rsid w:val="00D42D53"/>
    <w:rsid w:val="00D431BB"/>
    <w:rsid w:val="00D43955"/>
    <w:rsid w:val="00D45D94"/>
    <w:rsid w:val="00D46E69"/>
    <w:rsid w:val="00D479F5"/>
    <w:rsid w:val="00D47B1E"/>
    <w:rsid w:val="00D47FB1"/>
    <w:rsid w:val="00D524C8"/>
    <w:rsid w:val="00D56D04"/>
    <w:rsid w:val="00D573E4"/>
    <w:rsid w:val="00D57D73"/>
    <w:rsid w:val="00D60E25"/>
    <w:rsid w:val="00D63CA7"/>
    <w:rsid w:val="00D65136"/>
    <w:rsid w:val="00D653CE"/>
    <w:rsid w:val="00D65D15"/>
    <w:rsid w:val="00D664CF"/>
    <w:rsid w:val="00D66B4D"/>
    <w:rsid w:val="00D678C3"/>
    <w:rsid w:val="00D70DF6"/>
    <w:rsid w:val="00D70E24"/>
    <w:rsid w:val="00D71F29"/>
    <w:rsid w:val="00D72558"/>
    <w:rsid w:val="00D727A2"/>
    <w:rsid w:val="00D72B61"/>
    <w:rsid w:val="00D72CF2"/>
    <w:rsid w:val="00D73221"/>
    <w:rsid w:val="00D736F9"/>
    <w:rsid w:val="00D75971"/>
    <w:rsid w:val="00D8297D"/>
    <w:rsid w:val="00D8382D"/>
    <w:rsid w:val="00D84D4F"/>
    <w:rsid w:val="00D8612E"/>
    <w:rsid w:val="00D903E1"/>
    <w:rsid w:val="00D90CB9"/>
    <w:rsid w:val="00D91D93"/>
    <w:rsid w:val="00D922F9"/>
    <w:rsid w:val="00D93E3F"/>
    <w:rsid w:val="00D96511"/>
    <w:rsid w:val="00D96535"/>
    <w:rsid w:val="00D96BE8"/>
    <w:rsid w:val="00D973F4"/>
    <w:rsid w:val="00D976AE"/>
    <w:rsid w:val="00DA0218"/>
    <w:rsid w:val="00DA18FC"/>
    <w:rsid w:val="00DA1D77"/>
    <w:rsid w:val="00DA2884"/>
    <w:rsid w:val="00DA3447"/>
    <w:rsid w:val="00DA3D1D"/>
    <w:rsid w:val="00DA4C19"/>
    <w:rsid w:val="00DA5435"/>
    <w:rsid w:val="00DA7120"/>
    <w:rsid w:val="00DA773F"/>
    <w:rsid w:val="00DA79CB"/>
    <w:rsid w:val="00DB0138"/>
    <w:rsid w:val="00DB0942"/>
    <w:rsid w:val="00DB3018"/>
    <w:rsid w:val="00DB42BF"/>
    <w:rsid w:val="00DB51A7"/>
    <w:rsid w:val="00DB6286"/>
    <w:rsid w:val="00DB62A2"/>
    <w:rsid w:val="00DB645F"/>
    <w:rsid w:val="00DB6CEA"/>
    <w:rsid w:val="00DB6FE6"/>
    <w:rsid w:val="00DB76E9"/>
    <w:rsid w:val="00DC0A67"/>
    <w:rsid w:val="00DC17FA"/>
    <w:rsid w:val="00DC1D5E"/>
    <w:rsid w:val="00DC2313"/>
    <w:rsid w:val="00DC2A34"/>
    <w:rsid w:val="00DC4B4D"/>
    <w:rsid w:val="00DC5220"/>
    <w:rsid w:val="00DC6089"/>
    <w:rsid w:val="00DC612C"/>
    <w:rsid w:val="00DC6368"/>
    <w:rsid w:val="00DC7910"/>
    <w:rsid w:val="00DC7FBC"/>
    <w:rsid w:val="00DD012C"/>
    <w:rsid w:val="00DD1714"/>
    <w:rsid w:val="00DD2061"/>
    <w:rsid w:val="00DD71A7"/>
    <w:rsid w:val="00DD7DAB"/>
    <w:rsid w:val="00DE0B83"/>
    <w:rsid w:val="00DE10D4"/>
    <w:rsid w:val="00DE2C54"/>
    <w:rsid w:val="00DE3355"/>
    <w:rsid w:val="00DE3DBA"/>
    <w:rsid w:val="00DE468E"/>
    <w:rsid w:val="00DE585B"/>
    <w:rsid w:val="00DE6377"/>
    <w:rsid w:val="00DE78FB"/>
    <w:rsid w:val="00DF0C5A"/>
    <w:rsid w:val="00DF3092"/>
    <w:rsid w:val="00DF3A3D"/>
    <w:rsid w:val="00DF4497"/>
    <w:rsid w:val="00DF486F"/>
    <w:rsid w:val="00DF529D"/>
    <w:rsid w:val="00DF5B5B"/>
    <w:rsid w:val="00DF5CE2"/>
    <w:rsid w:val="00DF5D5E"/>
    <w:rsid w:val="00DF6001"/>
    <w:rsid w:val="00DF7619"/>
    <w:rsid w:val="00DF7644"/>
    <w:rsid w:val="00E00278"/>
    <w:rsid w:val="00E0070A"/>
    <w:rsid w:val="00E03F19"/>
    <w:rsid w:val="00E042D8"/>
    <w:rsid w:val="00E062F6"/>
    <w:rsid w:val="00E069C5"/>
    <w:rsid w:val="00E07EE7"/>
    <w:rsid w:val="00E07FE8"/>
    <w:rsid w:val="00E1103B"/>
    <w:rsid w:val="00E128FD"/>
    <w:rsid w:val="00E177A6"/>
    <w:rsid w:val="00E17B44"/>
    <w:rsid w:val="00E2003A"/>
    <w:rsid w:val="00E2083B"/>
    <w:rsid w:val="00E213F4"/>
    <w:rsid w:val="00E23309"/>
    <w:rsid w:val="00E23F83"/>
    <w:rsid w:val="00E2565A"/>
    <w:rsid w:val="00E25A25"/>
    <w:rsid w:val="00E276EE"/>
    <w:rsid w:val="00E27C57"/>
    <w:rsid w:val="00E27CE7"/>
    <w:rsid w:val="00E27FEA"/>
    <w:rsid w:val="00E309EF"/>
    <w:rsid w:val="00E310D8"/>
    <w:rsid w:val="00E320FF"/>
    <w:rsid w:val="00E32576"/>
    <w:rsid w:val="00E32FCC"/>
    <w:rsid w:val="00E34003"/>
    <w:rsid w:val="00E3704F"/>
    <w:rsid w:val="00E4086F"/>
    <w:rsid w:val="00E40ED8"/>
    <w:rsid w:val="00E435E5"/>
    <w:rsid w:val="00E43B3C"/>
    <w:rsid w:val="00E43FA1"/>
    <w:rsid w:val="00E44598"/>
    <w:rsid w:val="00E45345"/>
    <w:rsid w:val="00E45AF0"/>
    <w:rsid w:val="00E460E7"/>
    <w:rsid w:val="00E50188"/>
    <w:rsid w:val="00E515CB"/>
    <w:rsid w:val="00E51B0B"/>
    <w:rsid w:val="00E51ED4"/>
    <w:rsid w:val="00E52260"/>
    <w:rsid w:val="00E533A0"/>
    <w:rsid w:val="00E53DB0"/>
    <w:rsid w:val="00E545CC"/>
    <w:rsid w:val="00E55B4F"/>
    <w:rsid w:val="00E55D34"/>
    <w:rsid w:val="00E55D46"/>
    <w:rsid w:val="00E55F57"/>
    <w:rsid w:val="00E57F58"/>
    <w:rsid w:val="00E603B1"/>
    <w:rsid w:val="00E603C7"/>
    <w:rsid w:val="00E611C2"/>
    <w:rsid w:val="00E639B6"/>
    <w:rsid w:val="00E639F0"/>
    <w:rsid w:val="00E6434B"/>
    <w:rsid w:val="00E6446F"/>
    <w:rsid w:val="00E6463D"/>
    <w:rsid w:val="00E648FC"/>
    <w:rsid w:val="00E658A5"/>
    <w:rsid w:val="00E66979"/>
    <w:rsid w:val="00E6757F"/>
    <w:rsid w:val="00E678E2"/>
    <w:rsid w:val="00E67956"/>
    <w:rsid w:val="00E7135D"/>
    <w:rsid w:val="00E71F3A"/>
    <w:rsid w:val="00E72CFC"/>
    <w:rsid w:val="00E72E9B"/>
    <w:rsid w:val="00E73A4A"/>
    <w:rsid w:val="00E74539"/>
    <w:rsid w:val="00E746BF"/>
    <w:rsid w:val="00E74DD1"/>
    <w:rsid w:val="00E74E96"/>
    <w:rsid w:val="00E74F0E"/>
    <w:rsid w:val="00E76C86"/>
    <w:rsid w:val="00E76EFF"/>
    <w:rsid w:val="00E81F9C"/>
    <w:rsid w:val="00E820B1"/>
    <w:rsid w:val="00E8210C"/>
    <w:rsid w:val="00E82993"/>
    <w:rsid w:val="00E849DA"/>
    <w:rsid w:val="00E8574D"/>
    <w:rsid w:val="00E85A33"/>
    <w:rsid w:val="00E86161"/>
    <w:rsid w:val="00E87A6D"/>
    <w:rsid w:val="00E87B78"/>
    <w:rsid w:val="00E9007D"/>
    <w:rsid w:val="00E914EA"/>
    <w:rsid w:val="00E92EC8"/>
    <w:rsid w:val="00E932FF"/>
    <w:rsid w:val="00E9462E"/>
    <w:rsid w:val="00E952D1"/>
    <w:rsid w:val="00E955E8"/>
    <w:rsid w:val="00E96258"/>
    <w:rsid w:val="00E9638B"/>
    <w:rsid w:val="00E972B0"/>
    <w:rsid w:val="00EA1FFE"/>
    <w:rsid w:val="00EA2592"/>
    <w:rsid w:val="00EA2763"/>
    <w:rsid w:val="00EA2842"/>
    <w:rsid w:val="00EA35CB"/>
    <w:rsid w:val="00EA3607"/>
    <w:rsid w:val="00EA470E"/>
    <w:rsid w:val="00EA47A7"/>
    <w:rsid w:val="00EA57EB"/>
    <w:rsid w:val="00EA5B5C"/>
    <w:rsid w:val="00EA7BA4"/>
    <w:rsid w:val="00EB1655"/>
    <w:rsid w:val="00EB2021"/>
    <w:rsid w:val="00EB229F"/>
    <w:rsid w:val="00EB2A6A"/>
    <w:rsid w:val="00EB3226"/>
    <w:rsid w:val="00EB3377"/>
    <w:rsid w:val="00EB3AA8"/>
    <w:rsid w:val="00EB437F"/>
    <w:rsid w:val="00EB6F89"/>
    <w:rsid w:val="00EB78A1"/>
    <w:rsid w:val="00EC0141"/>
    <w:rsid w:val="00EC0414"/>
    <w:rsid w:val="00EC0AA7"/>
    <w:rsid w:val="00EC15BD"/>
    <w:rsid w:val="00EC213A"/>
    <w:rsid w:val="00EC2178"/>
    <w:rsid w:val="00EC5478"/>
    <w:rsid w:val="00EC57AF"/>
    <w:rsid w:val="00EC6603"/>
    <w:rsid w:val="00EC7744"/>
    <w:rsid w:val="00ED0DAD"/>
    <w:rsid w:val="00ED0F46"/>
    <w:rsid w:val="00ED1188"/>
    <w:rsid w:val="00ED12CF"/>
    <w:rsid w:val="00ED1614"/>
    <w:rsid w:val="00ED2373"/>
    <w:rsid w:val="00ED3AC1"/>
    <w:rsid w:val="00ED40D5"/>
    <w:rsid w:val="00ED5C9D"/>
    <w:rsid w:val="00ED6CB7"/>
    <w:rsid w:val="00ED711A"/>
    <w:rsid w:val="00ED7C69"/>
    <w:rsid w:val="00EE0843"/>
    <w:rsid w:val="00EE1012"/>
    <w:rsid w:val="00EE133C"/>
    <w:rsid w:val="00EE3E8A"/>
    <w:rsid w:val="00EE46A2"/>
    <w:rsid w:val="00EF135F"/>
    <w:rsid w:val="00EF14A4"/>
    <w:rsid w:val="00EF1BA2"/>
    <w:rsid w:val="00EF2133"/>
    <w:rsid w:val="00EF529C"/>
    <w:rsid w:val="00EF6ECA"/>
    <w:rsid w:val="00EF7491"/>
    <w:rsid w:val="00EF7F98"/>
    <w:rsid w:val="00F00872"/>
    <w:rsid w:val="00F00B3F"/>
    <w:rsid w:val="00F00D65"/>
    <w:rsid w:val="00F01778"/>
    <w:rsid w:val="00F024E1"/>
    <w:rsid w:val="00F0269E"/>
    <w:rsid w:val="00F02A59"/>
    <w:rsid w:val="00F03A06"/>
    <w:rsid w:val="00F049F6"/>
    <w:rsid w:val="00F05D14"/>
    <w:rsid w:val="00F06C10"/>
    <w:rsid w:val="00F07BB7"/>
    <w:rsid w:val="00F07C59"/>
    <w:rsid w:val="00F10348"/>
    <w:rsid w:val="00F1096F"/>
    <w:rsid w:val="00F12589"/>
    <w:rsid w:val="00F12595"/>
    <w:rsid w:val="00F12EB5"/>
    <w:rsid w:val="00F134D9"/>
    <w:rsid w:val="00F1403D"/>
    <w:rsid w:val="00F1463F"/>
    <w:rsid w:val="00F155FF"/>
    <w:rsid w:val="00F15F5A"/>
    <w:rsid w:val="00F20FF3"/>
    <w:rsid w:val="00F21302"/>
    <w:rsid w:val="00F21469"/>
    <w:rsid w:val="00F21FB2"/>
    <w:rsid w:val="00F24229"/>
    <w:rsid w:val="00F244E5"/>
    <w:rsid w:val="00F2457E"/>
    <w:rsid w:val="00F245F7"/>
    <w:rsid w:val="00F27E41"/>
    <w:rsid w:val="00F30885"/>
    <w:rsid w:val="00F321DE"/>
    <w:rsid w:val="00F33777"/>
    <w:rsid w:val="00F33FC2"/>
    <w:rsid w:val="00F3414C"/>
    <w:rsid w:val="00F357C2"/>
    <w:rsid w:val="00F35E2F"/>
    <w:rsid w:val="00F35F46"/>
    <w:rsid w:val="00F36B31"/>
    <w:rsid w:val="00F40648"/>
    <w:rsid w:val="00F424F8"/>
    <w:rsid w:val="00F429FA"/>
    <w:rsid w:val="00F45B04"/>
    <w:rsid w:val="00F474B6"/>
    <w:rsid w:val="00F47DA2"/>
    <w:rsid w:val="00F51093"/>
    <w:rsid w:val="00F519FC"/>
    <w:rsid w:val="00F51E72"/>
    <w:rsid w:val="00F54226"/>
    <w:rsid w:val="00F54AE8"/>
    <w:rsid w:val="00F57509"/>
    <w:rsid w:val="00F614E9"/>
    <w:rsid w:val="00F6239D"/>
    <w:rsid w:val="00F62EA5"/>
    <w:rsid w:val="00F633D8"/>
    <w:rsid w:val="00F63A6D"/>
    <w:rsid w:val="00F6538B"/>
    <w:rsid w:val="00F66520"/>
    <w:rsid w:val="00F66668"/>
    <w:rsid w:val="00F666D2"/>
    <w:rsid w:val="00F67486"/>
    <w:rsid w:val="00F67D12"/>
    <w:rsid w:val="00F70C27"/>
    <w:rsid w:val="00F711D2"/>
    <w:rsid w:val="00F715D2"/>
    <w:rsid w:val="00F71CB4"/>
    <w:rsid w:val="00F7274F"/>
    <w:rsid w:val="00F744F9"/>
    <w:rsid w:val="00F747FE"/>
    <w:rsid w:val="00F749AE"/>
    <w:rsid w:val="00F75709"/>
    <w:rsid w:val="00F758A5"/>
    <w:rsid w:val="00F75ADD"/>
    <w:rsid w:val="00F76FA8"/>
    <w:rsid w:val="00F77DA0"/>
    <w:rsid w:val="00F77EDE"/>
    <w:rsid w:val="00F80604"/>
    <w:rsid w:val="00F81CB4"/>
    <w:rsid w:val="00F82954"/>
    <w:rsid w:val="00F846E0"/>
    <w:rsid w:val="00F8730D"/>
    <w:rsid w:val="00F878F9"/>
    <w:rsid w:val="00F87B5D"/>
    <w:rsid w:val="00F87E66"/>
    <w:rsid w:val="00F91ABF"/>
    <w:rsid w:val="00F92B04"/>
    <w:rsid w:val="00F93F08"/>
    <w:rsid w:val="00F94CED"/>
    <w:rsid w:val="00F9575A"/>
    <w:rsid w:val="00F958D4"/>
    <w:rsid w:val="00F959D0"/>
    <w:rsid w:val="00F96732"/>
    <w:rsid w:val="00F97703"/>
    <w:rsid w:val="00F97B36"/>
    <w:rsid w:val="00FA056A"/>
    <w:rsid w:val="00FA0A15"/>
    <w:rsid w:val="00FA129A"/>
    <w:rsid w:val="00FA16E6"/>
    <w:rsid w:val="00FA2CEE"/>
    <w:rsid w:val="00FA318C"/>
    <w:rsid w:val="00FA602D"/>
    <w:rsid w:val="00FA634C"/>
    <w:rsid w:val="00FA6692"/>
    <w:rsid w:val="00FA6BF1"/>
    <w:rsid w:val="00FA7509"/>
    <w:rsid w:val="00FA7BF9"/>
    <w:rsid w:val="00FB1CCD"/>
    <w:rsid w:val="00FB2409"/>
    <w:rsid w:val="00FB3E3C"/>
    <w:rsid w:val="00FB4EF8"/>
    <w:rsid w:val="00FB57E7"/>
    <w:rsid w:val="00FB599E"/>
    <w:rsid w:val="00FB6578"/>
    <w:rsid w:val="00FB6F92"/>
    <w:rsid w:val="00FB716D"/>
    <w:rsid w:val="00FB7A8B"/>
    <w:rsid w:val="00FC026E"/>
    <w:rsid w:val="00FC0F98"/>
    <w:rsid w:val="00FC112F"/>
    <w:rsid w:val="00FC14AD"/>
    <w:rsid w:val="00FC1624"/>
    <w:rsid w:val="00FC3CAD"/>
    <w:rsid w:val="00FC43C7"/>
    <w:rsid w:val="00FC47AA"/>
    <w:rsid w:val="00FC4CD3"/>
    <w:rsid w:val="00FC5124"/>
    <w:rsid w:val="00FC576F"/>
    <w:rsid w:val="00FC7470"/>
    <w:rsid w:val="00FD0242"/>
    <w:rsid w:val="00FD0AAF"/>
    <w:rsid w:val="00FD36AB"/>
    <w:rsid w:val="00FD41CB"/>
    <w:rsid w:val="00FD4731"/>
    <w:rsid w:val="00FD47A9"/>
    <w:rsid w:val="00FD5083"/>
    <w:rsid w:val="00FD78C4"/>
    <w:rsid w:val="00FD7AAE"/>
    <w:rsid w:val="00FD7AE2"/>
    <w:rsid w:val="00FE1255"/>
    <w:rsid w:val="00FE1AAE"/>
    <w:rsid w:val="00FE1AF2"/>
    <w:rsid w:val="00FE2A22"/>
    <w:rsid w:val="00FE2A79"/>
    <w:rsid w:val="00FE3630"/>
    <w:rsid w:val="00FE3FF4"/>
    <w:rsid w:val="00FE77DA"/>
    <w:rsid w:val="00FF0AB0"/>
    <w:rsid w:val="00FF1015"/>
    <w:rsid w:val="00FF28AC"/>
    <w:rsid w:val="00FF2C66"/>
    <w:rsid w:val="00FF3DE1"/>
    <w:rsid w:val="00FF4328"/>
    <w:rsid w:val="00FF5113"/>
    <w:rsid w:val="00FF767A"/>
    <w:rsid w:val="00FF7F62"/>
    <w:rsid w:val="01366324"/>
    <w:rsid w:val="0139A974"/>
    <w:rsid w:val="019C59F3"/>
    <w:rsid w:val="02400360"/>
    <w:rsid w:val="025655BF"/>
    <w:rsid w:val="0271A185"/>
    <w:rsid w:val="027E1B71"/>
    <w:rsid w:val="02D10658"/>
    <w:rsid w:val="02EBA3E8"/>
    <w:rsid w:val="02F016C9"/>
    <w:rsid w:val="0321246C"/>
    <w:rsid w:val="03268AAD"/>
    <w:rsid w:val="03966697"/>
    <w:rsid w:val="0444D9B2"/>
    <w:rsid w:val="04627032"/>
    <w:rsid w:val="046CFE56"/>
    <w:rsid w:val="04AFBF65"/>
    <w:rsid w:val="04B5441D"/>
    <w:rsid w:val="05449647"/>
    <w:rsid w:val="059DEECF"/>
    <w:rsid w:val="05B160BC"/>
    <w:rsid w:val="05BD5CCE"/>
    <w:rsid w:val="05E1C51C"/>
    <w:rsid w:val="060E8683"/>
    <w:rsid w:val="06CA183B"/>
    <w:rsid w:val="06CFE7C6"/>
    <w:rsid w:val="06DCA20C"/>
    <w:rsid w:val="06F6F788"/>
    <w:rsid w:val="0705F454"/>
    <w:rsid w:val="073AB1D6"/>
    <w:rsid w:val="0789A962"/>
    <w:rsid w:val="079A5B65"/>
    <w:rsid w:val="07C705A5"/>
    <w:rsid w:val="08237C0F"/>
    <w:rsid w:val="08DBB8DB"/>
    <w:rsid w:val="0905ABBD"/>
    <w:rsid w:val="09829A7A"/>
    <w:rsid w:val="0A2AFB52"/>
    <w:rsid w:val="0A6D2FFC"/>
    <w:rsid w:val="0A84E037"/>
    <w:rsid w:val="0AA0C7D0"/>
    <w:rsid w:val="0B0CD101"/>
    <w:rsid w:val="0B370581"/>
    <w:rsid w:val="0BA2C7E3"/>
    <w:rsid w:val="0C8C3ABC"/>
    <w:rsid w:val="0CBFCA52"/>
    <w:rsid w:val="0CDC4359"/>
    <w:rsid w:val="0D1B7F7A"/>
    <w:rsid w:val="0DECC98C"/>
    <w:rsid w:val="0E40614E"/>
    <w:rsid w:val="0F6F8750"/>
    <w:rsid w:val="0FA562EC"/>
    <w:rsid w:val="0FA709CD"/>
    <w:rsid w:val="1033E4CE"/>
    <w:rsid w:val="1036A8E1"/>
    <w:rsid w:val="10A3F417"/>
    <w:rsid w:val="10A78995"/>
    <w:rsid w:val="110B40D8"/>
    <w:rsid w:val="1126B9F3"/>
    <w:rsid w:val="114E9800"/>
    <w:rsid w:val="114EE50C"/>
    <w:rsid w:val="1167359D"/>
    <w:rsid w:val="11B1EC0B"/>
    <w:rsid w:val="11F4F6F0"/>
    <w:rsid w:val="121E65FD"/>
    <w:rsid w:val="123824BB"/>
    <w:rsid w:val="12432C76"/>
    <w:rsid w:val="129B7C6D"/>
    <w:rsid w:val="1303BA99"/>
    <w:rsid w:val="1306795C"/>
    <w:rsid w:val="1315D6FD"/>
    <w:rsid w:val="1391F0EB"/>
    <w:rsid w:val="1434C34E"/>
    <w:rsid w:val="14702C4A"/>
    <w:rsid w:val="14A5C3B4"/>
    <w:rsid w:val="14ECCAC9"/>
    <w:rsid w:val="158CC69D"/>
    <w:rsid w:val="15D808F2"/>
    <w:rsid w:val="16962E9C"/>
    <w:rsid w:val="17A37269"/>
    <w:rsid w:val="17D40B84"/>
    <w:rsid w:val="18037F08"/>
    <w:rsid w:val="18634B05"/>
    <w:rsid w:val="1871793F"/>
    <w:rsid w:val="18B59B87"/>
    <w:rsid w:val="18E3D3A9"/>
    <w:rsid w:val="19A9419C"/>
    <w:rsid w:val="19B67584"/>
    <w:rsid w:val="1AB0D0B8"/>
    <w:rsid w:val="1AF8F1E0"/>
    <w:rsid w:val="1B365AE0"/>
    <w:rsid w:val="1C3A8A2E"/>
    <w:rsid w:val="1C640C6D"/>
    <w:rsid w:val="1C8AE2FC"/>
    <w:rsid w:val="1D645420"/>
    <w:rsid w:val="1DFC4B36"/>
    <w:rsid w:val="1E2B8425"/>
    <w:rsid w:val="1E663597"/>
    <w:rsid w:val="1EDD8D72"/>
    <w:rsid w:val="1F264A13"/>
    <w:rsid w:val="1F3D369F"/>
    <w:rsid w:val="1F4FE7DE"/>
    <w:rsid w:val="1FAC4FFC"/>
    <w:rsid w:val="215098DF"/>
    <w:rsid w:val="21A92F46"/>
    <w:rsid w:val="21E5E80D"/>
    <w:rsid w:val="220C6271"/>
    <w:rsid w:val="22DE17AD"/>
    <w:rsid w:val="2310241F"/>
    <w:rsid w:val="2311A989"/>
    <w:rsid w:val="2311E996"/>
    <w:rsid w:val="238476DE"/>
    <w:rsid w:val="239EA022"/>
    <w:rsid w:val="23AD9C6F"/>
    <w:rsid w:val="23B5746F"/>
    <w:rsid w:val="23D5CDBB"/>
    <w:rsid w:val="242659DB"/>
    <w:rsid w:val="24ADF035"/>
    <w:rsid w:val="2592A7A5"/>
    <w:rsid w:val="25F37E4D"/>
    <w:rsid w:val="25FAEB5B"/>
    <w:rsid w:val="26003207"/>
    <w:rsid w:val="26C2129C"/>
    <w:rsid w:val="27064236"/>
    <w:rsid w:val="28171314"/>
    <w:rsid w:val="2817D6B5"/>
    <w:rsid w:val="289A0CA9"/>
    <w:rsid w:val="289C04AE"/>
    <w:rsid w:val="28F19C6A"/>
    <w:rsid w:val="28F3BB8B"/>
    <w:rsid w:val="2905652B"/>
    <w:rsid w:val="2908A5DC"/>
    <w:rsid w:val="29473FD4"/>
    <w:rsid w:val="29CF7FD1"/>
    <w:rsid w:val="29FC8D7B"/>
    <w:rsid w:val="2A4CB8F1"/>
    <w:rsid w:val="2ACECB7B"/>
    <w:rsid w:val="2AE09041"/>
    <w:rsid w:val="2B465282"/>
    <w:rsid w:val="2BCD2CBE"/>
    <w:rsid w:val="2C340FB9"/>
    <w:rsid w:val="2C51AD80"/>
    <w:rsid w:val="2CB4E14F"/>
    <w:rsid w:val="2CEFE49F"/>
    <w:rsid w:val="2D71267A"/>
    <w:rsid w:val="2E914911"/>
    <w:rsid w:val="2F04658C"/>
    <w:rsid w:val="2F4C77ED"/>
    <w:rsid w:val="3075B9B1"/>
    <w:rsid w:val="30FEB376"/>
    <w:rsid w:val="30FF186A"/>
    <w:rsid w:val="31D39D3A"/>
    <w:rsid w:val="31EB201E"/>
    <w:rsid w:val="31EB7AA8"/>
    <w:rsid w:val="328358DE"/>
    <w:rsid w:val="332D6F94"/>
    <w:rsid w:val="336724D4"/>
    <w:rsid w:val="33750C67"/>
    <w:rsid w:val="33A327AA"/>
    <w:rsid w:val="34774335"/>
    <w:rsid w:val="35002CB2"/>
    <w:rsid w:val="3528968A"/>
    <w:rsid w:val="352DB01E"/>
    <w:rsid w:val="3534403B"/>
    <w:rsid w:val="36057CB4"/>
    <w:rsid w:val="3660CC7A"/>
    <w:rsid w:val="36D464B8"/>
    <w:rsid w:val="376034C2"/>
    <w:rsid w:val="376EABF9"/>
    <w:rsid w:val="386EDFD6"/>
    <w:rsid w:val="391827D0"/>
    <w:rsid w:val="39464E43"/>
    <w:rsid w:val="3A430EC0"/>
    <w:rsid w:val="3A80C0E0"/>
    <w:rsid w:val="3AF1B9B5"/>
    <w:rsid w:val="3AF8F2B8"/>
    <w:rsid w:val="3B5D80B9"/>
    <w:rsid w:val="3C72216E"/>
    <w:rsid w:val="3CC12032"/>
    <w:rsid w:val="3CC592AF"/>
    <w:rsid w:val="3D875040"/>
    <w:rsid w:val="3DB2CEC2"/>
    <w:rsid w:val="3DC55377"/>
    <w:rsid w:val="3E5D4EE2"/>
    <w:rsid w:val="3E78164D"/>
    <w:rsid w:val="3E89DAC7"/>
    <w:rsid w:val="3EB85C88"/>
    <w:rsid w:val="3ED0B14D"/>
    <w:rsid w:val="3EF0CA57"/>
    <w:rsid w:val="3F1F4D01"/>
    <w:rsid w:val="3F29A15E"/>
    <w:rsid w:val="3F455DDB"/>
    <w:rsid w:val="3F53DF48"/>
    <w:rsid w:val="3FFF8EC9"/>
    <w:rsid w:val="402952DB"/>
    <w:rsid w:val="403E103C"/>
    <w:rsid w:val="406AA12D"/>
    <w:rsid w:val="40A43203"/>
    <w:rsid w:val="41135969"/>
    <w:rsid w:val="411EA049"/>
    <w:rsid w:val="415812C1"/>
    <w:rsid w:val="415A9138"/>
    <w:rsid w:val="4229E64E"/>
    <w:rsid w:val="424B0A00"/>
    <w:rsid w:val="42A76965"/>
    <w:rsid w:val="42E26644"/>
    <w:rsid w:val="43A073B3"/>
    <w:rsid w:val="4400C78E"/>
    <w:rsid w:val="4417F699"/>
    <w:rsid w:val="443D1A0F"/>
    <w:rsid w:val="44AFA133"/>
    <w:rsid w:val="4556CCB3"/>
    <w:rsid w:val="4584E238"/>
    <w:rsid w:val="45B876ED"/>
    <w:rsid w:val="46018775"/>
    <w:rsid w:val="46038776"/>
    <w:rsid w:val="462DC4C1"/>
    <w:rsid w:val="4647EFC5"/>
    <w:rsid w:val="4649CAEA"/>
    <w:rsid w:val="46CB54B4"/>
    <w:rsid w:val="472BB885"/>
    <w:rsid w:val="475B5081"/>
    <w:rsid w:val="4797384A"/>
    <w:rsid w:val="47C164CA"/>
    <w:rsid w:val="4871E8CE"/>
    <w:rsid w:val="48B613F5"/>
    <w:rsid w:val="491E21FD"/>
    <w:rsid w:val="494C7C06"/>
    <w:rsid w:val="4973C342"/>
    <w:rsid w:val="49A70C14"/>
    <w:rsid w:val="49C586B7"/>
    <w:rsid w:val="4A283622"/>
    <w:rsid w:val="4A58CDA8"/>
    <w:rsid w:val="4A715136"/>
    <w:rsid w:val="4ABE3D2D"/>
    <w:rsid w:val="4B006838"/>
    <w:rsid w:val="4C4BD7E3"/>
    <w:rsid w:val="4CD19248"/>
    <w:rsid w:val="4D1E36BA"/>
    <w:rsid w:val="4D3FE737"/>
    <w:rsid w:val="4D8ECCDC"/>
    <w:rsid w:val="4DD0F5BB"/>
    <w:rsid w:val="4DD14184"/>
    <w:rsid w:val="4DE6A8E2"/>
    <w:rsid w:val="4DF46AF2"/>
    <w:rsid w:val="4DFFC2AA"/>
    <w:rsid w:val="4DFFD65C"/>
    <w:rsid w:val="4E514814"/>
    <w:rsid w:val="4EBD6A09"/>
    <w:rsid w:val="4EE63243"/>
    <w:rsid w:val="4F7A3F55"/>
    <w:rsid w:val="4FB10F5E"/>
    <w:rsid w:val="4FC9B0B4"/>
    <w:rsid w:val="4FFF4E35"/>
    <w:rsid w:val="502DC1FA"/>
    <w:rsid w:val="507EAD96"/>
    <w:rsid w:val="50BC3F88"/>
    <w:rsid w:val="50DC38F3"/>
    <w:rsid w:val="5132A09C"/>
    <w:rsid w:val="51656546"/>
    <w:rsid w:val="51DA4D37"/>
    <w:rsid w:val="525EBA26"/>
    <w:rsid w:val="535FFA8E"/>
    <w:rsid w:val="54F90ABB"/>
    <w:rsid w:val="552F9048"/>
    <w:rsid w:val="55682AF9"/>
    <w:rsid w:val="55689483"/>
    <w:rsid w:val="5596DEFC"/>
    <w:rsid w:val="5604841F"/>
    <w:rsid w:val="56B71147"/>
    <w:rsid w:val="56F788DB"/>
    <w:rsid w:val="57630457"/>
    <w:rsid w:val="57CA34D6"/>
    <w:rsid w:val="585C8982"/>
    <w:rsid w:val="58D0E31E"/>
    <w:rsid w:val="5902EB20"/>
    <w:rsid w:val="59238D96"/>
    <w:rsid w:val="59311853"/>
    <w:rsid w:val="5A135830"/>
    <w:rsid w:val="5A349A8F"/>
    <w:rsid w:val="5A7F8132"/>
    <w:rsid w:val="5A840908"/>
    <w:rsid w:val="5B18C870"/>
    <w:rsid w:val="5B637BA6"/>
    <w:rsid w:val="5B91F412"/>
    <w:rsid w:val="5C385D00"/>
    <w:rsid w:val="5C77231B"/>
    <w:rsid w:val="5C914AA9"/>
    <w:rsid w:val="5D29CDBD"/>
    <w:rsid w:val="5D45D2B1"/>
    <w:rsid w:val="5DF9CB64"/>
    <w:rsid w:val="5E7B6B11"/>
    <w:rsid w:val="5F2C6132"/>
    <w:rsid w:val="5F4D40D1"/>
    <w:rsid w:val="5FECEBFC"/>
    <w:rsid w:val="5FEEDA6A"/>
    <w:rsid w:val="6128E787"/>
    <w:rsid w:val="612BB489"/>
    <w:rsid w:val="617082E8"/>
    <w:rsid w:val="61FF7933"/>
    <w:rsid w:val="622092E9"/>
    <w:rsid w:val="623DE007"/>
    <w:rsid w:val="629BA1C6"/>
    <w:rsid w:val="6343DA6F"/>
    <w:rsid w:val="6394C0CE"/>
    <w:rsid w:val="64AFF50F"/>
    <w:rsid w:val="64CDBD55"/>
    <w:rsid w:val="650B6E37"/>
    <w:rsid w:val="65CA783C"/>
    <w:rsid w:val="66901296"/>
    <w:rsid w:val="6701D64E"/>
    <w:rsid w:val="67070C04"/>
    <w:rsid w:val="67277E34"/>
    <w:rsid w:val="672AF102"/>
    <w:rsid w:val="673A2A63"/>
    <w:rsid w:val="677B7EA7"/>
    <w:rsid w:val="679AAF91"/>
    <w:rsid w:val="691279C2"/>
    <w:rsid w:val="693A1446"/>
    <w:rsid w:val="6962FE42"/>
    <w:rsid w:val="69722E96"/>
    <w:rsid w:val="69BD593D"/>
    <w:rsid w:val="6A5BEA26"/>
    <w:rsid w:val="6AC258F9"/>
    <w:rsid w:val="6AC61586"/>
    <w:rsid w:val="6B40BCA8"/>
    <w:rsid w:val="6B642DE7"/>
    <w:rsid w:val="6BB4B3E6"/>
    <w:rsid w:val="6C3BB5FB"/>
    <w:rsid w:val="6C429508"/>
    <w:rsid w:val="6CBA8840"/>
    <w:rsid w:val="6D6A515B"/>
    <w:rsid w:val="6DC3FA5D"/>
    <w:rsid w:val="6DEAEDD8"/>
    <w:rsid w:val="6E01F70D"/>
    <w:rsid w:val="6E2AF8A9"/>
    <w:rsid w:val="6E39361B"/>
    <w:rsid w:val="6E57BE60"/>
    <w:rsid w:val="6E5B3156"/>
    <w:rsid w:val="6E613FD3"/>
    <w:rsid w:val="6E64FA2A"/>
    <w:rsid w:val="6E79EDB3"/>
    <w:rsid w:val="6EB29E78"/>
    <w:rsid w:val="6F36FD54"/>
    <w:rsid w:val="6FD42D21"/>
    <w:rsid w:val="702B9473"/>
    <w:rsid w:val="702D0D15"/>
    <w:rsid w:val="70676609"/>
    <w:rsid w:val="706DD0B1"/>
    <w:rsid w:val="70C2C97F"/>
    <w:rsid w:val="718B6709"/>
    <w:rsid w:val="71B35654"/>
    <w:rsid w:val="71D7ADBF"/>
    <w:rsid w:val="72569263"/>
    <w:rsid w:val="73114E71"/>
    <w:rsid w:val="732B35BF"/>
    <w:rsid w:val="734B1435"/>
    <w:rsid w:val="7377438F"/>
    <w:rsid w:val="73C46FDD"/>
    <w:rsid w:val="73FFA539"/>
    <w:rsid w:val="740F1498"/>
    <w:rsid w:val="74404001"/>
    <w:rsid w:val="746D20B8"/>
    <w:rsid w:val="7484E2A1"/>
    <w:rsid w:val="74AA3386"/>
    <w:rsid w:val="74DE8856"/>
    <w:rsid w:val="750ED24E"/>
    <w:rsid w:val="751B0CFC"/>
    <w:rsid w:val="75503C6B"/>
    <w:rsid w:val="759861DE"/>
    <w:rsid w:val="75DEABE4"/>
    <w:rsid w:val="76414947"/>
    <w:rsid w:val="7658628D"/>
    <w:rsid w:val="769FF6C2"/>
    <w:rsid w:val="77130D67"/>
    <w:rsid w:val="7728A536"/>
    <w:rsid w:val="775BDE27"/>
    <w:rsid w:val="77AF1AE7"/>
    <w:rsid w:val="77E3EE0F"/>
    <w:rsid w:val="77E8E650"/>
    <w:rsid w:val="78029D0C"/>
    <w:rsid w:val="78049471"/>
    <w:rsid w:val="7833ACA9"/>
    <w:rsid w:val="7892CB20"/>
    <w:rsid w:val="78C2DF6A"/>
    <w:rsid w:val="78E59CC7"/>
    <w:rsid w:val="79DF8CC6"/>
    <w:rsid w:val="79FC387D"/>
    <w:rsid w:val="7B41949E"/>
    <w:rsid w:val="7B497A1D"/>
    <w:rsid w:val="7B541CC3"/>
    <w:rsid w:val="7C4ECE4B"/>
    <w:rsid w:val="7C70CD52"/>
    <w:rsid w:val="7CEB45E3"/>
    <w:rsid w:val="7D96BC98"/>
    <w:rsid w:val="7DB3BB0E"/>
    <w:rsid w:val="7E6C5D6B"/>
    <w:rsid w:val="7E9ADACC"/>
    <w:rsid w:val="7EB70456"/>
    <w:rsid w:val="7F2C8447"/>
    <w:rsid w:val="7F76B8AB"/>
    <w:rsid w:val="7F85A3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A1CC36BC-E78B-444B-9036-A25F509D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417CD"/>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3"/>
      </w:numPr>
    </w:pPr>
  </w:style>
  <w:style w:type="paragraph" w:styleId="ListNumber2">
    <w:name w:val="List Number 2"/>
    <w:basedOn w:val="ListBullet"/>
    <w:qFormat/>
    <w:rsid w:val="00BF7AD7"/>
    <w:pPr>
      <w:numPr>
        <w:numId w:val="2"/>
      </w:numPr>
    </w:pPr>
  </w:style>
  <w:style w:type="paragraph" w:styleId="ListBullet">
    <w:name w:val="List Bullet"/>
    <w:basedOn w:val="Normal"/>
    <w:qFormat/>
    <w:rsid w:val="009417CD"/>
    <w:pPr>
      <w:numPr>
        <w:numId w:val="1"/>
      </w:numPr>
      <w:spacing w:before="60" w:after="60"/>
      <w:ind w:left="584" w:hanging="357"/>
    </w:pPr>
  </w:style>
  <w:style w:type="paragraph" w:styleId="ListNumber3">
    <w:name w:val="List Number 3"/>
    <w:aliases w:val="List Third Level"/>
    <w:basedOn w:val="ListNumber2"/>
    <w:rsid w:val="00BF7AD7"/>
    <w:pPr>
      <w:numPr>
        <w:numId w:val="4"/>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uiPriority w:val="59"/>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5"/>
      </w:numPr>
    </w:pPr>
    <w:rPr>
      <w:szCs w:val="20"/>
    </w:rPr>
  </w:style>
  <w:style w:type="paragraph" w:customStyle="1" w:styleId="Tablelistnumber">
    <w:name w:val="Table list number"/>
    <w:basedOn w:val="Tabletextleft"/>
    <w:qFormat/>
    <w:rsid w:val="00BF7AD7"/>
    <w:pPr>
      <w:numPr>
        <w:numId w:val="6"/>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character" w:styleId="CommentReference">
    <w:name w:val="annotation reference"/>
    <w:basedOn w:val="DefaultParagraphFont"/>
    <w:semiHidden/>
    <w:unhideWhenUsed/>
    <w:rsid w:val="006939FF"/>
    <w:rPr>
      <w:sz w:val="16"/>
      <w:szCs w:val="16"/>
    </w:rPr>
  </w:style>
  <w:style w:type="paragraph" w:styleId="CommentText">
    <w:name w:val="annotation text"/>
    <w:basedOn w:val="Normal"/>
    <w:link w:val="CommentTextChar"/>
    <w:unhideWhenUsed/>
    <w:rsid w:val="006939FF"/>
    <w:pPr>
      <w:spacing w:line="240" w:lineRule="auto"/>
    </w:pPr>
    <w:rPr>
      <w:sz w:val="20"/>
      <w:szCs w:val="20"/>
    </w:rPr>
  </w:style>
  <w:style w:type="character" w:customStyle="1" w:styleId="CommentTextChar">
    <w:name w:val="Comment Text Char"/>
    <w:basedOn w:val="DefaultParagraphFont"/>
    <w:link w:val="CommentText"/>
    <w:rsid w:val="006939F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6939FF"/>
    <w:rPr>
      <w:b/>
      <w:bCs/>
    </w:rPr>
  </w:style>
  <w:style w:type="character" w:customStyle="1" w:styleId="CommentSubjectChar">
    <w:name w:val="Comment Subject Char"/>
    <w:basedOn w:val="CommentTextChar"/>
    <w:link w:val="CommentSubject"/>
    <w:semiHidden/>
    <w:rsid w:val="006939FF"/>
    <w:rPr>
      <w:rFonts w:ascii="Arial" w:hAnsi="Arial"/>
      <w:b/>
      <w:bCs/>
      <w:color w:val="000000" w:themeColor="text1"/>
      <w:lang w:eastAsia="en-US"/>
    </w:rPr>
  </w:style>
  <w:style w:type="character" w:styleId="FollowedHyperlink">
    <w:name w:val="FollowedHyperlink"/>
    <w:basedOn w:val="DefaultParagraphFont"/>
    <w:semiHidden/>
    <w:unhideWhenUsed/>
    <w:rsid w:val="00465B95"/>
    <w:rPr>
      <w:color w:val="800080" w:themeColor="followedHyperlink"/>
      <w:u w:val="single"/>
    </w:rPr>
  </w:style>
  <w:style w:type="paragraph" w:styleId="Revision">
    <w:name w:val="Revision"/>
    <w:hidden/>
    <w:uiPriority w:val="99"/>
    <w:semiHidden/>
    <w:rsid w:val="00A94715"/>
    <w:rPr>
      <w:rFonts w:ascii="Arial" w:hAnsi="Arial"/>
      <w:color w:val="000000" w:themeColor="text1"/>
      <w:sz w:val="22"/>
      <w:szCs w:val="24"/>
      <w:lang w:eastAsia="en-US"/>
    </w:rPr>
  </w:style>
  <w:style w:type="character" w:styleId="Mention">
    <w:name w:val="Mention"/>
    <w:basedOn w:val="DefaultParagraphFont"/>
    <w:uiPriority w:val="99"/>
    <w:unhideWhenUsed/>
    <w:rsid w:val="00BF3C4A"/>
    <w:rPr>
      <w:color w:val="2B579A"/>
      <w:shd w:val="clear" w:color="auto" w:fill="E1DFDD"/>
    </w:rPr>
  </w:style>
  <w:style w:type="character" w:styleId="UnresolvedMention">
    <w:name w:val="Unresolved Mention"/>
    <w:basedOn w:val="DefaultParagraphFont"/>
    <w:uiPriority w:val="99"/>
    <w:semiHidden/>
    <w:unhideWhenUsed/>
    <w:rsid w:val="00ED5C9D"/>
    <w:rPr>
      <w:color w:val="605E5C"/>
      <w:shd w:val="clear" w:color="auto" w:fill="E1DFDD"/>
    </w:rPr>
  </w:style>
  <w:style w:type="paragraph" w:customStyle="1" w:styleId="111Tablefootnoteslast-nostick8pt">
    <w:name w:val="11.1 Table footnotes last - no stick [8pt]"/>
    <w:next w:val="BodyText"/>
    <w:qFormat/>
    <w:rsid w:val="007A7D69"/>
    <w:pPr>
      <w:spacing w:after="360" w:line="259" w:lineRule="auto"/>
    </w:pPr>
    <w:rPr>
      <w:rFonts w:ascii="Calibri" w:hAnsi="Calibri"/>
      <w:sz w:val="16"/>
      <w:szCs w:val="22"/>
      <w:lang w:val="en-US" w:eastAsia="ja-JP"/>
    </w:rPr>
  </w:style>
  <w:style w:type="paragraph" w:customStyle="1" w:styleId="051Tabletext229pt">
    <w:name w:val="05.1 Table text 2:2 [9pt]"/>
    <w:basedOn w:val="Normal"/>
    <w:link w:val="051Tabletext229ptChar"/>
    <w:uiPriority w:val="1"/>
    <w:qFormat/>
    <w:rsid w:val="0093484F"/>
    <w:pPr>
      <w:spacing w:before="40" w:after="40" w:line="279" w:lineRule="auto"/>
    </w:pPr>
    <w:rPr>
      <w:rFonts w:ascii="Calibri" w:hAnsi="Calibri"/>
      <w:color w:val="auto"/>
      <w:sz w:val="18"/>
      <w:szCs w:val="18"/>
      <w:lang w:val="en-GB" w:eastAsia="ja-JP"/>
    </w:rPr>
  </w:style>
  <w:style w:type="character" w:customStyle="1" w:styleId="051Tabletext229ptChar">
    <w:name w:val="05.1 Table text 2:2 [9pt] Char"/>
    <w:basedOn w:val="DefaultParagraphFont"/>
    <w:link w:val="051Tabletext229pt"/>
    <w:uiPriority w:val="1"/>
    <w:rsid w:val="0093484F"/>
    <w:rPr>
      <w:rFonts w:ascii="Calibri" w:hAnsi="Calibri"/>
      <w:sz w:val="18"/>
      <w:szCs w:val="18"/>
      <w:lang w:val="en-GB" w:eastAsia="ja-JP"/>
    </w:rPr>
  </w:style>
  <w:style w:type="paragraph" w:customStyle="1" w:styleId="Default">
    <w:name w:val="Default"/>
    <w:rsid w:val="00512B50"/>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semiHidden/>
    <w:unhideWhenUsed/>
    <w:rsid w:val="00900B0D"/>
    <w:pPr>
      <w:spacing w:before="0" w:after="0" w:line="240" w:lineRule="auto"/>
    </w:pPr>
    <w:rPr>
      <w:sz w:val="20"/>
      <w:szCs w:val="20"/>
    </w:rPr>
  </w:style>
  <w:style w:type="character" w:customStyle="1" w:styleId="EndnoteTextChar">
    <w:name w:val="Endnote Text Char"/>
    <w:basedOn w:val="DefaultParagraphFont"/>
    <w:link w:val="EndnoteText"/>
    <w:semiHidden/>
    <w:rsid w:val="00900B0D"/>
    <w:rPr>
      <w:rFonts w:ascii="Arial" w:hAnsi="Arial"/>
      <w:color w:val="000000" w:themeColor="text1"/>
      <w:lang w:eastAsia="en-US"/>
    </w:rPr>
  </w:style>
  <w:style w:type="character" w:styleId="EndnoteReference">
    <w:name w:val="endnote reference"/>
    <w:basedOn w:val="DefaultParagraphFont"/>
    <w:semiHidden/>
    <w:unhideWhenUsed/>
    <w:rsid w:val="00900B0D"/>
    <w:rPr>
      <w:vertAlign w:val="superscript"/>
    </w:rPr>
  </w:style>
  <w:style w:type="character" w:styleId="FootnoteReference">
    <w:name w:val="footnote reference"/>
    <w:basedOn w:val="DefaultParagraphFont"/>
    <w:semiHidden/>
    <w:unhideWhenUsed/>
    <w:rsid w:val="00900B0D"/>
    <w:rPr>
      <w:vertAlign w:val="superscript"/>
    </w:rPr>
  </w:style>
  <w:style w:type="character" w:customStyle="1" w:styleId="title-text">
    <w:name w:val="title-text"/>
    <w:basedOn w:val="DefaultParagraphFont"/>
    <w:rsid w:val="00082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59968888">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0874162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712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resources/publications/spinal-cord-stimulators?language=en"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ga.gov.au/how-we-regulate/supply-therapeutic-good/supply-medical-device/medical-device-post-market-reviews/post-market-review-spinal-cord-stimulation-scs-devices" TargetMode="External"/><Relationship Id="rId2" Type="http://schemas.openxmlformats.org/officeDocument/2006/relationships/customXml" Target="../customXml/item2.xml"/><Relationship Id="rId16" Type="http://schemas.openxmlformats.org/officeDocument/2006/relationships/hyperlink" Target="https://www.health.gov.au/resources/publications/prescribed-list-post-listing-review-framework?language=e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16/j.neurom.2025.03.0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8f68dd-21f3-4c56-9965-1d76ba918335">
      <Value>5</Value>
    </TaxCatchAll>
    <lcf76f155ced4ddcb4097134ff3c332f xmlns="b216a581-5805-4dcc-9065-78091fa30ad6">
      <Terms xmlns="http://schemas.microsoft.com/office/infopath/2007/PartnerControls"/>
    </lcf76f155ced4ddcb4097134ff3c332f>
    <SharedWithUsers xmlns="988f68dd-21f3-4c56-9965-1d76ba918335">
      <UserInfo>
        <DisplayName>DESA, Katarina</DisplayName>
        <AccountId>499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C328AABD4C8E49883AF7DD40DD7927" ma:contentTypeVersion="17" ma:contentTypeDescription="Create a new document." ma:contentTypeScope="" ma:versionID="044d663fc0bfd3224bd2dec4317ae25c">
  <xsd:schema xmlns:xsd="http://www.w3.org/2001/XMLSchema" xmlns:xs="http://www.w3.org/2001/XMLSchema" xmlns:p="http://schemas.microsoft.com/office/2006/metadata/properties" xmlns:ns2="b216a581-5805-4dcc-9065-78091fa30ad6" xmlns:ns3="988f68dd-21f3-4c56-9965-1d76ba918335" targetNamespace="http://schemas.microsoft.com/office/2006/metadata/properties" ma:root="true" ma:fieldsID="82454d0e62fd7d98a9cf93a3cb075ead" ns2:_="" ns3:_="">
    <xsd:import namespace="b216a581-5805-4dcc-9065-78091fa30ad6"/>
    <xsd:import namespace="988f68dd-21f3-4c56-9965-1d76ba918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6a581-5805-4dcc-9065-78091fa30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8f68dd-21f3-4c56-9965-1d76ba9183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22f938-6b89-4582-9feb-19426702a369}" ma:internalName="TaxCatchAll" ma:showField="CatchAllData" ma:web="988f68dd-21f3-4c56-9965-1d76ba918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988f68dd-21f3-4c56-9965-1d76ba918335"/>
    <ds:schemaRef ds:uri="b216a581-5805-4dcc-9065-78091fa30ad6"/>
  </ds:schemaRefs>
</ds:datastoreItem>
</file>

<file path=customXml/itemProps3.xml><?xml version="1.0" encoding="utf-8"?>
<ds:datastoreItem xmlns:ds="http://schemas.openxmlformats.org/officeDocument/2006/customXml" ds:itemID="{AF7F955E-C0F3-423D-B686-C9C770048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6a581-5805-4dcc-9065-78091fa30ad6"/>
    <ds:schemaRef ds:uri="988f68dd-21f3-4c56-9965-1d76ba91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2615</Words>
  <Characters>14908</Characters>
  <Application>Microsoft Office Word</Application>
  <DocSecurity>0</DocSecurity>
  <Lines>480</Lines>
  <Paragraphs>273</Paragraphs>
  <ScaleCrop>false</ScaleCrop>
  <HeadingPairs>
    <vt:vector size="2" baseType="variant">
      <vt:variant>
        <vt:lpstr>Title</vt:lpstr>
      </vt:variant>
      <vt:variant>
        <vt:i4>1</vt:i4>
      </vt:variant>
    </vt:vector>
  </HeadingPairs>
  <TitlesOfParts>
    <vt:vector size="1" baseType="lpstr">
      <vt:lpstr>Spinal cord stimulator post-listing review (Draft Report)</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Spinal cord stimulator post-listing review (Draft Report)</dc:title>
  <dc:subject>Medical decives</dc:subject>
  <dc:creator>Australian Government Department of Health, Disability and Ageing</dc:creator>
  <cp:keywords>Prescribed List; Medical decives; </cp:keywords>
  <dc:description/>
  <cp:lastModifiedBy>MASCHKE, Elvia</cp:lastModifiedBy>
  <cp:revision>22</cp:revision>
  <cp:lastPrinted>2026-02-13T00:36:00Z</cp:lastPrinted>
  <dcterms:created xsi:type="dcterms:W3CDTF">2026-01-27T03:22:00Z</dcterms:created>
  <dcterms:modified xsi:type="dcterms:W3CDTF">2026-02-15T22:19:00Z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0x010100F3C328AABD4C8E49883AF7DD40DD7927</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499;#DESA, Katarina</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5dd13008,12855b90,3ebbbb68,7291143a</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6f0342d9,629c6635,b2b4eb3,476c9e1</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2025-11-10T05:49:36Z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520e1b48-d183-4f98-bddb-4a2a04d83837</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y fmtid="{D5CDD505-2E9C-101B-9397-08002B2CF9AE}" pid="39" name="mfb9edab7134471d8c78133ba7b278810">
    <vt:lpwstr>PCPD CC Corporate Communication SN|73cff0d0-7b20-43e0-ad96-75a3b55de641</vt:lpwstr>
  </property>
</Properties>
</file>