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21186" w14:textId="77777777" w:rsidR="00D0587D" w:rsidRDefault="00D0587D" w:rsidP="007019A0">
      <w:pPr>
        <w:pStyle w:val="Heading1"/>
      </w:pPr>
      <w:r w:rsidRPr="0E879082">
        <w:t>Third term achievements (December 2025)</w:t>
      </w:r>
    </w:p>
    <w:p w14:paraId="068D1494" w14:textId="275BC098" w:rsidR="00D0587D" w:rsidRPr="007019A0" w:rsidRDefault="00D0587D" w:rsidP="007019A0">
      <w:r w:rsidRPr="007019A0">
        <w:t>In response to the Royal Commission recommendations, the National Aged Care Advisory Council (NACAC) was announced on 24 November 2021</w:t>
      </w:r>
      <w:r w:rsidR="29947D16" w:rsidRPr="007019A0">
        <w:t>,</w:t>
      </w:r>
      <w:r w:rsidRPr="007019A0">
        <w:t xml:space="preserve"> and over the last three years has met </w:t>
      </w:r>
      <w:r w:rsidR="006C4860" w:rsidRPr="007019A0">
        <w:t>forty</w:t>
      </w:r>
      <w:r w:rsidRPr="007019A0">
        <w:t xml:space="preserve"> times. </w:t>
      </w:r>
    </w:p>
    <w:p w14:paraId="32ACC1CC" w14:textId="6698A285" w:rsidR="00D0587D" w:rsidRPr="007019A0" w:rsidRDefault="00D0587D" w:rsidP="007019A0">
      <w:r w:rsidRPr="007019A0">
        <w:t>NACAC played a key advisory role</w:t>
      </w:r>
      <w:r w:rsidR="459AD7FA" w:rsidRPr="007019A0">
        <w:t xml:space="preserve"> in 2025</w:t>
      </w:r>
      <w:r w:rsidRPr="007019A0">
        <w:t>, specifically NACAC reviewed progress on implementing the new Aged Care Act 2024, and discussed sector readiness, workforce development, fee structures, and integration with disability services. The Council emphasi</w:t>
      </w:r>
      <w:r w:rsidR="00CE29CE" w:rsidRPr="007019A0">
        <w:t>s</w:t>
      </w:r>
      <w:r w:rsidRPr="007019A0">
        <w:t>ed consumer protections, equity, and quality in reforms, while supporting initiatives to strengthen workforce professionalisation, improve communication, and embed rights-based approaches such as Supported Decision Making. Members also explored opportunities for inter-sectoral collaboration and cultural safety for First Nations people.</w:t>
      </w:r>
    </w:p>
    <w:p w14:paraId="206AA864" w14:textId="773FAB9D" w:rsidR="00D0587D" w:rsidRPr="007019A0" w:rsidRDefault="00D0587D" w:rsidP="007019A0">
      <w:r w:rsidRPr="007019A0">
        <w:t>Minister Rae attended the June and November meetings of Council to discuss his priorities as the new Minister for Aged Care and Seniors. NACAC will continue to meet with Minister Rae in 2026.</w:t>
      </w:r>
    </w:p>
    <w:p w14:paraId="001B574E" w14:textId="65E815B4" w:rsidR="00CE29CE" w:rsidRPr="007019A0" w:rsidRDefault="000E5CC0" w:rsidP="007019A0">
      <w:r w:rsidRPr="007019A0">
        <w:t>In summary, NACAC achieved the following:</w:t>
      </w:r>
    </w:p>
    <w:p w14:paraId="3F27A1E1" w14:textId="77777777" w:rsidR="00D0587D" w:rsidRPr="00D0587D" w:rsidRDefault="00D0587D" w:rsidP="007019A0">
      <w:pPr>
        <w:pStyle w:val="ListNumber"/>
      </w:pPr>
      <w:r w:rsidRPr="00D0587D">
        <w:t>Legislative Reform &amp; Implementation</w:t>
      </w:r>
    </w:p>
    <w:p w14:paraId="6E7A18EA" w14:textId="7ABCAD7F" w:rsidR="00D0587D" w:rsidRPr="00D0587D" w:rsidRDefault="00955022" w:rsidP="007019A0">
      <w:pPr>
        <w:pStyle w:val="ListBullet"/>
      </w:pPr>
      <w:r>
        <w:t>Noted</w:t>
      </w:r>
      <w:r w:rsidR="006C4E3C">
        <w:t xml:space="preserve"> the need for</w:t>
      </w:r>
      <w:r w:rsidR="006C4E3C" w:rsidRPr="00D0587D">
        <w:t xml:space="preserve"> </w:t>
      </w:r>
      <w:r w:rsidR="00D0587D" w:rsidRPr="00D0587D">
        <w:t>deferral of the Aged Care Act to November 2025 for better sector readiness and system testing.</w:t>
      </w:r>
    </w:p>
    <w:p w14:paraId="66CE57FD" w14:textId="74C82B46" w:rsidR="00D0587D" w:rsidRPr="007019A0" w:rsidRDefault="00D0587D" w:rsidP="007019A0">
      <w:pPr>
        <w:pStyle w:val="ListBullet"/>
      </w:pPr>
      <w:r w:rsidRPr="00D0587D">
        <w:t xml:space="preserve">Welcomed establishment of the </w:t>
      </w:r>
      <w:r w:rsidRPr="00D0587D">
        <w:rPr>
          <w:b/>
          <w:bCs/>
        </w:rPr>
        <w:t>Aged Care Transition Taskforce</w:t>
      </w:r>
      <w:r w:rsidRPr="00D0587D">
        <w:t xml:space="preserve"> for oversight and communication.</w:t>
      </w:r>
    </w:p>
    <w:p w14:paraId="1512607A" w14:textId="77777777" w:rsidR="00D0587D" w:rsidRPr="00D0587D" w:rsidRDefault="00D0587D" w:rsidP="007019A0">
      <w:pPr>
        <w:pStyle w:val="ListNumber"/>
      </w:pPr>
      <w:r w:rsidRPr="00D0587D">
        <w:t>Consumer Protection &amp; Fee Framework</w:t>
      </w:r>
    </w:p>
    <w:p w14:paraId="4AC8351C" w14:textId="5B16C2EB" w:rsidR="00D0587D" w:rsidRPr="00D0587D" w:rsidRDefault="006C4E3C" w:rsidP="007019A0">
      <w:pPr>
        <w:pStyle w:val="ListBullet"/>
      </w:pPr>
      <w:r w:rsidRPr="05C467DE">
        <w:t>Reviewed and provided feedback o</w:t>
      </w:r>
      <w:r w:rsidR="054C0062" w:rsidRPr="05C467DE">
        <w:t xml:space="preserve">n </w:t>
      </w:r>
      <w:r w:rsidRPr="05C467DE">
        <w:t xml:space="preserve">the </w:t>
      </w:r>
      <w:r w:rsidRPr="05C467DE">
        <w:rPr>
          <w:b/>
          <w:bCs/>
        </w:rPr>
        <w:t>Higher Everyday Living Fee (HELF)</w:t>
      </w:r>
      <w:r w:rsidRPr="05C467DE">
        <w:t xml:space="preserve"> to ensure voluntary participation and informed consent. Highlighted the need for adequate evaluation of the HELF to measure its impact.</w:t>
      </w:r>
      <w:r w:rsidR="0041694D" w:rsidRPr="05C467DE">
        <w:t xml:space="preserve"> </w:t>
      </w:r>
      <w:r w:rsidR="00D0587D" w:rsidRPr="05C467DE">
        <w:t>Recommended clearer agreements and hardship provisions to protect vulnerable residents.</w:t>
      </w:r>
    </w:p>
    <w:p w14:paraId="7DAA4A03" w14:textId="77777777" w:rsidR="00D0587D" w:rsidRPr="007019A0" w:rsidRDefault="00D0587D" w:rsidP="007019A0">
      <w:pPr>
        <w:pStyle w:val="ListNumber"/>
      </w:pPr>
      <w:r w:rsidRPr="007019A0">
        <w:t>Workforce Development</w:t>
      </w:r>
    </w:p>
    <w:p w14:paraId="08E642F0" w14:textId="2088D3F7" w:rsidR="00D0587D" w:rsidRPr="00D0587D" w:rsidRDefault="006C4E3C" w:rsidP="007019A0">
      <w:pPr>
        <w:pStyle w:val="ListBullet"/>
      </w:pPr>
      <w:r>
        <w:t>Provided advice in support of</w:t>
      </w:r>
      <w:r w:rsidR="00D0587D" w:rsidRPr="00D0587D">
        <w:t xml:space="preserve"> a </w:t>
      </w:r>
      <w:r w:rsidR="00D0587D" w:rsidRPr="00D0587D">
        <w:rPr>
          <w:b/>
          <w:bCs/>
        </w:rPr>
        <w:t>national registration scheme</w:t>
      </w:r>
      <w:r w:rsidR="00D0587D" w:rsidRPr="00D0587D">
        <w:t xml:space="preserve"> for personal care workers to professionalise the workforce and enable portability.</w:t>
      </w:r>
    </w:p>
    <w:p w14:paraId="04A2AFC2" w14:textId="77777777" w:rsidR="00D0587D" w:rsidRPr="00D0587D" w:rsidRDefault="00D0587D" w:rsidP="007019A0">
      <w:pPr>
        <w:pStyle w:val="ListBullet"/>
      </w:pPr>
      <w:r w:rsidRPr="00D0587D">
        <w:t xml:space="preserve">Noted a </w:t>
      </w:r>
      <w:r w:rsidRPr="00D0587D">
        <w:rPr>
          <w:b/>
          <w:bCs/>
        </w:rPr>
        <w:t>25% increase in aged care staff</w:t>
      </w:r>
      <w:r w:rsidRPr="00D0587D">
        <w:t xml:space="preserve"> between 2020–2023 and improved worker satisfaction.</w:t>
      </w:r>
    </w:p>
    <w:p w14:paraId="107D75FA" w14:textId="0BFD7D5C" w:rsidR="00CE29CE" w:rsidRPr="007019A0" w:rsidRDefault="00D0587D" w:rsidP="007019A0">
      <w:pPr>
        <w:pStyle w:val="ListBullet"/>
      </w:pPr>
      <w:r w:rsidRPr="00D0587D">
        <w:lastRenderedPageBreak/>
        <w:t>Undertook a deep dive into the national registration scheme to support personal care workers employed in aged care.</w:t>
      </w:r>
    </w:p>
    <w:p w14:paraId="703D4C49" w14:textId="77777777" w:rsidR="00D0587D" w:rsidRPr="007019A0" w:rsidRDefault="00D0587D" w:rsidP="007019A0">
      <w:pPr>
        <w:pStyle w:val="ListNumber"/>
      </w:pPr>
      <w:r w:rsidRPr="007019A0">
        <w:t>System Integration &amp; Collaboration</w:t>
      </w:r>
    </w:p>
    <w:p w14:paraId="7AA4902A" w14:textId="5493A93F" w:rsidR="00D0587D" w:rsidRPr="00D0587D" w:rsidRDefault="00D0587D" w:rsidP="007019A0">
      <w:pPr>
        <w:pStyle w:val="ListBullet"/>
      </w:pPr>
      <w:r w:rsidRPr="38C082E3">
        <w:t xml:space="preserve">Identified </w:t>
      </w:r>
      <w:r w:rsidR="1509133C" w:rsidRPr="38C082E3">
        <w:t xml:space="preserve">potential </w:t>
      </w:r>
      <w:r w:rsidRPr="38C082E3">
        <w:t>synergies between aged care and disability sectors, including common workforce registration and supported decision-making approaches.</w:t>
      </w:r>
    </w:p>
    <w:p w14:paraId="163BA102" w14:textId="77777777" w:rsidR="00D0587D" w:rsidRPr="007019A0" w:rsidRDefault="00D0587D" w:rsidP="007019A0">
      <w:pPr>
        <w:pStyle w:val="ListNumber"/>
      </w:pPr>
      <w:r w:rsidRPr="00D0587D">
        <w:t>Single Assessment System (SAS)</w:t>
      </w:r>
    </w:p>
    <w:p w14:paraId="089C860C" w14:textId="77777777" w:rsidR="00D0587D" w:rsidRPr="00D0587D" w:rsidRDefault="00D0587D" w:rsidP="007019A0">
      <w:pPr>
        <w:pStyle w:val="ListBullet"/>
      </w:pPr>
      <w:r w:rsidRPr="00D0587D">
        <w:t>Highlighted issues with wait times, triage, and telephone assessments, recommending quality safeguards.</w:t>
      </w:r>
    </w:p>
    <w:p w14:paraId="63630DCC" w14:textId="77777777" w:rsidR="00D0587D" w:rsidRPr="007019A0" w:rsidRDefault="00D0587D" w:rsidP="007019A0">
      <w:pPr>
        <w:pStyle w:val="ListNumber"/>
      </w:pPr>
      <w:r w:rsidRPr="00D0587D">
        <w:t>First Nations Aged Care</w:t>
      </w:r>
    </w:p>
    <w:p w14:paraId="6A15459D" w14:textId="77777777" w:rsidR="00D0587D" w:rsidRPr="00D0587D" w:rsidRDefault="00D0587D" w:rsidP="007019A0">
      <w:pPr>
        <w:pStyle w:val="ListBullet"/>
      </w:pPr>
      <w:r w:rsidRPr="00D0587D">
        <w:t xml:space="preserve">Welcomed the </w:t>
      </w:r>
      <w:r w:rsidRPr="00D0587D">
        <w:rPr>
          <w:b/>
          <w:bCs/>
        </w:rPr>
        <w:t>Transforming Aged Care for Aboriginal and Torres Strait Islander People</w:t>
      </w:r>
      <w:r w:rsidRPr="00D0587D">
        <w:t xml:space="preserve"> report and supported embedding culturally safe </w:t>
      </w:r>
      <w:r w:rsidRPr="007019A0">
        <w:t>practices i</w:t>
      </w:r>
      <w:r w:rsidRPr="00D0587D">
        <w:t>nto mainstream reforms.</w:t>
      </w:r>
    </w:p>
    <w:p w14:paraId="4D1C9790" w14:textId="77777777" w:rsidR="00D0587D" w:rsidRPr="007019A0" w:rsidRDefault="00D0587D" w:rsidP="007019A0">
      <w:pPr>
        <w:pStyle w:val="ListNumber"/>
      </w:pPr>
      <w:r w:rsidRPr="007019A0">
        <w:t>Quality &amp; Transparency</w:t>
      </w:r>
    </w:p>
    <w:p w14:paraId="5CEF4EFF" w14:textId="77777777" w:rsidR="00D0587D" w:rsidRPr="00D0587D" w:rsidRDefault="00D0587D" w:rsidP="007019A0">
      <w:pPr>
        <w:pStyle w:val="ListBullet"/>
      </w:pPr>
      <w:r w:rsidRPr="00D0587D">
        <w:t>Disc</w:t>
      </w:r>
      <w:r w:rsidRPr="007019A0">
        <w:t>ussed improvements to Star Ratings and nutrition standards in home and comm</w:t>
      </w:r>
      <w:r w:rsidRPr="00D0587D">
        <w:t>unity care.</w:t>
      </w:r>
    </w:p>
    <w:p w14:paraId="67440AF7" w14:textId="21D33912" w:rsidR="00D0587D" w:rsidRPr="00D0587D" w:rsidRDefault="006C4E3C" w:rsidP="007019A0">
      <w:pPr>
        <w:pStyle w:val="ListNumber"/>
      </w:pPr>
      <w:r w:rsidRPr="006C4E3C">
        <w:t xml:space="preserve">Discussed voluntary adoption of the </w:t>
      </w:r>
      <w:r w:rsidRPr="0041694D">
        <w:t>National Aged Care Design Principles</w:t>
      </w:r>
      <w:r w:rsidRPr="006C4E3C">
        <w:t>, including culturally safe design for First Nations people versus their adoption as a minimum standard.</w:t>
      </w:r>
      <w:r>
        <w:t xml:space="preserve"> </w:t>
      </w:r>
      <w:r w:rsidR="00D0587D" w:rsidRPr="00D0587D">
        <w:t>Support at Home Program</w:t>
      </w:r>
    </w:p>
    <w:p w14:paraId="62CB16D1" w14:textId="1A9AB53B" w:rsidR="00133A36" w:rsidRPr="007019A0" w:rsidRDefault="006C4E3C" w:rsidP="007019A0">
      <w:pPr>
        <w:pStyle w:val="ListBullet"/>
      </w:pPr>
      <w:r>
        <w:t>Not</w:t>
      </w:r>
      <w:r w:rsidRPr="007019A0">
        <w:t xml:space="preserve">ed and responded to </w:t>
      </w:r>
      <w:r w:rsidR="00D0587D" w:rsidRPr="007019A0">
        <w:t>sector confusion and called for clearer communication o</w:t>
      </w:r>
      <w:r w:rsidR="00D0587D" w:rsidRPr="00D0587D">
        <w:t>n service agreements, fees, and choice.</w:t>
      </w:r>
    </w:p>
    <w:p w14:paraId="044076BE" w14:textId="5A48CF65" w:rsidR="00133A36" w:rsidRPr="007019A0" w:rsidRDefault="00133A36" w:rsidP="007019A0">
      <w:pPr>
        <w:pStyle w:val="Heading2"/>
      </w:pPr>
      <w:r w:rsidRPr="00133A36">
        <w:t>Liaison with the Aged Care Transition Taskforce (</w:t>
      </w:r>
      <w:r w:rsidR="000B1BC2">
        <w:t xml:space="preserve">Transition </w:t>
      </w:r>
      <w:r w:rsidRPr="00133A36">
        <w:t>T</w:t>
      </w:r>
      <w:r>
        <w:t>askforce)</w:t>
      </w:r>
    </w:p>
    <w:p w14:paraId="590E525F" w14:textId="364933E1" w:rsidR="11DEDE48" w:rsidRDefault="00C85325" w:rsidP="007019A0">
      <w:pPr>
        <w:shd w:val="clear" w:color="auto" w:fill="FFFFFF" w:themeFill="background1"/>
        <w:spacing w:after="0"/>
        <w:rPr>
          <w:rFonts w:eastAsia="Segoe UI" w:cstheme="minorBidi"/>
          <w:color w:val="313131"/>
        </w:rPr>
      </w:pPr>
      <w:r w:rsidRPr="11DEDE48">
        <w:rPr>
          <w:rFonts w:eastAsia="Segoe UI" w:cstheme="minorBidi"/>
          <w:color w:val="313131"/>
        </w:rPr>
        <w:t>In November 2024, t</w:t>
      </w:r>
      <w:r w:rsidR="00133A36" w:rsidRPr="11DEDE48">
        <w:rPr>
          <w:rFonts w:eastAsia="Segoe UI" w:cstheme="minorBidi"/>
          <w:color w:val="313131"/>
        </w:rPr>
        <w:t>he</w:t>
      </w:r>
      <w:r w:rsidR="000B1BC2" w:rsidRPr="11DEDE48">
        <w:rPr>
          <w:rFonts w:eastAsia="Segoe UI" w:cstheme="minorBidi"/>
          <w:color w:val="313131"/>
        </w:rPr>
        <w:t xml:space="preserve"> Transition</w:t>
      </w:r>
      <w:r w:rsidR="00133A36" w:rsidRPr="11DEDE48">
        <w:rPr>
          <w:rFonts w:eastAsia="Segoe UI" w:cstheme="minorBidi"/>
          <w:color w:val="313131"/>
        </w:rPr>
        <w:t xml:space="preserve"> Taskforce was announced by the Australian</w:t>
      </w:r>
      <w:r w:rsidRPr="11DEDE48">
        <w:rPr>
          <w:rFonts w:eastAsia="Segoe UI" w:cstheme="minorBidi"/>
          <w:color w:val="313131"/>
        </w:rPr>
        <w:t> </w:t>
      </w:r>
      <w:r w:rsidR="00133A36" w:rsidRPr="11DEDE48">
        <w:rPr>
          <w:rFonts w:eastAsia="Segoe UI" w:cstheme="minorBidi"/>
          <w:color w:val="313131"/>
        </w:rPr>
        <w:t xml:space="preserve">Government to </w:t>
      </w:r>
      <w:r w:rsidRPr="11DEDE48">
        <w:rPr>
          <w:rFonts w:eastAsia="Segoe UI" w:cstheme="minorBidi"/>
          <w:color w:val="313131"/>
        </w:rPr>
        <w:t xml:space="preserve">work with </w:t>
      </w:r>
      <w:r w:rsidR="00133A36" w:rsidRPr="11DEDE48">
        <w:rPr>
          <w:rFonts w:eastAsia="Segoe UI" w:cstheme="minorBidi"/>
          <w:color w:val="313131"/>
        </w:rPr>
        <w:t xml:space="preserve">the aged care sector </w:t>
      </w:r>
      <w:r w:rsidRPr="11DEDE48">
        <w:rPr>
          <w:rFonts w:eastAsia="Segoe UI" w:cstheme="minorBidi"/>
          <w:color w:val="313131"/>
        </w:rPr>
        <w:t xml:space="preserve">through the transition to the </w:t>
      </w:r>
      <w:r w:rsidRPr="11DEDE48">
        <w:rPr>
          <w:rFonts w:eastAsia="Segoe UI" w:cstheme="minorBidi"/>
          <w:i/>
          <w:iCs/>
          <w:color w:val="313131"/>
        </w:rPr>
        <w:t>Aged Care Act 2024</w:t>
      </w:r>
      <w:r w:rsidR="00133A36" w:rsidRPr="11DEDE48">
        <w:rPr>
          <w:rFonts w:eastAsia="Segoe UI" w:cstheme="minorBidi"/>
          <w:color w:val="313131"/>
        </w:rPr>
        <w:t>, which took effect 1</w:t>
      </w:r>
      <w:r w:rsidR="0014044E" w:rsidRPr="11DEDE48">
        <w:rPr>
          <w:rFonts w:eastAsia="Segoe UI" w:cstheme="minorBidi"/>
          <w:color w:val="313131"/>
        </w:rPr>
        <w:t> </w:t>
      </w:r>
      <w:r w:rsidR="00133A36" w:rsidRPr="11DEDE48">
        <w:rPr>
          <w:rFonts w:eastAsia="Segoe UI" w:cstheme="minorBidi"/>
          <w:color w:val="313131"/>
        </w:rPr>
        <w:t xml:space="preserve">November 2025. </w:t>
      </w:r>
      <w:r w:rsidR="009B102E" w:rsidRPr="11DEDE48">
        <w:rPr>
          <w:rFonts w:eastAsia="Segoe UI" w:cstheme="minorBidi"/>
          <w:color w:val="313131"/>
        </w:rPr>
        <w:t xml:space="preserve">The Transition Taskforce </w:t>
      </w:r>
      <w:r w:rsidR="00AD173A" w:rsidRPr="11DEDE48">
        <w:rPr>
          <w:rFonts w:eastAsia="Segoe UI" w:cstheme="minorBidi"/>
          <w:color w:val="313131"/>
        </w:rPr>
        <w:t xml:space="preserve">has </w:t>
      </w:r>
      <w:r w:rsidR="009B102E" w:rsidRPr="11DEDE48">
        <w:rPr>
          <w:rFonts w:eastAsia="Segoe UI" w:cstheme="minorBidi"/>
          <w:color w:val="313131"/>
        </w:rPr>
        <w:t>support</w:t>
      </w:r>
      <w:r w:rsidR="00AD173A" w:rsidRPr="11DEDE48">
        <w:rPr>
          <w:rFonts w:eastAsia="Segoe UI" w:cstheme="minorBidi"/>
          <w:color w:val="313131"/>
        </w:rPr>
        <w:t>ed</w:t>
      </w:r>
      <w:r w:rsidR="009B102E" w:rsidRPr="11DEDE48">
        <w:rPr>
          <w:rFonts w:eastAsia="Segoe UI" w:cstheme="minorBidi"/>
          <w:color w:val="313131"/>
        </w:rPr>
        <w:t xml:space="preserve"> implementation by providing advice and working to identify and troubleshoot issues</w:t>
      </w:r>
      <w:r w:rsidR="00402C50" w:rsidRPr="11DEDE48">
        <w:rPr>
          <w:rFonts w:eastAsia="Segoe UI" w:cstheme="minorBidi"/>
          <w:color w:val="313131"/>
        </w:rPr>
        <w:t xml:space="preserve">. </w:t>
      </w:r>
      <w:r w:rsidR="005B2099" w:rsidRPr="11DEDE48">
        <w:rPr>
          <w:rFonts w:eastAsia="Segoe UI" w:cstheme="minorBidi"/>
          <w:color w:val="313131"/>
        </w:rPr>
        <w:t>Members have focused on</w:t>
      </w:r>
      <w:r w:rsidR="00F805FF" w:rsidRPr="11DEDE48">
        <w:rPr>
          <w:rFonts w:eastAsia="Segoe UI" w:cstheme="minorBidi"/>
          <w:color w:val="313131"/>
        </w:rPr>
        <w:t xml:space="preserve"> five priority areas, including data and digital.</w:t>
      </w:r>
      <w:r w:rsidR="009B102E" w:rsidRPr="11DEDE48">
        <w:rPr>
          <w:rFonts w:eastAsia="Segoe UI" w:cstheme="minorBidi"/>
          <w:color w:val="313131"/>
        </w:rPr>
        <w:t xml:space="preserve"> </w:t>
      </w:r>
    </w:p>
    <w:p w14:paraId="05224ECE" w14:textId="17CE4451" w:rsidR="00133A36" w:rsidRDefault="009B102E" w:rsidP="007019A0">
      <w:pPr>
        <w:shd w:val="clear" w:color="auto" w:fill="FFFFFF" w:themeFill="background1"/>
        <w:spacing w:after="0"/>
        <w:rPr>
          <w:rFonts w:eastAsia="Segoe UI" w:cstheme="minorHAnsi"/>
          <w:color w:val="313131"/>
        </w:rPr>
      </w:pPr>
      <w:r w:rsidRPr="009B102E">
        <w:rPr>
          <w:rFonts w:eastAsia="Segoe UI" w:cstheme="minorHAnsi"/>
          <w:color w:val="313131"/>
        </w:rPr>
        <w:t>Membership is made up of experts with experience in relevant aspects of the aged care system, including regulation, service delivery, education and training, data and digital, older people, workforce, First Nations people, approved providers, clinical care and primary care.</w:t>
      </w:r>
    </w:p>
    <w:p w14:paraId="277A5706" w14:textId="1B9FFE7D" w:rsidR="00FF11E3" w:rsidRDefault="00133A36" w:rsidP="007019A0">
      <w:pPr>
        <w:shd w:val="clear" w:color="auto" w:fill="FFFFFF" w:themeFill="background1"/>
        <w:spacing w:after="0"/>
        <w:rPr>
          <w:rFonts w:eastAsia="Segoe UI" w:cstheme="minorHAnsi"/>
          <w:color w:val="313131"/>
        </w:rPr>
      </w:pPr>
      <w:r>
        <w:rPr>
          <w:rFonts w:eastAsia="Segoe UI" w:cstheme="minorHAnsi"/>
          <w:color w:val="313131"/>
        </w:rPr>
        <w:t xml:space="preserve">Eight members of NACAC currently serve on the </w:t>
      </w:r>
      <w:r w:rsidR="00851749">
        <w:rPr>
          <w:rFonts w:eastAsia="Segoe UI" w:cstheme="minorHAnsi"/>
          <w:color w:val="313131"/>
        </w:rPr>
        <w:t xml:space="preserve">Transition </w:t>
      </w:r>
      <w:r>
        <w:rPr>
          <w:rFonts w:eastAsia="Segoe UI" w:cstheme="minorHAnsi"/>
          <w:color w:val="313131"/>
        </w:rPr>
        <w:t>Taskforce</w:t>
      </w:r>
      <w:r w:rsidR="007855AA">
        <w:rPr>
          <w:rFonts w:eastAsia="Segoe UI" w:cstheme="minorHAnsi"/>
          <w:color w:val="313131"/>
        </w:rPr>
        <w:t xml:space="preserve">. This </w:t>
      </w:r>
      <w:r w:rsidR="00A3367E">
        <w:rPr>
          <w:rFonts w:eastAsia="Segoe UI" w:cstheme="minorHAnsi"/>
          <w:color w:val="313131"/>
        </w:rPr>
        <w:t>ensure</w:t>
      </w:r>
      <w:r w:rsidR="00580C12">
        <w:rPr>
          <w:rFonts w:eastAsia="Segoe UI" w:cstheme="minorHAnsi"/>
          <w:color w:val="313131"/>
        </w:rPr>
        <w:t xml:space="preserve">s </w:t>
      </w:r>
      <w:r w:rsidR="002C4AE9">
        <w:rPr>
          <w:rFonts w:eastAsia="Segoe UI" w:cstheme="minorHAnsi"/>
          <w:color w:val="313131"/>
        </w:rPr>
        <w:t xml:space="preserve">that </w:t>
      </w:r>
      <w:r w:rsidR="00580C12">
        <w:rPr>
          <w:rFonts w:eastAsia="Segoe UI" w:cstheme="minorHAnsi"/>
          <w:color w:val="313131"/>
        </w:rPr>
        <w:t>there is</w:t>
      </w:r>
      <w:r w:rsidR="00A3367E">
        <w:rPr>
          <w:rFonts w:eastAsia="Segoe UI" w:cstheme="minorHAnsi"/>
          <w:color w:val="313131"/>
        </w:rPr>
        <w:t xml:space="preserve"> </w:t>
      </w:r>
      <w:r w:rsidR="00A3367E" w:rsidRPr="00A3367E">
        <w:rPr>
          <w:rFonts w:eastAsia="Segoe UI" w:cstheme="minorHAnsi"/>
          <w:color w:val="313131"/>
        </w:rPr>
        <w:t>a</w:t>
      </w:r>
      <w:r w:rsidR="00177435">
        <w:rPr>
          <w:rFonts w:eastAsia="Segoe UI" w:cstheme="minorHAnsi"/>
          <w:color w:val="313131"/>
        </w:rPr>
        <w:t>n ongoing</w:t>
      </w:r>
      <w:r w:rsidR="00A3367E" w:rsidRPr="00A3367E">
        <w:rPr>
          <w:rFonts w:eastAsia="Segoe UI" w:cstheme="minorHAnsi"/>
          <w:color w:val="313131"/>
        </w:rPr>
        <w:t xml:space="preserve"> conduit from the sector</w:t>
      </w:r>
      <w:r w:rsidR="00580C12">
        <w:rPr>
          <w:rFonts w:eastAsia="Segoe UI" w:cstheme="minorHAnsi"/>
          <w:color w:val="313131"/>
        </w:rPr>
        <w:t xml:space="preserve"> for implementation issues</w:t>
      </w:r>
      <w:r w:rsidR="00A3367E" w:rsidRPr="00A3367E">
        <w:rPr>
          <w:rFonts w:eastAsia="Segoe UI" w:cstheme="minorHAnsi"/>
          <w:color w:val="313131"/>
        </w:rPr>
        <w:t>, past the conclusion of the Transition Taskforce.</w:t>
      </w:r>
    </w:p>
    <w:p w14:paraId="4D379A67" w14:textId="3666DA1B" w:rsidR="00133A36" w:rsidRDefault="00133A36" w:rsidP="007019A0">
      <w:pPr>
        <w:pStyle w:val="Heading1"/>
      </w:pPr>
      <w:r w:rsidRPr="00133A36">
        <w:t xml:space="preserve">Liaison with the </w:t>
      </w:r>
      <w:r>
        <w:t>Aged Care Council of Elders (</w:t>
      </w:r>
      <w:proofErr w:type="spellStart"/>
      <w:r>
        <w:t>CoE</w:t>
      </w:r>
      <w:proofErr w:type="spellEnd"/>
      <w:r>
        <w:t>)</w:t>
      </w:r>
    </w:p>
    <w:p w14:paraId="36A2B866" w14:textId="4EC14862" w:rsidR="00133A36" w:rsidRDefault="001A6F6F" w:rsidP="00133A36">
      <w:pPr>
        <w:shd w:val="clear" w:color="auto" w:fill="FFFFFF" w:themeFill="background1"/>
        <w:spacing w:after="0"/>
        <w:rPr>
          <w:rFonts w:eastAsia="Segoe UI" w:cstheme="minorHAnsi"/>
          <w:color w:val="313131"/>
        </w:rPr>
      </w:pPr>
      <w:r>
        <w:rPr>
          <w:rFonts w:eastAsia="Segoe UI" w:cstheme="minorHAnsi"/>
          <w:color w:val="313131"/>
        </w:rPr>
        <w:t>The Council of Elders</w:t>
      </w:r>
      <w:r w:rsidR="00133A36" w:rsidRPr="00133A36">
        <w:rPr>
          <w:rFonts w:eastAsia="Segoe UI" w:cstheme="minorHAnsi"/>
          <w:color w:val="313131"/>
        </w:rPr>
        <w:t xml:space="preserve"> is a group of older people from diverse backgrounds with lived experience o</w:t>
      </w:r>
      <w:r>
        <w:rPr>
          <w:rFonts w:eastAsia="Segoe UI" w:cstheme="minorHAnsi"/>
          <w:color w:val="313131"/>
        </w:rPr>
        <w:t>f</w:t>
      </w:r>
      <w:r w:rsidR="00133A36" w:rsidRPr="00133A36">
        <w:rPr>
          <w:rFonts w:eastAsia="Segoe UI" w:cstheme="minorHAnsi"/>
          <w:color w:val="313131"/>
        </w:rPr>
        <w:t xml:space="preserve"> ageing and aged care. The Australian Government established </w:t>
      </w:r>
      <w:proofErr w:type="spellStart"/>
      <w:r w:rsidR="00133A36" w:rsidRPr="00133A36">
        <w:rPr>
          <w:rFonts w:eastAsia="Segoe UI" w:cstheme="minorHAnsi"/>
          <w:color w:val="313131"/>
        </w:rPr>
        <w:t>CoE</w:t>
      </w:r>
      <w:proofErr w:type="spellEnd"/>
      <w:r w:rsidR="00133A36" w:rsidRPr="00133A36">
        <w:rPr>
          <w:rFonts w:eastAsia="Segoe UI" w:cstheme="minorHAnsi"/>
          <w:color w:val="313131"/>
        </w:rPr>
        <w:t xml:space="preserve"> in 2021 as a direct voice to government for older people, by older people.</w:t>
      </w:r>
    </w:p>
    <w:p w14:paraId="75AB1A04" w14:textId="319665B7" w:rsidR="001A6F6F" w:rsidRDefault="00133A36" w:rsidP="00133A36">
      <w:pPr>
        <w:shd w:val="clear" w:color="auto" w:fill="FFFFFF" w:themeFill="background1"/>
        <w:spacing w:after="0"/>
        <w:rPr>
          <w:rFonts w:eastAsia="Segoe UI" w:cstheme="minorHAnsi"/>
          <w:color w:val="313131"/>
        </w:rPr>
      </w:pPr>
      <w:r>
        <w:rPr>
          <w:rFonts w:eastAsia="Segoe UI" w:cstheme="minorHAnsi"/>
          <w:color w:val="313131"/>
        </w:rPr>
        <w:t xml:space="preserve">NACAC works closely with </w:t>
      </w:r>
      <w:proofErr w:type="spellStart"/>
      <w:r>
        <w:rPr>
          <w:rFonts w:eastAsia="Segoe UI" w:cstheme="minorHAnsi"/>
          <w:color w:val="313131"/>
        </w:rPr>
        <w:t>CoE</w:t>
      </w:r>
      <w:proofErr w:type="spellEnd"/>
      <w:r>
        <w:rPr>
          <w:rFonts w:eastAsia="Segoe UI" w:cstheme="minorHAnsi"/>
          <w:color w:val="313131"/>
        </w:rPr>
        <w:t>, collaborating on aged care reform issues from differing perspectives</w:t>
      </w:r>
      <w:r w:rsidR="001A6F6F">
        <w:rPr>
          <w:rFonts w:eastAsia="Segoe UI" w:cstheme="minorHAnsi"/>
          <w:color w:val="313131"/>
        </w:rPr>
        <w:t xml:space="preserve"> with a combined vision to support ageing well through aged care quality and safety, access and navigation, upholding rights of the older person, needs and perspectives, and ensuring collaboration to successfully provide independent advice to Government</w:t>
      </w:r>
      <w:r>
        <w:rPr>
          <w:rFonts w:eastAsia="Segoe UI" w:cstheme="minorHAnsi"/>
          <w:color w:val="313131"/>
        </w:rPr>
        <w:t xml:space="preserve">. </w:t>
      </w:r>
    </w:p>
    <w:p w14:paraId="331A6D0A" w14:textId="07E3B0E2" w:rsidR="00D0587D" w:rsidRPr="007019A0" w:rsidRDefault="00432F47" w:rsidP="007019A0">
      <w:pPr>
        <w:shd w:val="clear" w:color="auto" w:fill="FFFFFF" w:themeFill="background1"/>
        <w:spacing w:after="0"/>
        <w:rPr>
          <w:rFonts w:eastAsia="Segoe UI" w:cstheme="minorBidi"/>
          <w:color w:val="313131"/>
        </w:rPr>
      </w:pPr>
      <w:r w:rsidRPr="11DEDE48">
        <w:rPr>
          <w:rFonts w:eastAsia="Segoe UI" w:cstheme="minorBidi"/>
          <w:color w:val="313131"/>
        </w:rPr>
        <w:t xml:space="preserve">In 2025, both Councils undertook deep dive discussions on varying topics. These </w:t>
      </w:r>
      <w:r w:rsidR="3360C142" w:rsidRPr="11DEDE48">
        <w:rPr>
          <w:rFonts w:eastAsia="Segoe UI" w:cstheme="minorBidi"/>
          <w:color w:val="313131"/>
        </w:rPr>
        <w:t xml:space="preserve">shared </w:t>
      </w:r>
      <w:r w:rsidRPr="11DEDE48">
        <w:rPr>
          <w:rFonts w:eastAsia="Segoe UI" w:cstheme="minorBidi"/>
          <w:color w:val="313131"/>
        </w:rPr>
        <w:t xml:space="preserve">outcomes result in a better understanding of government policies with an opportunity for improvement where possible. The sharing of </w:t>
      </w:r>
      <w:r w:rsidR="00133A36" w:rsidRPr="11DEDE48">
        <w:rPr>
          <w:rFonts w:eastAsia="Segoe UI" w:cstheme="minorBidi"/>
          <w:color w:val="313131"/>
        </w:rPr>
        <w:t xml:space="preserve">insights and information </w:t>
      </w:r>
      <w:r w:rsidRPr="11DEDE48">
        <w:rPr>
          <w:rFonts w:eastAsia="Segoe UI" w:cstheme="minorBidi"/>
          <w:color w:val="313131"/>
        </w:rPr>
        <w:t xml:space="preserve">across </w:t>
      </w:r>
      <w:r w:rsidR="004913D1">
        <w:rPr>
          <w:rFonts w:eastAsia="Segoe UI" w:cstheme="minorBidi"/>
          <w:color w:val="313131"/>
        </w:rPr>
        <w:t xml:space="preserve">both </w:t>
      </w:r>
      <w:r w:rsidRPr="11DEDE48">
        <w:rPr>
          <w:rFonts w:eastAsia="Segoe UI" w:cstheme="minorBidi"/>
          <w:color w:val="313131"/>
        </w:rPr>
        <w:t>Councils is integral to their success.</w:t>
      </w:r>
    </w:p>
    <w:p w14:paraId="7B35746C" w14:textId="0DDB2FEA" w:rsidR="00280050" w:rsidRPr="00D0587D" w:rsidRDefault="00D0587D" w:rsidP="00D0587D">
      <w:r>
        <w:rPr>
          <w:noProof/>
        </w:rPr>
        <w:drawing>
          <wp:inline distT="0" distB="0" distL="0" distR="0" wp14:anchorId="2CC9D1DE" wp14:editId="29378E98">
            <wp:extent cx="5731510" cy="3821007"/>
            <wp:effectExtent l="0" t="0" r="2540" b="8255"/>
            <wp:docPr id="514112983" name="drawing" descr="A group of about fifteen adults from the National Aged Care Advisory Council is seated together for a formal group photo.&#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2983" name="drawing" descr="A group of about fifteen adults from the National Aged Care Advisory Council is seated together for a formal group photo.&#10;&#10;&#10;"/>
                    <pic:cNvPicPr/>
                  </pic:nvPicPr>
                  <pic:blipFill>
                    <a:blip r:embed="rId10">
                      <a:extLst>
                        <a:ext uri="{28A0092B-C50C-407E-A947-70E740481C1C}">
                          <a14:useLocalDpi xmlns:a14="http://schemas.microsoft.com/office/drawing/2010/main"/>
                        </a:ext>
                      </a:extLst>
                    </a:blip>
                    <a:stretch>
                      <a:fillRect/>
                    </a:stretch>
                  </pic:blipFill>
                  <pic:spPr>
                    <a:xfrm>
                      <a:off x="0" y="0"/>
                      <a:ext cx="5731510" cy="3821007"/>
                    </a:xfrm>
                    <a:prstGeom prst="rect">
                      <a:avLst/>
                    </a:prstGeom>
                  </pic:spPr>
                </pic:pic>
              </a:graphicData>
            </a:graphic>
          </wp:inline>
        </w:drawing>
      </w:r>
    </w:p>
    <w:sectPr w:rsidR="00280050" w:rsidRPr="00D0587D">
      <w:headerReference w:type="even" r:id="rId11"/>
      <w:headerReference w:type="default" r:id="rId12"/>
      <w:footerReference w:type="even"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5EFCA" w14:textId="77777777" w:rsidR="003659BB" w:rsidRDefault="003659BB" w:rsidP="00D0587D">
      <w:pPr>
        <w:spacing w:after="0" w:line="240" w:lineRule="auto"/>
      </w:pPr>
      <w:r>
        <w:separator/>
      </w:r>
    </w:p>
  </w:endnote>
  <w:endnote w:type="continuationSeparator" w:id="0">
    <w:p w14:paraId="7E52C1C7" w14:textId="77777777" w:rsidR="003659BB" w:rsidRDefault="003659BB" w:rsidP="00D05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68CF" w14:textId="5CA236A2" w:rsidR="006E2188" w:rsidRDefault="006E2188">
    <w:pPr>
      <w:pStyle w:val="Footer"/>
    </w:pPr>
    <w:r>
      <w:rPr>
        <w:noProof/>
        <w14:ligatures w14:val="standardContextual"/>
      </w:rPr>
      <mc:AlternateContent>
        <mc:Choice Requires="wps">
          <w:drawing>
            <wp:anchor distT="0" distB="0" distL="0" distR="0" simplePos="0" relativeHeight="251662336" behindDoc="0" locked="0" layoutInCell="1" allowOverlap="1" wp14:anchorId="5616DF95" wp14:editId="55B92DCE">
              <wp:simplePos x="635" y="635"/>
              <wp:positionH relativeFrom="page">
                <wp:align>center</wp:align>
              </wp:positionH>
              <wp:positionV relativeFrom="page">
                <wp:align>bottom</wp:align>
              </wp:positionV>
              <wp:extent cx="622300" cy="391160"/>
              <wp:effectExtent l="0" t="0" r="6350" b="0"/>
              <wp:wrapNone/>
              <wp:docPr id="17444675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E4788DA" w14:textId="6959C612"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16DF95" id="_x0000_t202" coordsize="21600,21600" o:spt="202" path="m,l,21600r21600,l21600,xe">
              <v:stroke joinstyle="miter"/>
              <v:path gradientshapeok="t" o:connecttype="rect"/>
            </v:shapetype>
            <v:shape id="Text Box 5" o:spid="_x0000_s1027" type="#_x0000_t202" alt="OFFICIAL" style="position:absolute;margin-left:0;margin-top:0;width:49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0E4788DA" w14:textId="6959C612"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571B" w14:textId="1ACC903F" w:rsidR="006E2188" w:rsidRDefault="006E2188">
    <w:pPr>
      <w:pStyle w:val="Footer"/>
    </w:pPr>
    <w:r>
      <w:rPr>
        <w:noProof/>
        <w14:ligatures w14:val="standardContextual"/>
      </w:rPr>
      <mc:AlternateContent>
        <mc:Choice Requires="wps">
          <w:drawing>
            <wp:anchor distT="0" distB="0" distL="0" distR="0" simplePos="0" relativeHeight="251661312" behindDoc="0" locked="0" layoutInCell="1" allowOverlap="1" wp14:anchorId="34C6873F" wp14:editId="72665109">
              <wp:simplePos x="635" y="635"/>
              <wp:positionH relativeFrom="page">
                <wp:align>center</wp:align>
              </wp:positionH>
              <wp:positionV relativeFrom="page">
                <wp:align>bottom</wp:align>
              </wp:positionV>
              <wp:extent cx="622300" cy="391160"/>
              <wp:effectExtent l="0" t="0" r="6350" b="0"/>
              <wp:wrapNone/>
              <wp:docPr id="206997779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941CF56" w14:textId="6CBC1C83"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6873F" id="_x0000_t202" coordsize="21600,21600" o:spt="202" path="m,l,21600r21600,l21600,xe">
              <v:stroke joinstyle="miter"/>
              <v:path gradientshapeok="t" o:connecttype="rect"/>
            </v:shapetype>
            <v:shape id="Text Box 4" o:spid="_x0000_s1029"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7941CF56" w14:textId="6CBC1C83"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A249E" w14:textId="77777777" w:rsidR="003659BB" w:rsidRDefault="003659BB" w:rsidP="00D0587D">
      <w:pPr>
        <w:spacing w:after="0" w:line="240" w:lineRule="auto"/>
      </w:pPr>
      <w:r>
        <w:separator/>
      </w:r>
    </w:p>
  </w:footnote>
  <w:footnote w:type="continuationSeparator" w:id="0">
    <w:p w14:paraId="694F80E5" w14:textId="77777777" w:rsidR="003659BB" w:rsidRDefault="003659BB" w:rsidP="00D05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190D" w14:textId="4A52F19A" w:rsidR="006E2188" w:rsidRDefault="006E2188">
    <w:pPr>
      <w:pStyle w:val="Header"/>
    </w:pPr>
    <w:r>
      <w:rPr>
        <w:noProof/>
        <w14:ligatures w14:val="standardContextual"/>
      </w:rPr>
      <mc:AlternateContent>
        <mc:Choice Requires="wps">
          <w:drawing>
            <wp:anchor distT="0" distB="0" distL="0" distR="0" simplePos="0" relativeHeight="251659264" behindDoc="0" locked="0" layoutInCell="1" allowOverlap="1" wp14:anchorId="6B0B7563" wp14:editId="6251786F">
              <wp:simplePos x="635" y="635"/>
              <wp:positionH relativeFrom="page">
                <wp:align>center</wp:align>
              </wp:positionH>
              <wp:positionV relativeFrom="page">
                <wp:align>top</wp:align>
              </wp:positionV>
              <wp:extent cx="622300" cy="391160"/>
              <wp:effectExtent l="0" t="0" r="6350" b="8890"/>
              <wp:wrapNone/>
              <wp:docPr id="18105777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0A791B6" w14:textId="178DDAAC"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0B7563"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0A791B6" w14:textId="178DDAAC"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E3EEB" w14:textId="2E9BEA8F" w:rsidR="006E2188" w:rsidRDefault="007019A0">
    <w:pPr>
      <w:pStyle w:val="Header"/>
    </w:pPr>
    <w:r>
      <w:rPr>
        <w:noProof/>
        <w14:ligatures w14:val="standardContextual"/>
      </w:rPr>
      <w:drawing>
        <wp:inline distT="0" distB="0" distL="0" distR="0" wp14:anchorId="2E822C0B" wp14:editId="4CC9A1E6">
          <wp:extent cx="5731510" cy="939165"/>
          <wp:effectExtent l="0" t="0" r="2540" b="0"/>
          <wp:docPr id="483725684" name="Picture 1" descr="A close-up of a blue and whi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5684" name="Picture 1" descr="A close-up of a blue and white sign"/>
                  <pic:cNvPicPr/>
                </pic:nvPicPr>
                <pic:blipFill>
                  <a:blip r:embed="rId1">
                    <a:extLst>
                      <a:ext uri="{28A0092B-C50C-407E-A947-70E740481C1C}">
                        <a14:useLocalDpi xmlns:a14="http://schemas.microsoft.com/office/drawing/2010/main" val="0"/>
                      </a:ext>
                    </a:extLst>
                  </a:blip>
                  <a:stretch>
                    <a:fillRect/>
                  </a:stretch>
                </pic:blipFill>
                <pic:spPr>
                  <a:xfrm>
                    <a:off x="0" y="0"/>
                    <a:ext cx="5731510" cy="9391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ED2C" w14:textId="585F779D" w:rsidR="006E2188" w:rsidRDefault="006E2188">
    <w:pPr>
      <w:pStyle w:val="Header"/>
    </w:pPr>
    <w:r>
      <w:rPr>
        <w:noProof/>
        <w14:ligatures w14:val="standardContextual"/>
      </w:rPr>
      <mc:AlternateContent>
        <mc:Choice Requires="wps">
          <w:drawing>
            <wp:anchor distT="0" distB="0" distL="0" distR="0" simplePos="0" relativeHeight="251658240" behindDoc="0" locked="0" layoutInCell="1" allowOverlap="1" wp14:anchorId="617CAD8E" wp14:editId="4DC3F13F">
              <wp:simplePos x="635" y="635"/>
              <wp:positionH relativeFrom="page">
                <wp:align>center</wp:align>
              </wp:positionH>
              <wp:positionV relativeFrom="page">
                <wp:align>top</wp:align>
              </wp:positionV>
              <wp:extent cx="622300" cy="391160"/>
              <wp:effectExtent l="0" t="0" r="6350" b="8890"/>
              <wp:wrapNone/>
              <wp:docPr id="182840480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4C8EDF2" w14:textId="1B5D36D5"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7CAD8E" id="_x0000_t202" coordsize="21600,21600" o:spt="202" path="m,l,21600r21600,l21600,xe">
              <v:stroke joinstyle="miter"/>
              <v:path gradientshapeok="t" o:connecttype="rect"/>
            </v:shapetype>
            <v:shape id="Text Box 1" o:spid="_x0000_s1028"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34C8EDF2" w14:textId="1B5D36D5" w:rsidR="006E2188" w:rsidRPr="006E2188" w:rsidRDefault="006E2188" w:rsidP="006E2188">
                    <w:pPr>
                      <w:spacing w:after="0"/>
                      <w:rPr>
                        <w:rFonts w:ascii="Aptos" w:eastAsia="Aptos" w:hAnsi="Aptos" w:cs="Aptos"/>
                        <w:noProof/>
                        <w:color w:val="FF0000"/>
                      </w:rPr>
                    </w:pPr>
                    <w:r w:rsidRPr="006E2188">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3802CC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F56763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4FF47FA"/>
    <w:multiLevelType w:val="multilevel"/>
    <w:tmpl w:val="45EE18A4"/>
    <w:lvl w:ilvl="0">
      <w:start w:val="1"/>
      <w:numFmt w:val="decimal"/>
      <w:pStyle w:val="ListNumber"/>
      <w:lvlText w:val="%1."/>
      <w:lvlJc w:val="left"/>
      <w:pPr>
        <w:tabs>
          <w:tab w:val="num" w:pos="720"/>
        </w:tabs>
        <w:ind w:left="720" w:hanging="360"/>
      </w:pPr>
    </w:lvl>
    <w:lvl w:ilvl="1">
      <w:start w:val="1"/>
      <w:numFmt w:val="bullet"/>
      <w:pStyle w:val="List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4208929">
    <w:abstractNumId w:val="2"/>
  </w:num>
  <w:num w:numId="2" w16cid:durableId="400637130">
    <w:abstractNumId w:val="0"/>
  </w:num>
  <w:num w:numId="3" w16cid:durableId="161631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87D"/>
    <w:rsid w:val="000057E4"/>
    <w:rsid w:val="00087076"/>
    <w:rsid w:val="00091A83"/>
    <w:rsid w:val="000B1BC2"/>
    <w:rsid w:val="000B3822"/>
    <w:rsid w:val="000C0CDD"/>
    <w:rsid w:val="000E5CC0"/>
    <w:rsid w:val="00133A36"/>
    <w:rsid w:val="0014044E"/>
    <w:rsid w:val="00157FD4"/>
    <w:rsid w:val="00176E1B"/>
    <w:rsid w:val="00177435"/>
    <w:rsid w:val="00181644"/>
    <w:rsid w:val="0019136C"/>
    <w:rsid w:val="001A6F6F"/>
    <w:rsid w:val="001B0481"/>
    <w:rsid w:val="001D3761"/>
    <w:rsid w:val="001D7696"/>
    <w:rsid w:val="001E461A"/>
    <w:rsid w:val="001F2627"/>
    <w:rsid w:val="0020163A"/>
    <w:rsid w:val="002525F6"/>
    <w:rsid w:val="00280050"/>
    <w:rsid w:val="002971BC"/>
    <w:rsid w:val="002C4AE9"/>
    <w:rsid w:val="00313BD7"/>
    <w:rsid w:val="00345B37"/>
    <w:rsid w:val="0035497F"/>
    <w:rsid w:val="003659BB"/>
    <w:rsid w:val="00380C7A"/>
    <w:rsid w:val="003B4140"/>
    <w:rsid w:val="003F5AF7"/>
    <w:rsid w:val="003F5E1E"/>
    <w:rsid w:val="00402C50"/>
    <w:rsid w:val="00410A41"/>
    <w:rsid w:val="0041694D"/>
    <w:rsid w:val="00432F47"/>
    <w:rsid w:val="00434F01"/>
    <w:rsid w:val="00442C54"/>
    <w:rsid w:val="0047791C"/>
    <w:rsid w:val="004913D1"/>
    <w:rsid w:val="004E62EE"/>
    <w:rsid w:val="00504AFA"/>
    <w:rsid w:val="0051432E"/>
    <w:rsid w:val="00537A07"/>
    <w:rsid w:val="00543663"/>
    <w:rsid w:val="005565EC"/>
    <w:rsid w:val="00580C12"/>
    <w:rsid w:val="005970FC"/>
    <w:rsid w:val="005B2099"/>
    <w:rsid w:val="005B2FB8"/>
    <w:rsid w:val="00601F4B"/>
    <w:rsid w:val="0068413D"/>
    <w:rsid w:val="006A7465"/>
    <w:rsid w:val="006C4860"/>
    <w:rsid w:val="006C4E3C"/>
    <w:rsid w:val="006D6020"/>
    <w:rsid w:val="006E2188"/>
    <w:rsid w:val="006F64D7"/>
    <w:rsid w:val="007019A0"/>
    <w:rsid w:val="00711563"/>
    <w:rsid w:val="0074131F"/>
    <w:rsid w:val="007428DB"/>
    <w:rsid w:val="007609D1"/>
    <w:rsid w:val="0077019A"/>
    <w:rsid w:val="007855AA"/>
    <w:rsid w:val="0079452B"/>
    <w:rsid w:val="007E4F58"/>
    <w:rsid w:val="007E77BE"/>
    <w:rsid w:val="007F03EE"/>
    <w:rsid w:val="007F07A4"/>
    <w:rsid w:val="00836B49"/>
    <w:rsid w:val="00845662"/>
    <w:rsid w:val="00851749"/>
    <w:rsid w:val="008572AE"/>
    <w:rsid w:val="00861A13"/>
    <w:rsid w:val="0089384E"/>
    <w:rsid w:val="008A4C25"/>
    <w:rsid w:val="008E412A"/>
    <w:rsid w:val="0092162E"/>
    <w:rsid w:val="009411BA"/>
    <w:rsid w:val="00955022"/>
    <w:rsid w:val="00983A3B"/>
    <w:rsid w:val="009B102E"/>
    <w:rsid w:val="009D7802"/>
    <w:rsid w:val="009E0AAC"/>
    <w:rsid w:val="009E768B"/>
    <w:rsid w:val="00A034DA"/>
    <w:rsid w:val="00A3367E"/>
    <w:rsid w:val="00A35C73"/>
    <w:rsid w:val="00A85D96"/>
    <w:rsid w:val="00A87DC1"/>
    <w:rsid w:val="00AA3089"/>
    <w:rsid w:val="00AD173A"/>
    <w:rsid w:val="00AE34DC"/>
    <w:rsid w:val="00B10387"/>
    <w:rsid w:val="00B22C7C"/>
    <w:rsid w:val="00B45D8C"/>
    <w:rsid w:val="00B67BAC"/>
    <w:rsid w:val="00B9167A"/>
    <w:rsid w:val="00BB42EA"/>
    <w:rsid w:val="00BB4626"/>
    <w:rsid w:val="00BD3392"/>
    <w:rsid w:val="00C43DB9"/>
    <w:rsid w:val="00C51A8F"/>
    <w:rsid w:val="00C84C17"/>
    <w:rsid w:val="00C85325"/>
    <w:rsid w:val="00C96F90"/>
    <w:rsid w:val="00CA4B71"/>
    <w:rsid w:val="00CB36D8"/>
    <w:rsid w:val="00CC674B"/>
    <w:rsid w:val="00CE29CE"/>
    <w:rsid w:val="00D0587D"/>
    <w:rsid w:val="00D148FF"/>
    <w:rsid w:val="00D23CC4"/>
    <w:rsid w:val="00D425B1"/>
    <w:rsid w:val="00D5130F"/>
    <w:rsid w:val="00D912AB"/>
    <w:rsid w:val="00DC6A26"/>
    <w:rsid w:val="00DD3ECF"/>
    <w:rsid w:val="00DE55FE"/>
    <w:rsid w:val="00E026CA"/>
    <w:rsid w:val="00E4685F"/>
    <w:rsid w:val="00E529ED"/>
    <w:rsid w:val="00EE02AF"/>
    <w:rsid w:val="00F14D6C"/>
    <w:rsid w:val="00F16A31"/>
    <w:rsid w:val="00F45634"/>
    <w:rsid w:val="00F52938"/>
    <w:rsid w:val="00F633E8"/>
    <w:rsid w:val="00F746C0"/>
    <w:rsid w:val="00F805FF"/>
    <w:rsid w:val="00F87555"/>
    <w:rsid w:val="00FF11E3"/>
    <w:rsid w:val="054C0062"/>
    <w:rsid w:val="05C467DE"/>
    <w:rsid w:val="11DEDE48"/>
    <w:rsid w:val="1509133C"/>
    <w:rsid w:val="29947D16"/>
    <w:rsid w:val="3360C142"/>
    <w:rsid w:val="38C082E3"/>
    <w:rsid w:val="3B557B92"/>
    <w:rsid w:val="459AD7FA"/>
    <w:rsid w:val="593E2DAE"/>
    <w:rsid w:val="6E9BDA22"/>
    <w:rsid w:val="71CF09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65209"/>
  <w15:chartTrackingRefBased/>
  <w15:docId w15:val="{5E43CC76-B2E1-4DC9-87A5-034146CF1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9A0"/>
    <w:pPr>
      <w:spacing w:before="160"/>
    </w:pPr>
    <w:rPr>
      <w:rFonts w:asciiTheme="minorHAnsi" w:hAnsiTheme="minorHAnsi"/>
      <w:kern w:val="0"/>
      <w:sz w:val="24"/>
      <w14:ligatures w14:val="none"/>
    </w:rPr>
  </w:style>
  <w:style w:type="paragraph" w:styleId="Heading1">
    <w:name w:val="heading 1"/>
    <w:basedOn w:val="Normal"/>
    <w:next w:val="Normal"/>
    <w:link w:val="Heading1Char"/>
    <w:uiPriority w:val="9"/>
    <w:qFormat/>
    <w:rsid w:val="00D058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19A0"/>
    <w:pPr>
      <w:keepNext/>
      <w:keepLines/>
      <w:spacing w:after="80"/>
      <w:outlineLvl w:val="1"/>
    </w:pPr>
    <w:rPr>
      <w:rFonts w:asciiTheme="majorHAnsi" w:eastAsiaTheme="majorEastAsia" w:hAnsiTheme="majorHAnsi"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D0587D"/>
    <w:pPr>
      <w:keepNext/>
      <w:keepLines/>
      <w:spacing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58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58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58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58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58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58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8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019A0"/>
    <w:rPr>
      <w:rFonts w:asciiTheme="majorHAnsi" w:eastAsiaTheme="majorEastAsia" w:hAnsiTheme="majorHAnsi" w:cstheme="majorBidi"/>
      <w:color w:val="0F4761" w:themeColor="accent1" w:themeShade="BF"/>
      <w:kern w:val="0"/>
      <w:sz w:val="28"/>
      <w:szCs w:val="32"/>
      <w14:ligatures w14:val="none"/>
    </w:rPr>
  </w:style>
  <w:style w:type="character" w:customStyle="1" w:styleId="Heading3Char">
    <w:name w:val="Heading 3 Char"/>
    <w:basedOn w:val="DefaultParagraphFont"/>
    <w:link w:val="Heading3"/>
    <w:uiPriority w:val="9"/>
    <w:semiHidden/>
    <w:rsid w:val="00D0587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587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0587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0587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0587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0587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0587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058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58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58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587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0587D"/>
    <w:pPr>
      <w:jc w:val="center"/>
    </w:pPr>
    <w:rPr>
      <w:i/>
      <w:iCs/>
      <w:color w:val="404040" w:themeColor="text1" w:themeTint="BF"/>
    </w:rPr>
  </w:style>
  <w:style w:type="character" w:customStyle="1" w:styleId="QuoteChar">
    <w:name w:val="Quote Char"/>
    <w:basedOn w:val="DefaultParagraphFont"/>
    <w:link w:val="Quote"/>
    <w:uiPriority w:val="29"/>
    <w:rsid w:val="00D0587D"/>
    <w:rPr>
      <w:i/>
      <w:iCs/>
      <w:color w:val="404040" w:themeColor="text1" w:themeTint="BF"/>
    </w:rPr>
  </w:style>
  <w:style w:type="paragraph" w:styleId="ListParagraph">
    <w:name w:val="List Paragraph"/>
    <w:basedOn w:val="Normal"/>
    <w:uiPriority w:val="34"/>
    <w:qFormat/>
    <w:rsid w:val="00D0587D"/>
    <w:pPr>
      <w:ind w:left="720"/>
      <w:contextualSpacing/>
    </w:pPr>
  </w:style>
  <w:style w:type="character" w:styleId="IntenseEmphasis">
    <w:name w:val="Intense Emphasis"/>
    <w:basedOn w:val="DefaultParagraphFont"/>
    <w:uiPriority w:val="21"/>
    <w:qFormat/>
    <w:rsid w:val="00D0587D"/>
    <w:rPr>
      <w:i/>
      <w:iCs/>
      <w:color w:val="0F4761" w:themeColor="accent1" w:themeShade="BF"/>
    </w:rPr>
  </w:style>
  <w:style w:type="paragraph" w:styleId="IntenseQuote">
    <w:name w:val="Intense Quote"/>
    <w:basedOn w:val="Normal"/>
    <w:next w:val="Normal"/>
    <w:link w:val="IntenseQuoteChar"/>
    <w:uiPriority w:val="30"/>
    <w:qFormat/>
    <w:rsid w:val="00D058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587D"/>
    <w:rPr>
      <w:i/>
      <w:iCs/>
      <w:color w:val="0F4761" w:themeColor="accent1" w:themeShade="BF"/>
    </w:rPr>
  </w:style>
  <w:style w:type="character" w:styleId="IntenseReference">
    <w:name w:val="Intense Reference"/>
    <w:basedOn w:val="DefaultParagraphFont"/>
    <w:uiPriority w:val="32"/>
    <w:qFormat/>
    <w:rsid w:val="00D0587D"/>
    <w:rPr>
      <w:b/>
      <w:bCs/>
      <w:smallCaps/>
      <w:color w:val="0F4761" w:themeColor="accent1" w:themeShade="BF"/>
      <w:spacing w:val="5"/>
    </w:rPr>
  </w:style>
  <w:style w:type="paragraph" w:styleId="ListNumber">
    <w:name w:val="List Number"/>
    <w:basedOn w:val="Normal"/>
    <w:uiPriority w:val="99"/>
    <w:unhideWhenUsed/>
    <w:rsid w:val="007019A0"/>
    <w:pPr>
      <w:numPr>
        <w:numId w:val="1"/>
      </w:numPr>
      <w:shd w:val="clear" w:color="auto" w:fill="FFFFFF" w:themeFill="background1"/>
      <w:spacing w:after="0"/>
    </w:pPr>
    <w:rPr>
      <w:rFonts w:eastAsia="Segoe UI" w:cstheme="minorHAnsi"/>
      <w:b/>
      <w:bCs/>
      <w:color w:val="313131"/>
    </w:rPr>
  </w:style>
  <w:style w:type="paragraph" w:styleId="Header">
    <w:name w:val="header"/>
    <w:basedOn w:val="Normal"/>
    <w:link w:val="HeaderChar"/>
    <w:uiPriority w:val="99"/>
    <w:unhideWhenUsed/>
    <w:rsid w:val="00D058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87D"/>
    <w:rPr>
      <w:rFonts w:asciiTheme="minorHAnsi" w:hAnsiTheme="minorHAnsi"/>
      <w:kern w:val="0"/>
      <w:sz w:val="24"/>
      <w14:ligatures w14:val="none"/>
    </w:rPr>
  </w:style>
  <w:style w:type="paragraph" w:styleId="Footer">
    <w:name w:val="footer"/>
    <w:basedOn w:val="Normal"/>
    <w:link w:val="FooterChar"/>
    <w:uiPriority w:val="99"/>
    <w:unhideWhenUsed/>
    <w:rsid w:val="00D058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87D"/>
    <w:rPr>
      <w:rFonts w:asciiTheme="minorHAnsi" w:hAnsiTheme="minorHAnsi"/>
      <w:kern w:val="0"/>
      <w:sz w:val="24"/>
      <w14:ligatures w14:val="none"/>
    </w:rPr>
  </w:style>
  <w:style w:type="character" w:styleId="CommentReference">
    <w:name w:val="annotation reference"/>
    <w:basedOn w:val="DefaultParagraphFont"/>
    <w:uiPriority w:val="99"/>
    <w:semiHidden/>
    <w:unhideWhenUsed/>
    <w:rsid w:val="00432F47"/>
    <w:rPr>
      <w:sz w:val="16"/>
      <w:szCs w:val="16"/>
    </w:rPr>
  </w:style>
  <w:style w:type="paragraph" w:styleId="CommentText">
    <w:name w:val="annotation text"/>
    <w:basedOn w:val="Normal"/>
    <w:link w:val="CommentTextChar"/>
    <w:uiPriority w:val="99"/>
    <w:unhideWhenUsed/>
    <w:rsid w:val="00432F47"/>
    <w:pPr>
      <w:spacing w:line="240" w:lineRule="auto"/>
    </w:pPr>
    <w:rPr>
      <w:sz w:val="20"/>
      <w:szCs w:val="20"/>
    </w:rPr>
  </w:style>
  <w:style w:type="character" w:customStyle="1" w:styleId="CommentTextChar">
    <w:name w:val="Comment Text Char"/>
    <w:basedOn w:val="DefaultParagraphFont"/>
    <w:link w:val="CommentText"/>
    <w:uiPriority w:val="99"/>
    <w:rsid w:val="00432F47"/>
    <w:rPr>
      <w:rFonts w:asciiTheme="minorHAnsi" w:hAnsiTheme="minorHAnsi"/>
      <w:kern w:val="0"/>
      <w:szCs w:val="20"/>
      <w14:ligatures w14:val="none"/>
    </w:rPr>
  </w:style>
  <w:style w:type="paragraph" w:styleId="CommentSubject">
    <w:name w:val="annotation subject"/>
    <w:basedOn w:val="CommentText"/>
    <w:next w:val="CommentText"/>
    <w:link w:val="CommentSubjectChar"/>
    <w:uiPriority w:val="99"/>
    <w:semiHidden/>
    <w:unhideWhenUsed/>
    <w:rsid w:val="00432F47"/>
    <w:rPr>
      <w:b/>
      <w:bCs/>
    </w:rPr>
  </w:style>
  <w:style w:type="character" w:customStyle="1" w:styleId="CommentSubjectChar">
    <w:name w:val="Comment Subject Char"/>
    <w:basedOn w:val="CommentTextChar"/>
    <w:link w:val="CommentSubject"/>
    <w:uiPriority w:val="99"/>
    <w:semiHidden/>
    <w:rsid w:val="00432F47"/>
    <w:rPr>
      <w:rFonts w:asciiTheme="minorHAnsi" w:hAnsiTheme="minorHAnsi"/>
      <w:b/>
      <w:bCs/>
      <w:kern w:val="0"/>
      <w:szCs w:val="20"/>
      <w14:ligatures w14:val="none"/>
    </w:rPr>
  </w:style>
  <w:style w:type="character" w:styleId="Mention">
    <w:name w:val="Mention"/>
    <w:basedOn w:val="DefaultParagraphFont"/>
    <w:uiPriority w:val="99"/>
    <w:unhideWhenUsed/>
    <w:rsid w:val="00432F47"/>
    <w:rPr>
      <w:color w:val="2B579A"/>
      <w:shd w:val="clear" w:color="auto" w:fill="E1DFDD"/>
    </w:rPr>
  </w:style>
  <w:style w:type="paragraph" w:styleId="Revision">
    <w:name w:val="Revision"/>
    <w:hidden/>
    <w:uiPriority w:val="99"/>
    <w:semiHidden/>
    <w:rsid w:val="004E62EE"/>
    <w:pPr>
      <w:spacing w:after="0" w:line="240" w:lineRule="auto"/>
    </w:pPr>
    <w:rPr>
      <w:rFonts w:asciiTheme="minorHAnsi" w:hAnsiTheme="minorHAnsi"/>
      <w:kern w:val="0"/>
      <w:sz w:val="24"/>
      <w14:ligatures w14:val="none"/>
    </w:rPr>
  </w:style>
  <w:style w:type="character" w:styleId="Strong">
    <w:name w:val="Strong"/>
    <w:basedOn w:val="DefaultParagraphFont"/>
    <w:uiPriority w:val="22"/>
    <w:qFormat/>
    <w:rsid w:val="00D23CC4"/>
    <w:rPr>
      <w:b/>
      <w:bCs/>
    </w:rPr>
  </w:style>
  <w:style w:type="paragraph" w:styleId="ListBullet">
    <w:name w:val="List Bullet"/>
    <w:basedOn w:val="Normal"/>
    <w:uiPriority w:val="99"/>
    <w:unhideWhenUsed/>
    <w:rsid w:val="007019A0"/>
    <w:pPr>
      <w:numPr>
        <w:ilvl w:val="1"/>
        <w:numId w:val="1"/>
      </w:numPr>
      <w:shd w:val="clear" w:color="auto" w:fill="FFFFFF" w:themeFill="background1"/>
      <w:spacing w:after="0"/>
    </w:pPr>
    <w:rPr>
      <w:rFonts w:eastAsia="Segoe UI" w:cstheme="minorHAnsi"/>
      <w:color w:val="3131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C7618C-EA6C-4F6D-BEA7-92BB00B1A4FF}">
  <ds:schemaRefs>
    <ds:schemaRef ds:uri="http://schemas.microsoft.com/sharepoint/v3/contenttype/forms"/>
  </ds:schemaRefs>
</ds:datastoreItem>
</file>

<file path=customXml/itemProps2.xml><?xml version="1.0" encoding="utf-8"?>
<ds:datastoreItem xmlns:ds="http://schemas.openxmlformats.org/officeDocument/2006/customXml" ds:itemID="{861A7D39-D710-4918-9C17-107E9635E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E0EB78E-CE23-48D3-B17E-BE374035B7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706</Words>
  <Characters>4143</Characters>
  <Application>Microsoft Office Word</Application>
  <DocSecurity>0</DocSecurity>
  <Lines>98</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Advisory Council  – Third term achievements 2025</dc:title>
  <dc:subject>Aged Care</dc:subject>
  <dc:creator>Australian Government Department of Health, Disability and Ageing</dc:creator>
  <cp:keywords>National Aged Care Advisory Council</cp:keywords>
  <dc:description/>
  <cp:lastModifiedBy>MASCHKE, Elvia</cp:lastModifiedBy>
  <cp:revision>3</cp:revision>
  <dcterms:created xsi:type="dcterms:W3CDTF">2026-02-03T23:51:00Z</dcterms:created>
  <dcterms:modified xsi:type="dcterms:W3CDTF">2026-02-04T03:26:00Z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6cfb3e43,6beb3936,4311b8c5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7b615abe,67fa763d,7e71312b</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2026-02-03T23:48:12Z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38f8938e-904b-4d65-9910-1101ecb69761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