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817130"/>
    <w:p w14:paraId="448D97F8" w14:textId="167EB94B" w:rsidR="009E30CD" w:rsidRPr="003748EA" w:rsidRDefault="00000000" w:rsidP="003748EA">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r w:rsidR="21D815E6">
            <w:t>MyMedicare Program Guidelines</w:t>
          </w:r>
        </w:sdtContent>
      </w:sdt>
      <w:bookmarkEnd w:id="0"/>
    </w:p>
    <w:p w14:paraId="52464F49" w14:textId="7501131E" w:rsidR="00E6495A" w:rsidRDefault="1EE02B4B" w:rsidP="009E30CD">
      <w:r>
        <w:t xml:space="preserve">Effective – </w:t>
      </w:r>
      <w:r w:rsidR="6B68CDBC">
        <w:t>February 2026</w:t>
      </w:r>
    </w:p>
    <w:p w14:paraId="04573A6D" w14:textId="20FA8135" w:rsidR="00D431BF" w:rsidRDefault="00D431BF">
      <w:pPr>
        <w:spacing w:before="160" w:after="80" w:line="280" w:lineRule="atLeast"/>
      </w:pPr>
      <w:r>
        <w:br w:type="page"/>
      </w:r>
    </w:p>
    <w:sdt>
      <w:sdtPr>
        <w:rPr>
          <w:rFonts w:eastAsiaTheme="minorEastAsia" w:cstheme="minorBidi"/>
          <w:b w:val="0"/>
          <w:sz w:val="22"/>
          <w:szCs w:val="22"/>
        </w:rPr>
        <w:id w:val="9670437"/>
        <w:docPartObj>
          <w:docPartGallery w:val="Table of Contents"/>
          <w:docPartUnique/>
        </w:docPartObj>
      </w:sdtPr>
      <w:sdtContent>
        <w:p w14:paraId="5E6C315E" w14:textId="7563F143" w:rsidR="009E30CD" w:rsidRDefault="009E30CD" w:rsidP="004E6190">
          <w:pPr>
            <w:pStyle w:val="TOCHeading"/>
            <w:spacing w:before="0"/>
          </w:pPr>
          <w:r>
            <w:t>Contents</w:t>
          </w:r>
        </w:p>
        <w:p w14:paraId="28E4327B" w14:textId="7C9A5066" w:rsidR="003E482A" w:rsidRDefault="4A455F35" w:rsidP="4A455F35">
          <w:pPr>
            <w:pStyle w:val="TOC1"/>
            <w:tabs>
              <w:tab w:val="left" w:pos="435"/>
              <w:tab w:val="right" w:leader="dot" w:pos="9840"/>
            </w:tabs>
            <w:rPr>
              <w:rStyle w:val="Hyperlink"/>
              <w:noProof/>
              <w:kern w:val="2"/>
              <w:lang w:eastAsia="en-AU"/>
              <w14:ligatures w14:val="standardContextual"/>
            </w:rPr>
          </w:pPr>
          <w:r>
            <w:fldChar w:fldCharType="begin"/>
          </w:r>
          <w:r w:rsidR="003E482A">
            <w:instrText>TOC \o "1-4" \z \u \h</w:instrText>
          </w:r>
          <w:r>
            <w:fldChar w:fldCharType="separate"/>
          </w:r>
          <w:hyperlink w:anchor="_Toc470961741">
            <w:r w:rsidRPr="4A455F35">
              <w:rPr>
                <w:rStyle w:val="Hyperlink"/>
              </w:rPr>
              <w:t>1</w:t>
            </w:r>
            <w:r w:rsidR="003E482A">
              <w:tab/>
            </w:r>
            <w:r w:rsidRPr="4A455F35">
              <w:rPr>
                <w:rStyle w:val="Hyperlink"/>
              </w:rPr>
              <w:t>Introduction</w:t>
            </w:r>
            <w:r w:rsidR="003E482A">
              <w:tab/>
            </w:r>
            <w:r w:rsidR="003E482A">
              <w:fldChar w:fldCharType="begin"/>
            </w:r>
            <w:r w:rsidR="003E482A">
              <w:instrText>PAGEREF _Toc470961741 \h</w:instrText>
            </w:r>
            <w:r w:rsidR="003E482A">
              <w:fldChar w:fldCharType="separate"/>
            </w:r>
            <w:r w:rsidRPr="4A455F35">
              <w:rPr>
                <w:rStyle w:val="Hyperlink"/>
              </w:rPr>
              <w:t>3</w:t>
            </w:r>
            <w:r w:rsidR="003E482A">
              <w:fldChar w:fldCharType="end"/>
            </w:r>
          </w:hyperlink>
        </w:p>
        <w:p w14:paraId="55716748" w14:textId="0ECCB27A"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2086567418">
            <w:r w:rsidRPr="4A455F35">
              <w:rPr>
                <w:rStyle w:val="Hyperlink"/>
              </w:rPr>
              <w:t>1.1</w:t>
            </w:r>
            <w:r w:rsidR="003E482A">
              <w:tab/>
            </w:r>
            <w:r w:rsidRPr="4A455F35">
              <w:rPr>
                <w:rStyle w:val="Hyperlink"/>
              </w:rPr>
              <w:t>Purpose</w:t>
            </w:r>
            <w:r w:rsidR="003E482A">
              <w:tab/>
            </w:r>
            <w:r w:rsidR="003E482A">
              <w:fldChar w:fldCharType="begin"/>
            </w:r>
            <w:r w:rsidR="003E482A">
              <w:instrText>PAGEREF _Toc2086567418 \h</w:instrText>
            </w:r>
            <w:r w:rsidR="003E482A">
              <w:fldChar w:fldCharType="separate"/>
            </w:r>
            <w:r w:rsidRPr="4A455F35">
              <w:rPr>
                <w:rStyle w:val="Hyperlink"/>
              </w:rPr>
              <w:t>4</w:t>
            </w:r>
            <w:r w:rsidR="003E482A">
              <w:fldChar w:fldCharType="end"/>
            </w:r>
          </w:hyperlink>
        </w:p>
        <w:p w14:paraId="7A9423BF" w14:textId="70030B55"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60766560">
            <w:r w:rsidRPr="4A455F35">
              <w:rPr>
                <w:rStyle w:val="Hyperlink"/>
              </w:rPr>
              <w:t>1.2</w:t>
            </w:r>
            <w:r w:rsidR="003E482A">
              <w:tab/>
            </w:r>
            <w:r w:rsidRPr="4A455F35">
              <w:rPr>
                <w:rStyle w:val="Hyperlink"/>
              </w:rPr>
              <w:t>Background</w:t>
            </w:r>
            <w:r w:rsidR="003E482A">
              <w:tab/>
            </w:r>
            <w:r w:rsidR="003E482A">
              <w:fldChar w:fldCharType="begin"/>
            </w:r>
            <w:r w:rsidR="003E482A">
              <w:instrText>PAGEREF _Toc160766560 \h</w:instrText>
            </w:r>
            <w:r w:rsidR="003E482A">
              <w:fldChar w:fldCharType="separate"/>
            </w:r>
            <w:r w:rsidRPr="4A455F35">
              <w:rPr>
                <w:rStyle w:val="Hyperlink"/>
              </w:rPr>
              <w:t>4</w:t>
            </w:r>
            <w:r w:rsidR="003E482A">
              <w:fldChar w:fldCharType="end"/>
            </w:r>
          </w:hyperlink>
        </w:p>
        <w:p w14:paraId="202C5A7D" w14:textId="6DCBC677"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567980855">
            <w:r w:rsidRPr="4A455F35">
              <w:rPr>
                <w:rStyle w:val="Hyperlink"/>
              </w:rPr>
              <w:t>1.3</w:t>
            </w:r>
            <w:r w:rsidR="003E482A">
              <w:tab/>
            </w:r>
            <w:r w:rsidRPr="4A455F35">
              <w:rPr>
                <w:rStyle w:val="Hyperlink"/>
              </w:rPr>
              <w:t>MyMedicare</w:t>
            </w:r>
            <w:r w:rsidR="003E482A">
              <w:tab/>
            </w:r>
            <w:r w:rsidR="003E482A">
              <w:fldChar w:fldCharType="begin"/>
            </w:r>
            <w:r w:rsidR="003E482A">
              <w:instrText>PAGEREF _Toc1567980855 \h</w:instrText>
            </w:r>
            <w:r w:rsidR="003E482A">
              <w:fldChar w:fldCharType="separate"/>
            </w:r>
            <w:r w:rsidRPr="4A455F35">
              <w:rPr>
                <w:rStyle w:val="Hyperlink"/>
              </w:rPr>
              <w:t>4</w:t>
            </w:r>
            <w:r w:rsidR="003E482A">
              <w:fldChar w:fldCharType="end"/>
            </w:r>
          </w:hyperlink>
        </w:p>
        <w:p w14:paraId="609829E0" w14:textId="720F8B56" w:rsidR="003E482A" w:rsidRDefault="4A455F35" w:rsidP="4A455F35">
          <w:pPr>
            <w:pStyle w:val="TOC3"/>
            <w:tabs>
              <w:tab w:val="left" w:pos="990"/>
              <w:tab w:val="right" w:leader="dot" w:pos="9840"/>
            </w:tabs>
            <w:rPr>
              <w:rStyle w:val="Hyperlink"/>
              <w:noProof/>
              <w:lang w:eastAsia="en-AU"/>
            </w:rPr>
          </w:pPr>
          <w:hyperlink w:anchor="_Toc667206502">
            <w:r w:rsidRPr="4A455F35">
              <w:rPr>
                <w:rStyle w:val="Hyperlink"/>
              </w:rPr>
              <w:t>1.3.1</w:t>
            </w:r>
            <w:r w:rsidR="003E482A">
              <w:tab/>
            </w:r>
            <w:r w:rsidRPr="4A455F35">
              <w:rPr>
                <w:rStyle w:val="Hyperlink"/>
              </w:rPr>
              <w:t>Benefits for patients</w:t>
            </w:r>
            <w:r w:rsidR="003E482A">
              <w:tab/>
            </w:r>
            <w:r w:rsidR="003E482A">
              <w:fldChar w:fldCharType="begin"/>
            </w:r>
            <w:r w:rsidR="003E482A">
              <w:instrText>PAGEREF _Toc667206502 \h</w:instrText>
            </w:r>
            <w:r w:rsidR="003E482A">
              <w:fldChar w:fldCharType="separate"/>
            </w:r>
            <w:r w:rsidRPr="4A455F35">
              <w:rPr>
                <w:rStyle w:val="Hyperlink"/>
              </w:rPr>
              <w:t>4</w:t>
            </w:r>
            <w:r w:rsidR="003E482A">
              <w:fldChar w:fldCharType="end"/>
            </w:r>
          </w:hyperlink>
        </w:p>
        <w:p w14:paraId="488B669E" w14:textId="4E13A31A" w:rsidR="003E482A" w:rsidRDefault="4A455F35" w:rsidP="4A455F35">
          <w:pPr>
            <w:pStyle w:val="TOC3"/>
            <w:tabs>
              <w:tab w:val="left" w:pos="990"/>
              <w:tab w:val="right" w:leader="dot" w:pos="9840"/>
            </w:tabs>
            <w:rPr>
              <w:rStyle w:val="Hyperlink"/>
              <w:noProof/>
              <w:lang w:eastAsia="en-AU"/>
            </w:rPr>
          </w:pPr>
          <w:hyperlink w:anchor="_Toc1566092034">
            <w:r w:rsidRPr="4A455F35">
              <w:rPr>
                <w:rStyle w:val="Hyperlink"/>
              </w:rPr>
              <w:t>1.3.2</w:t>
            </w:r>
            <w:r w:rsidR="003E482A">
              <w:tab/>
            </w:r>
            <w:r w:rsidRPr="4A455F35">
              <w:rPr>
                <w:rStyle w:val="Hyperlink"/>
              </w:rPr>
              <w:t>Benefits for providers and practices</w:t>
            </w:r>
            <w:r w:rsidR="003E482A">
              <w:tab/>
            </w:r>
            <w:r w:rsidR="003E482A">
              <w:fldChar w:fldCharType="begin"/>
            </w:r>
            <w:r w:rsidR="003E482A">
              <w:instrText>PAGEREF _Toc1566092034 \h</w:instrText>
            </w:r>
            <w:r w:rsidR="003E482A">
              <w:fldChar w:fldCharType="separate"/>
            </w:r>
            <w:r w:rsidRPr="4A455F35">
              <w:rPr>
                <w:rStyle w:val="Hyperlink"/>
              </w:rPr>
              <w:t>5</w:t>
            </w:r>
            <w:r w:rsidR="003E482A">
              <w:fldChar w:fldCharType="end"/>
            </w:r>
          </w:hyperlink>
        </w:p>
        <w:p w14:paraId="26EC98FC" w14:textId="26B132DF"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403535626">
            <w:r w:rsidRPr="4A455F35">
              <w:rPr>
                <w:rStyle w:val="Hyperlink"/>
              </w:rPr>
              <w:t>1.4</w:t>
            </w:r>
            <w:r w:rsidR="003E482A">
              <w:tab/>
            </w:r>
            <w:r w:rsidRPr="4A455F35">
              <w:rPr>
                <w:rStyle w:val="Hyperlink"/>
              </w:rPr>
              <w:t>The Organisation Register</w:t>
            </w:r>
            <w:r w:rsidR="003E482A">
              <w:tab/>
            </w:r>
            <w:r w:rsidR="003E482A">
              <w:fldChar w:fldCharType="begin"/>
            </w:r>
            <w:r w:rsidR="003E482A">
              <w:instrText>PAGEREF _Toc403535626 \h</w:instrText>
            </w:r>
            <w:r w:rsidR="003E482A">
              <w:fldChar w:fldCharType="separate"/>
            </w:r>
            <w:r w:rsidRPr="4A455F35">
              <w:rPr>
                <w:rStyle w:val="Hyperlink"/>
              </w:rPr>
              <w:t>5</w:t>
            </w:r>
            <w:r w:rsidR="003E482A">
              <w:fldChar w:fldCharType="end"/>
            </w:r>
          </w:hyperlink>
        </w:p>
        <w:p w14:paraId="5DB5D05D" w14:textId="6F5F9EEA"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360707791">
            <w:r w:rsidRPr="4A455F35">
              <w:rPr>
                <w:rStyle w:val="Hyperlink"/>
              </w:rPr>
              <w:t>1.5</w:t>
            </w:r>
            <w:r w:rsidR="003E482A">
              <w:tab/>
            </w:r>
            <w:r w:rsidRPr="4A455F35">
              <w:rPr>
                <w:rStyle w:val="Hyperlink"/>
              </w:rPr>
              <w:t>Organisational Payment Capability</w:t>
            </w:r>
            <w:r w:rsidR="003E482A">
              <w:tab/>
            </w:r>
            <w:r w:rsidR="003E482A">
              <w:fldChar w:fldCharType="begin"/>
            </w:r>
            <w:r w:rsidR="003E482A">
              <w:instrText>PAGEREF _Toc1360707791 \h</w:instrText>
            </w:r>
            <w:r w:rsidR="003E482A">
              <w:fldChar w:fldCharType="separate"/>
            </w:r>
            <w:r w:rsidRPr="4A455F35">
              <w:rPr>
                <w:rStyle w:val="Hyperlink"/>
              </w:rPr>
              <w:t>5</w:t>
            </w:r>
            <w:r w:rsidR="003E482A">
              <w:fldChar w:fldCharType="end"/>
            </w:r>
          </w:hyperlink>
        </w:p>
        <w:p w14:paraId="2307714E" w14:textId="4FC0F4DC"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337400">
            <w:r w:rsidRPr="4A455F35">
              <w:rPr>
                <w:rStyle w:val="Hyperlink"/>
              </w:rPr>
              <w:t>1.6</w:t>
            </w:r>
            <w:r w:rsidR="003E482A">
              <w:tab/>
            </w:r>
            <w:r w:rsidRPr="4A455F35">
              <w:rPr>
                <w:rStyle w:val="Hyperlink"/>
              </w:rPr>
              <w:t>Remoteness classification</w:t>
            </w:r>
            <w:r w:rsidR="003E482A">
              <w:tab/>
            </w:r>
            <w:r w:rsidR="003E482A">
              <w:fldChar w:fldCharType="begin"/>
            </w:r>
            <w:r w:rsidR="003E482A">
              <w:instrText>PAGEREF _Toc1337400 \h</w:instrText>
            </w:r>
            <w:r w:rsidR="003E482A">
              <w:fldChar w:fldCharType="separate"/>
            </w:r>
            <w:r w:rsidRPr="4A455F35">
              <w:rPr>
                <w:rStyle w:val="Hyperlink"/>
              </w:rPr>
              <w:t>6</w:t>
            </w:r>
            <w:r w:rsidR="003E482A">
              <w:fldChar w:fldCharType="end"/>
            </w:r>
          </w:hyperlink>
        </w:p>
        <w:p w14:paraId="6F9277ED" w14:textId="1F072543"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441762603">
            <w:r w:rsidRPr="4A455F35">
              <w:rPr>
                <w:rStyle w:val="Hyperlink"/>
              </w:rPr>
              <w:t>1.7</w:t>
            </w:r>
            <w:r w:rsidR="003E482A">
              <w:tab/>
            </w:r>
            <w:r w:rsidRPr="4A455F35">
              <w:rPr>
                <w:rStyle w:val="Hyperlink"/>
              </w:rPr>
              <w:t>Practice Type</w:t>
            </w:r>
            <w:r w:rsidR="003E482A">
              <w:tab/>
            </w:r>
            <w:r w:rsidR="003E482A">
              <w:fldChar w:fldCharType="begin"/>
            </w:r>
            <w:r w:rsidR="003E482A">
              <w:instrText>PAGEREF _Toc441762603 \h</w:instrText>
            </w:r>
            <w:r w:rsidR="003E482A">
              <w:fldChar w:fldCharType="separate"/>
            </w:r>
            <w:r w:rsidRPr="4A455F35">
              <w:rPr>
                <w:rStyle w:val="Hyperlink"/>
              </w:rPr>
              <w:t>6</w:t>
            </w:r>
            <w:r w:rsidR="003E482A">
              <w:fldChar w:fldCharType="end"/>
            </w:r>
          </w:hyperlink>
        </w:p>
        <w:p w14:paraId="610FC0F2" w14:textId="6E10996F" w:rsidR="003E482A" w:rsidRDefault="4A455F35" w:rsidP="4A455F35">
          <w:pPr>
            <w:pStyle w:val="TOC3"/>
            <w:tabs>
              <w:tab w:val="left" w:pos="990"/>
              <w:tab w:val="right" w:leader="dot" w:pos="9840"/>
            </w:tabs>
            <w:rPr>
              <w:rStyle w:val="Hyperlink"/>
              <w:noProof/>
              <w:lang w:eastAsia="en-AU"/>
            </w:rPr>
          </w:pPr>
          <w:hyperlink w:anchor="_Toc1819584214">
            <w:r w:rsidRPr="4A455F35">
              <w:rPr>
                <w:rStyle w:val="Hyperlink"/>
              </w:rPr>
              <w:t>1.7.1</w:t>
            </w:r>
            <w:r w:rsidR="003E482A">
              <w:tab/>
            </w:r>
            <w:r w:rsidRPr="4A455F35">
              <w:rPr>
                <w:rStyle w:val="Hyperlink"/>
              </w:rPr>
              <w:t>General Practice</w:t>
            </w:r>
            <w:r w:rsidR="003E482A">
              <w:tab/>
            </w:r>
            <w:r w:rsidR="003E482A">
              <w:fldChar w:fldCharType="begin"/>
            </w:r>
            <w:r w:rsidR="003E482A">
              <w:instrText>PAGEREF _Toc1819584214 \h</w:instrText>
            </w:r>
            <w:r w:rsidR="003E482A">
              <w:fldChar w:fldCharType="separate"/>
            </w:r>
            <w:r w:rsidRPr="4A455F35">
              <w:rPr>
                <w:rStyle w:val="Hyperlink"/>
              </w:rPr>
              <w:t>6</w:t>
            </w:r>
            <w:r w:rsidR="003E482A">
              <w:fldChar w:fldCharType="end"/>
            </w:r>
          </w:hyperlink>
        </w:p>
        <w:p w14:paraId="3469FBE0" w14:textId="7A996FB1" w:rsidR="003E482A" w:rsidRDefault="4A455F35" w:rsidP="4A455F35">
          <w:pPr>
            <w:pStyle w:val="TOC3"/>
            <w:tabs>
              <w:tab w:val="left" w:pos="990"/>
              <w:tab w:val="right" w:leader="dot" w:pos="9840"/>
            </w:tabs>
            <w:rPr>
              <w:rStyle w:val="Hyperlink"/>
              <w:noProof/>
              <w:lang w:eastAsia="en-AU"/>
            </w:rPr>
          </w:pPr>
          <w:hyperlink w:anchor="_Toc926778300">
            <w:r w:rsidRPr="4A455F35">
              <w:rPr>
                <w:rStyle w:val="Hyperlink"/>
              </w:rPr>
              <w:t>1.7.2</w:t>
            </w:r>
            <w:r w:rsidR="003E482A">
              <w:tab/>
            </w:r>
            <w:r w:rsidRPr="4A455F35">
              <w:rPr>
                <w:rStyle w:val="Hyperlink"/>
              </w:rPr>
              <w:t>Aboriginal Community Controlled Healthcare Service (ACCHS)</w:t>
            </w:r>
            <w:r w:rsidR="003E482A">
              <w:tab/>
            </w:r>
            <w:r w:rsidR="003E482A">
              <w:fldChar w:fldCharType="begin"/>
            </w:r>
            <w:r w:rsidR="003E482A">
              <w:instrText>PAGEREF _Toc926778300 \h</w:instrText>
            </w:r>
            <w:r w:rsidR="003E482A">
              <w:fldChar w:fldCharType="separate"/>
            </w:r>
            <w:r w:rsidRPr="4A455F35">
              <w:rPr>
                <w:rStyle w:val="Hyperlink"/>
              </w:rPr>
              <w:t>6</w:t>
            </w:r>
            <w:r w:rsidR="003E482A">
              <w:fldChar w:fldCharType="end"/>
            </w:r>
          </w:hyperlink>
        </w:p>
        <w:p w14:paraId="60F092CB" w14:textId="53415588" w:rsidR="003E482A" w:rsidRDefault="4A455F35" w:rsidP="4A455F35">
          <w:pPr>
            <w:pStyle w:val="TOC3"/>
            <w:tabs>
              <w:tab w:val="left" w:pos="990"/>
              <w:tab w:val="right" w:leader="dot" w:pos="9840"/>
            </w:tabs>
            <w:rPr>
              <w:rStyle w:val="Hyperlink"/>
              <w:noProof/>
              <w:lang w:eastAsia="en-AU"/>
            </w:rPr>
          </w:pPr>
          <w:hyperlink w:anchor="_Toc897508007">
            <w:r w:rsidRPr="4A455F35">
              <w:rPr>
                <w:rStyle w:val="Hyperlink"/>
              </w:rPr>
              <w:t>1.7.3</w:t>
            </w:r>
            <w:r w:rsidR="003E482A">
              <w:tab/>
            </w:r>
            <w:r w:rsidRPr="4A455F35">
              <w:rPr>
                <w:rStyle w:val="Hyperlink"/>
              </w:rPr>
              <w:t>Aboriginal Medical Service (AMS)</w:t>
            </w:r>
            <w:r w:rsidR="003E482A">
              <w:tab/>
            </w:r>
            <w:r w:rsidR="003E482A">
              <w:fldChar w:fldCharType="begin"/>
            </w:r>
            <w:r w:rsidR="003E482A">
              <w:instrText>PAGEREF _Toc897508007 \h</w:instrText>
            </w:r>
            <w:r w:rsidR="003E482A">
              <w:fldChar w:fldCharType="separate"/>
            </w:r>
            <w:r w:rsidRPr="4A455F35">
              <w:rPr>
                <w:rStyle w:val="Hyperlink"/>
              </w:rPr>
              <w:t>6</w:t>
            </w:r>
            <w:r w:rsidR="003E482A">
              <w:fldChar w:fldCharType="end"/>
            </w:r>
          </w:hyperlink>
        </w:p>
        <w:p w14:paraId="083C6E76" w14:textId="0331D043" w:rsidR="003E482A" w:rsidRDefault="4A455F35" w:rsidP="4A455F35">
          <w:pPr>
            <w:pStyle w:val="TOC3"/>
            <w:tabs>
              <w:tab w:val="left" w:pos="990"/>
              <w:tab w:val="right" w:leader="dot" w:pos="9840"/>
            </w:tabs>
            <w:rPr>
              <w:rStyle w:val="Hyperlink"/>
              <w:noProof/>
              <w:lang w:eastAsia="en-AU"/>
            </w:rPr>
          </w:pPr>
          <w:hyperlink w:anchor="_Toc1338304692">
            <w:r w:rsidRPr="4A455F35">
              <w:rPr>
                <w:rStyle w:val="Hyperlink"/>
              </w:rPr>
              <w:t>1.7.4</w:t>
            </w:r>
            <w:r w:rsidR="003E482A">
              <w:tab/>
            </w:r>
            <w:r w:rsidRPr="4A455F35">
              <w:rPr>
                <w:rStyle w:val="Hyperlink"/>
              </w:rPr>
              <w:t>Mobile Practice</w:t>
            </w:r>
            <w:r w:rsidR="003E482A">
              <w:tab/>
            </w:r>
            <w:r w:rsidR="003E482A">
              <w:fldChar w:fldCharType="begin"/>
            </w:r>
            <w:r w:rsidR="003E482A">
              <w:instrText>PAGEREF _Toc1338304692 \h</w:instrText>
            </w:r>
            <w:r w:rsidR="003E482A">
              <w:fldChar w:fldCharType="separate"/>
            </w:r>
            <w:r w:rsidRPr="4A455F35">
              <w:rPr>
                <w:rStyle w:val="Hyperlink"/>
              </w:rPr>
              <w:t>6</w:t>
            </w:r>
            <w:r w:rsidR="003E482A">
              <w:fldChar w:fldCharType="end"/>
            </w:r>
          </w:hyperlink>
        </w:p>
        <w:p w14:paraId="116649E3" w14:textId="6F8042D6" w:rsidR="003E482A" w:rsidRDefault="4A455F35" w:rsidP="4A455F35">
          <w:pPr>
            <w:pStyle w:val="TOC3"/>
            <w:tabs>
              <w:tab w:val="left" w:pos="990"/>
              <w:tab w:val="right" w:leader="dot" w:pos="9840"/>
            </w:tabs>
            <w:rPr>
              <w:rStyle w:val="Hyperlink"/>
              <w:noProof/>
              <w:lang w:eastAsia="en-AU"/>
            </w:rPr>
          </w:pPr>
          <w:hyperlink w:anchor="_Toc695701128">
            <w:r w:rsidRPr="4A455F35">
              <w:rPr>
                <w:rStyle w:val="Hyperlink"/>
              </w:rPr>
              <w:t>1.7.5</w:t>
            </w:r>
            <w:r w:rsidR="003E482A">
              <w:tab/>
            </w:r>
            <w:r w:rsidRPr="4A455F35">
              <w:rPr>
                <w:rStyle w:val="Hyperlink"/>
              </w:rPr>
              <w:t>Outreach Practice</w:t>
            </w:r>
            <w:r w:rsidR="003E482A">
              <w:tab/>
            </w:r>
            <w:r w:rsidR="003E482A">
              <w:fldChar w:fldCharType="begin"/>
            </w:r>
            <w:r w:rsidR="003E482A">
              <w:instrText>PAGEREF _Toc695701128 \h</w:instrText>
            </w:r>
            <w:r w:rsidR="003E482A">
              <w:fldChar w:fldCharType="separate"/>
            </w:r>
            <w:r w:rsidRPr="4A455F35">
              <w:rPr>
                <w:rStyle w:val="Hyperlink"/>
              </w:rPr>
              <w:t>6</w:t>
            </w:r>
            <w:r w:rsidR="003E482A">
              <w:fldChar w:fldCharType="end"/>
            </w:r>
          </w:hyperlink>
        </w:p>
        <w:p w14:paraId="1C2D329A" w14:textId="13205DB3" w:rsidR="003E482A" w:rsidRDefault="4A455F35" w:rsidP="4A455F35">
          <w:pPr>
            <w:pStyle w:val="TOC3"/>
            <w:tabs>
              <w:tab w:val="left" w:pos="990"/>
              <w:tab w:val="right" w:leader="dot" w:pos="9840"/>
            </w:tabs>
            <w:rPr>
              <w:rStyle w:val="Hyperlink"/>
              <w:noProof/>
              <w:lang w:eastAsia="en-AU"/>
            </w:rPr>
          </w:pPr>
          <w:hyperlink w:anchor="_Toc1629658221">
            <w:r w:rsidRPr="4A455F35">
              <w:rPr>
                <w:rStyle w:val="Hyperlink"/>
              </w:rPr>
              <w:t>1.7.6</w:t>
            </w:r>
            <w:r w:rsidR="003E482A">
              <w:tab/>
            </w:r>
            <w:r w:rsidRPr="4A455F35">
              <w:rPr>
                <w:rStyle w:val="Hyperlink"/>
              </w:rPr>
              <w:t>Sole Provider Practice</w:t>
            </w:r>
            <w:r w:rsidR="003E482A">
              <w:tab/>
            </w:r>
            <w:r w:rsidR="003E482A">
              <w:fldChar w:fldCharType="begin"/>
            </w:r>
            <w:r w:rsidR="003E482A">
              <w:instrText>PAGEREF _Toc1629658221 \h</w:instrText>
            </w:r>
            <w:r w:rsidR="003E482A">
              <w:fldChar w:fldCharType="separate"/>
            </w:r>
            <w:r w:rsidRPr="4A455F35">
              <w:rPr>
                <w:rStyle w:val="Hyperlink"/>
              </w:rPr>
              <w:t>6</w:t>
            </w:r>
            <w:r w:rsidR="003E482A">
              <w:fldChar w:fldCharType="end"/>
            </w:r>
          </w:hyperlink>
        </w:p>
        <w:p w14:paraId="0CFB0D13" w14:textId="1B1B130D" w:rsidR="003E482A" w:rsidRDefault="4A455F35" w:rsidP="4A455F35">
          <w:pPr>
            <w:pStyle w:val="TOC3"/>
            <w:tabs>
              <w:tab w:val="left" w:pos="990"/>
              <w:tab w:val="right" w:leader="dot" w:pos="9840"/>
            </w:tabs>
            <w:rPr>
              <w:rStyle w:val="Hyperlink"/>
              <w:noProof/>
              <w:lang w:eastAsia="en-AU"/>
            </w:rPr>
          </w:pPr>
          <w:hyperlink w:anchor="_Toc495514710">
            <w:r w:rsidRPr="4A455F35">
              <w:rPr>
                <w:rStyle w:val="Hyperlink"/>
              </w:rPr>
              <w:t>1.7.7</w:t>
            </w:r>
            <w:r w:rsidR="003E482A">
              <w:tab/>
            </w:r>
            <w:r w:rsidRPr="4A455F35">
              <w:rPr>
                <w:rStyle w:val="Hyperlink"/>
              </w:rPr>
              <w:t>Nurse Practitioner within GP-led team</w:t>
            </w:r>
            <w:r w:rsidR="003E482A">
              <w:tab/>
            </w:r>
            <w:r w:rsidR="003E482A">
              <w:fldChar w:fldCharType="begin"/>
            </w:r>
            <w:r w:rsidR="003E482A">
              <w:instrText>PAGEREF _Toc495514710 \h</w:instrText>
            </w:r>
            <w:r w:rsidR="003E482A">
              <w:fldChar w:fldCharType="separate"/>
            </w:r>
            <w:r w:rsidRPr="4A455F35">
              <w:rPr>
                <w:rStyle w:val="Hyperlink"/>
              </w:rPr>
              <w:t>7</w:t>
            </w:r>
            <w:r w:rsidR="003E482A">
              <w:fldChar w:fldCharType="end"/>
            </w:r>
          </w:hyperlink>
        </w:p>
        <w:p w14:paraId="16313E30" w14:textId="16701CD5" w:rsidR="003E482A" w:rsidRDefault="4A455F35" w:rsidP="4A455F35">
          <w:pPr>
            <w:pStyle w:val="TOC1"/>
            <w:tabs>
              <w:tab w:val="left" w:pos="435"/>
              <w:tab w:val="right" w:leader="dot" w:pos="9840"/>
            </w:tabs>
            <w:rPr>
              <w:rStyle w:val="Hyperlink"/>
              <w:noProof/>
              <w:kern w:val="2"/>
              <w:lang w:eastAsia="en-AU"/>
              <w14:ligatures w14:val="standardContextual"/>
            </w:rPr>
          </w:pPr>
          <w:hyperlink w:anchor="_Toc843048724">
            <w:r w:rsidRPr="4A455F35">
              <w:rPr>
                <w:rStyle w:val="Hyperlink"/>
              </w:rPr>
              <w:t>2</w:t>
            </w:r>
            <w:r w:rsidR="003E482A">
              <w:tab/>
            </w:r>
            <w:r w:rsidRPr="4A455F35">
              <w:rPr>
                <w:rStyle w:val="Hyperlink"/>
              </w:rPr>
              <w:t>Eligibility to participate in MyMedicare</w:t>
            </w:r>
            <w:r w:rsidR="003E482A">
              <w:tab/>
            </w:r>
            <w:r w:rsidR="003E482A">
              <w:fldChar w:fldCharType="begin"/>
            </w:r>
            <w:r w:rsidR="003E482A">
              <w:instrText>PAGEREF _Toc843048724 \h</w:instrText>
            </w:r>
            <w:r w:rsidR="003E482A">
              <w:fldChar w:fldCharType="separate"/>
            </w:r>
            <w:r w:rsidRPr="4A455F35">
              <w:rPr>
                <w:rStyle w:val="Hyperlink"/>
              </w:rPr>
              <w:t>7</w:t>
            </w:r>
            <w:r w:rsidR="003E482A">
              <w:fldChar w:fldCharType="end"/>
            </w:r>
          </w:hyperlink>
        </w:p>
        <w:p w14:paraId="7A2B7852" w14:textId="1E3BBD40"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110873275">
            <w:r w:rsidRPr="4A455F35">
              <w:rPr>
                <w:rStyle w:val="Hyperlink"/>
              </w:rPr>
              <w:t>2.1</w:t>
            </w:r>
            <w:r w:rsidR="003E482A">
              <w:tab/>
            </w:r>
            <w:r w:rsidRPr="4A455F35">
              <w:rPr>
                <w:rStyle w:val="Hyperlink"/>
              </w:rPr>
              <w:t>Practice eligibility</w:t>
            </w:r>
            <w:r w:rsidR="003E482A">
              <w:tab/>
            </w:r>
            <w:r w:rsidR="003E482A">
              <w:fldChar w:fldCharType="begin"/>
            </w:r>
            <w:r w:rsidR="003E482A">
              <w:instrText>PAGEREF _Toc1110873275 \h</w:instrText>
            </w:r>
            <w:r w:rsidR="003E482A">
              <w:fldChar w:fldCharType="separate"/>
            </w:r>
            <w:r w:rsidRPr="4A455F35">
              <w:rPr>
                <w:rStyle w:val="Hyperlink"/>
              </w:rPr>
              <w:t>7</w:t>
            </w:r>
            <w:r w:rsidR="003E482A">
              <w:fldChar w:fldCharType="end"/>
            </w:r>
          </w:hyperlink>
        </w:p>
        <w:p w14:paraId="70B3ED87" w14:textId="181DBDDF" w:rsidR="003E482A" w:rsidRDefault="4A455F35" w:rsidP="4A455F35">
          <w:pPr>
            <w:pStyle w:val="TOC1"/>
            <w:tabs>
              <w:tab w:val="left" w:pos="435"/>
              <w:tab w:val="right" w:leader="dot" w:pos="9840"/>
            </w:tabs>
            <w:rPr>
              <w:rStyle w:val="Hyperlink"/>
              <w:noProof/>
              <w:kern w:val="2"/>
              <w:lang w:eastAsia="en-AU"/>
              <w14:ligatures w14:val="standardContextual"/>
            </w:rPr>
          </w:pPr>
          <w:hyperlink w:anchor="_Toc768367080">
            <w:r w:rsidRPr="4A455F35">
              <w:rPr>
                <w:rStyle w:val="Hyperlink"/>
              </w:rPr>
              <w:t>3</w:t>
            </w:r>
            <w:r w:rsidR="003E482A">
              <w:tab/>
            </w:r>
            <w:r w:rsidRPr="4A455F35">
              <w:rPr>
                <w:rStyle w:val="Hyperlink"/>
              </w:rPr>
              <w:t>Hub and Spoke model</w:t>
            </w:r>
            <w:r w:rsidR="003E482A">
              <w:tab/>
            </w:r>
            <w:r w:rsidR="003E482A">
              <w:fldChar w:fldCharType="begin"/>
            </w:r>
            <w:r w:rsidR="003E482A">
              <w:instrText>PAGEREF _Toc768367080 \h</w:instrText>
            </w:r>
            <w:r w:rsidR="003E482A">
              <w:fldChar w:fldCharType="separate"/>
            </w:r>
            <w:r w:rsidRPr="4A455F35">
              <w:rPr>
                <w:rStyle w:val="Hyperlink"/>
              </w:rPr>
              <w:t>7</w:t>
            </w:r>
            <w:r w:rsidR="003E482A">
              <w:fldChar w:fldCharType="end"/>
            </w:r>
          </w:hyperlink>
        </w:p>
        <w:p w14:paraId="41AC4B1B" w14:textId="5ACB2CAD" w:rsidR="003E482A" w:rsidRDefault="4A455F35" w:rsidP="4A455F35">
          <w:pPr>
            <w:pStyle w:val="TOC1"/>
            <w:tabs>
              <w:tab w:val="left" w:pos="435"/>
              <w:tab w:val="right" w:leader="dot" w:pos="9840"/>
            </w:tabs>
            <w:rPr>
              <w:rStyle w:val="Hyperlink"/>
              <w:noProof/>
              <w:kern w:val="2"/>
              <w:lang w:eastAsia="en-AU"/>
              <w14:ligatures w14:val="standardContextual"/>
            </w:rPr>
          </w:pPr>
          <w:hyperlink w:anchor="_Toc1371327634">
            <w:r w:rsidRPr="4A455F35">
              <w:rPr>
                <w:rStyle w:val="Hyperlink"/>
              </w:rPr>
              <w:t>4</w:t>
            </w:r>
            <w:r w:rsidR="003E482A">
              <w:tab/>
            </w:r>
            <w:r w:rsidRPr="4A455F35">
              <w:rPr>
                <w:rStyle w:val="Hyperlink"/>
              </w:rPr>
              <w:t>Organisational Change</w:t>
            </w:r>
            <w:r w:rsidR="003E482A">
              <w:tab/>
            </w:r>
            <w:r w:rsidR="003E482A">
              <w:fldChar w:fldCharType="begin"/>
            </w:r>
            <w:r w:rsidR="003E482A">
              <w:instrText>PAGEREF _Toc1371327634 \h</w:instrText>
            </w:r>
            <w:r w:rsidR="003E482A">
              <w:fldChar w:fldCharType="separate"/>
            </w:r>
            <w:r w:rsidRPr="4A455F35">
              <w:rPr>
                <w:rStyle w:val="Hyperlink"/>
              </w:rPr>
              <w:t>8</w:t>
            </w:r>
            <w:r w:rsidR="003E482A">
              <w:fldChar w:fldCharType="end"/>
            </w:r>
          </w:hyperlink>
        </w:p>
        <w:p w14:paraId="09CA166A" w14:textId="0BAE1825"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934304943">
            <w:r w:rsidRPr="4A455F35">
              <w:rPr>
                <w:rStyle w:val="Hyperlink"/>
              </w:rPr>
              <w:t>4.1</w:t>
            </w:r>
            <w:r w:rsidR="003E482A">
              <w:tab/>
            </w:r>
            <w:r w:rsidRPr="4A455F35">
              <w:rPr>
                <w:rStyle w:val="Hyperlink"/>
              </w:rPr>
              <w:t>Permanent relocation</w:t>
            </w:r>
            <w:r w:rsidR="003E482A">
              <w:tab/>
            </w:r>
            <w:r w:rsidR="003E482A">
              <w:fldChar w:fldCharType="begin"/>
            </w:r>
            <w:r w:rsidR="003E482A">
              <w:instrText>PAGEREF _Toc934304943 \h</w:instrText>
            </w:r>
            <w:r w:rsidR="003E482A">
              <w:fldChar w:fldCharType="separate"/>
            </w:r>
            <w:r w:rsidRPr="4A455F35">
              <w:rPr>
                <w:rStyle w:val="Hyperlink"/>
              </w:rPr>
              <w:t>8</w:t>
            </w:r>
            <w:r w:rsidR="003E482A">
              <w:fldChar w:fldCharType="end"/>
            </w:r>
          </w:hyperlink>
        </w:p>
        <w:p w14:paraId="28CA9E8D" w14:textId="112478E0" w:rsidR="003E482A" w:rsidRDefault="4A455F35" w:rsidP="4A455F35">
          <w:pPr>
            <w:pStyle w:val="TOC3"/>
            <w:tabs>
              <w:tab w:val="right" w:leader="dot" w:pos="9840"/>
            </w:tabs>
            <w:rPr>
              <w:rStyle w:val="Hyperlink"/>
              <w:noProof/>
              <w:lang w:eastAsia="en-AU"/>
            </w:rPr>
          </w:pPr>
          <w:hyperlink w:anchor="_Toc1067591677">
            <w:r w:rsidRPr="4A455F35">
              <w:rPr>
                <w:rStyle w:val="Hyperlink"/>
              </w:rPr>
              <w:t>4.2 Change of Ownership4.2.1 Sale of practice</w:t>
            </w:r>
            <w:r w:rsidR="003E482A">
              <w:tab/>
            </w:r>
            <w:r w:rsidR="003E482A">
              <w:fldChar w:fldCharType="begin"/>
            </w:r>
            <w:r w:rsidR="003E482A">
              <w:instrText>PAGEREF _Toc1067591677 \h</w:instrText>
            </w:r>
            <w:r w:rsidR="003E482A">
              <w:fldChar w:fldCharType="separate"/>
            </w:r>
            <w:r w:rsidRPr="4A455F35">
              <w:rPr>
                <w:rStyle w:val="Hyperlink"/>
              </w:rPr>
              <w:t>9</w:t>
            </w:r>
            <w:r w:rsidR="003E482A">
              <w:fldChar w:fldCharType="end"/>
            </w:r>
          </w:hyperlink>
        </w:p>
        <w:p w14:paraId="003149FD" w14:textId="1BF2B236" w:rsidR="003E482A" w:rsidRDefault="4A455F35" w:rsidP="4A455F35">
          <w:pPr>
            <w:pStyle w:val="TOC3"/>
            <w:tabs>
              <w:tab w:val="right" w:leader="dot" w:pos="9840"/>
            </w:tabs>
            <w:rPr>
              <w:rStyle w:val="Hyperlink"/>
              <w:noProof/>
              <w:lang w:eastAsia="en-AU"/>
            </w:rPr>
          </w:pPr>
          <w:hyperlink w:anchor="_Toc648450010">
            <w:r w:rsidRPr="4A455F35">
              <w:rPr>
                <w:rStyle w:val="Hyperlink"/>
              </w:rPr>
              <w:t>4.2.2 Mergers (including amalgamations)</w:t>
            </w:r>
            <w:r w:rsidR="003E482A">
              <w:tab/>
            </w:r>
            <w:r w:rsidR="003E482A">
              <w:fldChar w:fldCharType="begin"/>
            </w:r>
            <w:r w:rsidR="003E482A">
              <w:instrText>PAGEREF _Toc648450010 \h</w:instrText>
            </w:r>
            <w:r w:rsidR="003E482A">
              <w:fldChar w:fldCharType="separate"/>
            </w:r>
            <w:r w:rsidRPr="4A455F35">
              <w:rPr>
                <w:rStyle w:val="Hyperlink"/>
              </w:rPr>
              <w:t>9</w:t>
            </w:r>
            <w:r w:rsidR="003E482A">
              <w:fldChar w:fldCharType="end"/>
            </w:r>
          </w:hyperlink>
        </w:p>
        <w:p w14:paraId="7DF01C50" w14:textId="650A6A41" w:rsidR="003E482A" w:rsidRDefault="4A455F35" w:rsidP="4A455F35">
          <w:pPr>
            <w:pStyle w:val="TOC3"/>
            <w:tabs>
              <w:tab w:val="right" w:leader="dot" w:pos="9840"/>
            </w:tabs>
            <w:rPr>
              <w:rStyle w:val="Hyperlink"/>
              <w:noProof/>
              <w:lang w:eastAsia="en-AU"/>
            </w:rPr>
          </w:pPr>
          <w:hyperlink w:anchor="_Toc1399719578">
            <w:r w:rsidRPr="4A455F35">
              <w:rPr>
                <w:rStyle w:val="Hyperlink"/>
              </w:rPr>
              <w:t>4.2.3 Separation of Practice</w:t>
            </w:r>
            <w:r w:rsidR="003E482A">
              <w:tab/>
            </w:r>
            <w:r w:rsidR="003E482A">
              <w:fldChar w:fldCharType="begin"/>
            </w:r>
            <w:r w:rsidR="003E482A">
              <w:instrText>PAGEREF _Toc1399719578 \h</w:instrText>
            </w:r>
            <w:r w:rsidR="003E482A">
              <w:fldChar w:fldCharType="separate"/>
            </w:r>
            <w:r w:rsidRPr="4A455F35">
              <w:rPr>
                <w:rStyle w:val="Hyperlink"/>
              </w:rPr>
              <w:t>10</w:t>
            </w:r>
            <w:r w:rsidR="003E482A">
              <w:fldChar w:fldCharType="end"/>
            </w:r>
          </w:hyperlink>
        </w:p>
        <w:p w14:paraId="7F7B2C1C" w14:textId="13C0E0EE" w:rsidR="003E482A" w:rsidRDefault="4A455F35" w:rsidP="4A455F35">
          <w:pPr>
            <w:pStyle w:val="TOC2"/>
            <w:tabs>
              <w:tab w:val="right" w:leader="dot" w:pos="9840"/>
            </w:tabs>
            <w:rPr>
              <w:rStyle w:val="Hyperlink"/>
              <w:noProof/>
              <w:kern w:val="2"/>
              <w:lang w:eastAsia="en-AU"/>
              <w14:ligatures w14:val="standardContextual"/>
            </w:rPr>
          </w:pPr>
          <w:hyperlink w:anchor="_Toc1431362790">
            <w:r w:rsidRPr="4A455F35">
              <w:rPr>
                <w:rStyle w:val="Hyperlink"/>
              </w:rPr>
              <w:t>4.2.4 Internal change in business structure (no change in ownership, including ABN Changes)</w:t>
            </w:r>
            <w:r w:rsidR="003E482A">
              <w:tab/>
            </w:r>
            <w:r w:rsidR="003E482A">
              <w:fldChar w:fldCharType="begin"/>
            </w:r>
            <w:r w:rsidR="003E482A">
              <w:instrText>PAGEREF _Toc1431362790 \h</w:instrText>
            </w:r>
            <w:r w:rsidR="003E482A">
              <w:fldChar w:fldCharType="separate"/>
            </w:r>
            <w:r w:rsidRPr="4A455F35">
              <w:rPr>
                <w:rStyle w:val="Hyperlink"/>
              </w:rPr>
              <w:t>10</w:t>
            </w:r>
            <w:r w:rsidR="003E482A">
              <w:fldChar w:fldCharType="end"/>
            </w:r>
          </w:hyperlink>
        </w:p>
        <w:p w14:paraId="335830EC" w14:textId="59504BEC" w:rsidR="003E482A" w:rsidRDefault="4A455F35" w:rsidP="4A455F35">
          <w:pPr>
            <w:pStyle w:val="TOC2"/>
            <w:tabs>
              <w:tab w:val="right" w:leader="dot" w:pos="9840"/>
            </w:tabs>
            <w:rPr>
              <w:rStyle w:val="Hyperlink"/>
              <w:noProof/>
              <w:kern w:val="2"/>
              <w:lang w:eastAsia="en-AU"/>
              <w14:ligatures w14:val="standardContextual"/>
            </w:rPr>
          </w:pPr>
          <w:hyperlink w:anchor="_Toc2142733731">
            <w:r w:rsidRPr="4A455F35">
              <w:rPr>
                <w:rStyle w:val="Hyperlink"/>
              </w:rPr>
              <w:t>4.2.5 Deceased estates</w:t>
            </w:r>
            <w:r w:rsidR="003E482A">
              <w:tab/>
            </w:r>
            <w:r w:rsidR="003E482A">
              <w:fldChar w:fldCharType="begin"/>
            </w:r>
            <w:r w:rsidR="003E482A">
              <w:instrText>PAGEREF _Toc2142733731 \h</w:instrText>
            </w:r>
            <w:r w:rsidR="003E482A">
              <w:fldChar w:fldCharType="separate"/>
            </w:r>
            <w:r w:rsidRPr="4A455F35">
              <w:rPr>
                <w:rStyle w:val="Hyperlink"/>
              </w:rPr>
              <w:t>10</w:t>
            </w:r>
            <w:r w:rsidR="003E482A">
              <w:fldChar w:fldCharType="end"/>
            </w:r>
          </w:hyperlink>
        </w:p>
        <w:p w14:paraId="5959A639" w14:textId="10458E6F" w:rsidR="003E482A" w:rsidRDefault="4A455F35" w:rsidP="4A455F35">
          <w:pPr>
            <w:pStyle w:val="TOC2"/>
            <w:tabs>
              <w:tab w:val="right" w:leader="dot" w:pos="9840"/>
            </w:tabs>
            <w:rPr>
              <w:rStyle w:val="Hyperlink"/>
              <w:noProof/>
              <w:kern w:val="2"/>
              <w:lang w:eastAsia="en-AU"/>
              <w14:ligatures w14:val="standardContextual"/>
            </w:rPr>
          </w:pPr>
          <w:hyperlink w:anchor="_Toc196855605">
            <w:r w:rsidRPr="4A455F35">
              <w:rPr>
                <w:rStyle w:val="Hyperlink"/>
              </w:rPr>
              <w:t>4.3 Payment arrangements following a change of ownership</w:t>
            </w:r>
            <w:r w:rsidR="003E482A">
              <w:tab/>
            </w:r>
            <w:r w:rsidR="003E482A">
              <w:fldChar w:fldCharType="begin"/>
            </w:r>
            <w:r w:rsidR="003E482A">
              <w:instrText>PAGEREF _Toc196855605 \h</w:instrText>
            </w:r>
            <w:r w:rsidR="003E482A">
              <w:fldChar w:fldCharType="separate"/>
            </w:r>
            <w:r w:rsidRPr="4A455F35">
              <w:rPr>
                <w:rStyle w:val="Hyperlink"/>
              </w:rPr>
              <w:t>10</w:t>
            </w:r>
            <w:r w:rsidR="003E482A">
              <w:fldChar w:fldCharType="end"/>
            </w:r>
          </w:hyperlink>
        </w:p>
        <w:p w14:paraId="5F4AC667" w14:textId="3511F805" w:rsidR="003E482A" w:rsidRDefault="4A455F35" w:rsidP="4A455F35">
          <w:pPr>
            <w:pStyle w:val="TOC2"/>
            <w:tabs>
              <w:tab w:val="right" w:leader="dot" w:pos="9840"/>
            </w:tabs>
            <w:rPr>
              <w:rStyle w:val="Hyperlink"/>
              <w:noProof/>
              <w:kern w:val="2"/>
              <w:lang w:eastAsia="en-AU"/>
              <w14:ligatures w14:val="standardContextual"/>
            </w:rPr>
          </w:pPr>
          <w:hyperlink w:anchor="_Toc277613375">
            <w:r w:rsidRPr="4A455F35">
              <w:rPr>
                <w:rStyle w:val="Hyperlink"/>
              </w:rPr>
              <w:t>4.4 Accreditation following an organisational change</w:t>
            </w:r>
            <w:r w:rsidR="003E482A">
              <w:tab/>
            </w:r>
            <w:r w:rsidR="003E482A">
              <w:fldChar w:fldCharType="begin"/>
            </w:r>
            <w:r w:rsidR="003E482A">
              <w:instrText>PAGEREF _Toc277613375 \h</w:instrText>
            </w:r>
            <w:r w:rsidR="003E482A">
              <w:fldChar w:fldCharType="separate"/>
            </w:r>
            <w:r w:rsidRPr="4A455F35">
              <w:rPr>
                <w:rStyle w:val="Hyperlink"/>
              </w:rPr>
              <w:t>10</w:t>
            </w:r>
            <w:r w:rsidR="003E482A">
              <w:fldChar w:fldCharType="end"/>
            </w:r>
          </w:hyperlink>
        </w:p>
        <w:p w14:paraId="52AA3442" w14:textId="312877F9" w:rsidR="003E482A" w:rsidRDefault="4A455F35" w:rsidP="4A455F35">
          <w:pPr>
            <w:pStyle w:val="TOC2"/>
            <w:tabs>
              <w:tab w:val="right" w:leader="dot" w:pos="9840"/>
            </w:tabs>
            <w:rPr>
              <w:rStyle w:val="Hyperlink"/>
              <w:noProof/>
              <w:kern w:val="2"/>
              <w:lang w:eastAsia="en-AU"/>
              <w14:ligatures w14:val="standardContextual"/>
            </w:rPr>
          </w:pPr>
          <w:hyperlink w:anchor="_Toc2082742394">
            <w:r w:rsidRPr="4A455F35">
              <w:rPr>
                <w:rStyle w:val="Hyperlink"/>
              </w:rPr>
              <w:t>4.5 Same Local Area</w:t>
            </w:r>
            <w:r w:rsidR="003E482A">
              <w:tab/>
            </w:r>
            <w:r w:rsidR="003E482A">
              <w:fldChar w:fldCharType="begin"/>
            </w:r>
            <w:r w:rsidR="003E482A">
              <w:instrText>PAGEREF _Toc2082742394 \h</w:instrText>
            </w:r>
            <w:r w:rsidR="003E482A">
              <w:fldChar w:fldCharType="separate"/>
            </w:r>
            <w:r w:rsidRPr="4A455F35">
              <w:rPr>
                <w:rStyle w:val="Hyperlink"/>
              </w:rPr>
              <w:t>11</w:t>
            </w:r>
            <w:r w:rsidR="003E482A">
              <w:fldChar w:fldCharType="end"/>
            </w:r>
          </w:hyperlink>
        </w:p>
        <w:p w14:paraId="66A3B5D2" w14:textId="3F698C0E" w:rsidR="003E482A" w:rsidRDefault="4A455F35" w:rsidP="4A455F35">
          <w:pPr>
            <w:pStyle w:val="TOC2"/>
            <w:tabs>
              <w:tab w:val="right" w:leader="dot" w:pos="9840"/>
            </w:tabs>
            <w:rPr>
              <w:rStyle w:val="Hyperlink"/>
              <w:noProof/>
              <w:kern w:val="2"/>
              <w:lang w:eastAsia="en-AU"/>
              <w14:ligatures w14:val="standardContextual"/>
            </w:rPr>
          </w:pPr>
          <w:hyperlink w:anchor="_Toc1399908999">
            <w:r w:rsidRPr="4A455F35">
              <w:rPr>
                <w:rStyle w:val="Hyperlink"/>
              </w:rPr>
              <w:t>4.6 Organisational change notification requirements</w:t>
            </w:r>
            <w:r w:rsidR="003E482A">
              <w:tab/>
            </w:r>
            <w:r w:rsidR="003E482A">
              <w:fldChar w:fldCharType="begin"/>
            </w:r>
            <w:r w:rsidR="003E482A">
              <w:instrText>PAGEREF _Toc1399908999 \h</w:instrText>
            </w:r>
            <w:r w:rsidR="003E482A">
              <w:fldChar w:fldCharType="separate"/>
            </w:r>
            <w:r w:rsidRPr="4A455F35">
              <w:rPr>
                <w:rStyle w:val="Hyperlink"/>
              </w:rPr>
              <w:t>11</w:t>
            </w:r>
            <w:r w:rsidR="003E482A">
              <w:fldChar w:fldCharType="end"/>
            </w:r>
          </w:hyperlink>
        </w:p>
        <w:p w14:paraId="31831E12" w14:textId="6BFE364C" w:rsidR="003E482A" w:rsidRDefault="4A455F35" w:rsidP="4A455F35">
          <w:pPr>
            <w:pStyle w:val="TOC1"/>
            <w:tabs>
              <w:tab w:val="left" w:pos="435"/>
              <w:tab w:val="right" w:leader="dot" w:pos="9840"/>
            </w:tabs>
            <w:rPr>
              <w:rStyle w:val="Hyperlink"/>
              <w:noProof/>
              <w:kern w:val="2"/>
              <w:lang w:eastAsia="en-AU"/>
              <w14:ligatures w14:val="standardContextual"/>
            </w:rPr>
          </w:pPr>
          <w:hyperlink w:anchor="_Toc748942790">
            <w:r w:rsidRPr="4A455F35">
              <w:rPr>
                <w:rStyle w:val="Hyperlink"/>
              </w:rPr>
              <w:t>5</w:t>
            </w:r>
            <w:r w:rsidR="003E482A">
              <w:tab/>
            </w:r>
            <w:r w:rsidRPr="4A455F35">
              <w:rPr>
                <w:rStyle w:val="Hyperlink"/>
              </w:rPr>
              <w:t>Practice accreditation</w:t>
            </w:r>
            <w:r w:rsidR="003E482A">
              <w:tab/>
            </w:r>
            <w:r w:rsidR="003E482A">
              <w:fldChar w:fldCharType="begin"/>
            </w:r>
            <w:r w:rsidR="003E482A">
              <w:instrText>PAGEREF _Toc748942790 \h</w:instrText>
            </w:r>
            <w:r w:rsidR="003E482A">
              <w:fldChar w:fldCharType="separate"/>
            </w:r>
            <w:r w:rsidRPr="4A455F35">
              <w:rPr>
                <w:rStyle w:val="Hyperlink"/>
              </w:rPr>
              <w:t>11</w:t>
            </w:r>
            <w:r w:rsidR="003E482A">
              <w:fldChar w:fldCharType="end"/>
            </w:r>
          </w:hyperlink>
        </w:p>
        <w:p w14:paraId="0E2557C8" w14:textId="328B5476"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957217929">
            <w:r w:rsidRPr="4A455F35">
              <w:rPr>
                <w:rStyle w:val="Hyperlink"/>
              </w:rPr>
              <w:t>5.1</w:t>
            </w:r>
            <w:r w:rsidR="003E482A">
              <w:tab/>
            </w:r>
            <w:r w:rsidRPr="4A455F35">
              <w:rPr>
                <w:rStyle w:val="Hyperlink"/>
              </w:rPr>
              <w:t>Non-accredited practices</w:t>
            </w:r>
            <w:r w:rsidR="003E482A">
              <w:tab/>
            </w:r>
            <w:r w:rsidR="003E482A">
              <w:fldChar w:fldCharType="begin"/>
            </w:r>
            <w:r w:rsidR="003E482A">
              <w:instrText>PAGEREF _Toc957217929 \h</w:instrText>
            </w:r>
            <w:r w:rsidR="003E482A">
              <w:fldChar w:fldCharType="separate"/>
            </w:r>
            <w:r w:rsidRPr="4A455F35">
              <w:rPr>
                <w:rStyle w:val="Hyperlink"/>
              </w:rPr>
              <w:t>12</w:t>
            </w:r>
            <w:r w:rsidR="003E482A">
              <w:fldChar w:fldCharType="end"/>
            </w:r>
          </w:hyperlink>
        </w:p>
        <w:p w14:paraId="49A552D2" w14:textId="69DCC671" w:rsidR="003E482A" w:rsidRDefault="4A455F35" w:rsidP="4A455F35">
          <w:pPr>
            <w:pStyle w:val="TOC3"/>
            <w:tabs>
              <w:tab w:val="left" w:pos="990"/>
              <w:tab w:val="right" w:leader="dot" w:pos="9840"/>
            </w:tabs>
            <w:rPr>
              <w:rStyle w:val="Hyperlink"/>
              <w:noProof/>
              <w:lang w:eastAsia="en-AU"/>
            </w:rPr>
          </w:pPr>
          <w:hyperlink w:anchor="_Toc312557894">
            <w:r w:rsidRPr="4A455F35">
              <w:rPr>
                <w:rStyle w:val="Hyperlink"/>
              </w:rPr>
              <w:t>5.1.1</w:t>
            </w:r>
            <w:r w:rsidR="003E482A">
              <w:tab/>
            </w:r>
            <w:r w:rsidRPr="4A455F35">
              <w:rPr>
                <w:rStyle w:val="Hyperlink"/>
              </w:rPr>
              <w:t>Accreditation extension and appeals requests – Australian Commission on Safety and Quality in Healthcare (the Commission)</w:t>
            </w:r>
            <w:r w:rsidR="003E482A">
              <w:tab/>
            </w:r>
            <w:r w:rsidR="003E482A">
              <w:fldChar w:fldCharType="begin"/>
            </w:r>
            <w:r w:rsidR="003E482A">
              <w:instrText>PAGEREF _Toc312557894 \h</w:instrText>
            </w:r>
            <w:r w:rsidR="003E482A">
              <w:fldChar w:fldCharType="separate"/>
            </w:r>
            <w:r w:rsidRPr="4A455F35">
              <w:rPr>
                <w:rStyle w:val="Hyperlink"/>
              </w:rPr>
              <w:t>12</w:t>
            </w:r>
            <w:r w:rsidR="003E482A">
              <w:fldChar w:fldCharType="end"/>
            </w:r>
          </w:hyperlink>
        </w:p>
        <w:p w14:paraId="666720D9" w14:textId="3E95A84E" w:rsidR="003E482A" w:rsidRDefault="4A455F35" w:rsidP="4A455F35">
          <w:pPr>
            <w:pStyle w:val="TOC3"/>
            <w:tabs>
              <w:tab w:val="left" w:pos="990"/>
              <w:tab w:val="right" w:leader="dot" w:pos="9840"/>
            </w:tabs>
            <w:rPr>
              <w:rStyle w:val="Hyperlink"/>
              <w:noProof/>
              <w:lang w:eastAsia="en-AU"/>
            </w:rPr>
          </w:pPr>
          <w:hyperlink w:anchor="_Toc72990184">
            <w:r w:rsidRPr="4A455F35">
              <w:rPr>
                <w:rStyle w:val="Hyperlink"/>
              </w:rPr>
              <w:t>5.1.2</w:t>
            </w:r>
            <w:r w:rsidR="003E482A">
              <w:tab/>
            </w:r>
            <w:r w:rsidRPr="4A455F35">
              <w:rPr>
                <w:rStyle w:val="Hyperlink"/>
              </w:rPr>
              <w:t>Temporary exemption to the MyMedicare accreditation requirement</w:t>
            </w:r>
            <w:r w:rsidR="003E482A">
              <w:tab/>
            </w:r>
            <w:r w:rsidR="003E482A">
              <w:fldChar w:fldCharType="begin"/>
            </w:r>
            <w:r w:rsidR="003E482A">
              <w:instrText>PAGEREF _Toc72990184 \h</w:instrText>
            </w:r>
            <w:r w:rsidR="003E482A">
              <w:fldChar w:fldCharType="separate"/>
            </w:r>
            <w:r w:rsidRPr="4A455F35">
              <w:rPr>
                <w:rStyle w:val="Hyperlink"/>
              </w:rPr>
              <w:t>12</w:t>
            </w:r>
            <w:r w:rsidR="003E482A">
              <w:fldChar w:fldCharType="end"/>
            </w:r>
          </w:hyperlink>
        </w:p>
        <w:p w14:paraId="1D640784" w14:textId="216CF3D2"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430980959">
            <w:r w:rsidRPr="4A455F35">
              <w:rPr>
                <w:rStyle w:val="Hyperlink"/>
              </w:rPr>
              <w:t>5.2</w:t>
            </w:r>
            <w:r w:rsidR="003E482A">
              <w:tab/>
            </w:r>
            <w:r w:rsidRPr="4A455F35">
              <w:rPr>
                <w:rStyle w:val="Hyperlink"/>
              </w:rPr>
              <w:t>Temporary accreditation exemption – non-traditional practice models</w:t>
            </w:r>
            <w:r w:rsidR="003E482A">
              <w:tab/>
            </w:r>
            <w:r w:rsidR="003E482A">
              <w:fldChar w:fldCharType="begin"/>
            </w:r>
            <w:r w:rsidR="003E482A">
              <w:instrText>PAGEREF _Toc1430980959 \h</w:instrText>
            </w:r>
            <w:r w:rsidR="003E482A">
              <w:fldChar w:fldCharType="separate"/>
            </w:r>
            <w:r w:rsidRPr="4A455F35">
              <w:rPr>
                <w:rStyle w:val="Hyperlink"/>
              </w:rPr>
              <w:t>13</w:t>
            </w:r>
            <w:r w:rsidR="003E482A">
              <w:fldChar w:fldCharType="end"/>
            </w:r>
          </w:hyperlink>
        </w:p>
        <w:p w14:paraId="21810EE6" w14:textId="72E823FB"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759004889">
            <w:r w:rsidRPr="4A455F35">
              <w:rPr>
                <w:rStyle w:val="Hyperlink"/>
              </w:rPr>
              <w:t>5.3</w:t>
            </w:r>
            <w:r w:rsidR="003E482A">
              <w:tab/>
            </w:r>
            <w:r w:rsidRPr="4A455F35">
              <w:rPr>
                <w:rStyle w:val="Hyperlink"/>
              </w:rPr>
              <w:t>Accreditation exemption – Bulk Billing Practice Incentive Program</w:t>
            </w:r>
            <w:r w:rsidR="003E482A">
              <w:tab/>
            </w:r>
            <w:r w:rsidR="003E482A">
              <w:fldChar w:fldCharType="begin"/>
            </w:r>
            <w:r w:rsidR="003E482A">
              <w:instrText>PAGEREF _Toc1759004889 \h</w:instrText>
            </w:r>
            <w:r w:rsidR="003E482A">
              <w:fldChar w:fldCharType="separate"/>
            </w:r>
            <w:r w:rsidRPr="4A455F35">
              <w:rPr>
                <w:rStyle w:val="Hyperlink"/>
              </w:rPr>
              <w:t>13</w:t>
            </w:r>
            <w:r w:rsidR="003E482A">
              <w:fldChar w:fldCharType="end"/>
            </w:r>
          </w:hyperlink>
        </w:p>
        <w:p w14:paraId="6F254D04" w14:textId="2AD77879" w:rsidR="003E482A" w:rsidRDefault="4A455F35" w:rsidP="4A455F35">
          <w:pPr>
            <w:pStyle w:val="TOC2"/>
            <w:tabs>
              <w:tab w:val="right" w:leader="dot" w:pos="9840"/>
            </w:tabs>
            <w:rPr>
              <w:rStyle w:val="Hyperlink"/>
              <w:noProof/>
              <w:kern w:val="2"/>
              <w:lang w:eastAsia="en-AU"/>
              <w14:ligatures w14:val="standardContextual"/>
            </w:rPr>
          </w:pPr>
          <w:hyperlink w:anchor="_Toc178873483">
            <w:r w:rsidRPr="4A455F35">
              <w:rPr>
                <w:rStyle w:val="Hyperlink"/>
              </w:rPr>
              <w:t>Withdrawal of Accreditation</w:t>
            </w:r>
            <w:r w:rsidR="003E482A">
              <w:tab/>
            </w:r>
            <w:r w:rsidR="003E482A">
              <w:fldChar w:fldCharType="begin"/>
            </w:r>
            <w:r w:rsidR="003E482A">
              <w:instrText>PAGEREF _Toc178873483 \h</w:instrText>
            </w:r>
            <w:r w:rsidR="003E482A">
              <w:fldChar w:fldCharType="separate"/>
            </w:r>
            <w:r w:rsidRPr="4A455F35">
              <w:rPr>
                <w:rStyle w:val="Hyperlink"/>
              </w:rPr>
              <w:t>14</w:t>
            </w:r>
            <w:r w:rsidR="003E482A">
              <w:fldChar w:fldCharType="end"/>
            </w:r>
          </w:hyperlink>
        </w:p>
        <w:p w14:paraId="05088CE4" w14:textId="3ADF3121" w:rsidR="003E482A" w:rsidRDefault="4A455F35" w:rsidP="4A455F35">
          <w:pPr>
            <w:pStyle w:val="TOC1"/>
            <w:tabs>
              <w:tab w:val="left" w:pos="435"/>
              <w:tab w:val="right" w:leader="dot" w:pos="9840"/>
            </w:tabs>
            <w:rPr>
              <w:rStyle w:val="Hyperlink"/>
              <w:noProof/>
              <w:kern w:val="2"/>
              <w:lang w:eastAsia="en-AU"/>
              <w14:ligatures w14:val="standardContextual"/>
            </w:rPr>
          </w:pPr>
          <w:hyperlink w:anchor="_Toc1646898388">
            <w:r w:rsidRPr="4A455F35">
              <w:rPr>
                <w:rStyle w:val="Hyperlink"/>
              </w:rPr>
              <w:t>6</w:t>
            </w:r>
            <w:r w:rsidR="003E482A">
              <w:tab/>
            </w:r>
            <w:r w:rsidRPr="4A455F35">
              <w:rPr>
                <w:rStyle w:val="Hyperlink"/>
              </w:rPr>
              <w:t>Provider registration requirements</w:t>
            </w:r>
            <w:r w:rsidR="003E482A">
              <w:tab/>
            </w:r>
            <w:r w:rsidR="003E482A">
              <w:fldChar w:fldCharType="begin"/>
            </w:r>
            <w:r w:rsidR="003E482A">
              <w:instrText>PAGEREF _Toc1646898388 \h</w:instrText>
            </w:r>
            <w:r w:rsidR="003E482A">
              <w:fldChar w:fldCharType="separate"/>
            </w:r>
            <w:r w:rsidRPr="4A455F35">
              <w:rPr>
                <w:rStyle w:val="Hyperlink"/>
              </w:rPr>
              <w:t>14</w:t>
            </w:r>
            <w:r w:rsidR="003E482A">
              <w:fldChar w:fldCharType="end"/>
            </w:r>
          </w:hyperlink>
        </w:p>
        <w:p w14:paraId="3411B2D0" w14:textId="5650553B"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609479539">
            <w:r w:rsidRPr="4A455F35">
              <w:rPr>
                <w:rStyle w:val="Hyperlink"/>
              </w:rPr>
              <w:t>6.1</w:t>
            </w:r>
            <w:r w:rsidR="003E482A">
              <w:tab/>
            </w:r>
            <w:r w:rsidRPr="4A455F35">
              <w:rPr>
                <w:rStyle w:val="Hyperlink"/>
              </w:rPr>
              <w:t>Provider requirements</w:t>
            </w:r>
            <w:r w:rsidR="003E482A">
              <w:tab/>
            </w:r>
            <w:r w:rsidR="003E482A">
              <w:fldChar w:fldCharType="begin"/>
            </w:r>
            <w:r w:rsidR="003E482A">
              <w:instrText>PAGEREF _Toc1609479539 \h</w:instrText>
            </w:r>
            <w:r w:rsidR="003E482A">
              <w:fldChar w:fldCharType="separate"/>
            </w:r>
            <w:r w:rsidRPr="4A455F35">
              <w:rPr>
                <w:rStyle w:val="Hyperlink"/>
              </w:rPr>
              <w:t>14</w:t>
            </w:r>
            <w:r w:rsidR="003E482A">
              <w:fldChar w:fldCharType="end"/>
            </w:r>
          </w:hyperlink>
        </w:p>
        <w:p w14:paraId="2605A0F1" w14:textId="73DAEBF4" w:rsidR="003E482A" w:rsidRDefault="4A455F35" w:rsidP="4A455F35">
          <w:pPr>
            <w:pStyle w:val="TOC1"/>
            <w:tabs>
              <w:tab w:val="right" w:leader="dot" w:pos="9840"/>
            </w:tabs>
            <w:rPr>
              <w:rStyle w:val="Hyperlink"/>
              <w:noProof/>
              <w:kern w:val="2"/>
              <w:lang w:eastAsia="en-AU"/>
              <w14:ligatures w14:val="standardContextual"/>
            </w:rPr>
          </w:pPr>
          <w:hyperlink w:anchor="_Toc1687076578">
            <w:r w:rsidRPr="4A455F35">
              <w:rPr>
                <w:rStyle w:val="Hyperlink"/>
              </w:rPr>
              <w:t>Patient registration requirements</w:t>
            </w:r>
            <w:r w:rsidR="003E482A">
              <w:tab/>
            </w:r>
            <w:r w:rsidR="003E482A">
              <w:fldChar w:fldCharType="begin"/>
            </w:r>
            <w:r w:rsidR="003E482A">
              <w:instrText>PAGEREF _Toc1687076578 \h</w:instrText>
            </w:r>
            <w:r w:rsidR="003E482A">
              <w:fldChar w:fldCharType="separate"/>
            </w:r>
            <w:r w:rsidRPr="4A455F35">
              <w:rPr>
                <w:rStyle w:val="Hyperlink"/>
              </w:rPr>
              <w:t>14</w:t>
            </w:r>
            <w:r w:rsidR="003E482A">
              <w:fldChar w:fldCharType="end"/>
            </w:r>
          </w:hyperlink>
        </w:p>
        <w:p w14:paraId="40FC0D0D" w14:textId="13A4746C"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500492588">
            <w:r w:rsidRPr="4A455F35">
              <w:rPr>
                <w:rStyle w:val="Hyperlink"/>
              </w:rPr>
              <w:t>6.2</w:t>
            </w:r>
            <w:r w:rsidR="003E482A">
              <w:tab/>
            </w:r>
            <w:r w:rsidRPr="4A455F35">
              <w:rPr>
                <w:rStyle w:val="Hyperlink"/>
              </w:rPr>
              <w:t>Patient registrations</w:t>
            </w:r>
            <w:r w:rsidR="003E482A">
              <w:tab/>
            </w:r>
            <w:r w:rsidR="003E482A">
              <w:fldChar w:fldCharType="begin"/>
            </w:r>
            <w:r w:rsidR="003E482A">
              <w:instrText>PAGEREF _Toc500492588 \h</w:instrText>
            </w:r>
            <w:r w:rsidR="003E482A">
              <w:fldChar w:fldCharType="separate"/>
            </w:r>
            <w:r w:rsidRPr="4A455F35">
              <w:rPr>
                <w:rStyle w:val="Hyperlink"/>
              </w:rPr>
              <w:t>14</w:t>
            </w:r>
            <w:r w:rsidR="003E482A">
              <w:fldChar w:fldCharType="end"/>
            </w:r>
          </w:hyperlink>
        </w:p>
        <w:p w14:paraId="208D7AD9" w14:textId="3D714CED" w:rsidR="003E482A" w:rsidRDefault="4A455F35" w:rsidP="4A455F35">
          <w:pPr>
            <w:pStyle w:val="TOC2"/>
            <w:tabs>
              <w:tab w:val="right" w:leader="dot" w:pos="9840"/>
            </w:tabs>
            <w:rPr>
              <w:rStyle w:val="Hyperlink"/>
              <w:noProof/>
              <w:kern w:val="2"/>
              <w:lang w:eastAsia="en-AU"/>
              <w14:ligatures w14:val="standardContextual"/>
            </w:rPr>
          </w:pPr>
          <w:hyperlink w:anchor="_Toc1960681647">
            <w:r w:rsidRPr="4A455F35">
              <w:rPr>
                <w:rStyle w:val="Hyperlink"/>
              </w:rPr>
              <w:t>6.2.1 Online registration</w:t>
            </w:r>
            <w:r w:rsidR="003E482A">
              <w:tab/>
            </w:r>
            <w:r w:rsidR="003E482A">
              <w:fldChar w:fldCharType="begin"/>
            </w:r>
            <w:r w:rsidR="003E482A">
              <w:instrText>PAGEREF _Toc1960681647 \h</w:instrText>
            </w:r>
            <w:r w:rsidR="003E482A">
              <w:fldChar w:fldCharType="separate"/>
            </w:r>
            <w:r w:rsidRPr="4A455F35">
              <w:rPr>
                <w:rStyle w:val="Hyperlink"/>
              </w:rPr>
              <w:t>14</w:t>
            </w:r>
            <w:r w:rsidR="003E482A">
              <w:fldChar w:fldCharType="end"/>
            </w:r>
          </w:hyperlink>
        </w:p>
        <w:p w14:paraId="6EAEA97A" w14:textId="10ADAB9D" w:rsidR="003E482A" w:rsidRDefault="4A455F35" w:rsidP="4A455F35">
          <w:pPr>
            <w:pStyle w:val="TOC2"/>
            <w:tabs>
              <w:tab w:val="right" w:leader="dot" w:pos="9840"/>
            </w:tabs>
            <w:rPr>
              <w:rStyle w:val="Hyperlink"/>
              <w:noProof/>
              <w:kern w:val="2"/>
              <w:lang w:eastAsia="en-AU"/>
              <w14:ligatures w14:val="standardContextual"/>
            </w:rPr>
          </w:pPr>
          <w:hyperlink w:anchor="_Toc1476794490">
            <w:r w:rsidRPr="4A455F35">
              <w:rPr>
                <w:rStyle w:val="Hyperlink"/>
              </w:rPr>
              <w:t>6.2.2 In-person registrations</w:t>
            </w:r>
            <w:r w:rsidR="003E482A">
              <w:tab/>
            </w:r>
            <w:r w:rsidR="003E482A">
              <w:fldChar w:fldCharType="begin"/>
            </w:r>
            <w:r w:rsidR="003E482A">
              <w:instrText>PAGEREF _Toc1476794490 \h</w:instrText>
            </w:r>
            <w:r w:rsidR="003E482A">
              <w:fldChar w:fldCharType="separate"/>
            </w:r>
            <w:r w:rsidRPr="4A455F35">
              <w:rPr>
                <w:rStyle w:val="Hyperlink"/>
              </w:rPr>
              <w:t>14</w:t>
            </w:r>
            <w:r w:rsidR="003E482A">
              <w:fldChar w:fldCharType="end"/>
            </w:r>
          </w:hyperlink>
        </w:p>
        <w:p w14:paraId="3DA89492" w14:textId="01682F3D" w:rsidR="003E482A" w:rsidRDefault="4A455F35" w:rsidP="4A455F35">
          <w:pPr>
            <w:pStyle w:val="TOC3"/>
            <w:tabs>
              <w:tab w:val="right" w:leader="dot" w:pos="9840"/>
            </w:tabs>
            <w:rPr>
              <w:rStyle w:val="Hyperlink"/>
              <w:noProof/>
              <w:lang w:eastAsia="en-AU"/>
            </w:rPr>
          </w:pPr>
          <w:hyperlink w:anchor="_Toc1787349674">
            <w:r w:rsidRPr="4A455F35">
              <w:rPr>
                <w:rStyle w:val="Hyperlink"/>
              </w:rPr>
              <w:t>6.2.3 Accepting patient-initiated registration</w:t>
            </w:r>
            <w:r w:rsidR="003E482A">
              <w:tab/>
            </w:r>
            <w:r w:rsidR="003E482A">
              <w:fldChar w:fldCharType="begin"/>
            </w:r>
            <w:r w:rsidR="003E482A">
              <w:instrText>PAGEREF _Toc1787349674 \h</w:instrText>
            </w:r>
            <w:r w:rsidR="003E482A">
              <w:fldChar w:fldCharType="separate"/>
            </w:r>
            <w:r w:rsidRPr="4A455F35">
              <w:rPr>
                <w:rStyle w:val="Hyperlink"/>
              </w:rPr>
              <w:t>15</w:t>
            </w:r>
            <w:r w:rsidR="003E482A">
              <w:fldChar w:fldCharType="end"/>
            </w:r>
          </w:hyperlink>
        </w:p>
        <w:p w14:paraId="07588A92" w14:textId="00DEF2E3"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13345823">
            <w:r w:rsidRPr="4A455F35">
              <w:rPr>
                <w:rStyle w:val="Hyperlink"/>
              </w:rPr>
              <w:t>6.3</w:t>
            </w:r>
            <w:r w:rsidR="003E482A">
              <w:tab/>
            </w:r>
            <w:r w:rsidRPr="4A455F35">
              <w:rPr>
                <w:rStyle w:val="Hyperlink"/>
              </w:rPr>
              <w:t>Patient eligibility requirements</w:t>
            </w:r>
            <w:r w:rsidR="003E482A">
              <w:tab/>
            </w:r>
            <w:r w:rsidR="003E482A">
              <w:fldChar w:fldCharType="begin"/>
            </w:r>
            <w:r w:rsidR="003E482A">
              <w:instrText>PAGEREF _Toc113345823 \h</w:instrText>
            </w:r>
            <w:r w:rsidR="003E482A">
              <w:fldChar w:fldCharType="separate"/>
            </w:r>
            <w:r w:rsidRPr="4A455F35">
              <w:rPr>
                <w:rStyle w:val="Hyperlink"/>
              </w:rPr>
              <w:t>15</w:t>
            </w:r>
            <w:r w:rsidR="003E482A">
              <w:fldChar w:fldCharType="end"/>
            </w:r>
          </w:hyperlink>
        </w:p>
        <w:p w14:paraId="6AC8BB3C" w14:textId="641079D7"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019147969">
            <w:r w:rsidRPr="4A455F35">
              <w:rPr>
                <w:rStyle w:val="Hyperlink"/>
              </w:rPr>
              <w:t>6.4</w:t>
            </w:r>
            <w:r w:rsidR="003E482A">
              <w:tab/>
            </w:r>
            <w:r w:rsidRPr="4A455F35">
              <w:rPr>
                <w:rStyle w:val="Hyperlink"/>
              </w:rPr>
              <w:t>Exemption to patient eligibility requirements</w:t>
            </w:r>
            <w:r w:rsidR="003E482A">
              <w:tab/>
            </w:r>
            <w:r w:rsidR="003E482A">
              <w:fldChar w:fldCharType="begin"/>
            </w:r>
            <w:r w:rsidR="003E482A">
              <w:instrText>PAGEREF _Toc1019147969 \h</w:instrText>
            </w:r>
            <w:r w:rsidR="003E482A">
              <w:fldChar w:fldCharType="separate"/>
            </w:r>
            <w:r w:rsidRPr="4A455F35">
              <w:rPr>
                <w:rStyle w:val="Hyperlink"/>
              </w:rPr>
              <w:t>16</w:t>
            </w:r>
            <w:r w:rsidR="003E482A">
              <w:fldChar w:fldCharType="end"/>
            </w:r>
          </w:hyperlink>
        </w:p>
        <w:p w14:paraId="31C3CF7B" w14:textId="638CBC54" w:rsidR="003E482A" w:rsidRDefault="4A455F35" w:rsidP="4A455F35">
          <w:pPr>
            <w:pStyle w:val="TOC3"/>
            <w:tabs>
              <w:tab w:val="left" w:pos="990"/>
              <w:tab w:val="right" w:leader="dot" w:pos="9840"/>
            </w:tabs>
            <w:rPr>
              <w:rStyle w:val="Hyperlink"/>
              <w:noProof/>
              <w:lang w:eastAsia="en-AU"/>
            </w:rPr>
          </w:pPr>
          <w:hyperlink w:anchor="_Toc112217708">
            <w:r w:rsidRPr="4A455F35">
              <w:rPr>
                <w:rStyle w:val="Hyperlink"/>
              </w:rPr>
              <w:t>6.4.1</w:t>
            </w:r>
            <w:r w:rsidR="003E482A">
              <w:tab/>
            </w:r>
            <w:r w:rsidRPr="4A455F35">
              <w:rPr>
                <w:rStyle w:val="Hyperlink"/>
              </w:rPr>
              <w:t>General exemptions</w:t>
            </w:r>
            <w:r w:rsidR="003E482A">
              <w:tab/>
            </w:r>
            <w:r w:rsidR="003E482A">
              <w:fldChar w:fldCharType="begin"/>
            </w:r>
            <w:r w:rsidR="003E482A">
              <w:instrText>PAGEREF _Toc112217708 \h</w:instrText>
            </w:r>
            <w:r w:rsidR="003E482A">
              <w:fldChar w:fldCharType="separate"/>
            </w:r>
            <w:r w:rsidRPr="4A455F35">
              <w:rPr>
                <w:rStyle w:val="Hyperlink"/>
              </w:rPr>
              <w:t>16</w:t>
            </w:r>
            <w:r w:rsidR="003E482A">
              <w:fldChar w:fldCharType="end"/>
            </w:r>
          </w:hyperlink>
        </w:p>
        <w:p w14:paraId="3FFB5DB4" w14:textId="243DFEA6" w:rsidR="003E482A" w:rsidRDefault="4A455F35" w:rsidP="4A455F35">
          <w:pPr>
            <w:pStyle w:val="TOC3"/>
            <w:tabs>
              <w:tab w:val="left" w:pos="990"/>
              <w:tab w:val="right" w:leader="dot" w:pos="9840"/>
            </w:tabs>
            <w:rPr>
              <w:rStyle w:val="Hyperlink"/>
              <w:noProof/>
              <w:lang w:eastAsia="en-AU"/>
            </w:rPr>
          </w:pPr>
          <w:hyperlink w:anchor="_Toc2014477654">
            <w:r w:rsidRPr="4A455F35">
              <w:rPr>
                <w:rStyle w:val="Hyperlink"/>
              </w:rPr>
              <w:t>6.4.2</w:t>
            </w:r>
            <w:r w:rsidR="003E482A">
              <w:tab/>
            </w:r>
            <w:r w:rsidRPr="4A455F35">
              <w:rPr>
                <w:rStyle w:val="Hyperlink"/>
              </w:rPr>
              <w:t>Exemptions for extenuating or unforeseen circumstances</w:t>
            </w:r>
            <w:r w:rsidR="003E482A">
              <w:tab/>
            </w:r>
            <w:r w:rsidR="003E482A">
              <w:fldChar w:fldCharType="begin"/>
            </w:r>
            <w:r w:rsidR="003E482A">
              <w:instrText>PAGEREF _Toc2014477654 \h</w:instrText>
            </w:r>
            <w:r w:rsidR="003E482A">
              <w:fldChar w:fldCharType="separate"/>
            </w:r>
            <w:r w:rsidRPr="4A455F35">
              <w:rPr>
                <w:rStyle w:val="Hyperlink"/>
              </w:rPr>
              <w:t>16</w:t>
            </w:r>
            <w:r w:rsidR="003E482A">
              <w:fldChar w:fldCharType="end"/>
            </w:r>
          </w:hyperlink>
        </w:p>
        <w:p w14:paraId="294688D3" w14:textId="2C05E6B5"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20596483">
            <w:r w:rsidRPr="4A455F35">
              <w:rPr>
                <w:rStyle w:val="Hyperlink"/>
              </w:rPr>
              <w:t>6.5</w:t>
            </w:r>
            <w:r w:rsidR="003E482A">
              <w:tab/>
            </w:r>
            <w:r w:rsidRPr="4A455F35">
              <w:rPr>
                <w:rStyle w:val="Hyperlink"/>
              </w:rPr>
              <w:t>‘About You’ questions (demographics)</w:t>
            </w:r>
            <w:r w:rsidR="003E482A">
              <w:tab/>
            </w:r>
            <w:r w:rsidR="003E482A">
              <w:fldChar w:fldCharType="begin"/>
            </w:r>
            <w:r w:rsidR="003E482A">
              <w:instrText>PAGEREF _Toc20596483 \h</w:instrText>
            </w:r>
            <w:r w:rsidR="003E482A">
              <w:fldChar w:fldCharType="separate"/>
            </w:r>
            <w:r w:rsidRPr="4A455F35">
              <w:rPr>
                <w:rStyle w:val="Hyperlink"/>
              </w:rPr>
              <w:t>16</w:t>
            </w:r>
            <w:r w:rsidR="003E482A">
              <w:fldChar w:fldCharType="end"/>
            </w:r>
          </w:hyperlink>
        </w:p>
        <w:p w14:paraId="11FBD69B" w14:textId="5162C073"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1943760690">
            <w:r w:rsidRPr="4A455F35">
              <w:rPr>
                <w:rStyle w:val="Hyperlink"/>
              </w:rPr>
              <w:t>6.6</w:t>
            </w:r>
            <w:r w:rsidR="003E482A">
              <w:tab/>
            </w:r>
            <w:r w:rsidRPr="4A455F35">
              <w:rPr>
                <w:rStyle w:val="Hyperlink"/>
              </w:rPr>
              <w:t>Reduced MBS service eligibility requirements</w:t>
            </w:r>
            <w:r w:rsidR="003E482A">
              <w:tab/>
            </w:r>
            <w:r w:rsidR="003E482A">
              <w:fldChar w:fldCharType="begin"/>
            </w:r>
            <w:r w:rsidR="003E482A">
              <w:instrText>PAGEREF _Toc1943760690 \h</w:instrText>
            </w:r>
            <w:r w:rsidR="003E482A">
              <w:fldChar w:fldCharType="separate"/>
            </w:r>
            <w:r w:rsidRPr="4A455F35">
              <w:rPr>
                <w:rStyle w:val="Hyperlink"/>
              </w:rPr>
              <w:t>17</w:t>
            </w:r>
            <w:r w:rsidR="003E482A">
              <w:fldChar w:fldCharType="end"/>
            </w:r>
          </w:hyperlink>
        </w:p>
        <w:p w14:paraId="0564A485" w14:textId="21CEDC50"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696685325">
            <w:r w:rsidRPr="4A455F35">
              <w:rPr>
                <w:rStyle w:val="Hyperlink"/>
              </w:rPr>
              <w:t>6.7</w:t>
            </w:r>
            <w:r w:rsidR="003E482A">
              <w:tab/>
            </w:r>
            <w:r w:rsidRPr="4A455F35">
              <w:rPr>
                <w:rStyle w:val="Hyperlink"/>
              </w:rPr>
              <w:t>Changing the preferred GP</w:t>
            </w:r>
            <w:r w:rsidR="003E482A">
              <w:tab/>
            </w:r>
            <w:r w:rsidR="003E482A">
              <w:fldChar w:fldCharType="begin"/>
            </w:r>
            <w:r w:rsidR="003E482A">
              <w:instrText>PAGEREF _Toc696685325 \h</w:instrText>
            </w:r>
            <w:r w:rsidR="003E482A">
              <w:fldChar w:fldCharType="separate"/>
            </w:r>
            <w:r w:rsidRPr="4A455F35">
              <w:rPr>
                <w:rStyle w:val="Hyperlink"/>
              </w:rPr>
              <w:t>17</w:t>
            </w:r>
            <w:r w:rsidR="003E482A">
              <w:fldChar w:fldCharType="end"/>
            </w:r>
          </w:hyperlink>
        </w:p>
        <w:p w14:paraId="01083C3D" w14:textId="24E38813" w:rsidR="003E482A" w:rsidRDefault="4A455F35" w:rsidP="4A455F35">
          <w:pPr>
            <w:pStyle w:val="TOC1"/>
            <w:tabs>
              <w:tab w:val="left" w:pos="435"/>
              <w:tab w:val="right" w:leader="dot" w:pos="9840"/>
            </w:tabs>
            <w:rPr>
              <w:rStyle w:val="Hyperlink"/>
              <w:noProof/>
              <w:kern w:val="2"/>
              <w:lang w:eastAsia="en-AU"/>
              <w14:ligatures w14:val="standardContextual"/>
            </w:rPr>
          </w:pPr>
          <w:hyperlink w:anchor="_Toc1516599071">
            <w:r w:rsidRPr="4A455F35">
              <w:rPr>
                <w:rStyle w:val="Hyperlink"/>
              </w:rPr>
              <w:t>7</w:t>
            </w:r>
            <w:r w:rsidR="003E482A">
              <w:tab/>
            </w:r>
            <w:r w:rsidRPr="4A455F35">
              <w:rPr>
                <w:rStyle w:val="Hyperlink"/>
              </w:rPr>
              <w:t>Consent</w:t>
            </w:r>
            <w:r w:rsidR="003E482A">
              <w:tab/>
            </w:r>
            <w:r w:rsidR="003E482A">
              <w:fldChar w:fldCharType="begin"/>
            </w:r>
            <w:r w:rsidR="003E482A">
              <w:instrText>PAGEREF _Toc1516599071 \h</w:instrText>
            </w:r>
            <w:r w:rsidR="003E482A">
              <w:fldChar w:fldCharType="separate"/>
            </w:r>
            <w:r w:rsidRPr="4A455F35">
              <w:rPr>
                <w:rStyle w:val="Hyperlink"/>
              </w:rPr>
              <w:t>17</w:t>
            </w:r>
            <w:r w:rsidR="003E482A">
              <w:fldChar w:fldCharType="end"/>
            </w:r>
          </w:hyperlink>
        </w:p>
        <w:p w14:paraId="33FBB34C" w14:textId="1A3A29C6"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712935078">
            <w:r w:rsidRPr="4A455F35">
              <w:rPr>
                <w:rStyle w:val="Hyperlink"/>
              </w:rPr>
              <w:t>7.1</w:t>
            </w:r>
            <w:r w:rsidR="003E482A">
              <w:tab/>
            </w:r>
            <w:r w:rsidRPr="4A455F35">
              <w:rPr>
                <w:rStyle w:val="Hyperlink"/>
              </w:rPr>
              <w:t>Adult patients</w:t>
            </w:r>
            <w:r w:rsidR="003E482A">
              <w:tab/>
            </w:r>
            <w:r w:rsidR="003E482A">
              <w:fldChar w:fldCharType="begin"/>
            </w:r>
            <w:r w:rsidR="003E482A">
              <w:instrText>PAGEREF _Toc712935078 \h</w:instrText>
            </w:r>
            <w:r w:rsidR="003E482A">
              <w:fldChar w:fldCharType="separate"/>
            </w:r>
            <w:r w:rsidRPr="4A455F35">
              <w:rPr>
                <w:rStyle w:val="Hyperlink"/>
              </w:rPr>
              <w:t>17</w:t>
            </w:r>
            <w:r w:rsidR="003E482A">
              <w:fldChar w:fldCharType="end"/>
            </w:r>
          </w:hyperlink>
        </w:p>
        <w:p w14:paraId="5A1A3ADC" w14:textId="11A15A2E"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860928803">
            <w:r w:rsidRPr="4A455F35">
              <w:rPr>
                <w:rStyle w:val="Hyperlink"/>
              </w:rPr>
              <w:t>7.2</w:t>
            </w:r>
            <w:r w:rsidR="003E482A">
              <w:tab/>
            </w:r>
            <w:r w:rsidRPr="4A455F35">
              <w:rPr>
                <w:rStyle w:val="Hyperlink"/>
              </w:rPr>
              <w:t>Young person patient</w:t>
            </w:r>
            <w:r w:rsidR="003E482A">
              <w:tab/>
            </w:r>
            <w:r w:rsidR="003E482A">
              <w:fldChar w:fldCharType="begin"/>
            </w:r>
            <w:r w:rsidR="003E482A">
              <w:instrText>PAGEREF _Toc860928803 \h</w:instrText>
            </w:r>
            <w:r w:rsidR="003E482A">
              <w:fldChar w:fldCharType="separate"/>
            </w:r>
            <w:r w:rsidRPr="4A455F35">
              <w:rPr>
                <w:rStyle w:val="Hyperlink"/>
              </w:rPr>
              <w:t>18</w:t>
            </w:r>
            <w:r w:rsidR="003E482A">
              <w:fldChar w:fldCharType="end"/>
            </w:r>
          </w:hyperlink>
        </w:p>
        <w:p w14:paraId="3B50DD81" w14:textId="0E408F76" w:rsidR="003E482A" w:rsidRDefault="4A455F35" w:rsidP="4A455F35">
          <w:pPr>
            <w:pStyle w:val="TOC2"/>
            <w:tabs>
              <w:tab w:val="left" w:pos="660"/>
              <w:tab w:val="right" w:leader="dot" w:pos="9840"/>
            </w:tabs>
            <w:rPr>
              <w:rStyle w:val="Hyperlink"/>
              <w:noProof/>
              <w:kern w:val="2"/>
              <w:lang w:eastAsia="en-AU"/>
              <w14:ligatures w14:val="standardContextual"/>
            </w:rPr>
          </w:pPr>
          <w:hyperlink w:anchor="_Toc2055158784">
            <w:r w:rsidRPr="4A455F35">
              <w:rPr>
                <w:rStyle w:val="Hyperlink"/>
              </w:rPr>
              <w:t>7.3</w:t>
            </w:r>
            <w:r w:rsidR="003E482A">
              <w:tab/>
            </w:r>
            <w:r w:rsidRPr="4A455F35">
              <w:rPr>
                <w:rStyle w:val="Hyperlink"/>
              </w:rPr>
              <w:t>Under 14 years of age patient</w:t>
            </w:r>
            <w:r w:rsidR="003E482A">
              <w:tab/>
            </w:r>
            <w:r w:rsidR="003E482A">
              <w:fldChar w:fldCharType="begin"/>
            </w:r>
            <w:r w:rsidR="003E482A">
              <w:instrText>PAGEREF _Toc2055158784 \h</w:instrText>
            </w:r>
            <w:r w:rsidR="003E482A">
              <w:fldChar w:fldCharType="separate"/>
            </w:r>
            <w:r w:rsidRPr="4A455F35">
              <w:rPr>
                <w:rStyle w:val="Hyperlink"/>
              </w:rPr>
              <w:t>18</w:t>
            </w:r>
            <w:r w:rsidR="003E482A">
              <w:fldChar w:fldCharType="end"/>
            </w:r>
          </w:hyperlink>
        </w:p>
        <w:p w14:paraId="273FC88D" w14:textId="3FFB0B19" w:rsidR="4A455F35" w:rsidRDefault="4A455F35" w:rsidP="4A455F35">
          <w:pPr>
            <w:pStyle w:val="TOC2"/>
            <w:tabs>
              <w:tab w:val="left" w:pos="660"/>
              <w:tab w:val="right" w:leader="dot" w:pos="9840"/>
            </w:tabs>
            <w:rPr>
              <w:rStyle w:val="Hyperlink"/>
            </w:rPr>
          </w:pPr>
          <w:hyperlink w:anchor="_Toc1653401680">
            <w:r w:rsidRPr="4A455F35">
              <w:rPr>
                <w:rStyle w:val="Hyperlink"/>
              </w:rPr>
              <w:t>7.4</w:t>
            </w:r>
            <w:r>
              <w:tab/>
            </w:r>
            <w:r w:rsidRPr="4A455F35">
              <w:rPr>
                <w:rStyle w:val="Hyperlink"/>
              </w:rPr>
              <w:t>Lack of capacity to consent in MyMedicare</w:t>
            </w:r>
            <w:r>
              <w:tab/>
            </w:r>
            <w:r>
              <w:fldChar w:fldCharType="begin"/>
            </w:r>
            <w:r>
              <w:instrText>PAGEREF _Toc1653401680 \h</w:instrText>
            </w:r>
            <w:r>
              <w:fldChar w:fldCharType="separate"/>
            </w:r>
            <w:r w:rsidRPr="4A455F35">
              <w:rPr>
                <w:rStyle w:val="Hyperlink"/>
              </w:rPr>
              <w:t>18</w:t>
            </w:r>
            <w:r>
              <w:fldChar w:fldCharType="end"/>
            </w:r>
          </w:hyperlink>
        </w:p>
        <w:p w14:paraId="007CFA15" w14:textId="05A035C8" w:rsidR="4A455F35" w:rsidRDefault="4A455F35" w:rsidP="4A455F35">
          <w:pPr>
            <w:pStyle w:val="TOC1"/>
            <w:tabs>
              <w:tab w:val="left" w:pos="435"/>
              <w:tab w:val="right" w:leader="dot" w:pos="9840"/>
            </w:tabs>
            <w:rPr>
              <w:rStyle w:val="Hyperlink"/>
            </w:rPr>
          </w:pPr>
          <w:hyperlink w:anchor="_Toc736253691">
            <w:r w:rsidRPr="4A455F35">
              <w:rPr>
                <w:rStyle w:val="Hyperlink"/>
              </w:rPr>
              <w:t>8</w:t>
            </w:r>
            <w:r>
              <w:tab/>
            </w:r>
            <w:r w:rsidRPr="4A455F35">
              <w:rPr>
                <w:rStyle w:val="Hyperlink"/>
              </w:rPr>
              <w:t>Withdrawing from MyMedicare</w:t>
            </w:r>
            <w:r>
              <w:tab/>
            </w:r>
            <w:r>
              <w:fldChar w:fldCharType="begin"/>
            </w:r>
            <w:r>
              <w:instrText>PAGEREF _Toc736253691 \h</w:instrText>
            </w:r>
            <w:r>
              <w:fldChar w:fldCharType="separate"/>
            </w:r>
            <w:r w:rsidRPr="4A455F35">
              <w:rPr>
                <w:rStyle w:val="Hyperlink"/>
              </w:rPr>
              <w:t>18</w:t>
            </w:r>
            <w:r>
              <w:fldChar w:fldCharType="end"/>
            </w:r>
          </w:hyperlink>
        </w:p>
        <w:p w14:paraId="7F9F13FA" w14:textId="5ED06C58" w:rsidR="4A455F35" w:rsidRDefault="4A455F35" w:rsidP="4A455F35">
          <w:pPr>
            <w:pStyle w:val="TOC1"/>
            <w:tabs>
              <w:tab w:val="left" w:pos="435"/>
              <w:tab w:val="right" w:leader="dot" w:pos="9840"/>
            </w:tabs>
            <w:rPr>
              <w:rStyle w:val="Hyperlink"/>
            </w:rPr>
          </w:pPr>
          <w:hyperlink w:anchor="_Toc1741863626">
            <w:r w:rsidRPr="4A455F35">
              <w:rPr>
                <w:rStyle w:val="Hyperlink"/>
              </w:rPr>
              <w:t>9</w:t>
            </w:r>
            <w:r>
              <w:tab/>
            </w:r>
            <w:r w:rsidRPr="4A455F35">
              <w:rPr>
                <w:rStyle w:val="Hyperlink"/>
              </w:rPr>
              <w:t>MBS items linked to MyMedicare</w:t>
            </w:r>
            <w:r>
              <w:tab/>
            </w:r>
            <w:r>
              <w:fldChar w:fldCharType="begin"/>
            </w:r>
            <w:r>
              <w:instrText>PAGEREF _Toc1741863626 \h</w:instrText>
            </w:r>
            <w:r>
              <w:fldChar w:fldCharType="separate"/>
            </w:r>
            <w:r w:rsidRPr="4A455F35">
              <w:rPr>
                <w:rStyle w:val="Hyperlink"/>
              </w:rPr>
              <w:t>19</w:t>
            </w:r>
            <w:r>
              <w:fldChar w:fldCharType="end"/>
            </w:r>
          </w:hyperlink>
        </w:p>
        <w:p w14:paraId="6EB3EA47" w14:textId="42AE4DCD" w:rsidR="4A455F35" w:rsidRDefault="4A455F35" w:rsidP="4A455F35">
          <w:pPr>
            <w:pStyle w:val="TOC2"/>
            <w:tabs>
              <w:tab w:val="left" w:pos="660"/>
              <w:tab w:val="right" w:leader="dot" w:pos="9840"/>
            </w:tabs>
            <w:rPr>
              <w:rStyle w:val="Hyperlink"/>
            </w:rPr>
          </w:pPr>
          <w:hyperlink w:anchor="_Toc1513555604">
            <w:r w:rsidRPr="4A455F35">
              <w:rPr>
                <w:rStyle w:val="Hyperlink"/>
              </w:rPr>
              <w:t>9.1</w:t>
            </w:r>
            <w:r>
              <w:tab/>
            </w:r>
            <w:r w:rsidRPr="4A455F35">
              <w:rPr>
                <w:rStyle w:val="Hyperlink"/>
              </w:rPr>
              <w:t>Longer MBS funded telehealth consultations</w:t>
            </w:r>
            <w:r>
              <w:tab/>
            </w:r>
            <w:r>
              <w:fldChar w:fldCharType="begin"/>
            </w:r>
            <w:r>
              <w:instrText>PAGEREF _Toc1513555604 \h</w:instrText>
            </w:r>
            <w:r>
              <w:fldChar w:fldCharType="separate"/>
            </w:r>
            <w:r w:rsidRPr="4A455F35">
              <w:rPr>
                <w:rStyle w:val="Hyperlink"/>
              </w:rPr>
              <w:t>19</w:t>
            </w:r>
            <w:r>
              <w:fldChar w:fldCharType="end"/>
            </w:r>
          </w:hyperlink>
        </w:p>
        <w:p w14:paraId="1756B3D3" w14:textId="5709E902" w:rsidR="4A455F35" w:rsidRDefault="4A455F35" w:rsidP="4A455F35">
          <w:pPr>
            <w:pStyle w:val="TOC2"/>
            <w:tabs>
              <w:tab w:val="left" w:pos="660"/>
              <w:tab w:val="right" w:leader="dot" w:pos="9840"/>
            </w:tabs>
            <w:rPr>
              <w:rStyle w:val="Hyperlink"/>
            </w:rPr>
          </w:pPr>
          <w:hyperlink w:anchor="_Toc1978693806">
            <w:r w:rsidRPr="4A455F35">
              <w:rPr>
                <w:rStyle w:val="Hyperlink"/>
              </w:rPr>
              <w:t>9.2</w:t>
            </w:r>
            <w:r>
              <w:tab/>
            </w:r>
            <w:r w:rsidRPr="4A455F35">
              <w:rPr>
                <w:rStyle w:val="Hyperlink"/>
              </w:rPr>
              <w:t>Triple bulk billing incentive for MBS funded long telehealth</w:t>
            </w:r>
            <w:r>
              <w:tab/>
            </w:r>
            <w:r>
              <w:fldChar w:fldCharType="begin"/>
            </w:r>
            <w:r>
              <w:instrText>PAGEREF _Toc1978693806 \h</w:instrText>
            </w:r>
            <w:r>
              <w:fldChar w:fldCharType="separate"/>
            </w:r>
            <w:r w:rsidRPr="4A455F35">
              <w:rPr>
                <w:rStyle w:val="Hyperlink"/>
              </w:rPr>
              <w:t>19</w:t>
            </w:r>
            <w:r>
              <w:fldChar w:fldCharType="end"/>
            </w:r>
          </w:hyperlink>
        </w:p>
        <w:p w14:paraId="209E7A53" w14:textId="2BE7DAFD" w:rsidR="4A455F35" w:rsidRDefault="4A455F35" w:rsidP="4A455F35">
          <w:pPr>
            <w:pStyle w:val="TOC1"/>
            <w:tabs>
              <w:tab w:val="left" w:pos="435"/>
              <w:tab w:val="right" w:leader="dot" w:pos="9840"/>
            </w:tabs>
            <w:rPr>
              <w:rStyle w:val="Hyperlink"/>
            </w:rPr>
          </w:pPr>
          <w:hyperlink w:anchor="_Toc659381293">
            <w:r w:rsidRPr="4A455F35">
              <w:rPr>
                <w:rStyle w:val="Hyperlink"/>
              </w:rPr>
              <w:t>10</w:t>
            </w:r>
            <w:r>
              <w:tab/>
            </w:r>
            <w:r w:rsidRPr="4A455F35">
              <w:rPr>
                <w:rStyle w:val="Hyperlink"/>
              </w:rPr>
              <w:t>Linked incentive programs</w:t>
            </w:r>
            <w:r>
              <w:tab/>
            </w:r>
            <w:r>
              <w:fldChar w:fldCharType="begin"/>
            </w:r>
            <w:r>
              <w:instrText>PAGEREF _Toc659381293 \h</w:instrText>
            </w:r>
            <w:r>
              <w:fldChar w:fldCharType="separate"/>
            </w:r>
            <w:r w:rsidRPr="4A455F35">
              <w:rPr>
                <w:rStyle w:val="Hyperlink"/>
              </w:rPr>
              <w:t>20</w:t>
            </w:r>
            <w:r>
              <w:fldChar w:fldCharType="end"/>
            </w:r>
          </w:hyperlink>
        </w:p>
        <w:p w14:paraId="6E9260A9" w14:textId="60F7B614" w:rsidR="4A455F35" w:rsidRDefault="4A455F35" w:rsidP="4A455F35">
          <w:pPr>
            <w:pStyle w:val="TOC2"/>
            <w:tabs>
              <w:tab w:val="left" w:pos="660"/>
              <w:tab w:val="right" w:leader="dot" w:pos="9840"/>
            </w:tabs>
            <w:rPr>
              <w:rStyle w:val="Hyperlink"/>
            </w:rPr>
          </w:pPr>
          <w:hyperlink w:anchor="_Toc1573027882">
            <w:r w:rsidRPr="4A455F35">
              <w:rPr>
                <w:rStyle w:val="Hyperlink"/>
              </w:rPr>
              <w:t>10.1</w:t>
            </w:r>
            <w:r>
              <w:tab/>
            </w:r>
            <w:r w:rsidRPr="4A455F35">
              <w:rPr>
                <w:rStyle w:val="Hyperlink"/>
              </w:rPr>
              <w:t>General Practice in Aged Care Incentive</w:t>
            </w:r>
            <w:r>
              <w:tab/>
            </w:r>
            <w:r>
              <w:fldChar w:fldCharType="begin"/>
            </w:r>
            <w:r>
              <w:instrText>PAGEREF _Toc1573027882 \h</w:instrText>
            </w:r>
            <w:r>
              <w:fldChar w:fldCharType="separate"/>
            </w:r>
            <w:r w:rsidRPr="4A455F35">
              <w:rPr>
                <w:rStyle w:val="Hyperlink"/>
              </w:rPr>
              <w:t>20</w:t>
            </w:r>
            <w:r>
              <w:fldChar w:fldCharType="end"/>
            </w:r>
          </w:hyperlink>
        </w:p>
        <w:p w14:paraId="33A26726" w14:textId="7F920B19" w:rsidR="4A455F35" w:rsidRDefault="4A455F35" w:rsidP="4A455F35">
          <w:pPr>
            <w:pStyle w:val="TOC1"/>
            <w:tabs>
              <w:tab w:val="left" w:pos="435"/>
              <w:tab w:val="right" w:leader="dot" w:pos="9840"/>
            </w:tabs>
            <w:rPr>
              <w:rStyle w:val="Hyperlink"/>
            </w:rPr>
          </w:pPr>
          <w:hyperlink w:anchor="_Toc585640739">
            <w:r w:rsidRPr="4A455F35">
              <w:rPr>
                <w:rStyle w:val="Hyperlink"/>
              </w:rPr>
              <w:t>11</w:t>
            </w:r>
            <w:r>
              <w:tab/>
            </w:r>
            <w:r w:rsidRPr="4A455F35">
              <w:rPr>
                <w:rStyle w:val="Hyperlink"/>
              </w:rPr>
              <w:t>MyMedicare and My Health Record</w:t>
            </w:r>
            <w:r>
              <w:tab/>
            </w:r>
            <w:r>
              <w:fldChar w:fldCharType="begin"/>
            </w:r>
            <w:r>
              <w:instrText>PAGEREF _Toc585640739 \h</w:instrText>
            </w:r>
            <w:r>
              <w:fldChar w:fldCharType="separate"/>
            </w:r>
            <w:r w:rsidRPr="4A455F35">
              <w:rPr>
                <w:rStyle w:val="Hyperlink"/>
              </w:rPr>
              <w:t>20</w:t>
            </w:r>
            <w:r>
              <w:fldChar w:fldCharType="end"/>
            </w:r>
          </w:hyperlink>
        </w:p>
        <w:p w14:paraId="344EB829" w14:textId="769D0F4F" w:rsidR="4A455F35" w:rsidRDefault="4A455F35" w:rsidP="4A455F35">
          <w:pPr>
            <w:pStyle w:val="TOC1"/>
            <w:tabs>
              <w:tab w:val="left" w:pos="435"/>
              <w:tab w:val="right" w:leader="dot" w:pos="9840"/>
            </w:tabs>
            <w:rPr>
              <w:rStyle w:val="Hyperlink"/>
            </w:rPr>
          </w:pPr>
          <w:hyperlink w:anchor="_Toc1101834540">
            <w:r w:rsidRPr="4A455F35">
              <w:rPr>
                <w:rStyle w:val="Hyperlink"/>
              </w:rPr>
              <w:t>12</w:t>
            </w:r>
            <w:r>
              <w:tab/>
            </w:r>
            <w:r w:rsidRPr="4A455F35">
              <w:rPr>
                <w:rStyle w:val="Hyperlink"/>
              </w:rPr>
              <w:t>Additional MyMedicare program information</w:t>
            </w:r>
            <w:r>
              <w:tab/>
            </w:r>
            <w:r>
              <w:fldChar w:fldCharType="begin"/>
            </w:r>
            <w:r>
              <w:instrText>PAGEREF _Toc1101834540 \h</w:instrText>
            </w:r>
            <w:r>
              <w:fldChar w:fldCharType="separate"/>
            </w:r>
            <w:r w:rsidRPr="4A455F35">
              <w:rPr>
                <w:rStyle w:val="Hyperlink"/>
              </w:rPr>
              <w:t>21</w:t>
            </w:r>
            <w:r>
              <w:fldChar w:fldCharType="end"/>
            </w:r>
          </w:hyperlink>
        </w:p>
        <w:p w14:paraId="4D233C1A" w14:textId="23EF3003" w:rsidR="4A455F35" w:rsidRDefault="4A455F35" w:rsidP="4A455F35">
          <w:pPr>
            <w:pStyle w:val="TOC2"/>
            <w:tabs>
              <w:tab w:val="left" w:pos="660"/>
              <w:tab w:val="right" w:leader="dot" w:pos="9840"/>
            </w:tabs>
            <w:rPr>
              <w:rStyle w:val="Hyperlink"/>
            </w:rPr>
          </w:pPr>
          <w:hyperlink w:anchor="_Toc560503103">
            <w:r w:rsidRPr="4A455F35">
              <w:rPr>
                <w:rStyle w:val="Hyperlink"/>
              </w:rPr>
              <w:t>12.1</w:t>
            </w:r>
            <w:r>
              <w:tab/>
            </w:r>
            <w:r w:rsidRPr="4A455F35">
              <w:rPr>
                <w:rStyle w:val="Hyperlink"/>
              </w:rPr>
              <w:t>Medicare Benefit Scheme and Department of Veterans’ Affairs requirements</w:t>
            </w:r>
            <w:r>
              <w:tab/>
            </w:r>
            <w:r>
              <w:fldChar w:fldCharType="begin"/>
            </w:r>
            <w:r>
              <w:instrText>PAGEREF _Toc560503103 \h</w:instrText>
            </w:r>
            <w:r>
              <w:fldChar w:fldCharType="separate"/>
            </w:r>
            <w:r w:rsidRPr="4A455F35">
              <w:rPr>
                <w:rStyle w:val="Hyperlink"/>
              </w:rPr>
              <w:t>21</w:t>
            </w:r>
            <w:r>
              <w:fldChar w:fldCharType="end"/>
            </w:r>
          </w:hyperlink>
        </w:p>
        <w:p w14:paraId="12494271" w14:textId="1816D4D5" w:rsidR="4A455F35" w:rsidRDefault="4A455F35" w:rsidP="4A455F35">
          <w:pPr>
            <w:pStyle w:val="TOC2"/>
            <w:tabs>
              <w:tab w:val="left" w:pos="660"/>
              <w:tab w:val="right" w:leader="dot" w:pos="9840"/>
            </w:tabs>
            <w:rPr>
              <w:rStyle w:val="Hyperlink"/>
            </w:rPr>
          </w:pPr>
          <w:hyperlink w:anchor="_Toc1504980982">
            <w:r w:rsidRPr="4A455F35">
              <w:rPr>
                <w:rStyle w:val="Hyperlink"/>
              </w:rPr>
              <w:t>12.2</w:t>
            </w:r>
            <w:r>
              <w:tab/>
            </w:r>
            <w:r w:rsidRPr="4A455F35">
              <w:rPr>
                <w:rStyle w:val="Hyperlink"/>
              </w:rPr>
              <w:t>Legislative requirements</w:t>
            </w:r>
            <w:r>
              <w:tab/>
            </w:r>
            <w:r>
              <w:fldChar w:fldCharType="begin"/>
            </w:r>
            <w:r>
              <w:instrText>PAGEREF _Toc1504980982 \h</w:instrText>
            </w:r>
            <w:r>
              <w:fldChar w:fldCharType="separate"/>
            </w:r>
            <w:r w:rsidRPr="4A455F35">
              <w:rPr>
                <w:rStyle w:val="Hyperlink"/>
              </w:rPr>
              <w:t>21</w:t>
            </w:r>
            <w:r>
              <w:fldChar w:fldCharType="end"/>
            </w:r>
          </w:hyperlink>
        </w:p>
        <w:p w14:paraId="4099F4BE" w14:textId="3B5D065D" w:rsidR="4A455F35" w:rsidRDefault="4A455F35" w:rsidP="4A455F35">
          <w:pPr>
            <w:pStyle w:val="TOC1"/>
            <w:tabs>
              <w:tab w:val="left" w:pos="435"/>
              <w:tab w:val="right" w:leader="dot" w:pos="9840"/>
            </w:tabs>
            <w:rPr>
              <w:rStyle w:val="Hyperlink"/>
            </w:rPr>
          </w:pPr>
          <w:hyperlink w:anchor="_Toc956549080">
            <w:r w:rsidRPr="4A455F35">
              <w:rPr>
                <w:rStyle w:val="Hyperlink"/>
              </w:rPr>
              <w:t>13</w:t>
            </w:r>
            <w:r>
              <w:tab/>
            </w:r>
            <w:r w:rsidRPr="4A455F35">
              <w:rPr>
                <w:rStyle w:val="Hyperlink"/>
              </w:rPr>
              <w:t>Review of decision</w:t>
            </w:r>
            <w:r>
              <w:tab/>
            </w:r>
            <w:r>
              <w:fldChar w:fldCharType="begin"/>
            </w:r>
            <w:r>
              <w:instrText>PAGEREF _Toc956549080 \h</w:instrText>
            </w:r>
            <w:r>
              <w:fldChar w:fldCharType="separate"/>
            </w:r>
            <w:r w:rsidRPr="4A455F35">
              <w:rPr>
                <w:rStyle w:val="Hyperlink"/>
              </w:rPr>
              <w:t>21</w:t>
            </w:r>
            <w:r>
              <w:fldChar w:fldCharType="end"/>
            </w:r>
          </w:hyperlink>
        </w:p>
        <w:p w14:paraId="065EECF4" w14:textId="70118C59" w:rsidR="4A455F35" w:rsidRDefault="4A455F35" w:rsidP="4A455F35">
          <w:pPr>
            <w:pStyle w:val="TOC2"/>
            <w:tabs>
              <w:tab w:val="left" w:pos="660"/>
              <w:tab w:val="right" w:leader="dot" w:pos="9840"/>
            </w:tabs>
            <w:rPr>
              <w:rStyle w:val="Hyperlink"/>
            </w:rPr>
          </w:pPr>
          <w:hyperlink w:anchor="_Toc2127328370">
            <w:r w:rsidRPr="4A455F35">
              <w:rPr>
                <w:rStyle w:val="Hyperlink"/>
              </w:rPr>
              <w:t>13.1</w:t>
            </w:r>
            <w:r>
              <w:tab/>
            </w:r>
            <w:r w:rsidRPr="4A455F35">
              <w:rPr>
                <w:rStyle w:val="Hyperlink"/>
              </w:rPr>
              <w:t>Privacy and data collection</w:t>
            </w:r>
            <w:r>
              <w:tab/>
            </w:r>
            <w:r>
              <w:fldChar w:fldCharType="begin"/>
            </w:r>
            <w:r>
              <w:instrText>PAGEREF _Toc2127328370 \h</w:instrText>
            </w:r>
            <w:r>
              <w:fldChar w:fldCharType="separate"/>
            </w:r>
            <w:r w:rsidRPr="4A455F35">
              <w:rPr>
                <w:rStyle w:val="Hyperlink"/>
              </w:rPr>
              <w:t>21</w:t>
            </w:r>
            <w:r>
              <w:fldChar w:fldCharType="end"/>
            </w:r>
          </w:hyperlink>
        </w:p>
        <w:p w14:paraId="10D2FE59" w14:textId="7C947223" w:rsidR="4A455F35" w:rsidRDefault="4A455F35" w:rsidP="4A455F35">
          <w:pPr>
            <w:pStyle w:val="TOC1"/>
            <w:tabs>
              <w:tab w:val="left" w:pos="435"/>
              <w:tab w:val="right" w:leader="dot" w:pos="9840"/>
            </w:tabs>
            <w:rPr>
              <w:rStyle w:val="Hyperlink"/>
            </w:rPr>
          </w:pPr>
          <w:hyperlink w:anchor="_Toc992460625">
            <w:r w:rsidRPr="4A455F35">
              <w:rPr>
                <w:rStyle w:val="Hyperlink"/>
              </w:rPr>
              <w:t>14</w:t>
            </w:r>
            <w:r>
              <w:tab/>
            </w:r>
            <w:r w:rsidRPr="4A455F35">
              <w:rPr>
                <w:rStyle w:val="Hyperlink"/>
              </w:rPr>
              <w:t>Useful links</w:t>
            </w:r>
            <w:r>
              <w:tab/>
            </w:r>
            <w:r>
              <w:fldChar w:fldCharType="begin"/>
            </w:r>
            <w:r>
              <w:instrText>PAGEREF _Toc992460625 \h</w:instrText>
            </w:r>
            <w:r>
              <w:fldChar w:fldCharType="separate"/>
            </w:r>
            <w:r w:rsidRPr="4A455F35">
              <w:rPr>
                <w:rStyle w:val="Hyperlink"/>
              </w:rPr>
              <w:t>22</w:t>
            </w:r>
            <w:r>
              <w:fldChar w:fldCharType="end"/>
            </w:r>
          </w:hyperlink>
        </w:p>
        <w:p w14:paraId="2E09BEC9" w14:textId="7D5CB8B0" w:rsidR="4A455F35" w:rsidRDefault="4A455F35" w:rsidP="4A455F35">
          <w:pPr>
            <w:pStyle w:val="TOC1"/>
            <w:tabs>
              <w:tab w:val="left" w:pos="435"/>
              <w:tab w:val="right" w:leader="dot" w:pos="9840"/>
            </w:tabs>
            <w:rPr>
              <w:rStyle w:val="Hyperlink"/>
            </w:rPr>
          </w:pPr>
          <w:hyperlink w:anchor="_Toc120856502">
            <w:r w:rsidRPr="4A455F35">
              <w:rPr>
                <w:rStyle w:val="Hyperlink"/>
              </w:rPr>
              <w:t>15</w:t>
            </w:r>
            <w:r>
              <w:tab/>
            </w:r>
            <w:r w:rsidRPr="4A455F35">
              <w:rPr>
                <w:rStyle w:val="Hyperlink"/>
              </w:rPr>
              <w:t>Appendix</w:t>
            </w:r>
            <w:r>
              <w:tab/>
            </w:r>
            <w:r>
              <w:fldChar w:fldCharType="begin"/>
            </w:r>
            <w:r>
              <w:instrText>PAGEREF _Toc120856502 \h</w:instrText>
            </w:r>
            <w:r>
              <w:fldChar w:fldCharType="separate"/>
            </w:r>
            <w:r w:rsidRPr="4A455F35">
              <w:rPr>
                <w:rStyle w:val="Hyperlink"/>
              </w:rPr>
              <w:t>23</w:t>
            </w:r>
            <w:r>
              <w:fldChar w:fldCharType="end"/>
            </w:r>
          </w:hyperlink>
        </w:p>
        <w:p w14:paraId="339A1714" w14:textId="450C8974" w:rsidR="4A455F35" w:rsidRDefault="4A455F35" w:rsidP="4A455F35">
          <w:pPr>
            <w:pStyle w:val="TOC2"/>
            <w:tabs>
              <w:tab w:val="left" w:pos="660"/>
              <w:tab w:val="right" w:leader="dot" w:pos="9840"/>
            </w:tabs>
            <w:rPr>
              <w:rStyle w:val="Hyperlink"/>
            </w:rPr>
          </w:pPr>
          <w:hyperlink w:anchor="_Toc145811387">
            <w:r w:rsidRPr="4A455F35">
              <w:rPr>
                <w:rStyle w:val="Hyperlink"/>
              </w:rPr>
              <w:t>15.1</w:t>
            </w:r>
            <w:r>
              <w:tab/>
            </w:r>
            <w:r w:rsidRPr="4A455F35">
              <w:rPr>
                <w:rStyle w:val="Hyperlink"/>
              </w:rPr>
              <w:t>Glossary of terms</w:t>
            </w:r>
            <w:r>
              <w:tab/>
            </w:r>
            <w:r>
              <w:fldChar w:fldCharType="begin"/>
            </w:r>
            <w:r>
              <w:instrText>PAGEREF _Toc145811387 \h</w:instrText>
            </w:r>
            <w:r>
              <w:fldChar w:fldCharType="separate"/>
            </w:r>
            <w:r w:rsidRPr="4A455F35">
              <w:rPr>
                <w:rStyle w:val="Hyperlink"/>
              </w:rPr>
              <w:t>24</w:t>
            </w:r>
            <w:r>
              <w:fldChar w:fldCharType="end"/>
            </w:r>
          </w:hyperlink>
        </w:p>
        <w:p w14:paraId="7FFBD6F5" w14:textId="197E5B9C" w:rsidR="4A455F35" w:rsidRDefault="4A455F35" w:rsidP="4A455F35">
          <w:pPr>
            <w:pStyle w:val="TOC2"/>
            <w:tabs>
              <w:tab w:val="left" w:pos="660"/>
              <w:tab w:val="right" w:leader="dot" w:pos="9840"/>
            </w:tabs>
            <w:rPr>
              <w:rStyle w:val="Hyperlink"/>
            </w:rPr>
          </w:pPr>
          <w:hyperlink w:anchor="_Toc534657532">
            <w:r w:rsidRPr="4A455F35">
              <w:rPr>
                <w:rStyle w:val="Hyperlink"/>
              </w:rPr>
              <w:t>15.2</w:t>
            </w:r>
            <w:r>
              <w:tab/>
            </w:r>
            <w:r w:rsidRPr="4A455F35">
              <w:rPr>
                <w:rStyle w:val="Hyperlink"/>
              </w:rPr>
              <w:t>MyMedicare eligible provider specialty codes</w:t>
            </w:r>
            <w:r>
              <w:tab/>
            </w:r>
            <w:r>
              <w:fldChar w:fldCharType="begin"/>
            </w:r>
            <w:r>
              <w:instrText>PAGEREF _Toc534657532 \h</w:instrText>
            </w:r>
            <w:r>
              <w:fldChar w:fldCharType="separate"/>
            </w:r>
            <w:r w:rsidRPr="4A455F35">
              <w:rPr>
                <w:rStyle w:val="Hyperlink"/>
              </w:rPr>
              <w:t>27</w:t>
            </w:r>
            <w:r>
              <w:fldChar w:fldCharType="end"/>
            </w:r>
          </w:hyperlink>
          <w:r>
            <w:fldChar w:fldCharType="end"/>
          </w:r>
        </w:p>
      </w:sdtContent>
    </w:sdt>
    <w:p w14:paraId="4769FAFB" w14:textId="3B91F5FD" w:rsidR="69E59A3B" w:rsidRDefault="69E59A3B" w:rsidP="69E59A3B">
      <w:pPr>
        <w:pStyle w:val="TOC2"/>
        <w:tabs>
          <w:tab w:val="left" w:pos="660"/>
          <w:tab w:val="right" w:leader="dot" w:pos="9855"/>
        </w:tabs>
        <w:rPr>
          <w:rStyle w:val="Hyperlink"/>
        </w:rPr>
      </w:pPr>
    </w:p>
    <w:p w14:paraId="3C17912D" w14:textId="7EA01407" w:rsidR="1C1019EF" w:rsidRDefault="1C1019EF" w:rsidP="0737F48A">
      <w:pPr>
        <w:pStyle w:val="TOC2"/>
        <w:tabs>
          <w:tab w:val="left" w:pos="660"/>
          <w:tab w:val="right" w:leader="dot" w:pos="9855"/>
        </w:tabs>
        <w:rPr>
          <w:rStyle w:val="Hyperlink"/>
        </w:rPr>
      </w:pPr>
    </w:p>
    <w:p w14:paraId="63EC50E7" w14:textId="6BB9E5B8" w:rsidR="00FB2642" w:rsidRDefault="00FB2642" w:rsidP="00FB2642"/>
    <w:p w14:paraId="5C3D95EB" w14:textId="77777777" w:rsidR="00A83D81" w:rsidRDefault="00A83D81" w:rsidP="00FB2642"/>
    <w:p w14:paraId="64A38653" w14:textId="07103041" w:rsidR="00A83D81" w:rsidRDefault="00A83D81">
      <w:r>
        <w:br w:type="page"/>
      </w:r>
    </w:p>
    <w:p w14:paraId="330DA243" w14:textId="77777777" w:rsidR="00AB0EA4" w:rsidRPr="00520BB8" w:rsidRDefault="00A83D81" w:rsidP="00520BB8">
      <w:pPr>
        <w:spacing w:before="320" w:after="160" w:line="420" w:lineRule="atLeast"/>
        <w:rPr>
          <w:b/>
          <w:sz w:val="32"/>
          <w:szCs w:val="32"/>
        </w:rPr>
      </w:pPr>
      <w:r w:rsidRPr="00520BB8">
        <w:rPr>
          <w:b/>
          <w:sz w:val="32"/>
          <w:szCs w:val="32"/>
        </w:rPr>
        <w:lastRenderedPageBreak/>
        <w:t>Acknowledgement</w:t>
      </w:r>
    </w:p>
    <w:p w14:paraId="4B2266F1" w14:textId="475AAFBA" w:rsidR="00AB0EA4" w:rsidRDefault="00A83D81" w:rsidP="00520BB8">
      <w:r>
        <w:t>© Commonwealth of Australia 20</w:t>
      </w:r>
      <w:r w:rsidR="00AB0EA4">
        <w:t>2</w:t>
      </w:r>
      <w:r w:rsidR="00507147">
        <w:t>5</w:t>
      </w:r>
      <w:r>
        <w:t xml:space="preserve"> </w:t>
      </w:r>
    </w:p>
    <w:p w14:paraId="24419FC3" w14:textId="6E1823EC" w:rsidR="008877F7" w:rsidRDefault="00A83D81" w:rsidP="00520BB8">
      <w:r>
        <w:t>This work is copyright.</w:t>
      </w:r>
      <w:r w:rsidR="00F91A01">
        <w:t xml:space="preserve"> </w:t>
      </w:r>
      <w:r>
        <w:t xml:space="preserve">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20BB8">
        <w:rPr>
          <w:i/>
        </w:rPr>
        <w:t>Copyright Act 1968</w:t>
      </w:r>
      <w:r>
        <w:t xml:space="preserve"> or allowed by this copyright notice, all other rights are </w:t>
      </w:r>
      <w:r w:rsidR="007E3516">
        <w:t>reserved,</w:t>
      </w:r>
      <w: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w:t>
      </w:r>
      <w:r w:rsidR="00315974">
        <w:t xml:space="preserve"> and Aged Care</w:t>
      </w:r>
      <w:r>
        <w:t xml:space="preserve">, GPO Box 9848, Canberra ACT 2601, or via email to </w:t>
      </w:r>
      <w:hyperlink r:id="rId11" w:history="1">
        <w:r w:rsidR="008877F7" w:rsidRPr="00DA185C">
          <w:rPr>
            <w:rStyle w:val="Hyperlink"/>
          </w:rPr>
          <w:t>copyright@health.gov.au</w:t>
        </w:r>
      </w:hyperlink>
      <w:r>
        <w:t>.</w:t>
      </w:r>
    </w:p>
    <w:p w14:paraId="3354C774" w14:textId="10F6D46B" w:rsidR="003834E3" w:rsidRDefault="00A83D81" w:rsidP="00877366">
      <w:r>
        <w:t>Preferred citation: Department of Health</w:t>
      </w:r>
      <w:r w:rsidR="00315974">
        <w:t xml:space="preserve"> and Aged Care</w:t>
      </w:r>
      <w:r>
        <w:t xml:space="preserve">. Author. </w:t>
      </w:r>
      <w:r w:rsidR="006B30F8">
        <w:t xml:space="preserve">MyMedicare </w:t>
      </w:r>
      <w:r>
        <w:t>Program Guidelines Canberra: Australian Government Department of Health</w:t>
      </w:r>
      <w:r w:rsidR="2AF9A9DD">
        <w:t>, Disability and Ageing</w:t>
      </w:r>
      <w:r>
        <w:t xml:space="preserve"> 20</w:t>
      </w:r>
      <w:r w:rsidR="00315974">
        <w:t>2</w:t>
      </w:r>
      <w:r w:rsidR="31A23E10">
        <w:t>5</w:t>
      </w:r>
      <w:r>
        <w:t>.</w:t>
      </w:r>
    </w:p>
    <w:p w14:paraId="14F52360" w14:textId="724F5A92" w:rsidR="003834E3" w:rsidRPr="00520BB8" w:rsidRDefault="00A83D81" w:rsidP="00B05BA5">
      <w:pPr>
        <w:spacing w:before="320" w:after="160" w:line="420" w:lineRule="atLeast"/>
        <w:rPr>
          <w:b/>
          <w:sz w:val="32"/>
          <w:szCs w:val="32"/>
        </w:rPr>
      </w:pPr>
      <w:r w:rsidRPr="00520BB8">
        <w:rPr>
          <w:b/>
          <w:sz w:val="32"/>
          <w:szCs w:val="32"/>
        </w:rPr>
        <w:t>Disclaimer</w:t>
      </w:r>
    </w:p>
    <w:p w14:paraId="5927FA01" w14:textId="09A06D82" w:rsidR="00A83D81" w:rsidRPr="00877366" w:rsidRDefault="00A83D81" w:rsidP="00877366">
      <w:pPr>
        <w:rPr>
          <w:rFonts w:eastAsia="Arial" w:cs="Arial"/>
          <w:lang w:eastAsia="en-US"/>
        </w:rPr>
      </w:pPr>
      <w:r w:rsidRPr="61716D05">
        <w:rPr>
          <w:rFonts w:eastAsia="Arial" w:cs="Arial"/>
          <w:lang w:eastAsia="en-US"/>
        </w:rPr>
        <w:t xml:space="preserve">These guidelines are for information purposes and provide the basis </w:t>
      </w:r>
      <w:r w:rsidR="004D05A2" w:rsidRPr="61716D05">
        <w:rPr>
          <w:rFonts w:eastAsia="Arial" w:cs="Arial"/>
          <w:lang w:eastAsia="en-US"/>
        </w:rPr>
        <w:t>of participation in MyMedicare</w:t>
      </w:r>
      <w:r w:rsidRPr="61716D05">
        <w:rPr>
          <w:rFonts w:eastAsia="Arial" w:cs="Arial"/>
          <w:lang w:eastAsia="en-US"/>
        </w:rPr>
        <w:t xml:space="preserve">. The government may alter arrangements for </w:t>
      </w:r>
      <w:r w:rsidR="004F31E9" w:rsidRPr="61716D05">
        <w:rPr>
          <w:rFonts w:eastAsia="Arial" w:cs="Arial"/>
          <w:lang w:eastAsia="en-US"/>
        </w:rPr>
        <w:t>MyMedicare</w:t>
      </w:r>
      <w:r w:rsidRPr="61716D05">
        <w:rPr>
          <w:rFonts w:eastAsia="Arial" w:cs="Arial"/>
          <w:lang w:eastAsia="en-US"/>
        </w:rPr>
        <w:t xml:space="preserve"> at any time and without notice. The Government does not accept any legal liability or responsibility for any injury, loss or damage incurred by the use of, reliance on, or interpretation of the information provided in these guidelines.</w:t>
      </w:r>
    </w:p>
    <w:p w14:paraId="136E55E9" w14:textId="64DEF9F4" w:rsidR="009E30CD" w:rsidRPr="0004758E" w:rsidRDefault="009E30CD" w:rsidP="00520BB8">
      <w:r>
        <w:br w:type="page"/>
      </w:r>
    </w:p>
    <w:p w14:paraId="286FF2CC" w14:textId="7D3C7556" w:rsidR="00817CB4" w:rsidRPr="001F7637" w:rsidRDefault="00817CB4" w:rsidP="00F02715">
      <w:pPr>
        <w:pStyle w:val="Heading1"/>
        <w:ind w:left="431" w:hanging="431"/>
      </w:pPr>
      <w:bookmarkStart w:id="1" w:name="_Toc178175321"/>
      <w:bookmarkStart w:id="2" w:name="_Toc178175483"/>
      <w:bookmarkStart w:id="3" w:name="_Toc178175618"/>
      <w:bookmarkStart w:id="4" w:name="_Toc170817131"/>
      <w:bookmarkStart w:id="5" w:name="_Ref178318110"/>
      <w:bookmarkStart w:id="6" w:name="_Toc214050992"/>
      <w:bookmarkStart w:id="7" w:name="_Toc470961741"/>
      <w:bookmarkEnd w:id="1"/>
      <w:bookmarkEnd w:id="2"/>
      <w:bookmarkEnd w:id="3"/>
      <w:r w:rsidRPr="001F7637">
        <w:lastRenderedPageBreak/>
        <w:t>Introduction</w:t>
      </w:r>
      <w:bookmarkEnd w:id="4"/>
      <w:bookmarkEnd w:id="5"/>
      <w:bookmarkEnd w:id="6"/>
      <w:bookmarkEnd w:id="7"/>
    </w:p>
    <w:p w14:paraId="7D8F7480" w14:textId="52E66B1B" w:rsidR="00817CB4" w:rsidRPr="001F7637" w:rsidRDefault="00817CB4" w:rsidP="00F02715">
      <w:pPr>
        <w:pStyle w:val="Heading2"/>
        <w:ind w:left="578" w:hanging="578"/>
      </w:pPr>
      <w:bookmarkStart w:id="8" w:name="_Toc167109426"/>
      <w:bookmarkStart w:id="9" w:name="_Toc170119990"/>
      <w:bookmarkStart w:id="10" w:name="_Toc170817132"/>
      <w:bookmarkStart w:id="11" w:name="_Toc214050993"/>
      <w:bookmarkStart w:id="12" w:name="_Toc2086567418"/>
      <w:r w:rsidRPr="001F7637">
        <w:t>Purpose</w:t>
      </w:r>
      <w:bookmarkEnd w:id="8"/>
      <w:bookmarkEnd w:id="9"/>
      <w:bookmarkEnd w:id="10"/>
      <w:bookmarkEnd w:id="11"/>
      <w:bookmarkEnd w:id="12"/>
    </w:p>
    <w:p w14:paraId="2451DE6F" w14:textId="38291783" w:rsidR="00455A4A" w:rsidRPr="00877366" w:rsidRDefault="00455A4A" w:rsidP="00877366">
      <w:r w:rsidRPr="00877366">
        <w:t>The MyMedicare Program Guidelines (the guidelines) provide clear guidance for practices, General Practitioners (GPs) and patients who wish to voluntarily register with the MyMedicare Program</w:t>
      </w:r>
      <w:r>
        <w:t>.</w:t>
      </w:r>
      <w:r w:rsidRPr="00877366">
        <w:t xml:space="preserve"> The guidelines also set out </w:t>
      </w:r>
      <w:proofErr w:type="spellStart"/>
      <w:r w:rsidR="00990A9E">
        <w:t>MyMedicare</w:t>
      </w:r>
      <w:r>
        <w:t>’s</w:t>
      </w:r>
      <w:proofErr w:type="spellEnd"/>
      <w:r w:rsidRPr="00877366">
        <w:t xml:space="preserve"> requirements, benefits and dispute processes. </w:t>
      </w:r>
    </w:p>
    <w:p w14:paraId="213C4E7D" w14:textId="593006B9" w:rsidR="00817CB4" w:rsidRPr="001F7637" w:rsidRDefault="0A463290" w:rsidP="00F02715">
      <w:pPr>
        <w:pStyle w:val="Heading2"/>
        <w:ind w:left="431" w:hanging="431"/>
      </w:pPr>
      <w:bookmarkStart w:id="13" w:name="_Toc214050994"/>
      <w:bookmarkStart w:id="14" w:name="_Toc160766560"/>
      <w:r>
        <w:t>Background</w:t>
      </w:r>
      <w:bookmarkEnd w:id="13"/>
      <w:bookmarkEnd w:id="14"/>
    </w:p>
    <w:p w14:paraId="2A43744C" w14:textId="1D216EB0" w:rsidR="00817CB4" w:rsidRPr="00615E1F" w:rsidRDefault="00817CB4" w:rsidP="00485C11">
      <w:r>
        <w:t xml:space="preserve">In </w:t>
      </w:r>
      <w:r w:rsidR="304F54F5">
        <w:t>March 2022</w:t>
      </w:r>
      <w:r>
        <w:t>,</w:t>
      </w:r>
      <w:r w:rsidR="0F0ABEB9">
        <w:t xml:space="preserve"> the Australian Government (the government) released </w:t>
      </w:r>
      <w:hyperlink r:id="rId12" w:history="1">
        <w:r w:rsidR="00D76B56">
          <w:rPr>
            <w:rStyle w:val="Hyperlink"/>
          </w:rPr>
          <w:t>Australia’s Primary Health Care 10 Year Plan 2022–2032</w:t>
        </w:r>
      </w:hyperlink>
      <w:r w:rsidR="00D76B56">
        <w:t xml:space="preserve"> (</w:t>
      </w:r>
      <w:r w:rsidR="0F0ABEB9" w:rsidRPr="5381A5DD">
        <w:rPr>
          <w:rFonts w:eastAsia="Arial" w:cs="Arial"/>
        </w:rPr>
        <w:t>the plan). The plan focuses on strengthening primary health as part of the health system and provides an agenda for primary healthcare reform over a decade. The plan proposes a system of voluntary patient registration as a platform for reforming general practice funding to incentivise quality person-centred primary healthcare.</w:t>
      </w:r>
    </w:p>
    <w:p w14:paraId="4D1FFE26" w14:textId="267DECEA" w:rsidR="0F0ABEB9" w:rsidRDefault="0F0ABEB9" w:rsidP="00485C11">
      <w:r w:rsidRPr="61716D05">
        <w:t xml:space="preserve">Following the release of the plan, the government established the Strengthening Medicare Taskforce (the taskforce). The taskforce was established to identify the highest priority reforms in primary care. In December 2022, the government released the </w:t>
      </w:r>
      <w:hyperlink r:id="rId13">
        <w:r w:rsidR="008766DA" w:rsidRPr="61716D05">
          <w:rPr>
            <w:rStyle w:val="Hyperlink"/>
            <w:rFonts w:eastAsia="Arial" w:cs="Arial"/>
          </w:rPr>
          <w:t>Strengthening Medicare Taskforce Report</w:t>
        </w:r>
      </w:hyperlink>
      <w:r w:rsidRPr="61716D05">
        <w:t>, which outlined the vision for Australia’s primary care system. The taskforce made a number of recommendations to the government to progress implementation of the plan.</w:t>
      </w:r>
    </w:p>
    <w:p w14:paraId="36661A05" w14:textId="77777777" w:rsidR="00817CB4" w:rsidRPr="001F7637" w:rsidRDefault="00817CB4" w:rsidP="00902BC6">
      <w:pPr>
        <w:pStyle w:val="Heading2"/>
        <w:ind w:left="578" w:hanging="578"/>
      </w:pPr>
      <w:bookmarkStart w:id="15" w:name="_Toc167109428"/>
      <w:bookmarkStart w:id="16" w:name="_Toc170119992"/>
      <w:bookmarkStart w:id="17" w:name="_Toc170817134"/>
      <w:bookmarkStart w:id="18" w:name="_Toc214050995"/>
      <w:bookmarkStart w:id="19" w:name="_Toc1567980855"/>
      <w:r w:rsidRPr="001F7637">
        <w:t>MyMedicare</w:t>
      </w:r>
      <w:bookmarkEnd w:id="15"/>
      <w:bookmarkEnd w:id="16"/>
      <w:bookmarkEnd w:id="17"/>
      <w:bookmarkEnd w:id="18"/>
      <w:bookmarkEnd w:id="19"/>
    </w:p>
    <w:p w14:paraId="060104EA" w14:textId="0A9DCAC9" w:rsidR="00817CB4" w:rsidRPr="00902BC6" w:rsidRDefault="00817CB4" w:rsidP="00817CB4">
      <w:pPr>
        <w:rPr>
          <w:rFonts w:eastAsia="Times New Roman" w:cs="Arial"/>
        </w:rPr>
      </w:pPr>
      <w:r w:rsidRPr="008F627F">
        <w:rPr>
          <w:rFonts w:eastAsia="Times New Roman" w:cs="Arial"/>
        </w:rPr>
        <w:t xml:space="preserve">MyMedicare is a voluntary patient registration </w:t>
      </w:r>
      <w:r w:rsidR="00BD1C0E" w:rsidRPr="008F627F">
        <w:rPr>
          <w:rFonts w:eastAsia="Times New Roman" w:cs="Arial"/>
        </w:rPr>
        <w:t xml:space="preserve">model </w:t>
      </w:r>
      <w:r w:rsidRPr="008F627F">
        <w:rPr>
          <w:rFonts w:eastAsia="Times New Roman" w:cs="Arial"/>
        </w:rPr>
        <w:t xml:space="preserve">available to all patients, practices and primary care providers who meet eligibility requirements. </w:t>
      </w:r>
      <w:r w:rsidR="00A14608" w:rsidRPr="008F627F">
        <w:rPr>
          <w:rFonts w:eastAsia="Times New Roman" w:cs="Arial"/>
        </w:rPr>
        <w:t>(Refer Section 2 for eligibility requirements</w:t>
      </w:r>
      <w:r w:rsidR="002A7176" w:rsidRPr="008F627F">
        <w:rPr>
          <w:rFonts w:eastAsia="Times New Roman" w:cs="Arial"/>
        </w:rPr>
        <w:t>.</w:t>
      </w:r>
      <w:r w:rsidR="00A14608" w:rsidRPr="008F627F">
        <w:rPr>
          <w:rFonts w:eastAsia="Times New Roman" w:cs="Arial"/>
        </w:rPr>
        <w:t>)</w:t>
      </w:r>
    </w:p>
    <w:p w14:paraId="70264957" w14:textId="71871E93" w:rsidR="00817CB4" w:rsidRPr="00902BC6" w:rsidRDefault="00817CB4" w:rsidP="00817CB4">
      <w:pPr>
        <w:rPr>
          <w:rFonts w:eastAsia="Times New Roman" w:cs="Arial"/>
          <w:szCs w:val="22"/>
        </w:rPr>
      </w:pPr>
      <w:r w:rsidRPr="00902BC6">
        <w:rPr>
          <w:rFonts w:eastAsia="Times New Roman" w:cs="Arial"/>
          <w:szCs w:val="22"/>
        </w:rPr>
        <w:t xml:space="preserve">It is the government’s response to the </w:t>
      </w:r>
      <w:r w:rsidR="00593B24" w:rsidRPr="00902BC6">
        <w:rPr>
          <w:rFonts w:eastAsia="Times New Roman" w:cs="Arial"/>
          <w:szCs w:val="22"/>
        </w:rPr>
        <w:t>t</w:t>
      </w:r>
      <w:r w:rsidRPr="00902BC6">
        <w:rPr>
          <w:rFonts w:eastAsia="Times New Roman" w:cs="Arial"/>
          <w:szCs w:val="22"/>
        </w:rPr>
        <w:t>askforce recommendation to support better continuity of care, a strengthened relationship between the patient and their care team, and more integrated, person-centred care through</w:t>
      </w:r>
      <w:r w:rsidR="00D574E2" w:rsidRPr="00902BC6">
        <w:rPr>
          <w:rFonts w:eastAsia="Times New Roman" w:cs="Arial"/>
          <w:szCs w:val="22"/>
        </w:rPr>
        <w:t xml:space="preserve"> the</w:t>
      </w:r>
      <w:r w:rsidRPr="00902BC6">
        <w:rPr>
          <w:rFonts w:eastAsia="Times New Roman" w:cs="Arial"/>
          <w:szCs w:val="22"/>
        </w:rPr>
        <w:t xml:space="preserve"> introduction of voluntary patient registration.</w:t>
      </w:r>
    </w:p>
    <w:p w14:paraId="07D881A0" w14:textId="1CFE5E3F" w:rsidR="00817CB4" w:rsidRPr="00902BC6" w:rsidRDefault="00817CB4" w:rsidP="00817CB4">
      <w:pPr>
        <w:rPr>
          <w:rFonts w:eastAsia="Times New Roman" w:cs="Arial"/>
        </w:rPr>
      </w:pPr>
      <w:r w:rsidRPr="008F627F">
        <w:rPr>
          <w:rFonts w:eastAsia="Times New Roman" w:cs="Arial"/>
        </w:rPr>
        <w:t xml:space="preserve">MyMedicare is the foundation upon which a stronger, more personalised Medicare </w:t>
      </w:r>
      <w:r w:rsidR="00CD54B4" w:rsidRPr="008F627F">
        <w:rPr>
          <w:rFonts w:eastAsia="Times New Roman" w:cs="Arial"/>
        </w:rPr>
        <w:t>is being</w:t>
      </w:r>
      <w:r w:rsidRPr="008F627F">
        <w:rPr>
          <w:rFonts w:eastAsia="Times New Roman" w:cs="Arial"/>
        </w:rPr>
        <w:t xml:space="preserve"> built. </w:t>
      </w:r>
      <w:r w:rsidR="00CD54B4" w:rsidRPr="008F627F">
        <w:rPr>
          <w:rFonts w:eastAsia="Times New Roman" w:cs="Arial"/>
        </w:rPr>
        <w:t xml:space="preserve">Through MyMedicare </w:t>
      </w:r>
      <w:r w:rsidR="00CD54B4" w:rsidRPr="71CB847D">
        <w:rPr>
          <w:rFonts w:eastAsia="Times New Roman" w:cs="Arial"/>
        </w:rPr>
        <w:t>p</w:t>
      </w:r>
      <w:r w:rsidRPr="71CB847D">
        <w:rPr>
          <w:rFonts w:eastAsia="Times New Roman" w:cs="Arial"/>
        </w:rPr>
        <w:t>atients</w:t>
      </w:r>
      <w:r w:rsidRPr="008F627F" w:rsidDel="00CD54B4">
        <w:rPr>
          <w:rFonts w:eastAsia="Times New Roman" w:cs="Arial"/>
        </w:rPr>
        <w:t xml:space="preserve"> </w:t>
      </w:r>
      <w:r w:rsidR="00CD54B4" w:rsidRPr="008F627F">
        <w:rPr>
          <w:rFonts w:eastAsia="Times New Roman" w:cs="Arial"/>
        </w:rPr>
        <w:t xml:space="preserve">can </w:t>
      </w:r>
      <w:r w:rsidRPr="008F627F">
        <w:rPr>
          <w:rFonts w:eastAsia="Times New Roman" w:cs="Arial"/>
        </w:rPr>
        <w:t>receive more tailored</w:t>
      </w:r>
      <w:r w:rsidR="46910DFA" w:rsidRPr="008F627F">
        <w:rPr>
          <w:rFonts w:eastAsia="Times New Roman" w:cs="Arial"/>
        </w:rPr>
        <w:t>,</w:t>
      </w:r>
      <w:r w:rsidRPr="008F627F">
        <w:rPr>
          <w:rFonts w:eastAsia="Times New Roman" w:cs="Arial"/>
        </w:rPr>
        <w:t xml:space="preserve"> quality care from their regular general practice and primary care team.</w:t>
      </w:r>
    </w:p>
    <w:p w14:paraId="14D8919A" w14:textId="5A9D5669" w:rsidR="006B1F50" w:rsidRPr="00902BC6" w:rsidRDefault="006B1F50" w:rsidP="00817CB4">
      <w:pPr>
        <w:rPr>
          <w:rFonts w:eastAsia="Times New Roman" w:cs="Arial"/>
        </w:rPr>
      </w:pPr>
      <w:r w:rsidRPr="71CB847D">
        <w:rPr>
          <w:rFonts w:eastAsia="Times New Roman" w:cs="Arial"/>
        </w:rPr>
        <w:t xml:space="preserve">MyMedicare is a registration </w:t>
      </w:r>
      <w:r w:rsidR="00A105EB" w:rsidRPr="71CB847D">
        <w:rPr>
          <w:rFonts w:eastAsia="Times New Roman" w:cs="Arial"/>
        </w:rPr>
        <w:t xml:space="preserve">model </w:t>
      </w:r>
      <w:r w:rsidRPr="71CB847D">
        <w:rPr>
          <w:rFonts w:eastAsia="Times New Roman" w:cs="Arial"/>
        </w:rPr>
        <w:t>and w</w:t>
      </w:r>
      <w:r w:rsidR="00EB7216" w:rsidRPr="71CB847D">
        <w:rPr>
          <w:rFonts w:eastAsia="Times New Roman" w:cs="Arial"/>
        </w:rPr>
        <w:t xml:space="preserve">ill not </w:t>
      </w:r>
      <w:r w:rsidRPr="71CB847D">
        <w:rPr>
          <w:rFonts w:eastAsia="Times New Roman" w:cs="Arial"/>
        </w:rPr>
        <w:t xml:space="preserve">hold any clinical health information. Clinical health information will continue to be stored in </w:t>
      </w:r>
      <w:r w:rsidR="00EB7216" w:rsidRPr="71CB847D">
        <w:rPr>
          <w:rFonts w:eastAsia="Times New Roman" w:cs="Arial"/>
        </w:rPr>
        <w:t xml:space="preserve">a </w:t>
      </w:r>
      <w:r w:rsidRPr="71CB847D">
        <w:rPr>
          <w:rFonts w:eastAsia="Times New Roman" w:cs="Arial"/>
        </w:rPr>
        <w:t>patient</w:t>
      </w:r>
      <w:r w:rsidR="00EB7216" w:rsidRPr="71CB847D">
        <w:rPr>
          <w:rFonts w:eastAsia="Times New Roman" w:cs="Arial"/>
        </w:rPr>
        <w:t>’</w:t>
      </w:r>
      <w:r w:rsidRPr="71CB847D">
        <w:rPr>
          <w:rFonts w:eastAsia="Times New Roman" w:cs="Arial"/>
        </w:rPr>
        <w:t>s</w:t>
      </w:r>
      <w:r w:rsidR="00A573BC" w:rsidRPr="71CB847D">
        <w:rPr>
          <w:rFonts w:eastAsia="Times New Roman" w:cs="Arial"/>
        </w:rPr>
        <w:t xml:space="preserve"> My Health Record</w:t>
      </w:r>
      <w:r w:rsidR="00B006FE" w:rsidRPr="71CB847D">
        <w:rPr>
          <w:rFonts w:eastAsia="Times New Roman" w:cs="Arial"/>
        </w:rPr>
        <w:t xml:space="preserve"> (</w:t>
      </w:r>
      <w:r w:rsidR="00A573BC" w:rsidRPr="71CB847D">
        <w:rPr>
          <w:rFonts w:eastAsia="Times New Roman" w:cs="Arial"/>
        </w:rPr>
        <w:t>if they have one</w:t>
      </w:r>
      <w:r w:rsidR="00B006FE" w:rsidRPr="71CB847D">
        <w:rPr>
          <w:rFonts w:eastAsia="Times New Roman" w:cs="Arial"/>
        </w:rPr>
        <w:t>)</w:t>
      </w:r>
      <w:r w:rsidR="00A573BC" w:rsidRPr="71CB847D">
        <w:rPr>
          <w:rFonts w:eastAsia="Times New Roman" w:cs="Arial"/>
        </w:rPr>
        <w:t>.</w:t>
      </w:r>
    </w:p>
    <w:p w14:paraId="535499D1" w14:textId="77777777" w:rsidR="00932197" w:rsidRPr="00407AD1" w:rsidRDefault="00932197" w:rsidP="00932197">
      <w:pPr>
        <w:pStyle w:val="Heading3"/>
      </w:pPr>
      <w:bookmarkStart w:id="20" w:name="_Toc667206502"/>
      <w:r w:rsidRPr="00407AD1">
        <w:t xml:space="preserve">Benefits for </w:t>
      </w:r>
      <w:r>
        <w:t>patients</w:t>
      </w:r>
      <w:bookmarkEnd w:id="20"/>
    </w:p>
    <w:p w14:paraId="6F9DCD33" w14:textId="4D2E57D8" w:rsidR="00932197" w:rsidRPr="000A585C" w:rsidRDefault="00932197" w:rsidP="61716D05">
      <w:pPr>
        <w:rPr>
          <w:rFonts w:eastAsia="Times New Roman" w:cs="Arial"/>
        </w:rPr>
      </w:pPr>
      <w:r w:rsidRPr="61716D05">
        <w:rPr>
          <w:rFonts w:eastAsia="Times New Roman" w:cs="Arial"/>
        </w:rPr>
        <w:t xml:space="preserve">Patients </w:t>
      </w:r>
      <w:r w:rsidR="00AB3133" w:rsidRPr="61716D05">
        <w:rPr>
          <w:rFonts w:eastAsia="Times New Roman" w:cs="Arial"/>
        </w:rPr>
        <w:t>registering</w:t>
      </w:r>
      <w:r w:rsidRPr="61716D05">
        <w:rPr>
          <w:rFonts w:eastAsia="Times New Roman" w:cs="Arial"/>
        </w:rPr>
        <w:t xml:space="preserve"> in MyMedicare benefit from:</w:t>
      </w:r>
    </w:p>
    <w:p w14:paraId="1F2304FA" w14:textId="4E946595" w:rsidR="0075128F" w:rsidRPr="0075128F" w:rsidRDefault="00932197" w:rsidP="004245FA">
      <w:pPr>
        <w:pStyle w:val="ListBullet"/>
        <w:tabs>
          <w:tab w:val="clear" w:pos="360"/>
          <w:tab w:val="num" w:pos="1788"/>
        </w:tabs>
        <w:ind w:left="714" w:hanging="357"/>
        <w:contextualSpacing w:val="0"/>
        <w:rPr>
          <w:rFonts w:cs="Arial"/>
        </w:rPr>
      </w:pPr>
      <w:r w:rsidRPr="48909DBA">
        <w:rPr>
          <w:rFonts w:cs="Arial"/>
        </w:rPr>
        <w:t>greater continuing of care with their registered practice, improving health outcomes</w:t>
      </w:r>
    </w:p>
    <w:p w14:paraId="17E6449E" w14:textId="27FC8FBD" w:rsidR="00932197" w:rsidRPr="0075128F" w:rsidRDefault="00932197" w:rsidP="004245FA">
      <w:pPr>
        <w:pStyle w:val="ListBullet"/>
        <w:tabs>
          <w:tab w:val="clear" w:pos="360"/>
          <w:tab w:val="num" w:pos="1788"/>
        </w:tabs>
        <w:ind w:left="714" w:hanging="357"/>
        <w:contextualSpacing w:val="0"/>
        <w:rPr>
          <w:rFonts w:cs="Arial"/>
        </w:rPr>
      </w:pPr>
      <w:r w:rsidRPr="48909DBA">
        <w:rPr>
          <w:rFonts w:cs="Arial"/>
        </w:rPr>
        <w:t>longer Medicare Benefit Schedule (MBS) funded telehealth consultations with their GP</w:t>
      </w:r>
    </w:p>
    <w:p w14:paraId="77E32116" w14:textId="01A6F9BE" w:rsidR="00932197" w:rsidRDefault="00932197" w:rsidP="004245FA">
      <w:pPr>
        <w:pStyle w:val="ListBullet"/>
        <w:tabs>
          <w:tab w:val="clear" w:pos="360"/>
          <w:tab w:val="num" w:pos="1431"/>
        </w:tabs>
        <w:ind w:left="714" w:hanging="357"/>
        <w:contextualSpacing w:val="0"/>
        <w:rPr>
          <w:rFonts w:cs="Arial"/>
        </w:rPr>
      </w:pPr>
      <w:r w:rsidRPr="4452CF4B">
        <w:rPr>
          <w:rFonts w:cs="Arial"/>
        </w:rPr>
        <w:t>more regular visits from a responsible GP and better care planning for people living in a residential aged care home</w:t>
      </w:r>
      <w:bookmarkStart w:id="21" w:name="_Ref177726705"/>
      <w:r w:rsidRPr="4452CF4B">
        <w:rPr>
          <w:rStyle w:val="FootnoteReference"/>
          <w:rFonts w:cs="Arial"/>
        </w:rPr>
        <w:footnoteReference w:id="2"/>
      </w:r>
      <w:bookmarkEnd w:id="21"/>
      <w:r w:rsidRPr="4452CF4B">
        <w:rPr>
          <w:rFonts w:cs="Arial"/>
        </w:rPr>
        <w:t>.</w:t>
      </w:r>
    </w:p>
    <w:p w14:paraId="2C9081C7" w14:textId="48318B30" w:rsidR="009921CD" w:rsidRPr="000A585C" w:rsidRDefault="00AC2B86" w:rsidP="71CB847D">
      <w:pPr>
        <w:pStyle w:val="ListBullet"/>
        <w:numPr>
          <w:ilvl w:val="0"/>
          <w:numId w:val="0"/>
        </w:numPr>
        <w:contextualSpacing w:val="0"/>
        <w:rPr>
          <w:rFonts w:cs="Arial"/>
        </w:rPr>
      </w:pPr>
      <w:r w:rsidRPr="4452CF4B">
        <w:rPr>
          <w:rFonts w:cs="Arial"/>
        </w:rPr>
        <w:lastRenderedPageBreak/>
        <w:t xml:space="preserve">Benefits for patients will </w:t>
      </w:r>
      <w:r w:rsidR="004244D4" w:rsidRPr="4452CF4B">
        <w:rPr>
          <w:rFonts w:cs="Arial"/>
        </w:rPr>
        <w:t xml:space="preserve">continue to </w:t>
      </w:r>
      <w:r w:rsidR="00303968" w:rsidRPr="4452CF4B">
        <w:rPr>
          <w:rFonts w:cs="Arial"/>
        </w:rPr>
        <w:t xml:space="preserve">evolve as </w:t>
      </w:r>
      <w:r w:rsidR="00F70D27" w:rsidRPr="4452CF4B">
        <w:rPr>
          <w:rFonts w:cs="Arial"/>
        </w:rPr>
        <w:t>Government implement</w:t>
      </w:r>
      <w:r w:rsidR="004244D4" w:rsidRPr="4452CF4B">
        <w:rPr>
          <w:rFonts w:cs="Arial"/>
        </w:rPr>
        <w:t>s</w:t>
      </w:r>
      <w:r w:rsidR="00F70D27" w:rsidRPr="4452CF4B">
        <w:rPr>
          <w:rFonts w:cs="Arial"/>
        </w:rPr>
        <w:t xml:space="preserve"> reforms that contribute to Australia’s Primary Health Care 10 Year Plan. </w:t>
      </w:r>
      <w:r w:rsidR="00303968" w:rsidRPr="4452CF4B">
        <w:rPr>
          <w:rFonts w:cs="Arial"/>
        </w:rPr>
        <w:t xml:space="preserve"> </w:t>
      </w:r>
    </w:p>
    <w:p w14:paraId="5F7931F7" w14:textId="77777777" w:rsidR="00932197" w:rsidRPr="00407AD1" w:rsidRDefault="00932197" w:rsidP="00932197">
      <w:pPr>
        <w:pStyle w:val="Heading3"/>
      </w:pPr>
      <w:bookmarkStart w:id="22" w:name="_Toc1566092034"/>
      <w:r w:rsidRPr="00407AD1">
        <w:t>Benefits for providers and practices</w:t>
      </w:r>
      <w:bookmarkEnd w:id="22"/>
    </w:p>
    <w:p w14:paraId="477EBD00" w14:textId="2367E480" w:rsidR="00932197" w:rsidRPr="004F722F" w:rsidRDefault="00932197" w:rsidP="004245FA">
      <w:pPr>
        <w:rPr>
          <w:rFonts w:eastAsia="Times New Roman"/>
        </w:rPr>
      </w:pPr>
      <w:r w:rsidRPr="4C05EBAE">
        <w:rPr>
          <w:rFonts w:eastAsia="Times New Roman"/>
        </w:rPr>
        <w:t xml:space="preserve">Benefits to </w:t>
      </w:r>
      <w:r w:rsidR="004307C8">
        <w:rPr>
          <w:rFonts w:eastAsia="Times New Roman"/>
        </w:rPr>
        <w:t xml:space="preserve">providers and </w:t>
      </w:r>
      <w:r w:rsidRPr="4C05EBAE">
        <w:rPr>
          <w:rFonts w:eastAsia="Times New Roman"/>
        </w:rPr>
        <w:t>practices include:</w:t>
      </w:r>
    </w:p>
    <w:p w14:paraId="36CEE439" w14:textId="454762A7" w:rsidR="00932197" w:rsidRDefault="4DB07602" w:rsidP="48909DBA">
      <w:pPr>
        <w:pStyle w:val="ListBullet"/>
        <w:tabs>
          <w:tab w:val="clear" w:pos="360"/>
          <w:tab w:val="num" w:pos="1077"/>
        </w:tabs>
        <w:ind w:left="720"/>
        <w:contextualSpacing w:val="0"/>
        <w:rPr>
          <w:rFonts w:eastAsia="SimSun" w:cs="Arial"/>
          <w:szCs w:val="22"/>
        </w:rPr>
      </w:pPr>
      <w:r w:rsidRPr="48909DBA">
        <w:rPr>
          <w:rFonts w:eastAsia="SimSun" w:cs="Arial"/>
          <w:szCs w:val="22"/>
        </w:rPr>
        <w:t>incentive for longer MBS telehealth consultations for all eligible MyMedicare patients.</w:t>
      </w:r>
    </w:p>
    <w:p w14:paraId="10CE049D" w14:textId="57E1AC8A" w:rsidR="00932197" w:rsidRPr="00EA5F41" w:rsidRDefault="00932197" w:rsidP="004245FA">
      <w:pPr>
        <w:pStyle w:val="ListBullet"/>
        <w:tabs>
          <w:tab w:val="clear" w:pos="360"/>
          <w:tab w:val="num" w:pos="1077"/>
        </w:tabs>
        <w:ind w:left="720"/>
        <w:contextualSpacing w:val="0"/>
      </w:pPr>
      <w:r>
        <w:t>payments for visiting patients in an aged care home, rather than at the practice</w:t>
      </w:r>
    </w:p>
    <w:p w14:paraId="4A93B255" w14:textId="0F943A19" w:rsidR="00932197" w:rsidRPr="00EA5F41" w:rsidRDefault="00932197" w:rsidP="004245FA">
      <w:pPr>
        <w:pStyle w:val="ListBullet"/>
        <w:tabs>
          <w:tab w:val="clear" w:pos="360"/>
          <w:tab w:val="num" w:pos="1077"/>
        </w:tabs>
        <w:ind w:left="720"/>
        <w:contextualSpacing w:val="0"/>
      </w:pPr>
      <w:r>
        <w:t xml:space="preserve">funding to </w:t>
      </w:r>
      <w:r w:rsidR="004307C8">
        <w:t xml:space="preserve">practices </w:t>
      </w:r>
      <w:r w:rsidR="00526E95">
        <w:t>managing</w:t>
      </w:r>
      <w:r>
        <w:t xml:space="preserve"> care for registered patients living in an aged care </w:t>
      </w:r>
      <w:r w:rsidR="000B6A0E">
        <w:t>facility</w:t>
      </w:r>
    </w:p>
    <w:p w14:paraId="1F2D42AB" w14:textId="6F281E0B" w:rsidR="00932197" w:rsidRDefault="00932197" w:rsidP="004245FA">
      <w:pPr>
        <w:pStyle w:val="ListBullet"/>
        <w:tabs>
          <w:tab w:val="clear" w:pos="360"/>
          <w:tab w:val="num" w:pos="1077"/>
        </w:tabs>
        <w:ind w:left="717" w:hanging="357"/>
        <w:contextualSpacing w:val="0"/>
      </w:pPr>
      <w:r>
        <w:t>support</w:t>
      </w:r>
      <w:r w:rsidR="004307C8">
        <w:t>ing</w:t>
      </w:r>
      <w:r>
        <w:t xml:space="preserve"> continuity of care for people with chronic and complex conditions</w:t>
      </w:r>
    </w:p>
    <w:p w14:paraId="57E6EF4D" w14:textId="21BE1E06" w:rsidR="00562F4D" w:rsidRPr="00EA5F41" w:rsidRDefault="00562F4D" w:rsidP="004245FA">
      <w:pPr>
        <w:pStyle w:val="ListBullet"/>
        <w:tabs>
          <w:tab w:val="clear" w:pos="360"/>
          <w:tab w:val="num" w:pos="1077"/>
        </w:tabs>
        <w:ind w:left="717" w:hanging="357"/>
        <w:contextualSpacing w:val="0"/>
      </w:pPr>
      <w:r>
        <w:t>incentive payments for practices that bulk bill all eligible patients</w:t>
      </w:r>
    </w:p>
    <w:p w14:paraId="26636128" w14:textId="77777777" w:rsidR="00932197" w:rsidRPr="00EA5F41" w:rsidRDefault="00932197" w:rsidP="004245FA">
      <w:pPr>
        <w:pStyle w:val="ListBullet"/>
        <w:tabs>
          <w:tab w:val="clear" w:pos="360"/>
          <w:tab w:val="num" w:pos="1077"/>
        </w:tabs>
        <w:ind w:left="717" w:hanging="357"/>
        <w:contextualSpacing w:val="0"/>
      </w:pPr>
      <w:r>
        <w:t>strengthening and formalising relationships between patient, GP, practice, and other members of a patient’s care team.</w:t>
      </w:r>
    </w:p>
    <w:p w14:paraId="7F265395" w14:textId="3B36794B" w:rsidR="007B78B5" w:rsidRDefault="00620BC3" w:rsidP="001346AB">
      <w:pPr>
        <w:pStyle w:val="Heading2"/>
        <w:ind w:left="578" w:hanging="578"/>
      </w:pPr>
      <w:bookmarkStart w:id="23" w:name="_Toc214050996"/>
      <w:bookmarkStart w:id="24" w:name="_Toc403535626"/>
      <w:r>
        <w:t>The Organisation Register</w:t>
      </w:r>
      <w:bookmarkEnd w:id="23"/>
      <w:bookmarkEnd w:id="24"/>
    </w:p>
    <w:p w14:paraId="17F183B6" w14:textId="175C2F6B" w:rsidR="00817CB4" w:rsidRPr="00032FD0" w:rsidRDefault="00817CB4" w:rsidP="001346AB">
      <w:pPr>
        <w:rPr>
          <w:rFonts w:eastAsia="Times New Roman" w:cs="Arial"/>
          <w:szCs w:val="22"/>
        </w:rPr>
      </w:pPr>
      <w:r w:rsidRPr="00032FD0">
        <w:rPr>
          <w:rFonts w:eastAsia="Times New Roman" w:cs="Arial"/>
          <w:szCs w:val="22"/>
        </w:rPr>
        <w:t xml:space="preserve">The </w:t>
      </w:r>
      <w:hyperlink r:id="rId14">
        <w:r w:rsidRPr="00032FD0">
          <w:rPr>
            <w:rStyle w:val="Hyperlink"/>
            <w:rFonts w:eastAsia="Times New Roman" w:cs="Arial"/>
            <w:szCs w:val="22"/>
          </w:rPr>
          <w:t>Organisation Register</w:t>
        </w:r>
      </w:hyperlink>
      <w:r w:rsidRPr="00032FD0">
        <w:rPr>
          <w:rFonts w:eastAsia="Times New Roman" w:cs="Arial"/>
          <w:szCs w:val="22"/>
        </w:rPr>
        <w:t xml:space="preserve"> is a streamlined practice registration tool connecting a general practice, GPs, patients, MBS claiming and incentives in the one central system. </w:t>
      </w:r>
    </w:p>
    <w:p w14:paraId="6064470D" w14:textId="7EF5E31D" w:rsidR="000A4424" w:rsidRPr="00032FD0" w:rsidRDefault="00817CB4" w:rsidP="61716D05">
      <w:pPr>
        <w:rPr>
          <w:rFonts w:eastAsia="Times New Roman" w:cs="Arial"/>
        </w:rPr>
      </w:pPr>
      <w:r w:rsidRPr="61716D05">
        <w:rPr>
          <w:rFonts w:eastAsia="Times New Roman" w:cs="Arial"/>
        </w:rPr>
        <w:t xml:space="preserve">The Organisation Register </w:t>
      </w:r>
      <w:r w:rsidR="00F031F7" w:rsidRPr="61716D05">
        <w:rPr>
          <w:rFonts w:eastAsia="Times New Roman" w:cs="Arial"/>
        </w:rPr>
        <w:t>supports new</w:t>
      </w:r>
      <w:r w:rsidR="009E5D55" w:rsidRPr="61716D05">
        <w:rPr>
          <w:rFonts w:eastAsia="Times New Roman" w:cs="Arial"/>
        </w:rPr>
        <w:t>,</w:t>
      </w:r>
      <w:r w:rsidR="00F031F7" w:rsidRPr="61716D05">
        <w:rPr>
          <w:rFonts w:eastAsia="Times New Roman" w:cs="Arial"/>
        </w:rPr>
        <w:t xml:space="preserve"> existing </w:t>
      </w:r>
      <w:r w:rsidR="009E5D55" w:rsidRPr="61716D05">
        <w:rPr>
          <w:rFonts w:eastAsia="Times New Roman" w:cs="Arial"/>
        </w:rPr>
        <w:t>and future</w:t>
      </w:r>
      <w:r w:rsidR="00F031F7" w:rsidRPr="61716D05">
        <w:rPr>
          <w:rFonts w:eastAsia="Times New Roman" w:cs="Arial"/>
        </w:rPr>
        <w:t xml:space="preserve"> health programs to move towards a single view for practices, providers, patients and other health professionals for health programs.</w:t>
      </w:r>
    </w:p>
    <w:p w14:paraId="15913F59" w14:textId="280375C4" w:rsidR="002D6C7D" w:rsidRPr="00DC743F" w:rsidRDefault="002D6C7D" w:rsidP="61716D05">
      <w:pPr>
        <w:rPr>
          <w:rFonts w:eastAsia="Times New Roman" w:cs="Arial"/>
        </w:rPr>
      </w:pPr>
      <w:r w:rsidRPr="61716D05">
        <w:rPr>
          <w:rFonts w:eastAsia="Times New Roman" w:cs="Arial"/>
        </w:rPr>
        <w:t xml:space="preserve">It allows an organisation to enter their details, and for this information to be used </w:t>
      </w:r>
      <w:r w:rsidR="00C41CD8" w:rsidRPr="61716D05">
        <w:rPr>
          <w:rFonts w:eastAsia="Times New Roman" w:cs="Arial"/>
        </w:rPr>
        <w:t>acr</w:t>
      </w:r>
      <w:r w:rsidR="00C35CAD" w:rsidRPr="61716D05">
        <w:rPr>
          <w:rFonts w:eastAsia="Times New Roman" w:cs="Arial"/>
        </w:rPr>
        <w:t>oss</w:t>
      </w:r>
      <w:r w:rsidR="00C41CD8" w:rsidRPr="61716D05">
        <w:rPr>
          <w:rFonts w:eastAsia="Times New Roman" w:cs="Arial"/>
        </w:rPr>
        <w:t xml:space="preserve"> </w:t>
      </w:r>
      <w:r w:rsidRPr="61716D05">
        <w:rPr>
          <w:rFonts w:eastAsia="Times New Roman" w:cs="Arial"/>
        </w:rPr>
        <w:t>multiple health programs. Through these systems, a practice will be able to register in the Organisation Register, participate in MyMedicare and register patients, identify preferred providers, and be able to access linked items and incentives.</w:t>
      </w:r>
    </w:p>
    <w:p w14:paraId="27569384" w14:textId="33C4540F" w:rsidR="00817CB4" w:rsidRPr="00DC743F" w:rsidRDefault="000A4424" w:rsidP="00DC743F">
      <w:pPr>
        <w:rPr>
          <w:rFonts w:eastAsia="Times New Roman" w:cs="Arial"/>
        </w:rPr>
      </w:pPr>
      <w:r w:rsidRPr="4452CF4B">
        <w:rPr>
          <w:rFonts w:eastAsia="Times New Roman" w:cs="Arial"/>
        </w:rPr>
        <w:t>The Organisation Register functionality was co-designed</w:t>
      </w:r>
      <w:r w:rsidR="0019526A" w:rsidRPr="4452CF4B">
        <w:rPr>
          <w:rFonts w:eastAsia="Times New Roman" w:cs="Arial"/>
        </w:rPr>
        <w:t xml:space="preserve"> </w:t>
      </w:r>
      <w:r w:rsidR="00C822BE" w:rsidRPr="4452CF4B">
        <w:rPr>
          <w:rFonts w:eastAsia="Times New Roman" w:cs="Arial"/>
        </w:rPr>
        <w:t>between</w:t>
      </w:r>
      <w:r w:rsidR="0019526A" w:rsidRPr="4452CF4B">
        <w:rPr>
          <w:rFonts w:eastAsia="Times New Roman" w:cs="Arial"/>
        </w:rPr>
        <w:t xml:space="preserve"> the Department of Health</w:t>
      </w:r>
      <w:r w:rsidR="001B7F53" w:rsidRPr="4452CF4B">
        <w:rPr>
          <w:rFonts w:eastAsia="Times New Roman" w:cs="Arial"/>
        </w:rPr>
        <w:t>, Disability and Ageing</w:t>
      </w:r>
      <w:r w:rsidR="00582FA9" w:rsidRPr="4452CF4B">
        <w:rPr>
          <w:rFonts w:eastAsia="Times New Roman" w:cs="Arial"/>
        </w:rPr>
        <w:t xml:space="preserve"> </w:t>
      </w:r>
      <w:r w:rsidR="00126556" w:rsidRPr="4452CF4B">
        <w:rPr>
          <w:rFonts w:eastAsia="Times New Roman" w:cs="Arial"/>
        </w:rPr>
        <w:t>(the department) and Services Australia</w:t>
      </w:r>
      <w:r w:rsidR="00E8667A" w:rsidRPr="4452CF4B">
        <w:rPr>
          <w:rFonts w:eastAsia="Times New Roman" w:cs="Arial"/>
        </w:rPr>
        <w:t xml:space="preserve">. It was </w:t>
      </w:r>
      <w:r w:rsidR="00126556" w:rsidRPr="4452CF4B">
        <w:rPr>
          <w:rFonts w:eastAsia="Times New Roman" w:cs="Arial"/>
        </w:rPr>
        <w:t>user-tested with providers and practice managers to ensure it meets current and future policy and user needs.</w:t>
      </w:r>
      <w:r w:rsidR="00817CB4" w:rsidRPr="4452CF4B">
        <w:rPr>
          <w:rFonts w:eastAsia="Times New Roman" w:cs="Arial"/>
        </w:rPr>
        <w:t xml:space="preserve"> </w:t>
      </w:r>
    </w:p>
    <w:p w14:paraId="725F5018" w14:textId="1D3F2299" w:rsidR="00F15BE6" w:rsidRDefault="002E43C4" w:rsidP="00F8718E">
      <w:pPr>
        <w:pStyle w:val="Heading2"/>
        <w:ind w:left="578" w:hanging="578"/>
      </w:pPr>
      <w:bookmarkStart w:id="25" w:name="_Toc214050997"/>
      <w:bookmarkStart w:id="26" w:name="_Toc1360707791"/>
      <w:r>
        <w:t>Organisational Payment Capability</w:t>
      </w:r>
      <w:bookmarkEnd w:id="25"/>
      <w:bookmarkEnd w:id="26"/>
    </w:p>
    <w:p w14:paraId="6D7B530E" w14:textId="49E721E6" w:rsidR="002E43C4" w:rsidRDefault="002E43C4" w:rsidP="00DC743F">
      <w:r>
        <w:t xml:space="preserve">To </w:t>
      </w:r>
      <w:r w:rsidR="0070197A">
        <w:t xml:space="preserve">support </w:t>
      </w:r>
      <w:r>
        <w:t xml:space="preserve">funding reform </w:t>
      </w:r>
      <w:r w:rsidR="0070197A">
        <w:t>and enable</w:t>
      </w:r>
      <w:r>
        <w:t xml:space="preserve"> blended funding models </w:t>
      </w:r>
      <w:r w:rsidR="0070197A">
        <w:t>through MyMedicare</w:t>
      </w:r>
      <w:r w:rsidR="005D11F7">
        <w:t>,</w:t>
      </w:r>
      <w:r>
        <w:t xml:space="preserve"> an Organisational Payment Capability (OPC) was </w:t>
      </w:r>
      <w:r w:rsidR="006219D6">
        <w:t>developed</w:t>
      </w:r>
      <w:r>
        <w:t xml:space="preserve">. The OPC </w:t>
      </w:r>
      <w:r w:rsidR="004B4EF3">
        <w:t>system</w:t>
      </w:r>
      <w:r w:rsidR="004B4EF3" w:rsidDel="00163583">
        <w:t xml:space="preserve"> </w:t>
      </w:r>
      <w:r w:rsidR="004B4EF3">
        <w:t>manage</w:t>
      </w:r>
      <w:r w:rsidR="00163583">
        <w:t>s</w:t>
      </w:r>
      <w:r w:rsidR="004B4EF3">
        <w:t xml:space="preserve"> payments made directly to healthcare practices, combin</w:t>
      </w:r>
      <w:r w:rsidR="00DB314B">
        <w:t>ing different funding approaches like fee</w:t>
      </w:r>
      <w:r>
        <w:t xml:space="preserve"> for service and incentive payment</w:t>
      </w:r>
      <w:r w:rsidR="00C077FC">
        <w:t xml:space="preserve">s into a single </w:t>
      </w:r>
      <w:r>
        <w:t>blended model.</w:t>
      </w:r>
    </w:p>
    <w:p w14:paraId="26B47130" w14:textId="32FD1CC3" w:rsidR="00DB73E3" w:rsidRDefault="00C077FC" w:rsidP="00DC743F">
      <w:r w:rsidRPr="61716D05">
        <w:t xml:space="preserve">The </w:t>
      </w:r>
      <w:r w:rsidR="002E43C4" w:rsidRPr="61716D05">
        <w:t xml:space="preserve">OPC </w:t>
      </w:r>
      <w:r w:rsidRPr="61716D05">
        <w:t>works by</w:t>
      </w:r>
      <w:r w:rsidR="002E43C4" w:rsidRPr="61716D05">
        <w:t xml:space="preserve"> assess</w:t>
      </w:r>
      <w:r w:rsidRPr="61716D05">
        <w:t>ing whether a pract</w:t>
      </w:r>
      <w:r w:rsidR="00141457" w:rsidRPr="61716D05">
        <w:t>ice or provider is eligible for incentive payments</w:t>
      </w:r>
      <w:r w:rsidR="002E43C4" w:rsidRPr="61716D05">
        <w:t>, calculat</w:t>
      </w:r>
      <w:r w:rsidR="00141457" w:rsidRPr="61716D05">
        <w:t>ing the</w:t>
      </w:r>
      <w:r w:rsidR="002E43C4" w:rsidRPr="61716D05">
        <w:t xml:space="preserve"> payments, </w:t>
      </w:r>
      <w:r w:rsidR="00605168" w:rsidRPr="61716D05">
        <w:t xml:space="preserve">and </w:t>
      </w:r>
      <w:r w:rsidR="002E43C4" w:rsidRPr="61716D05">
        <w:t>forecast</w:t>
      </w:r>
      <w:r w:rsidR="00605168" w:rsidRPr="61716D05">
        <w:t>ing future eligibility based on program criteria and payment cycles</w:t>
      </w:r>
      <w:r w:rsidR="002E43C4" w:rsidRPr="61716D05">
        <w:t xml:space="preserve">. </w:t>
      </w:r>
      <w:r w:rsidR="00EE5FC7" w:rsidRPr="61716D05">
        <w:t xml:space="preserve">It also facilitates the delivery of payments to practices </w:t>
      </w:r>
      <w:r w:rsidR="00DB73E3" w:rsidRPr="61716D05">
        <w:t xml:space="preserve">and providers, ensuring they receive the correct funding. </w:t>
      </w:r>
    </w:p>
    <w:p w14:paraId="5C8626EF" w14:textId="141CD851" w:rsidR="001A5332" w:rsidRDefault="007D6E74" w:rsidP="001A5332">
      <w:pPr>
        <w:pStyle w:val="Heading2"/>
        <w:ind w:left="578" w:hanging="578"/>
      </w:pPr>
      <w:bookmarkStart w:id="27" w:name="_Toc214050998"/>
      <w:bookmarkStart w:id="28" w:name="_Toc1337400"/>
      <w:r>
        <w:t>Remoteness</w:t>
      </w:r>
      <w:r w:rsidR="00963AE1">
        <w:t xml:space="preserve"> classification</w:t>
      </w:r>
      <w:bookmarkEnd w:id="27"/>
      <w:bookmarkEnd w:id="28"/>
    </w:p>
    <w:p w14:paraId="50B5E3A4" w14:textId="436C71F8" w:rsidR="001E3C21" w:rsidRPr="002E43C4" w:rsidRDefault="00963AE1" w:rsidP="00877366">
      <w:r>
        <w:rPr>
          <w:lang w:eastAsia="en-AU"/>
        </w:rPr>
        <w:t xml:space="preserve">MyMedicare uses the </w:t>
      </w:r>
      <w:hyperlink r:id="rId15">
        <w:r w:rsidR="007D6E74" w:rsidRPr="61716D05">
          <w:rPr>
            <w:rStyle w:val="Hyperlink"/>
            <w:lang w:eastAsia="en-AU"/>
          </w:rPr>
          <w:t>Modified Monash Model</w:t>
        </w:r>
      </w:hyperlink>
      <w:r w:rsidR="007D6E74" w:rsidRPr="61716D05">
        <w:rPr>
          <w:lang w:eastAsia="en-AU"/>
        </w:rPr>
        <w:t xml:space="preserve"> (MMM) </w:t>
      </w:r>
      <w:r>
        <w:rPr>
          <w:lang w:eastAsia="en-AU"/>
        </w:rPr>
        <w:t xml:space="preserve">to </w:t>
      </w:r>
      <w:r w:rsidR="007D6E74" w:rsidRPr="61716D05">
        <w:rPr>
          <w:lang w:eastAsia="en-AU"/>
        </w:rPr>
        <w:t>d</w:t>
      </w:r>
      <w:r w:rsidR="001429BF">
        <w:rPr>
          <w:lang w:eastAsia="en-AU"/>
        </w:rPr>
        <w:t>etermine</w:t>
      </w:r>
      <w:r w:rsidR="007D6E74" w:rsidRPr="61716D05">
        <w:rPr>
          <w:lang w:eastAsia="en-AU"/>
        </w:rPr>
        <w:t xml:space="preserve"> whether a location is metropolitan, rural or very remote. The model measures remoteness and population size on a scale of categories from 1 to 7. MMM1 is major city and MMM7 is very remote. </w:t>
      </w:r>
    </w:p>
    <w:p w14:paraId="291AF43F" w14:textId="3B9FE4B8" w:rsidR="00817CB4" w:rsidRPr="00736170" w:rsidRDefault="00AE776C" w:rsidP="00C6100D">
      <w:pPr>
        <w:pStyle w:val="ListBullet"/>
        <w:tabs>
          <w:tab w:val="clear" w:pos="360"/>
          <w:tab w:val="num" w:pos="1074"/>
        </w:tabs>
        <w:ind w:left="714" w:hanging="357"/>
        <w:contextualSpacing w:val="0"/>
        <w:rPr>
          <w:rFonts w:cs="Arial"/>
        </w:rPr>
      </w:pPr>
      <w:r w:rsidRPr="48909DBA">
        <w:rPr>
          <w:rFonts w:cs="Arial"/>
        </w:rPr>
        <w:lastRenderedPageBreak/>
        <w:t xml:space="preserve">have at least one eligible </w:t>
      </w:r>
      <w:r w:rsidR="00401EC9" w:rsidRPr="48909DBA">
        <w:rPr>
          <w:rFonts w:cs="Arial"/>
        </w:rPr>
        <w:t>GP linked to the practice in the Organisation Register.</w:t>
      </w:r>
      <w:r w:rsidR="00CC54CF" w:rsidRPr="48909DBA">
        <w:rPr>
          <w:rFonts w:cs="Arial"/>
        </w:rPr>
        <w:t xml:space="preserve"> </w:t>
      </w:r>
    </w:p>
    <w:p w14:paraId="3F0B9FE9" w14:textId="77777777" w:rsidR="00AB2C3D" w:rsidRDefault="00AB2C3D" w:rsidP="0095488A">
      <w:pPr>
        <w:pStyle w:val="Heading2"/>
        <w:ind w:left="578" w:hanging="578"/>
      </w:pPr>
      <w:bookmarkStart w:id="29" w:name="_Toc214051002"/>
      <w:bookmarkStart w:id="30" w:name="_Toc441762603"/>
      <w:r>
        <w:t>Practice Type</w:t>
      </w:r>
      <w:bookmarkEnd w:id="29"/>
      <w:bookmarkEnd w:id="30"/>
    </w:p>
    <w:p w14:paraId="3C0284A3" w14:textId="26B2B19F" w:rsidR="00AB2C3D" w:rsidRDefault="00AB2C3D" w:rsidP="00A61B8D">
      <w:r w:rsidRPr="61716D05">
        <w:t>Practices registering for MyMedicare will be required to define their practice type.</w:t>
      </w:r>
      <w:r w:rsidR="00D15DB7" w:rsidRPr="61716D05">
        <w:t xml:space="preserve"> </w:t>
      </w:r>
      <w:r w:rsidRPr="61716D05">
        <w:t>Practice type refers to the main function for that practice consistent with the defined model of general practice described in the RACGP definition</w:t>
      </w:r>
      <w:r w:rsidRPr="61716D05">
        <w:rPr>
          <w:rStyle w:val="FootnoteReference"/>
        </w:rPr>
        <w:footnoteReference w:id="3"/>
      </w:r>
      <w:r w:rsidRPr="61716D05">
        <w:t>. For example, t</w:t>
      </w:r>
      <w:r w:rsidR="00D358F8" w:rsidRPr="61716D05">
        <w:t>he practice</w:t>
      </w:r>
      <w:r w:rsidRPr="61716D05">
        <w:t xml:space="preserve"> provides comprehensive, patient-centred, whole</w:t>
      </w:r>
      <w:r w:rsidR="00CB2F86" w:rsidRPr="61716D05">
        <w:t xml:space="preserve"> </w:t>
      </w:r>
      <w:r w:rsidRPr="61716D05">
        <w:t xml:space="preserve">person and continuous care, and its services must be predominantly of a general practice nature. </w:t>
      </w:r>
    </w:p>
    <w:p w14:paraId="47A736A2" w14:textId="57FA4977" w:rsidR="00AB2C3D" w:rsidRDefault="000E23AB" w:rsidP="00A61B8D">
      <w:r>
        <w:t>T</w:t>
      </w:r>
      <w:r w:rsidR="00AB2C3D">
        <w:t>he practice type should be applied using the below definitions of general practice types for MyMedicare.</w:t>
      </w:r>
    </w:p>
    <w:p w14:paraId="74E7C163" w14:textId="77777777" w:rsidR="00AB2C3D" w:rsidRDefault="00AB2C3D" w:rsidP="00A61B8D">
      <w:pPr>
        <w:pStyle w:val="Heading3"/>
      </w:pPr>
      <w:bookmarkStart w:id="31" w:name="_Toc1819584214"/>
      <w:r>
        <w:t>General Practice</w:t>
      </w:r>
      <w:bookmarkEnd w:id="31"/>
    </w:p>
    <w:p w14:paraId="79F2D950" w14:textId="77777777" w:rsidR="00AB2C3D" w:rsidRDefault="00AB2C3D" w:rsidP="61716D05">
      <w:r w:rsidRPr="61716D05">
        <w:t>A general practice that provides patient-centred, continuing, comprehensive, coordinated primary health care to individuals, families and communities within a fixed, physical location, often referred to as ‘bricks-and-mortar’.</w:t>
      </w:r>
    </w:p>
    <w:p w14:paraId="7487D70F" w14:textId="3CA6A4FB" w:rsidR="00AB2C3D" w:rsidRDefault="00AB2C3D" w:rsidP="009C35C5">
      <w:pPr>
        <w:pStyle w:val="Heading3"/>
      </w:pPr>
      <w:bookmarkStart w:id="32" w:name="_Toc926778300"/>
      <w:r>
        <w:t>Aboriginal Community Controlled Healthcare Service</w:t>
      </w:r>
      <w:r w:rsidR="00CD0B7D">
        <w:t xml:space="preserve"> (ACCHS)</w:t>
      </w:r>
      <w:bookmarkEnd w:id="32"/>
    </w:p>
    <w:p w14:paraId="1A52442D" w14:textId="0660D74F" w:rsidR="00AB2C3D" w:rsidRDefault="00AB2C3D" w:rsidP="009C35C5">
      <w:r w:rsidRPr="61716D05">
        <w:t xml:space="preserve">An ACCHS </w:t>
      </w:r>
      <w:r w:rsidR="000A1B8B">
        <w:t>is</w:t>
      </w:r>
      <w:r w:rsidR="008876B3">
        <w:t xml:space="preserve"> a</w:t>
      </w:r>
      <w:r w:rsidR="00AA1038">
        <w:t xml:space="preserve"> community-run primary health service that provides </w:t>
      </w:r>
      <w:r w:rsidRPr="61716D05">
        <w:t>comprehensive,</w:t>
      </w:r>
      <w:r w:rsidRPr="61716D05" w:rsidDel="00AA1038">
        <w:t xml:space="preserve"> </w:t>
      </w:r>
      <w:r w:rsidRPr="61716D05">
        <w:t xml:space="preserve">culturally </w:t>
      </w:r>
      <w:r w:rsidR="00AA1038">
        <w:t>informed</w:t>
      </w:r>
      <w:r w:rsidRPr="61716D05">
        <w:t xml:space="preserve"> health care to </w:t>
      </w:r>
      <w:r w:rsidR="00315347">
        <w:t xml:space="preserve">Aboriginal and Torres Strait Islander people. </w:t>
      </w:r>
    </w:p>
    <w:p w14:paraId="610E3136" w14:textId="705D2949" w:rsidR="00AB2C3D" w:rsidRDefault="00AB2C3D" w:rsidP="009C35C5">
      <w:pPr>
        <w:pStyle w:val="Heading3"/>
      </w:pPr>
      <w:bookmarkStart w:id="33" w:name="_Toc897508007"/>
      <w:r>
        <w:t xml:space="preserve">Aboriginal Medical Service </w:t>
      </w:r>
      <w:r w:rsidR="00CD0B7D">
        <w:t>(AMS)</w:t>
      </w:r>
      <w:bookmarkEnd w:id="33"/>
    </w:p>
    <w:p w14:paraId="7882CDAA" w14:textId="12132C26" w:rsidR="00AB2C3D" w:rsidRDefault="00AB2C3D" w:rsidP="009C35C5">
      <w:r w:rsidRPr="61716D05">
        <w:t xml:space="preserve">An AMS </w:t>
      </w:r>
      <w:r w:rsidR="00877BD5">
        <w:t xml:space="preserve">is a primary </w:t>
      </w:r>
      <w:r w:rsidR="000B2F0B">
        <w:t xml:space="preserve">health service that </w:t>
      </w:r>
      <w:r w:rsidR="00066AF0">
        <w:t xml:space="preserve">specialises in </w:t>
      </w:r>
      <w:r w:rsidR="107A1203">
        <w:t>provid</w:t>
      </w:r>
      <w:r w:rsidR="4B440475">
        <w:t>ing</w:t>
      </w:r>
      <w:r w:rsidRPr="61716D05">
        <w:t xml:space="preserve"> comprehensive, and culturally </w:t>
      </w:r>
      <w:r w:rsidR="4B440475">
        <w:t>informed</w:t>
      </w:r>
      <w:r w:rsidRPr="61716D05">
        <w:t xml:space="preserve"> health care to </w:t>
      </w:r>
      <w:r w:rsidR="009519D0">
        <w:t xml:space="preserve">Aboriginal and Torres Strait Islander people. </w:t>
      </w:r>
    </w:p>
    <w:p w14:paraId="4D18E5EC" w14:textId="77777777" w:rsidR="00AB2C3D" w:rsidRDefault="00AB2C3D" w:rsidP="00520BB8">
      <w:pPr>
        <w:pStyle w:val="Heading3"/>
      </w:pPr>
      <w:bookmarkStart w:id="34" w:name="_Toc1338304692"/>
      <w:r>
        <w:t>Mobile Practice</w:t>
      </w:r>
      <w:bookmarkEnd w:id="34"/>
    </w:p>
    <w:p w14:paraId="4F396F9E" w14:textId="2E698F66" w:rsidR="00AB2C3D" w:rsidRDefault="00AB2C3D" w:rsidP="009C35C5">
      <w:r w:rsidRPr="61716D05">
        <w:t>A mobile practice provides patient-centred, continuing, comprehensive, coordinated primary health care without a dedicated physical premises</w:t>
      </w:r>
      <w:r w:rsidR="00753168">
        <w:t>. It</w:t>
      </w:r>
      <w:r w:rsidR="00FB4C6C" w:rsidRPr="61716D05">
        <w:t xml:space="preserve"> provides </w:t>
      </w:r>
      <w:r w:rsidRPr="61716D05">
        <w:t xml:space="preserve">services </w:t>
      </w:r>
      <w:r w:rsidR="00E90888" w:rsidRPr="61716D05">
        <w:t>and</w:t>
      </w:r>
      <w:r w:rsidRPr="61716D05">
        <w:t xml:space="preserve"> conduct</w:t>
      </w:r>
      <w:r w:rsidR="002461B3" w:rsidRPr="61716D05">
        <w:t>s</w:t>
      </w:r>
      <w:r w:rsidRPr="61716D05">
        <w:t xml:space="preserve"> consultations at multiple locations.</w:t>
      </w:r>
    </w:p>
    <w:p w14:paraId="697BD4EA" w14:textId="77777777" w:rsidR="00AB2C3D" w:rsidRDefault="00AB2C3D" w:rsidP="00520BB8">
      <w:pPr>
        <w:pStyle w:val="Heading3"/>
      </w:pPr>
      <w:bookmarkStart w:id="35" w:name="_Toc695701128"/>
      <w:r>
        <w:t>Outreach Practice</w:t>
      </w:r>
      <w:bookmarkEnd w:id="35"/>
    </w:p>
    <w:p w14:paraId="4EA41103" w14:textId="14EE8496" w:rsidR="00AB2C3D" w:rsidRDefault="00E06E79" w:rsidP="00BC170B">
      <w:r w:rsidRPr="00E06E79">
        <w:t>An outreach practice does not have a traditional ‘bricks and mortar’ practice location and provides health care services to people living in regional, rural and remote communities</w:t>
      </w:r>
      <w:r w:rsidRPr="00E06E79" w:rsidDel="00E06E79">
        <w:t>.</w:t>
      </w:r>
      <w:r w:rsidR="00AB2C3D">
        <w:t xml:space="preserve"> It brings outreach prima</w:t>
      </w:r>
      <w:r w:rsidR="00221978">
        <w:t>r</w:t>
      </w:r>
      <w:r w:rsidR="00AB2C3D">
        <w:t>y health care to patients where they live or spend time.</w:t>
      </w:r>
    </w:p>
    <w:p w14:paraId="072D9189" w14:textId="77777777" w:rsidR="00AB2C3D" w:rsidRDefault="00AB2C3D" w:rsidP="00520BB8">
      <w:pPr>
        <w:pStyle w:val="Heading3"/>
      </w:pPr>
      <w:bookmarkStart w:id="36" w:name="_Toc1629658221"/>
      <w:r>
        <w:t>Sole Provider Practice</w:t>
      </w:r>
      <w:bookmarkEnd w:id="36"/>
    </w:p>
    <w:p w14:paraId="7A34E864" w14:textId="6972F6E9" w:rsidR="00AB2C3D" w:rsidRDefault="00AB2C3D" w:rsidP="00AB2C3D">
      <w:r w:rsidRPr="61716D05">
        <w:t xml:space="preserve">Independent GPs and sole practitioners provide patient-centred, continuing, comprehensive, coordinated primary health care to individuals, families and communities, either within a fixed, physical location or without a dedicated physical premise </w:t>
      </w:r>
      <w:r w:rsidR="006B1632" w:rsidRPr="61716D05">
        <w:t xml:space="preserve">but that provide </w:t>
      </w:r>
      <w:r w:rsidRPr="61716D05">
        <w:t>services that conduct consultations at multiple locations.</w:t>
      </w:r>
    </w:p>
    <w:p w14:paraId="5AC44A4C" w14:textId="65BAA5B3" w:rsidR="00AB2C3D" w:rsidRDefault="00AB2C3D" w:rsidP="00415CC1">
      <w:pPr>
        <w:pStyle w:val="Heading3"/>
      </w:pPr>
      <w:bookmarkStart w:id="37" w:name="_Toc495514710"/>
      <w:r>
        <w:t xml:space="preserve">Nurse </w:t>
      </w:r>
      <w:r w:rsidRPr="00415CC1">
        <w:t>Practitioner</w:t>
      </w:r>
      <w:r w:rsidR="00C645F4">
        <w:t xml:space="preserve"> </w:t>
      </w:r>
      <w:r w:rsidR="3ED26A7A">
        <w:t>within</w:t>
      </w:r>
      <w:r>
        <w:t xml:space="preserve"> GP</w:t>
      </w:r>
      <w:r w:rsidR="4A55C1C3">
        <w:t>-led team</w:t>
      </w:r>
      <w:bookmarkEnd w:id="37"/>
    </w:p>
    <w:p w14:paraId="37633D1F" w14:textId="49D811FD" w:rsidR="00AB2C3D" w:rsidRPr="008D6828" w:rsidRDefault="00AB2C3D" w:rsidP="00F45958">
      <w:r>
        <w:t xml:space="preserve">A </w:t>
      </w:r>
      <w:r w:rsidR="00F82A44">
        <w:t xml:space="preserve">general practice </w:t>
      </w:r>
      <w:r>
        <w:t xml:space="preserve">nurse practitioner consults and works collaboratively as part of a GP-led </w:t>
      </w:r>
      <w:r w:rsidR="004C2C98">
        <w:t xml:space="preserve">multidisciplinary care </w:t>
      </w:r>
      <w:r>
        <w:t>team delivering coordinate</w:t>
      </w:r>
      <w:r w:rsidR="00F65EF1">
        <w:t>d</w:t>
      </w:r>
      <w:r>
        <w:t xml:space="preserve"> primary health care to patients. </w:t>
      </w:r>
    </w:p>
    <w:p w14:paraId="099323B2" w14:textId="08529E63" w:rsidR="292F0090" w:rsidRDefault="292F0090" w:rsidP="71CB847D">
      <w:pPr>
        <w:pStyle w:val="Heading1"/>
      </w:pPr>
      <w:bookmarkStart w:id="38" w:name="_Toc843048724"/>
      <w:r>
        <w:lastRenderedPageBreak/>
        <w:t>Eligibility to participate in MyMedicare</w:t>
      </w:r>
      <w:bookmarkEnd w:id="38"/>
    </w:p>
    <w:p w14:paraId="63B1EC74" w14:textId="3246E68D" w:rsidR="292F0090" w:rsidRDefault="292F0090" w:rsidP="71CB847D">
      <w:pPr>
        <w:rPr>
          <w:rFonts w:eastAsia="Times New Roman"/>
        </w:rPr>
      </w:pPr>
      <w:r w:rsidRPr="71CB847D">
        <w:rPr>
          <w:rFonts w:eastAsia="Times New Roman"/>
        </w:rPr>
        <w:t xml:space="preserve">Participation in MyMedicare is voluntary and open to patients, practices and providers who meet the MyMedicare eligibility criteria. This section sets out these eligibility requirements. </w:t>
      </w:r>
    </w:p>
    <w:p w14:paraId="67625A3E" w14:textId="7ED350A6" w:rsidR="292F0090" w:rsidRDefault="292F0090" w:rsidP="71CB847D">
      <w:pPr>
        <w:pStyle w:val="Heading2"/>
        <w:ind w:left="578" w:hanging="578"/>
      </w:pPr>
      <w:bookmarkStart w:id="39" w:name="_Toc1110873275"/>
      <w:r>
        <w:t>Practice eligibility</w:t>
      </w:r>
      <w:bookmarkEnd w:id="39"/>
    </w:p>
    <w:p w14:paraId="51591537" w14:textId="0F7DF8BD" w:rsidR="292F0090" w:rsidRDefault="292F0090">
      <w:r>
        <w:t>To participate in MyMedicare practices must:</w:t>
      </w:r>
    </w:p>
    <w:p w14:paraId="01E503A6" w14:textId="01E7EB22" w:rsidR="292F0090" w:rsidRDefault="292F0090" w:rsidP="71CB847D">
      <w:pPr>
        <w:pStyle w:val="ListBullet"/>
        <w:tabs>
          <w:tab w:val="clear" w:pos="360"/>
          <w:tab w:val="num" w:pos="1074"/>
        </w:tabs>
        <w:ind w:left="714" w:hanging="357"/>
        <w:contextualSpacing w:val="0"/>
        <w:rPr>
          <w:rFonts w:cs="Arial"/>
        </w:rPr>
      </w:pPr>
      <w:r w:rsidRPr="48909DBA">
        <w:rPr>
          <w:rFonts w:cs="Arial"/>
        </w:rPr>
        <w:t>provide Medicare Benefits Schedule (MBS) services</w:t>
      </w:r>
    </w:p>
    <w:p w14:paraId="558A7663" w14:textId="5F9682ED" w:rsidR="292F0090" w:rsidRDefault="292F0090" w:rsidP="71CB847D">
      <w:pPr>
        <w:pStyle w:val="ListBullet"/>
        <w:tabs>
          <w:tab w:val="clear" w:pos="360"/>
          <w:tab w:val="num" w:pos="1074"/>
        </w:tabs>
        <w:ind w:left="714" w:hanging="357"/>
        <w:contextualSpacing w:val="0"/>
        <w:rPr>
          <w:rFonts w:cs="Arial"/>
        </w:rPr>
      </w:pPr>
      <w:r w:rsidRPr="48909DBA">
        <w:rPr>
          <w:rFonts w:cs="Arial"/>
        </w:rPr>
        <w:t>be registered in the following Services Australia systems:</w:t>
      </w:r>
    </w:p>
    <w:p w14:paraId="64E5BC10" w14:textId="7FC0EB89" w:rsidR="292F0090" w:rsidRDefault="292F0090" w:rsidP="71CB847D">
      <w:pPr>
        <w:pStyle w:val="Bullet3"/>
        <w:spacing w:before="120"/>
      </w:pPr>
      <w:r>
        <w:t>Provider Digital Access (PRODA)</w:t>
      </w:r>
    </w:p>
    <w:p w14:paraId="565308FF" w14:textId="40F5E9C3" w:rsidR="292F0090" w:rsidRDefault="292F0090" w:rsidP="71CB847D">
      <w:pPr>
        <w:pStyle w:val="Bullet3"/>
        <w:spacing w:before="120"/>
      </w:pPr>
      <w:r>
        <w:t>Health Professional Online Services (HPOS)</w:t>
      </w:r>
    </w:p>
    <w:p w14:paraId="0ADF9B48" w14:textId="326B9A9A" w:rsidR="292F0090" w:rsidRDefault="292F0090" w:rsidP="71CB847D">
      <w:pPr>
        <w:pStyle w:val="Bullet3"/>
        <w:spacing w:before="120"/>
      </w:pPr>
      <w:r>
        <w:t xml:space="preserve">the </w:t>
      </w:r>
      <w:hyperlink r:id="rId16">
        <w:r w:rsidRPr="71CB847D">
          <w:rPr>
            <w:rStyle w:val="Hyperlink"/>
          </w:rPr>
          <w:t>Organisation Register</w:t>
        </w:r>
      </w:hyperlink>
    </w:p>
    <w:p w14:paraId="11B652FA" w14:textId="6516C841" w:rsidR="292F0090" w:rsidRDefault="292F0090" w:rsidP="71CB847D">
      <w:pPr>
        <w:pStyle w:val="ListBullet"/>
        <w:tabs>
          <w:tab w:val="clear" w:pos="360"/>
          <w:tab w:val="num" w:pos="1074"/>
        </w:tabs>
        <w:ind w:left="714" w:hanging="357"/>
        <w:contextualSpacing w:val="0"/>
        <w:rPr>
          <w:rFonts w:cs="Arial"/>
        </w:rPr>
      </w:pPr>
      <w:r w:rsidRPr="48909DBA">
        <w:rPr>
          <w:rFonts w:cs="Arial"/>
        </w:rPr>
        <w:t xml:space="preserve">be accredited or registered for accreditation, as a general practice against the </w:t>
      </w:r>
      <w:hyperlink r:id="rId17">
        <w:r w:rsidRPr="48909DBA">
          <w:rPr>
            <w:rFonts w:cs="Arial"/>
          </w:rPr>
          <w:t>National General Practice Accreditation Scheme.</w:t>
        </w:r>
      </w:hyperlink>
      <w:r w:rsidRPr="48909DBA">
        <w:rPr>
          <w:rFonts w:cs="Arial"/>
        </w:rPr>
        <w:t xml:space="preserve"> </w:t>
      </w:r>
    </w:p>
    <w:p w14:paraId="20B4CDB5" w14:textId="77777777" w:rsidR="292F0090" w:rsidRDefault="292F0090" w:rsidP="71CB847D">
      <w:pPr>
        <w:pStyle w:val="Bullet3"/>
        <w:spacing w:before="120"/>
      </w:pPr>
      <w:r>
        <w:t>If registered for accreditation, be accredited against the Royal Australian College of General Practice (RACGP) Standards within 12 months of registering for MyMedicare.</w:t>
      </w:r>
    </w:p>
    <w:p w14:paraId="33079471" w14:textId="72A100B1" w:rsidR="292F0090" w:rsidRDefault="292F0090" w:rsidP="71CB847D">
      <w:pPr>
        <w:pStyle w:val="Bullet3"/>
        <w:spacing w:before="120"/>
      </w:pPr>
      <w:r>
        <w:t>Accreditation exemptions are available to select practice types as outlined at Section 4.</w:t>
      </w:r>
    </w:p>
    <w:p w14:paraId="58DA4712" w14:textId="6B2AB409" w:rsidR="00525B72" w:rsidRDefault="00525B72" w:rsidP="00525B72">
      <w:pPr>
        <w:pStyle w:val="Heading1"/>
      </w:pPr>
      <w:bookmarkStart w:id="40" w:name="_Toc178175631"/>
      <w:bookmarkStart w:id="41" w:name="_Hub_and_Spoke"/>
      <w:bookmarkStart w:id="42" w:name="_Ref182484276"/>
      <w:bookmarkStart w:id="43" w:name="_Toc214051003"/>
      <w:bookmarkStart w:id="44" w:name="_Toc768367080"/>
      <w:bookmarkEnd w:id="40"/>
      <w:bookmarkEnd w:id="41"/>
      <w:r>
        <w:t xml:space="preserve">Hub </w:t>
      </w:r>
      <w:r w:rsidR="00EB744F">
        <w:t>and Spoke</w:t>
      </w:r>
      <w:r w:rsidR="003072E8">
        <w:t xml:space="preserve"> model</w:t>
      </w:r>
      <w:bookmarkEnd w:id="42"/>
      <w:bookmarkEnd w:id="43"/>
      <w:bookmarkEnd w:id="44"/>
    </w:p>
    <w:p w14:paraId="4EE60649" w14:textId="071DF6F1" w:rsidR="003072E8" w:rsidRPr="00877366" w:rsidRDefault="00BF28D4" w:rsidP="00877366">
      <w:r w:rsidRPr="00877366">
        <w:t xml:space="preserve">ACCHS and AMS can choose to register their organisation sites under the ‘Hub and Spoke’ model. Practices operating under this model are considered as a </w:t>
      </w:r>
      <w:r w:rsidR="6D906EF6">
        <w:t>le</w:t>
      </w:r>
      <w:r w:rsidR="000C2624" w:rsidRPr="00877366">
        <w:t xml:space="preserve"> </w:t>
      </w:r>
      <w:r w:rsidRPr="00877366">
        <w:t>organisation for purposes of MyMedicare Patient Registration. </w:t>
      </w:r>
    </w:p>
    <w:p w14:paraId="035152AC" w14:textId="156CA18B" w:rsidR="00BF28D4" w:rsidRPr="00877366" w:rsidRDefault="00BF28F8" w:rsidP="00877366">
      <w:r w:rsidRPr="00877366">
        <w:t>The standard structure of the MyMedicare registration process has each practice set up as an Organisation Site under a parent Organisation. A patient can only be registered at one Organisation Site at a time, and the patient is only eligible for MyMedicare at the Organisation Site where they are registered.</w:t>
      </w:r>
    </w:p>
    <w:p w14:paraId="7706B4A7" w14:textId="38F97860" w:rsidR="00BF28F8" w:rsidRPr="00877366" w:rsidRDefault="00D84A4F" w:rsidP="00877366">
      <w:r w:rsidRPr="00877366">
        <w:t xml:space="preserve">Under the hub and spoke model, there is a single Organisation Site (Hub) registered, and additional clinics/practices are set up as Service Locations (Spokes). </w:t>
      </w:r>
      <w:r w:rsidR="00DA4761" w:rsidRPr="00877366">
        <w:t>Th</w:t>
      </w:r>
      <w:r w:rsidRPr="00877366">
        <w:t>e spoke location/s operate as an extension of the practice (Hub</w:t>
      </w:r>
      <w:r w:rsidR="009927C8" w:rsidRPr="00877366">
        <w:t>) and</w:t>
      </w:r>
      <w:r w:rsidRPr="00877366">
        <w:t xml:space="preserve"> may operate on a part-time or </w:t>
      </w:r>
      <w:r w:rsidR="00311FBD" w:rsidRPr="00877366">
        <w:t>full-time</w:t>
      </w:r>
      <w:r w:rsidRPr="00877366">
        <w:t xml:space="preserve"> basis.</w:t>
      </w:r>
    </w:p>
    <w:p w14:paraId="29C7195E" w14:textId="06652508" w:rsidR="009927C8" w:rsidRPr="00877366" w:rsidRDefault="009927C8" w:rsidP="00877366">
      <w:r w:rsidRPr="00877366">
        <w:t xml:space="preserve">ACCHS and AMS practices can choose to add other regular service locations that are not spoke sites. By selecting ‘mobile’ as a service type, it will enable practices to add additional locations </w:t>
      </w:r>
      <w:r w:rsidR="51EB7BC5">
        <w:t>hat</w:t>
      </w:r>
      <w:r w:rsidRPr="00877366">
        <w:t xml:space="preserve"> are not spoke sites. </w:t>
      </w:r>
    </w:p>
    <w:p w14:paraId="5624FE3E" w14:textId="4138AF4A" w:rsidR="009927C8" w:rsidRDefault="00F13A84" w:rsidP="61716D05">
      <w:pPr>
        <w:rPr>
          <w:rFonts w:eastAsia="Times New Roman"/>
          <w:lang w:eastAsia="en-AU"/>
        </w:rPr>
      </w:pPr>
      <w:r w:rsidRPr="61716D05">
        <w:rPr>
          <w:rFonts w:eastAsia="Times New Roman"/>
          <w:lang w:eastAsia="en-AU"/>
        </w:rPr>
        <w:t>Under this model</w:t>
      </w:r>
      <w:r w:rsidR="00505CEE" w:rsidRPr="61716D05">
        <w:rPr>
          <w:rFonts w:eastAsia="Times New Roman"/>
          <w:lang w:eastAsia="en-AU"/>
        </w:rPr>
        <w:t>, p</w:t>
      </w:r>
      <w:r w:rsidR="009927C8" w:rsidRPr="61716D05">
        <w:rPr>
          <w:rFonts w:eastAsia="Times New Roman"/>
          <w:lang w:eastAsia="en-AU"/>
        </w:rPr>
        <w:t>atients registered for MyMedicare at the ‘Hub’ Organisation Site will be MyMedicare eligible both at the Hub and Spoke locations</w:t>
      </w:r>
      <w:r w:rsidR="009927C8" w:rsidRPr="1F46A986">
        <w:rPr>
          <w:rFonts w:eastAsia="Times New Roman"/>
          <w:lang w:eastAsia="en-AU"/>
        </w:rPr>
        <w:t>.</w:t>
      </w:r>
      <w:r w:rsidR="009927C8" w:rsidRPr="61716D05">
        <w:rPr>
          <w:rFonts w:eastAsia="Times New Roman"/>
          <w:lang w:eastAsia="en-AU"/>
        </w:rPr>
        <w:t xml:space="preserve"> Each AMS and ACCHS has a choice if this hub and spoke model is appropriate for them.</w:t>
      </w:r>
    </w:p>
    <w:p w14:paraId="75054FC7" w14:textId="69DC9901"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In the Organisation Register, patients register with the “</w:t>
      </w:r>
      <w:r w:rsidR="00C62344" w:rsidRPr="48909DBA">
        <w:rPr>
          <w:rFonts w:cs="Arial"/>
        </w:rPr>
        <w:t>H</w:t>
      </w:r>
      <w:r w:rsidRPr="48909DBA">
        <w:rPr>
          <w:rFonts w:cs="Arial"/>
        </w:rPr>
        <w:t>ub” rather than with the “</w:t>
      </w:r>
      <w:r w:rsidR="00C62344" w:rsidRPr="48909DBA">
        <w:rPr>
          <w:rFonts w:cs="Arial"/>
        </w:rPr>
        <w:t>S</w:t>
      </w:r>
      <w:r w:rsidRPr="48909DBA">
        <w:rPr>
          <w:rFonts w:cs="Arial"/>
        </w:rPr>
        <w:t>poke</w:t>
      </w:r>
      <w:r w:rsidR="007A1FBC" w:rsidRPr="48909DBA">
        <w:rPr>
          <w:rFonts w:cs="Arial"/>
        </w:rPr>
        <w:t>.”</w:t>
      </w:r>
    </w:p>
    <w:p w14:paraId="67D278C1"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lastRenderedPageBreak/>
        <w:t>Patients can access MyMedicare MBS items from any eligible GP linked to the hub at either the hub or any of its spoke locations.    </w:t>
      </w:r>
    </w:p>
    <w:p w14:paraId="106F80DF" w14:textId="77777777" w:rsidR="008A7872" w:rsidRPr="008A7872" w:rsidRDefault="008A7872" w:rsidP="00AC0C69">
      <w:pPr>
        <w:spacing w:before="0" w:after="0" w:line="240" w:lineRule="auto"/>
        <w:textAlignment w:val="baseline"/>
        <w:rPr>
          <w:rFonts w:ascii="Segoe UI" w:eastAsia="Times New Roman" w:hAnsi="Segoe UI" w:cs="Segoe UI"/>
          <w:color w:val="auto"/>
          <w:sz w:val="18"/>
          <w:szCs w:val="18"/>
          <w:lang w:eastAsia="en-AU"/>
        </w:rPr>
      </w:pPr>
      <w:r w:rsidRPr="008A7872">
        <w:rPr>
          <w:rFonts w:eastAsia="Times New Roman" w:cs="Arial"/>
          <w:color w:val="000000"/>
          <w:szCs w:val="22"/>
          <w:lang w:eastAsia="en-AU"/>
        </w:rPr>
        <w:t>The MyMedicare registration criteria for ACCHS and AMS practices and patients under the hub and spoke model is as follows:   </w:t>
      </w:r>
    </w:p>
    <w:p w14:paraId="20AFAF0D"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Practices must register in Provider Digital Access (PRODA), Health Professional Online Services (HPOS) and the Organisation Register. </w:t>
      </w:r>
    </w:p>
    <w:p w14:paraId="0EDB3681"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Providers must have a provider number that is linked to the practice (Hub) on the Organisation Register. Noting that: </w:t>
      </w:r>
    </w:p>
    <w:p w14:paraId="0AC6AFDC" w14:textId="7CD1EB32" w:rsidR="008A7872" w:rsidRPr="008A7872" w:rsidRDefault="008A7872" w:rsidP="00B16726">
      <w:pPr>
        <w:pStyle w:val="Bullet3"/>
        <w:numPr>
          <w:ilvl w:val="3"/>
          <w:numId w:val="19"/>
        </w:numPr>
        <w:rPr>
          <w:color w:val="auto"/>
          <w:lang w:eastAsia="en-AU"/>
        </w:rPr>
      </w:pPr>
      <w:r w:rsidRPr="008A7872">
        <w:rPr>
          <w:lang w:eastAsia="en-AU"/>
        </w:rPr>
        <w:t xml:space="preserve">providers may travel to and provide services at one or more of the </w:t>
      </w:r>
      <w:r w:rsidR="00DD6DEF">
        <w:rPr>
          <w:lang w:eastAsia="en-AU"/>
        </w:rPr>
        <w:t>S</w:t>
      </w:r>
      <w:r w:rsidRPr="008A7872">
        <w:rPr>
          <w:lang w:eastAsia="en-AU"/>
        </w:rPr>
        <w:t xml:space="preserve">poke locations associated with the organisation, including the </w:t>
      </w:r>
      <w:r w:rsidR="00DD6DEF">
        <w:rPr>
          <w:lang w:eastAsia="en-AU"/>
        </w:rPr>
        <w:t>H</w:t>
      </w:r>
      <w:r w:rsidRPr="008A7872">
        <w:rPr>
          <w:lang w:eastAsia="en-AU"/>
        </w:rPr>
        <w:t>ub. </w:t>
      </w:r>
    </w:p>
    <w:p w14:paraId="035538DB"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Patients will register with the Hub of the organisation rather than the Spoke (however, they should be able to do this at any of the hub or spoke locations). Noting that: </w:t>
      </w:r>
    </w:p>
    <w:p w14:paraId="7772EA4B" w14:textId="4DB0A3F6" w:rsidR="008A7872" w:rsidRPr="002C16C8" w:rsidRDefault="008A7872" w:rsidP="00B16726">
      <w:pPr>
        <w:pStyle w:val="Bullet3"/>
        <w:numPr>
          <w:ilvl w:val="3"/>
          <w:numId w:val="20"/>
        </w:numPr>
        <w:rPr>
          <w:lang w:eastAsia="en-AU"/>
        </w:rPr>
      </w:pPr>
      <w:r w:rsidRPr="002C16C8">
        <w:rPr>
          <w:lang w:eastAsia="en-AU"/>
        </w:rPr>
        <w:t xml:space="preserve">patients may travel to and receive services at one or more of the </w:t>
      </w:r>
      <w:r w:rsidR="00DD6DEF">
        <w:rPr>
          <w:lang w:eastAsia="en-AU"/>
        </w:rPr>
        <w:t>S</w:t>
      </w:r>
      <w:r w:rsidRPr="002C16C8">
        <w:rPr>
          <w:lang w:eastAsia="en-AU"/>
        </w:rPr>
        <w:t xml:space="preserve">poke locations, including the </w:t>
      </w:r>
      <w:r w:rsidR="00DD6DEF">
        <w:rPr>
          <w:lang w:eastAsia="en-AU"/>
        </w:rPr>
        <w:t>H</w:t>
      </w:r>
      <w:r w:rsidRPr="002C16C8">
        <w:rPr>
          <w:lang w:eastAsia="en-AU"/>
        </w:rPr>
        <w:t>ub </w:t>
      </w:r>
    </w:p>
    <w:p w14:paraId="59CDE99A" w14:textId="398E1E69" w:rsidR="008A7872" w:rsidRDefault="008A7872" w:rsidP="5E9F959E">
      <w:pPr>
        <w:pStyle w:val="Bullet3"/>
        <w:rPr>
          <w:lang w:eastAsia="en-AU"/>
        </w:rPr>
      </w:pPr>
      <w:r w:rsidRPr="5E9F959E">
        <w:rPr>
          <w:lang w:eastAsia="en-AU"/>
        </w:rPr>
        <w:t xml:space="preserve">patients can access MyMedicare MBS items from any GP that is linked to the </w:t>
      </w:r>
      <w:r w:rsidR="00DD6DEF" w:rsidRPr="5E9F959E">
        <w:rPr>
          <w:lang w:eastAsia="en-AU"/>
        </w:rPr>
        <w:t>H</w:t>
      </w:r>
      <w:r w:rsidRPr="5E9F959E">
        <w:rPr>
          <w:lang w:eastAsia="en-AU"/>
        </w:rPr>
        <w:t>ub.</w:t>
      </w:r>
    </w:p>
    <w:p w14:paraId="2E704BCD" w14:textId="3C0CDC7B" w:rsidR="5E9F959E" w:rsidRDefault="008A7872" w:rsidP="30A1C177">
      <w:pPr>
        <w:spacing w:before="0" w:after="0" w:line="240" w:lineRule="auto"/>
        <w:textAlignment w:val="baseline"/>
        <w:rPr>
          <w:rFonts w:ascii="Segoe UI" w:eastAsia="Times New Roman" w:hAnsi="Segoe UI" w:cs="Segoe UI"/>
          <w:color w:val="auto"/>
          <w:sz w:val="18"/>
          <w:szCs w:val="18"/>
          <w:lang w:eastAsia="en-AU"/>
        </w:rPr>
      </w:pPr>
      <w:r w:rsidRPr="5E9F959E">
        <w:rPr>
          <w:rFonts w:eastAsia="Times New Roman" w:cs="Arial"/>
          <w:color w:val="auto"/>
          <w:lang w:eastAsia="en-AU"/>
        </w:rPr>
        <w:t>MyMedicare registered ACCHS or AMS can contact Services Australia if they wish to change their current organisation structure set-up.</w:t>
      </w:r>
    </w:p>
    <w:p w14:paraId="2112C3A2" w14:textId="2BF39FB8" w:rsidR="5E9F959E" w:rsidRDefault="5E9F959E" w:rsidP="5F76E7EC">
      <w:pPr>
        <w:spacing w:before="0" w:after="0"/>
        <w:rPr>
          <w:rFonts w:eastAsia="Arial" w:cs="Arial"/>
          <w:szCs w:val="22"/>
        </w:rPr>
      </w:pPr>
    </w:p>
    <w:p w14:paraId="008E94D3" w14:textId="5C55AA27" w:rsidR="026E9AC4" w:rsidRDefault="026E9AC4" w:rsidP="5F76E7EC">
      <w:pPr>
        <w:pStyle w:val="Heading1"/>
        <w:spacing w:before="0" w:after="0" w:line="257" w:lineRule="auto"/>
        <w:rPr>
          <w:rFonts w:eastAsia="Arial" w:cs="Arial"/>
          <w:bCs/>
        </w:rPr>
      </w:pPr>
      <w:bookmarkStart w:id="45" w:name="_Toc1371327634"/>
      <w:r w:rsidRPr="5F76E7EC">
        <w:rPr>
          <w:rFonts w:eastAsia="Arial" w:cs="Arial"/>
          <w:bCs/>
        </w:rPr>
        <w:t>Organisational Change</w:t>
      </w:r>
      <w:bookmarkEnd w:id="45"/>
    </w:p>
    <w:p w14:paraId="6CD28440" w14:textId="4ED4391E" w:rsidR="00E3100A" w:rsidRDefault="026E9AC4" w:rsidP="00E3100A">
      <w:pPr>
        <w:spacing w:before="0" w:after="160" w:line="257" w:lineRule="auto"/>
      </w:pPr>
      <w:r w:rsidRPr="5F76E7EC">
        <w:rPr>
          <w:rFonts w:eastAsia="Arial" w:cs="Arial"/>
          <w:szCs w:val="22"/>
        </w:rPr>
        <w:t>This section outlines the requirements for a practice undergoing</w:t>
      </w:r>
      <w:r w:rsidR="006B1C2D" w:rsidRPr="5F76E7EC">
        <w:rPr>
          <w:rFonts w:eastAsia="Arial" w:cs="Arial"/>
          <w:szCs w:val="22"/>
        </w:rPr>
        <w:t xml:space="preserve"> an</w:t>
      </w:r>
      <w:r w:rsidRPr="5F76E7EC">
        <w:rPr>
          <w:rFonts w:eastAsia="Arial" w:cs="Arial"/>
          <w:szCs w:val="22"/>
        </w:rPr>
        <w:t xml:space="preserve"> organisational change under the MyMedicare program. It is designed to support continuity of care and ensure compliance with accreditation and incentive program and payment eligibility requirements.</w:t>
      </w:r>
    </w:p>
    <w:p w14:paraId="7FCA4353" w14:textId="2FC378D8" w:rsidR="026E9AC4" w:rsidRDefault="026E9AC4" w:rsidP="00FC3AE5">
      <w:pPr>
        <w:pStyle w:val="Heading2"/>
        <w:rPr>
          <w:rFonts w:eastAsia="Arial" w:cs="Arial"/>
        </w:rPr>
      </w:pPr>
      <w:bookmarkStart w:id="46" w:name="_Toc934304943"/>
      <w:r w:rsidRPr="71CB847D">
        <w:rPr>
          <w:rFonts w:eastAsia="Arial" w:cs="Arial"/>
        </w:rPr>
        <w:t>Permanent relocation</w:t>
      </w:r>
      <w:bookmarkEnd w:id="46"/>
    </w:p>
    <w:p w14:paraId="5D82EC93" w14:textId="53991E4F" w:rsidR="026E9AC4" w:rsidRDefault="026E9AC4" w:rsidP="6BF6D514">
      <w:pPr>
        <w:spacing w:before="0" w:after="160" w:line="257" w:lineRule="auto"/>
      </w:pPr>
      <w:r w:rsidRPr="737F4B34">
        <w:rPr>
          <w:rFonts w:eastAsia="Arial" w:cs="Arial"/>
        </w:rPr>
        <w:t xml:space="preserve">Practice relocation refers to a MyMedicare registered practice moving from its current location to a new site and continuing to operate under the same </w:t>
      </w:r>
      <w:r w:rsidR="00480238" w:rsidRPr="737F4B34">
        <w:rPr>
          <w:rFonts w:eastAsia="Arial" w:cs="Arial"/>
        </w:rPr>
        <w:t>practice owner</w:t>
      </w:r>
      <w:r w:rsidRPr="737F4B34">
        <w:rPr>
          <w:rFonts w:eastAsia="Arial" w:cs="Arial"/>
        </w:rPr>
        <w:t xml:space="preserve">. This includes transferring all operational aspects, such as staff, equipment, patient records, and infrastructure to a new </w:t>
      </w:r>
      <w:r w:rsidR="36968C79" w:rsidRPr="737F4B34">
        <w:rPr>
          <w:rFonts w:eastAsia="Arial" w:cs="Arial"/>
        </w:rPr>
        <w:t>premise.</w:t>
      </w:r>
      <w:r w:rsidRPr="737F4B34">
        <w:rPr>
          <w:rFonts w:eastAsia="Arial" w:cs="Arial"/>
        </w:rPr>
        <w:t xml:space="preserve"> To ensure ongoing eligibility for MyMedicare and associated incentives, </w:t>
      </w:r>
      <w:r w:rsidR="00662C17" w:rsidRPr="737F4B34">
        <w:rPr>
          <w:rFonts w:eastAsia="Arial" w:cs="Arial"/>
        </w:rPr>
        <w:t>the practice</w:t>
      </w:r>
      <w:r w:rsidRPr="737F4B34">
        <w:rPr>
          <w:rFonts w:eastAsia="Arial" w:cs="Arial"/>
        </w:rPr>
        <w:t xml:space="preserve"> must adhere to the below conditions when relocating </w:t>
      </w:r>
    </w:p>
    <w:p w14:paraId="2E83A656" w14:textId="440CBCF6" w:rsidR="026E9AC4" w:rsidRDefault="026E9AC4" w:rsidP="00B16726">
      <w:pPr>
        <w:pStyle w:val="ListParagraph"/>
        <w:numPr>
          <w:ilvl w:val="0"/>
          <w:numId w:val="29"/>
        </w:numPr>
        <w:spacing w:after="0" w:line="257" w:lineRule="auto"/>
        <w:rPr>
          <w:rFonts w:ascii="Arial" w:eastAsia="Arial" w:hAnsi="Arial" w:cs="Arial"/>
          <w:szCs w:val="22"/>
        </w:rPr>
      </w:pPr>
      <w:r w:rsidRPr="5F76E7EC">
        <w:rPr>
          <w:rFonts w:ascii="Arial" w:eastAsia="Arial" w:hAnsi="Arial" w:cs="Arial"/>
          <w:szCs w:val="22"/>
        </w:rPr>
        <w:t xml:space="preserve">There must be no changes to the </w:t>
      </w:r>
      <w:r w:rsidR="00D3056A" w:rsidRPr="5F76E7EC">
        <w:rPr>
          <w:rFonts w:ascii="Arial" w:eastAsia="Arial" w:hAnsi="Arial" w:cs="Arial"/>
          <w:szCs w:val="22"/>
        </w:rPr>
        <w:t>practice ownership</w:t>
      </w:r>
      <w:r w:rsidR="002407BA" w:rsidRPr="5F76E7EC">
        <w:rPr>
          <w:rFonts w:ascii="Arial" w:eastAsia="Arial" w:hAnsi="Arial" w:cs="Arial"/>
          <w:szCs w:val="22"/>
        </w:rPr>
        <w:t>.</w:t>
      </w:r>
    </w:p>
    <w:p w14:paraId="5D802DE8" w14:textId="30C673EA" w:rsidR="026E9AC4" w:rsidRDefault="026E9AC4" w:rsidP="00B16726">
      <w:pPr>
        <w:pStyle w:val="ListParagraph"/>
        <w:numPr>
          <w:ilvl w:val="0"/>
          <w:numId w:val="29"/>
        </w:numPr>
        <w:spacing w:after="0" w:line="257" w:lineRule="auto"/>
        <w:rPr>
          <w:rFonts w:ascii="Arial" w:eastAsia="Arial" w:hAnsi="Arial" w:cs="Arial"/>
        </w:rPr>
      </w:pPr>
      <w:r w:rsidRPr="737F4B34">
        <w:rPr>
          <w:rFonts w:ascii="Arial" w:eastAsia="Arial" w:hAnsi="Arial" w:cs="Arial"/>
        </w:rPr>
        <w:t xml:space="preserve">The original and new practice locations must be within the </w:t>
      </w:r>
      <w:r w:rsidRPr="737F4B34">
        <w:rPr>
          <w:rFonts w:ascii="Arial" w:eastAsia="Arial" w:hAnsi="Arial" w:cs="Arial"/>
          <w:b/>
        </w:rPr>
        <w:t xml:space="preserve">same local area </w:t>
      </w:r>
      <w:r w:rsidRPr="737F4B34">
        <w:rPr>
          <w:rFonts w:ascii="Arial" w:eastAsia="Arial" w:hAnsi="Arial" w:cs="Arial"/>
        </w:rPr>
        <w:t xml:space="preserve">(see Section </w:t>
      </w:r>
      <w:r w:rsidR="002407BA" w:rsidRPr="737F4B34">
        <w:rPr>
          <w:rFonts w:ascii="Arial" w:eastAsia="Arial" w:hAnsi="Arial" w:cs="Arial"/>
        </w:rPr>
        <w:t>4</w:t>
      </w:r>
      <w:r w:rsidR="4BF46C1A" w:rsidRPr="737F4B34">
        <w:rPr>
          <w:rFonts w:ascii="Arial" w:eastAsia="Arial" w:hAnsi="Arial" w:cs="Arial"/>
        </w:rPr>
        <w:t>.</w:t>
      </w:r>
      <w:r w:rsidR="47D3B767" w:rsidRPr="737F4B34">
        <w:rPr>
          <w:rFonts w:ascii="Arial" w:eastAsia="Arial" w:hAnsi="Arial" w:cs="Arial"/>
        </w:rPr>
        <w:t>5</w:t>
      </w:r>
      <w:r w:rsidR="36968C79" w:rsidRPr="737F4B34">
        <w:rPr>
          <w:rFonts w:ascii="Arial" w:eastAsia="Arial" w:hAnsi="Arial" w:cs="Arial"/>
        </w:rPr>
        <w:t xml:space="preserve">), </w:t>
      </w:r>
      <w:r w:rsidRPr="737F4B34">
        <w:rPr>
          <w:rFonts w:ascii="Arial" w:eastAsia="Arial" w:hAnsi="Arial" w:cs="Arial"/>
        </w:rPr>
        <w:t>ensuring continued accessibility for MyMedicare registered patients</w:t>
      </w:r>
      <w:r w:rsidR="002407BA" w:rsidRPr="737F4B34">
        <w:rPr>
          <w:rFonts w:ascii="Arial" w:eastAsia="Arial" w:hAnsi="Arial" w:cs="Arial"/>
        </w:rPr>
        <w:t>.</w:t>
      </w:r>
    </w:p>
    <w:p w14:paraId="76C4ABD4" w14:textId="558FFA66" w:rsidR="026E9AC4" w:rsidRDefault="026E9AC4" w:rsidP="00B16726">
      <w:pPr>
        <w:pStyle w:val="ListParagraph"/>
        <w:numPr>
          <w:ilvl w:val="0"/>
          <w:numId w:val="29"/>
        </w:numPr>
        <w:spacing w:after="0" w:line="257" w:lineRule="auto"/>
        <w:rPr>
          <w:rFonts w:ascii="Arial" w:eastAsia="Arial" w:hAnsi="Arial" w:cs="Arial"/>
          <w:szCs w:val="22"/>
        </w:rPr>
      </w:pPr>
      <w:r w:rsidRPr="5F76E7EC">
        <w:rPr>
          <w:rFonts w:ascii="Arial" w:eastAsia="Arial" w:hAnsi="Arial" w:cs="Arial"/>
          <w:szCs w:val="22"/>
        </w:rPr>
        <w:t>The practice’s accreditation must be transferred by the accrediting agency to the new location within 6 months of the date of relocation.</w:t>
      </w:r>
    </w:p>
    <w:p w14:paraId="4995BD94" w14:textId="2922CCEB" w:rsidR="026E9AC4" w:rsidRDefault="026E9AC4" w:rsidP="00B16726">
      <w:pPr>
        <w:pStyle w:val="ListParagraph"/>
        <w:numPr>
          <w:ilvl w:val="0"/>
          <w:numId w:val="28"/>
        </w:numPr>
        <w:spacing w:after="0" w:line="257" w:lineRule="auto"/>
        <w:rPr>
          <w:rFonts w:ascii="Arial" w:eastAsia="Arial" w:hAnsi="Arial" w:cs="Arial"/>
          <w:szCs w:val="22"/>
        </w:rPr>
      </w:pPr>
      <w:r w:rsidRPr="5F76E7EC">
        <w:rPr>
          <w:rFonts w:ascii="Arial" w:eastAsia="Arial" w:hAnsi="Arial" w:cs="Arial"/>
          <w:szCs w:val="22"/>
        </w:rPr>
        <w:t>The relocated practice must adhere to MyMedicare policies and guidelines, including maintaining accreditation.</w:t>
      </w:r>
    </w:p>
    <w:p w14:paraId="63A4F82C" w14:textId="4EDD0059" w:rsidR="5E9F959E" w:rsidRDefault="15E0C158" w:rsidP="5F76E7EC">
      <w:pPr>
        <w:spacing w:before="0" w:after="0" w:line="257" w:lineRule="auto"/>
        <w:ind w:left="720"/>
      </w:pPr>
      <w:r w:rsidRPr="5F76E7EC">
        <w:rPr>
          <w:rFonts w:ascii="Calibri" w:eastAsia="Calibri" w:hAnsi="Calibri" w:cs="Calibri"/>
          <w:szCs w:val="22"/>
        </w:rPr>
        <w:t xml:space="preserve"> </w:t>
      </w:r>
    </w:p>
    <w:p w14:paraId="4BA5129A" w14:textId="077AE1EF" w:rsidR="026E9AC4" w:rsidRDefault="026E9AC4" w:rsidP="6BF6D514">
      <w:pPr>
        <w:shd w:val="clear" w:color="auto" w:fill="FFFFFF" w:themeFill="background1"/>
        <w:spacing w:before="0" w:after="160" w:line="257" w:lineRule="auto"/>
      </w:pPr>
      <w:r w:rsidRPr="5F76E7EC">
        <w:rPr>
          <w:rFonts w:eastAsia="Arial" w:cs="Arial"/>
          <w:szCs w:val="22"/>
        </w:rPr>
        <w:t xml:space="preserve">Practices are </w:t>
      </w:r>
      <w:r w:rsidRPr="5F76E7EC">
        <w:rPr>
          <w:rFonts w:eastAsia="Arial" w:cs="Arial"/>
          <w:b/>
          <w:bCs/>
          <w:szCs w:val="22"/>
        </w:rPr>
        <w:t>not required</w:t>
      </w:r>
      <w:r w:rsidRPr="5F76E7EC">
        <w:rPr>
          <w:rFonts w:eastAsia="Arial" w:cs="Arial"/>
          <w:szCs w:val="22"/>
        </w:rPr>
        <w:t xml:space="preserve"> to notify Services Australia about a permanent relocation where there is no change in ownership or ABN. Practices are required to process the </w:t>
      </w:r>
      <w:r w:rsidR="2BAC4AA1" w:rsidRPr="5F76E7EC">
        <w:rPr>
          <w:rFonts w:eastAsia="Arial" w:cs="Arial"/>
          <w:szCs w:val="22"/>
        </w:rPr>
        <w:t xml:space="preserve">relocation </w:t>
      </w:r>
      <w:r w:rsidRPr="5F76E7EC">
        <w:rPr>
          <w:rFonts w:eastAsia="Arial" w:cs="Arial"/>
          <w:szCs w:val="22"/>
        </w:rPr>
        <w:t xml:space="preserve">through the relocation function in the Organisation Register. </w:t>
      </w:r>
    </w:p>
    <w:p w14:paraId="0A2A463F" w14:textId="6B8FB388" w:rsidR="026E9AC4" w:rsidRDefault="026E9AC4" w:rsidP="00B16726">
      <w:pPr>
        <w:pStyle w:val="ListParagraph"/>
        <w:numPr>
          <w:ilvl w:val="0"/>
          <w:numId w:val="27"/>
        </w:numPr>
        <w:spacing w:after="0" w:line="252" w:lineRule="auto"/>
        <w:rPr>
          <w:rFonts w:ascii="Arial" w:eastAsia="Arial" w:hAnsi="Arial" w:cs="Arial"/>
        </w:rPr>
      </w:pPr>
      <w:r w:rsidRPr="737F4B34">
        <w:rPr>
          <w:rFonts w:ascii="Arial" w:eastAsia="Arial" w:hAnsi="Arial" w:cs="Arial"/>
        </w:rPr>
        <w:lastRenderedPageBreak/>
        <w:t>Patients will remain eligible for MyMedicare following the relocation</w:t>
      </w:r>
      <w:r w:rsidR="019B1B04" w:rsidRPr="737F4B34">
        <w:rPr>
          <w:rFonts w:ascii="Arial" w:eastAsia="Arial" w:hAnsi="Arial" w:cs="Arial"/>
        </w:rPr>
        <w:t>;</w:t>
      </w:r>
      <w:r w:rsidRPr="737F4B34">
        <w:rPr>
          <w:rFonts w:ascii="Arial" w:eastAsia="Arial" w:hAnsi="Arial" w:cs="Arial"/>
        </w:rPr>
        <w:t xml:space="preserve"> however</w:t>
      </w:r>
      <w:r w:rsidR="05826B48" w:rsidRPr="737F4B34">
        <w:rPr>
          <w:rFonts w:ascii="Arial" w:eastAsia="Arial" w:hAnsi="Arial" w:cs="Arial"/>
        </w:rPr>
        <w:t>,</w:t>
      </w:r>
      <w:r w:rsidRPr="737F4B34">
        <w:rPr>
          <w:rFonts w:ascii="Arial" w:eastAsia="Arial" w:hAnsi="Arial" w:cs="Arial"/>
        </w:rPr>
        <w:t xml:space="preserve"> the practice will need to update each patient’s Preferred GP to link to the new provider location number.</w:t>
      </w:r>
    </w:p>
    <w:p w14:paraId="60EF81F0" w14:textId="39A96D82" w:rsidR="026E9AC4" w:rsidRDefault="026E9AC4" w:rsidP="00B16726">
      <w:pPr>
        <w:pStyle w:val="ListParagraph"/>
        <w:numPr>
          <w:ilvl w:val="0"/>
          <w:numId w:val="27"/>
        </w:numPr>
        <w:spacing w:after="0" w:line="252" w:lineRule="auto"/>
        <w:rPr>
          <w:rFonts w:ascii="Arial" w:eastAsia="Arial" w:hAnsi="Arial" w:cs="Arial"/>
          <w:szCs w:val="22"/>
        </w:rPr>
      </w:pPr>
      <w:r w:rsidRPr="5F76E7EC">
        <w:rPr>
          <w:rFonts w:ascii="Arial" w:eastAsia="Arial" w:hAnsi="Arial" w:cs="Arial"/>
          <w:szCs w:val="22"/>
        </w:rPr>
        <w:t>If the practice is participating in the General Practice in Aged Care Incentive (GPACI), the practice will need to update each patient’s Responsible Provider by re-adding the Responsible Provider with the new provider location number.</w:t>
      </w:r>
    </w:p>
    <w:p w14:paraId="450AAF7A" w14:textId="54249128" w:rsidR="5E9F959E" w:rsidRDefault="5E9F959E" w:rsidP="5F76E7EC">
      <w:pPr>
        <w:pStyle w:val="Heading3"/>
        <w:numPr>
          <w:ilvl w:val="0"/>
          <w:numId w:val="0"/>
        </w:numPr>
        <w:spacing w:before="0" w:after="0"/>
        <w:ind w:left="360" w:hanging="360"/>
        <w:rPr>
          <w:rFonts w:eastAsia="Arial" w:cs="Arial"/>
        </w:rPr>
      </w:pPr>
    </w:p>
    <w:p w14:paraId="36E8633C" w14:textId="29BA5412" w:rsidR="026E9AC4" w:rsidRDefault="15E0C158" w:rsidP="5F76E7EC">
      <w:pPr>
        <w:pStyle w:val="Heading3"/>
        <w:numPr>
          <w:ilvl w:val="0"/>
          <w:numId w:val="0"/>
        </w:numPr>
        <w:spacing w:before="0" w:after="0"/>
        <w:ind w:left="360" w:hanging="360"/>
        <w:rPr>
          <w:rFonts w:eastAsia="Arial" w:cs="Arial"/>
        </w:rPr>
      </w:pPr>
      <w:bookmarkStart w:id="47" w:name="_Toc1067591677"/>
      <w:r w:rsidRPr="5F76E7EC">
        <w:rPr>
          <w:rFonts w:eastAsia="Arial" w:cs="Arial"/>
        </w:rPr>
        <w:t>4.2</w:t>
      </w:r>
      <w:r w:rsidR="00197827" w:rsidRPr="5F76E7EC">
        <w:rPr>
          <w:rFonts w:eastAsia="Arial" w:cs="Arial"/>
        </w:rPr>
        <w:t xml:space="preserve"> </w:t>
      </w:r>
      <w:r w:rsidR="026E9AC4" w:rsidRPr="5F76E7EC">
        <w:rPr>
          <w:rFonts w:eastAsia="Arial" w:cs="Arial"/>
        </w:rPr>
        <w:t>Change of Ownership</w:t>
      </w:r>
      <w:r w:rsidR="5E9F959E">
        <w:br/>
      </w:r>
      <w:r w:rsidR="5E9F959E">
        <w:br/>
      </w:r>
      <w:r w:rsidRPr="5F76E7EC">
        <w:rPr>
          <w:rFonts w:eastAsia="Arial" w:cs="Arial"/>
        </w:rPr>
        <w:t>4.2.1 Sale of practice</w:t>
      </w:r>
      <w:bookmarkEnd w:id="47"/>
      <w:r w:rsidR="026E9AC4" w:rsidRPr="5F76E7EC">
        <w:rPr>
          <w:rFonts w:eastAsia="Arial" w:cs="Arial"/>
        </w:rPr>
        <w:t xml:space="preserve"> </w:t>
      </w:r>
    </w:p>
    <w:p w14:paraId="7E2096BD" w14:textId="514FD96F" w:rsidR="026E9AC4" w:rsidRDefault="026E9AC4" w:rsidP="6BF6D514">
      <w:pPr>
        <w:spacing w:before="0" w:after="160" w:line="257" w:lineRule="auto"/>
      </w:pPr>
      <w:r w:rsidRPr="5F76E7EC">
        <w:rPr>
          <w:rFonts w:eastAsia="Arial" w:cs="Arial"/>
          <w:szCs w:val="22"/>
        </w:rPr>
        <w:t xml:space="preserve">A sale of a practice refers to the transfer of </w:t>
      </w:r>
      <w:r w:rsidR="002E4EAC" w:rsidRPr="5F76E7EC">
        <w:rPr>
          <w:rFonts w:eastAsia="Arial" w:cs="Arial"/>
          <w:szCs w:val="22"/>
        </w:rPr>
        <w:t xml:space="preserve">practice </w:t>
      </w:r>
      <w:r w:rsidRPr="5F76E7EC">
        <w:rPr>
          <w:rFonts w:eastAsia="Arial" w:cs="Arial"/>
          <w:szCs w:val="22"/>
        </w:rPr>
        <w:t>ownership</w:t>
      </w:r>
      <w:r w:rsidRPr="5F76E7EC" w:rsidDel="002E4EAC">
        <w:rPr>
          <w:rFonts w:eastAsia="Arial" w:cs="Arial"/>
          <w:szCs w:val="22"/>
        </w:rPr>
        <w:t xml:space="preserve"> </w:t>
      </w:r>
      <w:r w:rsidRPr="5F76E7EC">
        <w:rPr>
          <w:rFonts w:eastAsia="Arial" w:cs="Arial"/>
          <w:szCs w:val="22"/>
        </w:rPr>
        <w:t xml:space="preserve">from one </w:t>
      </w:r>
      <w:r w:rsidR="007C68D3" w:rsidRPr="5F76E7EC">
        <w:rPr>
          <w:rFonts w:eastAsia="Arial" w:cs="Arial"/>
          <w:szCs w:val="22"/>
        </w:rPr>
        <w:t xml:space="preserve">practice </w:t>
      </w:r>
      <w:r w:rsidRPr="5F76E7EC" w:rsidDel="003E2957">
        <w:rPr>
          <w:rFonts w:eastAsia="Arial" w:cs="Arial"/>
          <w:szCs w:val="22"/>
        </w:rPr>
        <w:t>owner</w:t>
      </w:r>
      <w:r w:rsidRPr="5F76E7EC">
        <w:rPr>
          <w:rFonts w:eastAsia="Arial" w:cs="Arial"/>
          <w:szCs w:val="22"/>
        </w:rPr>
        <w:t xml:space="preserve"> to another. This typically includes transfer of assets, (such as medical equipment, patient records and office facilities), goodwill, and sometimes the employment of existing staff. The sale may also involve transitioning patient care responsibilities, </w:t>
      </w:r>
      <w:r w:rsidR="00E75187" w:rsidRPr="5F76E7EC">
        <w:rPr>
          <w:rFonts w:eastAsia="Arial" w:cs="Arial"/>
          <w:szCs w:val="22"/>
        </w:rPr>
        <w:t>with</w:t>
      </w:r>
      <w:r w:rsidRPr="5F76E7EC">
        <w:rPr>
          <w:rFonts w:eastAsia="Arial" w:cs="Arial"/>
          <w:szCs w:val="22"/>
        </w:rPr>
        <w:t xml:space="preserve"> the new </w:t>
      </w:r>
      <w:r w:rsidR="00480238" w:rsidRPr="5F76E7EC">
        <w:rPr>
          <w:rFonts w:eastAsia="Arial" w:cs="Arial"/>
          <w:szCs w:val="22"/>
        </w:rPr>
        <w:t>practice owner</w:t>
      </w:r>
      <w:r w:rsidRPr="5F76E7EC">
        <w:rPr>
          <w:rFonts w:eastAsia="Arial" w:cs="Arial"/>
          <w:szCs w:val="22"/>
        </w:rPr>
        <w:t xml:space="preserve"> assum</w:t>
      </w:r>
      <w:r w:rsidR="00E75187" w:rsidRPr="5F76E7EC">
        <w:rPr>
          <w:rFonts w:eastAsia="Arial" w:cs="Arial"/>
          <w:szCs w:val="22"/>
        </w:rPr>
        <w:t>ing</w:t>
      </w:r>
      <w:r w:rsidRPr="5F76E7EC">
        <w:rPr>
          <w:rFonts w:eastAsia="Arial" w:cs="Arial"/>
          <w:szCs w:val="22"/>
        </w:rPr>
        <w:t xml:space="preserve"> all legal and operational obligations.</w:t>
      </w:r>
    </w:p>
    <w:p w14:paraId="7280C9E1" w14:textId="5E22DC32" w:rsidR="026E9AC4" w:rsidRDefault="00D3056A" w:rsidP="6BF6D514">
      <w:pPr>
        <w:spacing w:before="0" w:after="160" w:line="257" w:lineRule="auto"/>
      </w:pPr>
      <w:r w:rsidRPr="5F76E7EC">
        <w:rPr>
          <w:rFonts w:eastAsia="Arial" w:cs="Arial"/>
          <w:szCs w:val="22"/>
        </w:rPr>
        <w:t>T</w:t>
      </w:r>
      <w:r w:rsidR="6CA30712" w:rsidRPr="5F76E7EC">
        <w:rPr>
          <w:rFonts w:eastAsia="Arial" w:cs="Arial"/>
          <w:szCs w:val="22"/>
        </w:rPr>
        <w:t>he</w:t>
      </w:r>
      <w:r w:rsidR="00F677DB" w:rsidRPr="5F76E7EC">
        <w:rPr>
          <w:rFonts w:eastAsia="Arial" w:cs="Arial"/>
          <w:szCs w:val="22"/>
        </w:rPr>
        <w:t xml:space="preserve"> new owner of a MyMedicare registered</w:t>
      </w:r>
      <w:r w:rsidR="026E9AC4" w:rsidRPr="5F76E7EC">
        <w:rPr>
          <w:rFonts w:eastAsia="Arial" w:cs="Arial"/>
          <w:szCs w:val="22"/>
        </w:rPr>
        <w:t xml:space="preserve"> practice</w:t>
      </w:r>
      <w:r w:rsidR="026E9AC4" w:rsidRPr="5F76E7EC" w:rsidDel="00F677DB">
        <w:rPr>
          <w:rFonts w:eastAsia="Arial" w:cs="Arial"/>
          <w:szCs w:val="22"/>
        </w:rPr>
        <w:t xml:space="preserve"> </w:t>
      </w:r>
      <w:r w:rsidR="026E9AC4" w:rsidRPr="5F76E7EC">
        <w:rPr>
          <w:rFonts w:eastAsia="Arial" w:cs="Arial"/>
          <w:szCs w:val="22"/>
        </w:rPr>
        <w:t xml:space="preserve">will be </w:t>
      </w:r>
      <w:r w:rsidR="00F677DB" w:rsidRPr="5F76E7EC">
        <w:rPr>
          <w:rFonts w:eastAsia="Arial" w:cs="Arial"/>
          <w:szCs w:val="22"/>
        </w:rPr>
        <w:t xml:space="preserve">recognised </w:t>
      </w:r>
      <w:r w:rsidR="6CA30712" w:rsidRPr="5F76E7EC">
        <w:rPr>
          <w:rFonts w:eastAsia="Arial" w:cs="Arial"/>
          <w:szCs w:val="22"/>
        </w:rPr>
        <w:t>as</w:t>
      </w:r>
      <w:r w:rsidR="026E9AC4" w:rsidRPr="5F76E7EC">
        <w:rPr>
          <w:rFonts w:eastAsia="Arial" w:cs="Arial"/>
          <w:szCs w:val="22"/>
        </w:rPr>
        <w:t xml:space="preserve"> a </w:t>
      </w:r>
      <w:r w:rsidR="026E9AC4" w:rsidRPr="5F76E7EC">
        <w:rPr>
          <w:rFonts w:eastAsia="Arial" w:cs="Arial"/>
          <w:b/>
          <w:bCs/>
          <w:szCs w:val="22"/>
        </w:rPr>
        <w:t xml:space="preserve">continuing </w:t>
      </w:r>
      <w:r w:rsidR="05585F1B" w:rsidRPr="5F76E7EC">
        <w:rPr>
          <w:rFonts w:eastAsia="Arial" w:cs="Arial"/>
          <w:b/>
          <w:bCs/>
          <w:szCs w:val="22"/>
        </w:rPr>
        <w:t>entity</w:t>
      </w:r>
      <w:r w:rsidR="026E9AC4" w:rsidRPr="5F76E7EC">
        <w:rPr>
          <w:rFonts w:eastAsia="Arial" w:cs="Arial"/>
          <w:szCs w:val="22"/>
        </w:rPr>
        <w:t>, provided the practice continues to adhere to MyMedicare policies and guidelines, including maintaining accreditation.</w:t>
      </w:r>
    </w:p>
    <w:p w14:paraId="2D61837B" w14:textId="094B9B5D" w:rsidR="026E9AC4" w:rsidRDefault="14563CEA" w:rsidP="008F28BD">
      <w:pPr>
        <w:pStyle w:val="Heading3"/>
        <w:numPr>
          <w:ilvl w:val="0"/>
          <w:numId w:val="0"/>
        </w:numPr>
        <w:ind w:left="360"/>
        <w:rPr>
          <w:rFonts w:eastAsia="Arial" w:cs="Arial"/>
          <w:bCs/>
        </w:rPr>
      </w:pPr>
      <w:bookmarkStart w:id="48" w:name="_Toc648450010"/>
      <w:r w:rsidRPr="5F76E7EC">
        <w:rPr>
          <w:rFonts w:eastAsia="Arial" w:cs="Arial"/>
          <w:bCs/>
        </w:rPr>
        <w:t xml:space="preserve">4.2.2 </w:t>
      </w:r>
      <w:r w:rsidR="026E9AC4" w:rsidRPr="5F76E7EC">
        <w:rPr>
          <w:rFonts w:eastAsia="Arial" w:cs="Arial"/>
          <w:bCs/>
        </w:rPr>
        <w:t>Mergers (including amalgamations)</w:t>
      </w:r>
      <w:bookmarkEnd w:id="48"/>
      <w:r w:rsidR="026E9AC4" w:rsidRPr="5F76E7EC">
        <w:rPr>
          <w:rFonts w:eastAsia="Arial" w:cs="Arial"/>
          <w:bCs/>
        </w:rPr>
        <w:t xml:space="preserve">  </w:t>
      </w:r>
    </w:p>
    <w:p w14:paraId="17A277C7" w14:textId="548E9151" w:rsidR="00300327" w:rsidRDefault="026E9AC4" w:rsidP="6BF6D514">
      <w:pPr>
        <w:spacing w:before="0" w:after="160" w:line="257" w:lineRule="auto"/>
      </w:pPr>
      <w:r w:rsidRPr="737F4B34">
        <w:rPr>
          <w:rFonts w:eastAsia="Arial" w:cs="Arial"/>
          <w:lang w:val="en-GB"/>
        </w:rPr>
        <w:t>A merger</w:t>
      </w:r>
      <w:r w:rsidRPr="737F4B34" w:rsidDel="00B95969">
        <w:rPr>
          <w:rFonts w:eastAsia="Arial" w:cs="Arial"/>
          <w:lang w:val="en-GB"/>
        </w:rPr>
        <w:t xml:space="preserve"> </w:t>
      </w:r>
      <w:r w:rsidRPr="737F4B34">
        <w:rPr>
          <w:rFonts w:eastAsia="Arial" w:cs="Arial"/>
          <w:lang w:val="en-GB"/>
        </w:rPr>
        <w:t>refers to</w:t>
      </w:r>
      <w:r w:rsidRPr="737F4B34" w:rsidDel="00862557">
        <w:rPr>
          <w:rFonts w:eastAsia="Arial" w:cs="Arial"/>
          <w:lang w:val="en-GB"/>
        </w:rPr>
        <w:t xml:space="preserve"> </w:t>
      </w:r>
      <w:r w:rsidRPr="737F4B34">
        <w:rPr>
          <w:rFonts w:eastAsia="Arial" w:cs="Arial"/>
          <w:lang w:val="en-GB"/>
        </w:rPr>
        <w:t xml:space="preserve">two or more </w:t>
      </w:r>
      <w:r w:rsidR="1E17E8ED" w:rsidRPr="737F4B34">
        <w:rPr>
          <w:rFonts w:eastAsia="Arial" w:cs="Arial"/>
          <w:lang w:val="en-GB"/>
        </w:rPr>
        <w:t>entities</w:t>
      </w:r>
      <w:r w:rsidR="69B3A78E" w:rsidRPr="737F4B34">
        <w:rPr>
          <w:rFonts w:eastAsia="Arial" w:cs="Arial"/>
          <w:lang w:val="en-GB"/>
        </w:rPr>
        <w:t xml:space="preserve"> </w:t>
      </w:r>
      <w:r w:rsidR="2BAC4AA1" w:rsidRPr="737F4B34">
        <w:rPr>
          <w:rFonts w:eastAsia="Arial" w:cs="Arial"/>
          <w:lang w:val="en-GB"/>
        </w:rPr>
        <w:t>combin</w:t>
      </w:r>
      <w:r w:rsidR="46C05305" w:rsidRPr="737F4B34">
        <w:rPr>
          <w:rFonts w:eastAsia="Arial" w:cs="Arial"/>
          <w:lang w:val="en-GB"/>
        </w:rPr>
        <w:t>ing</w:t>
      </w:r>
      <w:r w:rsidR="2BAC4AA1" w:rsidRPr="737F4B34">
        <w:rPr>
          <w:rFonts w:eastAsia="Arial" w:cs="Arial"/>
          <w:lang w:val="en-GB"/>
        </w:rPr>
        <w:t xml:space="preserve"> </w:t>
      </w:r>
      <w:r w:rsidRPr="737F4B34">
        <w:rPr>
          <w:rFonts w:eastAsia="Arial" w:cs="Arial"/>
          <w:lang w:val="en-GB"/>
        </w:rPr>
        <w:t xml:space="preserve">to form a single </w:t>
      </w:r>
      <w:r w:rsidR="1E17E8ED" w:rsidRPr="737F4B34">
        <w:rPr>
          <w:rFonts w:eastAsia="Arial" w:cs="Arial"/>
          <w:lang w:val="en-GB"/>
        </w:rPr>
        <w:t>entity</w:t>
      </w:r>
      <w:r w:rsidRPr="737F4B34">
        <w:rPr>
          <w:rFonts w:eastAsia="Arial" w:cs="Arial"/>
          <w:lang w:val="en-GB"/>
        </w:rPr>
        <w:t xml:space="preserve"> under one of the original </w:t>
      </w:r>
      <w:r w:rsidR="25EA9F1A" w:rsidRPr="737F4B34">
        <w:rPr>
          <w:rFonts w:eastAsia="Arial" w:cs="Arial"/>
          <w:lang w:val="en-GB"/>
        </w:rPr>
        <w:t>Australian Business Numbers</w:t>
      </w:r>
      <w:r w:rsidR="36968C79" w:rsidRPr="737F4B34">
        <w:rPr>
          <w:rFonts w:eastAsia="Arial" w:cs="Arial"/>
          <w:lang w:val="en-GB"/>
        </w:rPr>
        <w:t xml:space="preserve"> </w:t>
      </w:r>
      <w:r w:rsidR="699ECE3B" w:rsidRPr="737F4B34">
        <w:rPr>
          <w:rFonts w:eastAsia="Arial" w:cs="Arial"/>
          <w:lang w:val="en-GB"/>
        </w:rPr>
        <w:t>(</w:t>
      </w:r>
      <w:r w:rsidRPr="737F4B34">
        <w:rPr>
          <w:rFonts w:eastAsia="Arial" w:cs="Arial"/>
          <w:lang w:val="en-GB"/>
        </w:rPr>
        <w:t>ABNs</w:t>
      </w:r>
      <w:r w:rsidR="692F58CC" w:rsidRPr="737F4B34">
        <w:rPr>
          <w:rFonts w:eastAsia="Arial" w:cs="Arial"/>
          <w:lang w:val="en-GB"/>
        </w:rPr>
        <w:t>)</w:t>
      </w:r>
      <w:r w:rsidR="36968C79" w:rsidRPr="737F4B34">
        <w:rPr>
          <w:rFonts w:eastAsia="Arial" w:cs="Arial"/>
          <w:lang w:val="en-GB"/>
        </w:rPr>
        <w:t>.</w:t>
      </w:r>
      <w:r w:rsidRPr="737F4B34">
        <w:rPr>
          <w:rFonts w:eastAsia="Arial" w:cs="Arial"/>
          <w:lang w:val="en-GB"/>
        </w:rPr>
        <w:t xml:space="preserve"> In this process,</w:t>
      </w:r>
      <w:r w:rsidRPr="737F4B34" w:rsidDel="00DA7381">
        <w:rPr>
          <w:rFonts w:eastAsia="Arial" w:cs="Arial"/>
          <w:lang w:val="en-GB"/>
        </w:rPr>
        <w:t xml:space="preserve"> </w:t>
      </w:r>
      <w:r w:rsidRPr="737F4B34">
        <w:rPr>
          <w:rFonts w:eastAsia="Arial" w:cs="Arial"/>
          <w:lang w:val="en-GB"/>
        </w:rPr>
        <w:t xml:space="preserve">practices pool their resources, including staff, patient </w:t>
      </w:r>
      <w:r w:rsidR="08BCBA8F" w:rsidRPr="737F4B34">
        <w:rPr>
          <w:rFonts w:eastAsia="Arial" w:cs="Arial"/>
          <w:lang w:val="en-GB"/>
        </w:rPr>
        <w:t>records</w:t>
      </w:r>
      <w:r w:rsidR="2BAC4AA1" w:rsidRPr="737F4B34">
        <w:rPr>
          <w:rFonts w:eastAsia="Arial" w:cs="Arial"/>
          <w:lang w:val="en-GB"/>
        </w:rPr>
        <w:t xml:space="preserve">, </w:t>
      </w:r>
      <w:r w:rsidRPr="737F4B34">
        <w:rPr>
          <w:rFonts w:eastAsia="Arial" w:cs="Arial"/>
          <w:lang w:val="en-GB"/>
        </w:rPr>
        <w:t>and operational systems, to operate under a unified management structure.</w:t>
      </w:r>
    </w:p>
    <w:p w14:paraId="3E142461" w14:textId="2915C578" w:rsidR="026E9AC4" w:rsidRDefault="2BAC4AA1" w:rsidP="6BF6D514">
      <w:pPr>
        <w:spacing w:before="0" w:after="160" w:line="257" w:lineRule="auto"/>
      </w:pPr>
      <w:r w:rsidRPr="5F76E7EC">
        <w:rPr>
          <w:rFonts w:eastAsia="Arial" w:cs="Arial"/>
          <w:szCs w:val="22"/>
        </w:rPr>
        <w:t>A</w:t>
      </w:r>
      <w:r w:rsidR="026E9AC4" w:rsidRPr="5F76E7EC">
        <w:rPr>
          <w:rFonts w:eastAsia="Arial" w:cs="Arial"/>
          <w:szCs w:val="22"/>
        </w:rPr>
        <w:t xml:space="preserve"> practice amalgamation is a type of merger. It occurs when two existing </w:t>
      </w:r>
      <w:r w:rsidR="3B5013F8" w:rsidRPr="5F76E7EC">
        <w:rPr>
          <w:rFonts w:eastAsia="Arial" w:cs="Arial"/>
          <w:szCs w:val="22"/>
        </w:rPr>
        <w:t>entities</w:t>
      </w:r>
      <w:r w:rsidR="026E9AC4" w:rsidRPr="5F76E7EC">
        <w:rPr>
          <w:rFonts w:eastAsia="Arial" w:cs="Arial"/>
          <w:szCs w:val="22"/>
        </w:rPr>
        <w:t xml:space="preserve"> combine</w:t>
      </w:r>
      <w:r w:rsidR="026E9AC4" w:rsidRPr="5F76E7EC" w:rsidDel="007C0306">
        <w:rPr>
          <w:rFonts w:eastAsia="Arial" w:cs="Arial"/>
          <w:szCs w:val="22"/>
        </w:rPr>
        <w:t xml:space="preserve"> </w:t>
      </w:r>
      <w:r w:rsidR="026E9AC4" w:rsidRPr="5F76E7EC">
        <w:rPr>
          <w:rFonts w:eastAsia="Arial" w:cs="Arial"/>
          <w:szCs w:val="22"/>
        </w:rPr>
        <w:t xml:space="preserve">and a new ABN is created. </w:t>
      </w:r>
    </w:p>
    <w:p w14:paraId="281AB4C1" w14:textId="0C6368A6" w:rsidR="026E9AC4" w:rsidRDefault="5515F6C0" w:rsidP="6BF6D514">
      <w:pPr>
        <w:spacing w:before="0" w:after="160" w:line="257" w:lineRule="auto"/>
      </w:pPr>
      <w:r w:rsidRPr="5F76E7EC">
        <w:rPr>
          <w:rFonts w:eastAsia="Arial" w:cs="Arial"/>
          <w:szCs w:val="22"/>
        </w:rPr>
        <w:t>A</w:t>
      </w:r>
      <w:r w:rsidR="00620484" w:rsidRPr="5F76E7EC">
        <w:rPr>
          <w:rFonts w:eastAsia="Arial" w:cs="Arial"/>
          <w:szCs w:val="22"/>
        </w:rPr>
        <w:t xml:space="preserve"> practice</w:t>
      </w:r>
      <w:r w:rsidR="026E9AC4" w:rsidRPr="5F76E7EC">
        <w:rPr>
          <w:rFonts w:eastAsia="Arial" w:cs="Arial"/>
          <w:szCs w:val="22"/>
        </w:rPr>
        <w:t xml:space="preserve"> undergoing a merger or amalgamation is required to adhere to the below conditions to be considered a </w:t>
      </w:r>
      <w:r w:rsidR="026E9AC4" w:rsidRPr="5F76E7EC">
        <w:rPr>
          <w:rFonts w:eastAsia="Arial" w:cs="Arial"/>
          <w:b/>
          <w:bCs/>
          <w:szCs w:val="22"/>
        </w:rPr>
        <w:t xml:space="preserve">continuing </w:t>
      </w:r>
      <w:r w:rsidRPr="5F76E7EC">
        <w:rPr>
          <w:rFonts w:eastAsia="Arial" w:cs="Arial"/>
          <w:b/>
          <w:bCs/>
          <w:szCs w:val="22"/>
        </w:rPr>
        <w:t>entity</w:t>
      </w:r>
      <w:r w:rsidR="026E9AC4" w:rsidRPr="5F76E7EC">
        <w:rPr>
          <w:rFonts w:eastAsia="Arial" w:cs="Arial"/>
          <w:szCs w:val="22"/>
        </w:rPr>
        <w:t xml:space="preserve"> for the purpose of </w:t>
      </w:r>
      <w:r w:rsidR="00C474C6" w:rsidRPr="5F76E7EC">
        <w:rPr>
          <w:rFonts w:eastAsia="Arial" w:cs="Arial"/>
          <w:szCs w:val="22"/>
        </w:rPr>
        <w:t xml:space="preserve">its </w:t>
      </w:r>
      <w:r w:rsidR="026E9AC4" w:rsidRPr="5F76E7EC">
        <w:rPr>
          <w:rFonts w:eastAsia="Arial" w:cs="Arial"/>
          <w:szCs w:val="22"/>
        </w:rPr>
        <w:t>MyMedicare</w:t>
      </w:r>
      <w:r w:rsidR="00C474C6" w:rsidRPr="5F76E7EC">
        <w:rPr>
          <w:rFonts w:eastAsia="Arial" w:cs="Arial"/>
          <w:szCs w:val="22"/>
        </w:rPr>
        <w:t xml:space="preserve"> registration</w:t>
      </w:r>
      <w:r w:rsidR="026E9AC4" w:rsidRPr="5F76E7EC">
        <w:rPr>
          <w:rFonts w:eastAsia="Arial" w:cs="Arial"/>
          <w:szCs w:val="22"/>
        </w:rPr>
        <w:t xml:space="preserve">. </w:t>
      </w:r>
    </w:p>
    <w:p w14:paraId="4AF13413" w14:textId="52DF71AC" w:rsidR="026E9AC4" w:rsidRDefault="026E9AC4" w:rsidP="00B16726">
      <w:pPr>
        <w:pStyle w:val="ListParagraph"/>
        <w:numPr>
          <w:ilvl w:val="0"/>
          <w:numId w:val="26"/>
        </w:numPr>
        <w:spacing w:after="0" w:line="257" w:lineRule="auto"/>
        <w:rPr>
          <w:rFonts w:ascii="Arial" w:eastAsia="Arial" w:hAnsi="Arial" w:cs="Arial"/>
          <w:szCs w:val="22"/>
        </w:rPr>
      </w:pPr>
      <w:r w:rsidRPr="5F76E7EC">
        <w:rPr>
          <w:rFonts w:ascii="Arial" w:eastAsia="Arial" w:hAnsi="Arial" w:cs="Arial"/>
          <w:szCs w:val="22"/>
        </w:rPr>
        <w:t xml:space="preserve">The merging or amalgamating practice locations must be within the </w:t>
      </w:r>
      <w:r w:rsidRPr="5F76E7EC">
        <w:rPr>
          <w:rFonts w:ascii="Arial" w:eastAsia="Arial" w:hAnsi="Arial" w:cs="Arial"/>
          <w:b/>
          <w:bCs/>
          <w:szCs w:val="22"/>
        </w:rPr>
        <w:t xml:space="preserve">same local area </w:t>
      </w:r>
      <w:r w:rsidRPr="5F76E7EC">
        <w:rPr>
          <w:rFonts w:ascii="Arial" w:eastAsia="Arial" w:hAnsi="Arial" w:cs="Arial"/>
          <w:szCs w:val="22"/>
        </w:rPr>
        <w:t xml:space="preserve">(see Section </w:t>
      </w:r>
      <w:r w:rsidR="00315302" w:rsidRPr="5F76E7EC">
        <w:rPr>
          <w:rFonts w:ascii="Arial" w:eastAsia="Arial" w:hAnsi="Arial" w:cs="Arial"/>
          <w:szCs w:val="22"/>
        </w:rPr>
        <w:t>4.</w:t>
      </w:r>
      <w:r w:rsidR="2A327A98" w:rsidRPr="5F76E7EC">
        <w:rPr>
          <w:rFonts w:ascii="Arial" w:eastAsia="Arial" w:hAnsi="Arial" w:cs="Arial"/>
          <w:szCs w:val="22"/>
        </w:rPr>
        <w:t>5</w:t>
      </w:r>
      <w:r w:rsidRPr="5F76E7EC">
        <w:rPr>
          <w:rFonts w:ascii="Arial" w:eastAsia="Arial" w:hAnsi="Arial" w:cs="Arial"/>
          <w:szCs w:val="22"/>
        </w:rPr>
        <w:t xml:space="preserve">), </w:t>
      </w:r>
      <w:r w:rsidR="00AD4E53" w:rsidRPr="5F76E7EC">
        <w:rPr>
          <w:rFonts w:ascii="Arial" w:eastAsia="Arial" w:hAnsi="Arial" w:cs="Arial"/>
          <w:szCs w:val="22"/>
        </w:rPr>
        <w:t xml:space="preserve">and operate from one location as a single practice, </w:t>
      </w:r>
      <w:r w:rsidRPr="5F76E7EC">
        <w:rPr>
          <w:rFonts w:ascii="Arial" w:eastAsia="Arial" w:hAnsi="Arial" w:cs="Arial"/>
          <w:szCs w:val="22"/>
        </w:rPr>
        <w:t>ensuring continued accessibility for MyMedicare registered patients.</w:t>
      </w:r>
    </w:p>
    <w:p w14:paraId="5C7188F4" w14:textId="6DA89053" w:rsidR="026E9AC4" w:rsidRDefault="026E9AC4" w:rsidP="00B16726">
      <w:pPr>
        <w:pStyle w:val="ListParagraph"/>
        <w:numPr>
          <w:ilvl w:val="0"/>
          <w:numId w:val="26"/>
        </w:numPr>
        <w:spacing w:after="0" w:line="257" w:lineRule="auto"/>
        <w:rPr>
          <w:rFonts w:ascii="Arial" w:eastAsia="Arial" w:hAnsi="Arial" w:cs="Arial"/>
        </w:rPr>
      </w:pPr>
      <w:r w:rsidRPr="737F4B34">
        <w:rPr>
          <w:rFonts w:ascii="Arial" w:eastAsia="Arial" w:hAnsi="Arial" w:cs="Arial"/>
        </w:rPr>
        <w:t xml:space="preserve">The </w:t>
      </w:r>
      <w:r w:rsidR="2BAC4AA1" w:rsidRPr="737F4B34">
        <w:rPr>
          <w:rFonts w:ascii="Arial" w:eastAsia="Arial" w:hAnsi="Arial" w:cs="Arial"/>
        </w:rPr>
        <w:t>merg</w:t>
      </w:r>
      <w:r w:rsidR="5B5FBD8D" w:rsidRPr="737F4B34">
        <w:rPr>
          <w:rFonts w:ascii="Arial" w:eastAsia="Arial" w:hAnsi="Arial" w:cs="Arial"/>
        </w:rPr>
        <w:t>ed</w:t>
      </w:r>
      <w:r w:rsidR="2BAC4AA1" w:rsidRPr="737F4B34">
        <w:rPr>
          <w:rFonts w:ascii="Arial" w:eastAsia="Arial" w:hAnsi="Arial" w:cs="Arial"/>
        </w:rPr>
        <w:t xml:space="preserve"> or amalgamat</w:t>
      </w:r>
      <w:r w:rsidR="5B5FBD8D" w:rsidRPr="737F4B34">
        <w:rPr>
          <w:rFonts w:ascii="Arial" w:eastAsia="Arial" w:hAnsi="Arial" w:cs="Arial"/>
        </w:rPr>
        <w:t>ed</w:t>
      </w:r>
      <w:r w:rsidR="2BAC4AA1" w:rsidRPr="737F4B34">
        <w:rPr>
          <w:rFonts w:ascii="Arial" w:eastAsia="Arial" w:hAnsi="Arial" w:cs="Arial"/>
        </w:rPr>
        <w:t xml:space="preserve"> </w:t>
      </w:r>
      <w:r w:rsidRPr="737F4B34">
        <w:rPr>
          <w:rFonts w:ascii="Arial" w:eastAsia="Arial" w:hAnsi="Arial" w:cs="Arial"/>
        </w:rPr>
        <w:t xml:space="preserve">practice must </w:t>
      </w:r>
      <w:r w:rsidR="00EC0C41" w:rsidRPr="737F4B34">
        <w:rPr>
          <w:rFonts w:ascii="Arial" w:eastAsia="Arial" w:hAnsi="Arial" w:cs="Arial"/>
        </w:rPr>
        <w:t xml:space="preserve">continue to </w:t>
      </w:r>
      <w:r w:rsidRPr="737F4B34">
        <w:rPr>
          <w:rFonts w:ascii="Arial" w:eastAsia="Arial" w:hAnsi="Arial" w:cs="Arial"/>
        </w:rPr>
        <w:t xml:space="preserve">adhere to MyMedicare policies and guidelines, including maintaining accreditation. This includes ensuring that the practice’s accreditation is transferred or maintained at the merged or amalgamated location or is </w:t>
      </w:r>
      <w:r w:rsidR="36968C79" w:rsidRPr="737F4B34">
        <w:rPr>
          <w:rFonts w:ascii="Arial" w:eastAsia="Arial" w:hAnsi="Arial" w:cs="Arial"/>
        </w:rPr>
        <w:t>reissued</w:t>
      </w:r>
      <w:r w:rsidRPr="737F4B34">
        <w:rPr>
          <w:rFonts w:ascii="Arial" w:eastAsia="Arial" w:hAnsi="Arial" w:cs="Arial"/>
        </w:rPr>
        <w:t xml:space="preserve"> by the accrediting agency to reflect the merged or amalgamated practice location.</w:t>
      </w:r>
    </w:p>
    <w:p w14:paraId="3937D52D" w14:textId="53CABA6F" w:rsidR="00345D79" w:rsidRDefault="00EC0C41" w:rsidP="00B16726">
      <w:pPr>
        <w:pStyle w:val="ListParagraph"/>
        <w:numPr>
          <w:ilvl w:val="0"/>
          <w:numId w:val="26"/>
        </w:numPr>
        <w:spacing w:after="0" w:line="257" w:lineRule="auto"/>
        <w:rPr>
          <w:rFonts w:ascii="Arial" w:eastAsia="Arial" w:hAnsi="Arial" w:cs="Arial"/>
          <w:szCs w:val="22"/>
        </w:rPr>
      </w:pPr>
      <w:r w:rsidRPr="5F76E7EC">
        <w:rPr>
          <w:rFonts w:ascii="Arial" w:eastAsia="Arial" w:hAnsi="Arial" w:cs="Arial"/>
          <w:szCs w:val="22"/>
        </w:rPr>
        <w:t>P</w:t>
      </w:r>
      <w:r w:rsidR="00345D79" w:rsidRPr="5F76E7EC">
        <w:rPr>
          <w:rFonts w:ascii="Arial" w:eastAsia="Arial" w:hAnsi="Arial" w:cs="Arial"/>
          <w:szCs w:val="22"/>
        </w:rPr>
        <w:t>atient registrations, medical records, staff, and services</w:t>
      </w:r>
      <w:r w:rsidRPr="5F76E7EC">
        <w:rPr>
          <w:rFonts w:ascii="Arial" w:eastAsia="Arial" w:hAnsi="Arial" w:cs="Arial"/>
          <w:szCs w:val="22"/>
        </w:rPr>
        <w:t xml:space="preserve"> must be combined</w:t>
      </w:r>
      <w:r w:rsidR="00345D79" w:rsidRPr="5F76E7EC">
        <w:rPr>
          <w:rFonts w:ascii="Arial" w:eastAsia="Arial" w:hAnsi="Arial" w:cs="Arial"/>
          <w:szCs w:val="22"/>
        </w:rPr>
        <w:t xml:space="preserve"> under one practice.</w:t>
      </w:r>
    </w:p>
    <w:p w14:paraId="6CF0A09B" w14:textId="21479865" w:rsidR="026E9AC4" w:rsidRDefault="5A3B826C" w:rsidP="737F4B34">
      <w:pPr>
        <w:pStyle w:val="Heading3"/>
        <w:numPr>
          <w:ilvl w:val="0"/>
          <w:numId w:val="0"/>
        </w:numPr>
        <w:rPr>
          <w:rFonts w:eastAsia="Arial" w:cs="Arial"/>
          <w:bCs/>
        </w:rPr>
      </w:pPr>
      <w:bookmarkStart w:id="49" w:name="_Toc1399719578"/>
      <w:r w:rsidRPr="5F76E7EC">
        <w:rPr>
          <w:rFonts w:eastAsia="Arial" w:cs="Arial"/>
          <w:bCs/>
        </w:rPr>
        <w:t xml:space="preserve">4.2.3 </w:t>
      </w:r>
      <w:r w:rsidR="026E9AC4" w:rsidRPr="5F76E7EC">
        <w:rPr>
          <w:rFonts w:eastAsia="Arial" w:cs="Arial"/>
          <w:bCs/>
        </w:rPr>
        <w:t>Separation of Practice</w:t>
      </w:r>
      <w:bookmarkEnd w:id="49"/>
      <w:r w:rsidR="026E9AC4" w:rsidRPr="5F76E7EC">
        <w:rPr>
          <w:rFonts w:eastAsia="Arial" w:cs="Arial"/>
          <w:bCs/>
        </w:rPr>
        <w:t xml:space="preserve">  </w:t>
      </w:r>
    </w:p>
    <w:p w14:paraId="3B65CEF1" w14:textId="2E6DF4AB" w:rsidR="026E9AC4" w:rsidRDefault="026E9AC4" w:rsidP="6BF6D514">
      <w:pPr>
        <w:spacing w:before="0" w:after="160" w:line="257" w:lineRule="auto"/>
      </w:pPr>
      <w:r w:rsidRPr="5F76E7EC">
        <w:rPr>
          <w:rFonts w:eastAsia="Arial" w:cs="Arial"/>
          <w:szCs w:val="22"/>
        </w:rPr>
        <w:t xml:space="preserve">A separation of </w:t>
      </w:r>
      <w:r w:rsidR="2BAC4AA1" w:rsidRPr="5F76E7EC">
        <w:rPr>
          <w:rFonts w:eastAsia="Arial" w:cs="Arial"/>
          <w:szCs w:val="22"/>
        </w:rPr>
        <w:t>a</w:t>
      </w:r>
      <w:r w:rsidRPr="5F76E7EC">
        <w:rPr>
          <w:rFonts w:eastAsia="Arial" w:cs="Arial"/>
          <w:szCs w:val="22"/>
        </w:rPr>
        <w:t xml:space="preserve"> practice refers to the division of </w:t>
      </w:r>
      <w:r w:rsidR="4F41D0FF" w:rsidRPr="5F76E7EC">
        <w:rPr>
          <w:rFonts w:eastAsia="Arial" w:cs="Arial"/>
          <w:szCs w:val="22"/>
        </w:rPr>
        <w:t>a</w:t>
      </w:r>
      <w:r w:rsidRPr="5F76E7EC">
        <w:rPr>
          <w:rFonts w:eastAsia="Arial" w:cs="Arial"/>
          <w:szCs w:val="22"/>
        </w:rPr>
        <w:t xml:space="preserve"> practice </w:t>
      </w:r>
      <w:r w:rsidR="00B46A01" w:rsidRPr="5F76E7EC">
        <w:rPr>
          <w:rFonts w:eastAsia="Arial" w:cs="Arial"/>
          <w:szCs w:val="22"/>
        </w:rPr>
        <w:t xml:space="preserve">to be owned </w:t>
      </w:r>
      <w:r w:rsidR="4F41D0FF" w:rsidRPr="5F76E7EC">
        <w:rPr>
          <w:rFonts w:eastAsia="Arial" w:cs="Arial"/>
          <w:szCs w:val="22"/>
        </w:rPr>
        <w:t>by</w:t>
      </w:r>
      <w:r w:rsidRPr="5F76E7EC">
        <w:rPr>
          <w:rFonts w:eastAsia="Arial" w:cs="Arial"/>
          <w:szCs w:val="22"/>
        </w:rPr>
        <w:t xml:space="preserve"> two or more operational and legal entities. This includes:</w:t>
      </w:r>
    </w:p>
    <w:p w14:paraId="23A5C8D8" w14:textId="7B05D9FD" w:rsidR="026E9AC4" w:rsidRDefault="026E9AC4" w:rsidP="00B16726">
      <w:pPr>
        <w:pStyle w:val="ListParagraph"/>
        <w:numPr>
          <w:ilvl w:val="0"/>
          <w:numId w:val="25"/>
        </w:numPr>
        <w:spacing w:after="0" w:line="257" w:lineRule="auto"/>
        <w:rPr>
          <w:rFonts w:ascii="Arial" w:eastAsia="Arial" w:hAnsi="Arial" w:cs="Arial"/>
          <w:szCs w:val="22"/>
        </w:rPr>
      </w:pPr>
      <w:r w:rsidRPr="5F76E7EC">
        <w:rPr>
          <w:rFonts w:ascii="Arial" w:eastAsia="Arial" w:hAnsi="Arial" w:cs="Arial"/>
          <w:szCs w:val="22"/>
        </w:rPr>
        <w:t xml:space="preserve">dividing patient registrations, medical records, staff, and services </w:t>
      </w:r>
      <w:r w:rsidR="00B46A01" w:rsidRPr="5F76E7EC">
        <w:rPr>
          <w:rFonts w:ascii="Arial" w:eastAsia="Arial" w:hAnsi="Arial" w:cs="Arial"/>
          <w:szCs w:val="22"/>
        </w:rPr>
        <w:t xml:space="preserve">across </w:t>
      </w:r>
      <w:r w:rsidRPr="5F76E7EC">
        <w:rPr>
          <w:rFonts w:ascii="Arial" w:eastAsia="Arial" w:hAnsi="Arial" w:cs="Arial"/>
          <w:szCs w:val="22"/>
        </w:rPr>
        <w:t>two or more entities</w:t>
      </w:r>
      <w:r w:rsidR="00CC1C00" w:rsidRPr="5F76E7EC">
        <w:rPr>
          <w:rFonts w:ascii="Arial" w:eastAsia="Arial" w:hAnsi="Arial" w:cs="Arial"/>
          <w:szCs w:val="22"/>
        </w:rPr>
        <w:t>.</w:t>
      </w:r>
    </w:p>
    <w:p w14:paraId="7EAC8EAE" w14:textId="034F3D26" w:rsidR="026E9AC4" w:rsidRDefault="026E9AC4" w:rsidP="00B16726">
      <w:pPr>
        <w:pStyle w:val="ListParagraph"/>
        <w:numPr>
          <w:ilvl w:val="0"/>
          <w:numId w:val="25"/>
        </w:numPr>
        <w:spacing w:after="0" w:line="257" w:lineRule="auto"/>
        <w:rPr>
          <w:rFonts w:ascii="Arial" w:eastAsia="Arial" w:hAnsi="Arial" w:cs="Arial"/>
          <w:szCs w:val="22"/>
        </w:rPr>
      </w:pPr>
      <w:r w:rsidRPr="5F76E7EC">
        <w:rPr>
          <w:rFonts w:ascii="Arial" w:eastAsia="Arial" w:hAnsi="Arial" w:cs="Arial"/>
          <w:szCs w:val="22"/>
        </w:rPr>
        <w:t>each new practice obtaining/maintaining accreditation</w:t>
      </w:r>
      <w:r w:rsidR="00CC1C00" w:rsidRPr="5F76E7EC">
        <w:rPr>
          <w:rFonts w:ascii="Arial" w:eastAsia="Arial" w:hAnsi="Arial" w:cs="Arial"/>
          <w:szCs w:val="22"/>
        </w:rPr>
        <w:t>.</w:t>
      </w:r>
    </w:p>
    <w:p w14:paraId="42491D3D" w14:textId="1145E175" w:rsidR="00CC1C00" w:rsidRDefault="026E9AC4" w:rsidP="00B16726">
      <w:pPr>
        <w:pStyle w:val="ListParagraph"/>
        <w:numPr>
          <w:ilvl w:val="0"/>
          <w:numId w:val="25"/>
        </w:numPr>
        <w:spacing w:after="0" w:line="257" w:lineRule="auto"/>
        <w:rPr>
          <w:rFonts w:ascii="Arial" w:eastAsia="Arial" w:hAnsi="Arial" w:cs="Arial"/>
          <w:szCs w:val="22"/>
        </w:rPr>
      </w:pPr>
      <w:r w:rsidRPr="5F76E7EC">
        <w:rPr>
          <w:rFonts w:ascii="Arial" w:eastAsia="Arial" w:hAnsi="Arial" w:cs="Arial"/>
          <w:szCs w:val="22"/>
        </w:rPr>
        <w:t>operating from two or more locations as individual practices while ensuring continuity of patient care.</w:t>
      </w:r>
    </w:p>
    <w:p w14:paraId="33D21367" w14:textId="2A22138D" w:rsidR="5E9F959E" w:rsidRDefault="15E0C158" w:rsidP="5F76E7EC">
      <w:pPr>
        <w:spacing w:before="0" w:after="0" w:line="257" w:lineRule="auto"/>
        <w:ind w:left="720"/>
      </w:pPr>
      <w:r w:rsidRPr="5F76E7EC">
        <w:rPr>
          <w:rFonts w:ascii="Calibri" w:eastAsia="Calibri" w:hAnsi="Calibri" w:cs="Calibri"/>
          <w:szCs w:val="22"/>
        </w:rPr>
        <w:t xml:space="preserve"> </w:t>
      </w:r>
    </w:p>
    <w:p w14:paraId="7270A00F" w14:textId="7C6BF438" w:rsidR="026E9AC4" w:rsidRDefault="026E9AC4" w:rsidP="6BF6D514">
      <w:pPr>
        <w:spacing w:before="0" w:after="160" w:line="257" w:lineRule="auto"/>
      </w:pPr>
      <w:r w:rsidRPr="5F76E7EC">
        <w:rPr>
          <w:rFonts w:eastAsia="Arial" w:cs="Arial"/>
          <w:szCs w:val="22"/>
        </w:rPr>
        <w:lastRenderedPageBreak/>
        <w:t xml:space="preserve">One of the separating entities may be considered a </w:t>
      </w:r>
      <w:r w:rsidRPr="5F76E7EC">
        <w:rPr>
          <w:rFonts w:eastAsia="Arial" w:cs="Arial"/>
          <w:b/>
          <w:bCs/>
          <w:szCs w:val="22"/>
        </w:rPr>
        <w:t>continuing practice</w:t>
      </w:r>
      <w:r w:rsidRPr="5F76E7EC">
        <w:rPr>
          <w:rFonts w:eastAsia="Arial" w:cs="Arial"/>
          <w:szCs w:val="22"/>
        </w:rPr>
        <w:t xml:space="preserve"> for the purpose of MyMedicare, provided it adheres to MyMedicare policies and guidelines, including maintaining accreditation. </w:t>
      </w:r>
    </w:p>
    <w:p w14:paraId="061EAC8A" w14:textId="1E4A852D" w:rsidR="026E9AC4" w:rsidRDefault="15E0C158" w:rsidP="5F76E7EC">
      <w:pPr>
        <w:pStyle w:val="Heading2"/>
        <w:numPr>
          <w:ilvl w:val="0"/>
          <w:numId w:val="0"/>
        </w:numPr>
        <w:ind w:left="578" w:hanging="578"/>
        <w:rPr>
          <w:rFonts w:eastAsia="Arial" w:cs="Arial"/>
        </w:rPr>
      </w:pPr>
      <w:bookmarkStart w:id="50" w:name="_Toc1431362790"/>
      <w:r w:rsidRPr="71CB847D">
        <w:rPr>
          <w:rFonts w:eastAsia="Arial" w:cs="Arial"/>
        </w:rPr>
        <w:t>4.</w:t>
      </w:r>
      <w:r w:rsidR="68347406" w:rsidRPr="71CB847D">
        <w:rPr>
          <w:rFonts w:eastAsia="Arial" w:cs="Arial"/>
        </w:rPr>
        <w:t>2.4</w:t>
      </w:r>
      <w:r w:rsidR="1B7C6911" w:rsidRPr="71CB847D">
        <w:rPr>
          <w:rFonts w:eastAsia="Arial" w:cs="Arial"/>
        </w:rPr>
        <w:t xml:space="preserve"> </w:t>
      </w:r>
      <w:r w:rsidR="026E9AC4" w:rsidRPr="71CB847D">
        <w:rPr>
          <w:rFonts w:eastAsia="Arial" w:cs="Arial"/>
        </w:rPr>
        <w:t>Internal change in business structure (no change in ownership, including ABN Changes)</w:t>
      </w:r>
      <w:bookmarkEnd w:id="50"/>
    </w:p>
    <w:p w14:paraId="67BB4209" w14:textId="546E5497" w:rsidR="026E9AC4" w:rsidRDefault="026E9AC4" w:rsidP="6BF6D514">
      <w:pPr>
        <w:spacing w:before="0" w:after="160" w:line="257" w:lineRule="auto"/>
      </w:pPr>
      <w:r w:rsidRPr="5F76E7EC">
        <w:rPr>
          <w:rFonts w:eastAsia="Arial" w:cs="Arial"/>
          <w:szCs w:val="22"/>
          <w:lang w:val="en-GB"/>
        </w:rPr>
        <w:t>Internal business structure changes can occur within an organisation, including ABN changes. These changes do not necessarily mean there has been a change in ownership.</w:t>
      </w:r>
    </w:p>
    <w:p w14:paraId="60D60930" w14:textId="46513B8F" w:rsidR="026E9AC4" w:rsidRDefault="15E0C158" w:rsidP="5F76E7EC">
      <w:pPr>
        <w:pStyle w:val="Heading2"/>
        <w:numPr>
          <w:ilvl w:val="0"/>
          <w:numId w:val="0"/>
        </w:numPr>
        <w:rPr>
          <w:rFonts w:eastAsia="Arial" w:cs="Arial"/>
        </w:rPr>
      </w:pPr>
      <w:bookmarkStart w:id="51" w:name="_Toc2142733731"/>
      <w:r w:rsidRPr="71CB847D">
        <w:rPr>
          <w:rFonts w:eastAsia="Arial" w:cs="Arial"/>
        </w:rPr>
        <w:t>4.</w:t>
      </w:r>
      <w:r w:rsidR="37D9AA52" w:rsidRPr="71CB847D">
        <w:rPr>
          <w:rFonts w:eastAsia="Arial" w:cs="Arial"/>
        </w:rPr>
        <w:t>2.5</w:t>
      </w:r>
      <w:r w:rsidR="40A467A5" w:rsidRPr="71CB847D">
        <w:rPr>
          <w:rFonts w:eastAsia="Arial" w:cs="Arial"/>
        </w:rPr>
        <w:t xml:space="preserve"> </w:t>
      </w:r>
      <w:r w:rsidR="026E9AC4" w:rsidRPr="71CB847D">
        <w:rPr>
          <w:rFonts w:eastAsia="Arial" w:cs="Arial"/>
        </w:rPr>
        <w:t>Deceased estates</w:t>
      </w:r>
      <w:bookmarkEnd w:id="51"/>
    </w:p>
    <w:p w14:paraId="2B01E2CF" w14:textId="682130D5" w:rsidR="026E9AC4" w:rsidRDefault="4D716080" w:rsidP="6BF6D514">
      <w:pPr>
        <w:spacing w:before="0" w:after="160" w:line="257" w:lineRule="auto"/>
      </w:pPr>
      <w:r w:rsidRPr="5F76E7EC">
        <w:rPr>
          <w:rFonts w:eastAsia="Arial" w:cs="Arial"/>
          <w:szCs w:val="22"/>
          <w:lang w:val="en-GB"/>
        </w:rPr>
        <w:t>If</w:t>
      </w:r>
      <w:r w:rsidR="2BAC4AA1" w:rsidRPr="5F76E7EC">
        <w:rPr>
          <w:rFonts w:eastAsia="Arial" w:cs="Arial"/>
          <w:szCs w:val="22"/>
          <w:lang w:val="en-GB"/>
        </w:rPr>
        <w:t xml:space="preserve"> </w:t>
      </w:r>
      <w:r w:rsidR="18D123B8" w:rsidRPr="5F76E7EC">
        <w:rPr>
          <w:rFonts w:eastAsia="Arial" w:cs="Arial"/>
          <w:szCs w:val="22"/>
          <w:lang w:val="en-GB"/>
        </w:rPr>
        <w:t>ownership</w:t>
      </w:r>
      <w:r w:rsidR="026E9AC4" w:rsidRPr="5F76E7EC">
        <w:rPr>
          <w:rFonts w:eastAsia="Arial" w:cs="Arial"/>
          <w:szCs w:val="22"/>
          <w:lang w:val="en-GB"/>
        </w:rPr>
        <w:t xml:space="preserve"> of a MyMedicare registered practice transfers to a deceased estate, it is the responsibility of the party assuming control, such as the executor or administrator of the estate to notify Services Australia with supporting evidence, as soon as practicable. Deceased estates registered in MyMedicare are not eligible to receive incentive payments.</w:t>
      </w:r>
    </w:p>
    <w:p w14:paraId="17AD6E82" w14:textId="6B4AAA22" w:rsidR="026E9AC4" w:rsidRDefault="15E0C158" w:rsidP="5F76E7EC">
      <w:pPr>
        <w:pStyle w:val="Heading2"/>
        <w:numPr>
          <w:ilvl w:val="0"/>
          <w:numId w:val="0"/>
        </w:numPr>
        <w:ind w:left="578" w:hanging="578"/>
        <w:rPr>
          <w:rFonts w:eastAsia="Arial" w:cs="Arial"/>
        </w:rPr>
      </w:pPr>
      <w:bookmarkStart w:id="52" w:name="_Toc196855605"/>
      <w:r w:rsidRPr="71CB847D">
        <w:rPr>
          <w:rFonts w:eastAsia="Arial" w:cs="Arial"/>
        </w:rPr>
        <w:t>4.3</w:t>
      </w:r>
      <w:r w:rsidR="6E68D0AF" w:rsidRPr="71CB847D">
        <w:rPr>
          <w:rFonts w:eastAsia="Arial" w:cs="Arial"/>
        </w:rPr>
        <w:t xml:space="preserve"> </w:t>
      </w:r>
      <w:r w:rsidR="026E9AC4" w:rsidRPr="71CB847D">
        <w:rPr>
          <w:rFonts w:eastAsia="Arial" w:cs="Arial"/>
        </w:rPr>
        <w:t>Payment arrangements following a change of ownership</w:t>
      </w:r>
      <w:bookmarkEnd w:id="52"/>
    </w:p>
    <w:p w14:paraId="1EF5C076" w14:textId="465799B1" w:rsidR="00144BB5" w:rsidRDefault="026E9AC4">
      <w:pPr>
        <w:spacing w:before="0" w:after="160" w:line="257" w:lineRule="auto"/>
      </w:pPr>
      <w:r w:rsidRPr="5F76E7EC">
        <w:rPr>
          <w:rFonts w:eastAsia="Arial" w:cs="Arial"/>
          <w:szCs w:val="22"/>
        </w:rPr>
        <w:t>Eligibility for MyMedicare incentive p</w:t>
      </w:r>
      <w:r w:rsidR="00005CAB" w:rsidRPr="5F76E7EC">
        <w:rPr>
          <w:rFonts w:eastAsia="Arial" w:cs="Arial"/>
          <w:szCs w:val="22"/>
        </w:rPr>
        <w:t xml:space="preserve">ayments </w:t>
      </w:r>
      <w:r w:rsidRPr="5F76E7EC">
        <w:rPr>
          <w:rFonts w:eastAsia="Arial" w:cs="Arial"/>
          <w:szCs w:val="22"/>
        </w:rPr>
        <w:t xml:space="preserve">is assessed for the entire quarter in which </w:t>
      </w:r>
      <w:r w:rsidR="48D04322" w:rsidRPr="5F76E7EC">
        <w:rPr>
          <w:rFonts w:eastAsia="Arial" w:cs="Arial"/>
          <w:szCs w:val="22"/>
        </w:rPr>
        <w:t>an</w:t>
      </w:r>
      <w:r w:rsidR="00DE678E" w:rsidRPr="5F76E7EC">
        <w:rPr>
          <w:rFonts w:eastAsia="Arial" w:cs="Arial"/>
          <w:szCs w:val="22"/>
        </w:rPr>
        <w:t xml:space="preserve"> organisational change</w:t>
      </w:r>
      <w:r w:rsidRPr="5F76E7EC">
        <w:rPr>
          <w:rFonts w:eastAsia="Arial" w:cs="Arial"/>
          <w:szCs w:val="22"/>
        </w:rPr>
        <w:t xml:space="preserve"> occurs. There is no provision for pro-rata payment where an organisational change occurs part way through a payment assessment period. If the eligibility, program and service requirements for the incentive have been met, as outlined in the incentive program guidelines, the payment will be directed to the bank account provided by the organisation site and responsible provider at the time of payment. Where a payment is made to </w:t>
      </w:r>
      <w:r w:rsidR="45A99D09" w:rsidRPr="5F76E7EC">
        <w:rPr>
          <w:rFonts w:eastAsia="Arial" w:cs="Arial"/>
          <w:szCs w:val="22"/>
        </w:rPr>
        <w:t>the</w:t>
      </w:r>
      <w:r w:rsidRPr="5F76E7EC">
        <w:rPr>
          <w:rFonts w:eastAsia="Arial" w:cs="Arial"/>
          <w:szCs w:val="22"/>
        </w:rPr>
        <w:t xml:space="preserve"> previous </w:t>
      </w:r>
      <w:r w:rsidR="00620484" w:rsidRPr="5F76E7EC">
        <w:rPr>
          <w:rFonts w:eastAsia="Arial" w:cs="Arial"/>
          <w:szCs w:val="22"/>
        </w:rPr>
        <w:t xml:space="preserve">practice </w:t>
      </w:r>
      <w:r w:rsidRPr="5F76E7EC" w:rsidDel="00805699">
        <w:rPr>
          <w:rFonts w:eastAsia="Arial" w:cs="Arial"/>
          <w:szCs w:val="22"/>
        </w:rPr>
        <w:t>owner</w:t>
      </w:r>
      <w:r w:rsidRPr="5F76E7EC">
        <w:rPr>
          <w:rFonts w:eastAsia="Arial" w:cs="Arial"/>
          <w:szCs w:val="22"/>
        </w:rPr>
        <w:t xml:space="preserve"> before new bank details are notified, the previous and new </w:t>
      </w:r>
      <w:r w:rsidR="00620484" w:rsidRPr="5F76E7EC">
        <w:rPr>
          <w:rFonts w:eastAsia="Arial" w:cs="Arial"/>
          <w:szCs w:val="22"/>
        </w:rPr>
        <w:t xml:space="preserve">practice </w:t>
      </w:r>
      <w:r w:rsidR="3E9AFA18" w:rsidRPr="5F76E7EC">
        <w:rPr>
          <w:rFonts w:eastAsia="Arial" w:cs="Arial"/>
          <w:szCs w:val="22"/>
        </w:rPr>
        <w:t>owners</w:t>
      </w:r>
      <w:r w:rsidRPr="5F76E7EC">
        <w:rPr>
          <w:rFonts w:eastAsia="Arial" w:cs="Arial"/>
          <w:szCs w:val="22"/>
        </w:rPr>
        <w:t xml:space="preserve"> must resolve the matter privately.  </w:t>
      </w:r>
    </w:p>
    <w:p w14:paraId="0886B9E3" w14:textId="6D11020F" w:rsidR="026E9AC4" w:rsidRDefault="026E9AC4" w:rsidP="6BF6D514">
      <w:pPr>
        <w:spacing w:before="0" w:after="160" w:line="257" w:lineRule="auto"/>
      </w:pPr>
      <w:r w:rsidRPr="5F76E7EC">
        <w:rPr>
          <w:rFonts w:eastAsia="Arial" w:cs="Arial"/>
          <w:szCs w:val="22"/>
        </w:rPr>
        <w:t>Practices that undergo a change of ownership are responsible for meeting the requirements of any</w:t>
      </w:r>
      <w:r w:rsidRPr="5F76E7EC" w:rsidDel="00144BB5">
        <w:rPr>
          <w:rFonts w:eastAsia="Arial" w:cs="Arial"/>
          <w:szCs w:val="22"/>
        </w:rPr>
        <w:t xml:space="preserve"> </w:t>
      </w:r>
      <w:r w:rsidRPr="5F76E7EC">
        <w:rPr>
          <w:rFonts w:eastAsia="Arial" w:cs="Arial"/>
          <w:szCs w:val="22"/>
        </w:rPr>
        <w:t>associated incentive programs related to</w:t>
      </w:r>
      <w:r w:rsidRPr="5F76E7EC" w:rsidDel="00144BB5">
        <w:rPr>
          <w:rFonts w:eastAsia="Arial" w:cs="Arial"/>
          <w:szCs w:val="22"/>
        </w:rPr>
        <w:t xml:space="preserve"> </w:t>
      </w:r>
      <w:r w:rsidRPr="5F76E7EC">
        <w:rPr>
          <w:rFonts w:eastAsia="Arial" w:cs="Arial"/>
          <w:szCs w:val="22"/>
        </w:rPr>
        <w:t>MyMedicare</w:t>
      </w:r>
      <w:r w:rsidR="00144BB5" w:rsidRPr="5F76E7EC">
        <w:rPr>
          <w:rFonts w:eastAsia="Arial" w:cs="Arial"/>
          <w:szCs w:val="22"/>
        </w:rPr>
        <w:t>.</w:t>
      </w:r>
    </w:p>
    <w:p w14:paraId="631A7A6A" w14:textId="26640352" w:rsidR="026E9AC4" w:rsidRDefault="026E9AC4" w:rsidP="6BF6D514">
      <w:pPr>
        <w:spacing w:before="0" w:after="160" w:line="257" w:lineRule="auto"/>
      </w:pPr>
      <w:r w:rsidRPr="5F76E7EC">
        <w:rPr>
          <w:rFonts w:eastAsia="Arial" w:cs="Arial"/>
          <w:i/>
          <w:iCs/>
          <w:szCs w:val="22"/>
          <w:u w:val="single"/>
        </w:rPr>
        <w:t>Retrospective assessment</w:t>
      </w:r>
    </w:p>
    <w:p w14:paraId="390D3B10" w14:textId="302BB633" w:rsidR="026E9AC4" w:rsidRDefault="026E9AC4" w:rsidP="6BF6D514">
      <w:pPr>
        <w:spacing w:before="0" w:after="160" w:line="257" w:lineRule="auto"/>
      </w:pPr>
      <w:r w:rsidRPr="737F4B34">
        <w:rPr>
          <w:rFonts w:eastAsia="Arial" w:cs="Arial"/>
        </w:rPr>
        <w:t>Where an under or overpayment is identified for a past assessment period following a change of ownership, future payments of the current practice will be adjusted. If an underpayment is identified, the amount of incentive payment for the next quarter will be increased to account for the under payment. If an overpayment is identified, this amount will be offset against future incentive payment/s</w:t>
      </w:r>
      <w:r w:rsidR="00EE2FC6" w:rsidRPr="737F4B34">
        <w:rPr>
          <w:rFonts w:eastAsia="Arial" w:cs="Arial"/>
        </w:rPr>
        <w:t>.</w:t>
      </w:r>
    </w:p>
    <w:p w14:paraId="55FA1399" w14:textId="36884AAE" w:rsidR="026E9AC4" w:rsidRDefault="337082BC" w:rsidP="5F76E7EC">
      <w:pPr>
        <w:pStyle w:val="Heading2"/>
        <w:numPr>
          <w:ilvl w:val="0"/>
          <w:numId w:val="0"/>
        </w:numPr>
        <w:rPr>
          <w:rFonts w:eastAsia="Arial" w:cs="Arial"/>
        </w:rPr>
      </w:pPr>
      <w:bookmarkStart w:id="53" w:name="_Toc277613375"/>
      <w:r w:rsidRPr="71CB847D">
        <w:rPr>
          <w:rFonts w:eastAsia="Arial" w:cs="Arial"/>
        </w:rPr>
        <w:t xml:space="preserve">4.4 </w:t>
      </w:r>
      <w:r w:rsidR="026E9AC4" w:rsidRPr="71CB847D">
        <w:rPr>
          <w:rFonts w:eastAsia="Arial" w:cs="Arial"/>
        </w:rPr>
        <w:t>Accreditation following an organisational change</w:t>
      </w:r>
      <w:bookmarkEnd w:id="53"/>
    </w:p>
    <w:p w14:paraId="73F11A37" w14:textId="7F06622F" w:rsidR="026E9AC4" w:rsidRDefault="026E9AC4" w:rsidP="6BF6D514">
      <w:pPr>
        <w:spacing w:before="0" w:after="160" w:line="257" w:lineRule="auto"/>
      </w:pPr>
      <w:r w:rsidRPr="5F76E7EC">
        <w:rPr>
          <w:rFonts w:eastAsia="Arial" w:cs="Arial"/>
          <w:szCs w:val="22"/>
          <w:lang w:val="en-GB"/>
        </w:rPr>
        <w:t xml:space="preserve">Where a sale takes place and accreditation is </w:t>
      </w:r>
      <w:r w:rsidRPr="5F76E7EC">
        <w:rPr>
          <w:rFonts w:eastAsia="Arial" w:cs="Arial"/>
          <w:b/>
          <w:bCs/>
          <w:szCs w:val="22"/>
          <w:lang w:val="en-GB"/>
        </w:rPr>
        <w:t>not transferred to the new practice</w:t>
      </w:r>
      <w:r w:rsidRPr="5F76E7EC">
        <w:rPr>
          <w:rFonts w:eastAsia="Arial" w:cs="Arial"/>
          <w:szCs w:val="22"/>
          <w:lang w:val="en-GB"/>
        </w:rPr>
        <w:t xml:space="preserve">, the new </w:t>
      </w:r>
      <w:r w:rsidR="00620484" w:rsidRPr="5F76E7EC">
        <w:rPr>
          <w:rFonts w:eastAsia="Arial" w:cs="Arial"/>
          <w:szCs w:val="22"/>
          <w:lang w:val="en-GB"/>
        </w:rPr>
        <w:t xml:space="preserve">practice </w:t>
      </w:r>
      <w:r w:rsidRPr="5F76E7EC" w:rsidDel="00620484">
        <w:rPr>
          <w:rFonts w:eastAsia="Arial" w:cs="Arial"/>
          <w:szCs w:val="22"/>
          <w:lang w:val="en-GB"/>
        </w:rPr>
        <w:t>owner</w:t>
      </w:r>
      <w:r w:rsidRPr="5F76E7EC">
        <w:rPr>
          <w:rFonts w:eastAsia="Arial" w:cs="Arial"/>
          <w:szCs w:val="22"/>
          <w:lang w:val="en-GB"/>
        </w:rPr>
        <w:t xml:space="preserve"> will not be considered a continuing </w:t>
      </w:r>
      <w:r w:rsidR="2C4DF237" w:rsidRPr="5F76E7EC">
        <w:rPr>
          <w:rFonts w:eastAsia="Arial" w:cs="Arial"/>
          <w:szCs w:val="22"/>
          <w:lang w:val="en-GB"/>
        </w:rPr>
        <w:t>entity</w:t>
      </w:r>
      <w:r w:rsidRPr="5F76E7EC">
        <w:rPr>
          <w:rFonts w:eastAsia="Arial" w:cs="Arial"/>
          <w:szCs w:val="22"/>
          <w:lang w:val="en-GB"/>
        </w:rPr>
        <w:t xml:space="preserve"> for the purpose of MyMedicare. The practice will be required to register for MyMedicare and meet all eligibility requirements, including obtaining accreditation within 12 months of registration.</w:t>
      </w:r>
    </w:p>
    <w:p w14:paraId="7EC07F8D" w14:textId="3B9DCC4F" w:rsidR="026E9AC4" w:rsidRDefault="026E9AC4" w:rsidP="6BF6D514">
      <w:pPr>
        <w:spacing w:before="0" w:after="160" w:line="257" w:lineRule="auto"/>
      </w:pPr>
      <w:r w:rsidRPr="5F76E7EC">
        <w:rPr>
          <w:rFonts w:eastAsia="Arial" w:cs="Arial"/>
          <w:szCs w:val="22"/>
          <w:lang w:val="en-GB"/>
        </w:rPr>
        <w:t xml:space="preserve">Where an accredited practice relocates (including following a sale, merger or amalgamation), the practice must work with their accrediting agency to ensure the new location meets accreditation standards. </w:t>
      </w:r>
      <w:r w:rsidRPr="5F76E7EC">
        <w:rPr>
          <w:rFonts w:eastAsia="Arial" w:cs="Arial"/>
          <w:szCs w:val="22"/>
        </w:rPr>
        <w:t xml:space="preserve">The practice will have </w:t>
      </w:r>
      <w:r w:rsidRPr="5F76E7EC">
        <w:rPr>
          <w:rFonts w:eastAsia="Arial" w:cs="Arial"/>
          <w:b/>
          <w:bCs/>
          <w:szCs w:val="22"/>
        </w:rPr>
        <w:t>6 months</w:t>
      </w:r>
      <w:r w:rsidRPr="5F76E7EC">
        <w:rPr>
          <w:rFonts w:eastAsia="Arial" w:cs="Arial"/>
          <w:szCs w:val="22"/>
        </w:rPr>
        <w:t xml:space="preserve"> from the date of the relocation to finalise the transfer of accreditation. The Department monitors accreditation to ensure continued program eligibility.</w:t>
      </w:r>
    </w:p>
    <w:p w14:paraId="634D37D6" w14:textId="56D7E90B" w:rsidR="026E9AC4" w:rsidRDefault="1F5F7A22" w:rsidP="5F76E7EC">
      <w:pPr>
        <w:pStyle w:val="Heading2"/>
        <w:numPr>
          <w:ilvl w:val="0"/>
          <w:numId w:val="0"/>
        </w:numPr>
        <w:ind w:left="578" w:hanging="578"/>
        <w:rPr>
          <w:rFonts w:eastAsia="Arial" w:cs="Arial"/>
        </w:rPr>
      </w:pPr>
      <w:bookmarkStart w:id="54" w:name="_Toc2082742394"/>
      <w:r w:rsidRPr="71CB847D">
        <w:rPr>
          <w:rFonts w:eastAsia="Arial" w:cs="Arial"/>
        </w:rPr>
        <w:lastRenderedPageBreak/>
        <w:t xml:space="preserve">4.5 </w:t>
      </w:r>
      <w:r w:rsidR="026E9AC4" w:rsidRPr="71CB847D">
        <w:rPr>
          <w:rFonts w:eastAsia="Arial" w:cs="Arial"/>
        </w:rPr>
        <w:t>Same Local Area</w:t>
      </w:r>
      <w:bookmarkEnd w:id="54"/>
    </w:p>
    <w:p w14:paraId="4773500D" w14:textId="2876353B" w:rsidR="026E9AC4" w:rsidRDefault="026E9AC4" w:rsidP="6BF6D514">
      <w:pPr>
        <w:spacing w:before="0" w:after="160" w:line="257" w:lineRule="auto"/>
      </w:pPr>
      <w:r w:rsidRPr="5F76E7EC">
        <w:rPr>
          <w:rFonts w:eastAsia="Arial" w:cs="Arial"/>
          <w:szCs w:val="22"/>
        </w:rPr>
        <w:t xml:space="preserve">For MyMedicare polices, the </w:t>
      </w:r>
      <w:r w:rsidRPr="5F76E7EC">
        <w:rPr>
          <w:rFonts w:eastAsia="Arial" w:cs="Arial"/>
          <w:b/>
          <w:bCs/>
          <w:szCs w:val="22"/>
        </w:rPr>
        <w:t>same local area</w:t>
      </w:r>
      <w:r w:rsidRPr="5F76E7EC">
        <w:rPr>
          <w:rFonts w:eastAsia="Arial" w:cs="Arial"/>
          <w:szCs w:val="22"/>
        </w:rPr>
        <w:t xml:space="preserve"> is considered on a case-by-case basis, based on an assessment of the patient accessibility, community needs, health service distribution and geographical location under the Modified Monash Model. This ensures patients can still easily access their healthcare services. This assessment may include:</w:t>
      </w:r>
    </w:p>
    <w:p w14:paraId="0A04A70E" w14:textId="645B778B" w:rsidR="026E9AC4" w:rsidRDefault="026E9AC4" w:rsidP="00B16726">
      <w:pPr>
        <w:pStyle w:val="ListParagraph"/>
        <w:numPr>
          <w:ilvl w:val="0"/>
          <w:numId w:val="24"/>
        </w:numPr>
        <w:spacing w:after="0" w:line="257" w:lineRule="auto"/>
        <w:rPr>
          <w:rFonts w:ascii="Arial" w:eastAsia="Arial" w:hAnsi="Arial" w:cs="Arial"/>
        </w:rPr>
      </w:pPr>
      <w:r w:rsidRPr="737F4B34">
        <w:rPr>
          <w:rFonts w:ascii="Arial" w:eastAsia="Arial" w:hAnsi="Arial" w:cs="Arial"/>
          <w:b/>
        </w:rPr>
        <w:t>Proximity</w:t>
      </w:r>
      <w:r w:rsidRPr="737F4B34">
        <w:rPr>
          <w:rFonts w:ascii="Arial" w:eastAsia="Arial" w:hAnsi="Arial" w:cs="Arial"/>
        </w:rPr>
        <w:t xml:space="preserve">: the new location should be close enough to the original site so that patients can still easily access </w:t>
      </w:r>
      <w:r w:rsidR="36968C79" w:rsidRPr="737F4B34">
        <w:rPr>
          <w:rFonts w:ascii="Arial" w:eastAsia="Arial" w:hAnsi="Arial" w:cs="Arial"/>
        </w:rPr>
        <w:t>a</w:t>
      </w:r>
      <w:r w:rsidRPr="737F4B34">
        <w:rPr>
          <w:rFonts w:ascii="Arial" w:eastAsia="Arial" w:hAnsi="Arial" w:cs="Arial"/>
        </w:rPr>
        <w:t xml:space="preserve"> practice providing health services. </w:t>
      </w:r>
    </w:p>
    <w:p w14:paraId="43B94B06" w14:textId="37415DA8" w:rsidR="026E9AC4" w:rsidRDefault="026E9AC4" w:rsidP="00B16726">
      <w:pPr>
        <w:pStyle w:val="ListParagraph"/>
        <w:numPr>
          <w:ilvl w:val="0"/>
          <w:numId w:val="24"/>
        </w:numPr>
        <w:spacing w:after="0" w:line="257" w:lineRule="auto"/>
        <w:rPr>
          <w:rFonts w:ascii="Arial" w:eastAsia="Arial" w:hAnsi="Arial" w:cs="Arial"/>
          <w:szCs w:val="22"/>
        </w:rPr>
      </w:pPr>
      <w:r w:rsidRPr="5F76E7EC">
        <w:rPr>
          <w:rFonts w:ascii="Arial" w:eastAsia="Arial" w:hAnsi="Arial" w:cs="Arial"/>
          <w:b/>
          <w:bCs/>
          <w:szCs w:val="22"/>
        </w:rPr>
        <w:t>Community Boundaries</w:t>
      </w:r>
      <w:r w:rsidRPr="5F76E7EC">
        <w:rPr>
          <w:rFonts w:ascii="Arial" w:eastAsia="Arial" w:hAnsi="Arial" w:cs="Arial"/>
          <w:szCs w:val="22"/>
        </w:rPr>
        <w:t>: the local area might be defined by community or municipal boundaries or local government areas.</w:t>
      </w:r>
    </w:p>
    <w:p w14:paraId="5798171B" w14:textId="5847831D" w:rsidR="026E9AC4" w:rsidRDefault="026E9AC4" w:rsidP="00B16726">
      <w:pPr>
        <w:pStyle w:val="ListParagraph"/>
        <w:numPr>
          <w:ilvl w:val="0"/>
          <w:numId w:val="24"/>
        </w:numPr>
        <w:spacing w:after="0" w:line="257" w:lineRule="auto"/>
        <w:rPr>
          <w:rFonts w:ascii="Arial" w:eastAsia="Arial" w:hAnsi="Arial" w:cs="Arial"/>
          <w:szCs w:val="22"/>
        </w:rPr>
      </w:pPr>
      <w:r w:rsidRPr="5F76E7EC">
        <w:rPr>
          <w:rFonts w:ascii="Arial" w:eastAsia="Arial" w:hAnsi="Arial" w:cs="Arial"/>
          <w:b/>
          <w:bCs/>
          <w:szCs w:val="22"/>
        </w:rPr>
        <w:t>Health Service Regions</w:t>
      </w:r>
      <w:r w:rsidRPr="5F76E7EC">
        <w:rPr>
          <w:rFonts w:ascii="Arial" w:eastAsia="Arial" w:hAnsi="Arial" w:cs="Arial"/>
          <w:szCs w:val="22"/>
        </w:rPr>
        <w:t xml:space="preserve">: sometimes, the local area is defined by health service regions or districts, Primary Health Networks, or other relevant jurisdictional divisions that manage healthcare services. </w:t>
      </w:r>
    </w:p>
    <w:p w14:paraId="6AAC78C1" w14:textId="3205808D" w:rsidR="026E9AC4" w:rsidRDefault="36DE8F94" w:rsidP="5F76E7EC">
      <w:pPr>
        <w:pStyle w:val="Heading2"/>
        <w:numPr>
          <w:ilvl w:val="0"/>
          <w:numId w:val="0"/>
        </w:numPr>
        <w:ind w:left="578" w:hanging="578"/>
        <w:rPr>
          <w:rFonts w:eastAsia="Arial" w:cs="Arial"/>
        </w:rPr>
      </w:pPr>
      <w:bookmarkStart w:id="55" w:name="_Toc1399908999"/>
      <w:r w:rsidRPr="71CB847D">
        <w:rPr>
          <w:rFonts w:eastAsia="Arial" w:cs="Arial"/>
        </w:rPr>
        <w:t xml:space="preserve">4.6 </w:t>
      </w:r>
      <w:r w:rsidR="026E9AC4" w:rsidRPr="71CB847D">
        <w:rPr>
          <w:rFonts w:eastAsia="Arial" w:cs="Arial"/>
        </w:rPr>
        <w:t>Organisational change notification requirements</w:t>
      </w:r>
      <w:bookmarkEnd w:id="55"/>
    </w:p>
    <w:p w14:paraId="6E125E31" w14:textId="03E43299" w:rsidR="026E9AC4" w:rsidRDefault="00620484" w:rsidP="6BF6D514">
      <w:pPr>
        <w:shd w:val="clear" w:color="auto" w:fill="FFFFFF" w:themeFill="background1"/>
        <w:spacing w:before="0" w:after="160" w:line="257" w:lineRule="auto"/>
      </w:pPr>
      <w:r w:rsidRPr="737F4B34">
        <w:rPr>
          <w:rFonts w:eastAsia="Arial" w:cs="Arial"/>
        </w:rPr>
        <w:t>T</w:t>
      </w:r>
      <w:r w:rsidR="00D11ED5" w:rsidRPr="737F4B34">
        <w:rPr>
          <w:rFonts w:eastAsia="Arial" w:cs="Arial"/>
        </w:rPr>
        <w:t xml:space="preserve">he </w:t>
      </w:r>
      <w:r w:rsidRPr="737F4B34">
        <w:rPr>
          <w:rFonts w:eastAsia="Arial" w:cs="Arial"/>
        </w:rPr>
        <w:t xml:space="preserve">new </w:t>
      </w:r>
      <w:r w:rsidR="026E9AC4" w:rsidRPr="737F4B34">
        <w:rPr>
          <w:rFonts w:eastAsia="Arial" w:cs="Arial"/>
        </w:rPr>
        <w:t>practice</w:t>
      </w:r>
      <w:r w:rsidRPr="737F4B34">
        <w:rPr>
          <w:rFonts w:eastAsia="Arial" w:cs="Arial"/>
        </w:rPr>
        <w:t xml:space="preserve"> owner </w:t>
      </w:r>
      <w:r w:rsidR="026E9AC4" w:rsidRPr="737F4B34">
        <w:rPr>
          <w:rFonts w:eastAsia="Arial" w:cs="Arial"/>
        </w:rPr>
        <w:t xml:space="preserve">is required to notify Services Australia within 7 days following an organisational change. </w:t>
      </w:r>
      <w:r w:rsidR="15E0C158" w:rsidRPr="737F4B34">
        <w:rPr>
          <w:rFonts w:eastAsia="Arial" w:cs="Arial"/>
        </w:rPr>
        <w:t xml:space="preserve">Notification can be made by email to </w:t>
      </w:r>
      <w:hyperlink r:id="rId18">
        <w:r w:rsidR="15E0C158" w:rsidRPr="737F4B34">
          <w:rPr>
            <w:rStyle w:val="Hyperlink"/>
            <w:rFonts w:eastAsia="Arial" w:cs="Arial"/>
          </w:rPr>
          <w:t>organisation.register@servicesaustralia.gov.au</w:t>
        </w:r>
      </w:hyperlink>
      <w:r w:rsidR="15E0C158" w:rsidRPr="737F4B34">
        <w:rPr>
          <w:rFonts w:eastAsia="Arial" w:cs="Arial"/>
        </w:rPr>
        <w:t>or through a message through the Health Professional Online Services (HPOS) messaging service.</w:t>
      </w:r>
      <w:r w:rsidR="026E9AC4" w:rsidRPr="737F4B34">
        <w:rPr>
          <w:rFonts w:eastAsia="Arial" w:cs="Arial"/>
        </w:rPr>
        <w:t xml:space="preserve"> All HPOS messages should be directed to the Organisation Register mailbox. </w:t>
      </w:r>
    </w:p>
    <w:p w14:paraId="3A088B13" w14:textId="1FC6535D" w:rsidR="026E9AC4" w:rsidRDefault="026E9AC4" w:rsidP="6BF6D514">
      <w:pPr>
        <w:shd w:val="clear" w:color="auto" w:fill="FFFFFF" w:themeFill="background1"/>
        <w:spacing w:before="0" w:after="160" w:line="257" w:lineRule="auto"/>
        <w:rPr>
          <w:rFonts w:eastAsia="Arial" w:cs="Arial"/>
        </w:rPr>
      </w:pPr>
      <w:r w:rsidRPr="1F46A986">
        <w:rPr>
          <w:rFonts w:eastAsia="Arial" w:cs="Arial"/>
        </w:rPr>
        <w:t>Services Australia will provide</w:t>
      </w:r>
      <w:r w:rsidRPr="1F46A986" w:rsidDel="003E5263">
        <w:rPr>
          <w:rFonts w:eastAsia="Arial" w:cs="Arial"/>
        </w:rPr>
        <w:t xml:space="preserve"> </w:t>
      </w:r>
      <w:r w:rsidRPr="1F46A986">
        <w:rPr>
          <w:rFonts w:eastAsia="Arial" w:cs="Arial"/>
        </w:rPr>
        <w:t xml:space="preserve">a Commonwealth Statutory Declaration Form template to complete. The Statutory Declaration Form must be signed by an authorised </w:t>
      </w:r>
      <w:r w:rsidR="003E5263" w:rsidRPr="1F46A986">
        <w:rPr>
          <w:rFonts w:eastAsia="Arial" w:cs="Arial"/>
        </w:rPr>
        <w:t>representative of the</w:t>
      </w:r>
      <w:r w:rsidR="00D06618" w:rsidRPr="1F46A986">
        <w:rPr>
          <w:rFonts w:eastAsia="Arial" w:cs="Arial"/>
        </w:rPr>
        <w:t xml:space="preserve"> practice </w:t>
      </w:r>
      <w:r w:rsidR="724F9A42" w:rsidRPr="1F46A986">
        <w:rPr>
          <w:rFonts w:eastAsia="Arial" w:cs="Arial"/>
        </w:rPr>
        <w:t>owner</w:t>
      </w:r>
      <w:r w:rsidRPr="1F46A986">
        <w:rPr>
          <w:rFonts w:eastAsia="Arial" w:cs="Arial"/>
        </w:rPr>
        <w:t xml:space="preserve">, such as a </w:t>
      </w:r>
      <w:r w:rsidR="1AEC71A4" w:rsidRPr="1F46A986">
        <w:rPr>
          <w:rFonts w:eastAsia="Arial" w:cs="Arial"/>
        </w:rPr>
        <w:t>d</w:t>
      </w:r>
      <w:r w:rsidRPr="1F46A986">
        <w:rPr>
          <w:rFonts w:eastAsia="Arial" w:cs="Arial"/>
        </w:rPr>
        <w:t>irector or owner, and witnessed by an approved person as listed on the form.</w:t>
      </w:r>
    </w:p>
    <w:p w14:paraId="260144B0" w14:textId="1B2ACF0E" w:rsidR="026E9AC4" w:rsidRDefault="026E9AC4" w:rsidP="6BF6D514">
      <w:pPr>
        <w:shd w:val="clear" w:color="auto" w:fill="FFFFFF" w:themeFill="background1"/>
        <w:spacing w:before="0" w:after="160" w:line="257" w:lineRule="auto"/>
      </w:pPr>
      <w:r w:rsidRPr="4A455F35">
        <w:rPr>
          <w:rFonts w:eastAsia="Arial" w:cs="Arial"/>
        </w:rPr>
        <w:t xml:space="preserve">Change of ownership notification must be submitted to Services Australia by the new </w:t>
      </w:r>
      <w:r w:rsidRPr="4A455F35" w:rsidDel="00C07263">
        <w:rPr>
          <w:rFonts w:eastAsia="Arial" w:cs="Arial"/>
        </w:rPr>
        <w:t>practice</w:t>
      </w:r>
      <w:r w:rsidR="00D06618" w:rsidRPr="4A455F35">
        <w:rPr>
          <w:rFonts w:eastAsia="Arial" w:cs="Arial"/>
        </w:rPr>
        <w:t xml:space="preserve"> owner</w:t>
      </w:r>
      <w:r w:rsidR="2BAC4AA1" w:rsidRPr="4A455F35">
        <w:rPr>
          <w:rFonts w:eastAsia="Arial" w:cs="Arial"/>
        </w:rPr>
        <w:t>.</w:t>
      </w:r>
      <w:r w:rsidRPr="4A455F35">
        <w:rPr>
          <w:rFonts w:eastAsia="Arial" w:cs="Arial"/>
        </w:rPr>
        <w:t xml:space="preserve"> Payments will continue to the previous </w:t>
      </w:r>
      <w:r w:rsidR="00D06618" w:rsidRPr="4A455F35">
        <w:rPr>
          <w:rFonts w:eastAsia="Arial" w:cs="Arial"/>
        </w:rPr>
        <w:t xml:space="preserve">practice </w:t>
      </w:r>
      <w:r w:rsidRPr="4A455F35" w:rsidDel="00C07263">
        <w:rPr>
          <w:rFonts w:eastAsia="Arial" w:cs="Arial"/>
        </w:rPr>
        <w:t>owner</w:t>
      </w:r>
      <w:r w:rsidRPr="4A455F35">
        <w:rPr>
          <w:rFonts w:eastAsia="Arial" w:cs="Arial"/>
        </w:rPr>
        <w:t xml:space="preserve"> based on existing system records until all required documentation is received.</w:t>
      </w:r>
    </w:p>
    <w:p w14:paraId="5FDB3F4D" w14:textId="0CCF5611" w:rsidR="026E9AC4" w:rsidRDefault="026E9AC4" w:rsidP="6BF6D514">
      <w:pPr>
        <w:spacing w:before="0" w:after="160" w:line="257" w:lineRule="auto"/>
      </w:pPr>
      <w:r w:rsidRPr="4A455F35">
        <w:rPr>
          <w:rFonts w:eastAsia="Arial" w:cs="Arial"/>
        </w:rPr>
        <w:t>The new</w:t>
      </w:r>
      <w:r w:rsidRPr="4A455F35" w:rsidDel="00304FFA">
        <w:rPr>
          <w:rFonts w:eastAsia="Arial" w:cs="Arial"/>
        </w:rPr>
        <w:t xml:space="preserve"> practice</w:t>
      </w:r>
      <w:r w:rsidRPr="4A455F35">
        <w:rPr>
          <w:rFonts w:eastAsia="Arial" w:cs="Arial"/>
        </w:rPr>
        <w:t xml:space="preserve"> </w:t>
      </w:r>
      <w:r w:rsidRPr="4A455F35" w:rsidDel="009D51B5">
        <w:rPr>
          <w:rFonts w:eastAsia="Arial" w:cs="Arial"/>
        </w:rPr>
        <w:t>owner</w:t>
      </w:r>
      <w:r w:rsidRPr="4A455F35">
        <w:rPr>
          <w:rFonts w:eastAsia="Arial" w:cs="Arial"/>
        </w:rPr>
        <w:t xml:space="preserve"> is responsible for ensuring that all organisational details in MyMedicare are accurate and up to date following an organisational change. This includes setting up a new Organisation Site Record in the Organisation Register, adding/updating bank account details, verifying linked GP provider numbers, and confirming that the practice meets all eligibility and servicing requirements for MyMedicare and the MyMedicare incentives prior to registering for these programs.</w:t>
      </w:r>
    </w:p>
    <w:p w14:paraId="4C8B99F1" w14:textId="5946AB76" w:rsidR="00DF443A" w:rsidRDefault="00AC1A32" w:rsidP="30A1C177">
      <w:pPr>
        <w:pStyle w:val="Heading1"/>
        <w:spacing w:before="0" w:after="0" w:line="240" w:lineRule="auto"/>
        <w:rPr>
          <w:rFonts w:eastAsia="Times New Roman" w:cs="Arial"/>
          <w:color w:val="auto"/>
          <w:lang w:eastAsia="en-AU"/>
        </w:rPr>
      </w:pPr>
      <w:bookmarkStart w:id="56" w:name="_Toc163389998"/>
      <w:bookmarkStart w:id="57" w:name="_Ref178317442"/>
      <w:bookmarkStart w:id="58" w:name="_Ref178317515"/>
      <w:bookmarkStart w:id="59" w:name="_Ref178317629"/>
      <w:bookmarkStart w:id="60" w:name="_Ref178317703"/>
      <w:bookmarkStart w:id="61" w:name="_Ref178317731"/>
      <w:bookmarkStart w:id="62" w:name="_Toc214051004"/>
      <w:bookmarkStart w:id="63" w:name="_Toc748942790"/>
      <w:bookmarkStart w:id="64" w:name="_Toc166066930"/>
      <w:bookmarkStart w:id="65" w:name="_Toc166068346"/>
      <w:bookmarkStart w:id="66" w:name="_Toc166068558"/>
      <w:bookmarkStart w:id="67" w:name="_Toc166069517"/>
      <w:bookmarkStart w:id="68" w:name="_Toc166069564"/>
      <w:bookmarkStart w:id="69" w:name="_Toc166136580"/>
      <w:bookmarkStart w:id="70" w:name="_Toc167109432"/>
      <w:bookmarkStart w:id="71" w:name="_Toc170119998"/>
      <w:bookmarkStart w:id="72" w:name="_Toc170817140"/>
      <w:bookmarkEnd w:id="56"/>
      <w:r>
        <w:t>Practice accreditation</w:t>
      </w:r>
      <w:bookmarkEnd w:id="57"/>
      <w:bookmarkEnd w:id="58"/>
      <w:bookmarkEnd w:id="59"/>
      <w:bookmarkEnd w:id="60"/>
      <w:bookmarkEnd w:id="61"/>
      <w:bookmarkEnd w:id="62"/>
      <w:bookmarkEnd w:id="63"/>
    </w:p>
    <w:p w14:paraId="0225399B" w14:textId="5D878B1A" w:rsidR="00A24707" w:rsidRDefault="00A24707" w:rsidP="00520BB8">
      <w:r w:rsidRPr="61716D05">
        <w:t xml:space="preserve">MyMedicare is available to general practices accredited </w:t>
      </w:r>
      <w:r w:rsidR="499351DC" w:rsidRPr="61716D05">
        <w:t xml:space="preserve">(or registered as working towards accreditation) </w:t>
      </w:r>
      <w:r w:rsidRPr="61716D05">
        <w:t xml:space="preserve">against the </w:t>
      </w:r>
      <w:r w:rsidR="206F90BB" w:rsidRPr="61716D05">
        <w:t>National General Practice Accreditation Sch</w:t>
      </w:r>
      <w:r w:rsidR="15022A50" w:rsidRPr="61716D05">
        <w:t>e</w:t>
      </w:r>
      <w:r w:rsidR="206F90BB" w:rsidRPr="61716D05">
        <w:t>me</w:t>
      </w:r>
      <w:r w:rsidR="00F94033" w:rsidRPr="61716D05">
        <w:t>.</w:t>
      </w:r>
    </w:p>
    <w:p w14:paraId="54791D32" w14:textId="4C54B3CE" w:rsidR="00AC46F1" w:rsidRPr="00AC46F1" w:rsidRDefault="00AC46F1" w:rsidP="61716D05">
      <w:pPr>
        <w:rPr>
          <w:rFonts w:ascii="Segoe UI" w:hAnsi="Segoe UI" w:cs="Segoe UI"/>
          <w:sz w:val="18"/>
          <w:szCs w:val="18"/>
          <w:lang w:eastAsia="en-AU"/>
        </w:rPr>
      </w:pPr>
      <w:r w:rsidRPr="61716D05">
        <w:rPr>
          <w:lang w:eastAsia="en-AU"/>
        </w:rPr>
        <w:t>Practices participating in MyMedicare will be required to record their accreditation status to verify and maintain their eligibility status. This information will be verified at regular intervals to ensure the information remains current and to ensure accreditation status is applied appropriately</w:t>
      </w:r>
      <w:r w:rsidR="49642202" w:rsidRPr="61716D05">
        <w:rPr>
          <w:lang w:eastAsia="en-AU"/>
        </w:rPr>
        <w:t xml:space="preserve"> for</w:t>
      </w:r>
      <w:r w:rsidRPr="61716D05">
        <w:rPr>
          <w:lang w:eastAsia="en-AU"/>
        </w:rPr>
        <w:t xml:space="preserve"> MyMedicare eligibility</w:t>
      </w:r>
      <w:r w:rsidR="00F65EF1" w:rsidRPr="61716D05">
        <w:rPr>
          <w:lang w:eastAsia="en-AU"/>
        </w:rPr>
        <w:t xml:space="preserve">. </w:t>
      </w:r>
    </w:p>
    <w:p w14:paraId="4561ED84" w14:textId="66B0E601" w:rsidR="00AC46F1" w:rsidRDefault="00AC46F1" w:rsidP="61716D05">
      <w:pPr>
        <w:rPr>
          <w:lang w:eastAsia="en-AU"/>
        </w:rPr>
      </w:pPr>
      <w:r w:rsidRPr="61716D05">
        <w:rPr>
          <w:lang w:eastAsia="en-AU"/>
        </w:rPr>
        <w:t>At the end of a practice’s accreditation period the practice must be re-accredited</w:t>
      </w:r>
      <w:r w:rsidR="00C84F90" w:rsidRPr="61716D05">
        <w:rPr>
          <w:lang w:eastAsia="en-AU"/>
        </w:rPr>
        <w:t xml:space="preserve">, and the information updated </w:t>
      </w:r>
      <w:r w:rsidR="00820792" w:rsidRPr="61716D05">
        <w:rPr>
          <w:lang w:eastAsia="en-AU"/>
        </w:rPr>
        <w:t>in</w:t>
      </w:r>
      <w:r w:rsidR="00C84F90" w:rsidRPr="61716D05">
        <w:rPr>
          <w:lang w:eastAsia="en-AU"/>
        </w:rPr>
        <w:t xml:space="preserve"> the </w:t>
      </w:r>
      <w:r w:rsidR="00820792" w:rsidRPr="61716D05">
        <w:rPr>
          <w:lang w:eastAsia="en-AU"/>
        </w:rPr>
        <w:t>Organisation Register,</w:t>
      </w:r>
      <w:r w:rsidRPr="61716D05">
        <w:rPr>
          <w:lang w:eastAsia="en-AU"/>
        </w:rPr>
        <w:t xml:space="preserve"> so the practice can continue to participate in MyMedicare.  </w:t>
      </w:r>
    </w:p>
    <w:p w14:paraId="58E1BF70" w14:textId="3D877E5B" w:rsidR="00AC46F1" w:rsidRPr="00AC46F1" w:rsidRDefault="009C118A" w:rsidP="61716D05">
      <w:pPr>
        <w:rPr>
          <w:rFonts w:ascii="Segoe UI" w:hAnsi="Segoe UI" w:cs="Segoe UI"/>
          <w:sz w:val="18"/>
          <w:szCs w:val="18"/>
          <w:lang w:eastAsia="en-AU"/>
        </w:rPr>
      </w:pPr>
      <w:r w:rsidRPr="61716D05">
        <w:rPr>
          <w:lang w:eastAsia="en-AU"/>
        </w:rPr>
        <w:lastRenderedPageBreak/>
        <w:t xml:space="preserve">If </w:t>
      </w:r>
      <w:r w:rsidR="00A24EC8" w:rsidRPr="61716D05">
        <w:rPr>
          <w:lang w:eastAsia="en-AU"/>
        </w:rPr>
        <w:t>the p</w:t>
      </w:r>
      <w:r w:rsidR="00AC46F1" w:rsidRPr="61716D05">
        <w:rPr>
          <w:lang w:eastAsia="en-AU"/>
        </w:rPr>
        <w:t xml:space="preserve">ractice participating in MyMedicare </w:t>
      </w:r>
      <w:r w:rsidR="00A24EC8" w:rsidRPr="61716D05">
        <w:rPr>
          <w:lang w:eastAsia="en-AU"/>
        </w:rPr>
        <w:t xml:space="preserve">has not obtained </w:t>
      </w:r>
      <w:r w:rsidR="00CF704F" w:rsidRPr="61716D05">
        <w:rPr>
          <w:lang w:eastAsia="en-AU"/>
        </w:rPr>
        <w:t xml:space="preserve">accreditation or </w:t>
      </w:r>
      <w:r w:rsidR="00AC46F1" w:rsidRPr="61716D05">
        <w:rPr>
          <w:lang w:eastAsia="en-AU"/>
        </w:rPr>
        <w:t>re-accreditation at the end of their accreditation period</w:t>
      </w:r>
      <w:r w:rsidR="00F21F98" w:rsidRPr="61716D05">
        <w:rPr>
          <w:lang w:eastAsia="en-AU"/>
        </w:rPr>
        <w:t>, the practice will be ineligible for MyMedicare</w:t>
      </w:r>
      <w:r w:rsidR="00AC46F1" w:rsidRPr="61716D05">
        <w:rPr>
          <w:lang w:eastAsia="en-AU"/>
        </w:rPr>
        <w:t>. </w:t>
      </w:r>
    </w:p>
    <w:p w14:paraId="182F3D6B" w14:textId="78D21F3F" w:rsidR="00D61A6D" w:rsidRDefault="00CF75F0" w:rsidP="008D5480">
      <w:pPr>
        <w:pStyle w:val="Heading2"/>
      </w:pPr>
      <w:bookmarkStart w:id="73" w:name="_Toc178319632"/>
      <w:bookmarkStart w:id="74" w:name="_Toc214051005"/>
      <w:bookmarkStart w:id="75" w:name="_Toc957217929"/>
      <w:bookmarkEnd w:id="73"/>
      <w:r>
        <w:t>Non-accredited practices</w:t>
      </w:r>
      <w:bookmarkEnd w:id="74"/>
      <w:bookmarkEnd w:id="75"/>
    </w:p>
    <w:p w14:paraId="25303A0A" w14:textId="77777777" w:rsidR="008E08EF" w:rsidRDefault="008E08EF" w:rsidP="00520BB8">
      <w:r>
        <w:t>Non-accredited practices will have 12 months to gain accreditation through a registered accreditation agency from the date they register in MyMedicare as a practice.</w:t>
      </w:r>
    </w:p>
    <w:p w14:paraId="2DED7AA7" w14:textId="4E84AFD2" w:rsidR="008C5CA3" w:rsidRDefault="00BF765C" w:rsidP="00BF765C">
      <w:pPr>
        <w:pStyle w:val="Heading3"/>
      </w:pPr>
      <w:bookmarkStart w:id="76" w:name="_Toc312557894"/>
      <w:r>
        <w:t xml:space="preserve">Accreditation </w:t>
      </w:r>
      <w:r w:rsidR="0004125C">
        <w:t>e</w:t>
      </w:r>
      <w:r>
        <w:t>xtension</w:t>
      </w:r>
      <w:r w:rsidR="0073758D">
        <w:t xml:space="preserve"> and appeals</w:t>
      </w:r>
      <w:r>
        <w:t xml:space="preserve"> </w:t>
      </w:r>
      <w:r w:rsidR="00445C8D">
        <w:t xml:space="preserve">requests </w:t>
      </w:r>
      <w:r>
        <w:t>– Australian Commission on Safety and Quality in Healthcare (</w:t>
      </w:r>
      <w:r w:rsidR="00CA6888">
        <w:t>the Commission</w:t>
      </w:r>
      <w:r w:rsidR="007B6C78">
        <w:t>)</w:t>
      </w:r>
      <w:bookmarkEnd w:id="76"/>
    </w:p>
    <w:p w14:paraId="67D20BC3" w14:textId="1A86576F" w:rsidR="007B6C78" w:rsidRPr="00877366" w:rsidRDefault="007B6C78" w:rsidP="61716D05">
      <w:r w:rsidRPr="00877366">
        <w:t>In certain circumstances</w:t>
      </w:r>
      <w:r w:rsidR="007D1A28" w:rsidRPr="00877366">
        <w:t>,</w:t>
      </w:r>
      <w:r w:rsidRPr="00877366">
        <w:t xml:space="preserve"> </w:t>
      </w:r>
      <w:r w:rsidR="005F52DE" w:rsidRPr="00877366">
        <w:t xml:space="preserve">general </w:t>
      </w:r>
      <w:r w:rsidRPr="00877366">
        <w:t>practice</w:t>
      </w:r>
      <w:r w:rsidR="005F52DE" w:rsidRPr="00877366">
        <w:t xml:space="preserve">s may </w:t>
      </w:r>
      <w:r w:rsidR="0091794A" w:rsidRPr="00877366">
        <w:t>request</w:t>
      </w:r>
      <w:r w:rsidRPr="00877366">
        <w:t xml:space="preserve"> </w:t>
      </w:r>
      <w:r w:rsidR="009751FE" w:rsidRPr="00877366">
        <w:t xml:space="preserve">additional time for assessment process, </w:t>
      </w:r>
      <w:r w:rsidRPr="00877366">
        <w:t xml:space="preserve">extension </w:t>
      </w:r>
      <w:r w:rsidR="002F38E2" w:rsidRPr="00877366">
        <w:t xml:space="preserve">to </w:t>
      </w:r>
      <w:r w:rsidR="006163F6" w:rsidRPr="00877366">
        <w:t xml:space="preserve">the accreditation expiry </w:t>
      </w:r>
      <w:r w:rsidR="002F38E2" w:rsidRPr="00877366">
        <w:t xml:space="preserve">period, </w:t>
      </w:r>
      <w:r w:rsidR="000A04F2" w:rsidRPr="00877366">
        <w:t xml:space="preserve">or </w:t>
      </w:r>
      <w:r w:rsidR="002F38E2" w:rsidRPr="00877366">
        <w:t>appeal</w:t>
      </w:r>
      <w:r w:rsidR="000A04F2" w:rsidRPr="00877366">
        <w:t xml:space="preserve"> </w:t>
      </w:r>
      <w:r w:rsidR="00F72658" w:rsidRPr="00877366">
        <w:t>an assessment or decision</w:t>
      </w:r>
      <w:r w:rsidR="00E11660" w:rsidRPr="61716D05">
        <w:rPr>
          <w:rStyle w:val="FootnoteReference"/>
          <w:rFonts w:cs="Arial"/>
          <w:color w:val="000000"/>
          <w:shd w:val="clear" w:color="auto" w:fill="FFFFFF"/>
        </w:rPr>
        <w:footnoteReference w:id="4"/>
      </w:r>
      <w:r w:rsidR="002858F5" w:rsidRPr="00877366">
        <w:t xml:space="preserve"> from the Commission. </w:t>
      </w:r>
      <w:r w:rsidR="00E30D45" w:rsidRPr="00877366">
        <w:t xml:space="preserve">Should </w:t>
      </w:r>
      <w:r w:rsidR="008B2F42" w:rsidRPr="00877366">
        <w:t>the Commission approve the request</w:t>
      </w:r>
      <w:r w:rsidR="00E8499A" w:rsidRPr="00877366">
        <w:t>,</w:t>
      </w:r>
      <w:r w:rsidRPr="00877366">
        <w:t xml:space="preserve"> the practice will continue to be eligible for MyMedicare for the approved period</w:t>
      </w:r>
      <w:r w:rsidR="007D5071" w:rsidRPr="00877366">
        <w:t>.</w:t>
      </w:r>
    </w:p>
    <w:p w14:paraId="53E9CDC0" w14:textId="79E46BFD" w:rsidR="00A90C0E" w:rsidRDefault="004F2F1C">
      <w:pPr>
        <w:pStyle w:val="Heading3"/>
      </w:pPr>
      <w:bookmarkStart w:id="77" w:name="_Ref178318003"/>
      <w:bookmarkStart w:id="78" w:name="_Toc72990184"/>
      <w:r>
        <w:t>Temporary e</w:t>
      </w:r>
      <w:r w:rsidR="00DC4888">
        <w:t>xemption</w:t>
      </w:r>
      <w:r w:rsidR="00E47DB5">
        <w:t xml:space="preserve"> to the MyMedicare accreditation requirement</w:t>
      </w:r>
      <w:bookmarkEnd w:id="77"/>
      <w:bookmarkEnd w:id="78"/>
      <w:r w:rsidR="00DC4888">
        <w:t xml:space="preserve"> </w:t>
      </w:r>
    </w:p>
    <w:p w14:paraId="0F0650B8" w14:textId="6C6672DD" w:rsidR="00820697" w:rsidRPr="00520BB8" w:rsidRDefault="00E560B4" w:rsidP="4C05EBAE">
      <w:pPr>
        <w:rPr>
          <w:rFonts w:cs="Arial"/>
        </w:rPr>
      </w:pPr>
      <w:r w:rsidRPr="4C05EBAE">
        <w:rPr>
          <w:rFonts w:cs="Arial"/>
        </w:rPr>
        <w:t>I</w:t>
      </w:r>
      <w:r w:rsidR="008D7F7D" w:rsidRPr="4C05EBAE">
        <w:rPr>
          <w:rFonts w:cs="Arial"/>
        </w:rPr>
        <w:t>n limited circumstance</w:t>
      </w:r>
      <w:r w:rsidR="008F07E7" w:rsidRPr="4C05EBAE">
        <w:rPr>
          <w:rFonts w:cs="Arial"/>
        </w:rPr>
        <w:t>s</w:t>
      </w:r>
      <w:r w:rsidR="008D7F7D" w:rsidRPr="4C05EBAE">
        <w:rPr>
          <w:rFonts w:cs="Arial"/>
        </w:rPr>
        <w:t xml:space="preserve"> </w:t>
      </w:r>
      <w:r w:rsidR="00820697" w:rsidRPr="4C05EBAE">
        <w:rPr>
          <w:rFonts w:cs="Arial"/>
        </w:rPr>
        <w:t>that are not considered through an extension f</w:t>
      </w:r>
      <w:r w:rsidR="00BB39E4" w:rsidRPr="4C05EBAE">
        <w:rPr>
          <w:rFonts w:cs="Arial"/>
        </w:rPr>
        <w:t>rom the Commission</w:t>
      </w:r>
      <w:r w:rsidR="00820697" w:rsidRPr="4C05EBAE">
        <w:rPr>
          <w:rFonts w:cs="Arial"/>
        </w:rPr>
        <w:t xml:space="preserve">, a practice can </w:t>
      </w:r>
      <w:r w:rsidR="00815B50" w:rsidRPr="4C05EBAE">
        <w:rPr>
          <w:rFonts w:cs="Arial"/>
        </w:rPr>
        <w:t>request</w:t>
      </w:r>
      <w:r w:rsidR="00820697" w:rsidRPr="4C05EBAE">
        <w:rPr>
          <w:rFonts w:cs="Arial"/>
        </w:rPr>
        <w:t xml:space="preserve"> an exemption from the MyMedicare accreditation eligibility requirement</w:t>
      </w:r>
      <w:r w:rsidR="006B374F" w:rsidRPr="4C05EBAE">
        <w:rPr>
          <w:rFonts w:cs="Arial"/>
        </w:rPr>
        <w:t xml:space="preserve"> to the department</w:t>
      </w:r>
      <w:r w:rsidR="00820697" w:rsidRPr="4C05EBAE">
        <w:rPr>
          <w:rFonts w:cs="Arial"/>
        </w:rPr>
        <w:t>. Where an exemption is approved by the department, the practice</w:t>
      </w:r>
      <w:r w:rsidR="017521E5" w:rsidRPr="4C05EBAE">
        <w:rPr>
          <w:rFonts w:cs="Arial"/>
        </w:rPr>
        <w:t>’</w:t>
      </w:r>
      <w:r w:rsidR="000F0384" w:rsidRPr="4C05EBAE">
        <w:rPr>
          <w:rFonts w:cs="Arial"/>
        </w:rPr>
        <w:t>s</w:t>
      </w:r>
      <w:r w:rsidR="00820697" w:rsidRPr="4C05EBAE">
        <w:rPr>
          <w:rFonts w:cs="Arial"/>
        </w:rPr>
        <w:t xml:space="preserve"> </w:t>
      </w:r>
      <w:r w:rsidR="00B454FD" w:rsidRPr="4C05EBAE">
        <w:rPr>
          <w:rFonts w:cs="Arial"/>
        </w:rPr>
        <w:t xml:space="preserve">accreditation </w:t>
      </w:r>
      <w:r w:rsidR="00510E25" w:rsidRPr="4C05EBAE">
        <w:rPr>
          <w:rFonts w:cs="Arial"/>
        </w:rPr>
        <w:t xml:space="preserve">will be </w:t>
      </w:r>
      <w:r w:rsidR="006B374F" w:rsidRPr="4C05EBAE">
        <w:rPr>
          <w:rFonts w:cs="Arial"/>
        </w:rPr>
        <w:t xml:space="preserve">temporarily </w:t>
      </w:r>
      <w:r w:rsidR="00510E25" w:rsidRPr="4C05EBAE">
        <w:rPr>
          <w:rFonts w:cs="Arial"/>
        </w:rPr>
        <w:t>exempt</w:t>
      </w:r>
      <w:r w:rsidR="00820697" w:rsidRPr="4C05EBAE">
        <w:rPr>
          <w:rFonts w:cs="Arial"/>
        </w:rPr>
        <w:t xml:space="preserve"> for the approved period.</w:t>
      </w:r>
    </w:p>
    <w:p w14:paraId="00534949" w14:textId="1F3C6E76"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The department </w:t>
      </w:r>
      <w:r w:rsidR="000F0384" w:rsidRPr="00183D0D">
        <w:rPr>
          <w:rFonts w:eastAsia="Times New Roman" w:cs="Arial"/>
          <w:color w:val="auto"/>
          <w:szCs w:val="22"/>
          <w:lang w:eastAsia="en-AU"/>
        </w:rPr>
        <w:t>can</w:t>
      </w:r>
      <w:r w:rsidRPr="00183D0D">
        <w:rPr>
          <w:rFonts w:eastAsia="Times New Roman" w:cs="Arial"/>
          <w:color w:val="auto"/>
          <w:szCs w:val="22"/>
          <w:lang w:eastAsia="en-AU"/>
        </w:rPr>
        <w:t xml:space="preserve"> authorise an exemption to the </w:t>
      </w:r>
      <w:r w:rsidR="004A0C89" w:rsidRPr="00183D0D">
        <w:rPr>
          <w:rFonts w:eastAsia="Times New Roman" w:cs="Arial"/>
          <w:color w:val="auto"/>
          <w:szCs w:val="22"/>
          <w:lang w:eastAsia="en-AU"/>
        </w:rPr>
        <w:t xml:space="preserve">MyMedicare </w:t>
      </w:r>
      <w:r w:rsidRPr="00183D0D">
        <w:rPr>
          <w:rFonts w:eastAsia="Times New Roman" w:cs="Arial"/>
          <w:color w:val="auto"/>
          <w:szCs w:val="22"/>
          <w:lang w:eastAsia="en-AU"/>
        </w:rPr>
        <w:t xml:space="preserve">accreditation </w:t>
      </w:r>
      <w:r w:rsidR="004A0C89"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through specific direction on a case-by-case basis.</w:t>
      </w:r>
    </w:p>
    <w:p w14:paraId="162F2FF7" w14:textId="6ED7A72A"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Exemptions applied by the department in this manner are applied specifically to MyMedicare </w:t>
      </w:r>
      <w:r w:rsidR="00500214" w:rsidRPr="00183D0D">
        <w:rPr>
          <w:rFonts w:eastAsia="Times New Roman" w:cs="Arial"/>
          <w:color w:val="auto"/>
          <w:szCs w:val="22"/>
          <w:lang w:eastAsia="en-AU"/>
        </w:rPr>
        <w:t xml:space="preserve">accreditation </w:t>
      </w:r>
      <w:r w:rsidR="008A7236"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and are not an exemption to any requirements for accreditation for any other program.</w:t>
      </w:r>
    </w:p>
    <w:p w14:paraId="2B4FE449" w14:textId="206F4F44" w:rsidR="00820697" w:rsidRPr="00520BB8" w:rsidRDefault="00820697" w:rsidP="61716D05">
      <w:pPr>
        <w:rPr>
          <w:rFonts w:eastAsia="Times New Roman" w:cs="Arial"/>
          <w:color w:val="auto"/>
          <w:lang w:eastAsia="en-AU"/>
        </w:rPr>
      </w:pPr>
      <w:r w:rsidRPr="61716D05">
        <w:rPr>
          <w:rFonts w:eastAsia="Times New Roman" w:cs="Arial"/>
          <w:color w:val="auto"/>
          <w:lang w:eastAsia="en-AU"/>
        </w:rPr>
        <w:t>General practices must refer requests to the department for a temporary exemption to accreditation requirements for MyMedicare in writing. Supporting</w:t>
      </w:r>
      <w:r w:rsidR="00B50AD6" w:rsidRPr="61716D05">
        <w:rPr>
          <w:rStyle w:val="FootnoteReference"/>
          <w:rFonts w:cs="Arial"/>
        </w:rPr>
        <w:footnoteReference w:id="5"/>
      </w:r>
      <w:r w:rsidR="00B50AD6" w:rsidRPr="61716D05">
        <w:rPr>
          <w:rFonts w:cs="Arial"/>
        </w:rPr>
        <w:t xml:space="preserve"> </w:t>
      </w:r>
      <w:r w:rsidRPr="61716D05">
        <w:rPr>
          <w:rFonts w:eastAsia="Times New Roman" w:cs="Arial"/>
          <w:color w:val="auto"/>
          <w:lang w:eastAsia="en-AU"/>
        </w:rPr>
        <w:t xml:space="preserve">evidence and documentation </w:t>
      </w:r>
      <w:r w:rsidR="004526F5" w:rsidRPr="61716D05">
        <w:rPr>
          <w:rFonts w:eastAsia="Times New Roman" w:cs="Arial"/>
          <w:color w:val="auto"/>
          <w:lang w:eastAsia="en-AU"/>
        </w:rPr>
        <w:t>from an authorised person or owne</w:t>
      </w:r>
      <w:r w:rsidR="00BE620C" w:rsidRPr="61716D05">
        <w:rPr>
          <w:rFonts w:eastAsia="Times New Roman" w:cs="Arial"/>
          <w:color w:val="auto"/>
          <w:lang w:eastAsia="en-AU"/>
        </w:rPr>
        <w:t xml:space="preserve">rship </w:t>
      </w:r>
      <w:r w:rsidRPr="61716D05">
        <w:rPr>
          <w:rFonts w:eastAsia="Times New Roman" w:cs="Arial"/>
          <w:color w:val="auto"/>
          <w:lang w:eastAsia="en-AU"/>
        </w:rPr>
        <w:t xml:space="preserve">must accompany the request. These requests must be for a specified reason and should not contradict or seek to contravene a decision from the </w:t>
      </w:r>
      <w:r w:rsidR="00D318F0" w:rsidRPr="61716D05">
        <w:rPr>
          <w:rFonts w:eastAsia="Times New Roman" w:cs="Arial"/>
          <w:color w:val="auto"/>
          <w:lang w:eastAsia="en-AU"/>
        </w:rPr>
        <w:t>Commission</w:t>
      </w:r>
      <w:r w:rsidRPr="61716D05">
        <w:rPr>
          <w:rFonts w:eastAsia="Times New Roman" w:cs="Arial"/>
          <w:color w:val="auto"/>
          <w:lang w:eastAsia="en-AU"/>
        </w:rPr>
        <w:t>.</w:t>
      </w:r>
    </w:p>
    <w:p w14:paraId="32F5864A" w14:textId="2202DF85" w:rsidR="00820697" w:rsidRPr="00520BB8" w:rsidRDefault="00820697" w:rsidP="61716D05">
      <w:pPr>
        <w:rPr>
          <w:rFonts w:eastAsia="Times New Roman" w:cs="Arial"/>
          <w:color w:val="auto"/>
          <w:lang w:eastAsia="en-AU"/>
        </w:rPr>
      </w:pPr>
      <w:r w:rsidRPr="61716D05">
        <w:rPr>
          <w:rFonts w:eastAsia="Times New Roman" w:cs="Arial"/>
          <w:color w:val="auto"/>
          <w:lang w:eastAsia="en-AU"/>
        </w:rPr>
        <w:t xml:space="preserve">Should the department authorise an exemption </w:t>
      </w:r>
      <w:r w:rsidR="00C24A75" w:rsidRPr="61716D05">
        <w:rPr>
          <w:rFonts w:eastAsia="Times New Roman" w:cs="Arial"/>
          <w:color w:val="auto"/>
          <w:lang w:eastAsia="en-AU"/>
        </w:rPr>
        <w:t>from the MyMedi</w:t>
      </w:r>
      <w:r w:rsidR="008A7236" w:rsidRPr="61716D05">
        <w:rPr>
          <w:rFonts w:eastAsia="Times New Roman" w:cs="Arial"/>
          <w:color w:val="auto"/>
          <w:lang w:eastAsia="en-AU"/>
        </w:rPr>
        <w:t>care accreditation eligibility requirement</w:t>
      </w:r>
      <w:r w:rsidRPr="61716D05">
        <w:rPr>
          <w:rFonts w:eastAsia="Times New Roman" w:cs="Arial"/>
          <w:color w:val="auto"/>
          <w:lang w:eastAsia="en-AU"/>
        </w:rPr>
        <w:t>, the department will determine the new MyMedicare eligibility end date which will be communicated to the general practice and the relevant departments and agencies.</w:t>
      </w:r>
    </w:p>
    <w:p w14:paraId="102D92A9" w14:textId="6345B367" w:rsidR="00820697" w:rsidRPr="00183D0D"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Upon an exemption period being approved and reflected in the MyMedicare program, the practices eligibility </w:t>
      </w:r>
      <w:r w:rsidR="00B9200A" w:rsidRPr="00183D0D">
        <w:rPr>
          <w:rFonts w:eastAsia="Times New Roman" w:cs="Arial"/>
          <w:color w:val="auto"/>
          <w:szCs w:val="22"/>
          <w:lang w:eastAsia="en-AU"/>
        </w:rPr>
        <w:t>may</w:t>
      </w:r>
      <w:r w:rsidRPr="00183D0D">
        <w:rPr>
          <w:rFonts w:eastAsia="Times New Roman" w:cs="Arial"/>
          <w:color w:val="auto"/>
          <w:szCs w:val="22"/>
          <w:lang w:eastAsia="en-AU"/>
        </w:rPr>
        <w:t xml:space="preserve"> be updated accordingly.</w:t>
      </w:r>
    </w:p>
    <w:p w14:paraId="25D671E8" w14:textId="6716CE80" w:rsidR="00E47DB5" w:rsidRDefault="00786A7D" w:rsidP="00E15513">
      <w:pPr>
        <w:pStyle w:val="Heading2"/>
        <w:ind w:left="578" w:hanging="578"/>
      </w:pPr>
      <w:bookmarkStart w:id="79" w:name="_Toc214051006"/>
      <w:bookmarkStart w:id="80" w:name="_Toc1430980959"/>
      <w:r>
        <w:t xml:space="preserve">Temporary </w:t>
      </w:r>
      <w:r w:rsidR="006F0349">
        <w:t xml:space="preserve">accreditation </w:t>
      </w:r>
      <w:r>
        <w:t xml:space="preserve">exemption – non-traditional practice </w:t>
      </w:r>
      <w:r w:rsidR="00E560B4">
        <w:t>models</w:t>
      </w:r>
      <w:bookmarkEnd w:id="79"/>
      <w:bookmarkEnd w:id="80"/>
    </w:p>
    <w:p w14:paraId="3FBDAEC3" w14:textId="40A5A66A" w:rsidR="005E1CB5" w:rsidRPr="00D66D6D" w:rsidRDefault="00E560B4" w:rsidP="61716D05">
      <w:pPr>
        <w:rPr>
          <w:lang w:eastAsia="en-AU"/>
        </w:rPr>
      </w:pPr>
      <w:r w:rsidRPr="61716D05">
        <w:rPr>
          <w:lang w:eastAsia="en-AU"/>
        </w:rPr>
        <w:t>A</w:t>
      </w:r>
      <w:r w:rsidR="006F0349" w:rsidRPr="61716D05">
        <w:rPr>
          <w:lang w:eastAsia="en-AU"/>
        </w:rPr>
        <w:t xml:space="preserve"> temporary </w:t>
      </w:r>
      <w:r w:rsidRPr="61716D05">
        <w:rPr>
          <w:lang w:eastAsia="en-AU"/>
        </w:rPr>
        <w:t xml:space="preserve">exemption </w:t>
      </w:r>
      <w:r w:rsidR="00576484" w:rsidRPr="61716D05">
        <w:rPr>
          <w:lang w:eastAsia="en-AU"/>
        </w:rPr>
        <w:t xml:space="preserve">to the MyMedicare accreditation requirement </w:t>
      </w:r>
      <w:r w:rsidRPr="61716D05">
        <w:rPr>
          <w:lang w:eastAsia="en-AU"/>
        </w:rPr>
        <w:t xml:space="preserve">is available </w:t>
      </w:r>
      <w:r w:rsidR="00471A93">
        <w:rPr>
          <w:lang w:eastAsia="en-AU"/>
        </w:rPr>
        <w:t>until</w:t>
      </w:r>
      <w:r w:rsidR="00471A93" w:rsidRPr="61716D05">
        <w:rPr>
          <w:lang w:eastAsia="en-AU"/>
        </w:rPr>
        <w:t xml:space="preserve"> </w:t>
      </w:r>
      <w:r w:rsidR="00471A93">
        <w:rPr>
          <w:lang w:eastAsia="en-AU"/>
        </w:rPr>
        <w:t>31 December 2026</w:t>
      </w:r>
      <w:r w:rsidR="004C0073" w:rsidRPr="61716D05">
        <w:rPr>
          <w:lang w:eastAsia="en-AU"/>
        </w:rPr>
        <w:t xml:space="preserve"> </w:t>
      </w:r>
      <w:r w:rsidR="00C72BC6" w:rsidRPr="61716D05">
        <w:rPr>
          <w:lang w:eastAsia="en-AU"/>
        </w:rPr>
        <w:t>to non-traditional practices such as mobile</w:t>
      </w:r>
      <w:r w:rsidR="00190754" w:rsidRPr="61716D05">
        <w:rPr>
          <w:lang w:eastAsia="en-AU"/>
        </w:rPr>
        <w:t>, outreach, and sole provider practices</w:t>
      </w:r>
      <w:r w:rsidR="005F5D75" w:rsidRPr="61716D05">
        <w:rPr>
          <w:lang w:eastAsia="en-AU"/>
        </w:rPr>
        <w:t>,</w:t>
      </w:r>
      <w:r w:rsidR="00920B19" w:rsidRPr="61716D05">
        <w:rPr>
          <w:lang w:eastAsia="en-AU"/>
        </w:rPr>
        <w:t xml:space="preserve"> ACCHS, AMS and Nurse Practitioner-led with GP</w:t>
      </w:r>
      <w:r w:rsidR="00A96147" w:rsidRPr="61716D05">
        <w:rPr>
          <w:lang w:eastAsia="en-AU"/>
        </w:rPr>
        <w:t xml:space="preserve">. </w:t>
      </w:r>
      <w:r w:rsidR="00252E25" w:rsidRPr="61716D05">
        <w:rPr>
          <w:lang w:eastAsia="en-AU"/>
        </w:rPr>
        <w:t xml:space="preserve">This </w:t>
      </w:r>
      <w:r w:rsidR="00C07AAE" w:rsidRPr="61716D05">
        <w:rPr>
          <w:lang w:eastAsia="en-AU"/>
        </w:rPr>
        <w:t>will give</w:t>
      </w:r>
      <w:r w:rsidR="00CF6CEA" w:rsidRPr="61716D05">
        <w:rPr>
          <w:lang w:eastAsia="en-AU"/>
        </w:rPr>
        <w:t xml:space="preserve"> non-accredited practices who </w:t>
      </w:r>
      <w:r w:rsidR="00CF6CEA" w:rsidRPr="61716D05">
        <w:rPr>
          <w:lang w:eastAsia="en-AU"/>
        </w:rPr>
        <w:lastRenderedPageBreak/>
        <w:t>currently operate under non-traditional business models an opportunity to access MyMedicare benefits while preparing to meet accreditation standards.</w:t>
      </w:r>
    </w:p>
    <w:p w14:paraId="15C91CF4" w14:textId="5359F071" w:rsidR="005E1CB5" w:rsidRPr="00520BB8" w:rsidRDefault="005E1CB5" w:rsidP="61716D05">
      <w:pPr>
        <w:rPr>
          <w:rFonts w:ascii="Segoe UI" w:hAnsi="Segoe UI" w:cs="Segoe UI"/>
          <w:lang w:eastAsia="en-AU"/>
        </w:rPr>
      </w:pPr>
      <w:r w:rsidRPr="61716D05">
        <w:rPr>
          <w:lang w:eastAsia="en-AU"/>
        </w:rPr>
        <w:t>The exemption seeks to recognise the current transition within the sector to a new definition of a general practice for accreditation purposes published by RACGP</w:t>
      </w:r>
      <w:r w:rsidR="007524D3" w:rsidRPr="61716D05">
        <w:rPr>
          <w:rStyle w:val="FootnoteReference"/>
          <w:lang w:eastAsia="en-AU"/>
        </w:rPr>
        <w:footnoteReference w:id="6"/>
      </w:r>
      <w:r w:rsidRPr="61716D05">
        <w:rPr>
          <w:lang w:eastAsia="en-AU"/>
        </w:rPr>
        <w:t>. Non-traditional practices who now meet the definition of a general practice under the standard will require time to prepare their practice to obtain accreditation where required for health programs such as MyMedicare.  </w:t>
      </w:r>
    </w:p>
    <w:p w14:paraId="5F686C12" w14:textId="77777777" w:rsidR="005E1CB5" w:rsidRPr="00520BB8" w:rsidRDefault="005E1CB5" w:rsidP="00520BB8">
      <w:pPr>
        <w:rPr>
          <w:rFonts w:ascii="Segoe UI" w:hAnsi="Segoe UI" w:cs="Segoe UI"/>
          <w:szCs w:val="22"/>
          <w:lang w:eastAsia="en-AU"/>
        </w:rPr>
      </w:pPr>
      <w:r w:rsidRPr="00D66D6D">
        <w:rPr>
          <w:szCs w:val="22"/>
          <w:lang w:eastAsia="en-AU"/>
        </w:rPr>
        <w:t>A temporary exemption is available for non-accredited practices (including sole providers) who deliver general practice services entirely through mobile and outreach models including: </w:t>
      </w:r>
    </w:p>
    <w:p w14:paraId="4406C78E"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48909DBA">
        <w:rPr>
          <w:rFonts w:cs="Arial"/>
        </w:rPr>
        <w:t>in rural settings </w:t>
      </w:r>
    </w:p>
    <w:p w14:paraId="53226455"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48909DBA">
        <w:rPr>
          <w:rFonts w:cs="Arial"/>
        </w:rPr>
        <w:t>in residential aged care facilities </w:t>
      </w:r>
    </w:p>
    <w:p w14:paraId="696FF13C"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48909DBA">
        <w:rPr>
          <w:rFonts w:cs="Arial"/>
        </w:rPr>
        <w:t>in disability residential settings </w:t>
      </w:r>
    </w:p>
    <w:p w14:paraId="25A2F302" w14:textId="4407930E" w:rsidR="00471A93" w:rsidRDefault="005E1CB5" w:rsidP="00471A93">
      <w:pPr>
        <w:pStyle w:val="ListBullet"/>
        <w:tabs>
          <w:tab w:val="clear" w:pos="360"/>
          <w:tab w:val="num" w:pos="1074"/>
        </w:tabs>
        <w:spacing w:before="60" w:after="60"/>
        <w:ind w:left="714" w:hanging="357"/>
        <w:contextualSpacing w:val="0"/>
        <w:rPr>
          <w:rFonts w:cs="Arial"/>
        </w:rPr>
      </w:pPr>
      <w:r w:rsidRPr="48909DBA">
        <w:rPr>
          <w:rFonts w:cs="Arial"/>
        </w:rPr>
        <w:t>to First Nations Australians</w:t>
      </w:r>
    </w:p>
    <w:p w14:paraId="7E9C38AF" w14:textId="749C0296" w:rsidR="00471A93" w:rsidRPr="00471A93" w:rsidRDefault="00471A93" w:rsidP="00471A93">
      <w:pPr>
        <w:pStyle w:val="ListBullet"/>
        <w:tabs>
          <w:tab w:val="clear" w:pos="360"/>
          <w:tab w:val="num" w:pos="1074"/>
        </w:tabs>
        <w:spacing w:before="60" w:after="60"/>
        <w:ind w:left="714" w:hanging="357"/>
        <w:contextualSpacing w:val="0"/>
        <w:rPr>
          <w:rFonts w:cs="Arial"/>
        </w:rPr>
      </w:pPr>
      <w:r w:rsidRPr="48909DBA">
        <w:rPr>
          <w:rFonts w:cs="Arial"/>
        </w:rPr>
        <w:t>to people experiencing homelessness.</w:t>
      </w:r>
    </w:p>
    <w:p w14:paraId="7033ABD4" w14:textId="77777777" w:rsidR="005E1CB5" w:rsidRDefault="005E1CB5" w:rsidP="00520BB8">
      <w:pPr>
        <w:rPr>
          <w:color w:val="auto"/>
          <w:szCs w:val="22"/>
          <w:lang w:eastAsia="en-AU"/>
        </w:rPr>
      </w:pPr>
      <w:r w:rsidRPr="007D0333">
        <w:rPr>
          <w:color w:val="auto"/>
          <w:szCs w:val="22"/>
          <w:lang w:eastAsia="en-AU"/>
        </w:rPr>
        <w:t>This exemption is applied through a declaration model in the Organisation Register when the practice registers for MyMedicare. </w:t>
      </w:r>
    </w:p>
    <w:p w14:paraId="092E8E9C" w14:textId="77777777" w:rsidR="00512EB9" w:rsidRDefault="00512EB9" w:rsidP="00512EB9">
      <w:pPr>
        <w:pStyle w:val="Heading2"/>
        <w:ind w:left="578" w:hanging="578"/>
      </w:pPr>
      <w:bookmarkStart w:id="81" w:name="_Toc214051007"/>
      <w:bookmarkStart w:id="82" w:name="_Toc1759004889"/>
      <w:r>
        <w:t>Accreditation exemption – Bulk Billing Practice Incentive Program</w:t>
      </w:r>
      <w:bookmarkEnd w:id="81"/>
      <w:bookmarkEnd w:id="82"/>
    </w:p>
    <w:p w14:paraId="5A21A4AD" w14:textId="77777777" w:rsidR="00512EB9" w:rsidRPr="00B75228" w:rsidRDefault="00512EB9" w:rsidP="00512EB9">
      <w:r w:rsidRPr="00B75228">
        <w:t xml:space="preserve">From 1 November 2025, an exemption to the MyMedicare accreditation requirement is available for practices that are not already MyMedicare registered and participating in BBPIP. </w:t>
      </w:r>
    </w:p>
    <w:p w14:paraId="57B76EEB" w14:textId="77777777" w:rsidR="00512EB9" w:rsidRPr="00B75228" w:rsidRDefault="00512EB9" w:rsidP="00512EB9">
      <w:r w:rsidRPr="00B75228">
        <w:t>Existing eligibility and accreditation requirements remain for other MyMedicare programs. Registering in MyMedicare under this accreditation exemption will not entitle practices to participate in other MyMedicare linked initiatives and incentives. Program eligibility details are outlined in program specific guidelines.  </w:t>
      </w:r>
    </w:p>
    <w:p w14:paraId="332700B1" w14:textId="77777777" w:rsidR="00512EB9" w:rsidRPr="00B75228" w:rsidRDefault="00512EB9" w:rsidP="00512EB9">
      <w:r w:rsidRPr="00B75228">
        <w:t>The BBPIP accreditation exemption is applied through a declaration model in the Organisation Register at the time of MyMedicare registration.  </w:t>
      </w:r>
    </w:p>
    <w:p w14:paraId="7A525F8A" w14:textId="77777777" w:rsidR="00512EB9" w:rsidRPr="00B75228" w:rsidRDefault="00512EB9" w:rsidP="00512EB9">
      <w:r w:rsidRPr="00B75228">
        <w:t>Practices already registered in MyMedicare must continue to meet the existing MyMedicare accreditation requirements to participate in BBPIP. </w:t>
      </w:r>
    </w:p>
    <w:p w14:paraId="7F82CC40" w14:textId="46B7C71C" w:rsidR="007F4082" w:rsidRPr="00E15513" w:rsidRDefault="007F4082" w:rsidP="1C1019EF">
      <w:pPr>
        <w:pStyle w:val="Guidelinessub"/>
        <w:numPr>
          <w:ilvl w:val="0"/>
          <w:numId w:val="0"/>
        </w:numPr>
        <w:spacing w:before="120" w:after="120" w:line="340" w:lineRule="atLeast"/>
        <w:ind w:left="576" w:hanging="578"/>
        <w:rPr>
          <w:rFonts w:cs="Arial"/>
          <w:color w:val="auto"/>
        </w:rPr>
      </w:pPr>
      <w:bookmarkStart w:id="83" w:name="_Toc214051009"/>
      <w:bookmarkStart w:id="84" w:name="_Toc178873483"/>
      <w:r w:rsidRPr="00E15513">
        <w:rPr>
          <w:rFonts w:ascii="Arial" w:hAnsi="Arial" w:cs="Arial"/>
          <w:color w:val="auto"/>
          <w:sz w:val="24"/>
          <w:szCs w:val="24"/>
        </w:rPr>
        <w:t>Withdraw</w:t>
      </w:r>
      <w:r w:rsidR="00F249F0" w:rsidRPr="00E15513">
        <w:rPr>
          <w:rFonts w:ascii="Arial" w:hAnsi="Arial" w:cs="Arial"/>
          <w:color w:val="auto"/>
          <w:sz w:val="24"/>
          <w:szCs w:val="24"/>
        </w:rPr>
        <w:t xml:space="preserve">al of </w:t>
      </w:r>
      <w:r w:rsidR="00FF160C" w:rsidRPr="00E15513">
        <w:rPr>
          <w:rFonts w:ascii="Arial" w:hAnsi="Arial" w:cs="Arial"/>
          <w:color w:val="auto"/>
          <w:sz w:val="24"/>
          <w:szCs w:val="24"/>
        </w:rPr>
        <w:t>A</w:t>
      </w:r>
      <w:r w:rsidR="00F249F0" w:rsidRPr="00E15513">
        <w:rPr>
          <w:rFonts w:ascii="Arial" w:hAnsi="Arial" w:cs="Arial"/>
          <w:color w:val="auto"/>
          <w:sz w:val="24"/>
          <w:szCs w:val="24"/>
        </w:rPr>
        <w:t>ccreditation</w:t>
      </w:r>
      <w:bookmarkEnd w:id="83"/>
      <w:bookmarkEnd w:id="84"/>
    </w:p>
    <w:p w14:paraId="5CB771B5" w14:textId="5FAA3C69" w:rsidR="00A863FD" w:rsidRPr="007D0333" w:rsidRDefault="00B17758" w:rsidP="61716D05">
      <w:pPr>
        <w:rPr>
          <w:color w:val="auto"/>
          <w:lang w:eastAsia="en-AU"/>
        </w:rPr>
      </w:pPr>
      <w:r w:rsidRPr="61716D05">
        <w:rPr>
          <w:color w:val="auto"/>
          <w:lang w:eastAsia="en-AU"/>
        </w:rPr>
        <w:t xml:space="preserve">Where practices </w:t>
      </w:r>
      <w:r w:rsidR="003B27E1" w:rsidRPr="61716D05">
        <w:rPr>
          <w:color w:val="auto"/>
          <w:lang w:eastAsia="en-AU"/>
        </w:rPr>
        <w:t>are un</w:t>
      </w:r>
      <w:r w:rsidR="00E71039" w:rsidRPr="61716D05">
        <w:rPr>
          <w:color w:val="auto"/>
          <w:lang w:eastAsia="en-AU"/>
        </w:rPr>
        <w:t xml:space="preserve">successful in meeting ongoing accreditation requirements </w:t>
      </w:r>
      <w:r w:rsidR="00BB4D0E" w:rsidRPr="61716D05">
        <w:rPr>
          <w:color w:val="auto"/>
          <w:lang w:eastAsia="en-AU"/>
        </w:rPr>
        <w:t>the accredit</w:t>
      </w:r>
      <w:r w:rsidR="00081449" w:rsidRPr="61716D05">
        <w:rPr>
          <w:color w:val="auto"/>
          <w:lang w:eastAsia="en-AU"/>
        </w:rPr>
        <w:t xml:space="preserve">ing agency may </w:t>
      </w:r>
      <w:r w:rsidR="00FD6825" w:rsidRPr="61716D05">
        <w:rPr>
          <w:color w:val="auto"/>
          <w:lang w:eastAsia="en-AU"/>
        </w:rPr>
        <w:t>decide</w:t>
      </w:r>
      <w:r w:rsidR="00994BB8" w:rsidRPr="61716D05">
        <w:rPr>
          <w:color w:val="auto"/>
          <w:lang w:eastAsia="en-AU"/>
        </w:rPr>
        <w:t xml:space="preserve"> to withdraw </w:t>
      </w:r>
      <w:r w:rsidR="00E15A17" w:rsidRPr="61716D05">
        <w:rPr>
          <w:color w:val="auto"/>
          <w:lang w:eastAsia="en-AU"/>
        </w:rPr>
        <w:t xml:space="preserve">a </w:t>
      </w:r>
      <w:r w:rsidR="00ED78C3" w:rsidRPr="61716D05">
        <w:rPr>
          <w:color w:val="auto"/>
          <w:lang w:eastAsia="en-AU"/>
        </w:rPr>
        <w:t>practice’s</w:t>
      </w:r>
      <w:r w:rsidR="00E15A17" w:rsidRPr="61716D05">
        <w:rPr>
          <w:color w:val="auto"/>
          <w:lang w:eastAsia="en-AU"/>
        </w:rPr>
        <w:t xml:space="preserve"> </w:t>
      </w:r>
      <w:r w:rsidR="00994BB8" w:rsidRPr="61716D05">
        <w:rPr>
          <w:color w:val="auto"/>
          <w:lang w:eastAsia="en-AU"/>
        </w:rPr>
        <w:t>accreditation</w:t>
      </w:r>
      <w:r w:rsidR="00E15A17" w:rsidRPr="61716D05">
        <w:rPr>
          <w:color w:val="auto"/>
          <w:lang w:eastAsia="en-AU"/>
        </w:rPr>
        <w:t>.</w:t>
      </w:r>
    </w:p>
    <w:p w14:paraId="1E050C16" w14:textId="575AB9DC" w:rsidR="00877366" w:rsidRDefault="00754453" w:rsidP="00877366">
      <w:pPr>
        <w:rPr>
          <w:lang w:eastAsia="en-AU"/>
        </w:rPr>
      </w:pPr>
      <w:r w:rsidRPr="61716D05">
        <w:rPr>
          <w:lang w:eastAsia="en-AU"/>
        </w:rPr>
        <w:t>Following the noti</w:t>
      </w:r>
      <w:r w:rsidR="00C455E3" w:rsidRPr="61716D05">
        <w:rPr>
          <w:lang w:eastAsia="en-AU"/>
        </w:rPr>
        <w:t xml:space="preserve">fication </w:t>
      </w:r>
      <w:r w:rsidR="00CE7496" w:rsidRPr="61716D05">
        <w:rPr>
          <w:lang w:eastAsia="en-AU"/>
        </w:rPr>
        <w:t>of withdrawal of accreditation</w:t>
      </w:r>
      <w:r w:rsidR="00870866" w:rsidRPr="61716D05">
        <w:rPr>
          <w:lang w:eastAsia="en-AU"/>
        </w:rPr>
        <w:t>, the practice’s accreditation</w:t>
      </w:r>
      <w:r w:rsidR="004D74D2" w:rsidRPr="61716D05">
        <w:rPr>
          <w:lang w:eastAsia="en-AU"/>
        </w:rPr>
        <w:t xml:space="preserve"> information will be updated</w:t>
      </w:r>
      <w:r w:rsidR="004D4F7F" w:rsidRPr="61716D05">
        <w:rPr>
          <w:lang w:eastAsia="en-AU"/>
        </w:rPr>
        <w:t>, and the practice will be in</w:t>
      </w:r>
      <w:r w:rsidR="00A51CF9" w:rsidRPr="61716D05">
        <w:rPr>
          <w:lang w:eastAsia="en-AU"/>
        </w:rPr>
        <w:t>elig</w:t>
      </w:r>
      <w:r w:rsidR="009B350F" w:rsidRPr="61716D05">
        <w:rPr>
          <w:lang w:eastAsia="en-AU"/>
        </w:rPr>
        <w:t xml:space="preserve">ible for </w:t>
      </w:r>
      <w:r w:rsidR="00C122DE" w:rsidRPr="61716D05">
        <w:rPr>
          <w:lang w:eastAsia="en-AU"/>
        </w:rPr>
        <w:t xml:space="preserve">MyMedicare. </w:t>
      </w:r>
      <w:r w:rsidR="008A7EA5" w:rsidRPr="61716D05">
        <w:rPr>
          <w:lang w:eastAsia="en-AU"/>
        </w:rPr>
        <w:t>The practice will not be able to parti</w:t>
      </w:r>
      <w:r w:rsidR="00A11F1A" w:rsidRPr="61716D05">
        <w:rPr>
          <w:lang w:eastAsia="en-AU"/>
        </w:rPr>
        <w:t xml:space="preserve">cipate in </w:t>
      </w:r>
      <w:r w:rsidR="00990A9E" w:rsidRPr="73E5948E">
        <w:rPr>
          <w:lang w:eastAsia="en-AU"/>
        </w:rPr>
        <w:t>MyMedicare</w:t>
      </w:r>
      <w:r w:rsidR="00A11F1A" w:rsidRPr="73E5948E">
        <w:rPr>
          <w:lang w:eastAsia="en-AU"/>
        </w:rPr>
        <w:t xml:space="preserve"> </w:t>
      </w:r>
      <w:r w:rsidR="00A11F1A" w:rsidRPr="61716D05">
        <w:rPr>
          <w:lang w:eastAsia="en-AU"/>
        </w:rPr>
        <w:t xml:space="preserve">until they </w:t>
      </w:r>
      <w:r w:rsidR="00D62E90" w:rsidRPr="61716D05">
        <w:rPr>
          <w:lang w:eastAsia="en-AU"/>
        </w:rPr>
        <w:t>meet</w:t>
      </w:r>
      <w:r w:rsidR="00A11F1A" w:rsidRPr="61716D05">
        <w:rPr>
          <w:lang w:eastAsia="en-AU"/>
        </w:rPr>
        <w:t xml:space="preserve"> the</w:t>
      </w:r>
      <w:r w:rsidR="00A11F1A" w:rsidRPr="61716D05" w:rsidDel="00990A9E">
        <w:rPr>
          <w:lang w:eastAsia="en-AU"/>
        </w:rPr>
        <w:t xml:space="preserve"> </w:t>
      </w:r>
      <w:r w:rsidR="00A11F1A" w:rsidRPr="61716D05">
        <w:rPr>
          <w:lang w:eastAsia="en-AU"/>
        </w:rPr>
        <w:t>accreditation requirements.</w:t>
      </w:r>
    </w:p>
    <w:p w14:paraId="10CE22C4" w14:textId="4DBDCE0E" w:rsidR="5FDA8E02" w:rsidRDefault="7690AB84" w:rsidP="004F430B">
      <w:pPr>
        <w:pStyle w:val="Heading1"/>
      </w:pPr>
      <w:bookmarkStart w:id="85" w:name="_Toc214051010"/>
      <w:bookmarkStart w:id="86" w:name="_Toc1646898388"/>
      <w:r>
        <w:lastRenderedPageBreak/>
        <w:t>Provider</w:t>
      </w:r>
      <w:r w:rsidR="05F4B22D">
        <w:t xml:space="preserve"> </w:t>
      </w:r>
      <w:r>
        <w:t>registration</w:t>
      </w:r>
      <w:r w:rsidR="52B8E1BE" w:rsidRPr="57E8C92B">
        <w:rPr>
          <w:rStyle w:val="CommentReference"/>
          <w:rFonts w:asciiTheme="minorHAnsi" w:eastAsiaTheme="minorEastAsia" w:hAnsiTheme="minorHAnsi" w:cs="Times New Roman"/>
          <w:b w:val="0"/>
          <w:color w:val="auto"/>
          <w:kern w:val="2"/>
          <w:lang w:eastAsia="en-US"/>
          <w14:ligatures w14:val="standardContextual"/>
        </w:rPr>
        <w:t xml:space="preserve"> </w:t>
      </w:r>
      <w:r>
        <w:t>requirements</w:t>
      </w:r>
      <w:bookmarkEnd w:id="85"/>
      <w:bookmarkEnd w:id="86"/>
    </w:p>
    <w:p w14:paraId="087848E1" w14:textId="5A713D39" w:rsidR="5FDA8E02" w:rsidRDefault="5FDA8E02" w:rsidP="008D5480">
      <w:pPr>
        <w:pStyle w:val="Heading2"/>
      </w:pPr>
      <w:bookmarkStart w:id="87" w:name="_Toc214051011"/>
      <w:bookmarkStart w:id="88" w:name="_Toc1609479539"/>
      <w:r>
        <w:t>Provider requirements</w:t>
      </w:r>
      <w:bookmarkEnd w:id="87"/>
      <w:bookmarkEnd w:id="88"/>
    </w:p>
    <w:p w14:paraId="74C43D63" w14:textId="4C9B7878" w:rsidR="5FDA8E02" w:rsidRDefault="5FDA8E02" w:rsidP="00520BB8">
      <w:r>
        <w:t>To be considered eligible for MyMedicare, a provider must be one of the following:</w:t>
      </w:r>
    </w:p>
    <w:p w14:paraId="60B3DB1D" w14:textId="77FC4D93" w:rsidR="375DD0E6" w:rsidRPr="00736170" w:rsidRDefault="003A0590" w:rsidP="00742F75">
      <w:pPr>
        <w:pStyle w:val="ListBullet"/>
        <w:tabs>
          <w:tab w:val="clear" w:pos="360"/>
          <w:tab w:val="num" w:pos="1074"/>
        </w:tabs>
        <w:spacing w:before="60" w:after="60"/>
        <w:ind w:left="714" w:hanging="357"/>
        <w:contextualSpacing w:val="0"/>
        <w:rPr>
          <w:rFonts w:cs="Arial"/>
        </w:rPr>
      </w:pPr>
      <w:r w:rsidRPr="48909DBA">
        <w:rPr>
          <w:rFonts w:cs="Arial"/>
        </w:rPr>
        <w:t>a</w:t>
      </w:r>
      <w:r w:rsidR="375DD0E6" w:rsidRPr="48909DBA">
        <w:rPr>
          <w:rFonts w:cs="Arial"/>
        </w:rPr>
        <w:t xml:space="preserve"> </w:t>
      </w:r>
      <w:r w:rsidR="00A046AD" w:rsidRPr="48909DBA">
        <w:rPr>
          <w:rFonts w:cs="Arial"/>
        </w:rPr>
        <w:t xml:space="preserve">vocational registered </w:t>
      </w:r>
      <w:r w:rsidR="375DD0E6" w:rsidRPr="48909DBA">
        <w:rPr>
          <w:rFonts w:cs="Arial"/>
        </w:rPr>
        <w:t>GP</w:t>
      </w:r>
      <w:r w:rsidR="00706A66" w:rsidRPr="48909DBA">
        <w:rPr>
          <w:rFonts w:cs="Arial"/>
        </w:rPr>
        <w:t>, or</w:t>
      </w:r>
    </w:p>
    <w:p w14:paraId="3EC731EE" w14:textId="75AAA415" w:rsidR="003A0590" w:rsidRPr="00736170" w:rsidRDefault="003A0590" w:rsidP="00742F75">
      <w:pPr>
        <w:pStyle w:val="ListBullet"/>
        <w:tabs>
          <w:tab w:val="clear" w:pos="360"/>
          <w:tab w:val="num" w:pos="1074"/>
        </w:tabs>
        <w:spacing w:before="60" w:after="60"/>
        <w:ind w:left="714" w:hanging="357"/>
        <w:contextualSpacing w:val="0"/>
        <w:rPr>
          <w:rFonts w:cs="Arial"/>
        </w:rPr>
      </w:pPr>
      <w:r w:rsidRPr="48909DBA">
        <w:rPr>
          <w:rFonts w:cs="Arial"/>
        </w:rPr>
        <w:t>a non-vocational registered GP</w:t>
      </w:r>
      <w:r w:rsidR="00706A66" w:rsidRPr="48909DBA">
        <w:rPr>
          <w:rFonts w:cs="Arial"/>
        </w:rPr>
        <w:t>, or</w:t>
      </w:r>
    </w:p>
    <w:p w14:paraId="32CA6CB6" w14:textId="1C5DFAFE" w:rsidR="00DA5C4D" w:rsidRPr="00736170" w:rsidRDefault="003A0590" w:rsidP="00742F75">
      <w:pPr>
        <w:pStyle w:val="ListBullet"/>
        <w:tabs>
          <w:tab w:val="clear" w:pos="360"/>
          <w:tab w:val="num" w:pos="1074"/>
        </w:tabs>
        <w:spacing w:before="60" w:after="60"/>
        <w:ind w:left="714" w:hanging="357"/>
        <w:contextualSpacing w:val="0"/>
        <w:rPr>
          <w:rFonts w:cs="Arial"/>
        </w:rPr>
      </w:pPr>
      <w:r w:rsidRPr="48909DBA">
        <w:rPr>
          <w:rFonts w:cs="Arial"/>
        </w:rPr>
        <w:t>a GP registrar</w:t>
      </w:r>
      <w:r w:rsidR="00576C97" w:rsidRPr="48909DBA">
        <w:rPr>
          <w:rFonts w:cs="Arial"/>
        </w:rPr>
        <w:t>;</w:t>
      </w:r>
      <w:r w:rsidR="00DA5C4D" w:rsidRPr="48909DBA">
        <w:rPr>
          <w:rFonts w:cs="Arial"/>
        </w:rPr>
        <w:t xml:space="preserve"> </w:t>
      </w:r>
      <w:r w:rsidR="007A1FBC" w:rsidRPr="48909DBA">
        <w:rPr>
          <w:rFonts w:cs="Arial"/>
        </w:rPr>
        <w:t>and</w:t>
      </w:r>
    </w:p>
    <w:p w14:paraId="51349D6B" w14:textId="69D20ADE" w:rsidR="00307391" w:rsidRPr="00820792" w:rsidRDefault="00076EFE" w:rsidP="35ECC052">
      <w:pPr>
        <w:pStyle w:val="Bullet3"/>
        <w:rPr>
          <w:lang w:eastAsia="en-AU"/>
        </w:rPr>
      </w:pPr>
      <w:r w:rsidRPr="35ECC052">
        <w:rPr>
          <w:lang w:eastAsia="en-AU"/>
        </w:rPr>
        <w:t xml:space="preserve">have a valid Medicare Provider </w:t>
      </w:r>
      <w:r w:rsidR="004514F5" w:rsidRPr="73E5948E">
        <w:rPr>
          <w:lang w:eastAsia="en-AU"/>
        </w:rPr>
        <w:t>N</w:t>
      </w:r>
      <w:r w:rsidRPr="73E5948E">
        <w:rPr>
          <w:lang w:eastAsia="en-AU"/>
        </w:rPr>
        <w:t>umber</w:t>
      </w:r>
      <w:r w:rsidR="00307391" w:rsidRPr="35ECC052">
        <w:rPr>
          <w:lang w:eastAsia="en-AU"/>
        </w:rPr>
        <w:t xml:space="preserve"> for the </w:t>
      </w:r>
      <w:r w:rsidR="004514F5">
        <w:rPr>
          <w:lang w:eastAsia="en-AU"/>
        </w:rPr>
        <w:t xml:space="preserve">registered </w:t>
      </w:r>
      <w:r w:rsidR="00307391" w:rsidRPr="35ECC052">
        <w:rPr>
          <w:lang w:eastAsia="en-AU"/>
        </w:rPr>
        <w:t>practice</w:t>
      </w:r>
    </w:p>
    <w:p w14:paraId="323800E8" w14:textId="556032CB" w:rsidR="00307391" w:rsidRPr="00820792" w:rsidRDefault="00307391" w:rsidP="3E34338F">
      <w:pPr>
        <w:pStyle w:val="Bullet3"/>
        <w:rPr>
          <w:lang w:eastAsia="en-AU"/>
        </w:rPr>
      </w:pPr>
      <w:r w:rsidRPr="00820792">
        <w:rPr>
          <w:lang w:eastAsia="en-AU"/>
        </w:rPr>
        <w:t xml:space="preserve">be working at a </w:t>
      </w:r>
      <w:r w:rsidR="00C8596C" w:rsidRPr="00820792">
        <w:rPr>
          <w:lang w:eastAsia="en-AU"/>
        </w:rPr>
        <w:t>My</w:t>
      </w:r>
      <w:r w:rsidRPr="00820792">
        <w:rPr>
          <w:lang w:eastAsia="en-AU"/>
        </w:rPr>
        <w:t xml:space="preserve">Medicare </w:t>
      </w:r>
      <w:r w:rsidR="6EE91C3F" w:rsidRPr="3E34338F">
        <w:rPr>
          <w:lang w:eastAsia="en-AU"/>
        </w:rPr>
        <w:t>registered</w:t>
      </w:r>
      <w:r w:rsidRPr="00820792">
        <w:rPr>
          <w:lang w:eastAsia="en-AU"/>
        </w:rPr>
        <w:t xml:space="preserve"> practice</w:t>
      </w:r>
      <w:r w:rsidR="00706A66" w:rsidRPr="00820792">
        <w:rPr>
          <w:lang w:eastAsia="en-AU"/>
        </w:rPr>
        <w:t xml:space="preserve"> </w:t>
      </w:r>
    </w:p>
    <w:p w14:paraId="7C4D48BC" w14:textId="6C5C4A8A" w:rsidR="611CDE77" w:rsidDel="007714C6" w:rsidRDefault="00307391" w:rsidP="71CB847D">
      <w:pPr>
        <w:pStyle w:val="Bullet3"/>
        <w:rPr>
          <w:lang w:eastAsia="en-AU"/>
        </w:rPr>
      </w:pPr>
      <w:r w:rsidRPr="611CDE77">
        <w:rPr>
          <w:lang w:eastAsia="en-AU"/>
        </w:rPr>
        <w:t xml:space="preserve">be linked to the MyMedicare </w:t>
      </w:r>
      <w:r w:rsidR="004514F5">
        <w:rPr>
          <w:lang w:eastAsia="en-AU"/>
        </w:rPr>
        <w:t>registered</w:t>
      </w:r>
      <w:r w:rsidR="004514F5" w:rsidRPr="611CDE77">
        <w:rPr>
          <w:lang w:eastAsia="en-AU"/>
        </w:rPr>
        <w:t xml:space="preserve"> </w:t>
      </w:r>
      <w:r w:rsidRPr="611CDE77">
        <w:rPr>
          <w:lang w:eastAsia="en-AU"/>
        </w:rPr>
        <w:t xml:space="preserve">practice in </w:t>
      </w:r>
      <w:r w:rsidR="00706A66" w:rsidRPr="611CDE77">
        <w:rPr>
          <w:lang w:eastAsia="en-AU"/>
        </w:rPr>
        <w:t>the Organisation Register</w:t>
      </w:r>
      <w:r w:rsidR="003A0590" w:rsidRPr="611CDE77">
        <w:rPr>
          <w:lang w:eastAsia="en-AU"/>
        </w:rPr>
        <w:t>.</w:t>
      </w:r>
    </w:p>
    <w:p w14:paraId="0A18D238" w14:textId="11B34515" w:rsidR="00817CB4" w:rsidRPr="001F7637" w:rsidRDefault="0154648D" w:rsidP="71CB847D">
      <w:pPr>
        <w:pStyle w:val="Heading1"/>
        <w:numPr>
          <w:ilvl w:val="0"/>
          <w:numId w:val="0"/>
        </w:numPr>
      </w:pPr>
      <w:bookmarkStart w:id="89" w:name="_Toc214051012"/>
      <w:bookmarkStart w:id="90" w:name="_Toc1687076578"/>
      <w:r>
        <w:t xml:space="preserve">6.2 </w:t>
      </w:r>
      <w:r w:rsidR="008C436C">
        <w:t>P</w:t>
      </w:r>
      <w:r w:rsidR="00D51510">
        <w:t xml:space="preserve">atient </w:t>
      </w:r>
      <w:r w:rsidR="002B7DFF">
        <w:t>r</w:t>
      </w:r>
      <w:r w:rsidR="00D51510">
        <w:t xml:space="preserve">egistration </w:t>
      </w:r>
      <w:r w:rsidR="00817CB4">
        <w:t>requirements</w:t>
      </w:r>
      <w:bookmarkEnd w:id="64"/>
      <w:bookmarkEnd w:id="65"/>
      <w:bookmarkEnd w:id="66"/>
      <w:bookmarkEnd w:id="67"/>
      <w:bookmarkEnd w:id="68"/>
      <w:bookmarkEnd w:id="69"/>
      <w:bookmarkEnd w:id="70"/>
      <w:bookmarkEnd w:id="71"/>
      <w:bookmarkEnd w:id="72"/>
      <w:bookmarkEnd w:id="89"/>
      <w:bookmarkEnd w:id="90"/>
    </w:p>
    <w:p w14:paraId="24F023CF" w14:textId="28CF66A3" w:rsidR="006752D7" w:rsidRDefault="00151ECD" w:rsidP="00817CB4">
      <w:pPr>
        <w:rPr>
          <w:rFonts w:eastAsia="Times New Roman"/>
        </w:rPr>
      </w:pPr>
      <w:r>
        <w:rPr>
          <w:rFonts w:eastAsia="Times New Roman"/>
        </w:rPr>
        <w:t>Patient registration</w:t>
      </w:r>
      <w:r w:rsidRPr="4C05EBAE">
        <w:rPr>
          <w:rFonts w:eastAsia="Times New Roman"/>
        </w:rPr>
        <w:t xml:space="preserve"> </w:t>
      </w:r>
      <w:r w:rsidR="00D51510" w:rsidRPr="4C05EBAE">
        <w:rPr>
          <w:rFonts w:eastAsia="Times New Roman"/>
        </w:rPr>
        <w:t>in MyMedicare is voluntary and</w:t>
      </w:r>
      <w:r w:rsidR="001F75B3">
        <w:rPr>
          <w:rFonts w:eastAsia="Times New Roman"/>
        </w:rPr>
        <w:t xml:space="preserve"> requires documented consent</w:t>
      </w:r>
      <w:r w:rsidR="00293FAD" w:rsidRPr="165438EC">
        <w:rPr>
          <w:rFonts w:eastAsia="Times New Roman"/>
        </w:rPr>
        <w:t>.</w:t>
      </w:r>
      <w:r w:rsidR="00293FAD" w:rsidRPr="4C05EBAE">
        <w:rPr>
          <w:rFonts w:eastAsia="Times New Roman"/>
        </w:rPr>
        <w:t xml:space="preserve"> Patients </w:t>
      </w:r>
      <w:r w:rsidR="0058146D">
        <w:rPr>
          <w:rFonts w:eastAsia="Times New Roman"/>
        </w:rPr>
        <w:t xml:space="preserve">who choose to </w:t>
      </w:r>
      <w:r w:rsidR="00293FAD" w:rsidRPr="165438EC">
        <w:rPr>
          <w:rFonts w:eastAsia="Times New Roman"/>
        </w:rPr>
        <w:t>register</w:t>
      </w:r>
      <w:r w:rsidR="00293FAD" w:rsidRPr="4C05EBAE">
        <w:rPr>
          <w:rFonts w:eastAsia="Times New Roman"/>
        </w:rPr>
        <w:t xml:space="preserve"> with MyMedicare will have access to continuity of care</w:t>
      </w:r>
      <w:r w:rsidR="0058146D" w:rsidRPr="165438EC">
        <w:rPr>
          <w:rFonts w:eastAsia="Times New Roman"/>
        </w:rPr>
        <w:t>,</w:t>
      </w:r>
      <w:r w:rsidR="00F76D45">
        <w:rPr>
          <w:rFonts w:eastAsia="Times New Roman"/>
        </w:rPr>
        <w:t xml:space="preserve"> </w:t>
      </w:r>
      <w:r w:rsidR="00A83D05">
        <w:rPr>
          <w:rFonts w:eastAsia="Times New Roman"/>
        </w:rPr>
        <w:t>w</w:t>
      </w:r>
      <w:r w:rsidR="0058146D">
        <w:rPr>
          <w:rFonts w:eastAsia="Times New Roman"/>
        </w:rPr>
        <w:t xml:space="preserve">hich </w:t>
      </w:r>
      <w:r w:rsidR="0058146D" w:rsidRPr="165438EC">
        <w:rPr>
          <w:rFonts w:eastAsia="Times New Roman"/>
        </w:rPr>
        <w:t>e</w:t>
      </w:r>
      <w:r w:rsidR="00F76D45" w:rsidRPr="165438EC">
        <w:rPr>
          <w:rFonts w:eastAsia="Times New Roman"/>
        </w:rPr>
        <w:t>vidence</w:t>
      </w:r>
      <w:r w:rsidR="00F76D45">
        <w:rPr>
          <w:rFonts w:eastAsia="Times New Roman"/>
        </w:rPr>
        <w:t xml:space="preserve"> indicates</w:t>
      </w:r>
      <w:r w:rsidR="00A83D05">
        <w:rPr>
          <w:rFonts w:eastAsia="Times New Roman"/>
        </w:rPr>
        <w:t xml:space="preserve"> will contribute to</w:t>
      </w:r>
      <w:r w:rsidR="00F76D45" w:rsidDel="00A83D05">
        <w:rPr>
          <w:rFonts w:eastAsia="Times New Roman"/>
        </w:rPr>
        <w:t xml:space="preserve"> </w:t>
      </w:r>
      <w:r w:rsidR="00946984">
        <w:rPr>
          <w:rFonts w:eastAsia="Times New Roman"/>
        </w:rPr>
        <w:t>better</w:t>
      </w:r>
      <w:r w:rsidR="00F76D45">
        <w:rPr>
          <w:rFonts w:eastAsia="Times New Roman"/>
        </w:rPr>
        <w:t xml:space="preserve"> continuity of care </w:t>
      </w:r>
      <w:r w:rsidR="00946984">
        <w:rPr>
          <w:rFonts w:eastAsia="Times New Roman"/>
        </w:rPr>
        <w:t xml:space="preserve">and </w:t>
      </w:r>
      <w:r w:rsidR="00293FAD" w:rsidRPr="4C05EBAE">
        <w:rPr>
          <w:rFonts w:eastAsia="Times New Roman"/>
        </w:rPr>
        <w:t xml:space="preserve">improved health outcomes. Patients can </w:t>
      </w:r>
      <w:r w:rsidR="00AF16EF" w:rsidRPr="165438EC">
        <w:rPr>
          <w:rFonts w:eastAsia="Times New Roman"/>
        </w:rPr>
        <w:t>nominate</w:t>
      </w:r>
      <w:r w:rsidR="00293FAD" w:rsidRPr="4C05EBAE">
        <w:rPr>
          <w:rFonts w:eastAsia="Times New Roman"/>
        </w:rPr>
        <w:t xml:space="preserve"> one</w:t>
      </w:r>
      <w:r w:rsidR="00D204BF" w:rsidRPr="4C05EBAE">
        <w:rPr>
          <w:rFonts w:eastAsia="Times New Roman"/>
        </w:rPr>
        <w:t xml:space="preserve"> practice </w:t>
      </w:r>
      <w:r w:rsidR="002277AB">
        <w:rPr>
          <w:rFonts w:eastAsia="Times New Roman"/>
        </w:rPr>
        <w:t>(o</w:t>
      </w:r>
      <w:r w:rsidR="00B2322C">
        <w:rPr>
          <w:rFonts w:eastAsia="Times New Roman"/>
        </w:rPr>
        <w:t>r</w:t>
      </w:r>
      <w:r w:rsidR="00993C84">
        <w:rPr>
          <w:rFonts w:eastAsia="Times New Roman"/>
        </w:rPr>
        <w:t xml:space="preserve"> </w:t>
      </w:r>
      <w:hyperlink w:anchor="_Hub_and_Spoke">
        <w:r w:rsidR="00993C84" w:rsidRPr="165438EC">
          <w:rPr>
            <w:rStyle w:val="Hyperlink"/>
            <w:rFonts w:eastAsia="Times New Roman"/>
          </w:rPr>
          <w:t>Hub</w:t>
        </w:r>
      </w:hyperlink>
      <w:r w:rsidR="002277AB">
        <w:rPr>
          <w:rFonts w:eastAsia="Times New Roman"/>
        </w:rPr>
        <w:t xml:space="preserve">) </w:t>
      </w:r>
      <w:r w:rsidR="00D204BF" w:rsidRPr="4C05EBAE">
        <w:rPr>
          <w:rFonts w:eastAsia="Times New Roman"/>
        </w:rPr>
        <w:t>and one preferred GP on their MyMedicare registration at any given time.</w:t>
      </w:r>
    </w:p>
    <w:p w14:paraId="64F4E3E2" w14:textId="77777777" w:rsidR="00B02891" w:rsidRDefault="006752D7" w:rsidP="00817CB4">
      <w:pPr>
        <w:rPr>
          <w:rFonts w:eastAsia="Times New Roman"/>
        </w:rPr>
      </w:pPr>
      <w:r>
        <w:rPr>
          <w:rFonts w:eastAsia="Times New Roman"/>
        </w:rPr>
        <w:t xml:space="preserve">If a patient chooses not to register for MyMedicare, they will still be able to access the </w:t>
      </w:r>
      <w:r w:rsidR="00B02891">
        <w:rPr>
          <w:rFonts w:eastAsia="Times New Roman"/>
        </w:rPr>
        <w:t>same quality of care from their healthcare providers.</w:t>
      </w:r>
    </w:p>
    <w:p w14:paraId="0E444DAE" w14:textId="061AF781" w:rsidR="009B7C36" w:rsidRDefault="009B7C36" w:rsidP="009B7C36">
      <w:pPr>
        <w:pStyle w:val="Heading2"/>
      </w:pPr>
      <w:bookmarkStart w:id="91" w:name="_Toc500492588"/>
      <w:r w:rsidRPr="61716D05">
        <w:t>Patient registrations</w:t>
      </w:r>
      <w:bookmarkEnd w:id="91"/>
    </w:p>
    <w:p w14:paraId="30938942" w14:textId="6E433523" w:rsidR="0061104F" w:rsidRDefault="0061104F" w:rsidP="0061104F">
      <w:pPr>
        <w:pStyle w:val="Heading2"/>
        <w:numPr>
          <w:ilvl w:val="0"/>
          <w:numId w:val="0"/>
        </w:numPr>
      </w:pPr>
      <w:bookmarkStart w:id="92" w:name="_Toc1960681647"/>
      <w:r>
        <w:t>6.2.</w:t>
      </w:r>
      <w:r w:rsidR="007A0F72">
        <w:t>1</w:t>
      </w:r>
      <w:r>
        <w:t xml:space="preserve"> Online registration</w:t>
      </w:r>
      <w:bookmarkEnd w:id="92"/>
    </w:p>
    <w:p w14:paraId="27057209" w14:textId="77777777" w:rsidR="0061104F" w:rsidRDefault="0061104F" w:rsidP="0061104F">
      <w:r w:rsidRPr="61716D05">
        <w:t>Patients can initiate their MyMedicare registration online through their MOA</w:t>
      </w:r>
      <w:r>
        <w:t xml:space="preserve"> on the </w:t>
      </w:r>
      <w:proofErr w:type="spellStart"/>
      <w:r>
        <w:t>myGov</w:t>
      </w:r>
      <w:proofErr w:type="spellEnd"/>
      <w:r>
        <w:t xml:space="preserve"> app</w:t>
      </w:r>
      <w:r w:rsidRPr="61716D05">
        <w:t>. Once completed, the patient’s registration request will be submitted to the patient’s practice. A parent or guardian listed on the same Medicare card as a child under 14 can complete patient-initiated registration through online registration</w:t>
      </w:r>
      <w:r>
        <w:t xml:space="preserve"> on behalf of this child</w:t>
      </w:r>
      <w:r w:rsidRPr="61716D05">
        <w:t xml:space="preserve">.  </w:t>
      </w:r>
    </w:p>
    <w:p w14:paraId="6D64B92A" w14:textId="1565B237" w:rsidR="009B7C36" w:rsidRPr="009B7C36" w:rsidRDefault="4C30D454" w:rsidP="71CB847D">
      <w:pPr>
        <w:pStyle w:val="Heading2"/>
        <w:numPr>
          <w:ilvl w:val="0"/>
          <w:numId w:val="0"/>
        </w:numPr>
        <w:ind w:left="432" w:hanging="432"/>
      </w:pPr>
      <w:bookmarkStart w:id="93" w:name="_Toc1476794490"/>
      <w:r>
        <w:t>6.</w:t>
      </w:r>
      <w:r w:rsidR="5F96433F">
        <w:t>2</w:t>
      </w:r>
      <w:r>
        <w:t xml:space="preserve">.2 </w:t>
      </w:r>
      <w:r w:rsidR="009B7C36">
        <w:t>In-person registrations</w:t>
      </w:r>
      <w:bookmarkEnd w:id="93"/>
    </w:p>
    <w:p w14:paraId="4A9F342A" w14:textId="77777777" w:rsidR="00AE037C" w:rsidRPr="00742F75" w:rsidRDefault="00AE037C" w:rsidP="00AE037C">
      <w:pPr>
        <w:rPr>
          <w:rFonts w:cs="Arial"/>
        </w:rPr>
      </w:pPr>
      <w:r>
        <w:rPr>
          <w:lang w:eastAsia="en-AU"/>
        </w:rPr>
        <w:t xml:space="preserve">Where a patient is not comfortable with digital registration processes, they can </w:t>
      </w:r>
      <w:r w:rsidRPr="61716D05">
        <w:rPr>
          <w:lang w:eastAsia="en-AU"/>
        </w:rPr>
        <w:t>initiate the MyMedicare registration process by</w:t>
      </w:r>
      <w:r w:rsidRPr="093E784F">
        <w:rPr>
          <w:lang w:eastAsia="en-AU"/>
        </w:rPr>
        <w:t xml:space="preserve"> </w:t>
      </w:r>
      <w:r w:rsidRPr="093E784F">
        <w:rPr>
          <w:rFonts w:cs="Arial"/>
        </w:rPr>
        <w:t>requesting</w:t>
      </w:r>
      <w:r w:rsidRPr="71CB847D">
        <w:rPr>
          <w:rFonts w:cs="Arial"/>
        </w:rPr>
        <w:t xml:space="preserve"> the authorised patient registration form from their general practice, completing it, and returning the completed form to their practice.  If a patient is living in a residential aged care home, their home should be able to provide them with a copy of the paper form.</w:t>
      </w:r>
    </w:p>
    <w:p w14:paraId="58A109D8" w14:textId="77777777" w:rsidR="00AE037C" w:rsidRDefault="00AE037C" w:rsidP="00AE037C">
      <w:pPr>
        <w:rPr>
          <w:lang w:eastAsia="en-AU"/>
        </w:rPr>
      </w:pPr>
      <w:r w:rsidRPr="61716D05">
        <w:rPr>
          <w:lang w:eastAsia="en-AU"/>
        </w:rPr>
        <w:t>By signing the form, the patient or an authorised person, parent or guardian is giving consent to participate in MyMedicare. Practice staff will then complete the registration in the MyMedicare system.</w:t>
      </w:r>
    </w:p>
    <w:p w14:paraId="35039476" w14:textId="77777777" w:rsidR="00AE037C" w:rsidRPr="00247630" w:rsidRDefault="00AE037C" w:rsidP="00AE037C">
      <w:pPr>
        <w:rPr>
          <w:rFonts w:ascii="Segoe UI" w:hAnsi="Segoe UI" w:cs="Segoe UI"/>
          <w:sz w:val="18"/>
          <w:szCs w:val="18"/>
          <w:lang w:eastAsia="en-AU"/>
        </w:rPr>
      </w:pPr>
      <w:r>
        <w:rPr>
          <w:lang w:eastAsia="en-AU"/>
        </w:rPr>
        <w:t xml:space="preserve">For registrations outside MOA, </w:t>
      </w:r>
      <w:r w:rsidRPr="093E784F">
        <w:rPr>
          <w:lang w:eastAsia="en-AU"/>
        </w:rPr>
        <w:t>only</w:t>
      </w:r>
      <w:r>
        <w:rPr>
          <w:lang w:eastAsia="en-AU"/>
        </w:rPr>
        <w:t xml:space="preserve"> the authorised </w:t>
      </w:r>
      <w:r w:rsidRPr="00742F75">
        <w:rPr>
          <w:rFonts w:cs="Arial"/>
          <w:szCs w:val="22"/>
        </w:rPr>
        <w:t>MyMedicare registration form available online at the department’s website</w:t>
      </w:r>
      <w:r>
        <w:rPr>
          <w:rFonts w:cs="Arial"/>
          <w:szCs w:val="22"/>
        </w:rPr>
        <w:t xml:space="preserve"> can</w:t>
      </w:r>
      <w:r w:rsidDel="00E976DE">
        <w:rPr>
          <w:lang w:eastAsia="en-AU"/>
        </w:rPr>
        <w:t xml:space="preserve"> </w:t>
      </w:r>
      <w:r>
        <w:rPr>
          <w:lang w:eastAsia="en-AU"/>
        </w:rPr>
        <w:t xml:space="preserve">be used to register a patient in MyMedicare. It is this form that the practice or residential aged care home will give their patient </w:t>
      </w:r>
      <w:r w:rsidRPr="61716D05">
        <w:rPr>
          <w:lang w:eastAsia="en-AU"/>
        </w:rPr>
        <w:t>  </w:t>
      </w:r>
    </w:p>
    <w:p w14:paraId="65634968" w14:textId="77777777" w:rsidR="00AE037C" w:rsidRDefault="00AE037C" w:rsidP="00AE037C">
      <w:pPr>
        <w:rPr>
          <w:lang w:eastAsia="en-AU"/>
        </w:rPr>
      </w:pPr>
      <w:r w:rsidRPr="61716D05">
        <w:rPr>
          <w:lang w:eastAsia="en-AU"/>
        </w:rPr>
        <w:lastRenderedPageBreak/>
        <w:t>It is the practice</w:t>
      </w:r>
      <w:r>
        <w:rPr>
          <w:lang w:eastAsia="en-AU"/>
        </w:rPr>
        <w:t>’s</w:t>
      </w:r>
      <w:r w:rsidRPr="61716D05">
        <w:rPr>
          <w:lang w:eastAsia="en-AU"/>
        </w:rPr>
        <w:t xml:space="preserve"> responsibility to retain a copy of the registration form in the patient’s clinical records, for compliance with record keeping obligations</w:t>
      </w:r>
      <w:r w:rsidRPr="61716D05">
        <w:rPr>
          <w:rStyle w:val="FootnoteReference"/>
          <w:lang w:eastAsia="en-AU"/>
        </w:rPr>
        <w:footnoteReference w:id="7"/>
      </w:r>
      <w:r w:rsidRPr="61716D05">
        <w:rPr>
          <w:lang w:eastAsia="en-AU"/>
        </w:rPr>
        <w:t xml:space="preserve"> in accordance with federal, state and territory legislation applicable to their practice. </w:t>
      </w:r>
      <w:r w:rsidRPr="00863069">
        <w:rPr>
          <w:u w:val="single"/>
          <w:lang w:eastAsia="en-AU"/>
        </w:rPr>
        <w:t>Any forms sent to the department or Services Australia will not be processed.</w:t>
      </w:r>
      <w:r w:rsidRPr="61716D05">
        <w:rPr>
          <w:lang w:eastAsia="en-AU"/>
        </w:rPr>
        <w:t xml:space="preserve"> </w:t>
      </w:r>
    </w:p>
    <w:p w14:paraId="3645C598" w14:textId="5F663053" w:rsidR="009B7C36" w:rsidRPr="00877366" w:rsidRDefault="009B7C36" w:rsidP="009B7C36">
      <w:r>
        <w:t xml:space="preserve">The practice must use the authorised </w:t>
      </w:r>
      <w:r w:rsidRPr="00877366">
        <w:t>MyMedicare Registration form</w:t>
      </w:r>
      <w:r>
        <w:t>, available to order or download and print from the Department’s website.</w:t>
      </w:r>
      <w:r w:rsidRPr="00877366">
        <w:t xml:space="preserve"> A patient initiated MyMedicare registration will only be active once their preferred practice has accepted the request.</w:t>
      </w:r>
    </w:p>
    <w:p w14:paraId="7451D62C" w14:textId="106EED92" w:rsidR="009B7C36" w:rsidRDefault="2C4F7D9A" w:rsidP="165438EC">
      <w:pPr>
        <w:pStyle w:val="Heading3"/>
        <w:numPr>
          <w:ilvl w:val="0"/>
          <w:numId w:val="0"/>
        </w:numPr>
        <w:rPr>
          <w:lang w:eastAsia="en-AU"/>
        </w:rPr>
      </w:pPr>
      <w:bookmarkStart w:id="94" w:name="_Toc1787349674"/>
      <w:r w:rsidRPr="165438EC">
        <w:rPr>
          <w:lang w:eastAsia="en-AU"/>
        </w:rPr>
        <w:t>6.</w:t>
      </w:r>
      <w:r w:rsidR="4BEAA746" w:rsidRPr="71CB847D">
        <w:rPr>
          <w:lang w:eastAsia="en-AU"/>
        </w:rPr>
        <w:t>2</w:t>
      </w:r>
      <w:r w:rsidRPr="165438EC">
        <w:rPr>
          <w:lang w:eastAsia="en-AU"/>
        </w:rPr>
        <w:t>.</w:t>
      </w:r>
      <w:r w:rsidR="00BA6885">
        <w:rPr>
          <w:lang w:eastAsia="en-AU"/>
        </w:rPr>
        <w:t>3</w:t>
      </w:r>
      <w:r w:rsidRPr="165438EC">
        <w:rPr>
          <w:lang w:eastAsia="en-AU"/>
        </w:rPr>
        <w:t xml:space="preserve"> </w:t>
      </w:r>
      <w:r w:rsidR="009B7C36" w:rsidRPr="61716D05">
        <w:rPr>
          <w:lang w:eastAsia="en-AU"/>
        </w:rPr>
        <w:t>Accepting patient-initiated registration</w:t>
      </w:r>
      <w:bookmarkEnd w:id="94"/>
    </w:p>
    <w:p w14:paraId="02923E4A" w14:textId="77777777" w:rsidR="009B7C36" w:rsidRPr="00877366" w:rsidRDefault="009B7C36" w:rsidP="009B7C36">
      <w:r w:rsidRPr="00877366">
        <w:t>Patient initiated registration requests must be accepted by the practice for a MyMedicare registration to be active. The practice is required to accept or decline the patients’ registration. Practices can set one of the following system preferences for patient-initiated registration:</w:t>
      </w:r>
    </w:p>
    <w:p w14:paraId="3F6C4A5D" w14:textId="77777777" w:rsidR="009B7C36" w:rsidRPr="00742F75" w:rsidRDefault="009B7C36" w:rsidP="009B7C36">
      <w:pPr>
        <w:pStyle w:val="ListBullet"/>
        <w:tabs>
          <w:tab w:val="clear" w:pos="360"/>
          <w:tab w:val="num" w:pos="1074"/>
        </w:tabs>
        <w:spacing w:before="60" w:after="60"/>
        <w:ind w:left="714" w:hanging="357"/>
        <w:rPr>
          <w:rFonts w:cs="Arial"/>
        </w:rPr>
      </w:pPr>
      <w:r>
        <w:t>auto accept – automatically accepts all new registrations submitted by the patient through Medicare online</w:t>
      </w:r>
    </w:p>
    <w:p w14:paraId="386DB571" w14:textId="77777777" w:rsidR="009B7C36" w:rsidRPr="00742F75" w:rsidRDefault="009B7C36" w:rsidP="009B7C36">
      <w:pPr>
        <w:pStyle w:val="ListBullet"/>
        <w:tabs>
          <w:tab w:val="clear" w:pos="360"/>
          <w:tab w:val="num" w:pos="1074"/>
        </w:tabs>
        <w:spacing w:before="60" w:after="60"/>
        <w:ind w:left="714" w:hanging="357"/>
        <w:rPr>
          <w:rFonts w:cs="Arial"/>
        </w:rPr>
      </w:pPr>
      <w:r>
        <w:t>auto decline – automatically declines all new registrations submitted by the patient through Medicare online</w:t>
      </w:r>
    </w:p>
    <w:p w14:paraId="63D690DB" w14:textId="77777777" w:rsidR="009B7C36" w:rsidRPr="00742F75" w:rsidRDefault="009B7C36" w:rsidP="009B7C36">
      <w:pPr>
        <w:pStyle w:val="ListBullet"/>
        <w:tabs>
          <w:tab w:val="clear" w:pos="360"/>
          <w:tab w:val="num" w:pos="1074"/>
        </w:tabs>
        <w:spacing w:before="60" w:after="60"/>
        <w:ind w:left="714" w:hanging="357"/>
        <w:rPr>
          <w:rFonts w:cs="Arial"/>
        </w:rPr>
      </w:pPr>
      <w:r>
        <w:t>manual accept/decline – all registrations submitted by a patient through online services need to be individually reviewed by the practice.</w:t>
      </w:r>
    </w:p>
    <w:p w14:paraId="63E44CBE" w14:textId="7CA4255F" w:rsidR="009B7C36" w:rsidRPr="00864E4B" w:rsidRDefault="009B7C36" w:rsidP="00817CB4">
      <w:pPr>
        <w:rPr>
          <w:lang w:eastAsia="en-AU"/>
        </w:rPr>
      </w:pPr>
      <w:r w:rsidRPr="61716D05">
        <w:rPr>
          <w:lang w:eastAsia="en-AU"/>
        </w:rPr>
        <w:t xml:space="preserve">Where a practice has set their preferences to ‘manual accept’, the practice will have 28 days to accept or decline the patient’s registration. </w:t>
      </w:r>
    </w:p>
    <w:p w14:paraId="7116B303" w14:textId="77777777" w:rsidR="006D3CC8" w:rsidRPr="004F722F" w:rsidRDefault="006D3CC8" w:rsidP="008D5480">
      <w:pPr>
        <w:pStyle w:val="Heading2"/>
      </w:pPr>
      <w:bookmarkStart w:id="95" w:name="_Toc214051013"/>
      <w:bookmarkStart w:id="96" w:name="_Toc113345823"/>
      <w:r>
        <w:t>Patient eligibility requirements</w:t>
      </w:r>
      <w:bookmarkEnd w:id="95"/>
      <w:bookmarkEnd w:id="96"/>
    </w:p>
    <w:p w14:paraId="0EDE774C" w14:textId="58B01314" w:rsidR="006D3CC8" w:rsidRDefault="006D3CC8" w:rsidP="006D3CC8">
      <w:pPr>
        <w:rPr>
          <w:rFonts w:eastAsia="Times New Roman"/>
          <w:szCs w:val="22"/>
        </w:rPr>
      </w:pPr>
      <w:r>
        <w:rPr>
          <w:rFonts w:eastAsia="Times New Roman"/>
          <w:szCs w:val="22"/>
        </w:rPr>
        <w:t>To be eligible for MyMedicare registration, patients must meet the following criteria:</w:t>
      </w:r>
    </w:p>
    <w:p w14:paraId="0793662B" w14:textId="136D4FDA" w:rsidR="006D3CC8" w:rsidRPr="00AC0C69" w:rsidRDefault="006D3CC8" w:rsidP="00742F75">
      <w:pPr>
        <w:pStyle w:val="ListBullet"/>
        <w:tabs>
          <w:tab w:val="clear" w:pos="360"/>
          <w:tab w:val="num" w:pos="1074"/>
        </w:tabs>
        <w:spacing w:before="60" w:after="60"/>
        <w:ind w:left="714" w:hanging="357"/>
        <w:contextualSpacing w:val="0"/>
        <w:rPr>
          <w:rFonts w:cs="Arial"/>
        </w:rPr>
      </w:pPr>
      <w:r w:rsidRPr="48909DBA">
        <w:rPr>
          <w:rFonts w:cs="Arial"/>
        </w:rPr>
        <w:t xml:space="preserve">have a valid Medicare or Department of Veterans’ Affairs (DVA) </w:t>
      </w:r>
      <w:r w:rsidR="00565B20" w:rsidRPr="48909DBA">
        <w:rPr>
          <w:rFonts w:cs="Arial"/>
        </w:rPr>
        <w:t xml:space="preserve">Veteran </w:t>
      </w:r>
      <w:r w:rsidRPr="48909DBA">
        <w:rPr>
          <w:rFonts w:cs="Arial"/>
        </w:rPr>
        <w:t>card</w:t>
      </w:r>
      <w:r w:rsidR="00AC0C69" w:rsidRPr="48909DBA">
        <w:rPr>
          <w:rFonts w:cs="Arial"/>
        </w:rPr>
        <w:t>, and</w:t>
      </w:r>
      <w:r w:rsidRPr="48909DBA">
        <w:rPr>
          <w:rFonts w:cs="Arial"/>
        </w:rPr>
        <w:t xml:space="preserve"> </w:t>
      </w:r>
    </w:p>
    <w:p w14:paraId="76622A8F" w14:textId="113935DB" w:rsidR="00BE49F3" w:rsidRDefault="006D3CC8" w:rsidP="00742F75">
      <w:pPr>
        <w:pStyle w:val="ListBullet"/>
        <w:tabs>
          <w:tab w:val="clear" w:pos="360"/>
          <w:tab w:val="num" w:pos="1074"/>
        </w:tabs>
        <w:spacing w:before="60" w:after="60"/>
        <w:ind w:left="714" w:hanging="357"/>
        <w:contextualSpacing w:val="0"/>
        <w:rPr>
          <w:rFonts w:cs="Arial"/>
        </w:rPr>
      </w:pPr>
      <w:r w:rsidRPr="48909DBA">
        <w:rPr>
          <w:rFonts w:cs="Arial"/>
        </w:rPr>
        <w:t>have ha</w:t>
      </w:r>
      <w:r w:rsidR="00FF4664" w:rsidRPr="48909DBA">
        <w:rPr>
          <w:rFonts w:cs="Arial"/>
        </w:rPr>
        <w:t>d</w:t>
      </w:r>
      <w:r w:rsidR="75CB7131" w:rsidRPr="48909DBA">
        <w:rPr>
          <w:rFonts w:cs="Arial"/>
        </w:rPr>
        <w:t xml:space="preserve"> </w:t>
      </w:r>
      <w:r w:rsidRPr="48909DBA">
        <w:rPr>
          <w:rFonts w:cs="Arial"/>
        </w:rPr>
        <w:t xml:space="preserve">face-to-face MBS services with the practice in the previous 24 months </w:t>
      </w:r>
      <w:r w:rsidR="00BE49F3" w:rsidRPr="48909DBA">
        <w:rPr>
          <w:rFonts w:cs="Arial"/>
        </w:rPr>
        <w:t>consisting of:</w:t>
      </w:r>
    </w:p>
    <w:p w14:paraId="010D6A83" w14:textId="77777777" w:rsidR="00F33F34" w:rsidRDefault="00FA47D1" w:rsidP="00BE49F3">
      <w:pPr>
        <w:pStyle w:val="ListBullet"/>
        <w:tabs>
          <w:tab w:val="clear" w:pos="360"/>
          <w:tab w:val="num" w:pos="1431"/>
        </w:tabs>
        <w:spacing w:before="60" w:after="60"/>
        <w:ind w:left="1071" w:hanging="357"/>
        <w:contextualSpacing w:val="0"/>
        <w:rPr>
          <w:rFonts w:cs="Arial"/>
        </w:rPr>
      </w:pPr>
      <w:r w:rsidRPr="48909DBA">
        <w:rPr>
          <w:rFonts w:cs="Arial"/>
        </w:rPr>
        <w:t xml:space="preserve">one face-to-face MBS service </w:t>
      </w:r>
      <w:r w:rsidR="00F33F34" w:rsidRPr="48909DBA">
        <w:rPr>
          <w:rFonts w:cs="Arial"/>
        </w:rPr>
        <w:t>for practices in remote locations (MMM6-7), or</w:t>
      </w:r>
    </w:p>
    <w:p w14:paraId="301B2DA6" w14:textId="1F0BD6FA" w:rsidR="00C00525" w:rsidRPr="00F56B10" w:rsidRDefault="00F33F34" w:rsidP="00133BCB">
      <w:pPr>
        <w:pStyle w:val="ListBullet"/>
        <w:tabs>
          <w:tab w:val="clear" w:pos="360"/>
          <w:tab w:val="num" w:pos="1431"/>
        </w:tabs>
        <w:spacing w:before="60" w:after="60"/>
        <w:ind w:left="1071" w:hanging="357"/>
        <w:contextualSpacing w:val="0"/>
        <w:rPr>
          <w:rFonts w:cs="Arial"/>
        </w:rPr>
      </w:pPr>
      <w:r w:rsidRPr="48909DBA">
        <w:rPr>
          <w:rFonts w:cs="Arial"/>
        </w:rPr>
        <w:t xml:space="preserve">two face-to-face MBS services for all other locations. </w:t>
      </w:r>
      <w:r w:rsidR="005847E1" w:rsidRPr="48909DBA">
        <w:rPr>
          <w:rFonts w:cs="Arial"/>
        </w:rPr>
        <w:t xml:space="preserve"> </w:t>
      </w:r>
    </w:p>
    <w:p w14:paraId="01EEFCF7" w14:textId="4DC4F456" w:rsidR="00734559" w:rsidRDefault="776D15CC" w:rsidP="165438EC">
      <w:pPr>
        <w:pStyle w:val="Heading2"/>
        <w:spacing w:before="60" w:after="60"/>
        <w:ind w:hanging="357"/>
      </w:pPr>
      <w:bookmarkStart w:id="97" w:name="_Toc214051014"/>
      <w:r>
        <w:t xml:space="preserve">  </w:t>
      </w:r>
      <w:bookmarkStart w:id="98" w:name="_Toc1019147969"/>
      <w:r w:rsidR="00356B48">
        <w:t>E</w:t>
      </w:r>
      <w:r w:rsidR="00734559">
        <w:t xml:space="preserve">xemption to </w:t>
      </w:r>
      <w:r w:rsidR="00356B48">
        <w:t xml:space="preserve">patient </w:t>
      </w:r>
      <w:r w:rsidR="00734559">
        <w:t>eligibility requirements</w:t>
      </w:r>
      <w:bookmarkEnd w:id="97"/>
      <w:bookmarkEnd w:id="98"/>
    </w:p>
    <w:p w14:paraId="596442BC" w14:textId="0C873C03" w:rsidR="00050291" w:rsidRDefault="00F76E9D" w:rsidP="00734559">
      <w:pPr>
        <w:rPr>
          <w:lang w:eastAsia="en-AU"/>
        </w:rPr>
      </w:pPr>
      <w:r w:rsidRPr="42EB6FAE">
        <w:rPr>
          <w:lang w:eastAsia="en-AU"/>
        </w:rPr>
        <w:t>P</w:t>
      </w:r>
      <w:r w:rsidR="00734559" w:rsidRPr="42EB6FAE">
        <w:rPr>
          <w:lang w:eastAsia="en-AU"/>
        </w:rPr>
        <w:t>atient</w:t>
      </w:r>
      <w:r w:rsidR="00734559" w:rsidRPr="4C05EBAE" w:rsidDel="00F76E9D">
        <w:rPr>
          <w:lang w:eastAsia="en-AU"/>
        </w:rPr>
        <w:t xml:space="preserve"> </w:t>
      </w:r>
      <w:r w:rsidR="00734559" w:rsidRPr="4C05EBAE">
        <w:rPr>
          <w:lang w:eastAsia="en-AU"/>
        </w:rPr>
        <w:t>exemptions</w:t>
      </w:r>
      <w:r w:rsidR="00E53982">
        <w:rPr>
          <w:lang w:eastAsia="en-AU"/>
        </w:rPr>
        <w:t xml:space="preserve"> to the face-to-face MBS servicing requirements support </w:t>
      </w:r>
      <w:r w:rsidR="00572BF6">
        <w:rPr>
          <w:lang w:eastAsia="en-AU"/>
        </w:rPr>
        <w:t>those</w:t>
      </w:r>
      <w:r w:rsidR="00E53982">
        <w:rPr>
          <w:lang w:eastAsia="en-AU"/>
        </w:rPr>
        <w:t xml:space="preserve"> </w:t>
      </w:r>
      <w:r w:rsidR="00A251D7">
        <w:rPr>
          <w:lang w:eastAsia="en-AU"/>
        </w:rPr>
        <w:t>experiencing extenuating circumstances</w:t>
      </w:r>
      <w:r w:rsidR="00734559" w:rsidRPr="4C05EBAE" w:rsidDel="00E53982">
        <w:rPr>
          <w:lang w:eastAsia="en-AU"/>
        </w:rPr>
        <w:t xml:space="preserve"> </w:t>
      </w:r>
      <w:r w:rsidR="00F33F34">
        <w:rPr>
          <w:lang w:eastAsia="en-AU"/>
        </w:rPr>
        <w:t>who</w:t>
      </w:r>
      <w:r w:rsidR="00572BF6">
        <w:rPr>
          <w:lang w:eastAsia="en-AU"/>
        </w:rPr>
        <w:t xml:space="preserve"> are </w:t>
      </w:r>
      <w:r w:rsidR="00734559" w:rsidRPr="4C05EBAE">
        <w:rPr>
          <w:lang w:eastAsia="en-AU"/>
        </w:rPr>
        <w:t xml:space="preserve">wishing to continue to see their usual </w:t>
      </w:r>
      <w:r w:rsidR="00FF57FD" w:rsidRPr="42EB6FAE">
        <w:rPr>
          <w:lang w:eastAsia="en-AU"/>
        </w:rPr>
        <w:t>GP</w:t>
      </w:r>
      <w:r w:rsidR="00734559" w:rsidRPr="4C05EBAE">
        <w:rPr>
          <w:lang w:eastAsia="en-AU"/>
        </w:rPr>
        <w:t xml:space="preserve"> or reconnect with the primary care system</w:t>
      </w:r>
      <w:r w:rsidR="00572BF6" w:rsidRPr="42EB6FAE">
        <w:rPr>
          <w:lang w:eastAsia="en-AU"/>
        </w:rPr>
        <w:t>.</w:t>
      </w:r>
      <w:r w:rsidR="00734559" w:rsidRPr="42EB6FAE">
        <w:rPr>
          <w:lang w:eastAsia="en-AU"/>
        </w:rPr>
        <w:t xml:space="preserve"> </w:t>
      </w:r>
      <w:r w:rsidR="00734559" w:rsidRPr="4C05EBAE">
        <w:rPr>
          <w:lang w:eastAsia="en-AU"/>
        </w:rPr>
        <w:t xml:space="preserve"> </w:t>
      </w:r>
    </w:p>
    <w:p w14:paraId="5F525ED3" w14:textId="2B8A89C8" w:rsidR="00706510" w:rsidRDefault="00706510" w:rsidP="008F627F">
      <w:pPr>
        <w:pStyle w:val="Heading3"/>
      </w:pPr>
      <w:bookmarkStart w:id="99" w:name="_Toc112217708"/>
      <w:r>
        <w:t>General exemptions</w:t>
      </w:r>
      <w:bookmarkEnd w:id="99"/>
    </w:p>
    <w:p w14:paraId="5C4DC523" w14:textId="08D3C220" w:rsidR="00050291" w:rsidRPr="00050291" w:rsidRDefault="00050291" w:rsidP="00050291">
      <w:pPr>
        <w:rPr>
          <w:lang w:eastAsia="en-AU"/>
        </w:rPr>
      </w:pPr>
      <w:r w:rsidRPr="00050291">
        <w:rPr>
          <w:lang w:eastAsia="en-AU"/>
        </w:rPr>
        <w:t>A general exemption is available to: </w:t>
      </w:r>
    </w:p>
    <w:p w14:paraId="2E90BA44" w14:textId="387F2E55" w:rsidR="00050291" w:rsidRPr="00050291" w:rsidRDefault="002736AE" w:rsidP="00B16726">
      <w:pPr>
        <w:numPr>
          <w:ilvl w:val="0"/>
          <w:numId w:val="21"/>
        </w:numPr>
        <w:rPr>
          <w:lang w:eastAsia="en-AU"/>
        </w:rPr>
      </w:pPr>
      <w:r w:rsidRPr="00050291">
        <w:rPr>
          <w:lang w:eastAsia="en-AU"/>
        </w:rPr>
        <w:t>C</w:t>
      </w:r>
      <w:r w:rsidR="00050291" w:rsidRPr="00050291">
        <w:rPr>
          <w:lang w:eastAsia="en-AU"/>
        </w:rPr>
        <w:t>hild</w:t>
      </w:r>
      <w:r>
        <w:rPr>
          <w:lang w:eastAsia="en-AU"/>
        </w:rPr>
        <w:t xml:space="preserve">ren aged under </w:t>
      </w:r>
      <w:r w:rsidR="0011584E">
        <w:rPr>
          <w:lang w:eastAsia="en-AU"/>
        </w:rPr>
        <w:t xml:space="preserve">14 who have </w:t>
      </w:r>
      <w:r w:rsidR="00050291" w:rsidRPr="00050291">
        <w:rPr>
          <w:lang w:eastAsia="en-AU"/>
        </w:rPr>
        <w:t>a parent registered with MyMedicare at the same practice </w:t>
      </w:r>
    </w:p>
    <w:p w14:paraId="0146816C" w14:textId="772592DB" w:rsidR="00050291" w:rsidRPr="00050291" w:rsidRDefault="0011584E" w:rsidP="00B16726">
      <w:pPr>
        <w:numPr>
          <w:ilvl w:val="0"/>
          <w:numId w:val="22"/>
        </w:numPr>
        <w:rPr>
          <w:lang w:eastAsia="en-AU"/>
        </w:rPr>
      </w:pPr>
      <w:r>
        <w:rPr>
          <w:lang w:eastAsia="en-AU"/>
        </w:rPr>
        <w:t xml:space="preserve">The </w:t>
      </w:r>
      <w:r w:rsidR="00050291" w:rsidRPr="00050291">
        <w:rPr>
          <w:lang w:eastAsia="en-AU"/>
        </w:rPr>
        <w:t xml:space="preserve">parent of a child </w:t>
      </w:r>
      <w:r>
        <w:rPr>
          <w:lang w:eastAsia="en-AU"/>
        </w:rPr>
        <w:t xml:space="preserve">aged under 18 who is </w:t>
      </w:r>
      <w:r w:rsidR="00050291" w:rsidRPr="00050291">
        <w:rPr>
          <w:lang w:eastAsia="en-AU"/>
        </w:rPr>
        <w:t>registered with MyMedicare at the same practice. </w:t>
      </w:r>
    </w:p>
    <w:p w14:paraId="01B8392A" w14:textId="422C9FAA" w:rsidR="00050291" w:rsidRDefault="00356B48" w:rsidP="00133BCB">
      <w:pPr>
        <w:pStyle w:val="Heading3"/>
      </w:pPr>
      <w:bookmarkStart w:id="100" w:name="_Toc2014477654"/>
      <w:r>
        <w:lastRenderedPageBreak/>
        <w:t>Exemption</w:t>
      </w:r>
      <w:r w:rsidR="00706510">
        <w:t>s</w:t>
      </w:r>
      <w:r w:rsidR="002D6EEE">
        <w:t xml:space="preserve"> </w:t>
      </w:r>
      <w:r w:rsidR="00706510">
        <w:t xml:space="preserve">for </w:t>
      </w:r>
      <w:r w:rsidR="006A6025">
        <w:t>extenuating or unforeseen circumstance</w:t>
      </w:r>
      <w:r w:rsidR="00706510">
        <w:t>s</w:t>
      </w:r>
      <w:bookmarkEnd w:id="100"/>
    </w:p>
    <w:p w14:paraId="486B4C0C" w14:textId="6F556F0E" w:rsidR="00734559" w:rsidRPr="00E94ED2" w:rsidRDefault="009F3304" w:rsidP="00734559">
      <w:pPr>
        <w:rPr>
          <w:lang w:eastAsia="en-AU"/>
        </w:rPr>
      </w:pPr>
      <w:r>
        <w:rPr>
          <w:lang w:eastAsia="en-AU"/>
        </w:rPr>
        <w:t>Exemptions for extenuating or unforeseen circumstances</w:t>
      </w:r>
      <w:r w:rsidR="00572BF6">
        <w:rPr>
          <w:lang w:eastAsia="en-AU"/>
        </w:rPr>
        <w:t xml:space="preserve"> </w:t>
      </w:r>
      <w:r w:rsidR="00734559" w:rsidRPr="4C05EBAE">
        <w:rPr>
          <w:lang w:eastAsia="en-AU"/>
        </w:rPr>
        <w:t>recognise th</w:t>
      </w:r>
      <w:r w:rsidR="00572BF6">
        <w:rPr>
          <w:lang w:eastAsia="en-AU"/>
        </w:rPr>
        <w:t>at some individual</w:t>
      </w:r>
      <w:r w:rsidR="00D232BA">
        <w:rPr>
          <w:lang w:eastAsia="en-AU"/>
        </w:rPr>
        <w:t xml:space="preserve">s have </w:t>
      </w:r>
      <w:proofErr w:type="gramStart"/>
      <w:r w:rsidR="00D232BA">
        <w:rPr>
          <w:lang w:eastAsia="en-AU"/>
        </w:rPr>
        <w:t>experienced, or</w:t>
      </w:r>
      <w:proofErr w:type="gramEnd"/>
      <w:r w:rsidR="00D232BA">
        <w:rPr>
          <w:lang w:eastAsia="en-AU"/>
        </w:rPr>
        <w:t xml:space="preserve"> are </w:t>
      </w:r>
      <w:r w:rsidR="00D232BA" w:rsidRPr="165438EC">
        <w:rPr>
          <w:lang w:eastAsia="en-AU"/>
        </w:rPr>
        <w:t>experiencing</w:t>
      </w:r>
      <w:r w:rsidR="00734559" w:rsidRPr="4C05EBAE">
        <w:rPr>
          <w:lang w:eastAsia="en-AU"/>
        </w:rPr>
        <w:t xml:space="preserve"> circumstances that may </w:t>
      </w:r>
      <w:r w:rsidR="00535F41">
        <w:rPr>
          <w:lang w:eastAsia="en-AU"/>
        </w:rPr>
        <w:t xml:space="preserve">have limited their ability to </w:t>
      </w:r>
      <w:r w:rsidR="006217A0">
        <w:rPr>
          <w:lang w:eastAsia="en-AU"/>
        </w:rPr>
        <w:t xml:space="preserve">receive face-to-face MBS services. </w:t>
      </w:r>
    </w:p>
    <w:p w14:paraId="57514AAB" w14:textId="3057B238" w:rsidR="00734559" w:rsidRPr="00E94ED2" w:rsidRDefault="00734559" w:rsidP="00734559">
      <w:pPr>
        <w:rPr>
          <w:rFonts w:ascii="Segoe UI" w:hAnsi="Segoe UI" w:cs="Segoe UI"/>
          <w:sz w:val="18"/>
          <w:szCs w:val="18"/>
          <w:lang w:eastAsia="en-AU"/>
        </w:rPr>
      </w:pPr>
      <w:r>
        <w:rPr>
          <w:lang w:eastAsia="en-AU"/>
        </w:rPr>
        <w:t>Patient eligibility e</w:t>
      </w:r>
      <w:r w:rsidRPr="00E94ED2">
        <w:rPr>
          <w:lang w:eastAsia="en-AU"/>
        </w:rPr>
        <w:t xml:space="preserve">xemptions </w:t>
      </w:r>
      <w:r>
        <w:rPr>
          <w:lang w:eastAsia="en-AU"/>
        </w:rPr>
        <w:t>can only be applied</w:t>
      </w:r>
      <w:r w:rsidR="00572BF6">
        <w:rPr>
          <w:lang w:eastAsia="en-AU"/>
        </w:rPr>
        <w:t xml:space="preserve"> for</w:t>
      </w:r>
      <w:r>
        <w:rPr>
          <w:lang w:eastAsia="en-AU"/>
        </w:rPr>
        <w:t xml:space="preserve"> by a practice </w:t>
      </w:r>
      <w:r w:rsidRPr="00E94ED2">
        <w:rPr>
          <w:lang w:eastAsia="en-AU"/>
        </w:rPr>
        <w:t xml:space="preserve">when registering </w:t>
      </w:r>
      <w:r w:rsidR="00F33F34" w:rsidRPr="165438EC">
        <w:rPr>
          <w:lang w:eastAsia="en-AU"/>
        </w:rPr>
        <w:t>their</w:t>
      </w:r>
      <w:r w:rsidRPr="00E94ED2">
        <w:rPr>
          <w:lang w:eastAsia="en-AU"/>
        </w:rPr>
        <w:t xml:space="preserve"> patient for MyMedicare. </w:t>
      </w:r>
      <w:r>
        <w:rPr>
          <w:lang w:eastAsia="en-AU"/>
        </w:rPr>
        <w:t>These exemptions are</w:t>
      </w:r>
      <w:r w:rsidR="00494137">
        <w:rPr>
          <w:lang w:eastAsia="en-AU"/>
        </w:rPr>
        <w:t xml:space="preserve"> for</w:t>
      </w:r>
      <w:r w:rsidR="006217A0">
        <w:rPr>
          <w:lang w:eastAsia="en-AU"/>
        </w:rPr>
        <w:t xml:space="preserve"> those who</w:t>
      </w:r>
      <w:r>
        <w:rPr>
          <w:lang w:eastAsia="en-AU"/>
        </w:rPr>
        <w:t>:</w:t>
      </w:r>
    </w:p>
    <w:p w14:paraId="331F2958" w14:textId="25F4A726"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 xml:space="preserve">have medical conditions or other unforeseen circumstances that </w:t>
      </w:r>
      <w:r w:rsidR="58B01383" w:rsidRPr="48909DBA">
        <w:rPr>
          <w:rFonts w:cs="Arial"/>
        </w:rPr>
        <w:t>ha</w:t>
      </w:r>
      <w:r w:rsidR="198611D7" w:rsidRPr="48909DBA">
        <w:rPr>
          <w:rFonts w:cs="Arial"/>
        </w:rPr>
        <w:t>ve</w:t>
      </w:r>
      <w:r w:rsidRPr="48909DBA">
        <w:rPr>
          <w:rFonts w:cs="Arial"/>
        </w:rPr>
        <w:t xml:space="preserve"> limited their capacity to attend face-to-face appointments with their GP</w:t>
      </w:r>
      <w:r w:rsidR="006217A0" w:rsidRPr="48909DBA">
        <w:rPr>
          <w:rFonts w:cs="Arial"/>
        </w:rPr>
        <w:t>,</w:t>
      </w:r>
    </w:p>
    <w:p w14:paraId="4D81DBED" w14:textId="4205E0EF"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are living in rural and remote areas who have limited access or ability to travel to medical services</w:t>
      </w:r>
      <w:r w:rsidR="006217A0" w:rsidRPr="48909DBA">
        <w:rPr>
          <w:rFonts w:cs="Arial"/>
        </w:rPr>
        <w:t>,</w:t>
      </w:r>
    </w:p>
    <w:p w14:paraId="09DEED77" w14:textId="14770D2F"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have had to relocate due to natural disasters, weather events or emergencies</w:t>
      </w:r>
      <w:r w:rsidR="006217A0" w:rsidRPr="48909DBA">
        <w:rPr>
          <w:rFonts w:cs="Arial"/>
        </w:rPr>
        <w:t>,</w:t>
      </w:r>
    </w:p>
    <w:p w14:paraId="4848A3F4" w14:textId="3937F0D5"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were previously released from state or territory confinement in the past 24 months</w:t>
      </w:r>
      <w:r w:rsidR="006217A0" w:rsidRPr="48909DBA">
        <w:rPr>
          <w:rFonts w:cs="Arial"/>
        </w:rPr>
        <w:t>,</w:t>
      </w:r>
    </w:p>
    <w:p w14:paraId="25C6AA8C" w14:textId="103DF994"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were discharged from the Australian Defence Forces (ADF) within the past 24 months</w:t>
      </w:r>
      <w:r w:rsidR="006217A0" w:rsidRPr="48909DBA">
        <w:rPr>
          <w:rFonts w:cs="Arial"/>
        </w:rPr>
        <w:t>,</w:t>
      </w:r>
    </w:p>
    <w:p w14:paraId="51898DB5" w14:textId="17B46579"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were refugees or asylum seekers and have been granted a protection visa in the 24 months prior to seeking to register for MyMedicare</w:t>
      </w:r>
      <w:r w:rsidR="006217A0" w:rsidRPr="48909DBA">
        <w:rPr>
          <w:rFonts w:cs="Arial"/>
        </w:rPr>
        <w:t>,</w:t>
      </w:r>
    </w:p>
    <w:p w14:paraId="2CA9638A" w14:textId="1C82FD36" w:rsidR="00CF78B8" w:rsidRPr="006217A0" w:rsidRDefault="00CF78B8" w:rsidP="006217A0">
      <w:pPr>
        <w:pStyle w:val="ListBullet"/>
        <w:tabs>
          <w:tab w:val="clear" w:pos="360"/>
          <w:tab w:val="num" w:pos="1074"/>
        </w:tabs>
        <w:spacing w:before="60" w:after="60"/>
        <w:ind w:left="714" w:hanging="357"/>
        <w:rPr>
          <w:rFonts w:cs="Arial"/>
        </w:rPr>
      </w:pPr>
      <w:r w:rsidRPr="48909DBA">
        <w:rPr>
          <w:rFonts w:cs="Arial"/>
        </w:rPr>
        <w:t>have returned from overseas after an absence of more than 24 months. </w:t>
      </w:r>
    </w:p>
    <w:p w14:paraId="007AED0D" w14:textId="0B8C05C2" w:rsidR="00734559" w:rsidRDefault="6E10BFBB" w:rsidP="71CB847D">
      <w:pPr>
        <w:pStyle w:val="ListBullet"/>
        <w:spacing w:before="60" w:after="60"/>
        <w:ind w:left="714" w:hanging="357"/>
        <w:rPr>
          <w:rFonts w:cs="Arial"/>
        </w:rPr>
      </w:pPr>
      <w:r w:rsidRPr="48909DBA">
        <w:rPr>
          <w:rFonts w:cs="Arial"/>
        </w:rPr>
        <w:t>live in a residential aged care home</w:t>
      </w:r>
      <w:r w:rsidR="0002617F" w:rsidRPr="48909DBA">
        <w:rPr>
          <w:rFonts w:cs="Arial"/>
        </w:rPr>
        <w:t>.</w:t>
      </w:r>
    </w:p>
    <w:p w14:paraId="17561C52" w14:textId="65D67B50" w:rsidR="00734559" w:rsidRDefault="3FCCA16E" w:rsidP="00734559">
      <w:r>
        <w:t>Th</w:t>
      </w:r>
      <w:r w:rsidR="60300C28">
        <w:t>e</w:t>
      </w:r>
      <w:r w:rsidR="00734559">
        <w:t xml:space="preserve"> exemption reason will not be </w:t>
      </w:r>
      <w:r w:rsidR="006217A0">
        <w:t xml:space="preserve">collected by the Department and will not be </w:t>
      </w:r>
      <w:r w:rsidR="00734559">
        <w:t>visible through any other online service</w:t>
      </w:r>
      <w:r w:rsidR="006217A0">
        <w:t xml:space="preserve">, </w:t>
      </w:r>
      <w:r w:rsidR="00A848C8">
        <w:t xml:space="preserve">electronic </w:t>
      </w:r>
      <w:r w:rsidR="00734559">
        <w:t>notifications</w:t>
      </w:r>
      <w:r w:rsidR="006217A0">
        <w:t>,</w:t>
      </w:r>
      <w:r w:rsidR="00734559" w:rsidDel="006217A0">
        <w:t xml:space="preserve"> </w:t>
      </w:r>
      <w:r w:rsidR="006217A0">
        <w:t xml:space="preserve">or </w:t>
      </w:r>
      <w:r w:rsidR="00734559">
        <w:t>on any other MyMedicare systems.</w:t>
      </w:r>
    </w:p>
    <w:p w14:paraId="140660BA" w14:textId="77777777" w:rsidR="00D74252" w:rsidRDefault="00D74252" w:rsidP="00D74252">
      <w:pPr>
        <w:pStyle w:val="Heading2"/>
      </w:pPr>
      <w:bookmarkStart w:id="101" w:name="_Toc214051015"/>
      <w:bookmarkStart w:id="102" w:name="_Toc20596483"/>
      <w:r>
        <w:t>‘About You’ questions (demographics)</w:t>
      </w:r>
      <w:bookmarkEnd w:id="101"/>
      <w:bookmarkEnd w:id="102"/>
    </w:p>
    <w:p w14:paraId="53B986FA" w14:textId="77777777" w:rsidR="00D74252" w:rsidRPr="00454C55" w:rsidRDefault="00D74252" w:rsidP="61716D05">
      <w:pPr>
        <w:rPr>
          <w:rFonts w:ascii="Segoe UI" w:hAnsi="Segoe UI" w:cs="Segoe UI"/>
          <w:sz w:val="18"/>
          <w:szCs w:val="18"/>
          <w:lang w:eastAsia="en-AU"/>
        </w:rPr>
      </w:pPr>
      <w:r w:rsidRPr="61716D05">
        <w:rPr>
          <w:lang w:eastAsia="en-AU"/>
        </w:rPr>
        <w:t>When registering for MyMedicare, patients can voluntarily provide additional personal information in the ‘About You’ section. This information will help the practice and government to plan and improve healthcare services. If a patient chooses not to provide this information, they can still register for MyMedicare.  </w:t>
      </w:r>
    </w:p>
    <w:p w14:paraId="0F7C02A2" w14:textId="57D87461" w:rsidR="00D74252" w:rsidRPr="00454C55" w:rsidRDefault="00D74252" w:rsidP="61716D05">
      <w:pPr>
        <w:rPr>
          <w:rFonts w:ascii="Segoe UI" w:hAnsi="Segoe UI" w:cs="Segoe UI"/>
          <w:sz w:val="18"/>
          <w:szCs w:val="18"/>
          <w:lang w:eastAsia="en-AU"/>
        </w:rPr>
      </w:pPr>
      <w:r w:rsidRPr="61716D05">
        <w:rPr>
          <w:lang w:eastAsia="en-AU"/>
        </w:rPr>
        <w:t xml:space="preserve">If patients provide responses to the ‘About You’ questions on the MyMedicare registration form at the practice, the practice is required to add these responses when registering the patient for </w:t>
      </w:r>
      <w:r w:rsidR="004F430B" w:rsidRPr="61716D05">
        <w:rPr>
          <w:lang w:eastAsia="en-AU"/>
        </w:rPr>
        <w:t>M</w:t>
      </w:r>
      <w:r w:rsidRPr="61716D05">
        <w:rPr>
          <w:lang w:eastAsia="en-AU"/>
        </w:rPr>
        <w:t>yMedicare. Patients can also provide responses to these questions when registering through Medicare online services.  </w:t>
      </w:r>
    </w:p>
    <w:p w14:paraId="237DC437" w14:textId="77777777" w:rsidR="00D74252" w:rsidRDefault="00D74252" w:rsidP="00D74252">
      <w:pPr>
        <w:rPr>
          <w:lang w:eastAsia="en-AU"/>
        </w:rPr>
      </w:pPr>
      <w:r w:rsidRPr="00454C55">
        <w:rPr>
          <w:lang w:eastAsia="en-AU"/>
        </w:rPr>
        <w:t>Patients can change or remove their ‘About You’ responses at any time using Medicare online services. Practices can remove responses at a patient’s request but cannot change or add responses to existing MyMedicare registrations. </w:t>
      </w:r>
    </w:p>
    <w:p w14:paraId="2ADD30C6" w14:textId="79640EC5" w:rsidR="00D74252" w:rsidRPr="00877366" w:rsidRDefault="00D74252" w:rsidP="00877366">
      <w:r w:rsidRPr="00877366">
        <w:t xml:space="preserve">Patients are encouraged to complete the ‘About You’ section of the </w:t>
      </w:r>
      <w:r w:rsidR="00094562" w:rsidRPr="00877366">
        <w:t>My</w:t>
      </w:r>
      <w:r w:rsidRPr="00877366">
        <w:t>Medicare registration form.</w:t>
      </w:r>
    </w:p>
    <w:p w14:paraId="0D3F1C00" w14:textId="77777777" w:rsidR="00E52001" w:rsidRDefault="00E52001" w:rsidP="00A37319">
      <w:pPr>
        <w:pStyle w:val="Heading2"/>
        <w:ind w:left="578" w:hanging="578"/>
      </w:pPr>
      <w:bookmarkStart w:id="103" w:name="_Toc214051016"/>
      <w:bookmarkStart w:id="104" w:name="_Toc1943760690"/>
      <w:r>
        <w:t>Reduced MBS service eligibility requirements</w:t>
      </w:r>
      <w:bookmarkEnd w:id="103"/>
      <w:bookmarkEnd w:id="104"/>
    </w:p>
    <w:p w14:paraId="04E704F1" w14:textId="5395B6FA" w:rsidR="009A08A7" w:rsidRDefault="009A08A7" w:rsidP="093E784F">
      <w:bookmarkStart w:id="105" w:name="_Toc214051017"/>
      <w:r>
        <w:t>Preferred GP</w:t>
      </w:r>
      <w:bookmarkEnd w:id="105"/>
    </w:p>
    <w:p w14:paraId="2DB54960" w14:textId="1CADFCC6" w:rsidR="009A08A7" w:rsidRDefault="009A08A7" w:rsidP="61716D05">
      <w:pPr>
        <w:rPr>
          <w:lang w:eastAsia="en-AU"/>
        </w:rPr>
      </w:pPr>
      <w:r w:rsidRPr="5E58B131">
        <w:rPr>
          <w:lang w:eastAsia="en-AU"/>
        </w:rPr>
        <w:t xml:space="preserve">Through the MyMedicare registration process, patients are required to </w:t>
      </w:r>
      <w:r w:rsidR="00B84CAB" w:rsidRPr="5E58B131">
        <w:rPr>
          <w:lang w:eastAsia="en-AU"/>
        </w:rPr>
        <w:t>nominate</w:t>
      </w:r>
      <w:r w:rsidRPr="5E58B131">
        <w:rPr>
          <w:lang w:eastAsia="en-AU"/>
        </w:rPr>
        <w:t xml:space="preserve"> their preferred GP at the practice they are registering. This is the GP that the patient trusts most with their care. </w:t>
      </w:r>
      <w:r w:rsidR="009B35CB" w:rsidRPr="5E58B131">
        <w:rPr>
          <w:lang w:eastAsia="en-AU"/>
        </w:rPr>
        <w:t>This aim</w:t>
      </w:r>
      <w:r w:rsidR="00DB6226" w:rsidRPr="5E58B131">
        <w:rPr>
          <w:lang w:eastAsia="en-AU"/>
        </w:rPr>
        <w:t>s to re</w:t>
      </w:r>
      <w:r w:rsidR="001B5894" w:rsidRPr="5E58B131">
        <w:rPr>
          <w:lang w:eastAsia="en-AU"/>
        </w:rPr>
        <w:t xml:space="preserve">cognise </w:t>
      </w:r>
      <w:r w:rsidR="005305EC" w:rsidRPr="5E58B131">
        <w:rPr>
          <w:lang w:eastAsia="en-AU"/>
        </w:rPr>
        <w:t xml:space="preserve">established </w:t>
      </w:r>
      <w:r w:rsidR="00857474" w:rsidRPr="5E58B131">
        <w:rPr>
          <w:lang w:eastAsia="en-AU"/>
        </w:rPr>
        <w:t>rel</w:t>
      </w:r>
      <w:r w:rsidR="00E32392" w:rsidRPr="5E58B131">
        <w:rPr>
          <w:lang w:eastAsia="en-AU"/>
        </w:rPr>
        <w:t xml:space="preserve">ationships </w:t>
      </w:r>
      <w:r w:rsidR="00AD70FF" w:rsidRPr="5E58B131">
        <w:rPr>
          <w:lang w:eastAsia="en-AU"/>
        </w:rPr>
        <w:t>between patient, GP and the practice</w:t>
      </w:r>
      <w:r w:rsidRPr="5E58B131">
        <w:rPr>
          <w:lang w:eastAsia="en-AU"/>
        </w:rPr>
        <w:t xml:space="preserve">. Having a preferred GP </w:t>
      </w:r>
      <w:r w:rsidRPr="5E58B131">
        <w:rPr>
          <w:lang w:eastAsia="en-AU"/>
        </w:rPr>
        <w:lastRenderedPageBreak/>
        <w:t>also supports a patient’s continuity of care and acknowledges that GPs are central to the coordination of primary health care. </w:t>
      </w:r>
    </w:p>
    <w:p w14:paraId="1ECCA7B7" w14:textId="0292C689" w:rsidR="009A08A7" w:rsidRDefault="009A08A7" w:rsidP="009A08A7">
      <w:pPr>
        <w:rPr>
          <w:lang w:eastAsia="en-AU"/>
        </w:rPr>
      </w:pPr>
      <w:r w:rsidRPr="4C05EBAE">
        <w:rPr>
          <w:lang w:eastAsia="en-AU"/>
        </w:rPr>
        <w:t xml:space="preserve">Patients can only have one general </w:t>
      </w:r>
      <w:r w:rsidR="001E6265" w:rsidRPr="4C05EBAE">
        <w:rPr>
          <w:lang w:eastAsia="en-AU"/>
        </w:rPr>
        <w:t>practice,</w:t>
      </w:r>
      <w:r w:rsidRPr="4C05EBAE">
        <w:rPr>
          <w:lang w:eastAsia="en-AU"/>
        </w:rPr>
        <w:t xml:space="preserve"> and one preferred GP listed on their MyMedicare registration at any given time. </w:t>
      </w:r>
    </w:p>
    <w:p w14:paraId="2C4AE808" w14:textId="78FD798C" w:rsidR="009A08A7" w:rsidRDefault="009A08A7" w:rsidP="61716D05">
      <w:pPr>
        <w:rPr>
          <w:lang w:eastAsia="en-AU"/>
        </w:rPr>
      </w:pPr>
      <w:r w:rsidRPr="61716D05">
        <w:rPr>
          <w:lang w:eastAsia="en-AU"/>
        </w:rPr>
        <w:t>If the preferred GP is no longer providing services at the practice or their provider number is no longer eligible, there will be no impact to a patient’s MyMedicare registration.</w:t>
      </w:r>
      <w:r w:rsidR="002E24E4" w:rsidRPr="61716D05">
        <w:rPr>
          <w:lang w:eastAsia="en-AU"/>
        </w:rPr>
        <w:t xml:space="preserve"> When a patient’s preferred GP is no longer eligible for MyMedicare, a notification is sent to the patient</w:t>
      </w:r>
      <w:r w:rsidR="009459CA">
        <w:rPr>
          <w:lang w:eastAsia="en-AU"/>
        </w:rPr>
        <w:t>’</w:t>
      </w:r>
      <w:r w:rsidR="002E24E4" w:rsidRPr="61716D05">
        <w:rPr>
          <w:lang w:eastAsia="en-AU"/>
        </w:rPr>
        <w:t xml:space="preserve">s </w:t>
      </w:r>
      <w:proofErr w:type="spellStart"/>
      <w:r w:rsidR="002E24E4" w:rsidRPr="61716D05">
        <w:rPr>
          <w:lang w:eastAsia="en-AU"/>
        </w:rPr>
        <w:t>myGov</w:t>
      </w:r>
      <w:proofErr w:type="spellEnd"/>
      <w:r w:rsidR="002E24E4" w:rsidRPr="61716D05">
        <w:rPr>
          <w:lang w:eastAsia="en-AU"/>
        </w:rPr>
        <w:t xml:space="preserve"> inbox.</w:t>
      </w:r>
    </w:p>
    <w:p w14:paraId="2952D01B" w14:textId="04C3B506" w:rsidR="00BE35DF" w:rsidRDefault="00D33DBB" w:rsidP="00E62EEF">
      <w:pPr>
        <w:pStyle w:val="Heading2"/>
        <w:ind w:left="578" w:hanging="578"/>
        <w:rPr>
          <w:lang w:eastAsia="en-AU"/>
        </w:rPr>
      </w:pPr>
      <w:bookmarkStart w:id="106" w:name="_Toc214051018"/>
      <w:bookmarkStart w:id="107" w:name="_Toc696685325"/>
      <w:r>
        <w:rPr>
          <w:lang w:eastAsia="en-AU"/>
        </w:rPr>
        <w:t xml:space="preserve">Changing </w:t>
      </w:r>
      <w:r w:rsidR="00323CC0">
        <w:rPr>
          <w:lang w:eastAsia="en-AU"/>
        </w:rPr>
        <w:t xml:space="preserve">the </w:t>
      </w:r>
      <w:r w:rsidR="007D4457">
        <w:rPr>
          <w:lang w:eastAsia="en-AU"/>
        </w:rPr>
        <w:t>preferred GP</w:t>
      </w:r>
      <w:bookmarkEnd w:id="106"/>
      <w:bookmarkEnd w:id="107"/>
    </w:p>
    <w:p w14:paraId="4E3A7F4F" w14:textId="5E9C69FA" w:rsidR="002E24E4" w:rsidRPr="00877366" w:rsidRDefault="00F44DED" w:rsidP="00877366">
      <w:r w:rsidRPr="00877366">
        <w:t>Once a patient is registered for MyMedicare with their practice they can update their preferred GP at any time. This can be done through their MyMedicare registration in</w:t>
      </w:r>
      <w:r w:rsidR="00084E73" w:rsidRPr="00877366">
        <w:t xml:space="preserve"> their</w:t>
      </w:r>
      <w:r w:rsidRPr="00877366">
        <w:t> </w:t>
      </w:r>
      <w:r w:rsidR="00C735ED" w:rsidRPr="00877366">
        <w:t xml:space="preserve">Medicare </w:t>
      </w:r>
      <w:r w:rsidR="00FE0795" w:rsidRPr="00877366">
        <w:t>O</w:t>
      </w:r>
      <w:r w:rsidR="00C735ED" w:rsidRPr="00877366">
        <w:t xml:space="preserve">nline </w:t>
      </w:r>
      <w:r w:rsidR="00FE0795" w:rsidRPr="00877366">
        <w:t>A</w:t>
      </w:r>
      <w:r w:rsidR="007E5D0C" w:rsidRPr="00877366">
        <w:t>ccount (</w:t>
      </w:r>
      <w:r w:rsidR="005F7416" w:rsidRPr="00877366">
        <w:t>MOA</w:t>
      </w:r>
      <w:r w:rsidR="00873A05">
        <w:t xml:space="preserve">) </w:t>
      </w:r>
      <w:r w:rsidR="00044B5B">
        <w:t xml:space="preserve">through the </w:t>
      </w:r>
      <w:proofErr w:type="spellStart"/>
      <w:r w:rsidR="00044B5B">
        <w:t>myGov</w:t>
      </w:r>
      <w:proofErr w:type="spellEnd"/>
      <w:r w:rsidR="00044B5B">
        <w:t xml:space="preserve"> app</w:t>
      </w:r>
      <w:r w:rsidRPr="00877366">
        <w:t xml:space="preserve">, or by the practice at the patient’s request. </w:t>
      </w:r>
    </w:p>
    <w:p w14:paraId="4BB23400" w14:textId="6701E1A6" w:rsidR="00AF1EF1" w:rsidRPr="00AF1EF1" w:rsidRDefault="00AF1EF1" w:rsidP="61716D05">
      <w:pPr>
        <w:rPr>
          <w:lang w:eastAsia="en-AU"/>
        </w:rPr>
      </w:pPr>
      <w:r w:rsidRPr="61716D05">
        <w:rPr>
          <w:lang w:eastAsia="en-AU"/>
        </w:rPr>
        <w:t xml:space="preserve">Dependant on the patient’s </w:t>
      </w:r>
      <w:proofErr w:type="spellStart"/>
      <w:r w:rsidRPr="61716D05">
        <w:rPr>
          <w:lang w:eastAsia="en-AU"/>
        </w:rPr>
        <w:t>myGov</w:t>
      </w:r>
      <w:proofErr w:type="spellEnd"/>
      <w:r w:rsidRPr="61716D05">
        <w:rPr>
          <w:lang w:eastAsia="en-AU"/>
        </w:rPr>
        <w:t xml:space="preserve"> settings, the patient may receive a generic text message from </w:t>
      </w:r>
      <w:proofErr w:type="spellStart"/>
      <w:r w:rsidRPr="61716D05">
        <w:rPr>
          <w:lang w:eastAsia="en-AU"/>
        </w:rPr>
        <w:t>myGov</w:t>
      </w:r>
      <w:proofErr w:type="spellEnd"/>
      <w:r w:rsidRPr="61716D05">
        <w:rPr>
          <w:lang w:eastAsia="en-AU"/>
        </w:rPr>
        <w:t xml:space="preserve"> advising the patient they have received a new message in their </w:t>
      </w:r>
      <w:proofErr w:type="spellStart"/>
      <w:r w:rsidRPr="61716D05">
        <w:rPr>
          <w:lang w:eastAsia="en-AU"/>
        </w:rPr>
        <w:t>myGov</w:t>
      </w:r>
      <w:proofErr w:type="spellEnd"/>
      <w:r w:rsidRPr="61716D05">
        <w:rPr>
          <w:lang w:eastAsia="en-AU"/>
        </w:rPr>
        <w:t xml:space="preserve"> inbox. This text message will not contain any specific MyMedicare registration information.  </w:t>
      </w:r>
    </w:p>
    <w:p w14:paraId="27BDCBCA" w14:textId="55AB1298" w:rsidR="00AF1EF1" w:rsidRPr="007D4457" w:rsidRDefault="002E24E4" w:rsidP="61716D05">
      <w:pPr>
        <w:rPr>
          <w:lang w:eastAsia="en-AU"/>
        </w:rPr>
      </w:pPr>
      <w:r w:rsidRPr="61716D05">
        <w:rPr>
          <w:lang w:eastAsia="en-AU"/>
        </w:rPr>
        <w:t xml:space="preserve">The </w:t>
      </w:r>
      <w:r w:rsidR="00AF1EF1" w:rsidRPr="61716D05">
        <w:rPr>
          <w:lang w:eastAsia="en-AU"/>
        </w:rPr>
        <w:t xml:space="preserve">patient </w:t>
      </w:r>
      <w:r w:rsidRPr="61716D05">
        <w:rPr>
          <w:lang w:eastAsia="en-AU"/>
        </w:rPr>
        <w:t xml:space="preserve">is notified that their </w:t>
      </w:r>
      <w:r w:rsidR="00AF1EF1" w:rsidRPr="61716D05">
        <w:rPr>
          <w:lang w:eastAsia="en-AU"/>
        </w:rPr>
        <w:t>preferred GP is no longer providing MyMedicare services at their registered practice. Th</w:t>
      </w:r>
      <w:r w:rsidRPr="61716D05">
        <w:rPr>
          <w:lang w:eastAsia="en-AU"/>
        </w:rPr>
        <w:t>e</w:t>
      </w:r>
      <w:r w:rsidR="00AF1EF1" w:rsidRPr="61716D05">
        <w:rPr>
          <w:lang w:eastAsia="en-AU"/>
        </w:rPr>
        <w:t xml:space="preserve"> notification </w:t>
      </w:r>
      <w:r w:rsidRPr="61716D05">
        <w:rPr>
          <w:lang w:eastAsia="en-AU"/>
        </w:rPr>
        <w:t xml:space="preserve">explains </w:t>
      </w:r>
      <w:r w:rsidR="00AF1EF1" w:rsidRPr="61716D05">
        <w:rPr>
          <w:lang w:eastAsia="en-AU"/>
        </w:rPr>
        <w:t>why the</w:t>
      </w:r>
      <w:r w:rsidRPr="61716D05">
        <w:rPr>
          <w:lang w:eastAsia="en-AU"/>
        </w:rPr>
        <w:t>y no longer have</w:t>
      </w:r>
      <w:r w:rsidR="00AF1EF1" w:rsidRPr="61716D05">
        <w:rPr>
          <w:lang w:eastAsia="en-AU"/>
        </w:rPr>
        <w:t xml:space="preserve"> a GP assigned </w:t>
      </w:r>
      <w:r w:rsidRPr="61716D05">
        <w:rPr>
          <w:lang w:eastAsia="en-AU"/>
        </w:rPr>
        <w:t xml:space="preserve">and </w:t>
      </w:r>
      <w:r w:rsidR="00AF1EF1" w:rsidRPr="61716D05">
        <w:rPr>
          <w:lang w:eastAsia="en-AU"/>
        </w:rPr>
        <w:t xml:space="preserve">provides information on </w:t>
      </w:r>
      <w:r w:rsidRPr="61716D05">
        <w:rPr>
          <w:lang w:eastAsia="en-AU"/>
        </w:rPr>
        <w:t xml:space="preserve">selecting </w:t>
      </w:r>
      <w:r w:rsidR="00AF1EF1" w:rsidRPr="61716D05">
        <w:rPr>
          <w:lang w:eastAsia="en-AU"/>
        </w:rPr>
        <w:t xml:space="preserve">a new preferred GP </w:t>
      </w:r>
      <w:r w:rsidRPr="61716D05">
        <w:rPr>
          <w:lang w:eastAsia="en-AU"/>
        </w:rPr>
        <w:t>if they wish.</w:t>
      </w:r>
      <w:r w:rsidR="00AF1EF1" w:rsidRPr="61716D05">
        <w:rPr>
          <w:lang w:eastAsia="en-AU"/>
        </w:rPr>
        <w:t xml:space="preserve"> </w:t>
      </w:r>
      <w:r w:rsidRPr="61716D05">
        <w:rPr>
          <w:lang w:eastAsia="en-AU"/>
        </w:rPr>
        <w:t xml:space="preserve">It also confirms that they remain </w:t>
      </w:r>
      <w:r w:rsidR="00AF1EF1" w:rsidRPr="61716D05">
        <w:rPr>
          <w:lang w:eastAsia="en-AU"/>
        </w:rPr>
        <w:t xml:space="preserve">registered in MyMedicare and can continue to </w:t>
      </w:r>
      <w:r w:rsidR="00AA5DDA" w:rsidRPr="61716D05">
        <w:rPr>
          <w:lang w:eastAsia="en-AU"/>
        </w:rPr>
        <w:t>access</w:t>
      </w:r>
      <w:r w:rsidRPr="61716D05">
        <w:rPr>
          <w:lang w:eastAsia="en-AU"/>
        </w:rPr>
        <w:t xml:space="preserve"> </w:t>
      </w:r>
      <w:r w:rsidR="00AF1EF1" w:rsidRPr="61716D05">
        <w:rPr>
          <w:lang w:eastAsia="en-AU"/>
        </w:rPr>
        <w:t xml:space="preserve">services </w:t>
      </w:r>
      <w:r w:rsidRPr="61716D05">
        <w:rPr>
          <w:lang w:eastAsia="en-AU"/>
        </w:rPr>
        <w:t xml:space="preserve">at their </w:t>
      </w:r>
      <w:r w:rsidR="00AF1EF1" w:rsidRPr="61716D05">
        <w:rPr>
          <w:lang w:eastAsia="en-AU"/>
        </w:rPr>
        <w:t>registered practice</w:t>
      </w:r>
      <w:r w:rsidRPr="61716D05">
        <w:rPr>
          <w:lang w:eastAsia="en-AU"/>
        </w:rPr>
        <w:t xml:space="preserve">, </w:t>
      </w:r>
      <w:r w:rsidR="00AF1EF1" w:rsidRPr="61716D05">
        <w:rPr>
          <w:lang w:eastAsia="en-AU"/>
        </w:rPr>
        <w:t>regardless of whether the</w:t>
      </w:r>
      <w:r w:rsidRPr="61716D05">
        <w:rPr>
          <w:lang w:eastAsia="en-AU"/>
        </w:rPr>
        <w:t>y choose a new p</w:t>
      </w:r>
      <w:r w:rsidR="00AF1EF1" w:rsidRPr="61716D05">
        <w:rPr>
          <w:lang w:eastAsia="en-AU"/>
        </w:rPr>
        <w:t>referred GP. </w:t>
      </w:r>
    </w:p>
    <w:p w14:paraId="22FD1485" w14:textId="6B99BC3F" w:rsidR="002F04E2" w:rsidRDefault="009A7DF1" w:rsidP="2D17CA88">
      <w:pPr>
        <w:pStyle w:val="Heading1"/>
        <w:ind w:left="0"/>
        <w:rPr>
          <w:lang w:eastAsia="en-AU"/>
        </w:rPr>
      </w:pPr>
      <w:bookmarkStart w:id="108" w:name="_Toc214051022"/>
      <w:bookmarkStart w:id="109" w:name="_Toc1516599071"/>
      <w:r>
        <w:rPr>
          <w:lang w:eastAsia="en-AU"/>
        </w:rPr>
        <w:t>Consent</w:t>
      </w:r>
      <w:bookmarkEnd w:id="108"/>
      <w:bookmarkEnd w:id="109"/>
    </w:p>
    <w:p w14:paraId="1FDAA730" w14:textId="57C1B113" w:rsidR="009A7DF1" w:rsidRDefault="0033590B" w:rsidP="009A7DF1">
      <w:pPr>
        <w:pStyle w:val="Heading2"/>
        <w:rPr>
          <w:lang w:eastAsia="en-AU"/>
        </w:rPr>
      </w:pPr>
      <w:bookmarkStart w:id="110" w:name="_Toc214051023"/>
      <w:bookmarkStart w:id="111" w:name="_Toc712935078"/>
      <w:r>
        <w:rPr>
          <w:lang w:eastAsia="en-AU"/>
        </w:rPr>
        <w:t>Adult patients</w:t>
      </w:r>
      <w:bookmarkEnd w:id="110"/>
      <w:bookmarkEnd w:id="111"/>
    </w:p>
    <w:p w14:paraId="285C9029" w14:textId="598A0426" w:rsidR="0033590B" w:rsidRDefault="0033590B" w:rsidP="0033590B">
      <w:pPr>
        <w:rPr>
          <w:lang w:eastAsia="en-AU"/>
        </w:rPr>
      </w:pPr>
      <w:r>
        <w:rPr>
          <w:lang w:eastAsia="en-AU"/>
        </w:rPr>
        <w:t xml:space="preserve">Patients aged 14 years and </w:t>
      </w:r>
      <w:r w:rsidR="000C79FC">
        <w:rPr>
          <w:lang w:eastAsia="en-AU"/>
        </w:rPr>
        <w:t xml:space="preserve">older </w:t>
      </w:r>
      <w:r>
        <w:rPr>
          <w:lang w:eastAsia="en-AU"/>
        </w:rPr>
        <w:t xml:space="preserve">must provide consent when registering in MyMedicare unless </w:t>
      </w:r>
      <w:hyperlink r:id="rId19" w:anchor="how-to-register:~:text=People%20who%20are%20facing%20hardship%20will%20be%20exempt%20from%20all%20eligibility%20requirements.%20This%20includes%20people%20experiencing%20domestic%20and%20family%20violence%20and%20homelessness." w:history="1">
        <w:r w:rsidR="0025278C" w:rsidRPr="00383368">
          <w:rPr>
            <w:rStyle w:val="Hyperlink"/>
            <w:lang w:eastAsia="en-AU"/>
          </w:rPr>
          <w:t>ex</w:t>
        </w:r>
        <w:r w:rsidR="00CD6FC0" w:rsidRPr="00383368">
          <w:rPr>
            <w:rStyle w:val="Hyperlink"/>
            <w:lang w:eastAsia="en-AU"/>
          </w:rPr>
          <w:t>ceptions</w:t>
        </w:r>
      </w:hyperlink>
      <w:r w:rsidR="00CD6FC0">
        <w:rPr>
          <w:lang w:eastAsia="en-AU"/>
        </w:rPr>
        <w:t xml:space="preserve"> apply.</w:t>
      </w:r>
    </w:p>
    <w:p w14:paraId="4C8C758B" w14:textId="04D7BB4F" w:rsidR="00751298" w:rsidRDefault="00751298" w:rsidP="00751298">
      <w:pPr>
        <w:pStyle w:val="Heading2"/>
        <w:rPr>
          <w:lang w:eastAsia="en-AU"/>
        </w:rPr>
      </w:pPr>
      <w:bookmarkStart w:id="112" w:name="_Toc214051024"/>
      <w:bookmarkStart w:id="113" w:name="_Toc860928803"/>
      <w:r>
        <w:rPr>
          <w:lang w:eastAsia="en-AU"/>
        </w:rPr>
        <w:t>Young person</w:t>
      </w:r>
      <w:r w:rsidR="00EB11AE">
        <w:rPr>
          <w:lang w:eastAsia="en-AU"/>
        </w:rPr>
        <w:t xml:space="preserve"> patient</w:t>
      </w:r>
      <w:bookmarkEnd w:id="112"/>
      <w:bookmarkEnd w:id="113"/>
    </w:p>
    <w:p w14:paraId="2409855F" w14:textId="60A91F00" w:rsidR="00EB11AE" w:rsidRPr="00877366" w:rsidRDefault="00EB11AE" w:rsidP="00877366">
      <w:r>
        <w:t>Patients aged 14 years and older must provide consent for a MyMedicare registration. For young people aged 14-17 years</w:t>
      </w:r>
      <w:r w:rsidR="004B35FA">
        <w:t>,</w:t>
      </w:r>
      <w:r>
        <w:t xml:space="preserve"> a parent or guardian can also complete (or assist with completing) the MyMedicare registration form on the</w:t>
      </w:r>
      <w:r w:rsidR="002E0DF3">
        <w:t>ir</w:t>
      </w:r>
      <w:r w:rsidDel="00EB11AE">
        <w:t xml:space="preserve"> </w:t>
      </w:r>
      <w:r>
        <w:t>behalf. This option can only be exercised where the parent/guardian has declared (on the registration form)</w:t>
      </w:r>
      <w:r w:rsidR="5C76CE97">
        <w:t xml:space="preserve"> that</w:t>
      </w:r>
      <w:r>
        <w:t xml:space="preserve"> the young person is aware of the registration and has provided consent. </w:t>
      </w:r>
    </w:p>
    <w:p w14:paraId="762C5592" w14:textId="11B1E8C2" w:rsidR="00EB11AE" w:rsidRDefault="00204355" w:rsidP="00EB11AE">
      <w:pPr>
        <w:pStyle w:val="Heading2"/>
        <w:rPr>
          <w:lang w:eastAsia="en-AU"/>
        </w:rPr>
      </w:pPr>
      <w:bookmarkStart w:id="114" w:name="_Toc214051025"/>
      <w:bookmarkStart w:id="115" w:name="_Toc2055158784"/>
      <w:r>
        <w:rPr>
          <w:lang w:eastAsia="en-AU"/>
        </w:rPr>
        <w:t>Under 14 years of age</w:t>
      </w:r>
      <w:r w:rsidR="00995332">
        <w:rPr>
          <w:lang w:eastAsia="en-AU"/>
        </w:rPr>
        <w:t xml:space="preserve"> patient</w:t>
      </w:r>
      <w:bookmarkEnd w:id="114"/>
      <w:bookmarkEnd w:id="115"/>
    </w:p>
    <w:p w14:paraId="59AE271E" w14:textId="4139D207" w:rsidR="00995332" w:rsidRDefault="00995332" w:rsidP="00995332">
      <w:pPr>
        <w:rPr>
          <w:lang w:eastAsia="en-AU"/>
        </w:rPr>
      </w:pPr>
      <w:r>
        <w:rPr>
          <w:lang w:eastAsia="en-AU"/>
        </w:rPr>
        <w:t>Consent for MyMedicare for patients under 14 is required by a parent or guardian</w:t>
      </w:r>
      <w:r w:rsidR="005B5459">
        <w:rPr>
          <w:lang w:eastAsia="en-AU"/>
        </w:rPr>
        <w:t xml:space="preserve">. </w:t>
      </w:r>
      <w:r w:rsidR="0017413A">
        <w:rPr>
          <w:lang w:eastAsia="en-AU"/>
        </w:rPr>
        <w:t>A p</w:t>
      </w:r>
      <w:r w:rsidR="005B5459">
        <w:rPr>
          <w:lang w:eastAsia="en-AU"/>
        </w:rPr>
        <w:t>arent or</w:t>
      </w:r>
      <w:r w:rsidR="00E0432F">
        <w:rPr>
          <w:lang w:eastAsia="en-AU"/>
        </w:rPr>
        <w:t xml:space="preserve"> guardian </w:t>
      </w:r>
      <w:r w:rsidR="005467F5">
        <w:rPr>
          <w:lang w:eastAsia="en-AU"/>
        </w:rPr>
        <w:t>can complete a MyMedicare registration form and return it to their practice which will complete the MyMedicare registration.</w:t>
      </w:r>
    </w:p>
    <w:p w14:paraId="43C7FB7F" w14:textId="4BF97A0C" w:rsidR="0017413A" w:rsidRDefault="00D11F85" w:rsidP="00995332">
      <w:pPr>
        <w:rPr>
          <w:lang w:eastAsia="en-AU"/>
        </w:rPr>
      </w:pPr>
      <w:r>
        <w:rPr>
          <w:lang w:eastAsia="en-AU"/>
        </w:rPr>
        <w:t>A</w:t>
      </w:r>
      <w:r w:rsidR="0055259F">
        <w:rPr>
          <w:lang w:eastAsia="en-AU"/>
        </w:rPr>
        <w:t xml:space="preserve"> parent or guardian listed on the same Medicare card as the child can register</w:t>
      </w:r>
      <w:r w:rsidR="00C61337">
        <w:rPr>
          <w:lang w:eastAsia="en-AU"/>
        </w:rPr>
        <w:t xml:space="preserve"> </w:t>
      </w:r>
      <w:r w:rsidR="00602645">
        <w:rPr>
          <w:lang w:eastAsia="en-AU"/>
        </w:rPr>
        <w:t xml:space="preserve">and consent </w:t>
      </w:r>
      <w:r w:rsidR="00C61337">
        <w:rPr>
          <w:lang w:eastAsia="en-AU"/>
        </w:rPr>
        <w:t>through</w:t>
      </w:r>
      <w:r w:rsidR="0089555F">
        <w:rPr>
          <w:lang w:eastAsia="en-AU"/>
        </w:rPr>
        <w:t xml:space="preserve"> </w:t>
      </w:r>
      <w:r w:rsidR="00C61337">
        <w:rPr>
          <w:lang w:eastAsia="en-AU"/>
        </w:rPr>
        <w:t>MOA</w:t>
      </w:r>
      <w:r w:rsidR="0089555F">
        <w:rPr>
          <w:lang w:eastAsia="en-AU"/>
        </w:rPr>
        <w:t xml:space="preserve"> </w:t>
      </w:r>
      <w:r w:rsidR="006C5F84" w:rsidRPr="2D17CA88">
        <w:rPr>
          <w:lang w:eastAsia="en-AU"/>
        </w:rPr>
        <w:t>through</w:t>
      </w:r>
      <w:r w:rsidR="006C5F84">
        <w:rPr>
          <w:lang w:eastAsia="en-AU"/>
        </w:rPr>
        <w:t xml:space="preserve"> the </w:t>
      </w:r>
      <w:proofErr w:type="spellStart"/>
      <w:r w:rsidR="006C5F84">
        <w:rPr>
          <w:lang w:eastAsia="en-AU"/>
        </w:rPr>
        <w:t>myGov</w:t>
      </w:r>
      <w:proofErr w:type="spellEnd"/>
      <w:r w:rsidR="006C5F84">
        <w:rPr>
          <w:lang w:eastAsia="en-AU"/>
        </w:rPr>
        <w:t xml:space="preserve"> app</w:t>
      </w:r>
      <w:r w:rsidR="00C61337">
        <w:rPr>
          <w:lang w:eastAsia="en-AU"/>
        </w:rPr>
        <w:t xml:space="preserve">. </w:t>
      </w:r>
    </w:p>
    <w:p w14:paraId="7AA4703C" w14:textId="40DB8937" w:rsidR="00E436AF" w:rsidRDefault="00E436AF" w:rsidP="61716D05">
      <w:pPr>
        <w:pStyle w:val="Heading2"/>
        <w:rPr>
          <w:lang w:eastAsia="en-AU"/>
        </w:rPr>
      </w:pPr>
      <w:bookmarkStart w:id="116" w:name="_Toc214051026"/>
      <w:bookmarkStart w:id="117" w:name="_Toc1653401680"/>
      <w:r w:rsidRPr="61716D05">
        <w:rPr>
          <w:lang w:eastAsia="en-AU"/>
        </w:rPr>
        <w:lastRenderedPageBreak/>
        <w:t xml:space="preserve">Lack of capacity to </w:t>
      </w:r>
      <w:r w:rsidR="00147443" w:rsidRPr="61716D05">
        <w:rPr>
          <w:lang w:eastAsia="en-AU"/>
        </w:rPr>
        <w:t>consent</w:t>
      </w:r>
      <w:r w:rsidR="000E55E7" w:rsidRPr="61716D05">
        <w:rPr>
          <w:lang w:eastAsia="en-AU"/>
        </w:rPr>
        <w:t xml:space="preserve"> in </w:t>
      </w:r>
      <w:r w:rsidR="000B0028" w:rsidRPr="61716D05">
        <w:rPr>
          <w:lang w:eastAsia="en-AU"/>
        </w:rPr>
        <w:t>MyMedicare</w:t>
      </w:r>
      <w:bookmarkEnd w:id="116"/>
      <w:bookmarkEnd w:id="117"/>
    </w:p>
    <w:p w14:paraId="68592CD1" w14:textId="06724196" w:rsidR="004326F1" w:rsidRDefault="004326F1" w:rsidP="61716D05">
      <w:pPr>
        <w:rPr>
          <w:lang w:eastAsia="en-AU"/>
        </w:rPr>
      </w:pPr>
      <w:r w:rsidRPr="61716D05">
        <w:rPr>
          <w:lang w:eastAsia="en-AU"/>
        </w:rPr>
        <w:t>As for other Medicare arrangements</w:t>
      </w:r>
      <w:r w:rsidRPr="61716D05">
        <w:rPr>
          <w:rStyle w:val="FootnoteReference"/>
          <w:lang w:eastAsia="en-AU"/>
        </w:rPr>
        <w:footnoteReference w:id="8"/>
      </w:r>
      <w:r w:rsidRPr="61716D05">
        <w:rPr>
          <w:lang w:eastAsia="en-AU"/>
        </w:rPr>
        <w:t>, if a</w:t>
      </w:r>
      <w:r w:rsidR="00E436AF" w:rsidRPr="61716D05">
        <w:rPr>
          <w:lang w:eastAsia="en-AU"/>
        </w:rPr>
        <w:t xml:space="preserve"> patient lacks the capacity, </w:t>
      </w:r>
      <w:r w:rsidRPr="61716D05">
        <w:rPr>
          <w:lang w:eastAsia="en-AU"/>
        </w:rPr>
        <w:t>a person can act on behalf of the patient</w:t>
      </w:r>
      <w:r w:rsidR="00FB6BB2">
        <w:rPr>
          <w:lang w:eastAsia="en-AU"/>
        </w:rPr>
        <w:t xml:space="preserve"> </w:t>
      </w:r>
      <w:r w:rsidR="00094562" w:rsidRPr="61716D05">
        <w:rPr>
          <w:lang w:eastAsia="en-AU"/>
        </w:rPr>
        <w:t>when any of the following applies:</w:t>
      </w:r>
    </w:p>
    <w:p w14:paraId="710C193B" w14:textId="3171AD4F" w:rsidR="004326F1" w:rsidRPr="00742F75" w:rsidRDefault="00787991" w:rsidP="00742F75">
      <w:pPr>
        <w:pStyle w:val="ListBullet"/>
        <w:tabs>
          <w:tab w:val="clear" w:pos="360"/>
          <w:tab w:val="num" w:pos="1074"/>
        </w:tabs>
        <w:spacing w:before="60" w:after="60"/>
        <w:ind w:left="714" w:hanging="357"/>
        <w:contextualSpacing w:val="0"/>
        <w:rPr>
          <w:rFonts w:cs="Arial"/>
        </w:rPr>
      </w:pPr>
      <w:r w:rsidRPr="48909DBA">
        <w:rPr>
          <w:rFonts w:cs="Arial"/>
        </w:rPr>
        <w:t xml:space="preserve">they are </w:t>
      </w:r>
      <w:r w:rsidR="00496D9B" w:rsidRPr="48909DBA">
        <w:rPr>
          <w:rFonts w:cs="Arial"/>
        </w:rPr>
        <w:t xml:space="preserve">the patient’s appointed </w:t>
      </w:r>
      <w:r w:rsidR="004326F1" w:rsidRPr="48909DBA">
        <w:rPr>
          <w:rFonts w:cs="Arial"/>
        </w:rPr>
        <w:t>Power of Attorney (POA)</w:t>
      </w:r>
      <w:r w:rsidR="00B13E1F" w:rsidRPr="48909DBA">
        <w:rPr>
          <w:rFonts w:cs="Arial"/>
        </w:rPr>
        <w:t xml:space="preserve"> </w:t>
      </w:r>
    </w:p>
    <w:p w14:paraId="3E9A895F" w14:textId="28C49DFC" w:rsidR="004326F1" w:rsidRPr="00742F75" w:rsidRDefault="004326F1" w:rsidP="00742F75">
      <w:pPr>
        <w:pStyle w:val="ListBullet"/>
        <w:tabs>
          <w:tab w:val="clear" w:pos="360"/>
          <w:tab w:val="num" w:pos="1074"/>
        </w:tabs>
        <w:spacing w:before="60" w:after="60"/>
        <w:ind w:left="714" w:hanging="357"/>
        <w:contextualSpacing w:val="0"/>
        <w:rPr>
          <w:rFonts w:cs="Arial"/>
        </w:rPr>
      </w:pPr>
      <w:r w:rsidRPr="48909DBA">
        <w:rPr>
          <w:rFonts w:cs="Arial"/>
        </w:rPr>
        <w:t xml:space="preserve">a court or tribunal has appointed </w:t>
      </w:r>
      <w:r w:rsidR="00994AB1" w:rsidRPr="48909DBA">
        <w:rPr>
          <w:rFonts w:cs="Arial"/>
        </w:rPr>
        <w:t xml:space="preserve">them as </w:t>
      </w:r>
      <w:r w:rsidR="005E5C71" w:rsidRPr="48909DBA">
        <w:rPr>
          <w:rFonts w:cs="Arial"/>
        </w:rPr>
        <w:t>the patient’s</w:t>
      </w:r>
      <w:r w:rsidRPr="48909DBA">
        <w:rPr>
          <w:rFonts w:cs="Arial"/>
        </w:rPr>
        <w:t xml:space="preserve"> guardian and administrator</w:t>
      </w:r>
    </w:p>
    <w:p w14:paraId="32D131A5" w14:textId="7BA80659" w:rsidR="004326F1" w:rsidRPr="00742F75" w:rsidRDefault="004326F1" w:rsidP="00742F75">
      <w:pPr>
        <w:pStyle w:val="ListBullet"/>
        <w:tabs>
          <w:tab w:val="clear" w:pos="360"/>
          <w:tab w:val="num" w:pos="1074"/>
        </w:tabs>
        <w:spacing w:before="60" w:after="60"/>
        <w:ind w:left="714" w:hanging="357"/>
        <w:contextualSpacing w:val="0"/>
        <w:rPr>
          <w:rFonts w:cs="Arial"/>
        </w:rPr>
      </w:pPr>
      <w:r w:rsidRPr="48909DBA">
        <w:rPr>
          <w:rFonts w:cs="Arial"/>
        </w:rPr>
        <w:t>Medicare has accepted them as the patient</w:t>
      </w:r>
      <w:r w:rsidR="00D854A3" w:rsidRPr="48909DBA">
        <w:rPr>
          <w:rFonts w:cs="Arial"/>
        </w:rPr>
        <w:t>’s</w:t>
      </w:r>
      <w:r w:rsidRPr="48909DBA">
        <w:rPr>
          <w:rFonts w:cs="Arial"/>
        </w:rPr>
        <w:t xml:space="preserve"> authorised representative</w:t>
      </w:r>
    </w:p>
    <w:p w14:paraId="0A5017FF" w14:textId="4DE72A31" w:rsidR="004326F1" w:rsidRPr="00742F75" w:rsidRDefault="00D854A3" w:rsidP="00742F75">
      <w:pPr>
        <w:pStyle w:val="ListBullet"/>
        <w:tabs>
          <w:tab w:val="clear" w:pos="360"/>
          <w:tab w:val="num" w:pos="1074"/>
        </w:tabs>
        <w:spacing w:before="60" w:after="60"/>
        <w:ind w:left="714" w:hanging="357"/>
        <w:contextualSpacing w:val="0"/>
        <w:rPr>
          <w:rFonts w:cs="Arial"/>
        </w:rPr>
      </w:pPr>
      <w:r w:rsidRPr="48909DBA">
        <w:rPr>
          <w:rFonts w:cs="Arial"/>
        </w:rPr>
        <w:t xml:space="preserve">they </w:t>
      </w:r>
      <w:r w:rsidR="004326F1" w:rsidRPr="48909DBA">
        <w:rPr>
          <w:rFonts w:cs="Arial"/>
        </w:rPr>
        <w:t xml:space="preserve">are </w:t>
      </w:r>
      <w:r w:rsidR="00025717" w:rsidRPr="48909DBA">
        <w:rPr>
          <w:rFonts w:cs="Arial"/>
        </w:rPr>
        <w:t xml:space="preserve">the </w:t>
      </w:r>
      <w:r w:rsidRPr="48909DBA">
        <w:rPr>
          <w:rFonts w:cs="Arial"/>
        </w:rPr>
        <w:t xml:space="preserve">patient’s </w:t>
      </w:r>
      <w:r w:rsidR="004326F1" w:rsidRPr="48909DBA">
        <w:rPr>
          <w:rFonts w:cs="Arial"/>
        </w:rPr>
        <w:t xml:space="preserve">authorised third party. </w:t>
      </w:r>
    </w:p>
    <w:p w14:paraId="7F2BA944" w14:textId="35C267E8" w:rsidR="00D11F85" w:rsidRPr="003E482A" w:rsidRDefault="00B50590" w:rsidP="61716D05">
      <w:pPr>
        <w:rPr>
          <w:rFonts w:ascii="Aptos" w:hAnsi="Aptos"/>
          <w:b/>
          <w:color w:val="auto"/>
          <w:lang w:eastAsia="en-US"/>
        </w:rPr>
      </w:pPr>
      <w:r w:rsidRPr="2D17CA88">
        <w:rPr>
          <w:lang w:eastAsia="en-US"/>
        </w:rPr>
        <w:t>S</w:t>
      </w:r>
      <w:r w:rsidR="00A2605A" w:rsidRPr="2D17CA88">
        <w:rPr>
          <w:lang w:eastAsia="en-US"/>
        </w:rPr>
        <w:t>taff</w:t>
      </w:r>
      <w:r w:rsidR="00A2605A" w:rsidRPr="61716D05">
        <w:rPr>
          <w:lang w:eastAsia="en-US"/>
        </w:rPr>
        <w:t xml:space="preserve"> at </w:t>
      </w:r>
      <w:r>
        <w:rPr>
          <w:lang w:eastAsia="en-US"/>
        </w:rPr>
        <w:t xml:space="preserve">residential </w:t>
      </w:r>
      <w:r w:rsidR="00A2605A" w:rsidRPr="61716D05">
        <w:rPr>
          <w:lang w:eastAsia="en-US"/>
        </w:rPr>
        <w:t xml:space="preserve">aged care </w:t>
      </w:r>
      <w:r w:rsidRPr="2D17CA88">
        <w:rPr>
          <w:lang w:eastAsia="en-US"/>
        </w:rPr>
        <w:t>homes</w:t>
      </w:r>
      <w:r w:rsidR="00A2605A" w:rsidRPr="61716D05">
        <w:rPr>
          <w:lang w:eastAsia="en-US"/>
        </w:rPr>
        <w:t xml:space="preserve"> or treating doctors are not permitted to complete </w:t>
      </w:r>
      <w:r w:rsidR="00D11F85" w:rsidRPr="61716D05">
        <w:rPr>
          <w:lang w:eastAsia="en-US"/>
        </w:rPr>
        <w:t>and sign the MyMedicare registration form on behalf of the patient</w:t>
      </w:r>
      <w:r w:rsidR="00D11F85" w:rsidRPr="2D17CA88">
        <w:rPr>
          <w:color w:val="auto"/>
          <w:lang w:eastAsia="en-US"/>
        </w:rPr>
        <w:t xml:space="preserve">. </w:t>
      </w:r>
      <w:r w:rsidR="00A2605A" w:rsidRPr="2D17CA88">
        <w:rPr>
          <w:color w:val="auto"/>
          <w:lang w:eastAsia="en-US"/>
        </w:rPr>
        <w:t xml:space="preserve">If a patient is incapable of providing consent, a </w:t>
      </w:r>
      <w:r w:rsidR="00D11F85" w:rsidRPr="2D17CA88">
        <w:rPr>
          <w:color w:val="auto"/>
          <w:lang w:eastAsia="en-US"/>
        </w:rPr>
        <w:t xml:space="preserve">signed consent form from a responsible person is </w:t>
      </w:r>
      <w:r w:rsidR="00DB2F0D" w:rsidRPr="2D17CA88">
        <w:rPr>
          <w:color w:val="auto"/>
          <w:lang w:eastAsia="en-US"/>
        </w:rPr>
        <w:t>required</w:t>
      </w:r>
      <w:r w:rsidR="00A2605A" w:rsidRPr="2D17CA88">
        <w:rPr>
          <w:color w:val="auto"/>
          <w:lang w:eastAsia="en-US"/>
        </w:rPr>
        <w:t xml:space="preserve"> to ensure compliance with</w:t>
      </w:r>
      <w:r w:rsidR="00D11F85" w:rsidRPr="2D17CA88">
        <w:rPr>
          <w:color w:val="auto"/>
          <w:lang w:eastAsia="en-US"/>
        </w:rPr>
        <w:t xml:space="preserve"> audit and privacy </w:t>
      </w:r>
      <w:r w:rsidR="00A2605A" w:rsidRPr="2D17CA88">
        <w:rPr>
          <w:color w:val="auto"/>
          <w:lang w:eastAsia="en-US"/>
        </w:rPr>
        <w:t>standards</w:t>
      </w:r>
      <w:r w:rsidR="00D11F85" w:rsidRPr="2D17CA88">
        <w:rPr>
          <w:b/>
          <w:color w:val="auto"/>
          <w:lang w:eastAsia="en-US"/>
        </w:rPr>
        <w:t>.</w:t>
      </w:r>
      <w:r w:rsidR="009E0D2C" w:rsidRPr="2D17CA88">
        <w:rPr>
          <w:b/>
          <w:color w:val="auto"/>
          <w:lang w:eastAsia="en-US"/>
        </w:rPr>
        <w:t xml:space="preserve"> </w:t>
      </w:r>
      <w:r w:rsidR="00262E34" w:rsidRPr="2D17CA88">
        <w:rPr>
          <w:b/>
          <w:color w:val="auto"/>
          <w:lang w:eastAsia="en-US"/>
        </w:rPr>
        <w:t>The practice</w:t>
      </w:r>
      <w:r w:rsidR="00E82210" w:rsidRPr="2D17CA88">
        <w:rPr>
          <w:b/>
          <w:color w:val="auto"/>
          <w:lang w:eastAsia="en-US"/>
        </w:rPr>
        <w:t xml:space="preserve"> may be asked to</w:t>
      </w:r>
      <w:r w:rsidR="00262E34" w:rsidRPr="2D17CA88">
        <w:rPr>
          <w:b/>
          <w:color w:val="auto"/>
          <w:lang w:eastAsia="en-US"/>
        </w:rPr>
        <w:t xml:space="preserve"> provide the department with evidence of patient consent if requested for audit and compliance purposes.</w:t>
      </w:r>
    </w:p>
    <w:p w14:paraId="7A62B173" w14:textId="13E3C7BF" w:rsidR="00A2605A" w:rsidRDefault="00A2605A" w:rsidP="00D11F85">
      <w:r w:rsidRPr="61716D05">
        <w:t xml:space="preserve">A responsible person refers to an adult who is accompanying the patient or responsible for their care. This may include a parent, guardian, a person with </w:t>
      </w:r>
      <w:r w:rsidR="004326F1" w:rsidRPr="61716D05">
        <w:t xml:space="preserve">POA </w:t>
      </w:r>
      <w:r w:rsidRPr="61716D05">
        <w:t>or guardianship authority,</w:t>
      </w:r>
      <w:r w:rsidR="004326F1" w:rsidRPr="61716D05">
        <w:t xml:space="preserve"> authorised representative</w:t>
      </w:r>
      <w:r w:rsidRPr="61716D05">
        <w:t xml:space="preserve"> or the patient’s next of kin.</w:t>
      </w:r>
    </w:p>
    <w:p w14:paraId="1172A370" w14:textId="094A4BB4" w:rsidR="00E436AF" w:rsidRDefault="00A2605A" w:rsidP="61716D05">
      <w:pPr>
        <w:rPr>
          <w:lang w:eastAsia="en-AU"/>
        </w:rPr>
      </w:pPr>
      <w:r w:rsidRPr="61716D05">
        <w:t xml:space="preserve">For patients who have </w:t>
      </w:r>
      <w:r w:rsidR="00D11F85" w:rsidRPr="61716D05">
        <w:t xml:space="preserve">the capacity to consent but </w:t>
      </w:r>
      <w:r w:rsidRPr="61716D05">
        <w:t xml:space="preserve">are </w:t>
      </w:r>
      <w:r w:rsidR="00D11F85" w:rsidRPr="61716D05">
        <w:t>physical</w:t>
      </w:r>
      <w:r w:rsidRPr="61716D05">
        <w:t>ly</w:t>
      </w:r>
      <w:r w:rsidR="00D11F85" w:rsidRPr="61716D05">
        <w:t xml:space="preserve"> </w:t>
      </w:r>
      <w:r w:rsidR="00DB2F0D" w:rsidRPr="61716D05">
        <w:t xml:space="preserve">unable to sign the registration form, a </w:t>
      </w:r>
      <w:r w:rsidR="00D11F85" w:rsidRPr="61716D05">
        <w:t xml:space="preserve">medical practice employee can complete and sign </w:t>
      </w:r>
      <w:r w:rsidR="00DB2F0D" w:rsidRPr="61716D05">
        <w:t xml:space="preserve">the form on their behalf. </w:t>
      </w:r>
      <w:r w:rsidR="00D11F85" w:rsidRPr="61716D05">
        <w:t xml:space="preserve">In </w:t>
      </w:r>
      <w:r w:rsidR="00DB2F0D" w:rsidRPr="61716D05">
        <w:t>such cases</w:t>
      </w:r>
      <w:r w:rsidR="00D11F85" w:rsidRPr="61716D05">
        <w:t xml:space="preserve">, the employee </w:t>
      </w:r>
      <w:r w:rsidR="00DB2F0D" w:rsidRPr="61716D05">
        <w:t xml:space="preserve">must include a </w:t>
      </w:r>
      <w:r w:rsidR="00D11F85" w:rsidRPr="61716D05">
        <w:t xml:space="preserve">note </w:t>
      </w:r>
      <w:r w:rsidR="00DB2F0D" w:rsidRPr="61716D05">
        <w:t xml:space="preserve">explaining </w:t>
      </w:r>
      <w:r w:rsidR="00D11F85" w:rsidRPr="61716D05">
        <w:t>the patient’s condition and record the patient’s consent by signing the registration form on the patient’s behalf. Alternatively, consent methods such as electronic signature may be utilised to confirm registration.</w:t>
      </w:r>
      <w:r w:rsidR="00E436AF" w:rsidRPr="61716D05">
        <w:rPr>
          <w:lang w:eastAsia="en-AU"/>
        </w:rPr>
        <w:t xml:space="preserve"> </w:t>
      </w:r>
    </w:p>
    <w:p w14:paraId="4E719892" w14:textId="3BA9F4EA" w:rsidR="00D638CE" w:rsidRDefault="00D638CE" w:rsidP="00AA40B1">
      <w:pPr>
        <w:pStyle w:val="Heading1"/>
        <w:ind w:left="431" w:hanging="431"/>
        <w:rPr>
          <w:lang w:eastAsia="en-AU"/>
        </w:rPr>
      </w:pPr>
      <w:bookmarkStart w:id="118" w:name="_Toc214051027"/>
      <w:bookmarkStart w:id="119" w:name="_Toc736253691"/>
      <w:r>
        <w:rPr>
          <w:lang w:eastAsia="en-AU"/>
        </w:rPr>
        <w:t>W</w:t>
      </w:r>
      <w:r w:rsidR="001E4D67">
        <w:rPr>
          <w:lang w:eastAsia="en-AU"/>
        </w:rPr>
        <w:t>ithdrawing from MyMedicare</w:t>
      </w:r>
      <w:bookmarkEnd w:id="118"/>
      <w:bookmarkEnd w:id="119"/>
    </w:p>
    <w:p w14:paraId="1312448E" w14:textId="1C8A518A" w:rsidR="009008CB" w:rsidRPr="009008CB" w:rsidRDefault="009008CB" w:rsidP="61716D05">
      <w:pPr>
        <w:rPr>
          <w:rFonts w:ascii="Segoe UI" w:hAnsi="Segoe UI" w:cs="Segoe UI"/>
          <w:sz w:val="18"/>
          <w:szCs w:val="18"/>
          <w:lang w:eastAsia="en-AU"/>
        </w:rPr>
      </w:pPr>
      <w:r w:rsidRPr="61716D05">
        <w:rPr>
          <w:lang w:eastAsia="en-AU"/>
        </w:rPr>
        <w:t xml:space="preserve">As MyMedicare is a voluntary patient registration </w:t>
      </w:r>
      <w:r w:rsidR="008867D8" w:rsidRPr="2D17CA88">
        <w:rPr>
          <w:lang w:eastAsia="en-AU"/>
        </w:rPr>
        <w:t>model</w:t>
      </w:r>
      <w:r w:rsidRPr="61716D05">
        <w:rPr>
          <w:lang w:eastAsia="en-AU"/>
        </w:rPr>
        <w:t xml:space="preserve">, patients can withdraw from MyMedicare at any time. This can be done online through </w:t>
      </w:r>
      <w:r w:rsidR="00EF6E89">
        <w:rPr>
          <w:lang w:eastAsia="en-AU"/>
        </w:rPr>
        <w:t xml:space="preserve">their </w:t>
      </w:r>
      <w:r w:rsidR="00EF6E89" w:rsidRPr="00877366">
        <w:t>MOA</w:t>
      </w:r>
      <w:r w:rsidRPr="2D17CA88">
        <w:rPr>
          <w:lang w:eastAsia="en-AU"/>
        </w:rPr>
        <w:t>.</w:t>
      </w:r>
      <w:r w:rsidRPr="61716D05">
        <w:rPr>
          <w:lang w:eastAsia="en-AU"/>
        </w:rPr>
        <w:t xml:space="preserve"> Patients can also contact their GP, their practice</w:t>
      </w:r>
      <w:r w:rsidR="008364D1" w:rsidRPr="61716D05">
        <w:rPr>
          <w:lang w:eastAsia="en-AU"/>
        </w:rPr>
        <w:t>,</w:t>
      </w:r>
      <w:r w:rsidRPr="61716D05">
        <w:rPr>
          <w:lang w:eastAsia="en-AU"/>
        </w:rPr>
        <w:t xml:space="preserve"> or Services Australia to advise that they wish to withdraw their registration from MyMedicare. </w:t>
      </w:r>
    </w:p>
    <w:p w14:paraId="3EDCAEEA" w14:textId="5BDEB7FE" w:rsidR="009008CB" w:rsidRPr="009008CB" w:rsidRDefault="009008CB" w:rsidP="00520BB8">
      <w:pPr>
        <w:rPr>
          <w:rFonts w:ascii="Segoe UI" w:hAnsi="Segoe UI" w:cs="Segoe UI"/>
          <w:sz w:val="18"/>
          <w:szCs w:val="18"/>
          <w:lang w:eastAsia="en-AU"/>
        </w:rPr>
      </w:pPr>
      <w:r w:rsidRPr="009008CB">
        <w:rPr>
          <w:lang w:eastAsia="en-AU"/>
        </w:rPr>
        <w:t>A patient will continue to be registered with their practice until the</w:t>
      </w:r>
      <w:r w:rsidR="00C97D35">
        <w:rPr>
          <w:lang w:eastAsia="en-AU"/>
        </w:rPr>
        <w:t>y</w:t>
      </w:r>
      <w:r w:rsidRPr="009008CB">
        <w:rPr>
          <w:lang w:eastAsia="en-AU"/>
        </w:rPr>
        <w:t>: </w:t>
      </w:r>
    </w:p>
    <w:p w14:paraId="332F0ABE" w14:textId="77870EE3" w:rsidR="009008CB" w:rsidRPr="00742F75" w:rsidRDefault="009008CB" w:rsidP="00742F75">
      <w:pPr>
        <w:pStyle w:val="ListBullet"/>
        <w:tabs>
          <w:tab w:val="clear" w:pos="360"/>
          <w:tab w:val="num" w:pos="1074"/>
        </w:tabs>
        <w:spacing w:before="60" w:after="60"/>
        <w:ind w:left="714" w:hanging="357"/>
        <w:contextualSpacing w:val="0"/>
        <w:rPr>
          <w:rFonts w:cs="Arial"/>
        </w:rPr>
      </w:pPr>
      <w:r w:rsidRPr="48909DBA">
        <w:rPr>
          <w:rFonts w:cs="Arial"/>
        </w:rPr>
        <w:t>withdraw from MyMedicare</w:t>
      </w:r>
    </w:p>
    <w:p w14:paraId="2EBBFCA8" w14:textId="69C59201" w:rsidR="009008CB" w:rsidRPr="00742F75" w:rsidRDefault="009008CB" w:rsidP="00742F75">
      <w:pPr>
        <w:pStyle w:val="ListBullet"/>
        <w:tabs>
          <w:tab w:val="clear" w:pos="360"/>
          <w:tab w:val="num" w:pos="1074"/>
        </w:tabs>
        <w:spacing w:before="60" w:after="60"/>
        <w:ind w:left="714" w:hanging="357"/>
        <w:contextualSpacing w:val="0"/>
        <w:rPr>
          <w:rFonts w:cs="Arial"/>
        </w:rPr>
      </w:pPr>
      <w:r w:rsidRPr="48909DBA">
        <w:rPr>
          <w:rFonts w:cs="Arial"/>
        </w:rPr>
        <w:t>register with a different practice</w:t>
      </w:r>
    </w:p>
    <w:p w14:paraId="7CD88681" w14:textId="15366C1E" w:rsidR="009008CB" w:rsidRPr="00742F75" w:rsidRDefault="004C7915" w:rsidP="00742F75">
      <w:pPr>
        <w:pStyle w:val="ListBullet"/>
        <w:tabs>
          <w:tab w:val="clear" w:pos="360"/>
          <w:tab w:val="num" w:pos="1074"/>
        </w:tabs>
        <w:spacing w:before="60" w:after="60"/>
        <w:ind w:left="714" w:hanging="357"/>
        <w:contextualSpacing w:val="0"/>
        <w:rPr>
          <w:rFonts w:cs="Arial"/>
        </w:rPr>
      </w:pPr>
      <w:r w:rsidRPr="48909DBA">
        <w:rPr>
          <w:rFonts w:cs="Arial"/>
        </w:rPr>
        <w:t>are</w:t>
      </w:r>
      <w:r w:rsidR="009008CB" w:rsidRPr="48909DBA">
        <w:rPr>
          <w:rFonts w:cs="Arial"/>
        </w:rPr>
        <w:t xml:space="preserve"> deceased.</w:t>
      </w:r>
    </w:p>
    <w:p w14:paraId="19ACFC06" w14:textId="4F5C6AD3" w:rsidR="009008CB" w:rsidRPr="009008CB" w:rsidRDefault="009008CB" w:rsidP="00520BB8">
      <w:pPr>
        <w:rPr>
          <w:rFonts w:ascii="Segoe UI" w:hAnsi="Segoe UI" w:cs="Segoe UI"/>
          <w:sz w:val="18"/>
          <w:szCs w:val="18"/>
          <w:lang w:eastAsia="en-AU"/>
        </w:rPr>
      </w:pPr>
      <w:r w:rsidRPr="009008CB">
        <w:rPr>
          <w:lang w:eastAsia="en-AU"/>
        </w:rPr>
        <w:t>When a patient registers at a different practice</w:t>
      </w:r>
      <w:r w:rsidR="0029769E">
        <w:rPr>
          <w:lang w:eastAsia="en-AU"/>
        </w:rPr>
        <w:t xml:space="preserve"> or is deceased</w:t>
      </w:r>
      <w:r w:rsidRPr="009008CB">
        <w:rPr>
          <w:lang w:eastAsia="en-AU"/>
        </w:rPr>
        <w:t xml:space="preserve">, their MyMedicare registration will be automatically </w:t>
      </w:r>
      <w:proofErr w:type="gramStart"/>
      <w:r w:rsidRPr="009008CB">
        <w:rPr>
          <w:lang w:eastAsia="en-AU"/>
        </w:rPr>
        <w:t>withdrawn</w:t>
      </w:r>
      <w:proofErr w:type="gramEnd"/>
      <w:r w:rsidRPr="009008CB" w:rsidDel="008E5163">
        <w:rPr>
          <w:lang w:eastAsia="en-AU"/>
        </w:rPr>
        <w:t xml:space="preserve"> </w:t>
      </w:r>
      <w:r w:rsidRPr="009008CB">
        <w:rPr>
          <w:lang w:eastAsia="en-AU"/>
        </w:rPr>
        <w:t>and the practice will be notified. </w:t>
      </w:r>
    </w:p>
    <w:p w14:paraId="1C4D4115" w14:textId="3894AE62" w:rsidR="009008CB" w:rsidRPr="009008CB" w:rsidRDefault="009008CB" w:rsidP="61716D05">
      <w:pPr>
        <w:rPr>
          <w:rFonts w:ascii="Segoe UI" w:hAnsi="Segoe UI" w:cs="Segoe UI"/>
          <w:sz w:val="18"/>
          <w:szCs w:val="18"/>
          <w:lang w:eastAsia="en-AU"/>
        </w:rPr>
      </w:pPr>
      <w:r w:rsidRPr="61716D05">
        <w:rPr>
          <w:lang w:eastAsia="en-AU"/>
        </w:rPr>
        <w:t>A responsible person who is acting on behalf of a patient who lacks capacity to make decision</w:t>
      </w:r>
      <w:r w:rsidR="00971EBD" w:rsidRPr="61716D05">
        <w:rPr>
          <w:lang w:eastAsia="en-AU"/>
        </w:rPr>
        <w:t xml:space="preserve">s can withdraw them from MyMedicare by requesting the </w:t>
      </w:r>
      <w:r w:rsidR="009C6E6C" w:rsidRPr="61716D05">
        <w:rPr>
          <w:lang w:eastAsia="en-AU"/>
        </w:rPr>
        <w:t xml:space="preserve">practice to withdraw the patient, or by </w:t>
      </w:r>
      <w:r w:rsidRPr="61716D05">
        <w:rPr>
          <w:lang w:eastAsia="en-AU"/>
        </w:rPr>
        <w:t>registering the patient with a new practice, automatically withdrawing</w:t>
      </w:r>
      <w:r w:rsidR="003C5FCA" w:rsidRPr="61716D05">
        <w:rPr>
          <w:lang w:eastAsia="en-AU"/>
        </w:rPr>
        <w:t xml:space="preserve"> the current </w:t>
      </w:r>
      <w:r w:rsidRPr="61716D05">
        <w:rPr>
          <w:lang w:eastAsia="en-AU"/>
        </w:rPr>
        <w:t>registration.  </w:t>
      </w:r>
    </w:p>
    <w:p w14:paraId="5AC6805E" w14:textId="58BE12CD" w:rsidR="009008CB" w:rsidRPr="009008CB" w:rsidRDefault="009008CB" w:rsidP="00520BB8">
      <w:pPr>
        <w:rPr>
          <w:rFonts w:ascii="Segoe UI" w:hAnsi="Segoe UI" w:cs="Segoe UI"/>
          <w:sz w:val="18"/>
          <w:szCs w:val="18"/>
          <w:lang w:eastAsia="en-AU"/>
        </w:rPr>
      </w:pPr>
      <w:r w:rsidRPr="009008CB">
        <w:rPr>
          <w:lang w:eastAsia="en-AU"/>
        </w:rPr>
        <w:lastRenderedPageBreak/>
        <w:t>A parent or guardian can withdraw a child patient from MyMedicare by requesting the practice to withdraw the patient</w:t>
      </w:r>
      <w:r w:rsidRPr="00520BB8">
        <w:rPr>
          <w:lang w:eastAsia="en-AU"/>
        </w:rPr>
        <w:t xml:space="preserve">, through </w:t>
      </w:r>
      <w:r w:rsidR="00EA0EE4">
        <w:rPr>
          <w:lang w:eastAsia="en-AU"/>
        </w:rPr>
        <w:t>MOA</w:t>
      </w:r>
      <w:r w:rsidR="00A27DD1">
        <w:rPr>
          <w:lang w:eastAsia="en-AU"/>
        </w:rPr>
        <w:t>,</w:t>
      </w:r>
      <w:r w:rsidR="00EA0EE4">
        <w:rPr>
          <w:lang w:eastAsia="en-AU"/>
        </w:rPr>
        <w:t xml:space="preserve"> </w:t>
      </w:r>
      <w:r w:rsidRPr="009008CB">
        <w:rPr>
          <w:lang w:eastAsia="en-AU"/>
        </w:rPr>
        <w:t xml:space="preserve">or by registering the patient with a new practice, automatically withdrawing the </w:t>
      </w:r>
      <w:r w:rsidR="000F26A9" w:rsidRPr="009008CB">
        <w:rPr>
          <w:lang w:eastAsia="en-AU"/>
        </w:rPr>
        <w:t xml:space="preserve">current </w:t>
      </w:r>
      <w:r w:rsidRPr="009008CB">
        <w:rPr>
          <w:lang w:eastAsia="en-AU"/>
        </w:rPr>
        <w:t>registration.  </w:t>
      </w:r>
    </w:p>
    <w:p w14:paraId="0C3789C4" w14:textId="0DD1795A" w:rsidR="009008CB" w:rsidRDefault="009008CB" w:rsidP="00520BB8">
      <w:pPr>
        <w:rPr>
          <w:lang w:eastAsia="en-AU"/>
        </w:rPr>
      </w:pPr>
      <w:r w:rsidRPr="5E58B131">
        <w:rPr>
          <w:lang w:eastAsia="en-AU"/>
        </w:rPr>
        <w:t>Practices can withdraw a patient from a MyMedicare registration through their MyMedicare program</w:t>
      </w:r>
      <w:r w:rsidR="00D770F3" w:rsidRPr="5E58B131">
        <w:rPr>
          <w:lang w:eastAsia="en-AU"/>
        </w:rPr>
        <w:t xml:space="preserve"> in </w:t>
      </w:r>
      <w:r w:rsidR="00006B2F" w:rsidRPr="5E58B131">
        <w:rPr>
          <w:lang w:eastAsia="en-AU"/>
        </w:rPr>
        <w:t>the Organisation Register</w:t>
      </w:r>
      <w:r w:rsidRPr="5E58B131">
        <w:rPr>
          <w:lang w:eastAsia="en-AU"/>
        </w:rPr>
        <w:t>. Where a practice has withdrawn a patient, the patient will be notified</w:t>
      </w:r>
      <w:r w:rsidR="000F26A9" w:rsidRPr="5E58B131">
        <w:rPr>
          <w:lang w:eastAsia="en-AU"/>
        </w:rPr>
        <w:t xml:space="preserve"> through the </w:t>
      </w:r>
      <w:proofErr w:type="spellStart"/>
      <w:r w:rsidR="000F26A9" w:rsidRPr="5E58B131">
        <w:rPr>
          <w:lang w:eastAsia="en-AU"/>
        </w:rPr>
        <w:t>myGov</w:t>
      </w:r>
      <w:proofErr w:type="spellEnd"/>
      <w:r w:rsidR="000F26A9" w:rsidRPr="5E58B131">
        <w:rPr>
          <w:lang w:eastAsia="en-AU"/>
        </w:rPr>
        <w:t xml:space="preserve"> app</w:t>
      </w:r>
      <w:r w:rsidR="00AC0C69" w:rsidRPr="5E58B131">
        <w:rPr>
          <w:lang w:eastAsia="en-AU"/>
        </w:rPr>
        <w:t>.</w:t>
      </w:r>
      <w:r w:rsidRPr="5E58B131">
        <w:rPr>
          <w:lang w:eastAsia="en-AU"/>
        </w:rPr>
        <w:t> </w:t>
      </w:r>
    </w:p>
    <w:p w14:paraId="03EC8253" w14:textId="3A4F39EE" w:rsidR="007938AC" w:rsidRDefault="0065178A" w:rsidP="0065178A">
      <w:pPr>
        <w:pStyle w:val="Heading1"/>
      </w:pPr>
      <w:bookmarkStart w:id="120" w:name="_Toc214051028"/>
      <w:bookmarkStart w:id="121" w:name="_Toc1741863626"/>
      <w:r>
        <w:t>MBS items linked to MyMedicare</w:t>
      </w:r>
      <w:bookmarkStart w:id="122" w:name="_Toc178175336"/>
      <w:bookmarkStart w:id="123" w:name="_Toc170119999"/>
      <w:bookmarkStart w:id="124" w:name="_Toc172899484"/>
      <w:bookmarkStart w:id="125" w:name="_Toc172899557"/>
      <w:bookmarkStart w:id="126" w:name="_Toc170817141"/>
      <w:bookmarkStart w:id="127" w:name="_Hlk167962003"/>
      <w:bookmarkEnd w:id="120"/>
      <w:bookmarkEnd w:id="121"/>
      <w:bookmarkEnd w:id="122"/>
    </w:p>
    <w:p w14:paraId="573C4576" w14:textId="7D895AB1" w:rsidR="0065178A" w:rsidRPr="00877366" w:rsidRDefault="000900AE" w:rsidP="00877366">
      <w:r w:rsidRPr="00877366">
        <w:t>Registering with MyMedicare</w:t>
      </w:r>
      <w:r w:rsidR="006860BD" w:rsidRPr="00877366">
        <w:t xml:space="preserve"> will unlock access to additional or amended </w:t>
      </w:r>
      <w:r w:rsidR="0022398E" w:rsidRPr="00877366">
        <w:t xml:space="preserve">Medicare Benefit Schedule (MBS) item </w:t>
      </w:r>
      <w:r w:rsidR="006860BD" w:rsidRPr="00877366">
        <w:t>rebates.</w:t>
      </w:r>
    </w:p>
    <w:p w14:paraId="23FC8C5A" w14:textId="37324B8D" w:rsidR="00AE7EDC" w:rsidRDefault="00AE7EDC" w:rsidP="00AE7EDC">
      <w:pPr>
        <w:pStyle w:val="Heading2"/>
      </w:pPr>
      <w:bookmarkStart w:id="128" w:name="_Toc214051029"/>
      <w:bookmarkStart w:id="129" w:name="_Toc1513555604"/>
      <w:r>
        <w:t>Longer MBS funded telehealth consultations</w:t>
      </w:r>
      <w:bookmarkEnd w:id="128"/>
      <w:bookmarkEnd w:id="129"/>
    </w:p>
    <w:p w14:paraId="0B438AED" w14:textId="17E83F15" w:rsidR="00437C94" w:rsidRPr="00437C94" w:rsidRDefault="00437C94" w:rsidP="00520BB8">
      <w:pPr>
        <w:rPr>
          <w:rFonts w:ascii="Segoe UI" w:hAnsi="Segoe UI" w:cs="Segoe UI"/>
          <w:sz w:val="18"/>
          <w:szCs w:val="18"/>
          <w:lang w:eastAsia="en-AU"/>
        </w:rPr>
      </w:pPr>
      <w:r w:rsidRPr="00437C94">
        <w:rPr>
          <w:lang w:eastAsia="en-AU"/>
        </w:rPr>
        <w:t>MyMedicare registered patients are eligible for longer MBS</w:t>
      </w:r>
      <w:r w:rsidR="00094562">
        <w:rPr>
          <w:lang w:eastAsia="en-AU"/>
        </w:rPr>
        <w:t xml:space="preserve"> </w:t>
      </w:r>
      <w:r w:rsidRPr="00437C94">
        <w:rPr>
          <w:lang w:eastAsia="en-AU"/>
        </w:rPr>
        <w:t>funded phone-based telehealth (levels C and D) consultations with their registered practice. These items include Level C (more than 20 minutes) and Level D (more than 40 minutes) general attendance telephone consultations which will have the same clinical requirements as equivalent in-person and video services. </w:t>
      </w:r>
    </w:p>
    <w:p w14:paraId="39356111" w14:textId="77777777" w:rsidR="00437C94" w:rsidRPr="00437C94" w:rsidRDefault="00437C94" w:rsidP="00520BB8">
      <w:pPr>
        <w:rPr>
          <w:rFonts w:ascii="Segoe UI" w:hAnsi="Segoe UI" w:cs="Segoe UI"/>
          <w:sz w:val="18"/>
          <w:szCs w:val="18"/>
          <w:lang w:eastAsia="en-AU"/>
        </w:rPr>
      </w:pPr>
      <w:r w:rsidRPr="00437C94">
        <w:rPr>
          <w:lang w:eastAsia="en-AU"/>
        </w:rPr>
        <w:t>Unregistered patients will still be able to access shorter telephone and video telehealth MBS services. </w:t>
      </w:r>
    </w:p>
    <w:p w14:paraId="1BD251A3" w14:textId="523EBFAF" w:rsidR="00AE7EDC" w:rsidRDefault="00395896" w:rsidP="00395896">
      <w:pPr>
        <w:pStyle w:val="Heading2"/>
      </w:pPr>
      <w:bookmarkStart w:id="130" w:name="_Toc214051030"/>
      <w:bookmarkStart w:id="131" w:name="_Toc1978693806"/>
      <w:r>
        <w:t xml:space="preserve">Triple bulk billing incentive for MBS funded long </w:t>
      </w:r>
      <w:r w:rsidR="00F92C77">
        <w:t>telehealth</w:t>
      </w:r>
      <w:bookmarkEnd w:id="130"/>
      <w:bookmarkEnd w:id="131"/>
    </w:p>
    <w:p w14:paraId="226AC39C" w14:textId="5006C230" w:rsidR="00F1455F" w:rsidRPr="00F1455F" w:rsidRDefault="00F1455F" w:rsidP="00520BB8">
      <w:pPr>
        <w:rPr>
          <w:rFonts w:ascii="Segoe UI" w:hAnsi="Segoe UI" w:cs="Segoe UI"/>
          <w:sz w:val="18"/>
          <w:szCs w:val="18"/>
          <w:lang w:eastAsia="en-AU"/>
        </w:rPr>
      </w:pPr>
      <w:r w:rsidRPr="48909DBA">
        <w:rPr>
          <w:lang w:eastAsia="en-AU"/>
        </w:rPr>
        <w:t>To support general practitioners to continue to bulk bill patients</w:t>
      </w:r>
      <w:r w:rsidR="677F351A" w:rsidRPr="48909DBA">
        <w:rPr>
          <w:lang w:eastAsia="en-AU"/>
        </w:rPr>
        <w:t>,</w:t>
      </w:r>
      <w:r w:rsidRPr="48909DBA">
        <w:rPr>
          <w:lang w:eastAsia="en-AU"/>
        </w:rPr>
        <w:t xml:space="preserve"> </w:t>
      </w:r>
      <w:proofErr w:type="spellStart"/>
      <w:r w:rsidRPr="48909DBA">
        <w:rPr>
          <w:lang w:eastAsia="en-AU"/>
        </w:rPr>
        <w:t>riple</w:t>
      </w:r>
      <w:proofErr w:type="spellEnd"/>
      <w:r w:rsidRPr="48909DBA">
        <w:rPr>
          <w:lang w:eastAsia="en-AU"/>
        </w:rPr>
        <w:t xml:space="preserve"> bulk billing incentives are available for: </w:t>
      </w:r>
    </w:p>
    <w:p w14:paraId="74DEEDB1" w14:textId="77777777" w:rsidR="00F1455F" w:rsidRPr="00742F75" w:rsidRDefault="00F1455F" w:rsidP="00742F75">
      <w:pPr>
        <w:pStyle w:val="ListBullet"/>
        <w:tabs>
          <w:tab w:val="clear" w:pos="360"/>
          <w:tab w:val="num" w:pos="1074"/>
        </w:tabs>
        <w:spacing w:before="60" w:after="60"/>
        <w:ind w:left="714" w:hanging="357"/>
        <w:contextualSpacing w:val="0"/>
        <w:rPr>
          <w:rFonts w:cs="Arial"/>
        </w:rPr>
      </w:pPr>
      <w:r w:rsidRPr="48909DBA">
        <w:rPr>
          <w:rFonts w:cs="Arial"/>
        </w:rPr>
        <w:t>all face-to-face general attendance consultations more than 6 minutes in length </w:t>
      </w:r>
    </w:p>
    <w:p w14:paraId="27519E15" w14:textId="77777777" w:rsidR="00F1455F" w:rsidRPr="00742F75" w:rsidRDefault="00F1455F" w:rsidP="00742F75">
      <w:pPr>
        <w:pStyle w:val="ListBullet"/>
        <w:tabs>
          <w:tab w:val="clear" w:pos="360"/>
          <w:tab w:val="num" w:pos="1074"/>
        </w:tabs>
        <w:spacing w:before="60" w:after="60"/>
        <w:ind w:left="714" w:hanging="357"/>
        <w:contextualSpacing w:val="0"/>
        <w:rPr>
          <w:rFonts w:cs="Arial"/>
        </w:rPr>
      </w:pPr>
      <w:r w:rsidRPr="48909DBA">
        <w:rPr>
          <w:rFonts w:cs="Arial"/>
        </w:rPr>
        <w:t>all telehealth general attendance consultations which are between 6 and 20 minutes in length (known as Level B consultations) </w:t>
      </w:r>
    </w:p>
    <w:p w14:paraId="012A4BFF" w14:textId="32380E5B" w:rsidR="00F1455F" w:rsidRPr="00742F75" w:rsidRDefault="00F1455F" w:rsidP="00742F75">
      <w:pPr>
        <w:pStyle w:val="ListBullet"/>
        <w:tabs>
          <w:tab w:val="clear" w:pos="360"/>
          <w:tab w:val="num" w:pos="1074"/>
        </w:tabs>
        <w:spacing w:before="60" w:after="60"/>
        <w:ind w:left="714" w:hanging="357"/>
        <w:contextualSpacing w:val="0"/>
        <w:rPr>
          <w:rFonts w:cs="Arial"/>
        </w:rPr>
      </w:pPr>
      <w:r w:rsidRPr="48909DBA">
        <w:rPr>
          <w:rFonts w:cs="Arial"/>
        </w:rPr>
        <w:t>longer telehealth phone and video general attendance consultations</w:t>
      </w:r>
      <w:r w:rsidR="00D0766B" w:rsidRPr="48909DBA">
        <w:rPr>
          <w:rFonts w:cs="Arial"/>
        </w:rPr>
        <w:t xml:space="preserve"> </w:t>
      </w:r>
      <w:r w:rsidR="00D0766B" w:rsidRPr="48909DBA">
        <w:rPr>
          <w:lang w:eastAsia="en-AU"/>
        </w:rPr>
        <w:t>(levels C, D and E)</w:t>
      </w:r>
      <w:r w:rsidR="00D0766B" w:rsidRPr="48909DBA">
        <w:rPr>
          <w:rFonts w:cs="Arial"/>
        </w:rPr>
        <w:t xml:space="preserve"> </w:t>
      </w:r>
      <w:r w:rsidRPr="48909DBA">
        <w:rPr>
          <w:rFonts w:cs="Arial"/>
        </w:rPr>
        <w:t>where a patient is registered through MyMedicare. </w:t>
      </w:r>
    </w:p>
    <w:p w14:paraId="4EB22A3C" w14:textId="77777777" w:rsidR="00F1455F" w:rsidRPr="00F1455F" w:rsidRDefault="00F1455F" w:rsidP="00520BB8">
      <w:pPr>
        <w:rPr>
          <w:rFonts w:ascii="Segoe UI" w:hAnsi="Segoe UI" w:cs="Segoe UI"/>
          <w:sz w:val="18"/>
          <w:szCs w:val="18"/>
          <w:lang w:eastAsia="en-AU"/>
        </w:rPr>
      </w:pPr>
      <w:r w:rsidRPr="00F1455F">
        <w:rPr>
          <w:lang w:eastAsia="en-AU"/>
        </w:rPr>
        <w:t>Standard bulk billing incentives will continue to be available to be claimed with other relevant MBS items. </w:t>
      </w:r>
    </w:p>
    <w:p w14:paraId="240B2D45" w14:textId="77777777" w:rsidR="00F1455F" w:rsidRPr="00F1455F" w:rsidRDefault="00F1455F" w:rsidP="00520BB8">
      <w:pPr>
        <w:rPr>
          <w:rFonts w:ascii="Segoe UI" w:hAnsi="Segoe UI" w:cs="Segoe UI"/>
          <w:sz w:val="18"/>
          <w:szCs w:val="18"/>
          <w:lang w:eastAsia="en-AU"/>
        </w:rPr>
      </w:pPr>
      <w:r w:rsidRPr="00F1455F">
        <w:rPr>
          <w:lang w:eastAsia="en-AU"/>
        </w:rPr>
        <w:t>For longer telehealth consultations (levels C, D and E), the patient must be registered in MyMedicare and receive the service from the practice at which they are registered for triple bulk billing incentives to apply. Where the patient is not registered in MyMedicare, standard bulk billing incentives will apply. </w:t>
      </w:r>
    </w:p>
    <w:p w14:paraId="5BD47D77" w14:textId="62D1B0B5" w:rsidR="00F1455F" w:rsidRPr="00F1455F" w:rsidRDefault="00923D56" w:rsidP="61716D05">
      <w:pPr>
        <w:rPr>
          <w:rFonts w:ascii="Segoe UI" w:hAnsi="Segoe UI" w:cs="Segoe UI"/>
          <w:sz w:val="18"/>
          <w:szCs w:val="18"/>
          <w:lang w:eastAsia="en-AU"/>
        </w:rPr>
      </w:pPr>
      <w:r w:rsidRPr="76AF0100">
        <w:rPr>
          <w:lang w:eastAsia="en-AU"/>
        </w:rPr>
        <w:t xml:space="preserve">Patients </w:t>
      </w:r>
      <w:r w:rsidR="00CC580F" w:rsidRPr="76AF0100">
        <w:rPr>
          <w:lang w:eastAsia="en-AU"/>
        </w:rPr>
        <w:t>e</w:t>
      </w:r>
      <w:r w:rsidR="00F1455F" w:rsidRPr="76AF0100">
        <w:rPr>
          <w:lang w:eastAsia="en-AU"/>
        </w:rPr>
        <w:t xml:space="preserve">ligible </w:t>
      </w:r>
      <w:r w:rsidRPr="76AF0100">
        <w:rPr>
          <w:lang w:eastAsia="en-AU"/>
        </w:rPr>
        <w:t xml:space="preserve">for triple bulk billing incentives </w:t>
      </w:r>
      <w:r w:rsidR="00F1455F" w:rsidRPr="76AF0100">
        <w:rPr>
          <w:lang w:eastAsia="en-AU"/>
        </w:rPr>
        <w:t>are not required to be registered in MyMedicare to access the triple bulk billing incentives for face-to-face consultations or Level B video or telephone consultations</w:t>
      </w:r>
      <w:r w:rsidR="00E13EBF" w:rsidRPr="76AF0100">
        <w:rPr>
          <w:lang w:eastAsia="en-AU"/>
        </w:rPr>
        <w:t>.</w:t>
      </w:r>
    </w:p>
    <w:p w14:paraId="468254E3" w14:textId="5BB55188" w:rsidR="00AC0064" w:rsidRDefault="00887F7C" w:rsidP="00887F7C">
      <w:pPr>
        <w:pStyle w:val="Heading1"/>
      </w:pPr>
      <w:bookmarkStart w:id="132" w:name="_Toc214051031"/>
      <w:bookmarkStart w:id="133" w:name="_Toc659381293"/>
      <w:r>
        <w:t xml:space="preserve">Linked </w:t>
      </w:r>
      <w:r w:rsidR="00726690">
        <w:t xml:space="preserve">incentive </w:t>
      </w:r>
      <w:r>
        <w:t>programs</w:t>
      </w:r>
      <w:bookmarkEnd w:id="132"/>
      <w:bookmarkEnd w:id="133"/>
    </w:p>
    <w:p w14:paraId="1D6B80AE" w14:textId="3B8B4A8E" w:rsidR="00887F7C" w:rsidRPr="00877366" w:rsidRDefault="00417545" w:rsidP="00877366">
      <w:r w:rsidRPr="00877366">
        <w:t>MyMedicare linked incentive programs will drive the government’s primary care reform agenda</w:t>
      </w:r>
      <w:r w:rsidR="00FA7764">
        <w:t>.</w:t>
      </w:r>
    </w:p>
    <w:p w14:paraId="5D0BE7CD" w14:textId="7163B00F" w:rsidR="00107A1D" w:rsidRDefault="00107A1D" w:rsidP="00520BB8">
      <w:pPr>
        <w:pStyle w:val="Heading2"/>
        <w:rPr>
          <w:lang w:eastAsia="en-AU"/>
        </w:rPr>
      </w:pPr>
      <w:bookmarkStart w:id="134" w:name="_Toc214051032"/>
      <w:bookmarkStart w:id="135" w:name="_Toc1573027882"/>
      <w:r>
        <w:rPr>
          <w:lang w:eastAsia="en-AU"/>
        </w:rPr>
        <w:lastRenderedPageBreak/>
        <w:t>General Practice in Aged Care Incentive</w:t>
      </w:r>
      <w:bookmarkEnd w:id="134"/>
      <w:bookmarkEnd w:id="135"/>
      <w:r>
        <w:rPr>
          <w:lang w:eastAsia="en-AU"/>
        </w:rPr>
        <w:t xml:space="preserve"> </w:t>
      </w:r>
    </w:p>
    <w:p w14:paraId="5A64C322" w14:textId="2923D448" w:rsidR="007C336B" w:rsidRPr="007C336B" w:rsidRDefault="007C336B" w:rsidP="61716D05">
      <w:pPr>
        <w:rPr>
          <w:rFonts w:ascii="Segoe UI" w:hAnsi="Segoe UI" w:cs="Segoe UI"/>
          <w:sz w:val="18"/>
          <w:szCs w:val="18"/>
          <w:lang w:eastAsia="en-AU"/>
        </w:rPr>
      </w:pPr>
      <w:r w:rsidRPr="61716D05">
        <w:rPr>
          <w:lang w:eastAsia="en-AU"/>
        </w:rPr>
        <w:t xml:space="preserve">GPs and general practices registered in MyMedicare receive an incentive for providing their registered patients in a residential aged care home with a quality bundle of care, including regular visits. Access to the incentive will only be available </w:t>
      </w:r>
      <w:r w:rsidR="002445D8" w:rsidRPr="61716D05">
        <w:rPr>
          <w:lang w:eastAsia="en-AU"/>
        </w:rPr>
        <w:t xml:space="preserve">to </w:t>
      </w:r>
      <w:r w:rsidRPr="61716D05">
        <w:rPr>
          <w:lang w:eastAsia="en-AU"/>
        </w:rPr>
        <w:t>patients registered with MyMedicare. </w:t>
      </w:r>
    </w:p>
    <w:p w14:paraId="669EE091" w14:textId="21F6FD0D" w:rsidR="007C336B" w:rsidRPr="007C336B" w:rsidRDefault="007C336B" w:rsidP="00520BB8">
      <w:pPr>
        <w:rPr>
          <w:rFonts w:ascii="Segoe UI" w:hAnsi="Segoe UI" w:cs="Segoe UI"/>
          <w:sz w:val="18"/>
          <w:szCs w:val="18"/>
          <w:lang w:eastAsia="en-AU"/>
        </w:rPr>
      </w:pPr>
      <w:r w:rsidRPr="007C336B">
        <w:rPr>
          <w:lang w:eastAsia="en-AU"/>
        </w:rPr>
        <w:t xml:space="preserve">More information on General Practice in Aged Care Incentive </w:t>
      </w:r>
      <w:r w:rsidR="00C2448E">
        <w:rPr>
          <w:lang w:eastAsia="en-AU"/>
        </w:rPr>
        <w:t xml:space="preserve">program guidelines </w:t>
      </w:r>
      <w:r w:rsidRPr="007C336B">
        <w:rPr>
          <w:lang w:eastAsia="en-AU"/>
        </w:rPr>
        <w:t xml:space="preserve">can be found on the department’s website </w:t>
      </w:r>
      <w:hyperlink r:id="rId20" w:history="1">
        <w:r w:rsidRPr="00C2448E">
          <w:rPr>
            <w:rStyle w:val="Hyperlink"/>
            <w:lang w:eastAsia="en-AU"/>
          </w:rPr>
          <w:t>here</w:t>
        </w:r>
      </w:hyperlink>
      <w:r>
        <w:rPr>
          <w:lang w:eastAsia="en-AU"/>
        </w:rPr>
        <w:t>.</w:t>
      </w:r>
      <w:r w:rsidRPr="007C336B">
        <w:rPr>
          <w:lang w:eastAsia="en-AU"/>
        </w:rPr>
        <w:t> </w:t>
      </w:r>
    </w:p>
    <w:p w14:paraId="78D32943" w14:textId="30C5C46B" w:rsidR="004C0136" w:rsidRPr="005D51D9" w:rsidRDefault="008D5C08" w:rsidP="2D17CA88">
      <w:pPr>
        <w:rPr>
          <w:rFonts w:ascii="Segoe UI" w:hAnsi="Segoe UI" w:cs="Segoe UI"/>
          <w:sz w:val="18"/>
          <w:szCs w:val="18"/>
          <w:lang w:eastAsia="en-AU"/>
        </w:rPr>
      </w:pPr>
      <w:r w:rsidRPr="2D17CA88">
        <w:rPr>
          <w:rStyle w:val="FootnoteReference"/>
        </w:rPr>
        <w:footnoteReference w:id="9"/>
      </w:r>
      <w:bookmarkStart w:id="136" w:name="_Toc214051034"/>
      <w:r w:rsidR="004C0136">
        <w:t>Bulk Billing Practice Incentive Program</w:t>
      </w:r>
      <w:bookmarkEnd w:id="136"/>
    </w:p>
    <w:p w14:paraId="3DEC49BF" w14:textId="44F7D9A6" w:rsidR="009F5C21" w:rsidRDefault="00FA7764">
      <w:r>
        <w:t>P</w:t>
      </w:r>
      <w:r w:rsidR="004C0136">
        <w:t xml:space="preserve">ractices and providers registered in MyMedicare will receive an incentive for </w:t>
      </w:r>
      <w:r w:rsidR="00226ACC">
        <w:t>bulk billing all eligible services for Medicare eligible patients. Incentive payments will be paid as a percentage of eligible MBS item rebates</w:t>
      </w:r>
      <w:r w:rsidR="009F5C21">
        <w:t xml:space="preserve">. </w:t>
      </w:r>
    </w:p>
    <w:p w14:paraId="5C3C7CE6" w14:textId="5F7D9196" w:rsidR="00417545" w:rsidRDefault="074F3935" w:rsidP="00FD3910">
      <w:pPr>
        <w:pStyle w:val="Heading1"/>
        <w:ind w:left="431" w:hanging="431"/>
      </w:pPr>
      <w:bookmarkStart w:id="137" w:name="_Toc214051035"/>
      <w:bookmarkStart w:id="138" w:name="_Toc585640739"/>
      <w:r>
        <w:t>MyMedicare and My Health Record</w:t>
      </w:r>
      <w:bookmarkEnd w:id="137"/>
      <w:bookmarkEnd w:id="138"/>
    </w:p>
    <w:p w14:paraId="01B7C270" w14:textId="77777777" w:rsidR="009E1180" w:rsidRPr="009E1180" w:rsidRDefault="009E1180" w:rsidP="00520BB8">
      <w:pPr>
        <w:rPr>
          <w:rFonts w:ascii="Segoe UI" w:hAnsi="Segoe UI" w:cs="Segoe UI"/>
          <w:sz w:val="18"/>
          <w:szCs w:val="18"/>
          <w:lang w:eastAsia="en-AU"/>
        </w:rPr>
      </w:pPr>
      <w:r w:rsidRPr="009E1180">
        <w:rPr>
          <w:lang w:eastAsia="en-AU"/>
        </w:rPr>
        <w:t>My Health Record provides patients and their healthcare providers with access to vital health information at the point of care, including in an emergency. This can include shared health summaries, current medicines and prescriptions, immunisation history, hospital discharge information and Medicare, DVA and Pharmaceutical Benefits Scheme history.  </w:t>
      </w:r>
    </w:p>
    <w:p w14:paraId="01AAE84E" w14:textId="35D168E8" w:rsidR="009E1180" w:rsidRPr="009E1180" w:rsidRDefault="009E1180" w:rsidP="61716D05">
      <w:pPr>
        <w:rPr>
          <w:rFonts w:ascii="Segoe UI" w:hAnsi="Segoe UI" w:cs="Segoe UI"/>
          <w:sz w:val="18"/>
          <w:szCs w:val="18"/>
          <w:lang w:eastAsia="en-AU"/>
        </w:rPr>
      </w:pPr>
      <w:r w:rsidRPr="61716D05">
        <w:rPr>
          <w:lang w:eastAsia="en-AU"/>
        </w:rPr>
        <w:t xml:space="preserve">When patients register in MyMedicare, their chosen practice and GP will appear in their My Health Record to ensure all health professionals they see – for example, at a public hospital – will know who to contact to discuss their regular care if required. If patients do not wish for their MyMedicare registration to appear on their My Health Record, they can choose this option in </w:t>
      </w:r>
      <w:hyperlink r:id="rId21">
        <w:r w:rsidRPr="61716D05">
          <w:rPr>
            <w:rStyle w:val="Hyperlink"/>
            <w:lang w:eastAsia="en-AU"/>
          </w:rPr>
          <w:t>My Health Record</w:t>
        </w:r>
      </w:hyperlink>
      <w:r w:rsidRPr="61716D05">
        <w:rPr>
          <w:lang w:eastAsia="en-AU"/>
        </w:rPr>
        <w:t>. </w:t>
      </w:r>
    </w:p>
    <w:p w14:paraId="51C6851C" w14:textId="31EDBEDA" w:rsidR="00FD693C" w:rsidRPr="00FD693C" w:rsidRDefault="0021723D" w:rsidP="00520BB8">
      <w:pPr>
        <w:pStyle w:val="Heading1"/>
      </w:pPr>
      <w:bookmarkStart w:id="139" w:name="_Toc214051036"/>
      <w:bookmarkStart w:id="140" w:name="_Toc1101834540"/>
      <w:r>
        <w:t xml:space="preserve">Additional MyMedicare </w:t>
      </w:r>
      <w:r w:rsidR="00CC5451">
        <w:t>program information</w:t>
      </w:r>
      <w:bookmarkEnd w:id="139"/>
      <w:bookmarkEnd w:id="140"/>
    </w:p>
    <w:p w14:paraId="6CE10948" w14:textId="77777777" w:rsidR="00817CB4" w:rsidRPr="001F7637" w:rsidRDefault="00817CB4" w:rsidP="001F7637">
      <w:pPr>
        <w:pStyle w:val="Heading2"/>
      </w:pPr>
      <w:bookmarkStart w:id="141" w:name="_Toc163390008"/>
      <w:bookmarkStart w:id="142" w:name="_Toc163390009"/>
      <w:bookmarkStart w:id="143" w:name="_Toc163390010"/>
      <w:bookmarkStart w:id="144" w:name="_Toc163390011"/>
      <w:bookmarkStart w:id="145" w:name="_Toc163390012"/>
      <w:bookmarkStart w:id="146" w:name="_Toc166066945"/>
      <w:bookmarkStart w:id="147" w:name="_Toc166068361"/>
      <w:bookmarkStart w:id="148" w:name="_Toc166068573"/>
      <w:bookmarkStart w:id="149" w:name="_Toc166069532"/>
      <w:bookmarkStart w:id="150" w:name="_Toc166069579"/>
      <w:bookmarkStart w:id="151" w:name="_Toc166136595"/>
      <w:bookmarkStart w:id="152" w:name="_Toc167109442"/>
      <w:bookmarkStart w:id="153" w:name="_Toc170120014"/>
      <w:bookmarkStart w:id="154" w:name="_Toc170817156"/>
      <w:bookmarkStart w:id="155" w:name="_Toc214051037"/>
      <w:bookmarkStart w:id="156" w:name="_Toc560503103"/>
      <w:bookmarkEnd w:id="123"/>
      <w:bookmarkEnd w:id="124"/>
      <w:bookmarkEnd w:id="125"/>
      <w:bookmarkEnd w:id="126"/>
      <w:bookmarkEnd w:id="127"/>
      <w:bookmarkEnd w:id="141"/>
      <w:bookmarkEnd w:id="142"/>
      <w:bookmarkEnd w:id="143"/>
      <w:bookmarkEnd w:id="144"/>
      <w:bookmarkEnd w:id="145"/>
      <w:r w:rsidRPr="001F7637">
        <w:t>Medicare Benefit Scheme and Department of Veterans’ Affairs requirements</w:t>
      </w:r>
      <w:bookmarkEnd w:id="146"/>
      <w:bookmarkEnd w:id="147"/>
      <w:bookmarkEnd w:id="148"/>
      <w:bookmarkEnd w:id="149"/>
      <w:bookmarkEnd w:id="150"/>
      <w:bookmarkEnd w:id="151"/>
      <w:bookmarkEnd w:id="152"/>
      <w:bookmarkEnd w:id="153"/>
      <w:bookmarkEnd w:id="154"/>
      <w:bookmarkEnd w:id="155"/>
      <w:bookmarkEnd w:id="156"/>
    </w:p>
    <w:p w14:paraId="102DFD74" w14:textId="77777777" w:rsidR="00817CB4" w:rsidRPr="007F4BC4" w:rsidRDefault="00817CB4" w:rsidP="61716D05">
      <w:pPr>
        <w:rPr>
          <w:rFonts w:eastAsia="Times New Roman"/>
        </w:rPr>
      </w:pPr>
      <w:r w:rsidRPr="61716D05">
        <w:rPr>
          <w:rFonts w:eastAsia="Times New Roman"/>
        </w:rPr>
        <w:t xml:space="preserve">All providers, practices and medical professionals are required to meet the requirements of the relevant eligible MBS and DVA service item. </w:t>
      </w:r>
    </w:p>
    <w:p w14:paraId="4F610D01" w14:textId="77777777" w:rsidR="00817CB4" w:rsidRPr="001F7637" w:rsidRDefault="00817CB4" w:rsidP="001F7637">
      <w:pPr>
        <w:pStyle w:val="Heading2"/>
      </w:pPr>
      <w:bookmarkStart w:id="157" w:name="_Toc166066946"/>
      <w:bookmarkStart w:id="158" w:name="_Toc166068362"/>
      <w:bookmarkStart w:id="159" w:name="_Toc166068574"/>
      <w:bookmarkStart w:id="160" w:name="_Toc166069533"/>
      <w:bookmarkStart w:id="161" w:name="_Toc166069580"/>
      <w:bookmarkStart w:id="162" w:name="_Toc166136596"/>
      <w:bookmarkStart w:id="163" w:name="_Toc167109443"/>
      <w:bookmarkStart w:id="164" w:name="_Toc170120015"/>
      <w:bookmarkStart w:id="165" w:name="_Toc170817157"/>
      <w:bookmarkStart w:id="166" w:name="_Toc214051038"/>
      <w:bookmarkStart w:id="167" w:name="_Toc1504980982"/>
      <w:r w:rsidRPr="001F7637">
        <w:t>Legislative requirements</w:t>
      </w:r>
      <w:bookmarkEnd w:id="157"/>
      <w:bookmarkEnd w:id="158"/>
      <w:bookmarkEnd w:id="159"/>
      <w:bookmarkEnd w:id="160"/>
      <w:bookmarkEnd w:id="161"/>
      <w:bookmarkEnd w:id="162"/>
      <w:bookmarkEnd w:id="163"/>
      <w:bookmarkEnd w:id="164"/>
      <w:bookmarkEnd w:id="165"/>
      <w:bookmarkEnd w:id="166"/>
      <w:bookmarkEnd w:id="167"/>
    </w:p>
    <w:p w14:paraId="593CAC3D" w14:textId="77777777" w:rsidR="00817CB4" w:rsidRPr="007F4BC4" w:rsidRDefault="00817CB4" w:rsidP="61716D05">
      <w:pPr>
        <w:rPr>
          <w:rFonts w:eastAsia="Times New Roman"/>
        </w:rPr>
      </w:pPr>
      <w:r w:rsidRPr="61716D05">
        <w:rPr>
          <w:rFonts w:eastAsia="Times New Roman"/>
        </w:rPr>
        <w:t xml:space="preserve">All providers, practices and medical practitioners are required to meet all the legislative requirements associated with the delivery of eligible service MBS and DVA items. All providers, practices and medical professionals are responsible for ensuring their delivery of services does not conflict with requirements of any other programs or legislation that applies to the provider or practice. </w:t>
      </w:r>
    </w:p>
    <w:p w14:paraId="680D36A2" w14:textId="2BBAA8BB" w:rsidR="00D3267D" w:rsidRDefault="001662DF" w:rsidP="00D3267D">
      <w:pPr>
        <w:pStyle w:val="Heading1"/>
      </w:pPr>
      <w:bookmarkStart w:id="168" w:name="_Toc214051039"/>
      <w:bookmarkStart w:id="169" w:name="_Toc956549080"/>
      <w:r>
        <w:t>Review of decision</w:t>
      </w:r>
      <w:bookmarkEnd w:id="168"/>
      <w:bookmarkEnd w:id="169"/>
    </w:p>
    <w:p w14:paraId="04F5A17E" w14:textId="6365DD8C" w:rsidR="00D674BC" w:rsidRDefault="00B26363" w:rsidP="00D674BC">
      <w:r w:rsidRPr="00B26363">
        <w:t>Practices and providers can seek a Review of Decision (</w:t>
      </w:r>
      <w:proofErr w:type="spellStart"/>
      <w:r w:rsidRPr="00B26363">
        <w:t>RoD</w:t>
      </w:r>
      <w:proofErr w:type="spellEnd"/>
      <w:r w:rsidRPr="00B26363">
        <w:t>) relating t</w:t>
      </w:r>
      <w:r w:rsidR="00600EC7">
        <w:t>o MyMedicare</w:t>
      </w:r>
      <w:r w:rsidRPr="00B26363">
        <w:t xml:space="preserve">. To seek a review, the provider or authorised contact person/owner(s) of the practice must provide Services Australia with a completed </w:t>
      </w:r>
      <w:proofErr w:type="spellStart"/>
      <w:r w:rsidRPr="00B26363">
        <w:t>RoD</w:t>
      </w:r>
      <w:proofErr w:type="spellEnd"/>
      <w:r w:rsidRPr="00B26363">
        <w:t xml:space="preserve"> form and supporting documentation within 28 days of receiving the </w:t>
      </w:r>
      <w:r w:rsidRPr="00B26363">
        <w:lastRenderedPageBreak/>
        <w:t xml:space="preserve">decision. </w:t>
      </w:r>
      <w:r w:rsidR="00C613B6">
        <w:t>The</w:t>
      </w:r>
      <w:r w:rsidR="00532277">
        <w:t xml:space="preserve"> form is available</w:t>
      </w:r>
      <w:r w:rsidR="00447F68">
        <w:t xml:space="preserve"> at</w:t>
      </w:r>
      <w:r w:rsidR="7CB56E81">
        <w:t xml:space="preserve"> </w:t>
      </w:r>
      <w:hyperlink r:id="rId22">
        <w:r w:rsidR="2F7F3CC9" w:rsidRPr="7D85D691">
          <w:rPr>
            <w:rStyle w:val="Hyperlink"/>
            <w:rFonts w:eastAsia="Arial" w:cs="Arial"/>
          </w:rPr>
          <w:t>MyMedicare Incentives Review of decision form (IP034) - Services Australia</w:t>
        </w:r>
      </w:hyperlink>
      <w:r w:rsidR="6F97BAEE">
        <w:t>.</w:t>
      </w:r>
    </w:p>
    <w:p w14:paraId="3F0F09D7" w14:textId="2AA3D051" w:rsidR="00817CB4" w:rsidRPr="001F7637" w:rsidRDefault="00B26363" w:rsidP="0B5906B5">
      <w:r w:rsidRPr="00B26363">
        <w:t xml:space="preserve">Services Australia will review the decision against the published guidelines at the time of the </w:t>
      </w:r>
      <w:proofErr w:type="gramStart"/>
      <w:r w:rsidRPr="00B26363">
        <w:t>event</w:t>
      </w:r>
      <w:proofErr w:type="gramEnd"/>
      <w:r w:rsidRPr="00B26363">
        <w:t xml:space="preserve"> and the outcome of the review will be advised in writing. If practices or providers are not satisfied with the decision, they can request reconsideration via a second review. If not satisfied with the outcome of a second review, practices or providers may ask the Formal Review Committee to reconsider the decision. For further details about the </w:t>
      </w:r>
      <w:proofErr w:type="spellStart"/>
      <w:r w:rsidRPr="00B26363">
        <w:t>RoD</w:t>
      </w:r>
      <w:proofErr w:type="spellEnd"/>
      <w:r w:rsidRPr="00B26363">
        <w:t xml:space="preserve"> process, please contact Services Australia.</w:t>
      </w:r>
      <w:r w:rsidRPr="00B26363" w:rsidDel="00B26363">
        <w:t xml:space="preserve"> </w:t>
      </w:r>
    </w:p>
    <w:p w14:paraId="3EF950A7" w14:textId="180D2E75" w:rsidR="00817CB4" w:rsidRPr="007F4BC4" w:rsidRDefault="00817CB4" w:rsidP="001212B9">
      <w:r w:rsidRPr="007F4BC4">
        <w:t xml:space="preserve">For further information on </w:t>
      </w:r>
      <w:r w:rsidR="004777D4">
        <w:t>MyMedicare</w:t>
      </w:r>
      <w:r w:rsidRPr="007F4BC4">
        <w:t>:</w:t>
      </w:r>
    </w:p>
    <w:p w14:paraId="7D97DE72" w14:textId="60C0818B" w:rsidR="00817CB4" w:rsidRPr="007F4BC4" w:rsidRDefault="00817CB4" w:rsidP="001212B9">
      <w:pPr>
        <w:rPr>
          <w:rFonts w:cs="Arial"/>
          <w:szCs w:val="22"/>
        </w:rPr>
      </w:pPr>
      <w:r w:rsidRPr="00574127">
        <w:rPr>
          <w:rStyle w:val="Strong"/>
        </w:rPr>
        <w:t>email:</w:t>
      </w:r>
      <w:r w:rsidRPr="007F4BC4">
        <w:rPr>
          <w:rFonts w:cs="Arial"/>
          <w:szCs w:val="22"/>
        </w:rPr>
        <w:t xml:space="preserve"> </w:t>
      </w:r>
      <w:hyperlink r:id="rId23" w:history="1">
        <w:r w:rsidR="00117B0F">
          <w:rPr>
            <w:rStyle w:val="Hyperlink"/>
            <w:rFonts w:cs="Arial"/>
            <w:szCs w:val="22"/>
          </w:rPr>
          <w:t>mymedicare@health.gov.au</w:t>
        </w:r>
      </w:hyperlink>
    </w:p>
    <w:p w14:paraId="463DBC11" w14:textId="4FA84495" w:rsidR="00817CB4" w:rsidRPr="007F4BC4" w:rsidRDefault="2D276389" w:rsidP="001212B9">
      <w:pPr>
        <w:rPr>
          <w:rFonts w:cs="Arial"/>
          <w:szCs w:val="22"/>
        </w:rPr>
      </w:pPr>
      <w:r w:rsidRPr="00574127">
        <w:rPr>
          <w:rStyle w:val="Strong"/>
        </w:rPr>
        <w:t>website:</w:t>
      </w:r>
      <w:r w:rsidRPr="7D82FC04">
        <w:rPr>
          <w:rFonts w:cs="Arial"/>
          <w:b/>
          <w:bCs/>
          <w:szCs w:val="22"/>
        </w:rPr>
        <w:t xml:space="preserve"> </w:t>
      </w:r>
      <w:hyperlink r:id="rId24" w:history="1">
        <w:r w:rsidR="004E4280">
          <w:rPr>
            <w:rStyle w:val="Hyperlink"/>
          </w:rPr>
          <w:t>health.gov.au/</w:t>
        </w:r>
        <w:proofErr w:type="spellStart"/>
        <w:r w:rsidR="004E4280">
          <w:rPr>
            <w:rStyle w:val="Hyperlink"/>
          </w:rPr>
          <w:t>mymedicare</w:t>
        </w:r>
        <w:proofErr w:type="spellEnd"/>
      </w:hyperlink>
    </w:p>
    <w:p w14:paraId="0D08691C" w14:textId="77777777" w:rsidR="00817CB4" w:rsidRPr="001F7637" w:rsidRDefault="00817CB4" w:rsidP="001F7637">
      <w:pPr>
        <w:pStyle w:val="Heading2"/>
      </w:pPr>
      <w:bookmarkStart w:id="170" w:name="_Toc166066965"/>
      <w:bookmarkStart w:id="171" w:name="_Toc166068381"/>
      <w:bookmarkStart w:id="172" w:name="_Toc166068593"/>
      <w:bookmarkStart w:id="173" w:name="_Toc166069552"/>
      <w:bookmarkStart w:id="174" w:name="_Toc166069599"/>
      <w:bookmarkStart w:id="175" w:name="_Toc166136615"/>
      <w:bookmarkStart w:id="176" w:name="_Toc167109455"/>
      <w:bookmarkStart w:id="177" w:name="_Toc170120035"/>
      <w:bookmarkStart w:id="178" w:name="_Toc170817176"/>
      <w:bookmarkStart w:id="179" w:name="_Toc214051041"/>
      <w:bookmarkStart w:id="180" w:name="_Toc2127328370"/>
      <w:bookmarkStart w:id="181" w:name="_Hlk165581660"/>
      <w:r w:rsidRPr="001F7637">
        <w:t>Privacy and data collection</w:t>
      </w:r>
      <w:bookmarkEnd w:id="170"/>
      <w:bookmarkEnd w:id="171"/>
      <w:bookmarkEnd w:id="172"/>
      <w:bookmarkEnd w:id="173"/>
      <w:bookmarkEnd w:id="174"/>
      <w:bookmarkEnd w:id="175"/>
      <w:bookmarkEnd w:id="176"/>
      <w:bookmarkEnd w:id="177"/>
      <w:bookmarkEnd w:id="178"/>
      <w:bookmarkEnd w:id="179"/>
      <w:bookmarkEnd w:id="180"/>
    </w:p>
    <w:bookmarkEnd w:id="181"/>
    <w:p w14:paraId="16B5173D" w14:textId="4566FAB0" w:rsidR="00817CB4" w:rsidRPr="007F4BC4" w:rsidRDefault="00817CB4" w:rsidP="61716D05">
      <w:pPr>
        <w:rPr>
          <w:rFonts w:eastAsia="Times New Roman"/>
        </w:rPr>
      </w:pPr>
      <w:r w:rsidRPr="61716D05">
        <w:rPr>
          <w:rFonts w:eastAsia="Times New Roman"/>
        </w:rPr>
        <w:t>The MyMedicare Privacy Notice explains how the Australian Government will manage personal information consistent with obligations under the</w:t>
      </w:r>
      <w:r w:rsidRPr="61716D05">
        <w:rPr>
          <w:rStyle w:val="CommentReference"/>
          <w:rFonts w:asciiTheme="minorHAnsi" w:hAnsiTheme="minorHAnsi"/>
          <w:color w:val="auto"/>
          <w:kern w:val="2"/>
          <w14:ligatures w14:val="standardContextual"/>
        </w:rPr>
        <w:t xml:space="preserve"> </w:t>
      </w:r>
      <w:hyperlink r:id="rId25" w:history="1">
        <w:r w:rsidR="00E80191" w:rsidRPr="61716D05">
          <w:rPr>
            <w:rStyle w:val="Hyperlink"/>
            <w:rFonts w:eastAsia="Times New Roman"/>
            <w:i/>
            <w:iCs/>
          </w:rPr>
          <w:t>Privacy Act 1988</w:t>
        </w:r>
      </w:hyperlink>
      <w:r w:rsidR="00FF5DFB" w:rsidRPr="61716D05">
        <w:rPr>
          <w:rFonts w:eastAsia="Times New Roman"/>
        </w:rPr>
        <w:t xml:space="preserve"> </w:t>
      </w:r>
      <w:r w:rsidRPr="61716D05">
        <w:rPr>
          <w:rFonts w:eastAsia="Times New Roman"/>
        </w:rPr>
        <w:t>(</w:t>
      </w:r>
      <w:proofErr w:type="spellStart"/>
      <w:r w:rsidRPr="61716D05">
        <w:rPr>
          <w:rFonts w:eastAsia="Times New Roman"/>
        </w:rPr>
        <w:t>Cth</w:t>
      </w:r>
      <w:proofErr w:type="spellEnd"/>
      <w:r w:rsidRPr="61716D05">
        <w:rPr>
          <w:rFonts w:eastAsia="Times New Roman"/>
        </w:rPr>
        <w:t xml:space="preserve">) and the </w:t>
      </w:r>
      <w:hyperlink r:id="rId26">
        <w:r w:rsidRPr="61716D05">
          <w:rPr>
            <w:rFonts w:eastAsia="Times New Roman"/>
          </w:rPr>
          <w:t>Australian Privacy Principles</w:t>
        </w:r>
      </w:hyperlink>
      <w:r w:rsidRPr="61716D05">
        <w:rPr>
          <w:rFonts w:eastAsia="Times New Roman"/>
        </w:rPr>
        <w:t xml:space="preserve"> (APPs). This includes how Australian Government agencies will collect, use, and disclose patient </w:t>
      </w:r>
      <w:r w:rsidR="00C119EC" w:rsidRPr="61716D05">
        <w:rPr>
          <w:rFonts w:eastAsia="Times New Roman"/>
        </w:rPr>
        <w:t xml:space="preserve">and provider </w:t>
      </w:r>
      <w:r w:rsidRPr="61716D05">
        <w:rPr>
          <w:rFonts w:eastAsia="Times New Roman"/>
        </w:rPr>
        <w:t>information as part of the MyMedicare program. Patients should read this privacy notice together with other privacy-related information that their medical practice gives them about how they manage a patient’s personal information.</w:t>
      </w:r>
      <w:r w:rsidR="0084246A" w:rsidRPr="61716D05">
        <w:rPr>
          <w:rFonts w:eastAsia="Times New Roman"/>
        </w:rPr>
        <w:t xml:space="preserve"> </w:t>
      </w:r>
    </w:p>
    <w:p w14:paraId="3C493E40" w14:textId="0F1FE4A8" w:rsidR="00817CB4" w:rsidRPr="001150D6" w:rsidRDefault="00817CB4" w:rsidP="001212B9">
      <w:pPr>
        <w:keepNext/>
        <w:rPr>
          <w:rFonts w:eastAsia="Times New Roman" w:cs="Arial"/>
          <w:szCs w:val="22"/>
        </w:rPr>
      </w:pPr>
      <w:r w:rsidRPr="001150D6">
        <w:rPr>
          <w:rFonts w:eastAsia="Times New Roman" w:cs="Arial"/>
          <w:szCs w:val="22"/>
        </w:rPr>
        <w:t>The department may use a patient’s personal information to enable:</w:t>
      </w:r>
    </w:p>
    <w:p w14:paraId="60E5F4D7" w14:textId="77777777" w:rsidR="00817CB4" w:rsidRPr="00B34F70" w:rsidRDefault="00817CB4" w:rsidP="61716D05">
      <w:pPr>
        <w:pStyle w:val="ListBullet"/>
        <w:tabs>
          <w:tab w:val="clear" w:pos="360"/>
          <w:tab w:val="num" w:pos="1074"/>
        </w:tabs>
        <w:ind w:left="714" w:hanging="357"/>
      </w:pPr>
      <w:r>
        <w:t>MyMedicare program management, monitoring and reporting.</w:t>
      </w:r>
    </w:p>
    <w:p w14:paraId="70EEC2E8" w14:textId="3F77B6CB" w:rsidR="00817CB4" w:rsidRPr="00B34F70" w:rsidRDefault="00817CB4" w:rsidP="001212B9">
      <w:pPr>
        <w:pStyle w:val="ListBullet"/>
        <w:tabs>
          <w:tab w:val="clear" w:pos="360"/>
          <w:tab w:val="num" w:pos="1074"/>
        </w:tabs>
        <w:ind w:left="714" w:hanging="357"/>
      </w:pPr>
      <w:r>
        <w:t xml:space="preserve">routine monitoring and reporting for MBS </w:t>
      </w:r>
      <w:r w:rsidR="005C34DA">
        <w:t xml:space="preserve">or DVA </w:t>
      </w:r>
      <w:r>
        <w:t xml:space="preserve">claims, or </w:t>
      </w:r>
      <w:r w:rsidR="00DA0159">
        <w:t>General Practice in Aged Care</w:t>
      </w:r>
      <w:r w:rsidR="00B05CE7">
        <w:t xml:space="preserve"> </w:t>
      </w:r>
      <w:r w:rsidR="00DA0159">
        <w:t>Incentive</w:t>
      </w:r>
      <w:r>
        <w:t xml:space="preserve"> payment</w:t>
      </w:r>
      <w:r w:rsidR="001C4B86">
        <w:t>s</w:t>
      </w:r>
    </w:p>
    <w:p w14:paraId="12B82037" w14:textId="77777777" w:rsidR="00817CB4" w:rsidRPr="00B34F70" w:rsidRDefault="00817CB4" w:rsidP="001212B9">
      <w:pPr>
        <w:pStyle w:val="ListBullet"/>
        <w:tabs>
          <w:tab w:val="clear" w:pos="360"/>
          <w:tab w:val="num" w:pos="1074"/>
        </w:tabs>
        <w:ind w:left="714" w:hanging="357"/>
      </w:pPr>
      <w:r>
        <w:t>policy analysis</w:t>
      </w:r>
    </w:p>
    <w:p w14:paraId="3CB8A10B" w14:textId="77777777" w:rsidR="00817CB4" w:rsidRPr="00B34F70" w:rsidRDefault="00817CB4" w:rsidP="001212B9">
      <w:pPr>
        <w:pStyle w:val="ListBullet"/>
        <w:tabs>
          <w:tab w:val="clear" w:pos="360"/>
          <w:tab w:val="num" w:pos="1074"/>
        </w:tabs>
        <w:ind w:left="714" w:hanging="357"/>
      </w:pPr>
      <w:r>
        <w:t>program compliance and audit</w:t>
      </w:r>
    </w:p>
    <w:p w14:paraId="1206EC47" w14:textId="77777777" w:rsidR="00817CB4" w:rsidRPr="00B34F70" w:rsidRDefault="00817CB4" w:rsidP="001212B9">
      <w:pPr>
        <w:pStyle w:val="ListBullet"/>
        <w:tabs>
          <w:tab w:val="clear" w:pos="360"/>
          <w:tab w:val="num" w:pos="1074"/>
        </w:tabs>
        <w:ind w:left="714" w:hanging="357"/>
      </w:pPr>
      <w:r>
        <w:t>evaluation and continuous improvement of the MyMedicare Program</w:t>
      </w:r>
    </w:p>
    <w:p w14:paraId="66138438" w14:textId="5850C606" w:rsidR="00B61289" w:rsidRPr="00B34F70" w:rsidRDefault="00B61289" w:rsidP="61716D05">
      <w:pPr>
        <w:pStyle w:val="ListBullet"/>
        <w:tabs>
          <w:tab w:val="clear" w:pos="360"/>
          <w:tab w:val="num" w:pos="1074"/>
        </w:tabs>
        <w:ind w:left="714" w:hanging="357"/>
      </w:pPr>
      <w:r>
        <w:t>MBS payments, DVA payments, or incentives linked to MyMedicare registration including determining whether providers and practice</w:t>
      </w:r>
      <w:r w:rsidR="002559E9">
        <w:t>s</w:t>
      </w:r>
      <w:r>
        <w:t xml:space="preserve"> are eligible for incentives or payments</w:t>
      </w:r>
    </w:p>
    <w:p w14:paraId="0332A677" w14:textId="3820E51A" w:rsidR="006E098A" w:rsidRPr="00B34F70" w:rsidRDefault="00817CB4" w:rsidP="001212B9">
      <w:pPr>
        <w:pStyle w:val="ListBullet"/>
        <w:tabs>
          <w:tab w:val="clear" w:pos="360"/>
          <w:tab w:val="num" w:pos="1074"/>
        </w:tabs>
        <w:ind w:left="714" w:hanging="357"/>
      </w:pPr>
      <w:r>
        <w:t xml:space="preserve">data sharing to inform policy and program management under secure data sharing arrangements within government (where authorised by the data custodian and in line with </w:t>
      </w:r>
      <w:r w:rsidR="000F7E57">
        <w:t xml:space="preserve">any </w:t>
      </w:r>
      <w:r w:rsidR="00C70663">
        <w:t xml:space="preserve">relevant </w:t>
      </w:r>
      <w:r>
        <w:t>legislative authority).</w:t>
      </w:r>
    </w:p>
    <w:p w14:paraId="3417C910" w14:textId="046FAED0" w:rsidR="00D1512C" w:rsidRPr="009459BC" w:rsidRDefault="00D1512C" w:rsidP="001212B9">
      <w:pPr>
        <w:keepNext/>
        <w:rPr>
          <w:rFonts w:eastAsia="Times New Roman" w:cs="Arial"/>
          <w:color w:val="auto"/>
          <w:szCs w:val="22"/>
          <w:lang w:eastAsia="en-AU"/>
        </w:rPr>
      </w:pPr>
      <w:r w:rsidRPr="009459BC">
        <w:rPr>
          <w:rFonts w:eastAsia="Times New Roman" w:cs="Arial"/>
          <w:color w:val="auto"/>
          <w:szCs w:val="22"/>
          <w:lang w:eastAsia="en-AU"/>
        </w:rPr>
        <w:t>Services Australia uses personal</w:t>
      </w:r>
      <w:r w:rsidRPr="002D330A">
        <w:rPr>
          <w:color w:val="auto"/>
          <w:szCs w:val="22"/>
        </w:rPr>
        <w:t xml:space="preserve"> information </w:t>
      </w:r>
      <w:r w:rsidRPr="009459BC">
        <w:rPr>
          <w:rFonts w:eastAsia="Times New Roman" w:cs="Arial"/>
          <w:color w:val="auto"/>
          <w:szCs w:val="22"/>
          <w:lang w:eastAsia="en-AU"/>
        </w:rPr>
        <w:t>to:</w:t>
      </w:r>
    </w:p>
    <w:p w14:paraId="0F893DFC" w14:textId="067984B4" w:rsidR="00D1512C" w:rsidRPr="00742F75" w:rsidRDefault="00D1512C" w:rsidP="001212B9">
      <w:pPr>
        <w:pStyle w:val="ListBullet"/>
        <w:tabs>
          <w:tab w:val="clear" w:pos="360"/>
          <w:tab w:val="num" w:pos="1074"/>
        </w:tabs>
        <w:ind w:left="714" w:hanging="357"/>
        <w:contextualSpacing w:val="0"/>
        <w:rPr>
          <w:rFonts w:cs="Arial"/>
        </w:rPr>
      </w:pPr>
      <w:r w:rsidRPr="48909DBA">
        <w:rPr>
          <w:rFonts w:cs="Arial"/>
        </w:rPr>
        <w:t xml:space="preserve">Assess </w:t>
      </w:r>
      <w:r w:rsidR="001C5505" w:rsidRPr="48909DBA">
        <w:rPr>
          <w:rFonts w:cs="Arial"/>
        </w:rPr>
        <w:t>a patient’s</w:t>
      </w:r>
      <w:r w:rsidRPr="48909DBA">
        <w:rPr>
          <w:rFonts w:cs="Arial"/>
        </w:rPr>
        <w:t xml:space="preserve"> eligibility for Medicare Benefits Schedule (MBS)</w:t>
      </w:r>
      <w:r w:rsidR="00C905A4" w:rsidRPr="48909DBA">
        <w:rPr>
          <w:rFonts w:cs="Arial"/>
        </w:rPr>
        <w:t xml:space="preserve"> </w:t>
      </w:r>
      <w:proofErr w:type="gramStart"/>
      <w:r w:rsidR="00C905A4" w:rsidRPr="48909DBA">
        <w:rPr>
          <w:rFonts w:cs="Arial"/>
        </w:rPr>
        <w:t>items</w:t>
      </w:r>
      <w:r w:rsidRPr="48909DBA">
        <w:rPr>
          <w:rFonts w:cs="Arial"/>
        </w:rPr>
        <w:t xml:space="preserve">,  </w:t>
      </w:r>
      <w:r w:rsidR="00B34F70" w:rsidRPr="48909DBA">
        <w:rPr>
          <w:rFonts w:cs="Arial"/>
        </w:rPr>
        <w:t>MyMedicare</w:t>
      </w:r>
      <w:proofErr w:type="gramEnd"/>
      <w:r w:rsidR="00B34F70" w:rsidRPr="48909DBA">
        <w:rPr>
          <w:rFonts w:cs="Arial"/>
        </w:rPr>
        <w:t xml:space="preserve"> i</w:t>
      </w:r>
      <w:r w:rsidRPr="48909DBA">
        <w:rPr>
          <w:rFonts w:cs="Arial"/>
        </w:rPr>
        <w:t>ncentive</w:t>
      </w:r>
      <w:r w:rsidR="00B34F70" w:rsidRPr="48909DBA">
        <w:rPr>
          <w:rFonts w:cs="Arial"/>
        </w:rPr>
        <w:t xml:space="preserve"> programs</w:t>
      </w:r>
      <w:r w:rsidRPr="48909DBA">
        <w:rPr>
          <w:rFonts w:cs="Arial"/>
        </w:rPr>
        <w:t xml:space="preserve"> and DVA funded services linked to MyMedicare registration. </w:t>
      </w:r>
    </w:p>
    <w:p w14:paraId="44DBA510" w14:textId="73226913" w:rsidR="00817CB4" w:rsidRPr="009459BC" w:rsidRDefault="00817CB4" w:rsidP="001212B9">
      <w:pPr>
        <w:rPr>
          <w:rFonts w:eastAsia="Times New Roman"/>
        </w:rPr>
      </w:pPr>
      <w:r w:rsidRPr="4C05EBAE">
        <w:rPr>
          <w:rFonts w:eastAsia="Times New Roman"/>
        </w:rPr>
        <w:t xml:space="preserve">Further information </w:t>
      </w:r>
      <w:r w:rsidR="00B6709A" w:rsidRPr="4C05EBAE">
        <w:rPr>
          <w:rFonts w:eastAsia="Times New Roman"/>
        </w:rPr>
        <w:t xml:space="preserve">about how </w:t>
      </w:r>
      <w:r w:rsidRPr="4C05EBAE">
        <w:rPr>
          <w:rFonts w:eastAsia="Times New Roman"/>
        </w:rPr>
        <w:t xml:space="preserve">Australian Government agencies involved with MyMedicare </w:t>
      </w:r>
      <w:r w:rsidR="7B756FF8" w:rsidRPr="4C05EBAE">
        <w:rPr>
          <w:rFonts w:eastAsia="Times New Roman"/>
        </w:rPr>
        <w:t>manage</w:t>
      </w:r>
      <w:r w:rsidR="00B6709A" w:rsidRPr="4C05EBAE">
        <w:rPr>
          <w:rFonts w:eastAsia="Times New Roman"/>
        </w:rPr>
        <w:t xml:space="preserve"> personal information is</w:t>
      </w:r>
      <w:r w:rsidRPr="4C05EBAE">
        <w:rPr>
          <w:rFonts w:eastAsia="Times New Roman"/>
        </w:rPr>
        <w:t xml:space="preserve"> available from the following websites: </w:t>
      </w:r>
    </w:p>
    <w:p w14:paraId="39581EF8" w14:textId="297122E9" w:rsidR="00817CB4" w:rsidRPr="009459BC" w:rsidRDefault="00817CB4" w:rsidP="001212B9">
      <w:pPr>
        <w:pStyle w:val="ListBullet"/>
        <w:tabs>
          <w:tab w:val="clear" w:pos="360"/>
          <w:tab w:val="num" w:pos="720"/>
        </w:tabs>
        <w:ind w:left="720"/>
        <w:contextualSpacing w:val="0"/>
        <w:rPr>
          <w:rFonts w:cs="Arial"/>
          <w:lang w:val="en"/>
        </w:rPr>
      </w:pPr>
      <w:hyperlink r:id="rId27">
        <w:r w:rsidRPr="48909DBA">
          <w:rPr>
            <w:rStyle w:val="Hyperlink"/>
            <w:rFonts w:eastAsia="Arial" w:cs="Arial"/>
          </w:rPr>
          <w:t>Services Australia</w:t>
        </w:r>
      </w:hyperlink>
      <w:r w:rsidRPr="48909DBA">
        <w:rPr>
          <w:rFonts w:cs="Arial"/>
          <w:lang w:val="en"/>
        </w:rPr>
        <w:t xml:space="preserve"> </w:t>
      </w:r>
    </w:p>
    <w:p w14:paraId="7F689E7E" w14:textId="3BF03CDB" w:rsidR="00F80CF2" w:rsidRPr="009459BC" w:rsidRDefault="00F80CF2" w:rsidP="001212B9">
      <w:pPr>
        <w:pStyle w:val="ListBullet"/>
        <w:ind w:left="720"/>
        <w:contextualSpacing w:val="0"/>
        <w:rPr>
          <w:rFonts w:cs="Arial"/>
          <w:lang w:eastAsia="en-US"/>
        </w:rPr>
      </w:pPr>
      <w:hyperlink r:id="rId28" w:anchor=":~:text=DVA%20generally%20uses%20and%20discloses,authorised%20by%20the%20Privacy%20Act.">
        <w:r w:rsidRPr="48909DBA">
          <w:rPr>
            <w:rStyle w:val="Hyperlink"/>
            <w:rFonts w:eastAsia="Arial" w:cs="Arial"/>
          </w:rPr>
          <w:t>Department of Veterans’ Affairs</w:t>
        </w:r>
      </w:hyperlink>
    </w:p>
    <w:p w14:paraId="04A8E6DD" w14:textId="0EE5946A" w:rsidR="00817CB4" w:rsidRPr="009459BC" w:rsidRDefault="00817CB4" w:rsidP="001212B9">
      <w:pPr>
        <w:pStyle w:val="ListBullet"/>
        <w:ind w:left="720"/>
        <w:contextualSpacing w:val="0"/>
        <w:rPr>
          <w:rFonts w:eastAsia="Arial" w:cs="Arial"/>
        </w:rPr>
      </w:pPr>
      <w:hyperlink r:id="rId29">
        <w:r w:rsidRPr="48909DBA">
          <w:rPr>
            <w:rStyle w:val="Hyperlink"/>
            <w:rFonts w:eastAsia="Arial" w:cs="Arial"/>
          </w:rPr>
          <w:t>Australian Digital Health Agency</w:t>
        </w:r>
      </w:hyperlink>
      <w:r w:rsidR="007D69FA" w:rsidRPr="48909DBA">
        <w:rPr>
          <w:rStyle w:val="Hyperlink"/>
          <w:rFonts w:eastAsia="Arial" w:cs="Arial"/>
        </w:rPr>
        <w:t xml:space="preserve"> (ADHA)</w:t>
      </w:r>
      <w:r w:rsidR="00037F61" w:rsidRPr="48909DBA">
        <w:rPr>
          <w:rStyle w:val="Hyperlink"/>
          <w:rFonts w:eastAsia="Arial" w:cs="Arial"/>
        </w:rPr>
        <w:t>.</w:t>
      </w:r>
    </w:p>
    <w:p w14:paraId="10EA646D" w14:textId="0D28F99D" w:rsidR="00E40C02" w:rsidRPr="0004758E" w:rsidRDefault="00E40C02" w:rsidP="00F5479A">
      <w:r w:rsidRPr="0004758E">
        <w:lastRenderedPageBreak/>
        <w:t>If a patient makes a request via their My Health Record</w:t>
      </w:r>
      <w:r w:rsidR="007D69FA" w:rsidRPr="0004758E">
        <w:t xml:space="preserve"> (managed by ADH</w:t>
      </w:r>
      <w:r w:rsidR="001371EE" w:rsidRPr="0004758E">
        <w:t>A</w:t>
      </w:r>
      <w:r w:rsidR="007D69FA" w:rsidRPr="0004758E">
        <w:t>)</w:t>
      </w:r>
      <w:r w:rsidRPr="0004758E">
        <w:t>, Services Australia will provide information about them to the My Health Record system so that the name of their registered practice and GP will appear in their My Health Record if they choose to have it displayed.</w:t>
      </w:r>
    </w:p>
    <w:p w14:paraId="26FA0E80" w14:textId="77777777" w:rsidR="00A73DE2" w:rsidRPr="00A73DE2" w:rsidRDefault="00A73DE2" w:rsidP="001212B9">
      <w:pPr>
        <w:rPr>
          <w:rFonts w:eastAsia="Times New Roman"/>
          <w:i/>
          <w:iCs/>
        </w:rPr>
      </w:pPr>
      <w:r>
        <w:rPr>
          <w:rFonts w:eastAsia="Times New Roman"/>
          <w:i/>
          <w:iCs/>
        </w:rPr>
        <w:t>Privacy notices</w:t>
      </w:r>
    </w:p>
    <w:p w14:paraId="2892B44E" w14:textId="6D3A82BC" w:rsidR="00775BBF" w:rsidRDefault="00817CB4" w:rsidP="001212B9">
      <w:pPr>
        <w:rPr>
          <w:rFonts w:eastAsia="Times New Roman"/>
          <w:szCs w:val="22"/>
        </w:rPr>
      </w:pPr>
      <w:r w:rsidRPr="007F4BC4">
        <w:rPr>
          <w:rFonts w:eastAsia="Times New Roman"/>
        </w:rPr>
        <w:t xml:space="preserve">A copy of the MyMedicare Privacy Notice can be found at the Department of Health and Aged Care </w:t>
      </w:r>
      <w:hyperlink r:id="rId30" w:history="1">
        <w:r w:rsidRPr="007F4BC4">
          <w:rPr>
            <w:rFonts w:eastAsia="Times New Roman"/>
          </w:rPr>
          <w:t>website</w:t>
        </w:r>
      </w:hyperlink>
      <w:r w:rsidR="00DF4C0C">
        <w:rPr>
          <w:rFonts w:eastAsia="Times New Roman"/>
        </w:rPr>
        <w:t xml:space="preserve"> </w:t>
      </w:r>
      <w:hyperlink r:id="rId31" w:history="1">
        <w:r w:rsidR="00EA199C" w:rsidRPr="009006D0">
          <w:rPr>
            <w:rStyle w:val="Hyperlink"/>
            <w:rFonts w:eastAsia="Times New Roman"/>
            <w:szCs w:val="22"/>
          </w:rPr>
          <w:t>MyMedicare Privacy Notice.</w:t>
        </w:r>
      </w:hyperlink>
    </w:p>
    <w:p w14:paraId="3E33B702" w14:textId="398B1ADF" w:rsidR="00817CB4" w:rsidRDefault="005965A9" w:rsidP="001212B9">
      <w:pPr>
        <w:rPr>
          <w:szCs w:val="22"/>
        </w:rPr>
      </w:pPr>
      <w:r w:rsidRPr="009006D0">
        <w:rPr>
          <w:rFonts w:eastAsia="Times New Roman"/>
          <w:szCs w:val="22"/>
        </w:rPr>
        <w:t xml:space="preserve">A copy of </w:t>
      </w:r>
      <w:r w:rsidR="00A60EA6" w:rsidRPr="009006D0">
        <w:rPr>
          <w:rFonts w:eastAsia="Times New Roman"/>
          <w:szCs w:val="22"/>
        </w:rPr>
        <w:t xml:space="preserve">Services Australia’s </w:t>
      </w:r>
      <w:r w:rsidR="00D5219D" w:rsidRPr="009006D0">
        <w:rPr>
          <w:rFonts w:eastAsia="Times New Roman"/>
          <w:szCs w:val="22"/>
        </w:rPr>
        <w:t xml:space="preserve">Organisation Register Privacy Notice can be found </w:t>
      </w:r>
      <w:r w:rsidR="00B7185F" w:rsidRPr="009006D0">
        <w:rPr>
          <w:rFonts w:eastAsia="Times New Roman"/>
          <w:szCs w:val="22"/>
        </w:rPr>
        <w:t>on the Services Australia website</w:t>
      </w:r>
      <w:r w:rsidR="00D5219D" w:rsidRPr="009006D0">
        <w:rPr>
          <w:rFonts w:eastAsia="Times New Roman"/>
          <w:szCs w:val="22"/>
        </w:rPr>
        <w:t xml:space="preserve">: </w:t>
      </w:r>
      <w:hyperlink r:id="rId32" w:history="1">
        <w:r w:rsidR="00D5219D" w:rsidRPr="00A67B60">
          <w:rPr>
            <w:rStyle w:val="Hyperlink"/>
            <w:szCs w:val="22"/>
          </w:rPr>
          <w:t>Organisation Register for General Practitioners (GPs) and Health Professionals privacy notice</w:t>
        </w:r>
      </w:hyperlink>
      <w:r w:rsidR="00B7185F" w:rsidRPr="00A67B60">
        <w:rPr>
          <w:szCs w:val="22"/>
        </w:rPr>
        <w:t>.</w:t>
      </w:r>
    </w:p>
    <w:p w14:paraId="4E4E0E91" w14:textId="1A662CAE" w:rsidR="000A26CC" w:rsidRDefault="000A26CC" w:rsidP="000A26CC">
      <w:pPr>
        <w:pStyle w:val="Heading1"/>
      </w:pPr>
      <w:bookmarkStart w:id="182" w:name="_Toc214051042"/>
      <w:bookmarkStart w:id="183" w:name="_Toc992460625"/>
      <w:r>
        <w:t>Useful links</w:t>
      </w:r>
      <w:bookmarkEnd w:id="182"/>
      <w:bookmarkEnd w:id="183"/>
    </w:p>
    <w:p w14:paraId="0F69821F" w14:textId="77777777" w:rsidR="00BD3768" w:rsidRPr="00BD3768" w:rsidRDefault="00BD3768" w:rsidP="00B16726">
      <w:pPr>
        <w:numPr>
          <w:ilvl w:val="0"/>
          <w:numId w:val="7"/>
        </w:numPr>
        <w:ind w:hanging="357"/>
      </w:pPr>
      <w:hyperlink r:id="rId33" w:tgtFrame="_blank" w:history="1">
        <w:r w:rsidRPr="00BD3768">
          <w:rPr>
            <w:rStyle w:val="Hyperlink"/>
          </w:rPr>
          <w:t>About the General Practice in Aged Care Incentive - Health professionals - Services Australia</w:t>
        </w:r>
      </w:hyperlink>
      <w:r w:rsidRPr="00BD3768">
        <w:t> </w:t>
      </w:r>
    </w:p>
    <w:p w14:paraId="5DB1A624" w14:textId="77777777" w:rsidR="00BD3768" w:rsidRPr="00BD3768" w:rsidRDefault="00BD3768" w:rsidP="00B16726">
      <w:pPr>
        <w:numPr>
          <w:ilvl w:val="0"/>
          <w:numId w:val="8"/>
        </w:numPr>
        <w:ind w:hanging="357"/>
      </w:pPr>
      <w:hyperlink r:id="rId34" w:tgtFrame="_blank" w:history="1">
        <w:r w:rsidRPr="00BD3768">
          <w:rPr>
            <w:rStyle w:val="Hyperlink"/>
          </w:rPr>
          <w:t>About MyMedicare for health professionals - Health professionals - Services Australia</w:t>
        </w:r>
      </w:hyperlink>
      <w:r w:rsidRPr="00BD3768">
        <w:t> </w:t>
      </w:r>
    </w:p>
    <w:p w14:paraId="033FACD7" w14:textId="77777777" w:rsidR="00BD3768" w:rsidRPr="00BD3768" w:rsidRDefault="00BD3768" w:rsidP="00B16726">
      <w:pPr>
        <w:numPr>
          <w:ilvl w:val="0"/>
          <w:numId w:val="9"/>
        </w:numPr>
        <w:ind w:hanging="357"/>
      </w:pPr>
      <w:hyperlink r:id="rId35" w:tgtFrame="_blank" w:history="1">
        <w:r w:rsidRPr="00BD3768">
          <w:rPr>
            <w:rStyle w:val="Hyperlink"/>
          </w:rPr>
          <w:t>Features of the Organisation Register - Health professionals - Services Australia</w:t>
        </w:r>
      </w:hyperlink>
      <w:r w:rsidRPr="00BD3768">
        <w:t> </w:t>
      </w:r>
    </w:p>
    <w:p w14:paraId="3CD66DF3" w14:textId="77777777" w:rsidR="00BD3768" w:rsidRPr="00BD3768" w:rsidRDefault="00BD3768" w:rsidP="00B16726">
      <w:pPr>
        <w:numPr>
          <w:ilvl w:val="0"/>
          <w:numId w:val="10"/>
        </w:numPr>
        <w:ind w:hanging="357"/>
      </w:pPr>
      <w:hyperlink r:id="rId36" w:tgtFrame="_blank" w:history="1">
        <w:r w:rsidRPr="00BD3768">
          <w:rPr>
            <w:rStyle w:val="Hyperlink"/>
          </w:rPr>
          <w:t>General Practice in Aged Care Incentive - Health professionals - Services Australia</w:t>
        </w:r>
      </w:hyperlink>
      <w:r w:rsidRPr="00BD3768">
        <w:t> </w:t>
      </w:r>
    </w:p>
    <w:p w14:paraId="0944E5D0" w14:textId="77777777" w:rsidR="00BD3768" w:rsidRPr="00BD3768" w:rsidRDefault="00BD3768" w:rsidP="00B16726">
      <w:pPr>
        <w:numPr>
          <w:ilvl w:val="0"/>
          <w:numId w:val="11"/>
        </w:numPr>
        <w:ind w:hanging="357"/>
      </w:pPr>
      <w:hyperlink r:id="rId37" w:tgtFrame="_blank" w:history="1">
        <w:r w:rsidRPr="00BD3768">
          <w:rPr>
            <w:rStyle w:val="Hyperlink"/>
          </w:rPr>
          <w:t>Health care and Medicare - Medicare - Services Australia</w:t>
        </w:r>
      </w:hyperlink>
      <w:r w:rsidRPr="00BD3768">
        <w:t> </w:t>
      </w:r>
    </w:p>
    <w:p w14:paraId="33312193" w14:textId="77777777" w:rsidR="00BD3768" w:rsidRPr="00BD3768" w:rsidRDefault="00BD3768" w:rsidP="00B16726">
      <w:pPr>
        <w:numPr>
          <w:ilvl w:val="0"/>
          <w:numId w:val="12"/>
        </w:numPr>
        <w:ind w:hanging="357"/>
      </w:pPr>
      <w:hyperlink r:id="rId38" w:tgtFrame="_blank" w:history="1">
        <w:r w:rsidRPr="00BD3768">
          <w:rPr>
            <w:rStyle w:val="Hyperlink"/>
          </w:rPr>
          <w:t>MyMedicare Incentives - Health professionals - Services Australia</w:t>
        </w:r>
      </w:hyperlink>
      <w:r w:rsidRPr="00BD3768">
        <w:t> </w:t>
      </w:r>
    </w:p>
    <w:p w14:paraId="7EE1C30A" w14:textId="77777777" w:rsidR="00BD3768" w:rsidRPr="00BD3768" w:rsidRDefault="00BD3768" w:rsidP="00B16726">
      <w:pPr>
        <w:numPr>
          <w:ilvl w:val="0"/>
          <w:numId w:val="13"/>
        </w:numPr>
        <w:ind w:hanging="357"/>
      </w:pPr>
      <w:hyperlink r:id="rId39" w:tgtFrame="_blank" w:history="1">
        <w:r w:rsidRPr="00BD3768">
          <w:rPr>
            <w:rStyle w:val="Hyperlink"/>
          </w:rPr>
          <w:t>Organisation Register for General Practitioners (GPs) and Health Professionals privacy notice - About us - Services Australia</w:t>
        </w:r>
      </w:hyperlink>
      <w:r w:rsidRPr="00BD3768">
        <w:t> </w:t>
      </w:r>
    </w:p>
    <w:p w14:paraId="36045124" w14:textId="77777777" w:rsidR="00BD3768" w:rsidRPr="00BD3768" w:rsidRDefault="00BD3768" w:rsidP="00B16726">
      <w:pPr>
        <w:numPr>
          <w:ilvl w:val="0"/>
          <w:numId w:val="14"/>
        </w:numPr>
        <w:ind w:hanging="357"/>
      </w:pPr>
      <w:hyperlink r:id="rId40" w:tgtFrame="_blank" w:history="1">
        <w:r w:rsidRPr="00BD3768">
          <w:rPr>
            <w:rStyle w:val="Hyperlink"/>
          </w:rPr>
          <w:t>Register for MyMedicare - Services Australia</w:t>
        </w:r>
      </w:hyperlink>
      <w:r w:rsidRPr="00BD3768">
        <w:t> </w:t>
      </w:r>
    </w:p>
    <w:p w14:paraId="5EA9AB51" w14:textId="77777777" w:rsidR="00BD3768" w:rsidRPr="00BD3768" w:rsidRDefault="00BD3768" w:rsidP="00B16726">
      <w:pPr>
        <w:numPr>
          <w:ilvl w:val="0"/>
          <w:numId w:val="15"/>
        </w:numPr>
        <w:ind w:hanging="357"/>
      </w:pPr>
      <w:hyperlink r:id="rId41" w:tgtFrame="_blank" w:history="1">
        <w:r w:rsidRPr="00BD3768">
          <w:rPr>
            <w:rStyle w:val="Hyperlink"/>
          </w:rPr>
          <w:t>Register as an individual practitioner - Health professionals - Services Australia</w:t>
        </w:r>
      </w:hyperlink>
      <w:r w:rsidRPr="00BD3768">
        <w:t> </w:t>
      </w:r>
    </w:p>
    <w:p w14:paraId="2E1E2914" w14:textId="77777777" w:rsidR="00BD3768" w:rsidRPr="00BD3768" w:rsidRDefault="00BD3768" w:rsidP="00B16726">
      <w:pPr>
        <w:numPr>
          <w:ilvl w:val="0"/>
          <w:numId w:val="16"/>
        </w:numPr>
        <w:ind w:hanging="357"/>
      </w:pPr>
      <w:hyperlink r:id="rId42" w:tgtFrame="_blank" w:history="1">
        <w:r w:rsidRPr="00BD3768">
          <w:rPr>
            <w:rStyle w:val="Hyperlink"/>
          </w:rPr>
          <w:t>Register your practice for MyMedicare - Health professionals - Services Australia</w:t>
        </w:r>
      </w:hyperlink>
      <w:r w:rsidRPr="00BD3768">
        <w:t> </w:t>
      </w:r>
    </w:p>
    <w:p w14:paraId="561AB842" w14:textId="77777777" w:rsidR="00BD3768" w:rsidRPr="00BD3768" w:rsidRDefault="00BD3768" w:rsidP="00B16726">
      <w:pPr>
        <w:numPr>
          <w:ilvl w:val="0"/>
          <w:numId w:val="17"/>
        </w:numPr>
        <w:ind w:hanging="357"/>
      </w:pPr>
      <w:hyperlink r:id="rId43" w:tgtFrame="_blank" w:history="1">
        <w:r w:rsidRPr="00BD3768">
          <w:rPr>
            <w:rStyle w:val="Hyperlink"/>
          </w:rPr>
          <w:t>Resources for First Nations People, patients, general practices and health care providers, First Nations People and translated resources</w:t>
        </w:r>
      </w:hyperlink>
      <w:r w:rsidRPr="00BD3768">
        <w:t> </w:t>
      </w:r>
    </w:p>
    <w:p w14:paraId="2E2427EA" w14:textId="15DC8FA4" w:rsidR="00817CB4" w:rsidRPr="001F7637" w:rsidRDefault="00817CB4" w:rsidP="4A455F35">
      <w:pPr>
        <w:pStyle w:val="Heading1"/>
        <w:spacing w:before="120"/>
      </w:pPr>
      <w:bookmarkStart w:id="184" w:name="_Toc167109458"/>
      <w:bookmarkStart w:id="185" w:name="_Toc170120037"/>
      <w:bookmarkStart w:id="186" w:name="_Toc170817178"/>
      <w:bookmarkStart w:id="187" w:name="_Toc214051043"/>
      <w:bookmarkStart w:id="188" w:name="_Toc120856502"/>
      <w:bookmarkStart w:id="189" w:name="_Toc166066967"/>
      <w:bookmarkStart w:id="190" w:name="_Toc166068383"/>
      <w:bookmarkStart w:id="191" w:name="_Toc166068595"/>
      <w:bookmarkStart w:id="192" w:name="_Toc166069554"/>
      <w:bookmarkStart w:id="193" w:name="_Hlk165581837"/>
      <w:r w:rsidRPr="001F7637">
        <w:t>Appendix</w:t>
      </w:r>
      <w:bookmarkEnd w:id="184"/>
      <w:bookmarkEnd w:id="185"/>
      <w:bookmarkEnd w:id="186"/>
      <w:bookmarkEnd w:id="187"/>
      <w:bookmarkEnd w:id="188"/>
    </w:p>
    <w:p w14:paraId="3C1C0716" w14:textId="77777777" w:rsidR="00817CB4" w:rsidRPr="001F7637" w:rsidRDefault="00817CB4" w:rsidP="001F7637">
      <w:pPr>
        <w:pStyle w:val="Heading2"/>
      </w:pPr>
      <w:bookmarkStart w:id="194" w:name="_Toc170120038"/>
      <w:bookmarkStart w:id="195" w:name="_Toc170817179"/>
      <w:bookmarkStart w:id="196" w:name="_Toc214051044"/>
      <w:bookmarkStart w:id="197" w:name="_Toc145811387"/>
      <w:r w:rsidRPr="001F7637">
        <w:t>Glossary of terms</w:t>
      </w:r>
      <w:bookmarkEnd w:id="194"/>
      <w:bookmarkEnd w:id="195"/>
      <w:bookmarkEnd w:id="196"/>
      <w:bookmarkEnd w:id="197"/>
    </w:p>
    <w:tbl>
      <w:tblPr>
        <w:tblStyle w:val="DepartmentofHealthtable"/>
        <w:tblW w:w="10201" w:type="dxa"/>
        <w:tblLook w:val="04A0" w:firstRow="1" w:lastRow="0" w:firstColumn="1" w:lastColumn="0" w:noHBand="0" w:noVBand="1"/>
        <w:tblDescription w:val="Add Alt Text describing the content of the table"/>
      </w:tblPr>
      <w:tblGrid>
        <w:gridCol w:w="3261"/>
        <w:gridCol w:w="6940"/>
      </w:tblGrid>
      <w:tr w:rsidR="00DA2546" w:rsidRPr="00843080" w14:paraId="1E0F2B1D" w14:textId="77777777" w:rsidTr="453A4E2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261" w:type="dxa"/>
            <w:hideMark/>
          </w:tcPr>
          <w:p w14:paraId="460F55B4" w14:textId="77777777" w:rsidR="00826D63" w:rsidRPr="00DE7EA6" w:rsidRDefault="00826D63" w:rsidP="00826D63">
            <w:pPr>
              <w:jc w:val="center"/>
              <w:textAlignment w:val="baseline"/>
              <w:rPr>
                <w:rFonts w:cs="Arial"/>
                <w:color w:val="auto"/>
                <w:szCs w:val="22"/>
              </w:rPr>
            </w:pPr>
            <w:r w:rsidRPr="00DE7EA6">
              <w:rPr>
                <w:rFonts w:cs="Arial"/>
                <w:b/>
                <w:bCs/>
                <w:color w:val="FFFFFF"/>
                <w:szCs w:val="22"/>
              </w:rPr>
              <w:t>Term </w:t>
            </w:r>
          </w:p>
        </w:tc>
        <w:tc>
          <w:tcPr>
            <w:tcW w:w="6940" w:type="dxa"/>
            <w:hideMark/>
          </w:tcPr>
          <w:p w14:paraId="5557A2D8" w14:textId="77777777" w:rsidR="00826D63" w:rsidRPr="00DE7EA6" w:rsidRDefault="00826D63" w:rsidP="00826D63">
            <w:pPr>
              <w:jc w:val="center"/>
              <w:textAlignment w:val="baseline"/>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DE7EA6">
              <w:rPr>
                <w:rFonts w:cs="Arial"/>
                <w:b/>
                <w:bCs/>
                <w:color w:val="FFFFFF"/>
                <w:szCs w:val="22"/>
              </w:rPr>
              <w:t>Definition</w:t>
            </w:r>
            <w:r w:rsidRPr="00DE7EA6">
              <w:rPr>
                <w:rFonts w:cs="Arial"/>
                <w:color w:val="FFFFFF"/>
                <w:szCs w:val="22"/>
              </w:rPr>
              <w:t> </w:t>
            </w:r>
          </w:p>
        </w:tc>
      </w:tr>
      <w:tr w:rsidR="00DA2546" w:rsidRPr="00843080" w14:paraId="750B7515"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6568155" w14:textId="77777777" w:rsidR="00826D63" w:rsidRPr="00DE7EA6" w:rsidRDefault="00826D63" w:rsidP="00826D63">
            <w:pPr>
              <w:textAlignment w:val="baseline"/>
              <w:rPr>
                <w:rFonts w:cs="Arial"/>
                <w:color w:val="auto"/>
                <w:szCs w:val="22"/>
              </w:rPr>
            </w:pPr>
            <w:r w:rsidRPr="00DE7EA6">
              <w:rPr>
                <w:rFonts w:cs="Arial"/>
                <w:color w:val="000000"/>
                <w:szCs w:val="22"/>
              </w:rPr>
              <w:t>Accreditation </w:t>
            </w:r>
          </w:p>
        </w:tc>
        <w:tc>
          <w:tcPr>
            <w:tcW w:w="6940" w:type="dxa"/>
            <w:hideMark/>
          </w:tcPr>
          <w:p w14:paraId="5FAC6E2C"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An independent assessment and recognition that a practice meets the requirements of governing industry standards as set by the Royal Australian College of General Practitioners. </w:t>
            </w:r>
          </w:p>
        </w:tc>
      </w:tr>
      <w:tr w:rsidR="00DA2546" w:rsidRPr="00843080" w14:paraId="47326E7B"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97A46F" w14:textId="77777777" w:rsidR="00826D63" w:rsidRPr="00DE7EA6" w:rsidRDefault="00826D63" w:rsidP="00826D63">
            <w:pPr>
              <w:textAlignment w:val="baseline"/>
              <w:rPr>
                <w:rFonts w:cs="Arial"/>
                <w:color w:val="auto"/>
                <w:szCs w:val="22"/>
              </w:rPr>
            </w:pPr>
            <w:r w:rsidRPr="00DE7EA6">
              <w:rPr>
                <w:rFonts w:cs="Arial"/>
                <w:color w:val="000000"/>
                <w:szCs w:val="22"/>
              </w:rPr>
              <w:t>Accrediting agency </w:t>
            </w:r>
          </w:p>
        </w:tc>
        <w:tc>
          <w:tcPr>
            <w:tcW w:w="6940" w:type="dxa"/>
            <w:hideMark/>
          </w:tcPr>
          <w:p w14:paraId="7B8C0F43"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An independent agency from which practices can attain accreditation against the RACGP standards for general practice. </w:t>
            </w:r>
          </w:p>
        </w:tc>
      </w:tr>
      <w:tr w:rsidR="00DA2546" w:rsidRPr="00843080" w14:paraId="6F71227D"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4C5494F" w14:textId="77777777" w:rsidR="00826D63" w:rsidRPr="00DE7EA6" w:rsidRDefault="00826D63" w:rsidP="00826D63">
            <w:pPr>
              <w:textAlignment w:val="baseline"/>
              <w:rPr>
                <w:rFonts w:cs="Arial"/>
                <w:color w:val="auto"/>
                <w:szCs w:val="22"/>
              </w:rPr>
            </w:pPr>
            <w:r w:rsidRPr="00DE7EA6">
              <w:rPr>
                <w:rFonts w:cs="Arial"/>
                <w:color w:val="000000"/>
                <w:szCs w:val="22"/>
              </w:rPr>
              <w:lastRenderedPageBreak/>
              <w:t>Adult patient </w:t>
            </w:r>
          </w:p>
        </w:tc>
        <w:tc>
          <w:tcPr>
            <w:tcW w:w="6940" w:type="dxa"/>
            <w:hideMark/>
          </w:tcPr>
          <w:p w14:paraId="4F9A59BA"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For the purposes of MyMedicare, a patient who is 14 years of age and over. </w:t>
            </w:r>
          </w:p>
        </w:tc>
      </w:tr>
      <w:tr w:rsidR="00DA2546" w:rsidRPr="00843080" w14:paraId="791A98A1"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EFB9C18" w14:textId="77777777" w:rsidR="00826D63" w:rsidRPr="00DE7EA6" w:rsidRDefault="00826D63" w:rsidP="00826D63">
            <w:pPr>
              <w:textAlignment w:val="baseline"/>
              <w:rPr>
                <w:rFonts w:cs="Arial"/>
                <w:color w:val="auto"/>
                <w:szCs w:val="22"/>
              </w:rPr>
            </w:pPr>
            <w:r w:rsidRPr="00DE7EA6">
              <w:rPr>
                <w:rFonts w:cs="Arial"/>
                <w:color w:val="000000"/>
                <w:szCs w:val="22"/>
              </w:rPr>
              <w:t>Child patient </w:t>
            </w:r>
          </w:p>
        </w:tc>
        <w:tc>
          <w:tcPr>
            <w:tcW w:w="6940" w:type="dxa"/>
            <w:hideMark/>
          </w:tcPr>
          <w:p w14:paraId="55A0138B"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patient who is under 14 years of age. </w:t>
            </w:r>
          </w:p>
        </w:tc>
      </w:tr>
      <w:tr w:rsidR="00DA2546" w:rsidRPr="00843080" w14:paraId="2762DEF2"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C5E503A" w14:textId="18B7C50F"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condition </w:t>
            </w:r>
          </w:p>
        </w:tc>
        <w:tc>
          <w:tcPr>
            <w:tcW w:w="6940" w:type="dxa"/>
            <w:hideMark/>
          </w:tcPr>
          <w:p w14:paraId="19387EBD" w14:textId="6DC7A49B"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 xml:space="preserve">A chronic </w:t>
            </w:r>
            <w:r w:rsidR="00250E25" w:rsidRPr="61716D05">
              <w:rPr>
                <w:rFonts w:cs="Arial"/>
              </w:rPr>
              <w:t xml:space="preserve">condition </w:t>
            </w:r>
            <w:r w:rsidRPr="61716D05">
              <w:rPr>
                <w:rFonts w:cs="Arial"/>
              </w:rPr>
              <w:t>is a disease or condition that has been, or is likely to be, present for at least 6 months or is terminal. Whether a patient meets the eligibility requirement of having a chronic or terminal condition is for a GP to determine using their clinical judgement. </w:t>
            </w:r>
          </w:p>
        </w:tc>
      </w:tr>
      <w:tr w:rsidR="00DA2546" w:rsidRPr="00843080" w14:paraId="6B42332D"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0FABEE" w14:textId="0776547D"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 xml:space="preserve">condition </w:t>
            </w:r>
            <w:r w:rsidRPr="00DE7EA6">
              <w:rPr>
                <w:rFonts w:cs="Arial"/>
                <w:color w:val="000000"/>
                <w:szCs w:val="22"/>
              </w:rPr>
              <w:t>management </w:t>
            </w:r>
          </w:p>
        </w:tc>
        <w:tc>
          <w:tcPr>
            <w:tcW w:w="6940" w:type="dxa"/>
            <w:hideMark/>
          </w:tcPr>
          <w:p w14:paraId="4F437DE9" w14:textId="651E7592" w:rsidR="00826D63" w:rsidRPr="00DE7EA6" w:rsidRDefault="00813A5D"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008F627F">
              <w:rPr>
                <w:rFonts w:cs="Arial"/>
              </w:rPr>
              <w:t xml:space="preserve">The </w:t>
            </w:r>
            <w:r w:rsidR="00826D63" w:rsidRPr="008F627F">
              <w:rPr>
                <w:rFonts w:cs="Arial"/>
              </w:rPr>
              <w:t>plan</w:t>
            </w:r>
            <w:r w:rsidRPr="008F627F">
              <w:rPr>
                <w:rFonts w:cs="Arial"/>
              </w:rPr>
              <w:t>ning</w:t>
            </w:r>
            <w:r w:rsidR="00826D63" w:rsidRPr="008F627F">
              <w:rPr>
                <w:rFonts w:cs="Arial"/>
              </w:rPr>
              <w:t xml:space="preserve"> and coordinat</w:t>
            </w:r>
            <w:r w:rsidRPr="008F627F">
              <w:rPr>
                <w:rFonts w:cs="Arial"/>
              </w:rPr>
              <w:t>ion</w:t>
            </w:r>
            <w:r w:rsidR="00826D63" w:rsidRPr="008F627F">
              <w:rPr>
                <w:rFonts w:cs="Arial"/>
              </w:rPr>
              <w:t xml:space="preserve"> </w:t>
            </w:r>
            <w:r w:rsidRPr="008F627F">
              <w:rPr>
                <w:rFonts w:cs="Arial"/>
              </w:rPr>
              <w:t xml:space="preserve">of </w:t>
            </w:r>
            <w:r w:rsidR="00826D63" w:rsidRPr="008F627F">
              <w:rPr>
                <w:rFonts w:cs="Arial"/>
              </w:rPr>
              <w:t xml:space="preserve">healthcare </w:t>
            </w:r>
            <w:r w:rsidRPr="008F627F">
              <w:rPr>
                <w:rFonts w:cs="Arial"/>
              </w:rPr>
              <w:t>for</w:t>
            </w:r>
            <w:r w:rsidR="00826D63" w:rsidRPr="008F627F">
              <w:rPr>
                <w:rFonts w:cs="Arial"/>
              </w:rPr>
              <w:t xml:space="preserve"> patients with chronic or terminal medical conditions.  </w:t>
            </w:r>
          </w:p>
        </w:tc>
      </w:tr>
      <w:tr w:rsidR="00DA2546" w:rsidRPr="00843080" w14:paraId="69E28E2C"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5B235E3" w14:textId="77777777" w:rsidR="00826D63" w:rsidRPr="00DE7EA6" w:rsidRDefault="00826D63" w:rsidP="00826D63">
            <w:pPr>
              <w:textAlignment w:val="baseline"/>
              <w:rPr>
                <w:rFonts w:cs="Arial"/>
                <w:color w:val="auto"/>
                <w:szCs w:val="22"/>
              </w:rPr>
            </w:pPr>
            <w:r w:rsidRPr="00DE7EA6">
              <w:rPr>
                <w:rFonts w:cs="Arial"/>
                <w:color w:val="auto"/>
                <w:szCs w:val="22"/>
              </w:rPr>
              <w:t>DVA </w:t>
            </w:r>
          </w:p>
        </w:tc>
        <w:tc>
          <w:tcPr>
            <w:tcW w:w="6940" w:type="dxa"/>
            <w:hideMark/>
          </w:tcPr>
          <w:p w14:paraId="00CA3F14"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auto"/>
                <w:szCs w:val="22"/>
              </w:rPr>
              <w:t>Department of Veterans’ Affairs </w:t>
            </w:r>
          </w:p>
        </w:tc>
      </w:tr>
      <w:tr w:rsidR="00DA2546" w:rsidRPr="00843080" w14:paraId="74CCC00B"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37518C2" w14:textId="77777777" w:rsidR="00826D63" w:rsidRPr="00DE7EA6" w:rsidRDefault="00826D63" w:rsidP="00826D63">
            <w:pPr>
              <w:textAlignment w:val="baseline"/>
              <w:rPr>
                <w:rFonts w:cs="Arial"/>
                <w:color w:val="auto"/>
                <w:szCs w:val="22"/>
              </w:rPr>
            </w:pPr>
            <w:r w:rsidRPr="00DE7EA6">
              <w:rPr>
                <w:rFonts w:cs="Arial"/>
                <w:color w:val="000000"/>
                <w:szCs w:val="22"/>
              </w:rPr>
              <w:t>Eligible provider </w:t>
            </w:r>
          </w:p>
        </w:tc>
        <w:tc>
          <w:tcPr>
            <w:tcW w:w="6940" w:type="dxa"/>
            <w:hideMark/>
          </w:tcPr>
          <w:p w14:paraId="2E43A990" w14:textId="0EFB6E6A" w:rsidR="0035277D" w:rsidRPr="00DE7EA6" w:rsidRDefault="007D2502"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Medical Practitioner who holds an eligible speciality code as</w:t>
            </w:r>
            <w:r w:rsidR="004004AF" w:rsidRPr="61716D05">
              <w:rPr>
                <w:rFonts w:cs="Arial"/>
              </w:rPr>
              <w:t xml:space="preserve"> linked to the pr</w:t>
            </w:r>
            <w:r w:rsidR="006C1E18" w:rsidRPr="61716D05">
              <w:rPr>
                <w:rFonts w:cs="Arial"/>
              </w:rPr>
              <w:t>actice in the Organisation register. Eligible providers can be vocationally registered GP, non-vocationally registered GP or GP regist</w:t>
            </w:r>
            <w:r w:rsidR="006F28DE" w:rsidRPr="61716D05">
              <w:rPr>
                <w:rFonts w:cs="Arial"/>
              </w:rPr>
              <w:t xml:space="preserve">rar. </w:t>
            </w:r>
            <w:r w:rsidR="00EC2BE5" w:rsidRPr="61716D05">
              <w:rPr>
                <w:rFonts w:cs="Arial"/>
              </w:rPr>
              <w:t>Providers must have a valid provider number and be eligible to deliver MBS or DVA equivalent services.</w:t>
            </w:r>
            <w:r w:rsidR="0035277D" w:rsidRPr="61716D05">
              <w:rPr>
                <w:rFonts w:cs="Arial"/>
              </w:rPr>
              <w:t xml:space="preserve"> </w:t>
            </w:r>
          </w:p>
        </w:tc>
      </w:tr>
      <w:tr w:rsidR="00DA2546" w:rsidRPr="00843080" w14:paraId="3747CF9A"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DF051D1" w14:textId="77777777" w:rsidR="00826D63" w:rsidRPr="00DE7EA6" w:rsidRDefault="00826D63" w:rsidP="00826D63">
            <w:pPr>
              <w:textAlignment w:val="baseline"/>
              <w:rPr>
                <w:rFonts w:cs="Arial"/>
                <w:color w:val="auto"/>
                <w:szCs w:val="22"/>
              </w:rPr>
            </w:pPr>
            <w:r w:rsidRPr="00DE7EA6">
              <w:rPr>
                <w:rFonts w:cs="Arial"/>
                <w:color w:val="000000"/>
                <w:szCs w:val="22"/>
              </w:rPr>
              <w:t>Family and domestic violence </w:t>
            </w:r>
          </w:p>
        </w:tc>
        <w:tc>
          <w:tcPr>
            <w:tcW w:w="6940" w:type="dxa"/>
            <w:hideMark/>
          </w:tcPr>
          <w:p w14:paraId="377FA774" w14:textId="77777777" w:rsidR="00826D63" w:rsidRPr="00DE7EA6" w:rsidRDefault="00826D63" w:rsidP="453A4E2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53A4E23">
              <w:rPr>
                <w:rFonts w:cs="Arial"/>
              </w:rPr>
              <w:t>Behaviour that is violent, threatening, coercive, controlling or causes a person to be fearful. </w:t>
            </w:r>
          </w:p>
        </w:tc>
      </w:tr>
      <w:tr w:rsidR="00DA2546" w:rsidRPr="00843080" w14:paraId="36E8173E"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8F42534" w14:textId="77777777" w:rsidR="00826D63" w:rsidRPr="00DE7EA6" w:rsidRDefault="00826D63" w:rsidP="00826D63">
            <w:pPr>
              <w:textAlignment w:val="baseline"/>
              <w:rPr>
                <w:rFonts w:cs="Arial"/>
                <w:color w:val="auto"/>
                <w:szCs w:val="22"/>
              </w:rPr>
            </w:pPr>
            <w:r w:rsidRPr="00F37F2C">
              <w:rPr>
                <w:rFonts w:cs="Arial"/>
                <w:color w:val="000000"/>
                <w:szCs w:val="22"/>
              </w:rPr>
              <w:t>General practice </w:t>
            </w:r>
          </w:p>
        </w:tc>
        <w:tc>
          <w:tcPr>
            <w:tcW w:w="6940" w:type="dxa"/>
            <w:hideMark/>
          </w:tcPr>
          <w:p w14:paraId="767801CA" w14:textId="77777777" w:rsidR="00B27D21" w:rsidRPr="00194BEF" w:rsidRDefault="001A0861"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General practice is defined by the RACGP Standards for </w:t>
            </w:r>
            <w:r w:rsidR="00B27D21" w:rsidRPr="61716D05">
              <w:rPr>
                <w:rFonts w:cs="Arial"/>
              </w:rPr>
              <w:t>general practices and must be an accredited service. For the purposes of accreditation as a general practice a site must:</w:t>
            </w:r>
          </w:p>
          <w:p w14:paraId="5395CEF0" w14:textId="391BEB03" w:rsidR="00992724" w:rsidRPr="00194BEF" w:rsidRDefault="00B27D21"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provide comprehensive, </w:t>
            </w:r>
            <w:r w:rsidR="00826D63" w:rsidRPr="00194BEF">
              <w:t xml:space="preserve">patient-centred, </w:t>
            </w:r>
            <w:r w:rsidR="00992724" w:rsidRPr="00194BEF">
              <w:t>whole-person and continuous care; and</w:t>
            </w:r>
          </w:p>
          <w:p w14:paraId="60387082" w14:textId="118EBED1" w:rsidR="006D0FAC" w:rsidRPr="00877366" w:rsidRDefault="00992724"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its service must be </w:t>
            </w:r>
            <w:r w:rsidR="008965A1" w:rsidRPr="00194BEF">
              <w:t>predominantly* of a general practice nature.</w:t>
            </w:r>
          </w:p>
          <w:p w14:paraId="29442910" w14:textId="118C1404" w:rsidR="00826D63" w:rsidRPr="00DE7EA6" w:rsidRDefault="008965A1" w:rsidP="00843080">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194BEF">
              <w:rPr>
                <w:rFonts w:cs="Arial"/>
                <w:color w:val="000000"/>
                <w:szCs w:val="22"/>
              </w:rPr>
              <w:t>*More than 50 per cent of the practi</w:t>
            </w:r>
            <w:r w:rsidR="00834FC3" w:rsidRPr="00194BEF">
              <w:rPr>
                <w:rFonts w:cs="Arial"/>
                <w:color w:val="000000"/>
                <w:szCs w:val="22"/>
              </w:rPr>
              <w:t xml:space="preserve">ce’s general </w:t>
            </w:r>
            <w:r w:rsidR="005B6351" w:rsidRPr="00194BEF">
              <w:rPr>
                <w:rFonts w:cs="Arial"/>
                <w:color w:val="000000"/>
                <w:szCs w:val="22"/>
              </w:rPr>
              <w:t>practitioners</w:t>
            </w:r>
            <w:r w:rsidR="00834FC3" w:rsidRPr="00194BEF">
              <w:rPr>
                <w:rFonts w:cs="Arial"/>
                <w:color w:val="000000"/>
                <w:szCs w:val="22"/>
              </w:rPr>
              <w:t>’ clinical time (i.e. collectively), and more than 50 p</w:t>
            </w:r>
            <w:r w:rsidR="005B6351" w:rsidRPr="00194BEF">
              <w:rPr>
                <w:rFonts w:cs="Arial"/>
                <w:color w:val="000000"/>
                <w:szCs w:val="22"/>
              </w:rPr>
              <w:t xml:space="preserve">er </w:t>
            </w:r>
            <w:r w:rsidR="00F37F2C">
              <w:rPr>
                <w:rFonts w:cs="Arial"/>
                <w:color w:val="000000"/>
                <w:szCs w:val="22"/>
              </w:rPr>
              <w:t>c</w:t>
            </w:r>
            <w:r w:rsidR="005B6351" w:rsidRPr="00194BEF">
              <w:rPr>
                <w:rFonts w:cs="Arial"/>
                <w:color w:val="000000"/>
                <w:szCs w:val="22"/>
              </w:rPr>
              <w:t>ent of service for which Medicare benefits are claimed or could be claimed (from the practice) are in general practice.</w:t>
            </w:r>
            <w:r w:rsidR="00826D63" w:rsidRPr="00194BEF">
              <w:rPr>
                <w:rFonts w:cs="Arial"/>
                <w:color w:val="000000"/>
                <w:szCs w:val="22"/>
              </w:rPr>
              <w:t>  </w:t>
            </w:r>
          </w:p>
        </w:tc>
      </w:tr>
      <w:tr w:rsidR="00DA2546" w:rsidRPr="00843080" w14:paraId="00A15692"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0D0637E" w14:textId="3FBE861E" w:rsidR="00826D63" w:rsidRPr="00DE7EA6" w:rsidRDefault="00826D63" w:rsidP="00826D63">
            <w:pPr>
              <w:textAlignment w:val="baseline"/>
              <w:rPr>
                <w:rFonts w:cs="Arial"/>
                <w:color w:val="auto"/>
                <w:szCs w:val="22"/>
              </w:rPr>
            </w:pPr>
            <w:r w:rsidRPr="00DB0838">
              <w:rPr>
                <w:rFonts w:cs="Arial"/>
                <w:color w:val="000000"/>
                <w:szCs w:val="22"/>
              </w:rPr>
              <w:t xml:space="preserve">General Practice Aged Care Incentive </w:t>
            </w:r>
          </w:p>
        </w:tc>
        <w:tc>
          <w:tcPr>
            <w:tcW w:w="6940" w:type="dxa"/>
            <w:hideMark/>
          </w:tcPr>
          <w:p w14:paraId="55859491" w14:textId="0B2BF150"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A455F35">
              <w:rPr>
                <w:rFonts w:cs="Arial"/>
                <w:color w:val="000000"/>
              </w:rPr>
              <w:t>An incentive program that aims to improve access to quality, proactive general practice care for older people who live in residential aged care by incentivising proactive face-to-face visits, regular, planned reviews and coordinated care planning.</w:t>
            </w:r>
            <w:r w:rsidRPr="4A455F35">
              <w:rPr>
                <w:rFonts w:cs="Arial"/>
                <w:color w:val="000000"/>
                <w:shd w:val="clear" w:color="auto" w:fill="FFFFFF"/>
              </w:rPr>
              <w:t> </w:t>
            </w:r>
            <w:r w:rsidRPr="4A455F35">
              <w:rPr>
                <w:rFonts w:cs="Arial"/>
                <w:color w:val="000000"/>
              </w:rPr>
              <w:t> </w:t>
            </w:r>
          </w:p>
        </w:tc>
      </w:tr>
      <w:tr w:rsidR="00DA2546" w:rsidRPr="00843080" w14:paraId="1D9C45A5"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882E074" w14:textId="6B16097A" w:rsidR="00826D63" w:rsidRPr="00F37F2C" w:rsidRDefault="00826D63" w:rsidP="00826D63">
            <w:pPr>
              <w:textAlignment w:val="baseline"/>
              <w:rPr>
                <w:rFonts w:cs="Arial"/>
                <w:color w:val="auto"/>
                <w:szCs w:val="22"/>
              </w:rPr>
            </w:pPr>
            <w:r w:rsidRPr="00F37F2C">
              <w:rPr>
                <w:rFonts w:cs="Arial"/>
                <w:color w:val="000000"/>
                <w:szCs w:val="22"/>
              </w:rPr>
              <w:lastRenderedPageBreak/>
              <w:t>General practitioner</w:t>
            </w:r>
          </w:p>
        </w:tc>
        <w:tc>
          <w:tcPr>
            <w:tcW w:w="6940" w:type="dxa"/>
            <w:hideMark/>
          </w:tcPr>
          <w:p w14:paraId="5FE98B92" w14:textId="272F0150" w:rsidR="00826D63" w:rsidRPr="00F37F2C"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F37F2C">
              <w:rPr>
                <w:rFonts w:cs="Arial"/>
                <w:color w:val="000000"/>
                <w:szCs w:val="22"/>
              </w:rPr>
              <w:t>G</w:t>
            </w:r>
            <w:r w:rsidR="00A2719C" w:rsidRPr="00F37F2C">
              <w:rPr>
                <w:rFonts w:cs="Arial"/>
                <w:color w:val="000000"/>
                <w:szCs w:val="22"/>
              </w:rPr>
              <w:t>eneral practitioners (GPs)</w:t>
            </w:r>
            <w:r w:rsidRPr="00F37F2C">
              <w:rPr>
                <w:rFonts w:cs="Arial"/>
                <w:color w:val="000000"/>
                <w:szCs w:val="22"/>
              </w:rPr>
              <w:t xml:space="preserve"> are doctors who have complet</w:t>
            </w:r>
            <w:r w:rsidR="005F61B5" w:rsidRPr="00F37F2C">
              <w:rPr>
                <w:rFonts w:cs="Arial"/>
                <w:color w:val="000000"/>
                <w:szCs w:val="22"/>
              </w:rPr>
              <w:t xml:space="preserve">ed </w:t>
            </w:r>
            <w:r w:rsidRPr="00F37F2C">
              <w:rPr>
                <w:rFonts w:cs="Arial"/>
                <w:color w:val="000000"/>
                <w:szCs w:val="22"/>
              </w:rPr>
              <w:t>training in general practice. </w:t>
            </w:r>
          </w:p>
        </w:tc>
      </w:tr>
      <w:tr w:rsidR="00DA2546" w:rsidRPr="00843080" w14:paraId="58BA578B"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D6D2B51" w14:textId="77777777" w:rsidR="00826D63" w:rsidRPr="00DE7EA6" w:rsidRDefault="00826D63" w:rsidP="00826D63">
            <w:pPr>
              <w:textAlignment w:val="baseline"/>
              <w:rPr>
                <w:rFonts w:cs="Arial"/>
                <w:color w:val="auto"/>
                <w:szCs w:val="22"/>
              </w:rPr>
            </w:pPr>
            <w:r w:rsidRPr="00DE7EA6">
              <w:rPr>
                <w:rFonts w:cs="Arial"/>
                <w:color w:val="000000"/>
                <w:szCs w:val="22"/>
              </w:rPr>
              <w:t>Healthcare provider </w:t>
            </w:r>
          </w:p>
        </w:tc>
        <w:tc>
          <w:tcPr>
            <w:tcW w:w="6940" w:type="dxa"/>
            <w:hideMark/>
          </w:tcPr>
          <w:p w14:paraId="6023CE9D"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person who is involved in or associated with healthcare delivery. </w:t>
            </w:r>
          </w:p>
        </w:tc>
      </w:tr>
      <w:tr w:rsidR="00DA2546" w:rsidRPr="00843080" w14:paraId="7C9EDA1D"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E9FDA35" w14:textId="14E56A50" w:rsidR="00E26513" w:rsidRPr="00DE7EA6" w:rsidRDefault="00E26513" w:rsidP="00826D63">
            <w:pPr>
              <w:textAlignment w:val="baseline"/>
              <w:rPr>
                <w:rFonts w:cs="Arial"/>
                <w:color w:val="000000"/>
                <w:szCs w:val="22"/>
              </w:rPr>
            </w:pPr>
            <w:r w:rsidRPr="00DE7EA6">
              <w:rPr>
                <w:rFonts w:cs="Arial"/>
                <w:color w:val="000000"/>
                <w:szCs w:val="22"/>
              </w:rPr>
              <w:t xml:space="preserve">Hub &amp; </w:t>
            </w:r>
            <w:proofErr w:type="gramStart"/>
            <w:r w:rsidRPr="00DE7EA6">
              <w:rPr>
                <w:rFonts w:cs="Arial"/>
                <w:color w:val="000000"/>
                <w:szCs w:val="22"/>
              </w:rPr>
              <w:t>Spoke</w:t>
            </w:r>
            <w:proofErr w:type="gramEnd"/>
          </w:p>
        </w:tc>
        <w:tc>
          <w:tcPr>
            <w:tcW w:w="6940" w:type="dxa"/>
            <w:shd w:val="clear" w:color="auto" w:fill="auto"/>
          </w:tcPr>
          <w:p w14:paraId="3582F933" w14:textId="6DD54C3C" w:rsidR="00E26513" w:rsidRPr="00DE7EA6" w:rsidRDefault="00AD3448"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A </w:t>
            </w:r>
            <w:r w:rsidR="00B05CE7" w:rsidRPr="61716D05">
              <w:rPr>
                <w:rFonts w:cs="Arial"/>
              </w:rPr>
              <w:t xml:space="preserve">model </w:t>
            </w:r>
            <w:r w:rsidR="005C4ACF" w:rsidRPr="61716D05">
              <w:rPr>
                <w:rFonts w:cs="Arial"/>
              </w:rPr>
              <w:t>of</w:t>
            </w:r>
            <w:r w:rsidR="00B05CE7" w:rsidRPr="61716D05">
              <w:rPr>
                <w:rFonts w:cs="Arial"/>
              </w:rPr>
              <w:t xml:space="preserve"> organisation </w:t>
            </w:r>
            <w:r w:rsidR="005C4ACF" w:rsidRPr="61716D05">
              <w:rPr>
                <w:rFonts w:cs="Arial"/>
              </w:rPr>
              <w:t xml:space="preserve">registration in MyMedicare in which a </w:t>
            </w:r>
            <w:r w:rsidR="001C2F79" w:rsidRPr="61716D05">
              <w:rPr>
                <w:rFonts w:cs="Arial"/>
              </w:rPr>
              <w:t>single organisation site (Hub)</w:t>
            </w:r>
            <w:r w:rsidR="007416D2" w:rsidRPr="61716D05">
              <w:rPr>
                <w:rFonts w:cs="Arial"/>
              </w:rPr>
              <w:t xml:space="preserve"> </w:t>
            </w:r>
            <w:r w:rsidR="005C4ACF" w:rsidRPr="61716D05">
              <w:rPr>
                <w:rFonts w:cs="Arial"/>
              </w:rPr>
              <w:t xml:space="preserve">is </w:t>
            </w:r>
            <w:r w:rsidR="007416D2" w:rsidRPr="61716D05">
              <w:rPr>
                <w:rFonts w:cs="Arial"/>
              </w:rPr>
              <w:t xml:space="preserve">registered and additional practices are set up as service </w:t>
            </w:r>
            <w:r w:rsidR="00452447" w:rsidRPr="61716D05">
              <w:rPr>
                <w:rFonts w:cs="Arial"/>
              </w:rPr>
              <w:t>locations</w:t>
            </w:r>
            <w:r w:rsidR="007416D2" w:rsidRPr="61716D05">
              <w:rPr>
                <w:rFonts w:cs="Arial"/>
              </w:rPr>
              <w:t xml:space="preserve"> (Spokes). The spoke location/s operates as an extension of the </w:t>
            </w:r>
            <w:r w:rsidR="00452447" w:rsidRPr="61716D05">
              <w:rPr>
                <w:rFonts w:cs="Arial"/>
              </w:rPr>
              <w:t>hub and</w:t>
            </w:r>
            <w:r w:rsidR="007416D2" w:rsidRPr="61716D05">
              <w:rPr>
                <w:rFonts w:cs="Arial"/>
              </w:rPr>
              <w:t xml:space="preserve"> may</w:t>
            </w:r>
            <w:r w:rsidR="00452447" w:rsidRPr="61716D05">
              <w:rPr>
                <w:rFonts w:cs="Arial"/>
              </w:rPr>
              <w:t xml:space="preserve"> operate on a part-time or full-time basis.</w:t>
            </w:r>
          </w:p>
        </w:tc>
      </w:tr>
      <w:tr w:rsidR="00DA2546" w:rsidRPr="00843080" w14:paraId="1260E854"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FBD48A8" w14:textId="77777777" w:rsidR="00826D63" w:rsidRPr="00DE7EA6" w:rsidRDefault="00826D63" w:rsidP="00826D63">
            <w:pPr>
              <w:textAlignment w:val="baseline"/>
              <w:rPr>
                <w:rFonts w:cs="Arial"/>
                <w:color w:val="auto"/>
                <w:szCs w:val="22"/>
              </w:rPr>
            </w:pPr>
            <w:r w:rsidRPr="00DE7EA6">
              <w:rPr>
                <w:rFonts w:cs="Arial"/>
                <w:color w:val="000000"/>
                <w:szCs w:val="22"/>
              </w:rPr>
              <w:t>Medicare Benefits Schedule </w:t>
            </w:r>
          </w:p>
          <w:p w14:paraId="1B995B15" w14:textId="77777777" w:rsidR="00826D63" w:rsidRPr="00DE7EA6" w:rsidRDefault="00826D63" w:rsidP="00826D63">
            <w:pPr>
              <w:textAlignment w:val="baseline"/>
              <w:rPr>
                <w:rFonts w:cs="Arial"/>
                <w:color w:val="auto"/>
                <w:szCs w:val="22"/>
              </w:rPr>
            </w:pPr>
            <w:r w:rsidRPr="00DE7EA6">
              <w:rPr>
                <w:rFonts w:cs="Arial"/>
                <w:color w:val="000000"/>
                <w:szCs w:val="22"/>
              </w:rPr>
              <w:t>(MBS) </w:t>
            </w:r>
          </w:p>
        </w:tc>
        <w:tc>
          <w:tcPr>
            <w:tcW w:w="6940" w:type="dxa"/>
            <w:hideMark/>
          </w:tcPr>
          <w:p w14:paraId="6547E674" w14:textId="7881067A"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listing of Medicare services subsidised by the Australian Government</w:t>
            </w:r>
            <w:r w:rsidR="00CA5A00" w:rsidRPr="00DE7EA6">
              <w:rPr>
                <w:rFonts w:cs="Arial"/>
                <w:color w:val="000000"/>
                <w:szCs w:val="22"/>
              </w:rPr>
              <w:t>, providing information on the amount Medicare will rebate for each service.</w:t>
            </w:r>
          </w:p>
        </w:tc>
      </w:tr>
      <w:tr w:rsidR="00DA2546" w14:paraId="10B0963B"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FC91B6A" w14:textId="1E8E958B" w:rsidR="6F4AD433" w:rsidRDefault="6F4AD433" w:rsidP="611CDE77">
            <w:pPr>
              <w:rPr>
                <w:rFonts w:cs="Arial"/>
              </w:rPr>
            </w:pPr>
            <w:r w:rsidRPr="611CDE77">
              <w:rPr>
                <w:rFonts w:cs="Arial"/>
              </w:rPr>
              <w:t>Merger of Practice</w:t>
            </w:r>
          </w:p>
        </w:tc>
        <w:tc>
          <w:tcPr>
            <w:tcW w:w="6940" w:type="dxa"/>
            <w:hideMark/>
          </w:tcPr>
          <w:p w14:paraId="1A7ED14A" w14:textId="308457BC" w:rsidR="6F4AD433" w:rsidRDefault="6F4AD433"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Two or more practices combining into one entity, sharing patients, staff, systems, and accreditation, operating as a single practice.</w:t>
            </w:r>
          </w:p>
        </w:tc>
      </w:tr>
      <w:tr w:rsidR="00DA2546" w:rsidRPr="00843080" w14:paraId="4579279F"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BD9F7B" w14:textId="77777777" w:rsidR="00826D63" w:rsidRPr="00DE7EA6" w:rsidRDefault="00826D63" w:rsidP="00826D63">
            <w:pPr>
              <w:textAlignment w:val="baseline"/>
              <w:rPr>
                <w:rFonts w:cs="Arial"/>
                <w:color w:val="auto"/>
                <w:szCs w:val="22"/>
              </w:rPr>
            </w:pPr>
            <w:r w:rsidRPr="00DE7EA6">
              <w:rPr>
                <w:rFonts w:cs="Arial"/>
                <w:color w:val="000000"/>
                <w:szCs w:val="22"/>
              </w:rPr>
              <w:t>Modified Monash Model (MMM) </w:t>
            </w:r>
          </w:p>
        </w:tc>
        <w:tc>
          <w:tcPr>
            <w:tcW w:w="6940" w:type="dxa"/>
            <w:hideMark/>
          </w:tcPr>
          <w:p w14:paraId="479BF7AB" w14:textId="34C88C76"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A model that defines whether a location is metropolitan, rural, remote or very remote. The model measure</w:t>
            </w:r>
            <w:r w:rsidR="005C4ACF" w:rsidRPr="61716D05">
              <w:rPr>
                <w:rFonts w:cs="Arial"/>
              </w:rPr>
              <w:t>s</w:t>
            </w:r>
            <w:r w:rsidRPr="61716D05">
              <w:rPr>
                <w:rFonts w:cs="Arial"/>
              </w:rPr>
              <w:t xml:space="preserve"> remoteness and population size on a scale of Modified Monash</w:t>
            </w:r>
            <w:r w:rsidR="005C4ACF" w:rsidRPr="61716D05">
              <w:rPr>
                <w:rFonts w:cs="Arial"/>
              </w:rPr>
              <w:t xml:space="preserve"> Model</w:t>
            </w:r>
            <w:r w:rsidRPr="61716D05">
              <w:rPr>
                <w:rFonts w:cs="Arial"/>
              </w:rPr>
              <w:t xml:space="preserve"> (MM</w:t>
            </w:r>
            <w:r w:rsidR="005C4ACF" w:rsidRPr="61716D05">
              <w:rPr>
                <w:rFonts w:cs="Arial"/>
              </w:rPr>
              <w:t>M</w:t>
            </w:r>
            <w:r w:rsidRPr="61716D05">
              <w:rPr>
                <w:rFonts w:cs="Arial"/>
              </w:rPr>
              <w:t>) categories MM</w:t>
            </w:r>
            <w:r w:rsidR="005C4ACF" w:rsidRPr="61716D05">
              <w:rPr>
                <w:rFonts w:cs="Arial"/>
              </w:rPr>
              <w:t>M</w:t>
            </w:r>
            <w:r w:rsidRPr="61716D05">
              <w:rPr>
                <w:rFonts w:cs="Arial"/>
              </w:rPr>
              <w:t>1 to MM</w:t>
            </w:r>
            <w:r w:rsidR="005C4ACF" w:rsidRPr="61716D05">
              <w:rPr>
                <w:rFonts w:cs="Arial"/>
              </w:rPr>
              <w:t>M</w:t>
            </w:r>
            <w:r w:rsidRPr="61716D05">
              <w:rPr>
                <w:rFonts w:cs="Arial"/>
              </w:rPr>
              <w:t>7 where is MM</w:t>
            </w:r>
            <w:r w:rsidR="005C4ACF" w:rsidRPr="61716D05">
              <w:rPr>
                <w:rFonts w:cs="Arial"/>
              </w:rPr>
              <w:t>M</w:t>
            </w:r>
            <w:r w:rsidRPr="61716D05">
              <w:rPr>
                <w:rFonts w:cs="Arial"/>
              </w:rPr>
              <w:t>1 is a major city and MM</w:t>
            </w:r>
            <w:r w:rsidR="005C4ACF" w:rsidRPr="61716D05">
              <w:rPr>
                <w:rFonts w:cs="Arial"/>
              </w:rPr>
              <w:t>M</w:t>
            </w:r>
            <w:r w:rsidRPr="61716D05">
              <w:rPr>
                <w:rFonts w:cs="Arial"/>
              </w:rPr>
              <w:t>7 is very remote.  </w:t>
            </w:r>
          </w:p>
        </w:tc>
      </w:tr>
      <w:tr w:rsidR="00DA2546" w:rsidRPr="00843080" w14:paraId="469DB050"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F1EA0F" w14:textId="4A8474AA" w:rsidR="00826D63" w:rsidRPr="00DE7EA6" w:rsidRDefault="005C4ACF" w:rsidP="61716D05">
            <w:pPr>
              <w:textAlignment w:val="baseline"/>
              <w:rPr>
                <w:rFonts w:cs="Arial"/>
                <w:color w:val="auto"/>
              </w:rPr>
            </w:pPr>
            <w:proofErr w:type="spellStart"/>
            <w:r w:rsidRPr="61716D05">
              <w:rPr>
                <w:rFonts w:cs="Arial"/>
              </w:rPr>
              <w:t>m</w:t>
            </w:r>
            <w:r w:rsidR="00826D63" w:rsidRPr="61716D05">
              <w:rPr>
                <w:rFonts w:cs="Arial"/>
              </w:rPr>
              <w:t>yGov</w:t>
            </w:r>
            <w:proofErr w:type="spellEnd"/>
            <w:r w:rsidR="00826D63" w:rsidRPr="61716D05">
              <w:rPr>
                <w:rFonts w:cs="Arial"/>
              </w:rPr>
              <w:t> </w:t>
            </w:r>
          </w:p>
        </w:tc>
        <w:tc>
          <w:tcPr>
            <w:tcW w:w="6940" w:type="dxa"/>
            <w:hideMark/>
          </w:tcPr>
          <w:p w14:paraId="02AD1F7D"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simple and secure online platform to access government services online from one place. </w:t>
            </w:r>
          </w:p>
        </w:tc>
      </w:tr>
      <w:tr w:rsidR="00DA2546" w:rsidRPr="00843080" w14:paraId="6A83F112"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81C5DB" w14:textId="77777777" w:rsidR="00826D63" w:rsidRPr="00DE7EA6" w:rsidRDefault="00826D63" w:rsidP="00826D63">
            <w:pPr>
              <w:textAlignment w:val="baseline"/>
              <w:rPr>
                <w:rFonts w:cs="Arial"/>
                <w:color w:val="auto"/>
                <w:szCs w:val="22"/>
              </w:rPr>
            </w:pPr>
            <w:r w:rsidRPr="00DE7EA6">
              <w:rPr>
                <w:rFonts w:cs="Arial"/>
                <w:color w:val="000000"/>
                <w:szCs w:val="22"/>
              </w:rPr>
              <w:t>MyMedicare </w:t>
            </w:r>
          </w:p>
        </w:tc>
        <w:tc>
          <w:tcPr>
            <w:tcW w:w="6940" w:type="dxa"/>
            <w:hideMark/>
          </w:tcPr>
          <w:p w14:paraId="4F903667" w14:textId="0EBE7E46"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A voluntary patient registration model that formalise</w:t>
            </w:r>
            <w:r w:rsidR="00691084">
              <w:rPr>
                <w:rFonts w:cs="Arial"/>
              </w:rPr>
              <w:t>s</w:t>
            </w:r>
            <w:r w:rsidRPr="61716D05">
              <w:rPr>
                <w:rFonts w:cs="Arial"/>
              </w:rPr>
              <w:t xml:space="preserve"> the relationship between patients, their practice, general practitioner and primary care teams.   </w:t>
            </w:r>
          </w:p>
        </w:tc>
      </w:tr>
      <w:tr w:rsidR="00DA2546" w:rsidRPr="00843080" w14:paraId="5ADF5A73"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2C42FB4" w14:textId="77777777" w:rsidR="00826D63" w:rsidRPr="00DE7EA6" w:rsidRDefault="00826D63" w:rsidP="00826D63">
            <w:pPr>
              <w:textAlignment w:val="baseline"/>
              <w:rPr>
                <w:rFonts w:cs="Arial"/>
                <w:color w:val="auto"/>
                <w:szCs w:val="22"/>
              </w:rPr>
            </w:pPr>
            <w:r w:rsidRPr="00DE7EA6">
              <w:rPr>
                <w:rFonts w:cs="Arial"/>
                <w:color w:val="000000"/>
                <w:szCs w:val="22"/>
              </w:rPr>
              <w:t>My Health Record </w:t>
            </w:r>
          </w:p>
        </w:tc>
        <w:tc>
          <w:tcPr>
            <w:tcW w:w="6940" w:type="dxa"/>
            <w:hideMark/>
          </w:tcPr>
          <w:p w14:paraId="1B670960"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safe and secure online health record that stores key health information which is available to consumers and healthcare providers at any time. </w:t>
            </w:r>
          </w:p>
        </w:tc>
      </w:tr>
      <w:tr w:rsidR="00DA2546" w:rsidRPr="00843080" w14:paraId="778291EC"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59DDEEB" w14:textId="710D63BE" w:rsidR="00826D63" w:rsidRPr="00DE7EA6" w:rsidRDefault="00826D63" w:rsidP="00826D63">
            <w:pPr>
              <w:textAlignment w:val="baseline"/>
              <w:rPr>
                <w:rFonts w:cs="Arial"/>
                <w:color w:val="auto"/>
              </w:rPr>
            </w:pPr>
            <w:r w:rsidRPr="008F627F">
              <w:rPr>
                <w:rFonts w:cs="Arial"/>
              </w:rPr>
              <w:t xml:space="preserve">Nurse </w:t>
            </w:r>
            <w:r w:rsidR="00691084" w:rsidRPr="008F627F">
              <w:rPr>
                <w:rFonts w:cs="Arial"/>
              </w:rPr>
              <w:t>P</w:t>
            </w:r>
            <w:r w:rsidRPr="008F627F">
              <w:rPr>
                <w:rFonts w:cs="Arial"/>
              </w:rPr>
              <w:t>ractitioner </w:t>
            </w:r>
            <w:r w:rsidR="00C42F08" w:rsidRPr="008F627F">
              <w:rPr>
                <w:rFonts w:cs="Arial"/>
              </w:rPr>
              <w:t>(</w:t>
            </w:r>
            <w:r w:rsidR="00C42F08">
              <w:t>NP)</w:t>
            </w:r>
          </w:p>
        </w:tc>
        <w:tc>
          <w:tcPr>
            <w:tcW w:w="6940" w:type="dxa"/>
            <w:hideMark/>
          </w:tcPr>
          <w:p w14:paraId="547DC1D9" w14:textId="5D48A420"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 xml:space="preserve">A registered nurse who the Nursing and Midwifery Board of Australia have endorsed as an NP. Nurse practitioners practice independently in an advanced and extended clinical </w:t>
            </w:r>
            <w:r w:rsidR="00E631E3" w:rsidRPr="00E631E3">
              <w:rPr>
                <w:rFonts w:cs="Arial"/>
                <w:color w:val="000000"/>
                <w:szCs w:val="22"/>
              </w:rPr>
              <w:t>role and</w:t>
            </w:r>
            <w:r w:rsidRPr="00DE7EA6">
              <w:rPr>
                <w:rFonts w:cs="Arial"/>
                <w:color w:val="000000"/>
                <w:szCs w:val="22"/>
              </w:rPr>
              <w:t xml:space="preserve"> can prescribe some medicines. </w:t>
            </w:r>
          </w:p>
        </w:tc>
      </w:tr>
      <w:tr w:rsidR="00DA2546" w14:paraId="6420FFE1"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BA7F92E" w14:textId="6B6620E9" w:rsidR="4C3C997A" w:rsidRDefault="4C3C997A" w:rsidP="611CDE77">
            <w:pPr>
              <w:rPr>
                <w:rFonts w:cs="Arial"/>
              </w:rPr>
            </w:pPr>
            <w:r w:rsidRPr="611CDE77">
              <w:rPr>
                <w:rFonts w:cs="Arial"/>
              </w:rPr>
              <w:t>Original Practice</w:t>
            </w:r>
          </w:p>
        </w:tc>
        <w:tc>
          <w:tcPr>
            <w:tcW w:w="6940" w:type="dxa"/>
            <w:hideMark/>
          </w:tcPr>
          <w:p w14:paraId="3D54DCD3" w14:textId="31EB3FAE" w:rsidR="4C3C997A" w:rsidRDefault="4C3C997A"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 xml:space="preserve">The entity </w:t>
            </w:r>
            <w:r w:rsidR="00C61FD6" w:rsidRPr="008F627F">
              <w:rPr>
                <w:rFonts w:eastAsia="Arial" w:cs="Arial"/>
              </w:rPr>
              <w:t xml:space="preserve">or sole trader that had ownership of a MyMedicare practice </w:t>
            </w:r>
            <w:r w:rsidRPr="008F627F">
              <w:rPr>
                <w:rFonts w:eastAsia="Arial" w:cs="Arial"/>
              </w:rPr>
              <w:t xml:space="preserve">prior to </w:t>
            </w:r>
            <w:r w:rsidR="00BB4252" w:rsidRPr="008F627F">
              <w:rPr>
                <w:rFonts w:eastAsia="Arial" w:cs="Arial"/>
              </w:rPr>
              <w:t xml:space="preserve">an organisational </w:t>
            </w:r>
            <w:r w:rsidRPr="008F627F">
              <w:rPr>
                <w:rFonts w:eastAsia="Arial" w:cs="Arial"/>
              </w:rPr>
              <w:t>change.</w:t>
            </w:r>
          </w:p>
        </w:tc>
      </w:tr>
      <w:tr w:rsidR="00DA2546" w14:paraId="6187851F"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260069D" w14:textId="7B36C226" w:rsidR="72252A90" w:rsidRDefault="72252A90" w:rsidP="611CDE77">
            <w:pPr>
              <w:rPr>
                <w:rFonts w:cs="Arial"/>
              </w:rPr>
            </w:pPr>
            <w:r w:rsidRPr="611CDE77">
              <w:rPr>
                <w:rFonts w:cs="Arial"/>
              </w:rPr>
              <w:lastRenderedPageBreak/>
              <w:t>Ownership Change</w:t>
            </w:r>
          </w:p>
        </w:tc>
        <w:tc>
          <w:tcPr>
            <w:tcW w:w="6940" w:type="dxa"/>
            <w:hideMark/>
          </w:tcPr>
          <w:p w14:paraId="73CCA376" w14:textId="25A29215" w:rsidR="72252A90" w:rsidRDefault="72252A90"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Any major structural or ownership change to a practice</w:t>
            </w:r>
            <w:r w:rsidR="00480238" w:rsidRPr="008F627F">
              <w:rPr>
                <w:rFonts w:eastAsia="Arial" w:cs="Arial"/>
              </w:rPr>
              <w:t xml:space="preserve">, such as a sale, merger or amalgamation. </w:t>
            </w:r>
          </w:p>
        </w:tc>
      </w:tr>
      <w:tr w:rsidR="00DA2546" w:rsidRPr="00843080" w14:paraId="7E1F8127"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BFDC09A" w14:textId="77777777" w:rsidR="00826D63" w:rsidRPr="00DE7EA6" w:rsidRDefault="00826D63" w:rsidP="00826D63">
            <w:pPr>
              <w:textAlignment w:val="baseline"/>
              <w:rPr>
                <w:rFonts w:cs="Arial"/>
                <w:color w:val="auto"/>
                <w:szCs w:val="22"/>
              </w:rPr>
            </w:pPr>
            <w:r w:rsidRPr="00DE7EA6">
              <w:rPr>
                <w:rFonts w:cs="Arial"/>
                <w:color w:val="000000"/>
                <w:szCs w:val="22"/>
              </w:rPr>
              <w:t>Patient </w:t>
            </w:r>
          </w:p>
        </w:tc>
        <w:tc>
          <w:tcPr>
            <w:tcW w:w="6940" w:type="dxa"/>
            <w:hideMark/>
          </w:tcPr>
          <w:p w14:paraId="10D2B2BC" w14:textId="51E5F311" w:rsidR="00826D63" w:rsidRPr="00DE7EA6" w:rsidRDefault="00826D63" w:rsidP="611CDE77">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1CDE77">
              <w:rPr>
                <w:rFonts w:cs="Arial"/>
              </w:rPr>
              <w:t>A person who is eligible to receive Medicare or Department of Veterans’ Affairs services. </w:t>
            </w:r>
          </w:p>
        </w:tc>
      </w:tr>
      <w:tr w:rsidR="00DA2546" w14:paraId="2944F480"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5044515" w14:textId="5C5A9AD2" w:rsidR="05CE73B8" w:rsidRDefault="05CE73B8" w:rsidP="611CDE77">
            <w:pPr>
              <w:rPr>
                <w:rFonts w:cs="Arial"/>
              </w:rPr>
            </w:pPr>
            <w:r w:rsidRPr="611CDE77">
              <w:rPr>
                <w:rFonts w:cs="Arial"/>
              </w:rPr>
              <w:t xml:space="preserve">Practice </w:t>
            </w:r>
          </w:p>
        </w:tc>
        <w:tc>
          <w:tcPr>
            <w:tcW w:w="6940" w:type="dxa"/>
            <w:hideMark/>
          </w:tcPr>
          <w:p w14:paraId="322F8430" w14:textId="2F2A261E" w:rsidR="05CE73B8" w:rsidRDefault="05CE73B8" w:rsidP="611CDE77">
            <w:pPr>
              <w:cnfStyle w:val="000000100000" w:firstRow="0" w:lastRow="0" w:firstColumn="0" w:lastColumn="0" w:oddVBand="0" w:evenVBand="0" w:oddHBand="1" w:evenHBand="0" w:firstRowFirstColumn="0" w:firstRowLastColumn="0" w:lastRowFirstColumn="0" w:lastRowLastColumn="0"/>
            </w:pPr>
            <w:r w:rsidRPr="008F627F">
              <w:rPr>
                <w:rFonts w:eastAsia="Arial" w:cs="Arial"/>
              </w:rPr>
              <w:t>A site meeting RACGP Standards that provides comprehensive, patient-centred care. More than fifty percent of GP time and Medicare services must be general practice.</w:t>
            </w:r>
          </w:p>
        </w:tc>
      </w:tr>
      <w:tr w:rsidR="00DA2546" w14:paraId="63A7478E"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1E794BB" w14:textId="58C7F89E" w:rsidR="1FA8C71B" w:rsidRDefault="1FA8C71B" w:rsidP="611CDE77">
            <w:pPr>
              <w:rPr>
                <w:rFonts w:cs="Arial"/>
              </w:rPr>
            </w:pPr>
            <w:r w:rsidRPr="611CDE77">
              <w:rPr>
                <w:rFonts w:cs="Arial"/>
              </w:rPr>
              <w:t>Practice</w:t>
            </w:r>
            <w:r w:rsidR="007C68D3">
              <w:rPr>
                <w:rFonts w:cs="Arial"/>
              </w:rPr>
              <w:t xml:space="preserve"> Owner</w:t>
            </w:r>
          </w:p>
        </w:tc>
        <w:tc>
          <w:tcPr>
            <w:tcW w:w="6940" w:type="dxa"/>
            <w:hideMark/>
          </w:tcPr>
          <w:p w14:paraId="0708CBC2" w14:textId="2F28EDB7" w:rsidR="1FA8C71B" w:rsidRDefault="006250F6"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 xml:space="preserve">The entity or sole trader </w:t>
            </w:r>
            <w:r w:rsidR="00425B8B" w:rsidRPr="008F627F">
              <w:rPr>
                <w:rFonts w:eastAsia="Arial" w:cs="Arial"/>
              </w:rPr>
              <w:t>that is the current owner of a MyMedicare registered practice.</w:t>
            </w:r>
          </w:p>
        </w:tc>
      </w:tr>
      <w:tr w:rsidR="00DA2546" w:rsidRPr="00843080" w14:paraId="4B5A7505"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9AAB17A" w14:textId="78BCDC35" w:rsidR="00826D63" w:rsidRPr="001E0397" w:rsidRDefault="00826D63" w:rsidP="00826D63">
            <w:pPr>
              <w:textAlignment w:val="baseline"/>
              <w:rPr>
                <w:rFonts w:cs="Arial"/>
                <w:color w:val="auto"/>
                <w:szCs w:val="22"/>
              </w:rPr>
            </w:pPr>
            <w:r w:rsidRPr="00AE54EE">
              <w:rPr>
                <w:rFonts w:cs="Arial"/>
                <w:color w:val="000000"/>
                <w:szCs w:val="22"/>
              </w:rPr>
              <w:t xml:space="preserve">Preferred </w:t>
            </w:r>
            <w:r w:rsidR="003115F3" w:rsidRPr="00AE54EE">
              <w:rPr>
                <w:rFonts w:cs="Arial"/>
                <w:color w:val="000000"/>
                <w:szCs w:val="22"/>
              </w:rPr>
              <w:t>GP</w:t>
            </w:r>
            <w:r w:rsidRPr="00AE54EE">
              <w:rPr>
                <w:rFonts w:cs="Arial"/>
                <w:color w:val="000000"/>
                <w:szCs w:val="22"/>
              </w:rPr>
              <w:t> </w:t>
            </w:r>
          </w:p>
        </w:tc>
        <w:tc>
          <w:tcPr>
            <w:tcW w:w="6940" w:type="dxa"/>
            <w:hideMark/>
          </w:tcPr>
          <w:p w14:paraId="446755FC" w14:textId="2E0BE172" w:rsidR="00826D63" w:rsidRPr="001E0397"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008F627F">
              <w:rPr>
                <w:rFonts w:cs="Arial"/>
              </w:rPr>
              <w:t xml:space="preserve">The </w:t>
            </w:r>
            <w:r w:rsidR="00251DC5" w:rsidRPr="008F627F">
              <w:rPr>
                <w:rFonts w:cs="Arial"/>
              </w:rPr>
              <w:t>GP</w:t>
            </w:r>
            <w:r w:rsidRPr="008F627F">
              <w:rPr>
                <w:rFonts w:cs="Arial"/>
              </w:rPr>
              <w:t xml:space="preserve"> the patient trusts most with their care at the patient’s MyMedicare registered practice and nominated by the patient as their ‘preferred GP’ on MyMedicare. </w:t>
            </w:r>
          </w:p>
        </w:tc>
      </w:tr>
      <w:tr w:rsidR="00DA2546" w:rsidRPr="00843080" w14:paraId="3504E230"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8481DCD" w14:textId="77777777" w:rsidR="00826D63" w:rsidRPr="00DE7EA6" w:rsidRDefault="00826D63" w:rsidP="00826D63">
            <w:pPr>
              <w:textAlignment w:val="baseline"/>
              <w:rPr>
                <w:rFonts w:cs="Arial"/>
                <w:color w:val="auto"/>
                <w:szCs w:val="22"/>
              </w:rPr>
            </w:pPr>
            <w:r w:rsidRPr="00DE7EA6">
              <w:rPr>
                <w:rFonts w:cs="Arial"/>
                <w:color w:val="000000"/>
                <w:szCs w:val="22"/>
              </w:rPr>
              <w:t>Primary care </w:t>
            </w:r>
          </w:p>
        </w:tc>
        <w:tc>
          <w:tcPr>
            <w:tcW w:w="6940" w:type="dxa"/>
            <w:hideMark/>
          </w:tcPr>
          <w:p w14:paraId="31AC2B46"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In Australia, primary care refers to those services in the community that people go to first for health care: GPs, ACCHS, allied health professionals, mental health services, drug and alcohol services, community health and community nursing services, maternal and child health services, sexual health services and oral health and dental services. It is differentiated from secondary health care delivered by specialists, where a referral is usually required, and tertiary care delivered in hospitals. </w:t>
            </w:r>
          </w:p>
        </w:tc>
      </w:tr>
      <w:tr w:rsidR="00DA2546" w:rsidRPr="00843080" w14:paraId="02A6FC9C"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662966" w14:textId="77777777" w:rsidR="00826D63" w:rsidRPr="00DE7EA6" w:rsidRDefault="00826D63" w:rsidP="00826D63">
            <w:pPr>
              <w:textAlignment w:val="baseline"/>
              <w:rPr>
                <w:rFonts w:cs="Arial"/>
                <w:color w:val="auto"/>
                <w:szCs w:val="22"/>
              </w:rPr>
            </w:pPr>
            <w:r w:rsidRPr="00DE7EA6">
              <w:rPr>
                <w:rFonts w:cs="Arial"/>
                <w:color w:val="000000"/>
                <w:szCs w:val="22"/>
              </w:rPr>
              <w:t>Primary health care </w:t>
            </w:r>
          </w:p>
        </w:tc>
        <w:tc>
          <w:tcPr>
            <w:tcW w:w="6940" w:type="dxa"/>
            <w:hideMark/>
          </w:tcPr>
          <w:p w14:paraId="454EFF5A"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“Whole-of-society approach to health that aims at ensuring the highest possible level of health and well-being and their equitable distribution by focusing on people’s needs and as early as possible along the continuum from health promotion and disease prevention to treatment, rehabilitation and palliative care, and as close as feasible to people’s everyday environment.” (source: WHO and UNICEF - A vision for primary health care in the 21st century: Towards universal health coverage and sustainable development goals) </w:t>
            </w:r>
          </w:p>
        </w:tc>
      </w:tr>
      <w:tr w:rsidR="00DA2546" w:rsidRPr="00843080" w14:paraId="75871297"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B35A923" w14:textId="77777777" w:rsidR="00826D63" w:rsidRPr="00DE7EA6" w:rsidRDefault="00826D63" w:rsidP="00826D63">
            <w:pPr>
              <w:textAlignment w:val="baseline"/>
              <w:rPr>
                <w:rFonts w:cs="Arial"/>
                <w:color w:val="auto"/>
                <w:szCs w:val="22"/>
              </w:rPr>
            </w:pPr>
            <w:r w:rsidRPr="00DE7EA6">
              <w:rPr>
                <w:rFonts w:cs="Arial"/>
                <w:color w:val="000000"/>
                <w:szCs w:val="22"/>
              </w:rPr>
              <w:t>Primary care provider </w:t>
            </w:r>
          </w:p>
        </w:tc>
        <w:tc>
          <w:tcPr>
            <w:tcW w:w="6940" w:type="dxa"/>
            <w:hideMark/>
          </w:tcPr>
          <w:p w14:paraId="34A693F6" w14:textId="68FA1698" w:rsidR="00826D63" w:rsidRPr="00DE7EA6" w:rsidRDefault="00D461C8" w:rsidP="00826D63">
            <w:pPr>
              <w:textAlignment w:val="baseline"/>
              <w:cnfStyle w:val="000000010000" w:firstRow="0" w:lastRow="0" w:firstColumn="0" w:lastColumn="0" w:oddVBand="0" w:evenVBand="0" w:oddHBand="0" w:evenHBand="1" w:firstRowFirstColumn="0" w:firstRowLastColumn="0" w:lastRowFirstColumn="0" w:lastRowLastColumn="0"/>
              <w:rPr>
                <w:rFonts w:cs="Arial"/>
              </w:rPr>
            </w:pPr>
            <w:r w:rsidRPr="008F627F">
              <w:rPr>
                <w:rFonts w:cs="Arial"/>
              </w:rPr>
              <w:t>A healthcare pr</w:t>
            </w:r>
            <w:r w:rsidR="00350E42" w:rsidRPr="008F627F">
              <w:rPr>
                <w:rFonts w:cs="Arial"/>
              </w:rPr>
              <w:t>actitioner</w:t>
            </w:r>
            <w:r w:rsidR="00DA2546" w:rsidRPr="008F627F">
              <w:rPr>
                <w:rFonts w:cs="Arial"/>
              </w:rPr>
              <w:t xml:space="preserve"> who is the first point of contact for individuals seeking health services. </w:t>
            </w:r>
          </w:p>
        </w:tc>
      </w:tr>
      <w:tr w:rsidR="00DA2546" w:rsidRPr="00843080" w14:paraId="13E78B15"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9E11CF8" w14:textId="77777777" w:rsidR="00826D63" w:rsidRPr="00DE7EA6" w:rsidRDefault="00826D63" w:rsidP="00826D63">
            <w:pPr>
              <w:textAlignment w:val="baseline"/>
              <w:rPr>
                <w:rFonts w:cs="Arial"/>
                <w:color w:val="auto"/>
                <w:szCs w:val="22"/>
              </w:rPr>
            </w:pPr>
            <w:r w:rsidRPr="00DE7EA6">
              <w:rPr>
                <w:rFonts w:cs="Arial"/>
                <w:color w:val="000000"/>
                <w:szCs w:val="22"/>
              </w:rPr>
              <w:t>Registered patient </w:t>
            </w:r>
          </w:p>
        </w:tc>
        <w:tc>
          <w:tcPr>
            <w:tcW w:w="6940" w:type="dxa"/>
            <w:hideMark/>
          </w:tcPr>
          <w:p w14:paraId="2C214883" w14:textId="1BC7C53D"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color w:val="000000"/>
                <w:shd w:val="clear" w:color="auto" w:fill="FFFFFF"/>
              </w:rPr>
              <w:t>A patient who is eligible to participate in the MyMedicare program and</w:t>
            </w:r>
            <w:r w:rsidR="005C4ACF" w:rsidRPr="61716D05">
              <w:rPr>
                <w:rFonts w:cs="Arial"/>
                <w:color w:val="000000"/>
                <w:shd w:val="clear" w:color="auto" w:fill="FFFFFF"/>
              </w:rPr>
              <w:t xml:space="preserve"> is</w:t>
            </w:r>
            <w:r w:rsidRPr="61716D05">
              <w:rPr>
                <w:rFonts w:cs="Arial"/>
                <w:color w:val="000000"/>
                <w:shd w:val="clear" w:color="auto" w:fill="FFFFFF"/>
              </w:rPr>
              <w:t xml:space="preserve"> registered with a registered practice and preferred provider.</w:t>
            </w:r>
            <w:r w:rsidRPr="61716D05">
              <w:rPr>
                <w:rFonts w:cs="Arial"/>
                <w:color w:val="000000"/>
              </w:rPr>
              <w:t> </w:t>
            </w:r>
          </w:p>
        </w:tc>
      </w:tr>
      <w:tr w:rsidR="00DA2546" w:rsidRPr="00843080" w14:paraId="5D298AD9"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4CF4EAA" w14:textId="77777777" w:rsidR="00826D63" w:rsidRPr="00DE7EA6" w:rsidRDefault="00826D63" w:rsidP="00826D63">
            <w:pPr>
              <w:textAlignment w:val="baseline"/>
              <w:rPr>
                <w:rFonts w:cs="Arial"/>
                <w:color w:val="auto"/>
                <w:szCs w:val="22"/>
              </w:rPr>
            </w:pPr>
            <w:r w:rsidRPr="002039B6">
              <w:rPr>
                <w:rFonts w:cs="Arial"/>
                <w:color w:val="000000"/>
                <w:szCs w:val="22"/>
              </w:rPr>
              <w:lastRenderedPageBreak/>
              <w:t>Responsible person </w:t>
            </w:r>
          </w:p>
        </w:tc>
        <w:tc>
          <w:tcPr>
            <w:tcW w:w="6940" w:type="dxa"/>
            <w:hideMark/>
          </w:tcPr>
          <w:p w14:paraId="324AF1B2" w14:textId="77777777" w:rsidR="000F246A" w:rsidRPr="00843080" w:rsidRDefault="000E33D1" w:rsidP="61716D05">
            <w:pPr>
              <w:textAlignment w:val="baseline"/>
              <w:cnfStyle w:val="000000010000" w:firstRow="0" w:lastRow="0" w:firstColumn="0" w:lastColumn="0" w:oddVBand="0" w:evenVBand="0" w:oddHBand="0" w:evenHBand="1" w:firstRowFirstColumn="0" w:firstRowLastColumn="0" w:lastRowFirstColumn="0" w:lastRowLastColumn="0"/>
              <w:rPr>
                <w:rFonts w:cs="Arial"/>
              </w:rPr>
            </w:pPr>
            <w:r w:rsidRPr="61716D05">
              <w:rPr>
                <w:rFonts w:cs="Arial"/>
              </w:rPr>
              <w:t>Refers to</w:t>
            </w:r>
            <w:r w:rsidR="00AF09A6" w:rsidRPr="61716D05">
              <w:rPr>
                <w:rFonts w:cs="Arial"/>
              </w:rPr>
              <w:t xml:space="preserve"> an adult person accompanying the patient or in whose care the patient has been placed</w:t>
            </w:r>
            <w:r w:rsidR="000F246A" w:rsidRPr="61716D05">
              <w:rPr>
                <w:rFonts w:cs="Arial"/>
              </w:rPr>
              <w:t>. A responsible person can include someone who is any of the following:</w:t>
            </w:r>
          </w:p>
          <w:p w14:paraId="59AC4176" w14:textId="3E89F42C" w:rsidR="000F246A" w:rsidRPr="00DE7EA6" w:rsidRDefault="00E976DE" w:rsidP="00877366">
            <w:pPr>
              <w:pStyle w:val="Tablelistbullet"/>
              <w:cnfStyle w:val="000000010000" w:firstRow="0" w:lastRow="0" w:firstColumn="0" w:lastColumn="0" w:oddVBand="0" w:evenVBand="0" w:oddHBand="0" w:evenHBand="1" w:firstRowFirstColumn="0" w:firstRowLastColumn="0" w:lastRowFirstColumn="0" w:lastRowLastColumn="0"/>
              <w:rPr>
                <w:rFonts w:eastAsia="Times New Roman"/>
                <w:lang w:eastAsia="en-AU"/>
              </w:rPr>
            </w:pPr>
            <w:r>
              <w:t xml:space="preserve">is </w:t>
            </w:r>
            <w:r w:rsidR="000F3CD5">
              <w:t xml:space="preserve">the </w:t>
            </w:r>
            <w:r w:rsidR="000F246A" w:rsidRPr="00DE7EA6">
              <w:t>p</w:t>
            </w:r>
            <w:r w:rsidR="00AF09A6" w:rsidRPr="00DE7EA6">
              <w:t>arent or guardian</w:t>
            </w:r>
            <w:r>
              <w:t>, or</w:t>
            </w:r>
          </w:p>
          <w:p w14:paraId="4F4877A6" w14:textId="44B06623" w:rsidR="001D3EC0" w:rsidRPr="002039B6" w:rsidRDefault="00AF09A6" w:rsidP="00877366">
            <w:pPr>
              <w:pStyle w:val="Tablelistbullet"/>
              <w:cnfStyle w:val="000000010000" w:firstRow="0" w:lastRow="0" w:firstColumn="0" w:lastColumn="0" w:oddVBand="0" w:evenVBand="0" w:oddHBand="0" w:evenHBand="1" w:firstRowFirstColumn="0" w:firstRowLastColumn="0" w:lastRowFirstColumn="0" w:lastRowLastColumn="0"/>
              <w:rPr>
                <w:rFonts w:eastAsia="Times New Roman"/>
                <w:lang w:eastAsia="en-AU"/>
              </w:rPr>
            </w:pPr>
            <w:r w:rsidRPr="00DE7EA6">
              <w:t>holds power of attorne</w:t>
            </w:r>
            <w:r w:rsidR="00E976DE">
              <w:t>y, or</w:t>
            </w:r>
          </w:p>
          <w:p w14:paraId="040535CF" w14:textId="2AB6A7BB" w:rsidR="001D3EC0" w:rsidRPr="002039B6" w:rsidRDefault="001D3EC0" w:rsidP="00877366">
            <w:pPr>
              <w:pStyle w:val="Tablelistbullet"/>
              <w:cnfStyle w:val="000000010000" w:firstRow="0" w:lastRow="0" w:firstColumn="0" w:lastColumn="0" w:oddVBand="0" w:evenVBand="0" w:oddHBand="0" w:evenHBand="1" w:firstRowFirstColumn="0" w:firstRowLastColumn="0" w:lastRowFirstColumn="0" w:lastRowLastColumn="0"/>
              <w:rPr>
                <w:rFonts w:eastAsia="Times New Roman"/>
                <w:lang w:eastAsia="en-AU"/>
              </w:rPr>
            </w:pPr>
            <w:r w:rsidRPr="002039B6">
              <w:t xml:space="preserve">holds a </w:t>
            </w:r>
            <w:r w:rsidR="00AF09A6" w:rsidRPr="002039B6">
              <w:t>guardianship order</w:t>
            </w:r>
            <w:r w:rsidR="00E976DE">
              <w:t>, or</w:t>
            </w:r>
          </w:p>
          <w:p w14:paraId="02907EBB" w14:textId="7C13FAB2" w:rsidR="004F03A5" w:rsidRPr="00877366" w:rsidRDefault="00E976DE"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is </w:t>
            </w:r>
            <w:r w:rsidR="00AF09A6" w:rsidRPr="002039B6">
              <w:t>the next of kin.</w:t>
            </w:r>
          </w:p>
          <w:p w14:paraId="7D183D1F" w14:textId="61E3FDE7" w:rsidR="004F03A5" w:rsidRPr="004F03A5" w:rsidRDefault="004F03A5" w:rsidP="00EF6E89">
            <w:pPr>
              <w:spacing w:line="240" w:lineRule="auto"/>
              <w:textAlignment w:val="baseline"/>
              <w:cnfStyle w:val="000000010000" w:firstRow="0" w:lastRow="0" w:firstColumn="0" w:lastColumn="0" w:oddVBand="0" w:evenVBand="0" w:oddHBand="0" w:evenHBand="1" w:firstRowFirstColumn="0" w:firstRowLastColumn="0" w:lastRowFirstColumn="0" w:lastRowLastColumn="0"/>
              <w:rPr>
                <w:rFonts w:cs="Arial"/>
                <w:szCs w:val="22"/>
              </w:rPr>
            </w:pPr>
            <w:r w:rsidRPr="004F03A5">
              <w:rPr>
                <w:rFonts w:cs="Arial"/>
                <w:szCs w:val="22"/>
              </w:rPr>
              <w:t>This does not include the:</w:t>
            </w:r>
          </w:p>
          <w:p w14:paraId="25EDDB6E" w14:textId="30BC89EC" w:rsidR="004F03A5" w:rsidRPr="00CC580F"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the </w:t>
            </w:r>
            <w:r w:rsidR="004F03A5" w:rsidRPr="00EF6E89">
              <w:t>health professional who rendered the service</w:t>
            </w:r>
          </w:p>
          <w:p w14:paraId="3107C688" w14:textId="5F9926E1" w:rsidR="004F03A5" w:rsidRPr="00CC580F"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the </w:t>
            </w:r>
            <w:r w:rsidR="004F03A5" w:rsidRPr="00EF6E89">
              <w:t>health professional’s staff</w:t>
            </w:r>
          </w:p>
          <w:p w14:paraId="12581265" w14:textId="7AD3A699" w:rsidR="004F03A5" w:rsidRPr="00CC580F"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a </w:t>
            </w:r>
            <w:r w:rsidR="004F03A5" w:rsidRPr="00EF6E89">
              <w:t>hospital proprietor or</w:t>
            </w:r>
            <w:r>
              <w:t xml:space="preserve"> their</w:t>
            </w:r>
            <w:r w:rsidR="004F03A5" w:rsidRPr="00EF6E89">
              <w:t xml:space="preserve"> staff</w:t>
            </w:r>
          </w:p>
          <w:p w14:paraId="1009A5C7" w14:textId="0C3B6065" w:rsidR="004F03A5" w:rsidRPr="004F03A5"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an </w:t>
            </w:r>
            <w:r w:rsidR="004F03A5" w:rsidRPr="00EF6E89">
              <w:t xml:space="preserve">aged care home proprietor or </w:t>
            </w:r>
            <w:r>
              <w:t xml:space="preserve">their </w:t>
            </w:r>
            <w:r w:rsidR="004F03A5" w:rsidRPr="00EF6E89">
              <w:t>staff.</w:t>
            </w:r>
          </w:p>
        </w:tc>
      </w:tr>
      <w:tr w:rsidR="00DA2546" w:rsidRPr="00843080" w14:paraId="21096BCB"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DC09295" w14:textId="77777777" w:rsidR="00826D63" w:rsidRPr="00DE7EA6" w:rsidRDefault="00826D63" w:rsidP="00826D63">
            <w:pPr>
              <w:textAlignment w:val="baseline"/>
              <w:rPr>
                <w:rFonts w:cs="Arial"/>
                <w:color w:val="auto"/>
                <w:szCs w:val="22"/>
              </w:rPr>
            </w:pPr>
            <w:r w:rsidRPr="00DE7EA6">
              <w:rPr>
                <w:rFonts w:cs="Arial"/>
                <w:color w:val="000000"/>
                <w:szCs w:val="22"/>
              </w:rPr>
              <w:t>Royal Australian College of General Practitioners (RACGP) </w:t>
            </w:r>
          </w:p>
        </w:tc>
        <w:tc>
          <w:tcPr>
            <w:tcW w:w="6940" w:type="dxa"/>
            <w:hideMark/>
          </w:tcPr>
          <w:p w14:paraId="7FC4193E" w14:textId="77777777"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color w:val="000000"/>
                <w:shd w:val="clear" w:color="auto" w:fill="FFFFFF"/>
              </w:rPr>
              <w:t>The professional body for general practitioners in Australia. The RACGP is responsible for setting the standards for education and practice and advocating for better health and wellbeing for all Australians. </w:t>
            </w:r>
            <w:r w:rsidRPr="61716D05">
              <w:rPr>
                <w:rFonts w:cs="Arial"/>
                <w:color w:val="000000"/>
              </w:rPr>
              <w:t> </w:t>
            </w:r>
          </w:p>
        </w:tc>
      </w:tr>
      <w:tr w:rsidR="00DA2546" w:rsidRPr="00843080" w14:paraId="7F71DAE0"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178FF6D" w14:textId="77777777" w:rsidR="00826D63" w:rsidRPr="00DE7EA6" w:rsidRDefault="00826D63" w:rsidP="00826D63">
            <w:pPr>
              <w:textAlignment w:val="baseline"/>
              <w:rPr>
                <w:rFonts w:cs="Arial"/>
                <w:color w:val="auto"/>
                <w:szCs w:val="22"/>
              </w:rPr>
            </w:pPr>
            <w:r w:rsidRPr="00DE7EA6">
              <w:rPr>
                <w:rFonts w:cs="Arial"/>
                <w:i/>
                <w:iCs/>
                <w:color w:val="000000"/>
                <w:szCs w:val="22"/>
              </w:rPr>
              <w:t>RACPG Standards for General Practices</w:t>
            </w:r>
            <w:r w:rsidRPr="00DE7EA6">
              <w:rPr>
                <w:rFonts w:cs="Arial"/>
                <w:color w:val="000000"/>
                <w:szCs w:val="22"/>
              </w:rPr>
              <w:t> </w:t>
            </w:r>
          </w:p>
        </w:tc>
        <w:tc>
          <w:tcPr>
            <w:tcW w:w="6940" w:type="dxa"/>
            <w:hideMark/>
          </w:tcPr>
          <w:p w14:paraId="19EBA050"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color w:val="000000"/>
                <w:shd w:val="clear" w:color="auto" w:fill="FFFFFF"/>
              </w:rPr>
              <w:t>A set of standards which are a benchmark for quality care and risk management in Australian general practices. </w:t>
            </w:r>
            <w:r w:rsidRPr="61716D05">
              <w:rPr>
                <w:rFonts w:cs="Arial"/>
                <w:color w:val="000000"/>
              </w:rPr>
              <w:t> </w:t>
            </w:r>
          </w:p>
        </w:tc>
      </w:tr>
    </w:tbl>
    <w:p w14:paraId="3E2C78B4" w14:textId="77777777" w:rsidR="00817CB4" w:rsidRPr="006C67A6" w:rsidRDefault="00817CB4" w:rsidP="00817CB4">
      <w:pPr>
        <w:rPr>
          <w:rFonts w:eastAsia="Times New Roman"/>
        </w:rPr>
      </w:pPr>
      <w:r w:rsidRPr="006C67A6">
        <w:rPr>
          <w:rFonts w:eastAsia="Times New Roman"/>
        </w:rPr>
        <w:br w:type="page"/>
      </w:r>
    </w:p>
    <w:p w14:paraId="4B1F6E87" w14:textId="40559F97" w:rsidR="00817CB4" w:rsidRPr="001F7637" w:rsidRDefault="00205E5A" w:rsidP="001F7637">
      <w:pPr>
        <w:pStyle w:val="Heading2"/>
      </w:pPr>
      <w:bookmarkStart w:id="198" w:name="_Toc167109459"/>
      <w:bookmarkStart w:id="199" w:name="_Toc170120039"/>
      <w:bookmarkStart w:id="200" w:name="_Toc170817180"/>
      <w:bookmarkStart w:id="201" w:name="_Toc214051045"/>
      <w:bookmarkStart w:id="202" w:name="_Toc534657532"/>
      <w:r>
        <w:lastRenderedPageBreak/>
        <w:t>MyMedicare eligible provider</w:t>
      </w:r>
      <w:r w:rsidR="00817CB4" w:rsidRPr="001F7637">
        <w:t xml:space="preserve"> specialty codes</w:t>
      </w:r>
      <w:bookmarkEnd w:id="189"/>
      <w:bookmarkEnd w:id="190"/>
      <w:bookmarkEnd w:id="191"/>
      <w:bookmarkEnd w:id="192"/>
      <w:bookmarkEnd w:id="198"/>
      <w:bookmarkEnd w:id="199"/>
      <w:bookmarkEnd w:id="200"/>
      <w:bookmarkEnd w:id="201"/>
      <w:bookmarkEnd w:id="202"/>
    </w:p>
    <w:p w14:paraId="0FE0026B" w14:textId="3D1967D5" w:rsidR="00817CB4" w:rsidRPr="00EE3237" w:rsidRDefault="00817CB4" w:rsidP="00817CB4">
      <w:pPr>
        <w:rPr>
          <w:rFonts w:eastAsia="Times New Roman"/>
        </w:rPr>
      </w:pPr>
      <w:r w:rsidRPr="3BAF1C85">
        <w:rPr>
          <w:rFonts w:eastAsia="Times New Roman"/>
        </w:rPr>
        <w:t>Version 1 – As of 8 May 2024</w:t>
      </w:r>
    </w:p>
    <w:tbl>
      <w:tblPr>
        <w:tblStyle w:val="DepartmentofHealthtable"/>
        <w:tblW w:w="10490" w:type="dxa"/>
        <w:tblInd w:w="-709" w:type="dxa"/>
        <w:tblLook w:val="04A0" w:firstRow="1" w:lastRow="0" w:firstColumn="1" w:lastColumn="0" w:noHBand="0" w:noVBand="1"/>
        <w:tblDescription w:val="Add Alt Text describing the content of the table"/>
      </w:tblPr>
      <w:tblGrid>
        <w:gridCol w:w="1484"/>
        <w:gridCol w:w="3756"/>
        <w:gridCol w:w="1183"/>
        <w:gridCol w:w="4067"/>
      </w:tblGrid>
      <w:tr w:rsidR="00817CB4" w14:paraId="6A3C77CD" w14:textId="77777777" w:rsidTr="4A455F3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85" w:type="dxa"/>
          </w:tcPr>
          <w:p w14:paraId="1FC98064" w14:textId="77777777" w:rsidR="00817CB4" w:rsidRPr="002D330A" w:rsidRDefault="00817CB4" w:rsidP="0054375E">
            <w:pPr>
              <w:pStyle w:val="TableHeaderWhite"/>
              <w:rPr>
                <w:rFonts w:cs="Arial"/>
              </w:rPr>
            </w:pPr>
            <w:r w:rsidRPr="002D330A">
              <w:rPr>
                <w:rFonts w:cs="Arial"/>
              </w:rPr>
              <w:t>Specialty</w:t>
            </w:r>
          </w:p>
        </w:tc>
        <w:tc>
          <w:tcPr>
            <w:tcW w:w="3761" w:type="dxa"/>
          </w:tcPr>
          <w:p w14:paraId="104F34AD"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c>
          <w:tcPr>
            <w:tcW w:w="1170" w:type="dxa"/>
          </w:tcPr>
          <w:p w14:paraId="49A49B1A"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Specialty</w:t>
            </w:r>
          </w:p>
        </w:tc>
        <w:tc>
          <w:tcPr>
            <w:tcW w:w="4074" w:type="dxa"/>
          </w:tcPr>
          <w:p w14:paraId="4ADF0E82"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r>
      <w:tr w:rsidR="00817CB4" w14:paraId="4061FDD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CCCE6DD" w14:textId="77777777" w:rsidR="00817CB4" w:rsidRPr="00733FD8" w:rsidRDefault="00817CB4" w:rsidP="00733FD8">
            <w:pPr>
              <w:pStyle w:val="Tabletextleft"/>
            </w:pPr>
            <w:r w:rsidRPr="00733FD8">
              <w:t>104</w:t>
            </w:r>
          </w:p>
        </w:tc>
        <w:tc>
          <w:tcPr>
            <w:tcW w:w="3761" w:type="dxa"/>
          </w:tcPr>
          <w:p w14:paraId="4BC17BA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Other Health professional - pre 1/11/96</w:t>
            </w:r>
          </w:p>
        </w:tc>
        <w:tc>
          <w:tcPr>
            <w:tcW w:w="1170" w:type="dxa"/>
          </w:tcPr>
          <w:p w14:paraId="58B0DD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450</w:t>
            </w:r>
          </w:p>
        </w:tc>
        <w:tc>
          <w:tcPr>
            <w:tcW w:w="4074" w:type="dxa"/>
          </w:tcPr>
          <w:p w14:paraId="142A934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North Coast NSW GP Training</w:t>
            </w:r>
          </w:p>
        </w:tc>
      </w:tr>
      <w:tr w:rsidR="00817CB4" w14:paraId="0A3D72D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A53E72B" w14:textId="77777777" w:rsidR="00817CB4" w:rsidRPr="00733FD8" w:rsidRDefault="00817CB4" w:rsidP="00733FD8">
            <w:pPr>
              <w:pStyle w:val="Tabletextleft"/>
            </w:pPr>
            <w:r w:rsidRPr="00733FD8">
              <w:t>130</w:t>
            </w:r>
          </w:p>
        </w:tc>
        <w:tc>
          <w:tcPr>
            <w:tcW w:w="3761" w:type="dxa"/>
          </w:tcPr>
          <w:p w14:paraId="4FD809BA"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Vocational Register</w:t>
            </w:r>
          </w:p>
        </w:tc>
        <w:tc>
          <w:tcPr>
            <w:tcW w:w="1170" w:type="dxa"/>
          </w:tcPr>
          <w:p w14:paraId="2DFA0BB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451</w:t>
            </w:r>
          </w:p>
        </w:tc>
        <w:tc>
          <w:tcPr>
            <w:tcW w:w="4074" w:type="dxa"/>
          </w:tcPr>
          <w:p w14:paraId="6CA17CC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Victoria Felix Medical Education</w:t>
            </w:r>
          </w:p>
        </w:tc>
      </w:tr>
      <w:tr w:rsidR="00817CB4" w14:paraId="5E885A7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26BFFD1" w14:textId="77777777" w:rsidR="00817CB4" w:rsidRPr="00733FD8" w:rsidRDefault="00817CB4" w:rsidP="00733FD8">
            <w:pPr>
              <w:pStyle w:val="Tabletextleft"/>
            </w:pPr>
            <w:r w:rsidRPr="00733FD8">
              <w:t>131</w:t>
            </w:r>
          </w:p>
        </w:tc>
        <w:tc>
          <w:tcPr>
            <w:tcW w:w="3761" w:type="dxa"/>
          </w:tcPr>
          <w:p w14:paraId="3441E0F9"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w:t>
            </w:r>
          </w:p>
        </w:tc>
        <w:tc>
          <w:tcPr>
            <w:tcW w:w="1170" w:type="dxa"/>
          </w:tcPr>
          <w:p w14:paraId="5E60879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452</w:t>
            </w:r>
          </w:p>
        </w:tc>
        <w:tc>
          <w:tcPr>
            <w:tcW w:w="4074" w:type="dxa"/>
          </w:tcPr>
          <w:p w14:paraId="383EDBF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Rural Health Ed/Dev West (RHEDWEST)</w:t>
            </w:r>
          </w:p>
        </w:tc>
      </w:tr>
      <w:tr w:rsidR="00817CB4" w14:paraId="2654A869"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00407C9" w14:textId="77777777" w:rsidR="00817CB4" w:rsidRPr="00733FD8" w:rsidRDefault="00817CB4" w:rsidP="00733FD8">
            <w:pPr>
              <w:pStyle w:val="Tabletextleft"/>
            </w:pPr>
            <w:r w:rsidRPr="00733FD8">
              <w:t>132</w:t>
            </w:r>
          </w:p>
        </w:tc>
        <w:tc>
          <w:tcPr>
            <w:tcW w:w="3761" w:type="dxa"/>
          </w:tcPr>
          <w:p w14:paraId="25AB817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FRACGP</w:t>
            </w:r>
          </w:p>
        </w:tc>
        <w:tc>
          <w:tcPr>
            <w:tcW w:w="1170" w:type="dxa"/>
          </w:tcPr>
          <w:p w14:paraId="3F9264BC"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453</w:t>
            </w:r>
          </w:p>
        </w:tc>
        <w:tc>
          <w:tcPr>
            <w:tcW w:w="4074" w:type="dxa"/>
          </w:tcPr>
          <w:p w14:paraId="6E2F441B"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GPET - </w:t>
            </w:r>
            <w:proofErr w:type="spellStart"/>
            <w:r w:rsidRPr="61716D05">
              <w:t>GPlogic</w:t>
            </w:r>
            <w:proofErr w:type="spellEnd"/>
          </w:p>
        </w:tc>
      </w:tr>
      <w:tr w:rsidR="00817CB4" w14:paraId="46099841"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8CD8D81" w14:textId="77777777" w:rsidR="00817CB4" w:rsidRPr="00733FD8" w:rsidRDefault="00817CB4" w:rsidP="00733FD8">
            <w:pPr>
              <w:pStyle w:val="Tabletextleft"/>
            </w:pPr>
            <w:r w:rsidRPr="00733FD8">
              <w:t>133</w:t>
            </w:r>
          </w:p>
        </w:tc>
        <w:tc>
          <w:tcPr>
            <w:tcW w:w="3761" w:type="dxa"/>
          </w:tcPr>
          <w:p w14:paraId="20BA3AA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 Post 1/11/96</w:t>
            </w:r>
          </w:p>
        </w:tc>
        <w:tc>
          <w:tcPr>
            <w:tcW w:w="1170" w:type="dxa"/>
          </w:tcPr>
          <w:p w14:paraId="2369A3CA"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454</w:t>
            </w:r>
          </w:p>
        </w:tc>
        <w:tc>
          <w:tcPr>
            <w:tcW w:w="4074" w:type="dxa"/>
          </w:tcPr>
          <w:p w14:paraId="26BD44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GP Synergy</w:t>
            </w:r>
          </w:p>
        </w:tc>
      </w:tr>
      <w:tr w:rsidR="00817CB4" w14:paraId="6088CA0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922C7E2" w14:textId="77777777" w:rsidR="00817CB4" w:rsidRPr="00733FD8" w:rsidRDefault="00817CB4" w:rsidP="00733FD8">
            <w:pPr>
              <w:pStyle w:val="Tabletextleft"/>
            </w:pPr>
            <w:r w:rsidRPr="00733FD8">
              <w:t>134</w:t>
            </w:r>
          </w:p>
        </w:tc>
        <w:tc>
          <w:tcPr>
            <w:tcW w:w="3761" w:type="dxa"/>
          </w:tcPr>
          <w:p w14:paraId="465B13E0"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RACGP Trainee 1/1/99</w:t>
            </w:r>
          </w:p>
        </w:tc>
        <w:tc>
          <w:tcPr>
            <w:tcW w:w="1170" w:type="dxa"/>
          </w:tcPr>
          <w:p w14:paraId="2F164C1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455</w:t>
            </w:r>
          </w:p>
        </w:tc>
        <w:tc>
          <w:tcPr>
            <w:tcW w:w="4074" w:type="dxa"/>
          </w:tcPr>
          <w:p w14:paraId="057124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GPET - Beyond Medical Education</w:t>
            </w:r>
          </w:p>
        </w:tc>
      </w:tr>
      <w:tr w:rsidR="00817CB4" w14:paraId="67E7CAF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ABB1E0B" w14:textId="77777777" w:rsidR="00817CB4" w:rsidRPr="00733FD8" w:rsidRDefault="00817CB4" w:rsidP="00733FD8">
            <w:pPr>
              <w:pStyle w:val="Tabletextleft"/>
            </w:pPr>
            <w:r w:rsidRPr="00733FD8">
              <w:t>176</w:t>
            </w:r>
          </w:p>
        </w:tc>
        <w:tc>
          <w:tcPr>
            <w:tcW w:w="3761" w:type="dxa"/>
          </w:tcPr>
          <w:p w14:paraId="777C925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Remote Vocational Training Scheme</w:t>
            </w:r>
          </w:p>
        </w:tc>
        <w:tc>
          <w:tcPr>
            <w:tcW w:w="1170" w:type="dxa"/>
          </w:tcPr>
          <w:p w14:paraId="010707A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456</w:t>
            </w:r>
          </w:p>
        </w:tc>
        <w:tc>
          <w:tcPr>
            <w:tcW w:w="4074" w:type="dxa"/>
          </w:tcPr>
          <w:p w14:paraId="05BE12E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Southern GP Training</w:t>
            </w:r>
          </w:p>
        </w:tc>
      </w:tr>
      <w:tr w:rsidR="00817CB4" w14:paraId="7A5CCF9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2630B2F" w14:textId="77777777" w:rsidR="00817CB4" w:rsidRPr="00733FD8" w:rsidRDefault="00817CB4" w:rsidP="00733FD8">
            <w:pPr>
              <w:pStyle w:val="Tabletextleft"/>
            </w:pPr>
            <w:r w:rsidRPr="00733FD8">
              <w:t>177</w:t>
            </w:r>
          </w:p>
        </w:tc>
        <w:tc>
          <w:tcPr>
            <w:tcW w:w="3761" w:type="dxa"/>
          </w:tcPr>
          <w:p w14:paraId="6CB0D84C"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Queensland Country Relieving Program – QCRP</w:t>
            </w:r>
          </w:p>
        </w:tc>
        <w:tc>
          <w:tcPr>
            <w:tcW w:w="1170" w:type="dxa"/>
          </w:tcPr>
          <w:p w14:paraId="5766CDB9"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457</w:t>
            </w:r>
          </w:p>
        </w:tc>
        <w:tc>
          <w:tcPr>
            <w:tcW w:w="4074" w:type="dxa"/>
          </w:tcPr>
          <w:p w14:paraId="1DEF24A0"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Murray City Country Coast</w:t>
            </w:r>
          </w:p>
        </w:tc>
      </w:tr>
      <w:tr w:rsidR="00817CB4" w14:paraId="5A13784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958A6F" w14:textId="77777777" w:rsidR="00817CB4" w:rsidRPr="00733FD8" w:rsidRDefault="00817CB4" w:rsidP="00733FD8">
            <w:pPr>
              <w:pStyle w:val="Tabletextleft"/>
            </w:pPr>
            <w:r w:rsidRPr="00733FD8">
              <w:t>178</w:t>
            </w:r>
          </w:p>
        </w:tc>
        <w:tc>
          <w:tcPr>
            <w:tcW w:w="3761" w:type="dxa"/>
          </w:tcPr>
          <w:p w14:paraId="64EC9A6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Prevocational General Practice Placements Program</w:t>
            </w:r>
          </w:p>
        </w:tc>
        <w:tc>
          <w:tcPr>
            <w:tcW w:w="1170" w:type="dxa"/>
          </w:tcPr>
          <w:p w14:paraId="63ECC96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458</w:t>
            </w:r>
          </w:p>
        </w:tc>
        <w:tc>
          <w:tcPr>
            <w:tcW w:w="4074" w:type="dxa"/>
          </w:tcPr>
          <w:p w14:paraId="0DF70F5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Eastern Victoria GP Training</w:t>
            </w:r>
          </w:p>
        </w:tc>
      </w:tr>
      <w:tr w:rsidR="00817CB4" w14:paraId="5CC2CAF2"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A448A" w14:textId="77777777" w:rsidR="00817CB4" w:rsidRPr="00733FD8" w:rsidRDefault="00817CB4" w:rsidP="00733FD8">
            <w:pPr>
              <w:pStyle w:val="Tabletextleft"/>
            </w:pPr>
            <w:r w:rsidRPr="00733FD8">
              <w:t>179</w:t>
            </w:r>
          </w:p>
        </w:tc>
        <w:tc>
          <w:tcPr>
            <w:tcW w:w="3761" w:type="dxa"/>
          </w:tcPr>
          <w:p w14:paraId="172428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Special Approved Placements Program (SAPP)</w:t>
            </w:r>
          </w:p>
        </w:tc>
        <w:tc>
          <w:tcPr>
            <w:tcW w:w="1170" w:type="dxa"/>
          </w:tcPr>
          <w:p w14:paraId="6135129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459</w:t>
            </w:r>
          </w:p>
        </w:tc>
        <w:tc>
          <w:tcPr>
            <w:tcW w:w="4074" w:type="dxa"/>
          </w:tcPr>
          <w:p w14:paraId="4C1856B2"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w:t>
            </w:r>
            <w:proofErr w:type="gramStart"/>
            <w:r w:rsidRPr="61716D05">
              <w:t>South Eastern</w:t>
            </w:r>
            <w:proofErr w:type="gramEnd"/>
            <w:r w:rsidRPr="61716D05">
              <w:t xml:space="preserve"> Queensland</w:t>
            </w:r>
          </w:p>
        </w:tc>
      </w:tr>
      <w:tr w:rsidR="00817CB4" w14:paraId="6903167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08F6A" w14:textId="77777777" w:rsidR="00817CB4" w:rsidRPr="00733FD8" w:rsidRDefault="00817CB4" w:rsidP="00733FD8">
            <w:pPr>
              <w:pStyle w:val="Tabletextleft"/>
            </w:pPr>
            <w:r w:rsidRPr="00733FD8">
              <w:t>180</w:t>
            </w:r>
          </w:p>
        </w:tc>
        <w:tc>
          <w:tcPr>
            <w:tcW w:w="3761" w:type="dxa"/>
          </w:tcPr>
          <w:p w14:paraId="22BAA5C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Temporary Resident Doctor (TRD)</w:t>
            </w:r>
          </w:p>
        </w:tc>
        <w:tc>
          <w:tcPr>
            <w:tcW w:w="1170" w:type="dxa"/>
          </w:tcPr>
          <w:p w14:paraId="6D75CB8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460</w:t>
            </w:r>
          </w:p>
        </w:tc>
        <w:tc>
          <w:tcPr>
            <w:tcW w:w="4074" w:type="dxa"/>
          </w:tcPr>
          <w:p w14:paraId="5B0EFCB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James Cook University</w:t>
            </w:r>
          </w:p>
        </w:tc>
      </w:tr>
      <w:tr w:rsidR="00817CB4" w14:paraId="204A802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6817600" w14:textId="77777777" w:rsidR="00817CB4" w:rsidRPr="00733FD8" w:rsidRDefault="00817CB4" w:rsidP="00733FD8">
            <w:pPr>
              <w:pStyle w:val="Tabletextleft"/>
            </w:pPr>
            <w:r w:rsidRPr="00733FD8">
              <w:t>182</w:t>
            </w:r>
          </w:p>
        </w:tc>
        <w:tc>
          <w:tcPr>
            <w:tcW w:w="3761" w:type="dxa"/>
          </w:tcPr>
          <w:p w14:paraId="1F989C4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Occupational Trainee (OT)</w:t>
            </w:r>
          </w:p>
        </w:tc>
        <w:tc>
          <w:tcPr>
            <w:tcW w:w="1170" w:type="dxa"/>
          </w:tcPr>
          <w:p w14:paraId="3CAFB4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461</w:t>
            </w:r>
          </w:p>
        </w:tc>
        <w:tc>
          <w:tcPr>
            <w:tcW w:w="4074" w:type="dxa"/>
          </w:tcPr>
          <w:p w14:paraId="3BA767E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GP Synergy Ltd Western NSW</w:t>
            </w:r>
          </w:p>
        </w:tc>
      </w:tr>
      <w:tr w:rsidR="00817CB4" w14:paraId="1568750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244E6F" w14:textId="77777777" w:rsidR="00817CB4" w:rsidRPr="00733FD8" w:rsidRDefault="00817CB4" w:rsidP="00733FD8">
            <w:pPr>
              <w:pStyle w:val="Tabletextleft"/>
            </w:pPr>
            <w:r w:rsidRPr="00733FD8">
              <w:t>186</w:t>
            </w:r>
          </w:p>
        </w:tc>
        <w:tc>
          <w:tcPr>
            <w:tcW w:w="3761" w:type="dxa"/>
          </w:tcPr>
          <w:p w14:paraId="3CE1DD7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RURAL OTHER MEDICAL PRACTITIONER</w:t>
            </w:r>
          </w:p>
        </w:tc>
        <w:tc>
          <w:tcPr>
            <w:tcW w:w="1170" w:type="dxa"/>
          </w:tcPr>
          <w:p w14:paraId="3FFA73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462</w:t>
            </w:r>
          </w:p>
        </w:tc>
        <w:tc>
          <w:tcPr>
            <w:tcW w:w="4074" w:type="dxa"/>
          </w:tcPr>
          <w:p w14:paraId="062A075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GP Synergy Ltd Lower Eastern NSW</w:t>
            </w:r>
          </w:p>
        </w:tc>
      </w:tr>
      <w:tr w:rsidR="00817CB4" w14:paraId="46C8EC4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35ED1B4" w14:textId="77777777" w:rsidR="00817CB4" w:rsidRPr="00733FD8" w:rsidRDefault="00817CB4" w:rsidP="00733FD8">
            <w:pPr>
              <w:pStyle w:val="Tabletextleft"/>
            </w:pPr>
            <w:r w:rsidRPr="00733FD8">
              <w:t>188</w:t>
            </w:r>
          </w:p>
        </w:tc>
        <w:tc>
          <w:tcPr>
            <w:tcW w:w="3761" w:type="dxa"/>
          </w:tcPr>
          <w:p w14:paraId="479FD4C3"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proofErr w:type="spellStart"/>
            <w:r w:rsidRPr="61716D05">
              <w:t>MedicarePlus</w:t>
            </w:r>
            <w:proofErr w:type="spellEnd"/>
            <w:r w:rsidRPr="61716D05">
              <w:t xml:space="preserve"> OMPs Participation Program</w:t>
            </w:r>
          </w:p>
        </w:tc>
        <w:tc>
          <w:tcPr>
            <w:tcW w:w="1170" w:type="dxa"/>
          </w:tcPr>
          <w:p w14:paraId="59B205AB"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463</w:t>
            </w:r>
          </w:p>
        </w:tc>
        <w:tc>
          <w:tcPr>
            <w:tcW w:w="4074" w:type="dxa"/>
          </w:tcPr>
          <w:p w14:paraId="1D90603E"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w:t>
            </w:r>
            <w:proofErr w:type="spellStart"/>
            <w:r w:rsidRPr="61716D05">
              <w:t>GPEx</w:t>
            </w:r>
            <w:proofErr w:type="spellEnd"/>
          </w:p>
        </w:tc>
      </w:tr>
      <w:tr w:rsidR="00817CB4" w14:paraId="50A5662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51E7EF9" w14:textId="77777777" w:rsidR="00817CB4" w:rsidRPr="00733FD8" w:rsidRDefault="00817CB4" w:rsidP="00733FD8">
            <w:pPr>
              <w:pStyle w:val="Tabletextleft"/>
            </w:pPr>
            <w:r w:rsidRPr="00733FD8">
              <w:t>189</w:t>
            </w:r>
          </w:p>
        </w:tc>
        <w:tc>
          <w:tcPr>
            <w:tcW w:w="3761" w:type="dxa"/>
          </w:tcPr>
          <w:p w14:paraId="1DF9DBFE"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proofErr w:type="spellStart"/>
            <w:r w:rsidRPr="61716D05">
              <w:t>MedicarePlus</w:t>
            </w:r>
            <w:proofErr w:type="spellEnd"/>
            <w:r w:rsidRPr="61716D05">
              <w:t xml:space="preserve"> OMPs Ongoing &gt; 5 years Program</w:t>
            </w:r>
          </w:p>
        </w:tc>
        <w:tc>
          <w:tcPr>
            <w:tcW w:w="1170" w:type="dxa"/>
          </w:tcPr>
          <w:p w14:paraId="1579685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464</w:t>
            </w:r>
          </w:p>
        </w:tc>
        <w:tc>
          <w:tcPr>
            <w:tcW w:w="4074" w:type="dxa"/>
          </w:tcPr>
          <w:p w14:paraId="6DA43C2C"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Western Australia GPET</w:t>
            </w:r>
          </w:p>
        </w:tc>
      </w:tr>
      <w:tr w:rsidR="00817CB4" w14:paraId="25B09861"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4C13D2" w14:textId="77777777" w:rsidR="00817CB4" w:rsidRPr="00733FD8" w:rsidRDefault="00817CB4" w:rsidP="00733FD8">
            <w:pPr>
              <w:pStyle w:val="Tabletextleft"/>
            </w:pPr>
            <w:r w:rsidRPr="00733FD8">
              <w:t>190</w:t>
            </w:r>
          </w:p>
        </w:tc>
        <w:tc>
          <w:tcPr>
            <w:tcW w:w="3761" w:type="dxa"/>
          </w:tcPr>
          <w:p w14:paraId="25A14797"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Local Rural/Remote Relief (RLRP)</w:t>
            </w:r>
          </w:p>
        </w:tc>
        <w:tc>
          <w:tcPr>
            <w:tcW w:w="1170" w:type="dxa"/>
          </w:tcPr>
          <w:p w14:paraId="37443FB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465</w:t>
            </w:r>
          </w:p>
        </w:tc>
        <w:tc>
          <w:tcPr>
            <w:tcW w:w="4074" w:type="dxa"/>
          </w:tcPr>
          <w:p w14:paraId="504C99AE"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GP Synergy </w:t>
            </w:r>
            <w:proofErr w:type="gramStart"/>
            <w:r w:rsidRPr="61716D05">
              <w:t>North Eastern</w:t>
            </w:r>
            <w:proofErr w:type="gramEnd"/>
            <w:r w:rsidRPr="61716D05">
              <w:t xml:space="preserve"> NSW</w:t>
            </w:r>
          </w:p>
        </w:tc>
      </w:tr>
      <w:tr w:rsidR="00817CB4" w14:paraId="5D984174"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2D297DC" w14:textId="77777777" w:rsidR="00817CB4" w:rsidRPr="00733FD8" w:rsidRDefault="00817CB4" w:rsidP="00733FD8">
            <w:pPr>
              <w:pStyle w:val="Tabletextleft"/>
            </w:pPr>
            <w:r w:rsidRPr="00733FD8">
              <w:t>194</w:t>
            </w:r>
          </w:p>
        </w:tc>
        <w:tc>
          <w:tcPr>
            <w:tcW w:w="3761" w:type="dxa"/>
          </w:tcPr>
          <w:p w14:paraId="6418857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AMDS Program Approved Placement</w:t>
            </w:r>
          </w:p>
        </w:tc>
        <w:tc>
          <w:tcPr>
            <w:tcW w:w="1170" w:type="dxa"/>
          </w:tcPr>
          <w:p w14:paraId="1BC64A4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466</w:t>
            </w:r>
          </w:p>
        </w:tc>
        <w:tc>
          <w:tcPr>
            <w:tcW w:w="4074" w:type="dxa"/>
          </w:tcPr>
          <w:p w14:paraId="211C814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Tasmanian GP Ed and Training</w:t>
            </w:r>
          </w:p>
        </w:tc>
      </w:tr>
      <w:tr w:rsidR="00817CB4" w14:paraId="1BDB046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513F5FA" w14:textId="77777777" w:rsidR="00817CB4" w:rsidRPr="00733FD8" w:rsidRDefault="00817CB4" w:rsidP="00733FD8">
            <w:pPr>
              <w:pStyle w:val="Tabletextleft"/>
            </w:pPr>
            <w:r w:rsidRPr="00733FD8">
              <w:t>196</w:t>
            </w:r>
          </w:p>
        </w:tc>
        <w:tc>
          <w:tcPr>
            <w:tcW w:w="3761" w:type="dxa"/>
          </w:tcPr>
          <w:p w14:paraId="59D054C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ACRRM Program Approved Placement</w:t>
            </w:r>
          </w:p>
        </w:tc>
        <w:tc>
          <w:tcPr>
            <w:tcW w:w="1170" w:type="dxa"/>
          </w:tcPr>
          <w:p w14:paraId="28524CA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467</w:t>
            </w:r>
          </w:p>
        </w:tc>
        <w:tc>
          <w:tcPr>
            <w:tcW w:w="4074" w:type="dxa"/>
          </w:tcPr>
          <w:p w14:paraId="7852CEF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NT GP Education</w:t>
            </w:r>
          </w:p>
        </w:tc>
      </w:tr>
      <w:tr w:rsidR="00817CB4" w14:paraId="163519F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C454E52" w14:textId="77777777" w:rsidR="00817CB4" w:rsidRPr="00733FD8" w:rsidRDefault="00817CB4" w:rsidP="00733FD8">
            <w:pPr>
              <w:pStyle w:val="Tabletextleft"/>
            </w:pPr>
            <w:r w:rsidRPr="00733FD8">
              <w:t>197</w:t>
            </w:r>
          </w:p>
        </w:tc>
        <w:tc>
          <w:tcPr>
            <w:tcW w:w="3761" w:type="dxa"/>
          </w:tcPr>
          <w:p w14:paraId="49DA644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APED Program Approved Placement</w:t>
            </w:r>
          </w:p>
        </w:tc>
        <w:tc>
          <w:tcPr>
            <w:tcW w:w="1170" w:type="dxa"/>
          </w:tcPr>
          <w:p w14:paraId="5A45AC0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468</w:t>
            </w:r>
          </w:p>
        </w:tc>
        <w:tc>
          <w:tcPr>
            <w:tcW w:w="4074" w:type="dxa"/>
          </w:tcPr>
          <w:p w14:paraId="3DE5067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 GP Pathway</w:t>
            </w:r>
          </w:p>
        </w:tc>
      </w:tr>
      <w:tr w:rsidR="00817CB4" w14:paraId="5F9E464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E319DFB" w14:textId="77777777" w:rsidR="00817CB4" w:rsidRPr="00733FD8" w:rsidRDefault="00817CB4" w:rsidP="00733FD8">
            <w:pPr>
              <w:pStyle w:val="Tabletextleft"/>
            </w:pPr>
            <w:r w:rsidRPr="00733FD8">
              <w:lastRenderedPageBreak/>
              <w:t>198</w:t>
            </w:r>
          </w:p>
        </w:tc>
        <w:tc>
          <w:tcPr>
            <w:tcW w:w="3761" w:type="dxa"/>
          </w:tcPr>
          <w:p w14:paraId="20864EB9"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Temporary Resident Other Medical Practitioners (TROMP) Program Approved Program</w:t>
            </w:r>
          </w:p>
        </w:tc>
        <w:tc>
          <w:tcPr>
            <w:tcW w:w="1170" w:type="dxa"/>
          </w:tcPr>
          <w:p w14:paraId="5B86CCF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470</w:t>
            </w:r>
          </w:p>
        </w:tc>
        <w:tc>
          <w:tcPr>
            <w:tcW w:w="4074" w:type="dxa"/>
          </w:tcPr>
          <w:p w14:paraId="5D715387"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Fellowship Program - ACRRM</w:t>
            </w:r>
          </w:p>
        </w:tc>
      </w:tr>
      <w:tr w:rsidR="00817CB4" w14:paraId="7BF5B13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FBACCC" w14:textId="77777777" w:rsidR="00817CB4" w:rsidRPr="00733FD8" w:rsidRDefault="00817CB4" w:rsidP="00733FD8">
            <w:pPr>
              <w:pStyle w:val="Tabletextleft"/>
            </w:pPr>
            <w:r w:rsidRPr="00733FD8">
              <w:t>199</w:t>
            </w:r>
          </w:p>
        </w:tc>
        <w:tc>
          <w:tcPr>
            <w:tcW w:w="3761" w:type="dxa"/>
          </w:tcPr>
          <w:p w14:paraId="3320EA1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AFTER HOURS OMPS PROGRAM</w:t>
            </w:r>
          </w:p>
        </w:tc>
        <w:tc>
          <w:tcPr>
            <w:tcW w:w="1170" w:type="dxa"/>
          </w:tcPr>
          <w:p w14:paraId="10C2833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471</w:t>
            </w:r>
          </w:p>
        </w:tc>
        <w:tc>
          <w:tcPr>
            <w:tcW w:w="4074" w:type="dxa"/>
          </w:tcPr>
          <w:p w14:paraId="1130108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AGPT - ACRRM</w:t>
            </w:r>
          </w:p>
        </w:tc>
      </w:tr>
      <w:tr w:rsidR="00817CB4" w14:paraId="2C787434"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B9CD6CA" w14:textId="77777777" w:rsidR="00817CB4" w:rsidRPr="00733FD8" w:rsidRDefault="00817CB4" w:rsidP="00733FD8">
            <w:pPr>
              <w:pStyle w:val="Tabletextleft"/>
            </w:pPr>
            <w:r w:rsidRPr="00733FD8">
              <w:t>430</w:t>
            </w:r>
          </w:p>
        </w:tc>
        <w:tc>
          <w:tcPr>
            <w:tcW w:w="3761" w:type="dxa"/>
          </w:tcPr>
          <w:p w14:paraId="6AE8B94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GPEA/GPET</w:t>
            </w:r>
          </w:p>
        </w:tc>
        <w:tc>
          <w:tcPr>
            <w:tcW w:w="1170" w:type="dxa"/>
          </w:tcPr>
          <w:p w14:paraId="7D17E37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472</w:t>
            </w:r>
          </w:p>
        </w:tc>
        <w:tc>
          <w:tcPr>
            <w:tcW w:w="4074" w:type="dxa"/>
          </w:tcPr>
          <w:p w14:paraId="187DC8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Independent Pathway post 1/1/2019</w:t>
            </w:r>
          </w:p>
        </w:tc>
      </w:tr>
      <w:tr w:rsidR="00817CB4" w14:paraId="0557E19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0EBBC5" w14:textId="77777777" w:rsidR="00817CB4" w:rsidRPr="00733FD8" w:rsidRDefault="00817CB4" w:rsidP="00733FD8">
            <w:pPr>
              <w:pStyle w:val="Tabletextleft"/>
            </w:pPr>
            <w:r w:rsidRPr="00733FD8">
              <w:t>431</w:t>
            </w:r>
          </w:p>
        </w:tc>
        <w:tc>
          <w:tcPr>
            <w:tcW w:w="3761" w:type="dxa"/>
          </w:tcPr>
          <w:p w14:paraId="644635F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 xml:space="preserve">GPET Stuart - </w:t>
            </w:r>
            <w:proofErr w:type="spellStart"/>
            <w:r w:rsidRPr="61716D05">
              <w:t>Fleurieu</w:t>
            </w:r>
            <w:proofErr w:type="spellEnd"/>
            <w:r w:rsidRPr="61716D05">
              <w:t xml:space="preserve"> GP Training</w:t>
            </w:r>
          </w:p>
        </w:tc>
        <w:tc>
          <w:tcPr>
            <w:tcW w:w="1170" w:type="dxa"/>
          </w:tcPr>
          <w:p w14:paraId="7491A79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473</w:t>
            </w:r>
          </w:p>
        </w:tc>
        <w:tc>
          <w:tcPr>
            <w:tcW w:w="4074" w:type="dxa"/>
          </w:tcPr>
          <w:p w14:paraId="12D80C2D"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ACRRM</w:t>
            </w:r>
          </w:p>
        </w:tc>
      </w:tr>
      <w:tr w:rsidR="00817CB4" w14:paraId="6CAB74B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776C72F" w14:textId="77777777" w:rsidR="00817CB4" w:rsidRPr="00733FD8" w:rsidRDefault="00817CB4" w:rsidP="00733FD8">
            <w:pPr>
              <w:pStyle w:val="Tabletextleft"/>
            </w:pPr>
            <w:r w:rsidRPr="00733FD8">
              <w:t>432</w:t>
            </w:r>
          </w:p>
        </w:tc>
        <w:tc>
          <w:tcPr>
            <w:tcW w:w="3761" w:type="dxa"/>
          </w:tcPr>
          <w:p w14:paraId="42C421AD"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Training Valley to Coast</w:t>
            </w:r>
          </w:p>
        </w:tc>
        <w:tc>
          <w:tcPr>
            <w:tcW w:w="1170" w:type="dxa"/>
          </w:tcPr>
          <w:p w14:paraId="794CCE40"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474</w:t>
            </w:r>
          </w:p>
        </w:tc>
        <w:tc>
          <w:tcPr>
            <w:tcW w:w="4074" w:type="dxa"/>
          </w:tcPr>
          <w:p w14:paraId="1291566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AGPT - RACGP</w:t>
            </w:r>
          </w:p>
        </w:tc>
      </w:tr>
      <w:tr w:rsidR="00817CB4" w14:paraId="2C466C0E"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8A99A81" w14:textId="77777777" w:rsidR="00817CB4" w:rsidRPr="00733FD8" w:rsidRDefault="00817CB4" w:rsidP="00733FD8">
            <w:pPr>
              <w:pStyle w:val="Tabletextleft"/>
            </w:pPr>
            <w:r w:rsidRPr="00733FD8">
              <w:t>433</w:t>
            </w:r>
          </w:p>
        </w:tc>
        <w:tc>
          <w:tcPr>
            <w:tcW w:w="3761" w:type="dxa"/>
          </w:tcPr>
          <w:p w14:paraId="6D98EA7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Institute of GP Education</w:t>
            </w:r>
          </w:p>
        </w:tc>
        <w:tc>
          <w:tcPr>
            <w:tcW w:w="1170" w:type="dxa"/>
          </w:tcPr>
          <w:p w14:paraId="1E6748B2"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475</w:t>
            </w:r>
          </w:p>
        </w:tc>
        <w:tc>
          <w:tcPr>
            <w:tcW w:w="4074" w:type="dxa"/>
          </w:tcPr>
          <w:p w14:paraId="7B5CA58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RACGP</w:t>
            </w:r>
          </w:p>
        </w:tc>
      </w:tr>
      <w:tr w:rsidR="00817CB4" w14:paraId="56385EEA"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AC2A6E" w14:textId="77777777" w:rsidR="00817CB4" w:rsidRPr="00733FD8" w:rsidRDefault="00817CB4" w:rsidP="00733FD8">
            <w:pPr>
              <w:pStyle w:val="Tabletextleft"/>
            </w:pPr>
            <w:r w:rsidRPr="00733FD8">
              <w:t>434</w:t>
            </w:r>
          </w:p>
        </w:tc>
        <w:tc>
          <w:tcPr>
            <w:tcW w:w="3761" w:type="dxa"/>
          </w:tcPr>
          <w:p w14:paraId="7BE49387" w14:textId="678A1F53"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Sydney Institu</w:t>
            </w:r>
            <w:r w:rsidR="006C7CB4">
              <w:t>t</w:t>
            </w:r>
            <w:r w:rsidRPr="00733FD8">
              <w:t>e of GP Ed</w:t>
            </w:r>
          </w:p>
        </w:tc>
        <w:tc>
          <w:tcPr>
            <w:tcW w:w="1170" w:type="dxa"/>
          </w:tcPr>
          <w:p w14:paraId="0AFC8C8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476</w:t>
            </w:r>
          </w:p>
        </w:tc>
        <w:tc>
          <w:tcPr>
            <w:tcW w:w="4074" w:type="dxa"/>
          </w:tcPr>
          <w:p w14:paraId="15A7822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RACGP Fellowship Program - RACGP</w:t>
            </w:r>
          </w:p>
        </w:tc>
      </w:tr>
      <w:tr w:rsidR="00817CB4" w14:paraId="608DCA0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B9E2DEB" w14:textId="77777777" w:rsidR="00817CB4" w:rsidRPr="00733FD8" w:rsidRDefault="00817CB4" w:rsidP="00733FD8">
            <w:pPr>
              <w:pStyle w:val="Tabletextleft"/>
            </w:pPr>
            <w:r w:rsidRPr="00733FD8">
              <w:t>435</w:t>
            </w:r>
          </w:p>
        </w:tc>
        <w:tc>
          <w:tcPr>
            <w:tcW w:w="3761" w:type="dxa"/>
          </w:tcPr>
          <w:p w14:paraId="0E54745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Went West</w:t>
            </w:r>
          </w:p>
        </w:tc>
        <w:tc>
          <w:tcPr>
            <w:tcW w:w="1170" w:type="dxa"/>
          </w:tcPr>
          <w:p w14:paraId="58FF79D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477</w:t>
            </w:r>
          </w:p>
        </w:tc>
        <w:tc>
          <w:tcPr>
            <w:tcW w:w="4074" w:type="dxa"/>
          </w:tcPr>
          <w:p w14:paraId="5BF1A68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Fellowship Program - Health</w:t>
            </w:r>
          </w:p>
        </w:tc>
      </w:tr>
      <w:tr w:rsidR="00817CB4" w14:paraId="7A824F1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A8C5199" w14:textId="77777777" w:rsidR="00817CB4" w:rsidRPr="00733FD8" w:rsidRDefault="00817CB4" w:rsidP="00733FD8">
            <w:pPr>
              <w:pStyle w:val="Tabletextleft"/>
            </w:pPr>
            <w:r w:rsidRPr="00733FD8">
              <w:t>436</w:t>
            </w:r>
          </w:p>
        </w:tc>
        <w:tc>
          <w:tcPr>
            <w:tcW w:w="3761" w:type="dxa"/>
          </w:tcPr>
          <w:p w14:paraId="3423395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NT GP Education</w:t>
            </w:r>
          </w:p>
        </w:tc>
        <w:tc>
          <w:tcPr>
            <w:tcW w:w="1170" w:type="dxa"/>
          </w:tcPr>
          <w:p w14:paraId="465C9C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478</w:t>
            </w:r>
          </w:p>
        </w:tc>
        <w:tc>
          <w:tcPr>
            <w:tcW w:w="4074" w:type="dxa"/>
          </w:tcPr>
          <w:p w14:paraId="69E7BE7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RVTS - Health</w:t>
            </w:r>
          </w:p>
        </w:tc>
      </w:tr>
      <w:tr w:rsidR="00817CB4" w14:paraId="737BD51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211538" w14:textId="77777777" w:rsidR="00817CB4" w:rsidRPr="00733FD8" w:rsidRDefault="00817CB4" w:rsidP="00733FD8">
            <w:pPr>
              <w:pStyle w:val="Tabletextleft"/>
            </w:pPr>
            <w:r w:rsidRPr="00733FD8">
              <w:t>437</w:t>
            </w:r>
          </w:p>
        </w:tc>
        <w:tc>
          <w:tcPr>
            <w:tcW w:w="3761" w:type="dxa"/>
          </w:tcPr>
          <w:p w14:paraId="34380CE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 xml:space="preserve">GPET Central and </w:t>
            </w:r>
            <w:proofErr w:type="spellStart"/>
            <w:r w:rsidRPr="61716D05">
              <w:t>Sthn</w:t>
            </w:r>
            <w:proofErr w:type="spellEnd"/>
            <w:r w:rsidRPr="61716D05">
              <w:t xml:space="preserve"> QLD</w:t>
            </w:r>
          </w:p>
        </w:tc>
        <w:tc>
          <w:tcPr>
            <w:tcW w:w="1170" w:type="dxa"/>
          </w:tcPr>
          <w:p w14:paraId="655350E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479</w:t>
            </w:r>
          </w:p>
        </w:tc>
        <w:tc>
          <w:tcPr>
            <w:tcW w:w="4074" w:type="dxa"/>
          </w:tcPr>
          <w:p w14:paraId="4854ACF4"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Fellowship Program - Health</w:t>
            </w:r>
          </w:p>
        </w:tc>
      </w:tr>
      <w:tr w:rsidR="00817CB4" w14:paraId="7F1F10E0"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0AAEC5B" w14:textId="77777777" w:rsidR="00817CB4" w:rsidRPr="00733FD8" w:rsidRDefault="00817CB4" w:rsidP="00733FD8">
            <w:pPr>
              <w:pStyle w:val="Tabletextleft"/>
            </w:pPr>
            <w:r w:rsidRPr="00733FD8">
              <w:t>438</w:t>
            </w:r>
          </w:p>
        </w:tc>
        <w:tc>
          <w:tcPr>
            <w:tcW w:w="3761" w:type="dxa"/>
          </w:tcPr>
          <w:p w14:paraId="683A5BF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Tropical Medical Education</w:t>
            </w:r>
          </w:p>
        </w:tc>
        <w:tc>
          <w:tcPr>
            <w:tcW w:w="1170" w:type="dxa"/>
          </w:tcPr>
          <w:p w14:paraId="21E6E4C7"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480</w:t>
            </w:r>
          </w:p>
        </w:tc>
        <w:tc>
          <w:tcPr>
            <w:tcW w:w="4074" w:type="dxa"/>
          </w:tcPr>
          <w:p w14:paraId="31E37C29"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MDRAP</w:t>
            </w:r>
          </w:p>
        </w:tc>
      </w:tr>
      <w:tr w:rsidR="00817CB4" w14:paraId="1184636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D7555D" w14:textId="77777777" w:rsidR="00817CB4" w:rsidRPr="00733FD8" w:rsidRDefault="00817CB4" w:rsidP="00733FD8">
            <w:pPr>
              <w:pStyle w:val="Tabletextleft"/>
            </w:pPr>
            <w:r w:rsidRPr="00733FD8">
              <w:t>439</w:t>
            </w:r>
          </w:p>
        </w:tc>
        <w:tc>
          <w:tcPr>
            <w:tcW w:w="3761" w:type="dxa"/>
          </w:tcPr>
          <w:p w14:paraId="10F2B185"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Rural and Regional QLD</w:t>
            </w:r>
          </w:p>
        </w:tc>
        <w:tc>
          <w:tcPr>
            <w:tcW w:w="1170" w:type="dxa"/>
          </w:tcPr>
          <w:p w14:paraId="499101E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481</w:t>
            </w:r>
          </w:p>
        </w:tc>
        <w:tc>
          <w:tcPr>
            <w:tcW w:w="4074" w:type="dxa"/>
          </w:tcPr>
          <w:p w14:paraId="5B02B2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61716D05">
              <w:t xml:space="preserve">Pre Fellowship Program (PFP) </w:t>
            </w:r>
          </w:p>
        </w:tc>
      </w:tr>
      <w:tr w:rsidR="00817CB4" w14:paraId="49A1A873"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EE56146" w14:textId="77777777" w:rsidR="00817CB4" w:rsidRPr="00733FD8" w:rsidRDefault="00817CB4" w:rsidP="00733FD8">
            <w:pPr>
              <w:pStyle w:val="Tabletextleft"/>
            </w:pPr>
            <w:r w:rsidRPr="00733FD8">
              <w:t>440</w:t>
            </w:r>
          </w:p>
        </w:tc>
        <w:tc>
          <w:tcPr>
            <w:tcW w:w="3761" w:type="dxa"/>
          </w:tcPr>
          <w:p w14:paraId="60D1768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Adelaide to Outback</w:t>
            </w:r>
          </w:p>
        </w:tc>
        <w:tc>
          <w:tcPr>
            <w:tcW w:w="1170" w:type="dxa"/>
          </w:tcPr>
          <w:p w14:paraId="5EBCC01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483</w:t>
            </w:r>
          </w:p>
        </w:tc>
        <w:tc>
          <w:tcPr>
            <w:tcW w:w="4074" w:type="dxa"/>
          </w:tcPr>
          <w:p w14:paraId="0A21B176"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Training-Murrumbidgee Local </w:t>
            </w:r>
            <w:proofErr w:type="spellStart"/>
            <w:r w:rsidRPr="61716D05">
              <w:t>Hlth</w:t>
            </w:r>
            <w:proofErr w:type="spellEnd"/>
            <w:r w:rsidRPr="61716D05">
              <w:t xml:space="preserve"> District Trial</w:t>
            </w:r>
          </w:p>
        </w:tc>
      </w:tr>
      <w:tr w:rsidR="00817CB4" w14:paraId="45DFDE1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9C8208A" w14:textId="77777777" w:rsidR="00817CB4" w:rsidRPr="00733FD8" w:rsidRDefault="00817CB4" w:rsidP="00733FD8">
            <w:pPr>
              <w:pStyle w:val="Tabletextleft"/>
            </w:pPr>
            <w:r w:rsidRPr="00733FD8">
              <w:t>441</w:t>
            </w:r>
          </w:p>
        </w:tc>
        <w:tc>
          <w:tcPr>
            <w:tcW w:w="3761" w:type="dxa"/>
          </w:tcPr>
          <w:p w14:paraId="6D95230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Tasmania GP Ed and Training</w:t>
            </w:r>
          </w:p>
        </w:tc>
        <w:tc>
          <w:tcPr>
            <w:tcW w:w="1170" w:type="dxa"/>
          </w:tcPr>
          <w:p w14:paraId="0D6D95AB"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484</w:t>
            </w:r>
          </w:p>
        </w:tc>
        <w:tc>
          <w:tcPr>
            <w:tcW w:w="4074" w:type="dxa"/>
          </w:tcPr>
          <w:p w14:paraId="4013779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Riverland Mallee Coorong LHN</w:t>
            </w:r>
          </w:p>
        </w:tc>
      </w:tr>
      <w:tr w:rsidR="00817CB4" w14:paraId="7730C15D"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85799A1" w14:textId="77777777" w:rsidR="00817CB4" w:rsidRPr="00733FD8" w:rsidRDefault="00817CB4" w:rsidP="00733FD8">
            <w:pPr>
              <w:pStyle w:val="Tabletextleft"/>
            </w:pPr>
            <w:r w:rsidRPr="00733FD8">
              <w:t>442</w:t>
            </w:r>
          </w:p>
        </w:tc>
        <w:tc>
          <w:tcPr>
            <w:tcW w:w="3761" w:type="dxa"/>
          </w:tcPr>
          <w:p w14:paraId="13AD92B4"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Gippsland</w:t>
            </w:r>
          </w:p>
        </w:tc>
        <w:tc>
          <w:tcPr>
            <w:tcW w:w="1170" w:type="dxa"/>
          </w:tcPr>
          <w:p w14:paraId="04E1B5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485</w:t>
            </w:r>
          </w:p>
        </w:tc>
        <w:tc>
          <w:tcPr>
            <w:tcW w:w="4074" w:type="dxa"/>
          </w:tcPr>
          <w:p w14:paraId="61F7B6E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 Fellowship Programme</w:t>
            </w:r>
          </w:p>
        </w:tc>
      </w:tr>
      <w:tr w:rsidR="00817CB4" w14:paraId="07A92D2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76F9E2" w14:textId="77777777" w:rsidR="00817CB4" w:rsidRPr="00733FD8" w:rsidRDefault="00817CB4" w:rsidP="00733FD8">
            <w:pPr>
              <w:pStyle w:val="Tabletextleft"/>
            </w:pPr>
            <w:r w:rsidRPr="00733FD8">
              <w:t>443</w:t>
            </w:r>
          </w:p>
        </w:tc>
        <w:tc>
          <w:tcPr>
            <w:tcW w:w="3761" w:type="dxa"/>
          </w:tcPr>
          <w:p w14:paraId="035D1890"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Greater Green Triangle</w:t>
            </w:r>
          </w:p>
        </w:tc>
        <w:tc>
          <w:tcPr>
            <w:tcW w:w="1170" w:type="dxa"/>
          </w:tcPr>
          <w:p w14:paraId="25840E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486</w:t>
            </w:r>
          </w:p>
        </w:tc>
        <w:tc>
          <w:tcPr>
            <w:tcW w:w="4074" w:type="dxa"/>
          </w:tcPr>
          <w:p w14:paraId="562940D6"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 Fellowship Programme</w:t>
            </w:r>
          </w:p>
        </w:tc>
      </w:tr>
      <w:tr w:rsidR="00817CB4" w14:paraId="17CC1E2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0362217" w14:textId="77777777" w:rsidR="00817CB4" w:rsidRPr="00733FD8" w:rsidRDefault="00817CB4" w:rsidP="00733FD8">
            <w:pPr>
              <w:pStyle w:val="Tabletextleft"/>
            </w:pPr>
            <w:r w:rsidRPr="00733FD8">
              <w:t>444</w:t>
            </w:r>
          </w:p>
        </w:tc>
        <w:tc>
          <w:tcPr>
            <w:tcW w:w="3761" w:type="dxa"/>
          </w:tcPr>
          <w:p w14:paraId="37C675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VIC Metropolitan Alliance</w:t>
            </w:r>
          </w:p>
        </w:tc>
        <w:tc>
          <w:tcPr>
            <w:tcW w:w="1170" w:type="dxa"/>
          </w:tcPr>
          <w:p w14:paraId="539911C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530</w:t>
            </w:r>
          </w:p>
        </w:tc>
        <w:tc>
          <w:tcPr>
            <w:tcW w:w="4074" w:type="dxa"/>
          </w:tcPr>
          <w:p w14:paraId="324B8F7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General Practitioner - Approved by Health</w:t>
            </w:r>
          </w:p>
        </w:tc>
      </w:tr>
      <w:tr w:rsidR="00817CB4" w14:paraId="7FA304B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CAD880D" w14:textId="77777777" w:rsidR="00817CB4" w:rsidRPr="00733FD8" w:rsidRDefault="00817CB4" w:rsidP="00733FD8">
            <w:pPr>
              <w:pStyle w:val="Tabletextleft"/>
            </w:pPr>
            <w:r w:rsidRPr="00733FD8">
              <w:t>445</w:t>
            </w:r>
          </w:p>
        </w:tc>
        <w:tc>
          <w:tcPr>
            <w:tcW w:w="3761" w:type="dxa"/>
          </w:tcPr>
          <w:p w14:paraId="784911F1"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WA Ed and Training Alliance</w:t>
            </w:r>
          </w:p>
        </w:tc>
        <w:tc>
          <w:tcPr>
            <w:tcW w:w="1170" w:type="dxa"/>
          </w:tcPr>
          <w:p w14:paraId="264245B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532</w:t>
            </w:r>
          </w:p>
        </w:tc>
        <w:tc>
          <w:tcPr>
            <w:tcW w:w="4074" w:type="dxa"/>
          </w:tcPr>
          <w:p w14:paraId="577A087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Fellow of ACRRM</w:t>
            </w:r>
          </w:p>
        </w:tc>
      </w:tr>
      <w:tr w:rsidR="00817CB4" w14:paraId="1A23EC9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BF97BC9" w14:textId="77777777" w:rsidR="00817CB4" w:rsidRPr="00733FD8" w:rsidRDefault="00817CB4" w:rsidP="00733FD8">
            <w:pPr>
              <w:pStyle w:val="Tabletextleft"/>
            </w:pPr>
            <w:r w:rsidRPr="00733FD8">
              <w:t>446</w:t>
            </w:r>
          </w:p>
        </w:tc>
        <w:tc>
          <w:tcPr>
            <w:tcW w:w="3761" w:type="dxa"/>
          </w:tcPr>
          <w:p w14:paraId="1D0E9F9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Bogong Regional Training Network</w:t>
            </w:r>
          </w:p>
        </w:tc>
        <w:tc>
          <w:tcPr>
            <w:tcW w:w="1170" w:type="dxa"/>
          </w:tcPr>
          <w:p w14:paraId="550E42D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540</w:t>
            </w:r>
          </w:p>
        </w:tc>
        <w:tc>
          <w:tcPr>
            <w:tcW w:w="4074" w:type="dxa"/>
          </w:tcPr>
          <w:p w14:paraId="1F2644A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Specialist General Practitioner</w:t>
            </w:r>
          </w:p>
        </w:tc>
      </w:tr>
      <w:tr w:rsidR="00817CB4" w14:paraId="1975380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F3852B7" w14:textId="77777777" w:rsidR="00817CB4" w:rsidRPr="00733FD8" w:rsidRDefault="00817CB4" w:rsidP="00733FD8">
            <w:pPr>
              <w:pStyle w:val="Tabletextleft"/>
            </w:pPr>
            <w:r w:rsidRPr="00733FD8">
              <w:t>447</w:t>
            </w:r>
          </w:p>
        </w:tc>
        <w:tc>
          <w:tcPr>
            <w:tcW w:w="3761" w:type="dxa"/>
          </w:tcPr>
          <w:p w14:paraId="5ECA2BF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 xml:space="preserve">Central West Consortium Ltd </w:t>
            </w:r>
          </w:p>
        </w:tc>
        <w:tc>
          <w:tcPr>
            <w:tcW w:w="1170" w:type="dxa"/>
          </w:tcPr>
          <w:p w14:paraId="0D059BB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615</w:t>
            </w:r>
          </w:p>
        </w:tc>
        <w:tc>
          <w:tcPr>
            <w:tcW w:w="4074" w:type="dxa"/>
          </w:tcPr>
          <w:p w14:paraId="2B3488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Outer Metro OMPs</w:t>
            </w:r>
          </w:p>
        </w:tc>
      </w:tr>
      <w:tr w:rsidR="00817CB4" w14:paraId="414D736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0F30ECE" w14:textId="77777777" w:rsidR="00817CB4" w:rsidRPr="00733FD8" w:rsidRDefault="00817CB4" w:rsidP="00733FD8">
            <w:pPr>
              <w:pStyle w:val="Tabletextleft"/>
            </w:pPr>
            <w:r w:rsidRPr="00733FD8">
              <w:t>448</w:t>
            </w:r>
          </w:p>
        </w:tc>
        <w:tc>
          <w:tcPr>
            <w:tcW w:w="3761" w:type="dxa"/>
          </w:tcPr>
          <w:p w14:paraId="478BB96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Coast City Country GP Training Inc</w:t>
            </w:r>
          </w:p>
        </w:tc>
        <w:tc>
          <w:tcPr>
            <w:tcW w:w="1170" w:type="dxa"/>
          </w:tcPr>
          <w:p w14:paraId="5654393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616</w:t>
            </w:r>
          </w:p>
        </w:tc>
        <w:tc>
          <w:tcPr>
            <w:tcW w:w="4074" w:type="dxa"/>
          </w:tcPr>
          <w:p w14:paraId="782512C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Outer Metro Specialist Trainees</w:t>
            </w:r>
          </w:p>
        </w:tc>
      </w:tr>
      <w:tr w:rsidR="00817CB4" w14:paraId="296FC8A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350B824" w14:textId="77777777" w:rsidR="00817CB4" w:rsidRPr="00733FD8" w:rsidRDefault="00817CB4" w:rsidP="00733FD8">
            <w:pPr>
              <w:pStyle w:val="Tabletextleft"/>
            </w:pPr>
            <w:r w:rsidRPr="00733FD8">
              <w:t>449</w:t>
            </w:r>
          </w:p>
        </w:tc>
        <w:tc>
          <w:tcPr>
            <w:tcW w:w="3761" w:type="dxa"/>
          </w:tcPr>
          <w:p w14:paraId="5AB51DB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New England Area Training Service P/L</w:t>
            </w:r>
          </w:p>
        </w:tc>
        <w:tc>
          <w:tcPr>
            <w:tcW w:w="1170" w:type="dxa"/>
          </w:tcPr>
          <w:p w14:paraId="71429B4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617</w:t>
            </w:r>
          </w:p>
        </w:tc>
        <w:tc>
          <w:tcPr>
            <w:tcW w:w="4074" w:type="dxa"/>
          </w:tcPr>
          <w:p w14:paraId="234BAE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 xml:space="preserve">Metropolitan Workforce Support Program </w:t>
            </w:r>
          </w:p>
        </w:tc>
      </w:tr>
      <w:bookmarkEnd w:id="193"/>
    </w:tbl>
    <w:p w14:paraId="566DF377" w14:textId="77777777" w:rsidR="00EE76E0" w:rsidRPr="00EE76E0" w:rsidRDefault="00EE76E0" w:rsidP="00F711D2"/>
    <w:sectPr w:rsidR="00EE76E0" w:rsidRPr="00EE76E0" w:rsidSect="00D565F0">
      <w:headerReference w:type="even" r:id="rId44"/>
      <w:headerReference w:type="default" r:id="rId45"/>
      <w:footerReference w:type="even" r:id="rId46"/>
      <w:footerReference w:type="default" r:id="rId47"/>
      <w:headerReference w:type="first" r:id="rId48"/>
      <w:footerReference w:type="first" r:id="rId49"/>
      <w:pgSz w:w="11906" w:h="16838" w:code="9"/>
      <w:pgMar w:top="1134" w:right="1021" w:bottom="1701"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3734" w14:textId="77777777" w:rsidR="001F7D0D" w:rsidRDefault="001F7D0D" w:rsidP="00D560DC">
      <w:pPr>
        <w:spacing w:before="0" w:after="0" w:line="240" w:lineRule="auto"/>
      </w:pPr>
      <w:r>
        <w:separator/>
      </w:r>
    </w:p>
  </w:endnote>
  <w:endnote w:type="continuationSeparator" w:id="0">
    <w:p w14:paraId="12DF6CDC" w14:textId="77777777" w:rsidR="001F7D0D" w:rsidRDefault="001F7D0D" w:rsidP="00D560DC">
      <w:pPr>
        <w:spacing w:before="0" w:after="0" w:line="240" w:lineRule="auto"/>
      </w:pPr>
      <w:r>
        <w:continuationSeparator/>
      </w:r>
    </w:p>
  </w:endnote>
  <w:endnote w:type="continuationNotice" w:id="1">
    <w:p w14:paraId="1C03314C" w14:textId="77777777" w:rsidR="001F7D0D" w:rsidRDefault="001F7D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F28" w14:textId="6DD64C12" w:rsidR="00156118" w:rsidRDefault="00156118">
    <w:pPr>
      <w:pStyle w:val="Footer"/>
    </w:pPr>
    <w:r>
      <w:rPr>
        <w:noProof/>
      </w:rPr>
      <mc:AlternateContent>
        <mc:Choice Requires="wps">
          <w:drawing>
            <wp:anchor distT="0" distB="0" distL="0" distR="0" simplePos="0" relativeHeight="251658249" behindDoc="0" locked="0" layoutInCell="1" allowOverlap="1" wp14:anchorId="513141B4" wp14:editId="4CDB413C">
              <wp:simplePos x="635" y="635"/>
              <wp:positionH relativeFrom="page">
                <wp:align>center</wp:align>
              </wp:positionH>
              <wp:positionV relativeFrom="page">
                <wp:align>bottom</wp:align>
              </wp:positionV>
              <wp:extent cx="551815" cy="480695"/>
              <wp:effectExtent l="0" t="0" r="635" b="0"/>
              <wp:wrapNone/>
              <wp:docPr id="19375965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AA1BEB" w14:textId="48FDF7E3"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13141B4">
              <v:stroke joinstyle="miter"/>
              <v:path gradientshapeok="t" o:connecttype="rect"/>
            </v:shapetype>
            <v:shape id="Text Box 5" style="position:absolute;margin-left:0;margin-top:0;width:43.45pt;height:37.85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156118" w:rsidR="00156118" w:rsidP="00156118" w:rsidRDefault="00156118" w14:paraId="70AA1BEB" w14:textId="48FDF7E3">
                    <w:pPr>
                      <w:spacing w:after="0"/>
                      <w:rPr>
                        <w:rFonts w:ascii="Calibri" w:hAnsi="Calibri" w:eastAsia="Calibri" w:cs="Calibri"/>
                        <w:noProof/>
                        <w:color w:val="FF0000"/>
                        <w:sz w:val="24"/>
                        <w:szCs w:val="24"/>
                      </w:rPr>
                    </w:pPr>
                    <w:r w:rsidRPr="00156118">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6563AB6C" w:rsidR="0039793D" w:rsidRPr="00FB2642" w:rsidRDefault="00156118" w:rsidP="00FB2642">
    <w:pPr>
      <w:pStyle w:val="Footer"/>
    </w:pPr>
    <w:r>
      <w:rPr>
        <w:noProof/>
      </w:rPr>
      <mc:AlternateContent>
        <mc:Choice Requires="wps">
          <w:drawing>
            <wp:anchor distT="0" distB="0" distL="0" distR="0" simplePos="0" relativeHeight="251658250" behindDoc="0" locked="0" layoutInCell="1" allowOverlap="1" wp14:anchorId="3BB42B12" wp14:editId="5BDFABE0">
              <wp:simplePos x="647700" y="10201275"/>
              <wp:positionH relativeFrom="page">
                <wp:align>center</wp:align>
              </wp:positionH>
              <wp:positionV relativeFrom="page">
                <wp:align>bottom</wp:align>
              </wp:positionV>
              <wp:extent cx="551815" cy="480695"/>
              <wp:effectExtent l="0" t="0" r="635" b="0"/>
              <wp:wrapNone/>
              <wp:docPr id="92813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F966415" w14:textId="39834FCF" w:rsidR="00156118" w:rsidRPr="00156118" w:rsidRDefault="00156118" w:rsidP="0015611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42B12"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2F966415" w14:textId="39834FCF" w:rsidR="00156118" w:rsidRPr="00156118" w:rsidRDefault="00156118" w:rsidP="00156118">
                    <w:pPr>
                      <w:spacing w:after="0"/>
                      <w:rPr>
                        <w:rFonts w:ascii="Calibri" w:eastAsia="Calibri" w:hAnsi="Calibri" w:cs="Calibri"/>
                        <w:noProof/>
                        <w:color w:val="FF0000"/>
                        <w:sz w:val="24"/>
                        <w:szCs w:val="24"/>
                      </w:rPr>
                    </w:pP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DB5E98">
          <w:t>MyMedicare Program Guidelines</w:t>
        </w:r>
      </w:sdtContent>
    </w:sdt>
    <w:r w:rsidR="00D565F0">
      <w:tab/>
    </w:r>
    <w:r w:rsidR="00D565F0">
      <w:fldChar w:fldCharType="begin"/>
    </w:r>
    <w:r w:rsidR="00D565F0">
      <w:instrText xml:space="preserve"> PAGE   \* MERGEFORMAT </w:instrText>
    </w:r>
    <w:r w:rsidR="00D565F0">
      <w:fldChar w:fldCharType="separate"/>
    </w:r>
    <w:r w:rsidR="00D565F0">
      <w:rPr>
        <w:noProof/>
      </w:rPr>
      <w:t>1</w:t>
    </w:r>
    <w:r w:rsidR="00D565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6DD23186" w:rsidR="0039793D" w:rsidRDefault="00156118" w:rsidP="00F62279">
    <w:pPr>
      <w:ind w:left="284"/>
    </w:pPr>
    <w:r>
      <w:rPr>
        <w:noProof/>
        <w:lang w:eastAsia="en-AU"/>
      </w:rPr>
      <mc:AlternateContent>
        <mc:Choice Requires="wps">
          <w:drawing>
            <wp:anchor distT="0" distB="0" distL="0" distR="0" simplePos="0" relativeHeight="251658248" behindDoc="0" locked="0" layoutInCell="1" allowOverlap="1" wp14:anchorId="33C2C230" wp14:editId="7A5364EE">
              <wp:simplePos x="635" y="635"/>
              <wp:positionH relativeFrom="page">
                <wp:align>center</wp:align>
              </wp:positionH>
              <wp:positionV relativeFrom="page">
                <wp:align>bottom</wp:align>
              </wp:positionV>
              <wp:extent cx="551815" cy="480695"/>
              <wp:effectExtent l="0" t="0" r="635" b="0"/>
              <wp:wrapNone/>
              <wp:docPr id="1587902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A1AF3E" w14:textId="34CCC91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33C2C230">
              <v:stroke joinstyle="miter"/>
              <v:path gradientshapeok="t" o:connecttype="rect"/>
            </v:shapetype>
            <v:shape id="Text Box 4" style="position:absolute;left:0;text-align:left;margin-left:0;margin-top:0;width:43.45pt;height:37.85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v:textbox style="mso-fit-shape-to-text:t" inset="0,0,0,15pt">
                <w:txbxContent>
                  <w:p w:rsidRPr="00156118" w:rsidR="00156118" w:rsidP="00156118" w:rsidRDefault="00156118" w14:paraId="6BA1AF3E" w14:textId="34CCC91F">
                    <w:pPr>
                      <w:spacing w:after="0"/>
                      <w:rPr>
                        <w:rFonts w:ascii="Calibri" w:hAnsi="Calibri" w:eastAsia="Calibri" w:cs="Calibri"/>
                        <w:noProof/>
                        <w:color w:val="FF0000"/>
                        <w:sz w:val="24"/>
                        <w:szCs w:val="24"/>
                      </w:rPr>
                    </w:pPr>
                    <w:r w:rsidRPr="00156118">
                      <w:rPr>
                        <w:rFonts w:ascii="Calibri" w:hAnsi="Calibri" w:eastAsia="Calibri" w:cs="Calibri"/>
                        <w:noProof/>
                        <w:color w:val="FF0000"/>
                        <w:sz w:val="24"/>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 id="Text Box 20"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CzIoqQbAgAALQQAAA4AAAAAAAAAAAAAAAAALgIAAGRycy9lMm9Eb2MueG1sUEsB&#10;Ai0AFAAGAAgAAAAhAKY8AZ/hAAAADwEAAA8AAAAAAAAAAAAAAAAAdQQAAGRycy9kb3ducmV2Lnht&#10;bFBLBQYAAAAABAAEAPMAAACDBQAAAAA=&#10;" w14:anchorId="276ED6EB">
              <v:textbox inset="0,0,18mm,5mm">
                <w:txbxContent>
                  <w:p w:rsidR="0039793D" w:rsidP="0039793D" w:rsidRDefault="0039793D" w14:paraId="266D60E5"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392F2669"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1240622049" name="Picture 1240622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DB5E98">
          <w:t>MyMedicare Program Guidelines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3969" w14:textId="77777777" w:rsidR="001F7D0D" w:rsidRDefault="001F7D0D" w:rsidP="00D560DC">
      <w:pPr>
        <w:spacing w:before="0" w:after="0" w:line="240" w:lineRule="auto"/>
      </w:pPr>
      <w:r>
        <w:separator/>
      </w:r>
    </w:p>
  </w:footnote>
  <w:footnote w:type="continuationSeparator" w:id="0">
    <w:p w14:paraId="74B17314" w14:textId="77777777" w:rsidR="001F7D0D" w:rsidRDefault="001F7D0D" w:rsidP="00D560DC">
      <w:pPr>
        <w:spacing w:before="0" w:after="0" w:line="240" w:lineRule="auto"/>
      </w:pPr>
      <w:r>
        <w:continuationSeparator/>
      </w:r>
    </w:p>
  </w:footnote>
  <w:footnote w:type="continuationNotice" w:id="1">
    <w:p w14:paraId="3B6D9916" w14:textId="77777777" w:rsidR="001F7D0D" w:rsidRPr="00FB2642" w:rsidRDefault="001F7D0D" w:rsidP="00FB2642">
      <w:pPr>
        <w:pStyle w:val="Footer"/>
      </w:pPr>
    </w:p>
  </w:footnote>
  <w:footnote w:id="2">
    <w:p w14:paraId="4D92F680" w14:textId="6DCFF994" w:rsidR="00932197" w:rsidRDefault="00932197" w:rsidP="00932197">
      <w:pPr>
        <w:pStyle w:val="FootnoteText"/>
      </w:pPr>
      <w:r>
        <w:rPr>
          <w:rStyle w:val="FootnoteReference"/>
        </w:rPr>
        <w:footnoteRef/>
      </w:r>
      <w:r>
        <w:t xml:space="preserve"> Program information on General Practice in Aged Care Incentive can be access</w:t>
      </w:r>
      <w:r w:rsidR="00216277">
        <w:t>ed</w:t>
      </w:r>
      <w:r>
        <w:t xml:space="preserve"> </w:t>
      </w:r>
      <w:hyperlink r:id="rId1" w:history="1">
        <w:r w:rsidRPr="000B6206">
          <w:rPr>
            <w:rStyle w:val="Hyperlink"/>
            <w:rFonts w:asciiTheme="minorHAnsi" w:hAnsiTheme="minorHAnsi"/>
          </w:rPr>
          <w:t>here</w:t>
        </w:r>
      </w:hyperlink>
    </w:p>
  </w:footnote>
  <w:footnote w:id="3">
    <w:p w14:paraId="7B28008E" w14:textId="693F6007" w:rsidR="00AB2C3D" w:rsidRDefault="00AB2C3D" w:rsidP="00AB2C3D">
      <w:pPr>
        <w:pStyle w:val="FootnoteText"/>
      </w:pPr>
      <w:r>
        <w:rPr>
          <w:rStyle w:val="FootnoteReference"/>
        </w:rPr>
        <w:footnoteRef/>
      </w:r>
      <w:r>
        <w:t xml:space="preserve"> The definition of a general practice for the purpose of accreditation can be assessed </w:t>
      </w:r>
      <w:hyperlink r:id="rId2" w:history="1">
        <w:r w:rsidRPr="000B5311">
          <w:rPr>
            <w:rStyle w:val="Hyperlink"/>
            <w:rFonts w:asciiTheme="minorHAnsi" w:hAnsiTheme="minorHAnsi"/>
          </w:rPr>
          <w:t>here</w:t>
        </w:r>
      </w:hyperlink>
    </w:p>
  </w:footnote>
  <w:footnote w:id="4">
    <w:p w14:paraId="7FA9FAB8" w14:textId="6127F4D4" w:rsidR="00E11660" w:rsidRDefault="00E11660">
      <w:pPr>
        <w:pStyle w:val="FootnoteText"/>
      </w:pPr>
      <w:r>
        <w:rPr>
          <w:rStyle w:val="FootnoteReference"/>
        </w:rPr>
        <w:footnoteRef/>
      </w:r>
      <w:r>
        <w:t xml:space="preserve"> </w:t>
      </w:r>
      <w:r w:rsidR="009F30A4">
        <w:t>Information and r</w:t>
      </w:r>
      <w:r w:rsidR="0048355B">
        <w:t xml:space="preserve">equests for extensions </w:t>
      </w:r>
      <w:r w:rsidR="009F30A4">
        <w:t>or</w:t>
      </w:r>
      <w:r w:rsidR="0048355B">
        <w:t xml:space="preserve"> appeals under the NGPA Scheme can be access</w:t>
      </w:r>
      <w:r w:rsidR="00D40ECA">
        <w:t>ed</w:t>
      </w:r>
      <w:r w:rsidR="0048355B">
        <w:t xml:space="preserve"> </w:t>
      </w:r>
      <w:hyperlink r:id="rId3" w:history="1">
        <w:r w:rsidR="00921DA9" w:rsidRPr="006C7CB4">
          <w:rPr>
            <w:rStyle w:val="Hyperlink"/>
            <w:rFonts w:asciiTheme="minorHAnsi" w:hAnsiTheme="minorHAnsi"/>
            <w:color w:val="176CB5"/>
          </w:rPr>
          <w:t>here</w:t>
        </w:r>
      </w:hyperlink>
      <w:r w:rsidR="00C10531">
        <w:t>.</w:t>
      </w:r>
      <w:r w:rsidR="00921DA9">
        <w:rPr>
          <w:rStyle w:val="Hyperlink"/>
          <w:rFonts w:asciiTheme="minorHAnsi" w:hAnsiTheme="minorHAnsi"/>
          <w:color w:val="176CB5"/>
        </w:rPr>
        <w:t xml:space="preserve"> </w:t>
      </w:r>
      <w:r w:rsidR="00921DA9">
        <w:t xml:space="preserve"> </w:t>
      </w:r>
    </w:p>
  </w:footnote>
  <w:footnote w:id="5">
    <w:p w14:paraId="76C56F1B" w14:textId="4070C50A" w:rsidR="00B50AD6" w:rsidRDefault="00B50AD6" w:rsidP="00B50AD6">
      <w:pPr>
        <w:pStyle w:val="FootnoteText"/>
      </w:pPr>
      <w:r>
        <w:rPr>
          <w:rStyle w:val="FootnoteReference"/>
        </w:rPr>
        <w:footnoteRef/>
      </w:r>
      <w:r>
        <w:t xml:space="preserve"> Requests for extensions to the department can be sent </w:t>
      </w:r>
      <w:hyperlink r:id="rId4" w:history="1">
        <w:r w:rsidRPr="00EF6E89">
          <w:rPr>
            <w:rStyle w:val="Hyperlink"/>
            <w:rFonts w:asciiTheme="minorHAnsi" w:hAnsiTheme="minorHAnsi"/>
            <w:color w:val="176CB5"/>
          </w:rPr>
          <w:t>here</w:t>
        </w:r>
      </w:hyperlink>
      <w:r w:rsidR="00C10531">
        <w:t>.</w:t>
      </w:r>
    </w:p>
  </w:footnote>
  <w:footnote w:id="6">
    <w:p w14:paraId="4A378C3A" w14:textId="39033E1F" w:rsidR="007524D3" w:rsidRDefault="007524D3">
      <w:pPr>
        <w:pStyle w:val="FootnoteText"/>
      </w:pPr>
      <w:r>
        <w:rPr>
          <w:rStyle w:val="FootnoteReference"/>
        </w:rPr>
        <w:footnoteRef/>
      </w:r>
      <w:r>
        <w:t xml:space="preserve"> </w:t>
      </w:r>
      <w:r w:rsidR="00827F58">
        <w:t xml:space="preserve">The </w:t>
      </w:r>
      <w:r w:rsidR="00827F58" w:rsidRPr="00520BB8">
        <w:rPr>
          <w:i/>
        </w:rPr>
        <w:t xml:space="preserve">RACGP </w:t>
      </w:r>
      <w:r w:rsidR="001C45B4" w:rsidRPr="00520BB8">
        <w:rPr>
          <w:i/>
        </w:rPr>
        <w:t>Standards for General Practices</w:t>
      </w:r>
      <w:r w:rsidR="001C45B4">
        <w:t xml:space="preserve"> can be found </w:t>
      </w:r>
      <w:hyperlink r:id="rId5" w:history="1">
        <w:r w:rsidR="001C45B4" w:rsidRPr="004D5C4B">
          <w:rPr>
            <w:rStyle w:val="Hyperlink"/>
            <w:rFonts w:asciiTheme="minorHAnsi" w:hAnsiTheme="minorHAnsi"/>
          </w:rPr>
          <w:t>here</w:t>
        </w:r>
      </w:hyperlink>
      <w:r w:rsidR="001C45B4">
        <w:t>.</w:t>
      </w:r>
    </w:p>
  </w:footnote>
  <w:footnote w:id="7">
    <w:p w14:paraId="105E34CD" w14:textId="77777777" w:rsidR="00AE037C" w:rsidRDefault="00AE037C" w:rsidP="00AE037C">
      <w:pPr>
        <w:pStyle w:val="FootnoteText"/>
      </w:pPr>
      <w:r>
        <w:rPr>
          <w:rStyle w:val="FootnoteReference"/>
        </w:rPr>
        <w:footnoteRef/>
      </w:r>
      <w:r>
        <w:t xml:space="preserve"> The Australian Government’s </w:t>
      </w:r>
      <w:r w:rsidRPr="0036752F">
        <w:rPr>
          <w:i/>
          <w:iCs/>
        </w:rPr>
        <w:t>Administrative Recording Keeping Guidelines for Health Professionals</w:t>
      </w:r>
      <w:r>
        <w:t xml:space="preserve"> can be found </w:t>
      </w:r>
      <w:hyperlink r:id="rId6" w:history="1">
        <w:r w:rsidRPr="001B6752">
          <w:rPr>
            <w:rStyle w:val="Hyperlink"/>
            <w:rFonts w:asciiTheme="minorHAnsi" w:hAnsiTheme="minorHAnsi"/>
          </w:rPr>
          <w:t>here</w:t>
        </w:r>
      </w:hyperlink>
      <w:r>
        <w:t>.</w:t>
      </w:r>
    </w:p>
  </w:footnote>
  <w:footnote w:id="8">
    <w:p w14:paraId="107E8F36" w14:textId="77777777" w:rsidR="004326F1" w:rsidRDefault="004326F1" w:rsidP="004326F1">
      <w:pPr>
        <w:pStyle w:val="FootnoteText"/>
      </w:pPr>
      <w:r>
        <w:rPr>
          <w:rStyle w:val="FootnoteReference"/>
        </w:rPr>
        <w:footnoteRef/>
      </w:r>
      <w:r>
        <w:t xml:space="preserve"> Medicare representative information can be accessed </w:t>
      </w:r>
      <w:hyperlink r:id="rId7" w:history="1">
        <w:r w:rsidRPr="009801BF">
          <w:rPr>
            <w:rStyle w:val="Hyperlink"/>
            <w:rFonts w:asciiTheme="minorHAnsi" w:hAnsiTheme="minorHAnsi"/>
          </w:rPr>
          <w:t>here</w:t>
        </w:r>
      </w:hyperlink>
    </w:p>
  </w:footnote>
  <w:footnote w:id="9">
    <w:p w14:paraId="075E434D" w14:textId="40575D7C" w:rsidR="00B91DA0" w:rsidDel="006D55A9" w:rsidRDefault="00B91D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A63" w14:textId="5A089336" w:rsidR="00156118" w:rsidRDefault="00156118">
    <w:pPr>
      <w:pStyle w:val="Header"/>
    </w:pPr>
    <w:r>
      <w:rPr>
        <w:noProof/>
      </w:rPr>
      <mc:AlternateContent>
        <mc:Choice Requires="wps">
          <w:drawing>
            <wp:anchor distT="0" distB="0" distL="0" distR="0" simplePos="0" relativeHeight="251658246" behindDoc="0" locked="0" layoutInCell="1" allowOverlap="1" wp14:anchorId="16046293" wp14:editId="4734FB8B">
              <wp:simplePos x="635" y="635"/>
              <wp:positionH relativeFrom="page">
                <wp:align>center</wp:align>
              </wp:positionH>
              <wp:positionV relativeFrom="page">
                <wp:align>top</wp:align>
              </wp:positionV>
              <wp:extent cx="551815" cy="480695"/>
              <wp:effectExtent l="0" t="0" r="635" b="14605"/>
              <wp:wrapNone/>
              <wp:docPr id="2043835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0BA942" w14:textId="19692C09"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6046293">
              <v:stroke joinstyle="miter"/>
              <v:path gradientshapeok="t" o:connecttype="rect"/>
            </v:shapetype>
            <v:shape id="Text Box 2"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156118" w:rsidR="00156118" w:rsidP="00156118" w:rsidRDefault="00156118" w14:paraId="4B0BA942" w14:textId="19692C09">
                    <w:pPr>
                      <w:spacing w:after="0"/>
                      <w:rPr>
                        <w:rFonts w:ascii="Calibri" w:hAnsi="Calibri" w:eastAsia="Calibri" w:cs="Calibri"/>
                        <w:noProof/>
                        <w:color w:val="FF0000"/>
                        <w:sz w:val="24"/>
                        <w:szCs w:val="24"/>
                      </w:rPr>
                    </w:pPr>
                    <w:r w:rsidRPr="00156118">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4376425E" w:rsidR="00D560DC" w:rsidRDefault="00156118" w:rsidP="004963FC">
    <w:pPr>
      <w:pStyle w:val="Header"/>
      <w:spacing w:after="1400"/>
    </w:pPr>
    <w:r>
      <w:rPr>
        <w:noProof/>
      </w:rPr>
      <mc:AlternateContent>
        <mc:Choice Requires="wps">
          <w:drawing>
            <wp:anchor distT="0" distB="0" distL="0" distR="0" simplePos="0" relativeHeight="251658247" behindDoc="0" locked="0" layoutInCell="1" allowOverlap="1" wp14:anchorId="2ADCEE1C" wp14:editId="46E0F3D6">
              <wp:simplePos x="647700" y="361950"/>
              <wp:positionH relativeFrom="page">
                <wp:align>center</wp:align>
              </wp:positionH>
              <wp:positionV relativeFrom="page">
                <wp:align>top</wp:align>
              </wp:positionV>
              <wp:extent cx="551815" cy="480695"/>
              <wp:effectExtent l="0" t="0" r="635" b="14605"/>
              <wp:wrapNone/>
              <wp:docPr id="13614875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037B0B2" w14:textId="56431DA3" w:rsidR="00156118" w:rsidRPr="00156118" w:rsidRDefault="00156118" w:rsidP="0015611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CEE1C"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037B0B2" w14:textId="56431DA3" w:rsidR="00156118" w:rsidRPr="00156118" w:rsidRDefault="00156118" w:rsidP="00156118">
                    <w:pPr>
                      <w:spacing w:after="0"/>
                      <w:rPr>
                        <w:rFonts w:ascii="Calibri" w:eastAsia="Calibri" w:hAnsi="Calibri" w:cs="Calibri"/>
                        <w:noProof/>
                        <w:color w:val="FF0000"/>
                        <w:sz w:val="24"/>
                        <w:szCs w:val="24"/>
                      </w:rPr>
                    </w:pPr>
                  </w:p>
                </w:txbxContent>
              </v:textbox>
              <w10:wrap anchorx="page" anchory="page"/>
            </v:shape>
          </w:pict>
        </mc:Fallback>
      </mc:AlternateContent>
    </w:r>
    <w:r w:rsidR="00D565F0">
      <w:rPr>
        <w:noProof/>
      </w:rPr>
      <w:drawing>
        <wp:anchor distT="0" distB="0" distL="114300" distR="114300" simplePos="0" relativeHeight="251658244" behindDoc="1" locked="0" layoutInCell="1" allowOverlap="1" wp14:anchorId="52E04669" wp14:editId="74A85C6E">
          <wp:simplePos x="0" y="0"/>
          <wp:positionH relativeFrom="column">
            <wp:posOffset>4191773</wp:posOffset>
          </wp:positionH>
          <wp:positionV relativeFrom="paragraph">
            <wp:posOffset>-121810</wp:posOffset>
          </wp:positionV>
          <wp:extent cx="2466975" cy="647700"/>
          <wp:effectExtent l="0" t="0" r="9525" b="0"/>
          <wp:wrapNone/>
          <wp:docPr id="13448125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251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6975" cy="647700"/>
                  </a:xfrm>
                  <a:prstGeom prst="rect">
                    <a:avLst/>
                  </a:prstGeom>
                </pic:spPr>
              </pic:pic>
            </a:graphicData>
          </a:graphic>
        </wp:anchor>
      </w:drawing>
    </w:r>
    <w:r w:rsidR="004963FC">
      <w:rPr>
        <w:noProof/>
      </w:rPr>
      <w:drawing>
        <wp:anchor distT="0" distB="0" distL="114300" distR="114300" simplePos="0" relativeHeight="251658243"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386670444" name="Picture 386670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02E0CC71" w:rsidR="00D560DC" w:rsidRPr="00D560DC" w:rsidRDefault="00156118" w:rsidP="004A500A">
    <w:pPr>
      <w:pStyle w:val="Header"/>
      <w:spacing w:after="1200"/>
    </w:pPr>
    <w:r>
      <w:rPr>
        <w:noProof/>
      </w:rPr>
      <mc:AlternateContent>
        <mc:Choice Requires="wps">
          <w:drawing>
            <wp:anchor distT="0" distB="0" distL="0" distR="0" simplePos="0" relativeHeight="251658245" behindDoc="0" locked="0" layoutInCell="1" allowOverlap="1" wp14:anchorId="050FB730" wp14:editId="6EC695A7">
              <wp:simplePos x="635" y="635"/>
              <wp:positionH relativeFrom="page">
                <wp:align>center</wp:align>
              </wp:positionH>
              <wp:positionV relativeFrom="page">
                <wp:align>top</wp:align>
              </wp:positionV>
              <wp:extent cx="551815" cy="480695"/>
              <wp:effectExtent l="0" t="0" r="635" b="14605"/>
              <wp:wrapNone/>
              <wp:docPr id="13064542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D5D4A6" w14:textId="7B4BD4F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050FB730">
              <v:stroke joinstyle="miter"/>
              <v:path gradientshapeok="t" o:connecttype="rect"/>
            </v:shapetype>
            <v:shape id="Text Box 1"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v:textbox style="mso-fit-shape-to-text:t" inset="0,15pt,0,0">
                <w:txbxContent>
                  <w:p w:rsidRPr="00156118" w:rsidR="00156118" w:rsidP="00156118" w:rsidRDefault="00156118" w14:paraId="59D5D4A6" w14:textId="7B4BD4FF">
                    <w:pPr>
                      <w:spacing w:after="0"/>
                      <w:rPr>
                        <w:rFonts w:ascii="Calibri" w:hAnsi="Calibri" w:eastAsia="Calibri" w:cs="Calibri"/>
                        <w:noProof/>
                        <w:color w:val="FF0000"/>
                        <w:sz w:val="24"/>
                        <w:szCs w:val="24"/>
                      </w:rPr>
                    </w:pPr>
                    <w:r w:rsidRPr="00156118">
                      <w:rPr>
                        <w:rFonts w:ascii="Calibri" w:hAnsi="Calibri" w:eastAsia="Calibri" w:cs="Calibri"/>
                        <w:noProof/>
                        <w:color w:val="FF0000"/>
                        <w:sz w:val="24"/>
                        <w:szCs w:val="24"/>
                      </w:rPr>
                      <w:t>OFFICIAL</w:t>
                    </w:r>
                  </w:p>
                </w:txbxContent>
              </v:textbox>
              <w10:wrap anchorx="page" anchory="page"/>
            </v:shape>
          </w:pict>
        </mc:Fallback>
      </mc:AlternateContent>
    </w:r>
    <w:r w:rsidR="004A500A">
      <w:rPr>
        <w:noProof/>
      </w:rPr>
      <w:drawing>
        <wp:anchor distT="0" distB="0" distL="114300" distR="114300" simplePos="0" relativeHeight="251658242"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827569503" name="Picture 1827569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E4F7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0809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174DB"/>
    <w:multiLevelType w:val="multilevel"/>
    <w:tmpl w:val="948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E0DA7"/>
    <w:multiLevelType w:val="multilevel"/>
    <w:tmpl w:val="C11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C1CAF"/>
    <w:multiLevelType w:val="multilevel"/>
    <w:tmpl w:val="428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C5D06"/>
    <w:multiLevelType w:val="multilevel"/>
    <w:tmpl w:val="46186146"/>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09646D7"/>
    <w:multiLevelType w:val="hybridMultilevel"/>
    <w:tmpl w:val="BC70B26E"/>
    <w:lvl w:ilvl="0" w:tplc="4D481F9C">
      <w:start w:val="1"/>
      <w:numFmt w:val="bullet"/>
      <w:pStyle w:val="Subheading-Guidelines"/>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DFC4E9"/>
    <w:multiLevelType w:val="hybridMultilevel"/>
    <w:tmpl w:val="97E49522"/>
    <w:lvl w:ilvl="0" w:tplc="E396A13E">
      <w:start w:val="1"/>
      <w:numFmt w:val="bullet"/>
      <w:lvlText w:val="·"/>
      <w:lvlJc w:val="left"/>
      <w:pPr>
        <w:ind w:left="720" w:hanging="360"/>
      </w:pPr>
      <w:rPr>
        <w:rFonts w:ascii="Symbol" w:hAnsi="Symbol" w:hint="default"/>
      </w:rPr>
    </w:lvl>
    <w:lvl w:ilvl="1" w:tplc="76E6E4CA">
      <w:start w:val="1"/>
      <w:numFmt w:val="bullet"/>
      <w:lvlText w:val="o"/>
      <w:lvlJc w:val="left"/>
      <w:pPr>
        <w:ind w:left="1440" w:hanging="360"/>
      </w:pPr>
      <w:rPr>
        <w:rFonts w:ascii="Courier New" w:hAnsi="Courier New" w:hint="default"/>
      </w:rPr>
    </w:lvl>
    <w:lvl w:ilvl="2" w:tplc="AE06C3DC">
      <w:start w:val="1"/>
      <w:numFmt w:val="bullet"/>
      <w:lvlText w:val=""/>
      <w:lvlJc w:val="left"/>
      <w:pPr>
        <w:ind w:left="2160" w:hanging="360"/>
      </w:pPr>
      <w:rPr>
        <w:rFonts w:ascii="Wingdings" w:hAnsi="Wingdings" w:hint="default"/>
      </w:rPr>
    </w:lvl>
    <w:lvl w:ilvl="3" w:tplc="41889300">
      <w:start w:val="1"/>
      <w:numFmt w:val="bullet"/>
      <w:lvlText w:val=""/>
      <w:lvlJc w:val="left"/>
      <w:pPr>
        <w:ind w:left="2880" w:hanging="360"/>
      </w:pPr>
      <w:rPr>
        <w:rFonts w:ascii="Symbol" w:hAnsi="Symbol" w:hint="default"/>
      </w:rPr>
    </w:lvl>
    <w:lvl w:ilvl="4" w:tplc="D8D054E2">
      <w:start w:val="1"/>
      <w:numFmt w:val="bullet"/>
      <w:lvlText w:val="o"/>
      <w:lvlJc w:val="left"/>
      <w:pPr>
        <w:ind w:left="3600" w:hanging="360"/>
      </w:pPr>
      <w:rPr>
        <w:rFonts w:ascii="Courier New" w:hAnsi="Courier New" w:hint="default"/>
      </w:rPr>
    </w:lvl>
    <w:lvl w:ilvl="5" w:tplc="DFD47924">
      <w:start w:val="1"/>
      <w:numFmt w:val="bullet"/>
      <w:lvlText w:val=""/>
      <w:lvlJc w:val="left"/>
      <w:pPr>
        <w:ind w:left="4320" w:hanging="360"/>
      </w:pPr>
      <w:rPr>
        <w:rFonts w:ascii="Wingdings" w:hAnsi="Wingdings" w:hint="default"/>
      </w:rPr>
    </w:lvl>
    <w:lvl w:ilvl="6" w:tplc="FD22872C">
      <w:start w:val="1"/>
      <w:numFmt w:val="bullet"/>
      <w:lvlText w:val=""/>
      <w:lvlJc w:val="left"/>
      <w:pPr>
        <w:ind w:left="5040" w:hanging="360"/>
      </w:pPr>
      <w:rPr>
        <w:rFonts w:ascii="Symbol" w:hAnsi="Symbol" w:hint="default"/>
      </w:rPr>
    </w:lvl>
    <w:lvl w:ilvl="7" w:tplc="2C9EF6C0">
      <w:start w:val="1"/>
      <w:numFmt w:val="bullet"/>
      <w:lvlText w:val="o"/>
      <w:lvlJc w:val="left"/>
      <w:pPr>
        <w:ind w:left="5760" w:hanging="360"/>
      </w:pPr>
      <w:rPr>
        <w:rFonts w:ascii="Courier New" w:hAnsi="Courier New" w:hint="default"/>
      </w:rPr>
    </w:lvl>
    <w:lvl w:ilvl="8" w:tplc="B994E74A">
      <w:start w:val="1"/>
      <w:numFmt w:val="bullet"/>
      <w:lvlText w:val=""/>
      <w:lvlJc w:val="left"/>
      <w:pPr>
        <w:ind w:left="6480" w:hanging="360"/>
      </w:pPr>
      <w:rPr>
        <w:rFonts w:ascii="Wingdings" w:hAnsi="Wingdings" w:hint="default"/>
      </w:rPr>
    </w:lvl>
  </w:abstractNum>
  <w:abstractNum w:abstractNumId="8" w15:restartNumberingAfterBreak="0">
    <w:nsid w:val="2C5E5AAD"/>
    <w:multiLevelType w:val="hybridMultilevel"/>
    <w:tmpl w:val="711824BC"/>
    <w:lvl w:ilvl="0" w:tplc="C02C0050">
      <w:start w:val="1"/>
      <w:numFmt w:val="bullet"/>
      <w:lvlText w:val="·"/>
      <w:lvlJc w:val="left"/>
      <w:pPr>
        <w:ind w:left="720" w:hanging="360"/>
      </w:pPr>
      <w:rPr>
        <w:rFonts w:ascii="Symbol" w:hAnsi="Symbol" w:hint="default"/>
      </w:rPr>
    </w:lvl>
    <w:lvl w:ilvl="1" w:tplc="4D9608CA">
      <w:start w:val="1"/>
      <w:numFmt w:val="bullet"/>
      <w:lvlText w:val="o"/>
      <w:lvlJc w:val="left"/>
      <w:pPr>
        <w:ind w:left="1440" w:hanging="360"/>
      </w:pPr>
      <w:rPr>
        <w:rFonts w:ascii="Courier New" w:hAnsi="Courier New" w:hint="default"/>
      </w:rPr>
    </w:lvl>
    <w:lvl w:ilvl="2" w:tplc="9F561B3A">
      <w:start w:val="1"/>
      <w:numFmt w:val="bullet"/>
      <w:lvlText w:val=""/>
      <w:lvlJc w:val="left"/>
      <w:pPr>
        <w:ind w:left="2160" w:hanging="360"/>
      </w:pPr>
      <w:rPr>
        <w:rFonts w:ascii="Wingdings" w:hAnsi="Wingdings" w:hint="default"/>
      </w:rPr>
    </w:lvl>
    <w:lvl w:ilvl="3" w:tplc="EDA4489C">
      <w:start w:val="1"/>
      <w:numFmt w:val="bullet"/>
      <w:lvlText w:val=""/>
      <w:lvlJc w:val="left"/>
      <w:pPr>
        <w:ind w:left="2880" w:hanging="360"/>
      </w:pPr>
      <w:rPr>
        <w:rFonts w:ascii="Symbol" w:hAnsi="Symbol" w:hint="default"/>
      </w:rPr>
    </w:lvl>
    <w:lvl w:ilvl="4" w:tplc="02246B2E">
      <w:start w:val="1"/>
      <w:numFmt w:val="bullet"/>
      <w:lvlText w:val="o"/>
      <w:lvlJc w:val="left"/>
      <w:pPr>
        <w:ind w:left="3600" w:hanging="360"/>
      </w:pPr>
      <w:rPr>
        <w:rFonts w:ascii="Courier New" w:hAnsi="Courier New" w:hint="default"/>
      </w:rPr>
    </w:lvl>
    <w:lvl w:ilvl="5" w:tplc="28A22DC0">
      <w:start w:val="1"/>
      <w:numFmt w:val="bullet"/>
      <w:lvlText w:val=""/>
      <w:lvlJc w:val="left"/>
      <w:pPr>
        <w:ind w:left="4320" w:hanging="360"/>
      </w:pPr>
      <w:rPr>
        <w:rFonts w:ascii="Wingdings" w:hAnsi="Wingdings" w:hint="default"/>
      </w:rPr>
    </w:lvl>
    <w:lvl w:ilvl="6" w:tplc="6FB277D8">
      <w:start w:val="1"/>
      <w:numFmt w:val="bullet"/>
      <w:lvlText w:val=""/>
      <w:lvlJc w:val="left"/>
      <w:pPr>
        <w:ind w:left="5040" w:hanging="360"/>
      </w:pPr>
      <w:rPr>
        <w:rFonts w:ascii="Symbol" w:hAnsi="Symbol" w:hint="default"/>
      </w:rPr>
    </w:lvl>
    <w:lvl w:ilvl="7" w:tplc="2E0AA6C0">
      <w:start w:val="1"/>
      <w:numFmt w:val="bullet"/>
      <w:lvlText w:val="o"/>
      <w:lvlJc w:val="left"/>
      <w:pPr>
        <w:ind w:left="5760" w:hanging="360"/>
      </w:pPr>
      <w:rPr>
        <w:rFonts w:ascii="Courier New" w:hAnsi="Courier New" w:hint="default"/>
      </w:rPr>
    </w:lvl>
    <w:lvl w:ilvl="8" w:tplc="90CC7FA4">
      <w:start w:val="1"/>
      <w:numFmt w:val="bullet"/>
      <w:lvlText w:val=""/>
      <w:lvlJc w:val="left"/>
      <w:pPr>
        <w:ind w:left="6480" w:hanging="360"/>
      </w:pPr>
      <w:rPr>
        <w:rFonts w:ascii="Wingdings" w:hAnsi="Wingdings" w:hint="default"/>
      </w:rPr>
    </w:lvl>
  </w:abstractNum>
  <w:abstractNum w:abstractNumId="9" w15:restartNumberingAfterBreak="0">
    <w:nsid w:val="31927945"/>
    <w:multiLevelType w:val="multilevel"/>
    <w:tmpl w:val="42D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25C02"/>
    <w:multiLevelType w:val="multilevel"/>
    <w:tmpl w:val="E3C0B744"/>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38FA1E09"/>
    <w:multiLevelType w:val="multilevel"/>
    <w:tmpl w:val="E42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A269F"/>
    <w:multiLevelType w:val="multilevel"/>
    <w:tmpl w:val="CA2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D5A56"/>
    <w:multiLevelType w:val="hybridMultilevel"/>
    <w:tmpl w:val="DB1AECD4"/>
    <w:lvl w:ilvl="0" w:tplc="8A36A97C">
      <w:start w:val="1"/>
      <w:numFmt w:val="decimal"/>
      <w:pStyle w:val="Guidelinessub-sub"/>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9C6CEC"/>
    <w:multiLevelType w:val="hybridMultilevel"/>
    <w:tmpl w:val="BC661D82"/>
    <w:lvl w:ilvl="0" w:tplc="8836FA50">
      <w:start w:val="1"/>
      <w:numFmt w:val="bullet"/>
      <w:lvlText w:val="·"/>
      <w:lvlJc w:val="left"/>
      <w:pPr>
        <w:ind w:left="720" w:hanging="360"/>
      </w:pPr>
      <w:rPr>
        <w:rFonts w:ascii="Symbol" w:hAnsi="Symbol" w:hint="default"/>
      </w:rPr>
    </w:lvl>
    <w:lvl w:ilvl="1" w:tplc="51AE0EBE">
      <w:start w:val="1"/>
      <w:numFmt w:val="bullet"/>
      <w:lvlText w:val="o"/>
      <w:lvlJc w:val="left"/>
      <w:pPr>
        <w:ind w:left="1440" w:hanging="360"/>
      </w:pPr>
      <w:rPr>
        <w:rFonts w:ascii="Courier New" w:hAnsi="Courier New" w:hint="default"/>
      </w:rPr>
    </w:lvl>
    <w:lvl w:ilvl="2" w:tplc="E00CD2F0">
      <w:start w:val="1"/>
      <w:numFmt w:val="bullet"/>
      <w:lvlText w:val=""/>
      <w:lvlJc w:val="left"/>
      <w:pPr>
        <w:ind w:left="2160" w:hanging="360"/>
      </w:pPr>
      <w:rPr>
        <w:rFonts w:ascii="Wingdings" w:hAnsi="Wingdings" w:hint="default"/>
      </w:rPr>
    </w:lvl>
    <w:lvl w:ilvl="3" w:tplc="BE741992">
      <w:start w:val="1"/>
      <w:numFmt w:val="bullet"/>
      <w:lvlText w:val=""/>
      <w:lvlJc w:val="left"/>
      <w:pPr>
        <w:ind w:left="2880" w:hanging="360"/>
      </w:pPr>
      <w:rPr>
        <w:rFonts w:ascii="Symbol" w:hAnsi="Symbol" w:hint="default"/>
      </w:rPr>
    </w:lvl>
    <w:lvl w:ilvl="4" w:tplc="78A27164">
      <w:start w:val="1"/>
      <w:numFmt w:val="bullet"/>
      <w:lvlText w:val="o"/>
      <w:lvlJc w:val="left"/>
      <w:pPr>
        <w:ind w:left="3600" w:hanging="360"/>
      </w:pPr>
      <w:rPr>
        <w:rFonts w:ascii="Courier New" w:hAnsi="Courier New" w:hint="default"/>
      </w:rPr>
    </w:lvl>
    <w:lvl w:ilvl="5" w:tplc="A42CAE6A">
      <w:start w:val="1"/>
      <w:numFmt w:val="bullet"/>
      <w:lvlText w:val=""/>
      <w:lvlJc w:val="left"/>
      <w:pPr>
        <w:ind w:left="4320" w:hanging="360"/>
      </w:pPr>
      <w:rPr>
        <w:rFonts w:ascii="Wingdings" w:hAnsi="Wingdings" w:hint="default"/>
      </w:rPr>
    </w:lvl>
    <w:lvl w:ilvl="6" w:tplc="966C4E98">
      <w:start w:val="1"/>
      <w:numFmt w:val="bullet"/>
      <w:lvlText w:val=""/>
      <w:lvlJc w:val="left"/>
      <w:pPr>
        <w:ind w:left="5040" w:hanging="360"/>
      </w:pPr>
      <w:rPr>
        <w:rFonts w:ascii="Symbol" w:hAnsi="Symbol" w:hint="default"/>
      </w:rPr>
    </w:lvl>
    <w:lvl w:ilvl="7" w:tplc="6E400BA4">
      <w:start w:val="1"/>
      <w:numFmt w:val="bullet"/>
      <w:lvlText w:val="o"/>
      <w:lvlJc w:val="left"/>
      <w:pPr>
        <w:ind w:left="5760" w:hanging="360"/>
      </w:pPr>
      <w:rPr>
        <w:rFonts w:ascii="Courier New" w:hAnsi="Courier New" w:hint="default"/>
      </w:rPr>
    </w:lvl>
    <w:lvl w:ilvl="8" w:tplc="00BEDC88">
      <w:start w:val="1"/>
      <w:numFmt w:val="bullet"/>
      <w:lvlText w:val=""/>
      <w:lvlJc w:val="left"/>
      <w:pPr>
        <w:ind w:left="6480" w:hanging="360"/>
      </w:pPr>
      <w:rPr>
        <w:rFonts w:ascii="Wingdings" w:hAnsi="Wingdings" w:hint="default"/>
      </w:rPr>
    </w:lvl>
  </w:abstractNum>
  <w:abstractNum w:abstractNumId="15" w15:restartNumberingAfterBreak="0">
    <w:nsid w:val="580804CB"/>
    <w:multiLevelType w:val="multilevel"/>
    <w:tmpl w:val="F9FE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24627C"/>
    <w:multiLevelType w:val="multilevel"/>
    <w:tmpl w:val="D8E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163E6"/>
    <w:multiLevelType w:val="multilevel"/>
    <w:tmpl w:val="6ED6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7EDA7E"/>
    <w:multiLevelType w:val="hybridMultilevel"/>
    <w:tmpl w:val="03A64C94"/>
    <w:lvl w:ilvl="0" w:tplc="19DA2106">
      <w:start w:val="1"/>
      <w:numFmt w:val="bullet"/>
      <w:lvlText w:val="·"/>
      <w:lvlJc w:val="left"/>
      <w:pPr>
        <w:ind w:left="720" w:hanging="360"/>
      </w:pPr>
      <w:rPr>
        <w:rFonts w:ascii="Symbol" w:hAnsi="Symbol" w:hint="default"/>
      </w:rPr>
    </w:lvl>
    <w:lvl w:ilvl="1" w:tplc="62A0201C">
      <w:start w:val="1"/>
      <w:numFmt w:val="bullet"/>
      <w:lvlText w:val="o"/>
      <w:lvlJc w:val="left"/>
      <w:pPr>
        <w:ind w:left="1440" w:hanging="360"/>
      </w:pPr>
      <w:rPr>
        <w:rFonts w:ascii="Courier New" w:hAnsi="Courier New" w:hint="default"/>
      </w:rPr>
    </w:lvl>
    <w:lvl w:ilvl="2" w:tplc="44A26B86">
      <w:start w:val="1"/>
      <w:numFmt w:val="bullet"/>
      <w:lvlText w:val=""/>
      <w:lvlJc w:val="left"/>
      <w:pPr>
        <w:ind w:left="2160" w:hanging="360"/>
      </w:pPr>
      <w:rPr>
        <w:rFonts w:ascii="Wingdings" w:hAnsi="Wingdings" w:hint="default"/>
      </w:rPr>
    </w:lvl>
    <w:lvl w:ilvl="3" w:tplc="63BC8B0C">
      <w:start w:val="1"/>
      <w:numFmt w:val="bullet"/>
      <w:lvlText w:val=""/>
      <w:lvlJc w:val="left"/>
      <w:pPr>
        <w:ind w:left="2880" w:hanging="360"/>
      </w:pPr>
      <w:rPr>
        <w:rFonts w:ascii="Symbol" w:hAnsi="Symbol" w:hint="default"/>
      </w:rPr>
    </w:lvl>
    <w:lvl w:ilvl="4" w:tplc="E628376C">
      <w:start w:val="1"/>
      <w:numFmt w:val="bullet"/>
      <w:lvlText w:val="o"/>
      <w:lvlJc w:val="left"/>
      <w:pPr>
        <w:ind w:left="3600" w:hanging="360"/>
      </w:pPr>
      <w:rPr>
        <w:rFonts w:ascii="Courier New" w:hAnsi="Courier New" w:hint="default"/>
      </w:rPr>
    </w:lvl>
    <w:lvl w:ilvl="5" w:tplc="90D01118">
      <w:start w:val="1"/>
      <w:numFmt w:val="bullet"/>
      <w:lvlText w:val=""/>
      <w:lvlJc w:val="left"/>
      <w:pPr>
        <w:ind w:left="4320" w:hanging="360"/>
      </w:pPr>
      <w:rPr>
        <w:rFonts w:ascii="Wingdings" w:hAnsi="Wingdings" w:hint="default"/>
      </w:rPr>
    </w:lvl>
    <w:lvl w:ilvl="6" w:tplc="087E2018">
      <w:start w:val="1"/>
      <w:numFmt w:val="bullet"/>
      <w:lvlText w:val=""/>
      <w:lvlJc w:val="left"/>
      <w:pPr>
        <w:ind w:left="5040" w:hanging="360"/>
      </w:pPr>
      <w:rPr>
        <w:rFonts w:ascii="Symbol" w:hAnsi="Symbol" w:hint="default"/>
      </w:rPr>
    </w:lvl>
    <w:lvl w:ilvl="7" w:tplc="9AD212F4">
      <w:start w:val="1"/>
      <w:numFmt w:val="bullet"/>
      <w:lvlText w:val="o"/>
      <w:lvlJc w:val="left"/>
      <w:pPr>
        <w:ind w:left="5760" w:hanging="360"/>
      </w:pPr>
      <w:rPr>
        <w:rFonts w:ascii="Courier New" w:hAnsi="Courier New" w:hint="default"/>
      </w:rPr>
    </w:lvl>
    <w:lvl w:ilvl="8" w:tplc="62640D4A">
      <w:start w:val="1"/>
      <w:numFmt w:val="bullet"/>
      <w:lvlText w:val=""/>
      <w:lvlJc w:val="left"/>
      <w:pPr>
        <w:ind w:left="6480" w:hanging="360"/>
      </w:pPr>
      <w:rPr>
        <w:rFonts w:ascii="Wingdings" w:hAnsi="Wingdings" w:hint="default"/>
      </w:rPr>
    </w:lvl>
  </w:abstractNum>
  <w:abstractNum w:abstractNumId="19" w15:restartNumberingAfterBreak="0">
    <w:nsid w:val="5F866D5A"/>
    <w:multiLevelType w:val="multilevel"/>
    <w:tmpl w:val="ABD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E02532"/>
    <w:multiLevelType w:val="multilevel"/>
    <w:tmpl w:val="948A1A38"/>
    <w:styleLink w:val="NumberedListStyl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B08B1"/>
    <w:multiLevelType w:val="multilevel"/>
    <w:tmpl w:val="34B8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3680F"/>
    <w:multiLevelType w:val="multilevel"/>
    <w:tmpl w:val="885239B0"/>
    <w:lvl w:ilvl="0">
      <w:start w:val="1"/>
      <w:numFmt w:val="bullet"/>
      <w:pStyle w:val="Tablelist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852" w:hanging="284"/>
      </w:pPr>
      <w:rPr>
        <w:rFonts w:ascii="Calibri" w:hAnsi="Calibri" w:hint="default"/>
        <w:color w:val="323232"/>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6D807E12"/>
    <w:multiLevelType w:val="hybridMultilevel"/>
    <w:tmpl w:val="31ECBB32"/>
    <w:lvl w:ilvl="0" w:tplc="0D327652">
      <w:start w:val="1"/>
      <w:numFmt w:val="bullet"/>
      <w:lvlText w:val="·"/>
      <w:lvlJc w:val="left"/>
      <w:pPr>
        <w:ind w:left="720" w:hanging="360"/>
      </w:pPr>
      <w:rPr>
        <w:rFonts w:ascii="Symbol" w:hAnsi="Symbol" w:hint="default"/>
      </w:rPr>
    </w:lvl>
    <w:lvl w:ilvl="1" w:tplc="ABA67D22">
      <w:start w:val="1"/>
      <w:numFmt w:val="bullet"/>
      <w:lvlText w:val="o"/>
      <w:lvlJc w:val="left"/>
      <w:pPr>
        <w:ind w:left="1440" w:hanging="360"/>
      </w:pPr>
      <w:rPr>
        <w:rFonts w:ascii="Courier New" w:hAnsi="Courier New" w:hint="default"/>
      </w:rPr>
    </w:lvl>
    <w:lvl w:ilvl="2" w:tplc="1AA45048">
      <w:start w:val="1"/>
      <w:numFmt w:val="bullet"/>
      <w:lvlText w:val=""/>
      <w:lvlJc w:val="left"/>
      <w:pPr>
        <w:ind w:left="2160" w:hanging="360"/>
      </w:pPr>
      <w:rPr>
        <w:rFonts w:ascii="Wingdings" w:hAnsi="Wingdings" w:hint="default"/>
      </w:rPr>
    </w:lvl>
    <w:lvl w:ilvl="3" w:tplc="4CB2BC68">
      <w:start w:val="1"/>
      <w:numFmt w:val="bullet"/>
      <w:lvlText w:val=""/>
      <w:lvlJc w:val="left"/>
      <w:pPr>
        <w:ind w:left="2880" w:hanging="360"/>
      </w:pPr>
      <w:rPr>
        <w:rFonts w:ascii="Symbol" w:hAnsi="Symbol" w:hint="default"/>
      </w:rPr>
    </w:lvl>
    <w:lvl w:ilvl="4" w:tplc="8EE67056">
      <w:start w:val="1"/>
      <w:numFmt w:val="bullet"/>
      <w:lvlText w:val="o"/>
      <w:lvlJc w:val="left"/>
      <w:pPr>
        <w:ind w:left="3600" w:hanging="360"/>
      </w:pPr>
      <w:rPr>
        <w:rFonts w:ascii="Courier New" w:hAnsi="Courier New" w:hint="default"/>
      </w:rPr>
    </w:lvl>
    <w:lvl w:ilvl="5" w:tplc="231A28F6">
      <w:start w:val="1"/>
      <w:numFmt w:val="bullet"/>
      <w:lvlText w:val=""/>
      <w:lvlJc w:val="left"/>
      <w:pPr>
        <w:ind w:left="4320" w:hanging="360"/>
      </w:pPr>
      <w:rPr>
        <w:rFonts w:ascii="Wingdings" w:hAnsi="Wingdings" w:hint="default"/>
      </w:rPr>
    </w:lvl>
    <w:lvl w:ilvl="6" w:tplc="DB6C4FA0">
      <w:start w:val="1"/>
      <w:numFmt w:val="bullet"/>
      <w:lvlText w:val=""/>
      <w:lvlJc w:val="left"/>
      <w:pPr>
        <w:ind w:left="5040" w:hanging="360"/>
      </w:pPr>
      <w:rPr>
        <w:rFonts w:ascii="Symbol" w:hAnsi="Symbol" w:hint="default"/>
      </w:rPr>
    </w:lvl>
    <w:lvl w:ilvl="7" w:tplc="04B86B50">
      <w:start w:val="1"/>
      <w:numFmt w:val="bullet"/>
      <w:lvlText w:val="o"/>
      <w:lvlJc w:val="left"/>
      <w:pPr>
        <w:ind w:left="5760" w:hanging="360"/>
      </w:pPr>
      <w:rPr>
        <w:rFonts w:ascii="Courier New" w:hAnsi="Courier New" w:hint="default"/>
      </w:rPr>
    </w:lvl>
    <w:lvl w:ilvl="8" w:tplc="4A004DC4">
      <w:start w:val="1"/>
      <w:numFmt w:val="bullet"/>
      <w:lvlText w:val=""/>
      <w:lvlJc w:val="left"/>
      <w:pPr>
        <w:ind w:left="6480" w:hanging="360"/>
      </w:pPr>
      <w:rPr>
        <w:rFonts w:ascii="Wingdings" w:hAnsi="Wingdings" w:hint="default"/>
      </w:rPr>
    </w:lvl>
  </w:abstractNum>
  <w:abstractNum w:abstractNumId="24" w15:restartNumberingAfterBreak="0">
    <w:nsid w:val="709A265E"/>
    <w:multiLevelType w:val="multilevel"/>
    <w:tmpl w:val="44C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8738DF"/>
    <w:multiLevelType w:val="hybridMultilevel"/>
    <w:tmpl w:val="A87ADCA4"/>
    <w:lvl w:ilvl="0" w:tplc="395859B8">
      <w:start w:val="1"/>
      <w:numFmt w:val="bullet"/>
      <w:lvlText w:val="·"/>
      <w:lvlJc w:val="left"/>
      <w:pPr>
        <w:ind w:left="720" w:hanging="360"/>
      </w:pPr>
      <w:rPr>
        <w:rFonts w:ascii="Symbol" w:hAnsi="Symbol" w:hint="default"/>
      </w:rPr>
    </w:lvl>
    <w:lvl w:ilvl="1" w:tplc="61686F96">
      <w:start w:val="1"/>
      <w:numFmt w:val="bullet"/>
      <w:lvlText w:val="o"/>
      <w:lvlJc w:val="left"/>
      <w:pPr>
        <w:ind w:left="1440" w:hanging="360"/>
      </w:pPr>
      <w:rPr>
        <w:rFonts w:ascii="Courier New" w:hAnsi="Courier New" w:hint="default"/>
      </w:rPr>
    </w:lvl>
    <w:lvl w:ilvl="2" w:tplc="4D1469D8">
      <w:start w:val="1"/>
      <w:numFmt w:val="bullet"/>
      <w:lvlText w:val=""/>
      <w:lvlJc w:val="left"/>
      <w:pPr>
        <w:ind w:left="2160" w:hanging="360"/>
      </w:pPr>
      <w:rPr>
        <w:rFonts w:ascii="Wingdings" w:hAnsi="Wingdings" w:hint="default"/>
      </w:rPr>
    </w:lvl>
    <w:lvl w:ilvl="3" w:tplc="0186CD82">
      <w:start w:val="1"/>
      <w:numFmt w:val="bullet"/>
      <w:lvlText w:val=""/>
      <w:lvlJc w:val="left"/>
      <w:pPr>
        <w:ind w:left="2880" w:hanging="360"/>
      </w:pPr>
      <w:rPr>
        <w:rFonts w:ascii="Symbol" w:hAnsi="Symbol" w:hint="default"/>
      </w:rPr>
    </w:lvl>
    <w:lvl w:ilvl="4" w:tplc="9B44282C">
      <w:start w:val="1"/>
      <w:numFmt w:val="bullet"/>
      <w:lvlText w:val="o"/>
      <w:lvlJc w:val="left"/>
      <w:pPr>
        <w:ind w:left="3600" w:hanging="360"/>
      </w:pPr>
      <w:rPr>
        <w:rFonts w:ascii="Courier New" w:hAnsi="Courier New" w:hint="default"/>
      </w:rPr>
    </w:lvl>
    <w:lvl w:ilvl="5" w:tplc="A09E4D96">
      <w:start w:val="1"/>
      <w:numFmt w:val="bullet"/>
      <w:lvlText w:val=""/>
      <w:lvlJc w:val="left"/>
      <w:pPr>
        <w:ind w:left="4320" w:hanging="360"/>
      </w:pPr>
      <w:rPr>
        <w:rFonts w:ascii="Wingdings" w:hAnsi="Wingdings" w:hint="default"/>
      </w:rPr>
    </w:lvl>
    <w:lvl w:ilvl="6" w:tplc="F28A19AA">
      <w:start w:val="1"/>
      <w:numFmt w:val="bullet"/>
      <w:lvlText w:val=""/>
      <w:lvlJc w:val="left"/>
      <w:pPr>
        <w:ind w:left="5040" w:hanging="360"/>
      </w:pPr>
      <w:rPr>
        <w:rFonts w:ascii="Symbol" w:hAnsi="Symbol" w:hint="default"/>
      </w:rPr>
    </w:lvl>
    <w:lvl w:ilvl="7" w:tplc="153C0A36">
      <w:start w:val="1"/>
      <w:numFmt w:val="bullet"/>
      <w:lvlText w:val="o"/>
      <w:lvlJc w:val="left"/>
      <w:pPr>
        <w:ind w:left="5760" w:hanging="360"/>
      </w:pPr>
      <w:rPr>
        <w:rFonts w:ascii="Courier New" w:hAnsi="Courier New" w:hint="default"/>
      </w:rPr>
    </w:lvl>
    <w:lvl w:ilvl="8" w:tplc="32BE28C2">
      <w:start w:val="1"/>
      <w:numFmt w:val="bullet"/>
      <w:lvlText w:val=""/>
      <w:lvlJc w:val="left"/>
      <w:pPr>
        <w:ind w:left="6480" w:hanging="360"/>
      </w:pPr>
      <w:rPr>
        <w:rFonts w:ascii="Wingdings" w:hAnsi="Wingdings" w:hint="default"/>
      </w:rPr>
    </w:lvl>
  </w:abstractNum>
  <w:abstractNum w:abstractNumId="26" w15:restartNumberingAfterBreak="0">
    <w:nsid w:val="79CB3ACC"/>
    <w:multiLevelType w:val="multilevel"/>
    <w:tmpl w:val="A1A814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F996323"/>
    <w:multiLevelType w:val="multilevel"/>
    <w:tmpl w:val="21F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797208">
    <w:abstractNumId w:val="27"/>
  </w:num>
  <w:num w:numId="2" w16cid:durableId="842470679">
    <w:abstractNumId w:val="20"/>
  </w:num>
  <w:num w:numId="3" w16cid:durableId="1678968889">
    <w:abstractNumId w:val="1"/>
  </w:num>
  <w:num w:numId="4" w16cid:durableId="1993291614">
    <w:abstractNumId w:val="6"/>
  </w:num>
  <w:num w:numId="5" w16cid:durableId="1083137740">
    <w:abstractNumId w:val="13"/>
  </w:num>
  <w:num w:numId="6" w16cid:durableId="1662194642">
    <w:abstractNumId w:val="0"/>
  </w:num>
  <w:num w:numId="7" w16cid:durableId="52237513">
    <w:abstractNumId w:val="11"/>
  </w:num>
  <w:num w:numId="8" w16cid:durableId="1001660756">
    <w:abstractNumId w:val="12"/>
  </w:num>
  <w:num w:numId="9" w16cid:durableId="1308054714">
    <w:abstractNumId w:val="16"/>
  </w:num>
  <w:num w:numId="10" w16cid:durableId="1599292382">
    <w:abstractNumId w:val="19"/>
  </w:num>
  <w:num w:numId="11" w16cid:durableId="2075933160">
    <w:abstractNumId w:val="17"/>
  </w:num>
  <w:num w:numId="12" w16cid:durableId="355277685">
    <w:abstractNumId w:val="3"/>
  </w:num>
  <w:num w:numId="13" w16cid:durableId="591820581">
    <w:abstractNumId w:val="2"/>
  </w:num>
  <w:num w:numId="14" w16cid:durableId="1225869267">
    <w:abstractNumId w:val="28"/>
  </w:num>
  <w:num w:numId="15" w16cid:durableId="1606841954">
    <w:abstractNumId w:val="21"/>
  </w:num>
  <w:num w:numId="16" w16cid:durableId="1965304445">
    <w:abstractNumId w:val="4"/>
  </w:num>
  <w:num w:numId="17" w16cid:durableId="829516380">
    <w:abstractNumId w:val="9"/>
  </w:num>
  <w:num w:numId="18" w16cid:durableId="1329551818">
    <w:abstractNumId w:val="22"/>
  </w:num>
  <w:num w:numId="19" w16cid:durableId="1870406842">
    <w:abstractNumId w:val="5"/>
  </w:num>
  <w:num w:numId="20" w16cid:durableId="50425162">
    <w:abstractNumId w:val="10"/>
  </w:num>
  <w:num w:numId="21" w16cid:durableId="2125225467">
    <w:abstractNumId w:val="15"/>
  </w:num>
  <w:num w:numId="22" w16cid:durableId="977882867">
    <w:abstractNumId w:val="24"/>
  </w:num>
  <w:num w:numId="23" w16cid:durableId="2035110013">
    <w:abstractNumId w:val="26"/>
  </w:num>
  <w:num w:numId="24" w16cid:durableId="1716811562">
    <w:abstractNumId w:val="8"/>
  </w:num>
  <w:num w:numId="25" w16cid:durableId="1471751439">
    <w:abstractNumId w:val="14"/>
  </w:num>
  <w:num w:numId="26" w16cid:durableId="1568345839">
    <w:abstractNumId w:val="7"/>
  </w:num>
  <w:num w:numId="27" w16cid:durableId="1844126935">
    <w:abstractNumId w:val="25"/>
  </w:num>
  <w:num w:numId="28" w16cid:durableId="1490974328">
    <w:abstractNumId w:val="18"/>
  </w:num>
  <w:num w:numId="29" w16cid:durableId="128673931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761"/>
    <w:rsid w:val="000008C0"/>
    <w:rsid w:val="00001488"/>
    <w:rsid w:val="00001AF8"/>
    <w:rsid w:val="00001E5E"/>
    <w:rsid w:val="00002992"/>
    <w:rsid w:val="00002AA9"/>
    <w:rsid w:val="00003248"/>
    <w:rsid w:val="0000471D"/>
    <w:rsid w:val="00004C86"/>
    <w:rsid w:val="00004C98"/>
    <w:rsid w:val="00005CAB"/>
    <w:rsid w:val="00006270"/>
    <w:rsid w:val="00006B2F"/>
    <w:rsid w:val="00006C8A"/>
    <w:rsid w:val="00011F1D"/>
    <w:rsid w:val="000129E7"/>
    <w:rsid w:val="00013605"/>
    <w:rsid w:val="000136E5"/>
    <w:rsid w:val="00013C97"/>
    <w:rsid w:val="00016F2C"/>
    <w:rsid w:val="00017597"/>
    <w:rsid w:val="00020F92"/>
    <w:rsid w:val="00021AB5"/>
    <w:rsid w:val="00022640"/>
    <w:rsid w:val="0002304F"/>
    <w:rsid w:val="000240FF"/>
    <w:rsid w:val="00024CCA"/>
    <w:rsid w:val="00024DB0"/>
    <w:rsid w:val="00024F83"/>
    <w:rsid w:val="00025140"/>
    <w:rsid w:val="000251C1"/>
    <w:rsid w:val="00025717"/>
    <w:rsid w:val="00025CBA"/>
    <w:rsid w:val="0002617F"/>
    <w:rsid w:val="00026A3D"/>
    <w:rsid w:val="00026C89"/>
    <w:rsid w:val="00027D67"/>
    <w:rsid w:val="00027E66"/>
    <w:rsid w:val="00030E09"/>
    <w:rsid w:val="0003128C"/>
    <w:rsid w:val="0003238E"/>
    <w:rsid w:val="000324D6"/>
    <w:rsid w:val="00032FD0"/>
    <w:rsid w:val="000335D5"/>
    <w:rsid w:val="0003434B"/>
    <w:rsid w:val="0003434C"/>
    <w:rsid w:val="000355BB"/>
    <w:rsid w:val="00035DCA"/>
    <w:rsid w:val="000366DF"/>
    <w:rsid w:val="00036BFC"/>
    <w:rsid w:val="00037013"/>
    <w:rsid w:val="00037F61"/>
    <w:rsid w:val="00040769"/>
    <w:rsid w:val="00040CC5"/>
    <w:rsid w:val="00040ED1"/>
    <w:rsid w:val="0004125C"/>
    <w:rsid w:val="000416C1"/>
    <w:rsid w:val="00041AE1"/>
    <w:rsid w:val="00041B4E"/>
    <w:rsid w:val="00043BA7"/>
    <w:rsid w:val="000441EF"/>
    <w:rsid w:val="00044B5B"/>
    <w:rsid w:val="00045211"/>
    <w:rsid w:val="0004715E"/>
    <w:rsid w:val="0004758E"/>
    <w:rsid w:val="000477D8"/>
    <w:rsid w:val="00047EB1"/>
    <w:rsid w:val="00050291"/>
    <w:rsid w:val="0005029F"/>
    <w:rsid w:val="00050972"/>
    <w:rsid w:val="000510BC"/>
    <w:rsid w:val="0005121C"/>
    <w:rsid w:val="00052988"/>
    <w:rsid w:val="000529FC"/>
    <w:rsid w:val="00054801"/>
    <w:rsid w:val="00055721"/>
    <w:rsid w:val="000561AA"/>
    <w:rsid w:val="000565E2"/>
    <w:rsid w:val="00056EA1"/>
    <w:rsid w:val="0005796F"/>
    <w:rsid w:val="000579A8"/>
    <w:rsid w:val="00061D6A"/>
    <w:rsid w:val="00061DE2"/>
    <w:rsid w:val="00065ED7"/>
    <w:rsid w:val="00066AF0"/>
    <w:rsid w:val="00066B01"/>
    <w:rsid w:val="00067499"/>
    <w:rsid w:val="00067A0F"/>
    <w:rsid w:val="0007001A"/>
    <w:rsid w:val="00070950"/>
    <w:rsid w:val="00073057"/>
    <w:rsid w:val="00073075"/>
    <w:rsid w:val="00073C78"/>
    <w:rsid w:val="00073DFD"/>
    <w:rsid w:val="00073F80"/>
    <w:rsid w:val="000741F3"/>
    <w:rsid w:val="0007475C"/>
    <w:rsid w:val="0007537D"/>
    <w:rsid w:val="000761EA"/>
    <w:rsid w:val="000766D7"/>
    <w:rsid w:val="00076EFE"/>
    <w:rsid w:val="00077BF1"/>
    <w:rsid w:val="00080239"/>
    <w:rsid w:val="00081449"/>
    <w:rsid w:val="000814E9"/>
    <w:rsid w:val="00082305"/>
    <w:rsid w:val="00082701"/>
    <w:rsid w:val="00082AE0"/>
    <w:rsid w:val="00082C76"/>
    <w:rsid w:val="00082D17"/>
    <w:rsid w:val="00082E5E"/>
    <w:rsid w:val="00084E73"/>
    <w:rsid w:val="00085474"/>
    <w:rsid w:val="00085583"/>
    <w:rsid w:val="00085705"/>
    <w:rsid w:val="00086485"/>
    <w:rsid w:val="00087DC6"/>
    <w:rsid w:val="000900AE"/>
    <w:rsid w:val="000904C3"/>
    <w:rsid w:val="00091C08"/>
    <w:rsid w:val="00091D35"/>
    <w:rsid w:val="00091FEA"/>
    <w:rsid w:val="000925ED"/>
    <w:rsid w:val="00094562"/>
    <w:rsid w:val="00094F71"/>
    <w:rsid w:val="00096F72"/>
    <w:rsid w:val="000A04F2"/>
    <w:rsid w:val="000A1B8B"/>
    <w:rsid w:val="000A26CC"/>
    <w:rsid w:val="000A29CE"/>
    <w:rsid w:val="000A2FA5"/>
    <w:rsid w:val="000A4329"/>
    <w:rsid w:val="000A4424"/>
    <w:rsid w:val="000A4558"/>
    <w:rsid w:val="000A585C"/>
    <w:rsid w:val="000A60FC"/>
    <w:rsid w:val="000A69B9"/>
    <w:rsid w:val="000A7D4B"/>
    <w:rsid w:val="000B0028"/>
    <w:rsid w:val="000B08A8"/>
    <w:rsid w:val="000B18A7"/>
    <w:rsid w:val="000B1B8F"/>
    <w:rsid w:val="000B2F0B"/>
    <w:rsid w:val="000B32EC"/>
    <w:rsid w:val="000B4C6C"/>
    <w:rsid w:val="000B51EC"/>
    <w:rsid w:val="000B5311"/>
    <w:rsid w:val="000B5A97"/>
    <w:rsid w:val="000B6199"/>
    <w:rsid w:val="000B6206"/>
    <w:rsid w:val="000B6A0E"/>
    <w:rsid w:val="000B7237"/>
    <w:rsid w:val="000C0EF4"/>
    <w:rsid w:val="000C16D8"/>
    <w:rsid w:val="000C1E45"/>
    <w:rsid w:val="000C2624"/>
    <w:rsid w:val="000C3C0B"/>
    <w:rsid w:val="000C50EC"/>
    <w:rsid w:val="000C5D12"/>
    <w:rsid w:val="000C6D91"/>
    <w:rsid w:val="000C72ED"/>
    <w:rsid w:val="000C7643"/>
    <w:rsid w:val="000C7739"/>
    <w:rsid w:val="000C79FC"/>
    <w:rsid w:val="000D0B08"/>
    <w:rsid w:val="000D14CC"/>
    <w:rsid w:val="000D1B5A"/>
    <w:rsid w:val="000D2BDC"/>
    <w:rsid w:val="000D4231"/>
    <w:rsid w:val="000D4FF5"/>
    <w:rsid w:val="000D6455"/>
    <w:rsid w:val="000D6A48"/>
    <w:rsid w:val="000D6BF2"/>
    <w:rsid w:val="000D77ED"/>
    <w:rsid w:val="000E147A"/>
    <w:rsid w:val="000E22A8"/>
    <w:rsid w:val="000E23AB"/>
    <w:rsid w:val="000E2429"/>
    <w:rsid w:val="000E25A8"/>
    <w:rsid w:val="000E2D40"/>
    <w:rsid w:val="000E33D1"/>
    <w:rsid w:val="000E349B"/>
    <w:rsid w:val="000E5553"/>
    <w:rsid w:val="000E55E7"/>
    <w:rsid w:val="000E5816"/>
    <w:rsid w:val="000E5AB3"/>
    <w:rsid w:val="000E5DEC"/>
    <w:rsid w:val="000E671E"/>
    <w:rsid w:val="000E6F5E"/>
    <w:rsid w:val="000E7B2A"/>
    <w:rsid w:val="000E7CE2"/>
    <w:rsid w:val="000E7D6A"/>
    <w:rsid w:val="000F0384"/>
    <w:rsid w:val="000F0688"/>
    <w:rsid w:val="000F1D0C"/>
    <w:rsid w:val="000F1E84"/>
    <w:rsid w:val="000F246A"/>
    <w:rsid w:val="000F24CC"/>
    <w:rsid w:val="000F26A9"/>
    <w:rsid w:val="000F2B40"/>
    <w:rsid w:val="000F341A"/>
    <w:rsid w:val="000F3CD5"/>
    <w:rsid w:val="000F3D2B"/>
    <w:rsid w:val="000F4577"/>
    <w:rsid w:val="000F4BF8"/>
    <w:rsid w:val="000F7E57"/>
    <w:rsid w:val="00100C9D"/>
    <w:rsid w:val="001022F5"/>
    <w:rsid w:val="001037BE"/>
    <w:rsid w:val="00103942"/>
    <w:rsid w:val="00103A3D"/>
    <w:rsid w:val="00103F3E"/>
    <w:rsid w:val="001042FF"/>
    <w:rsid w:val="00106A2C"/>
    <w:rsid w:val="00106CC4"/>
    <w:rsid w:val="00107779"/>
    <w:rsid w:val="00107A1D"/>
    <w:rsid w:val="00110E44"/>
    <w:rsid w:val="0011128C"/>
    <w:rsid w:val="00111294"/>
    <w:rsid w:val="0011146E"/>
    <w:rsid w:val="001150D6"/>
    <w:rsid w:val="0011584E"/>
    <w:rsid w:val="00116154"/>
    <w:rsid w:val="00116198"/>
    <w:rsid w:val="00116FE3"/>
    <w:rsid w:val="00117A57"/>
    <w:rsid w:val="00117B0F"/>
    <w:rsid w:val="001209A4"/>
    <w:rsid w:val="001212B9"/>
    <w:rsid w:val="00122339"/>
    <w:rsid w:val="00123B69"/>
    <w:rsid w:val="0012468B"/>
    <w:rsid w:val="0012504C"/>
    <w:rsid w:val="00126556"/>
    <w:rsid w:val="001272BA"/>
    <w:rsid w:val="00127FDE"/>
    <w:rsid w:val="00130FED"/>
    <w:rsid w:val="001311C8"/>
    <w:rsid w:val="00133BCB"/>
    <w:rsid w:val="001346AB"/>
    <w:rsid w:val="00135182"/>
    <w:rsid w:val="00135573"/>
    <w:rsid w:val="00135BD6"/>
    <w:rsid w:val="001371EE"/>
    <w:rsid w:val="00137350"/>
    <w:rsid w:val="00137442"/>
    <w:rsid w:val="00141457"/>
    <w:rsid w:val="00141519"/>
    <w:rsid w:val="00141C09"/>
    <w:rsid w:val="00141CEE"/>
    <w:rsid w:val="00142943"/>
    <w:rsid w:val="001429BF"/>
    <w:rsid w:val="00142CCF"/>
    <w:rsid w:val="001435F3"/>
    <w:rsid w:val="0014427F"/>
    <w:rsid w:val="0014486F"/>
    <w:rsid w:val="00144BB5"/>
    <w:rsid w:val="00145951"/>
    <w:rsid w:val="00145CE1"/>
    <w:rsid w:val="00146D8D"/>
    <w:rsid w:val="00146FCD"/>
    <w:rsid w:val="00147443"/>
    <w:rsid w:val="001500CD"/>
    <w:rsid w:val="001503FD"/>
    <w:rsid w:val="00150F67"/>
    <w:rsid w:val="00151698"/>
    <w:rsid w:val="00151C78"/>
    <w:rsid w:val="00151ECD"/>
    <w:rsid w:val="001523D4"/>
    <w:rsid w:val="00153621"/>
    <w:rsid w:val="0015451C"/>
    <w:rsid w:val="00154930"/>
    <w:rsid w:val="0015520C"/>
    <w:rsid w:val="001555E5"/>
    <w:rsid w:val="00155C3C"/>
    <w:rsid w:val="00156118"/>
    <w:rsid w:val="00156C68"/>
    <w:rsid w:val="00157DF5"/>
    <w:rsid w:val="00160690"/>
    <w:rsid w:val="00160A4D"/>
    <w:rsid w:val="00161EDD"/>
    <w:rsid w:val="0016277C"/>
    <w:rsid w:val="00162CE0"/>
    <w:rsid w:val="00162F47"/>
    <w:rsid w:val="00163226"/>
    <w:rsid w:val="0016335B"/>
    <w:rsid w:val="00163583"/>
    <w:rsid w:val="00163829"/>
    <w:rsid w:val="00163DAF"/>
    <w:rsid w:val="00164EA3"/>
    <w:rsid w:val="001653F8"/>
    <w:rsid w:val="00165EA2"/>
    <w:rsid w:val="001662DF"/>
    <w:rsid w:val="00166C82"/>
    <w:rsid w:val="001673DD"/>
    <w:rsid w:val="001674CC"/>
    <w:rsid w:val="00167584"/>
    <w:rsid w:val="00167CF8"/>
    <w:rsid w:val="0017044A"/>
    <w:rsid w:val="00170783"/>
    <w:rsid w:val="001712E5"/>
    <w:rsid w:val="00171D41"/>
    <w:rsid w:val="001734E1"/>
    <w:rsid w:val="00173ADB"/>
    <w:rsid w:val="0017413A"/>
    <w:rsid w:val="00176163"/>
    <w:rsid w:val="0017682C"/>
    <w:rsid w:val="0018128B"/>
    <w:rsid w:val="001817C7"/>
    <w:rsid w:val="00182B20"/>
    <w:rsid w:val="00183D0D"/>
    <w:rsid w:val="00184D9B"/>
    <w:rsid w:val="00185066"/>
    <w:rsid w:val="001853C1"/>
    <w:rsid w:val="00185858"/>
    <w:rsid w:val="00185B30"/>
    <w:rsid w:val="00185F48"/>
    <w:rsid w:val="00186557"/>
    <w:rsid w:val="00186FD9"/>
    <w:rsid w:val="00187155"/>
    <w:rsid w:val="00187505"/>
    <w:rsid w:val="0018775B"/>
    <w:rsid w:val="00190754"/>
    <w:rsid w:val="00190EF3"/>
    <w:rsid w:val="00191BBB"/>
    <w:rsid w:val="00192C3F"/>
    <w:rsid w:val="00193288"/>
    <w:rsid w:val="001939E8"/>
    <w:rsid w:val="00193F05"/>
    <w:rsid w:val="00194864"/>
    <w:rsid w:val="001948B4"/>
    <w:rsid w:val="001948EB"/>
    <w:rsid w:val="001949C0"/>
    <w:rsid w:val="00194BEF"/>
    <w:rsid w:val="0019526A"/>
    <w:rsid w:val="001955A7"/>
    <w:rsid w:val="00197827"/>
    <w:rsid w:val="00197AC7"/>
    <w:rsid w:val="00197EC9"/>
    <w:rsid w:val="001A03D2"/>
    <w:rsid w:val="001A0861"/>
    <w:rsid w:val="001A1049"/>
    <w:rsid w:val="001A1353"/>
    <w:rsid w:val="001A1C51"/>
    <w:rsid w:val="001A1EC3"/>
    <w:rsid w:val="001A302E"/>
    <w:rsid w:val="001A3BFC"/>
    <w:rsid w:val="001A3F3E"/>
    <w:rsid w:val="001A5332"/>
    <w:rsid w:val="001A5366"/>
    <w:rsid w:val="001A5731"/>
    <w:rsid w:val="001A7387"/>
    <w:rsid w:val="001B03A8"/>
    <w:rsid w:val="001B0861"/>
    <w:rsid w:val="001B0BA1"/>
    <w:rsid w:val="001B0D0D"/>
    <w:rsid w:val="001B175D"/>
    <w:rsid w:val="001B19A8"/>
    <w:rsid w:val="001B267E"/>
    <w:rsid w:val="001B2D22"/>
    <w:rsid w:val="001B3342"/>
    <w:rsid w:val="001B3BCD"/>
    <w:rsid w:val="001B400A"/>
    <w:rsid w:val="001B42A4"/>
    <w:rsid w:val="001B446C"/>
    <w:rsid w:val="001B476D"/>
    <w:rsid w:val="001B4AA3"/>
    <w:rsid w:val="001B5894"/>
    <w:rsid w:val="001B62E1"/>
    <w:rsid w:val="001B6752"/>
    <w:rsid w:val="001B7173"/>
    <w:rsid w:val="001B7759"/>
    <w:rsid w:val="001B7F53"/>
    <w:rsid w:val="001C05AE"/>
    <w:rsid w:val="001C0818"/>
    <w:rsid w:val="001C0AB5"/>
    <w:rsid w:val="001C0BF2"/>
    <w:rsid w:val="001C0DE3"/>
    <w:rsid w:val="001C0F8B"/>
    <w:rsid w:val="001C10C7"/>
    <w:rsid w:val="001C1697"/>
    <w:rsid w:val="001C2020"/>
    <w:rsid w:val="001C2F79"/>
    <w:rsid w:val="001C3CFE"/>
    <w:rsid w:val="001C45B4"/>
    <w:rsid w:val="001C49BB"/>
    <w:rsid w:val="001C4B86"/>
    <w:rsid w:val="001C5505"/>
    <w:rsid w:val="001C5733"/>
    <w:rsid w:val="001C5AA2"/>
    <w:rsid w:val="001C6FE5"/>
    <w:rsid w:val="001C738D"/>
    <w:rsid w:val="001D031D"/>
    <w:rsid w:val="001D05BB"/>
    <w:rsid w:val="001D07E5"/>
    <w:rsid w:val="001D15C2"/>
    <w:rsid w:val="001D1CE3"/>
    <w:rsid w:val="001D244D"/>
    <w:rsid w:val="001D2977"/>
    <w:rsid w:val="001D31FC"/>
    <w:rsid w:val="001D3EC0"/>
    <w:rsid w:val="001D4A12"/>
    <w:rsid w:val="001D4B5E"/>
    <w:rsid w:val="001D645D"/>
    <w:rsid w:val="001D6B40"/>
    <w:rsid w:val="001D6C37"/>
    <w:rsid w:val="001D6DC6"/>
    <w:rsid w:val="001D6E4D"/>
    <w:rsid w:val="001D6E80"/>
    <w:rsid w:val="001D733A"/>
    <w:rsid w:val="001D75DB"/>
    <w:rsid w:val="001D76F5"/>
    <w:rsid w:val="001D7AD7"/>
    <w:rsid w:val="001D7F53"/>
    <w:rsid w:val="001E0397"/>
    <w:rsid w:val="001E1A3A"/>
    <w:rsid w:val="001E2D65"/>
    <w:rsid w:val="001E3443"/>
    <w:rsid w:val="001E3C21"/>
    <w:rsid w:val="001E401A"/>
    <w:rsid w:val="001E40A8"/>
    <w:rsid w:val="001E4192"/>
    <w:rsid w:val="001E4D67"/>
    <w:rsid w:val="001E6265"/>
    <w:rsid w:val="001E7EF4"/>
    <w:rsid w:val="001E7F30"/>
    <w:rsid w:val="001F05AE"/>
    <w:rsid w:val="001F2AED"/>
    <w:rsid w:val="001F301A"/>
    <w:rsid w:val="001F3155"/>
    <w:rsid w:val="001F46D7"/>
    <w:rsid w:val="001F56D7"/>
    <w:rsid w:val="001F595A"/>
    <w:rsid w:val="001F679E"/>
    <w:rsid w:val="001F68F7"/>
    <w:rsid w:val="001F72C7"/>
    <w:rsid w:val="001F75B3"/>
    <w:rsid w:val="001F7637"/>
    <w:rsid w:val="001F7D0D"/>
    <w:rsid w:val="002003BE"/>
    <w:rsid w:val="00200439"/>
    <w:rsid w:val="00202234"/>
    <w:rsid w:val="002035C6"/>
    <w:rsid w:val="002039B6"/>
    <w:rsid w:val="00204154"/>
    <w:rsid w:val="00204355"/>
    <w:rsid w:val="00204906"/>
    <w:rsid w:val="00205E5A"/>
    <w:rsid w:val="00206CD8"/>
    <w:rsid w:val="00207B3A"/>
    <w:rsid w:val="00210F51"/>
    <w:rsid w:val="0021168A"/>
    <w:rsid w:val="00211711"/>
    <w:rsid w:val="00212673"/>
    <w:rsid w:val="00213BA2"/>
    <w:rsid w:val="00214404"/>
    <w:rsid w:val="00214FAD"/>
    <w:rsid w:val="002153F7"/>
    <w:rsid w:val="00216277"/>
    <w:rsid w:val="0021723D"/>
    <w:rsid w:val="00220547"/>
    <w:rsid w:val="00221978"/>
    <w:rsid w:val="002227B7"/>
    <w:rsid w:val="0022398E"/>
    <w:rsid w:val="00223B59"/>
    <w:rsid w:val="0022623F"/>
    <w:rsid w:val="0022626E"/>
    <w:rsid w:val="002262B8"/>
    <w:rsid w:val="00226A6C"/>
    <w:rsid w:val="00226ACC"/>
    <w:rsid w:val="002276B6"/>
    <w:rsid w:val="002277AB"/>
    <w:rsid w:val="002300A2"/>
    <w:rsid w:val="0023029B"/>
    <w:rsid w:val="00231500"/>
    <w:rsid w:val="002318A8"/>
    <w:rsid w:val="00231C34"/>
    <w:rsid w:val="00233174"/>
    <w:rsid w:val="0023367F"/>
    <w:rsid w:val="002370AD"/>
    <w:rsid w:val="0023739F"/>
    <w:rsid w:val="002402E1"/>
    <w:rsid w:val="0024044F"/>
    <w:rsid w:val="002407BA"/>
    <w:rsid w:val="00240801"/>
    <w:rsid w:val="00241B55"/>
    <w:rsid w:val="00241D27"/>
    <w:rsid w:val="00242402"/>
    <w:rsid w:val="00242CAE"/>
    <w:rsid w:val="00243CA4"/>
    <w:rsid w:val="002445D8"/>
    <w:rsid w:val="00244D29"/>
    <w:rsid w:val="002461B3"/>
    <w:rsid w:val="002461E0"/>
    <w:rsid w:val="002470C5"/>
    <w:rsid w:val="0024722F"/>
    <w:rsid w:val="00247630"/>
    <w:rsid w:val="00247864"/>
    <w:rsid w:val="0025059A"/>
    <w:rsid w:val="0025062B"/>
    <w:rsid w:val="00250DD1"/>
    <w:rsid w:val="00250E25"/>
    <w:rsid w:val="00251DC5"/>
    <w:rsid w:val="0025278C"/>
    <w:rsid w:val="00252E25"/>
    <w:rsid w:val="002533A1"/>
    <w:rsid w:val="0025385C"/>
    <w:rsid w:val="00253916"/>
    <w:rsid w:val="0025586B"/>
    <w:rsid w:val="002559E9"/>
    <w:rsid w:val="00255A01"/>
    <w:rsid w:val="00256450"/>
    <w:rsid w:val="00257144"/>
    <w:rsid w:val="002620A2"/>
    <w:rsid w:val="00262E34"/>
    <w:rsid w:val="00262EEC"/>
    <w:rsid w:val="002656F0"/>
    <w:rsid w:val="00265E82"/>
    <w:rsid w:val="00266CDC"/>
    <w:rsid w:val="002679AE"/>
    <w:rsid w:val="00271A75"/>
    <w:rsid w:val="00271F0A"/>
    <w:rsid w:val="00272396"/>
    <w:rsid w:val="00272E48"/>
    <w:rsid w:val="00272EE9"/>
    <w:rsid w:val="002736AE"/>
    <w:rsid w:val="002736E8"/>
    <w:rsid w:val="00273724"/>
    <w:rsid w:val="00273DA8"/>
    <w:rsid w:val="00274AEA"/>
    <w:rsid w:val="00275657"/>
    <w:rsid w:val="002759A6"/>
    <w:rsid w:val="00275C79"/>
    <w:rsid w:val="002763B1"/>
    <w:rsid w:val="002812D3"/>
    <w:rsid w:val="00281329"/>
    <w:rsid w:val="00281806"/>
    <w:rsid w:val="00281B26"/>
    <w:rsid w:val="00282865"/>
    <w:rsid w:val="0028330E"/>
    <w:rsid w:val="00283972"/>
    <w:rsid w:val="00284250"/>
    <w:rsid w:val="00284562"/>
    <w:rsid w:val="00284C1E"/>
    <w:rsid w:val="0028537B"/>
    <w:rsid w:val="00285562"/>
    <w:rsid w:val="002858F5"/>
    <w:rsid w:val="00285D0C"/>
    <w:rsid w:val="002860DE"/>
    <w:rsid w:val="002874D8"/>
    <w:rsid w:val="002907B7"/>
    <w:rsid w:val="0029122C"/>
    <w:rsid w:val="002912DF"/>
    <w:rsid w:val="00291C1D"/>
    <w:rsid w:val="002923F0"/>
    <w:rsid w:val="00292588"/>
    <w:rsid w:val="00292C00"/>
    <w:rsid w:val="00293C0B"/>
    <w:rsid w:val="00293F52"/>
    <w:rsid w:val="00293FAD"/>
    <w:rsid w:val="00296233"/>
    <w:rsid w:val="00296679"/>
    <w:rsid w:val="00297556"/>
    <w:rsid w:val="0029769E"/>
    <w:rsid w:val="002A1141"/>
    <w:rsid w:val="002A1DFF"/>
    <w:rsid w:val="002A24EF"/>
    <w:rsid w:val="002A27D6"/>
    <w:rsid w:val="002A2DD0"/>
    <w:rsid w:val="002A31DB"/>
    <w:rsid w:val="002A3A48"/>
    <w:rsid w:val="002A3F83"/>
    <w:rsid w:val="002A4C86"/>
    <w:rsid w:val="002A5610"/>
    <w:rsid w:val="002A5853"/>
    <w:rsid w:val="002A59DC"/>
    <w:rsid w:val="002A64AD"/>
    <w:rsid w:val="002A6CA2"/>
    <w:rsid w:val="002A7176"/>
    <w:rsid w:val="002A77A4"/>
    <w:rsid w:val="002A77F7"/>
    <w:rsid w:val="002B0F6E"/>
    <w:rsid w:val="002B13F6"/>
    <w:rsid w:val="002B1524"/>
    <w:rsid w:val="002B43A2"/>
    <w:rsid w:val="002B5E7A"/>
    <w:rsid w:val="002B67D2"/>
    <w:rsid w:val="002B7DFF"/>
    <w:rsid w:val="002C0415"/>
    <w:rsid w:val="002C0B42"/>
    <w:rsid w:val="002C0C6D"/>
    <w:rsid w:val="002C0E9F"/>
    <w:rsid w:val="002C16C8"/>
    <w:rsid w:val="002C1737"/>
    <w:rsid w:val="002C17E9"/>
    <w:rsid w:val="002C1B93"/>
    <w:rsid w:val="002C247B"/>
    <w:rsid w:val="002C26E8"/>
    <w:rsid w:val="002C2799"/>
    <w:rsid w:val="002C299F"/>
    <w:rsid w:val="002C2AFF"/>
    <w:rsid w:val="002C2E09"/>
    <w:rsid w:val="002C403D"/>
    <w:rsid w:val="002C411A"/>
    <w:rsid w:val="002C42A6"/>
    <w:rsid w:val="002C5242"/>
    <w:rsid w:val="002C53D8"/>
    <w:rsid w:val="002C55B9"/>
    <w:rsid w:val="002C5BF0"/>
    <w:rsid w:val="002C5CBD"/>
    <w:rsid w:val="002C705D"/>
    <w:rsid w:val="002D01BF"/>
    <w:rsid w:val="002D093A"/>
    <w:rsid w:val="002D158F"/>
    <w:rsid w:val="002D27AE"/>
    <w:rsid w:val="002D30F0"/>
    <w:rsid w:val="002D330A"/>
    <w:rsid w:val="002D3E86"/>
    <w:rsid w:val="002D480F"/>
    <w:rsid w:val="002D487A"/>
    <w:rsid w:val="002D4D60"/>
    <w:rsid w:val="002D4DF6"/>
    <w:rsid w:val="002D5231"/>
    <w:rsid w:val="002D5680"/>
    <w:rsid w:val="002D56BD"/>
    <w:rsid w:val="002D649F"/>
    <w:rsid w:val="002D6585"/>
    <w:rsid w:val="002D6C7D"/>
    <w:rsid w:val="002D6EEE"/>
    <w:rsid w:val="002D71EF"/>
    <w:rsid w:val="002D78CC"/>
    <w:rsid w:val="002D7900"/>
    <w:rsid w:val="002E0DF3"/>
    <w:rsid w:val="002E16A1"/>
    <w:rsid w:val="002E24E4"/>
    <w:rsid w:val="002E336A"/>
    <w:rsid w:val="002E34E4"/>
    <w:rsid w:val="002E4199"/>
    <w:rsid w:val="002E43C4"/>
    <w:rsid w:val="002E4EAC"/>
    <w:rsid w:val="002E4FAD"/>
    <w:rsid w:val="002E51E6"/>
    <w:rsid w:val="002E56C8"/>
    <w:rsid w:val="002E621A"/>
    <w:rsid w:val="002E7379"/>
    <w:rsid w:val="002E761D"/>
    <w:rsid w:val="002E7EA4"/>
    <w:rsid w:val="002F04E2"/>
    <w:rsid w:val="002F0663"/>
    <w:rsid w:val="002F1C8C"/>
    <w:rsid w:val="002F27DD"/>
    <w:rsid w:val="002F2CF0"/>
    <w:rsid w:val="002F37AC"/>
    <w:rsid w:val="002F38E2"/>
    <w:rsid w:val="002F3A55"/>
    <w:rsid w:val="002F5B29"/>
    <w:rsid w:val="002F5B80"/>
    <w:rsid w:val="00300313"/>
    <w:rsid w:val="00300327"/>
    <w:rsid w:val="00300594"/>
    <w:rsid w:val="00300AF8"/>
    <w:rsid w:val="00300CA9"/>
    <w:rsid w:val="003031E3"/>
    <w:rsid w:val="00303968"/>
    <w:rsid w:val="00303FE4"/>
    <w:rsid w:val="0030436E"/>
    <w:rsid w:val="00304FFA"/>
    <w:rsid w:val="0030521F"/>
    <w:rsid w:val="00305960"/>
    <w:rsid w:val="003072E8"/>
    <w:rsid w:val="00307391"/>
    <w:rsid w:val="003073A1"/>
    <w:rsid w:val="003079EC"/>
    <w:rsid w:val="00307CEF"/>
    <w:rsid w:val="003114C6"/>
    <w:rsid w:val="003115F3"/>
    <w:rsid w:val="00311B84"/>
    <w:rsid w:val="00311FBD"/>
    <w:rsid w:val="00313665"/>
    <w:rsid w:val="0031371D"/>
    <w:rsid w:val="00314058"/>
    <w:rsid w:val="00314318"/>
    <w:rsid w:val="00315302"/>
    <w:rsid w:val="00315347"/>
    <w:rsid w:val="00315545"/>
    <w:rsid w:val="00315974"/>
    <w:rsid w:val="00315C9D"/>
    <w:rsid w:val="00315DD5"/>
    <w:rsid w:val="003164B2"/>
    <w:rsid w:val="00316559"/>
    <w:rsid w:val="003200CF"/>
    <w:rsid w:val="00320844"/>
    <w:rsid w:val="00320EF4"/>
    <w:rsid w:val="00322DA1"/>
    <w:rsid w:val="003234B2"/>
    <w:rsid w:val="00323CC0"/>
    <w:rsid w:val="003258BF"/>
    <w:rsid w:val="00326E41"/>
    <w:rsid w:val="003317AA"/>
    <w:rsid w:val="00332CC7"/>
    <w:rsid w:val="00332DB6"/>
    <w:rsid w:val="003338F1"/>
    <w:rsid w:val="0033488E"/>
    <w:rsid w:val="003352CA"/>
    <w:rsid w:val="0033590B"/>
    <w:rsid w:val="00335E39"/>
    <w:rsid w:val="00336BC1"/>
    <w:rsid w:val="00337923"/>
    <w:rsid w:val="003402FA"/>
    <w:rsid w:val="00340918"/>
    <w:rsid w:val="00341549"/>
    <w:rsid w:val="00342B68"/>
    <w:rsid w:val="00343833"/>
    <w:rsid w:val="00343B89"/>
    <w:rsid w:val="00343CCF"/>
    <w:rsid w:val="00343F31"/>
    <w:rsid w:val="00344527"/>
    <w:rsid w:val="00345D79"/>
    <w:rsid w:val="00350190"/>
    <w:rsid w:val="003509E7"/>
    <w:rsid w:val="00350B0D"/>
    <w:rsid w:val="00350C47"/>
    <w:rsid w:val="00350E42"/>
    <w:rsid w:val="0035277D"/>
    <w:rsid w:val="003531E9"/>
    <w:rsid w:val="00354616"/>
    <w:rsid w:val="003548D8"/>
    <w:rsid w:val="003561AB"/>
    <w:rsid w:val="00356958"/>
    <w:rsid w:val="00356B48"/>
    <w:rsid w:val="0035723E"/>
    <w:rsid w:val="00357808"/>
    <w:rsid w:val="00362518"/>
    <w:rsid w:val="0036291D"/>
    <w:rsid w:val="00363355"/>
    <w:rsid w:val="0036592C"/>
    <w:rsid w:val="00365DA9"/>
    <w:rsid w:val="00366F45"/>
    <w:rsid w:val="00367260"/>
    <w:rsid w:val="0036728F"/>
    <w:rsid w:val="0036752F"/>
    <w:rsid w:val="00370013"/>
    <w:rsid w:val="00370258"/>
    <w:rsid w:val="00370972"/>
    <w:rsid w:val="00371EBB"/>
    <w:rsid w:val="0037240B"/>
    <w:rsid w:val="0037256C"/>
    <w:rsid w:val="003748EA"/>
    <w:rsid w:val="00374924"/>
    <w:rsid w:val="00374BBA"/>
    <w:rsid w:val="0037591E"/>
    <w:rsid w:val="00375B79"/>
    <w:rsid w:val="00377A71"/>
    <w:rsid w:val="00383368"/>
    <w:rsid w:val="003834E3"/>
    <w:rsid w:val="003835F4"/>
    <w:rsid w:val="00385870"/>
    <w:rsid w:val="0038591C"/>
    <w:rsid w:val="00385D34"/>
    <w:rsid w:val="0038742E"/>
    <w:rsid w:val="00390429"/>
    <w:rsid w:val="00390675"/>
    <w:rsid w:val="0039159C"/>
    <w:rsid w:val="00391B3D"/>
    <w:rsid w:val="003921BA"/>
    <w:rsid w:val="00393266"/>
    <w:rsid w:val="003932FC"/>
    <w:rsid w:val="003943B9"/>
    <w:rsid w:val="00394844"/>
    <w:rsid w:val="0039534A"/>
    <w:rsid w:val="003957B5"/>
    <w:rsid w:val="00395896"/>
    <w:rsid w:val="00395D71"/>
    <w:rsid w:val="00395E7C"/>
    <w:rsid w:val="003960D8"/>
    <w:rsid w:val="00396137"/>
    <w:rsid w:val="00396D0F"/>
    <w:rsid w:val="0039719F"/>
    <w:rsid w:val="00397419"/>
    <w:rsid w:val="00397717"/>
    <w:rsid w:val="00397819"/>
    <w:rsid w:val="0039793D"/>
    <w:rsid w:val="00397FFE"/>
    <w:rsid w:val="003A0189"/>
    <w:rsid w:val="003A0590"/>
    <w:rsid w:val="003A0740"/>
    <w:rsid w:val="003A1322"/>
    <w:rsid w:val="003A1787"/>
    <w:rsid w:val="003A189C"/>
    <w:rsid w:val="003A18B8"/>
    <w:rsid w:val="003A3076"/>
    <w:rsid w:val="003A3438"/>
    <w:rsid w:val="003A3C01"/>
    <w:rsid w:val="003A3D6C"/>
    <w:rsid w:val="003A5D78"/>
    <w:rsid w:val="003A5D8E"/>
    <w:rsid w:val="003A5DAF"/>
    <w:rsid w:val="003A6D3D"/>
    <w:rsid w:val="003B0463"/>
    <w:rsid w:val="003B0680"/>
    <w:rsid w:val="003B0C75"/>
    <w:rsid w:val="003B17E4"/>
    <w:rsid w:val="003B253D"/>
    <w:rsid w:val="003B27E1"/>
    <w:rsid w:val="003B2920"/>
    <w:rsid w:val="003B36D9"/>
    <w:rsid w:val="003B3C2A"/>
    <w:rsid w:val="003B3E7A"/>
    <w:rsid w:val="003B3EDB"/>
    <w:rsid w:val="003B4022"/>
    <w:rsid w:val="003B4339"/>
    <w:rsid w:val="003B46D9"/>
    <w:rsid w:val="003B4996"/>
    <w:rsid w:val="003B5115"/>
    <w:rsid w:val="003B541A"/>
    <w:rsid w:val="003B59CA"/>
    <w:rsid w:val="003B5A70"/>
    <w:rsid w:val="003B681E"/>
    <w:rsid w:val="003B68D8"/>
    <w:rsid w:val="003B690F"/>
    <w:rsid w:val="003B7466"/>
    <w:rsid w:val="003B762E"/>
    <w:rsid w:val="003C0FE3"/>
    <w:rsid w:val="003C2777"/>
    <w:rsid w:val="003C3DC9"/>
    <w:rsid w:val="003C3F78"/>
    <w:rsid w:val="003C40F5"/>
    <w:rsid w:val="003C5FCA"/>
    <w:rsid w:val="003C654D"/>
    <w:rsid w:val="003C6606"/>
    <w:rsid w:val="003C6F64"/>
    <w:rsid w:val="003C718F"/>
    <w:rsid w:val="003C781A"/>
    <w:rsid w:val="003D23C0"/>
    <w:rsid w:val="003D2A15"/>
    <w:rsid w:val="003D2F99"/>
    <w:rsid w:val="003D333F"/>
    <w:rsid w:val="003D41B1"/>
    <w:rsid w:val="003D4C61"/>
    <w:rsid w:val="003D55AE"/>
    <w:rsid w:val="003D62D2"/>
    <w:rsid w:val="003D681E"/>
    <w:rsid w:val="003D6E33"/>
    <w:rsid w:val="003D7791"/>
    <w:rsid w:val="003D7AB8"/>
    <w:rsid w:val="003E1021"/>
    <w:rsid w:val="003E158B"/>
    <w:rsid w:val="003E19DE"/>
    <w:rsid w:val="003E2957"/>
    <w:rsid w:val="003E3295"/>
    <w:rsid w:val="003E38B3"/>
    <w:rsid w:val="003E3C7F"/>
    <w:rsid w:val="003E406B"/>
    <w:rsid w:val="003E482A"/>
    <w:rsid w:val="003E4BFC"/>
    <w:rsid w:val="003E5263"/>
    <w:rsid w:val="003E73FA"/>
    <w:rsid w:val="003E7F10"/>
    <w:rsid w:val="003F0179"/>
    <w:rsid w:val="003F2644"/>
    <w:rsid w:val="003F38A3"/>
    <w:rsid w:val="003F3E1A"/>
    <w:rsid w:val="003F49CF"/>
    <w:rsid w:val="003F64C0"/>
    <w:rsid w:val="003F6BE1"/>
    <w:rsid w:val="003F6E9A"/>
    <w:rsid w:val="003F7C58"/>
    <w:rsid w:val="003F7C6F"/>
    <w:rsid w:val="004004AF"/>
    <w:rsid w:val="00400BD6"/>
    <w:rsid w:val="00401557"/>
    <w:rsid w:val="00401EC9"/>
    <w:rsid w:val="004023FF"/>
    <w:rsid w:val="00402B96"/>
    <w:rsid w:val="004039CC"/>
    <w:rsid w:val="00404886"/>
    <w:rsid w:val="00407AD1"/>
    <w:rsid w:val="0041174C"/>
    <w:rsid w:val="00411911"/>
    <w:rsid w:val="0041233C"/>
    <w:rsid w:val="00412CAA"/>
    <w:rsid w:val="00412CC2"/>
    <w:rsid w:val="0041304F"/>
    <w:rsid w:val="004133B1"/>
    <w:rsid w:val="00413596"/>
    <w:rsid w:val="00415253"/>
    <w:rsid w:val="004154A7"/>
    <w:rsid w:val="0041582A"/>
    <w:rsid w:val="004158F0"/>
    <w:rsid w:val="00415CC1"/>
    <w:rsid w:val="004161C8"/>
    <w:rsid w:val="0041644E"/>
    <w:rsid w:val="0041687A"/>
    <w:rsid w:val="0041726A"/>
    <w:rsid w:val="00417545"/>
    <w:rsid w:val="00420BE4"/>
    <w:rsid w:val="00421028"/>
    <w:rsid w:val="00422D69"/>
    <w:rsid w:val="00422FBC"/>
    <w:rsid w:val="00424208"/>
    <w:rsid w:val="004244D4"/>
    <w:rsid w:val="004245FA"/>
    <w:rsid w:val="00424FBA"/>
    <w:rsid w:val="0042500C"/>
    <w:rsid w:val="00425B8B"/>
    <w:rsid w:val="00427380"/>
    <w:rsid w:val="00427E7A"/>
    <w:rsid w:val="004307C8"/>
    <w:rsid w:val="004326F1"/>
    <w:rsid w:val="004329AA"/>
    <w:rsid w:val="00432A99"/>
    <w:rsid w:val="00432D6B"/>
    <w:rsid w:val="00433230"/>
    <w:rsid w:val="00433538"/>
    <w:rsid w:val="00433AD8"/>
    <w:rsid w:val="00433BB5"/>
    <w:rsid w:val="004345B2"/>
    <w:rsid w:val="00434712"/>
    <w:rsid w:val="00434D5C"/>
    <w:rsid w:val="00434E56"/>
    <w:rsid w:val="00435604"/>
    <w:rsid w:val="00436DAD"/>
    <w:rsid w:val="004371E1"/>
    <w:rsid w:val="00437C47"/>
    <w:rsid w:val="00437C94"/>
    <w:rsid w:val="004409BD"/>
    <w:rsid w:val="00442442"/>
    <w:rsid w:val="00443AC0"/>
    <w:rsid w:val="00445187"/>
    <w:rsid w:val="00445C8D"/>
    <w:rsid w:val="00445F9E"/>
    <w:rsid w:val="0044621C"/>
    <w:rsid w:val="0044660F"/>
    <w:rsid w:val="004479B6"/>
    <w:rsid w:val="00447F68"/>
    <w:rsid w:val="00450E3D"/>
    <w:rsid w:val="0045118C"/>
    <w:rsid w:val="004514F5"/>
    <w:rsid w:val="00451891"/>
    <w:rsid w:val="00451958"/>
    <w:rsid w:val="00451DCE"/>
    <w:rsid w:val="00452447"/>
    <w:rsid w:val="004526F5"/>
    <w:rsid w:val="00453EF7"/>
    <w:rsid w:val="0045458F"/>
    <w:rsid w:val="00454C55"/>
    <w:rsid w:val="00454C89"/>
    <w:rsid w:val="00455A4A"/>
    <w:rsid w:val="00456879"/>
    <w:rsid w:val="00457055"/>
    <w:rsid w:val="004570A9"/>
    <w:rsid w:val="0046212F"/>
    <w:rsid w:val="00462F8F"/>
    <w:rsid w:val="00463E66"/>
    <w:rsid w:val="004656C7"/>
    <w:rsid w:val="00465AE7"/>
    <w:rsid w:val="00466191"/>
    <w:rsid w:val="0046648C"/>
    <w:rsid w:val="00466929"/>
    <w:rsid w:val="004671B1"/>
    <w:rsid w:val="00470CAB"/>
    <w:rsid w:val="00470D7B"/>
    <w:rsid w:val="00471A93"/>
    <w:rsid w:val="00471E3F"/>
    <w:rsid w:val="00472573"/>
    <w:rsid w:val="00473406"/>
    <w:rsid w:val="00473C52"/>
    <w:rsid w:val="00475389"/>
    <w:rsid w:val="0047555A"/>
    <w:rsid w:val="00475E56"/>
    <w:rsid w:val="004777D4"/>
    <w:rsid w:val="00480238"/>
    <w:rsid w:val="00480991"/>
    <w:rsid w:val="00481316"/>
    <w:rsid w:val="00481A40"/>
    <w:rsid w:val="00483023"/>
    <w:rsid w:val="0048355B"/>
    <w:rsid w:val="00483F3D"/>
    <w:rsid w:val="00484C97"/>
    <w:rsid w:val="00485C11"/>
    <w:rsid w:val="00485D55"/>
    <w:rsid w:val="00486CC6"/>
    <w:rsid w:val="00491936"/>
    <w:rsid w:val="00491B81"/>
    <w:rsid w:val="0049238F"/>
    <w:rsid w:val="0049243A"/>
    <w:rsid w:val="00493483"/>
    <w:rsid w:val="00494137"/>
    <w:rsid w:val="004944B3"/>
    <w:rsid w:val="004948C8"/>
    <w:rsid w:val="004963FC"/>
    <w:rsid w:val="00496538"/>
    <w:rsid w:val="00496D9B"/>
    <w:rsid w:val="00497519"/>
    <w:rsid w:val="004979BC"/>
    <w:rsid w:val="004A0C89"/>
    <w:rsid w:val="004A1387"/>
    <w:rsid w:val="004A1CF7"/>
    <w:rsid w:val="004A1E4C"/>
    <w:rsid w:val="004A2342"/>
    <w:rsid w:val="004A3072"/>
    <w:rsid w:val="004A452B"/>
    <w:rsid w:val="004A500A"/>
    <w:rsid w:val="004A5608"/>
    <w:rsid w:val="004A5687"/>
    <w:rsid w:val="004A5A3F"/>
    <w:rsid w:val="004A7B87"/>
    <w:rsid w:val="004B02C3"/>
    <w:rsid w:val="004B0C07"/>
    <w:rsid w:val="004B29C0"/>
    <w:rsid w:val="004B35FA"/>
    <w:rsid w:val="004B3D3F"/>
    <w:rsid w:val="004B4EF3"/>
    <w:rsid w:val="004B6100"/>
    <w:rsid w:val="004B6D73"/>
    <w:rsid w:val="004B745A"/>
    <w:rsid w:val="004C0073"/>
    <w:rsid w:val="004C0136"/>
    <w:rsid w:val="004C05FD"/>
    <w:rsid w:val="004C2C98"/>
    <w:rsid w:val="004C2F80"/>
    <w:rsid w:val="004C2FB7"/>
    <w:rsid w:val="004C3093"/>
    <w:rsid w:val="004C4055"/>
    <w:rsid w:val="004C4CC7"/>
    <w:rsid w:val="004C694D"/>
    <w:rsid w:val="004C6A07"/>
    <w:rsid w:val="004C6AB0"/>
    <w:rsid w:val="004C7058"/>
    <w:rsid w:val="004C753E"/>
    <w:rsid w:val="004C7915"/>
    <w:rsid w:val="004C7BF0"/>
    <w:rsid w:val="004D05A2"/>
    <w:rsid w:val="004D2412"/>
    <w:rsid w:val="004D3B36"/>
    <w:rsid w:val="004D4115"/>
    <w:rsid w:val="004D4F7F"/>
    <w:rsid w:val="004D503C"/>
    <w:rsid w:val="004D52C4"/>
    <w:rsid w:val="004D5968"/>
    <w:rsid w:val="004D5C4B"/>
    <w:rsid w:val="004D7043"/>
    <w:rsid w:val="004D74D2"/>
    <w:rsid w:val="004E1CFF"/>
    <w:rsid w:val="004E3636"/>
    <w:rsid w:val="004E38B3"/>
    <w:rsid w:val="004E4280"/>
    <w:rsid w:val="004E540A"/>
    <w:rsid w:val="004E56BA"/>
    <w:rsid w:val="004E582B"/>
    <w:rsid w:val="004E5E6E"/>
    <w:rsid w:val="004E5EE5"/>
    <w:rsid w:val="004E5FB2"/>
    <w:rsid w:val="004E6190"/>
    <w:rsid w:val="004E61E1"/>
    <w:rsid w:val="004E7875"/>
    <w:rsid w:val="004E788C"/>
    <w:rsid w:val="004E7932"/>
    <w:rsid w:val="004E7FAC"/>
    <w:rsid w:val="004F03A5"/>
    <w:rsid w:val="004F0B80"/>
    <w:rsid w:val="004F0BDC"/>
    <w:rsid w:val="004F13EE"/>
    <w:rsid w:val="004F1E03"/>
    <w:rsid w:val="004F21E4"/>
    <w:rsid w:val="004F273D"/>
    <w:rsid w:val="004F294F"/>
    <w:rsid w:val="004F2D0F"/>
    <w:rsid w:val="004F2F1C"/>
    <w:rsid w:val="004F2F44"/>
    <w:rsid w:val="004F31E9"/>
    <w:rsid w:val="004F34BB"/>
    <w:rsid w:val="004F3CBB"/>
    <w:rsid w:val="004F4229"/>
    <w:rsid w:val="004F430B"/>
    <w:rsid w:val="004F4769"/>
    <w:rsid w:val="004F4B96"/>
    <w:rsid w:val="004F574C"/>
    <w:rsid w:val="004F5BA6"/>
    <w:rsid w:val="004F68AA"/>
    <w:rsid w:val="004F6F2F"/>
    <w:rsid w:val="004F7092"/>
    <w:rsid w:val="00500196"/>
    <w:rsid w:val="00500214"/>
    <w:rsid w:val="005010F9"/>
    <w:rsid w:val="0050116B"/>
    <w:rsid w:val="00501286"/>
    <w:rsid w:val="00501D43"/>
    <w:rsid w:val="00501F24"/>
    <w:rsid w:val="005034B6"/>
    <w:rsid w:val="00503B9A"/>
    <w:rsid w:val="00504C14"/>
    <w:rsid w:val="00504EF3"/>
    <w:rsid w:val="00505CEE"/>
    <w:rsid w:val="0050637A"/>
    <w:rsid w:val="00506DAC"/>
    <w:rsid w:val="00507147"/>
    <w:rsid w:val="005077E8"/>
    <w:rsid w:val="00510311"/>
    <w:rsid w:val="0051062D"/>
    <w:rsid w:val="00510E25"/>
    <w:rsid w:val="00511133"/>
    <w:rsid w:val="0051174A"/>
    <w:rsid w:val="005127A7"/>
    <w:rsid w:val="00512EB9"/>
    <w:rsid w:val="00513730"/>
    <w:rsid w:val="00513BD0"/>
    <w:rsid w:val="00515755"/>
    <w:rsid w:val="0051597F"/>
    <w:rsid w:val="005162C1"/>
    <w:rsid w:val="005176F9"/>
    <w:rsid w:val="00517AA1"/>
    <w:rsid w:val="00520557"/>
    <w:rsid w:val="00520931"/>
    <w:rsid w:val="00520BB8"/>
    <w:rsid w:val="00521F62"/>
    <w:rsid w:val="00522028"/>
    <w:rsid w:val="00522CC5"/>
    <w:rsid w:val="00523966"/>
    <w:rsid w:val="00523976"/>
    <w:rsid w:val="00523A1D"/>
    <w:rsid w:val="00524B9A"/>
    <w:rsid w:val="00524C2F"/>
    <w:rsid w:val="005254B3"/>
    <w:rsid w:val="005255CF"/>
    <w:rsid w:val="0052586C"/>
    <w:rsid w:val="00525B72"/>
    <w:rsid w:val="00526064"/>
    <w:rsid w:val="00526942"/>
    <w:rsid w:val="00526E95"/>
    <w:rsid w:val="00526EF8"/>
    <w:rsid w:val="00526FED"/>
    <w:rsid w:val="0052709D"/>
    <w:rsid w:val="00527D37"/>
    <w:rsid w:val="005305EC"/>
    <w:rsid w:val="0053155B"/>
    <w:rsid w:val="00531855"/>
    <w:rsid w:val="00532277"/>
    <w:rsid w:val="0053233F"/>
    <w:rsid w:val="00532BBA"/>
    <w:rsid w:val="00532D7C"/>
    <w:rsid w:val="00533232"/>
    <w:rsid w:val="005357DA"/>
    <w:rsid w:val="00535A65"/>
    <w:rsid w:val="00535C06"/>
    <w:rsid w:val="00535F41"/>
    <w:rsid w:val="005362F0"/>
    <w:rsid w:val="00540054"/>
    <w:rsid w:val="00540714"/>
    <w:rsid w:val="00540D25"/>
    <w:rsid w:val="0054157B"/>
    <w:rsid w:val="00541DD5"/>
    <w:rsid w:val="00542679"/>
    <w:rsid w:val="00542C0B"/>
    <w:rsid w:val="0054375E"/>
    <w:rsid w:val="0054433E"/>
    <w:rsid w:val="00544779"/>
    <w:rsid w:val="00546630"/>
    <w:rsid w:val="005467F5"/>
    <w:rsid w:val="00546DB6"/>
    <w:rsid w:val="00547217"/>
    <w:rsid w:val="00547CDC"/>
    <w:rsid w:val="00550E80"/>
    <w:rsid w:val="0055132D"/>
    <w:rsid w:val="0055156A"/>
    <w:rsid w:val="00551EDA"/>
    <w:rsid w:val="0055235B"/>
    <w:rsid w:val="0055259F"/>
    <w:rsid w:val="00552B00"/>
    <w:rsid w:val="00553E40"/>
    <w:rsid w:val="00553E98"/>
    <w:rsid w:val="0055540C"/>
    <w:rsid w:val="00555A1C"/>
    <w:rsid w:val="00555B45"/>
    <w:rsid w:val="005572A5"/>
    <w:rsid w:val="0056050C"/>
    <w:rsid w:val="00560EE3"/>
    <w:rsid w:val="005612D2"/>
    <w:rsid w:val="005624BB"/>
    <w:rsid w:val="00562F4D"/>
    <w:rsid w:val="00563459"/>
    <w:rsid w:val="00564325"/>
    <w:rsid w:val="00565163"/>
    <w:rsid w:val="005659C7"/>
    <w:rsid w:val="00565B20"/>
    <w:rsid w:val="00565E77"/>
    <w:rsid w:val="00566227"/>
    <w:rsid w:val="0056733D"/>
    <w:rsid w:val="005675BB"/>
    <w:rsid w:val="0056780C"/>
    <w:rsid w:val="0056789C"/>
    <w:rsid w:val="005717F1"/>
    <w:rsid w:val="00571916"/>
    <w:rsid w:val="00572BF6"/>
    <w:rsid w:val="00573351"/>
    <w:rsid w:val="00573409"/>
    <w:rsid w:val="00574127"/>
    <w:rsid w:val="00575B18"/>
    <w:rsid w:val="00576484"/>
    <w:rsid w:val="00576B8A"/>
    <w:rsid w:val="00576C97"/>
    <w:rsid w:val="00580ED4"/>
    <w:rsid w:val="0058146D"/>
    <w:rsid w:val="0058202C"/>
    <w:rsid w:val="005823E7"/>
    <w:rsid w:val="00582CE7"/>
    <w:rsid w:val="00582EEE"/>
    <w:rsid w:val="00582FA9"/>
    <w:rsid w:val="0058351B"/>
    <w:rsid w:val="005843B5"/>
    <w:rsid w:val="005847E1"/>
    <w:rsid w:val="00584B37"/>
    <w:rsid w:val="005860E2"/>
    <w:rsid w:val="0058761B"/>
    <w:rsid w:val="00590922"/>
    <w:rsid w:val="00590BC5"/>
    <w:rsid w:val="00591301"/>
    <w:rsid w:val="0059202E"/>
    <w:rsid w:val="00592042"/>
    <w:rsid w:val="00593B24"/>
    <w:rsid w:val="00594239"/>
    <w:rsid w:val="00594C8C"/>
    <w:rsid w:val="00594F83"/>
    <w:rsid w:val="00595291"/>
    <w:rsid w:val="005958B1"/>
    <w:rsid w:val="00595B12"/>
    <w:rsid w:val="005962DE"/>
    <w:rsid w:val="005965A9"/>
    <w:rsid w:val="0059769C"/>
    <w:rsid w:val="0059769F"/>
    <w:rsid w:val="005A0192"/>
    <w:rsid w:val="005A10EB"/>
    <w:rsid w:val="005A176F"/>
    <w:rsid w:val="005A1B2B"/>
    <w:rsid w:val="005A1F03"/>
    <w:rsid w:val="005A2149"/>
    <w:rsid w:val="005A2362"/>
    <w:rsid w:val="005A2C97"/>
    <w:rsid w:val="005A33F6"/>
    <w:rsid w:val="005A3AFA"/>
    <w:rsid w:val="005A4BC7"/>
    <w:rsid w:val="005A60F4"/>
    <w:rsid w:val="005A6DB2"/>
    <w:rsid w:val="005A7002"/>
    <w:rsid w:val="005A7015"/>
    <w:rsid w:val="005A744D"/>
    <w:rsid w:val="005A75BF"/>
    <w:rsid w:val="005B04DB"/>
    <w:rsid w:val="005B12A5"/>
    <w:rsid w:val="005B20C1"/>
    <w:rsid w:val="005B243A"/>
    <w:rsid w:val="005B2CEA"/>
    <w:rsid w:val="005B35C3"/>
    <w:rsid w:val="005B3DDA"/>
    <w:rsid w:val="005B5406"/>
    <w:rsid w:val="005B5459"/>
    <w:rsid w:val="005B5BC4"/>
    <w:rsid w:val="005B5C32"/>
    <w:rsid w:val="005B6351"/>
    <w:rsid w:val="005B65A0"/>
    <w:rsid w:val="005B78F6"/>
    <w:rsid w:val="005C0259"/>
    <w:rsid w:val="005C1232"/>
    <w:rsid w:val="005C1ED0"/>
    <w:rsid w:val="005C25CA"/>
    <w:rsid w:val="005C34DA"/>
    <w:rsid w:val="005C440E"/>
    <w:rsid w:val="005C4820"/>
    <w:rsid w:val="005C4ACF"/>
    <w:rsid w:val="005C501E"/>
    <w:rsid w:val="005C5B65"/>
    <w:rsid w:val="005C5E28"/>
    <w:rsid w:val="005C6CAE"/>
    <w:rsid w:val="005C7552"/>
    <w:rsid w:val="005D11F7"/>
    <w:rsid w:val="005D2DE6"/>
    <w:rsid w:val="005D46A4"/>
    <w:rsid w:val="005D51D9"/>
    <w:rsid w:val="005D60A3"/>
    <w:rsid w:val="005D78B6"/>
    <w:rsid w:val="005D7A63"/>
    <w:rsid w:val="005E128F"/>
    <w:rsid w:val="005E1CB5"/>
    <w:rsid w:val="005E2440"/>
    <w:rsid w:val="005E2985"/>
    <w:rsid w:val="005E3A55"/>
    <w:rsid w:val="005E3DCE"/>
    <w:rsid w:val="005E5C71"/>
    <w:rsid w:val="005E69D5"/>
    <w:rsid w:val="005E7F3A"/>
    <w:rsid w:val="005F0471"/>
    <w:rsid w:val="005F11A5"/>
    <w:rsid w:val="005F34C1"/>
    <w:rsid w:val="005F3990"/>
    <w:rsid w:val="005F497F"/>
    <w:rsid w:val="005F52DE"/>
    <w:rsid w:val="005F570F"/>
    <w:rsid w:val="005F59E9"/>
    <w:rsid w:val="005F5D75"/>
    <w:rsid w:val="005F6197"/>
    <w:rsid w:val="005F61B5"/>
    <w:rsid w:val="005F7416"/>
    <w:rsid w:val="005F7484"/>
    <w:rsid w:val="00600EC7"/>
    <w:rsid w:val="00601EE2"/>
    <w:rsid w:val="00602645"/>
    <w:rsid w:val="0060291B"/>
    <w:rsid w:val="00603541"/>
    <w:rsid w:val="00604E4E"/>
    <w:rsid w:val="00605168"/>
    <w:rsid w:val="0060566C"/>
    <w:rsid w:val="006057A8"/>
    <w:rsid w:val="00605FE2"/>
    <w:rsid w:val="006060F3"/>
    <w:rsid w:val="00610F04"/>
    <w:rsid w:val="0061104F"/>
    <w:rsid w:val="00611C54"/>
    <w:rsid w:val="00612C32"/>
    <w:rsid w:val="00613241"/>
    <w:rsid w:val="0061342B"/>
    <w:rsid w:val="00613A48"/>
    <w:rsid w:val="006143D1"/>
    <w:rsid w:val="00614C0D"/>
    <w:rsid w:val="00614E47"/>
    <w:rsid w:val="00615642"/>
    <w:rsid w:val="00615E1F"/>
    <w:rsid w:val="006163F6"/>
    <w:rsid w:val="00616F8F"/>
    <w:rsid w:val="00617C6A"/>
    <w:rsid w:val="00617CA5"/>
    <w:rsid w:val="00620484"/>
    <w:rsid w:val="00620BC3"/>
    <w:rsid w:val="00620F74"/>
    <w:rsid w:val="00621503"/>
    <w:rsid w:val="006217A0"/>
    <w:rsid w:val="006219D6"/>
    <w:rsid w:val="00622469"/>
    <w:rsid w:val="00622C1F"/>
    <w:rsid w:val="006230E6"/>
    <w:rsid w:val="00624F13"/>
    <w:rsid w:val="006250F6"/>
    <w:rsid w:val="00625C80"/>
    <w:rsid w:val="006265D1"/>
    <w:rsid w:val="00630C6B"/>
    <w:rsid w:val="00631FAA"/>
    <w:rsid w:val="00634E1A"/>
    <w:rsid w:val="00634F27"/>
    <w:rsid w:val="00635A19"/>
    <w:rsid w:val="0063624D"/>
    <w:rsid w:val="00637C97"/>
    <w:rsid w:val="00641457"/>
    <w:rsid w:val="006414E5"/>
    <w:rsid w:val="00641BD8"/>
    <w:rsid w:val="00641E84"/>
    <w:rsid w:val="006423A1"/>
    <w:rsid w:val="006424B1"/>
    <w:rsid w:val="00642EBE"/>
    <w:rsid w:val="00643205"/>
    <w:rsid w:val="00644ADE"/>
    <w:rsid w:val="00644E67"/>
    <w:rsid w:val="00644EB5"/>
    <w:rsid w:val="00645090"/>
    <w:rsid w:val="006502F5"/>
    <w:rsid w:val="00650A85"/>
    <w:rsid w:val="006510C9"/>
    <w:rsid w:val="00651669"/>
    <w:rsid w:val="0065178A"/>
    <w:rsid w:val="006550B3"/>
    <w:rsid w:val="0066087F"/>
    <w:rsid w:val="006611CE"/>
    <w:rsid w:val="00661AE2"/>
    <w:rsid w:val="00661D28"/>
    <w:rsid w:val="006623B1"/>
    <w:rsid w:val="00662C17"/>
    <w:rsid w:val="006630C5"/>
    <w:rsid w:val="00663BEA"/>
    <w:rsid w:val="006640F9"/>
    <w:rsid w:val="00664711"/>
    <w:rsid w:val="006649B7"/>
    <w:rsid w:val="00664EC1"/>
    <w:rsid w:val="00665086"/>
    <w:rsid w:val="00666ABB"/>
    <w:rsid w:val="00666CAC"/>
    <w:rsid w:val="006678D6"/>
    <w:rsid w:val="00670299"/>
    <w:rsid w:val="00670A74"/>
    <w:rsid w:val="00670B69"/>
    <w:rsid w:val="006716FB"/>
    <w:rsid w:val="006717AF"/>
    <w:rsid w:val="00673F87"/>
    <w:rsid w:val="006740F3"/>
    <w:rsid w:val="00674C24"/>
    <w:rsid w:val="006751A4"/>
    <w:rsid w:val="006752D7"/>
    <w:rsid w:val="006754FE"/>
    <w:rsid w:val="006775D0"/>
    <w:rsid w:val="00680222"/>
    <w:rsid w:val="0068085B"/>
    <w:rsid w:val="006809FA"/>
    <w:rsid w:val="0068264C"/>
    <w:rsid w:val="00682C13"/>
    <w:rsid w:val="00682C6C"/>
    <w:rsid w:val="0068467C"/>
    <w:rsid w:val="006848DD"/>
    <w:rsid w:val="006860BD"/>
    <w:rsid w:val="00686406"/>
    <w:rsid w:val="006865E5"/>
    <w:rsid w:val="00686A83"/>
    <w:rsid w:val="00687D92"/>
    <w:rsid w:val="0069066A"/>
    <w:rsid w:val="0069077B"/>
    <w:rsid w:val="00691084"/>
    <w:rsid w:val="0069119B"/>
    <w:rsid w:val="006919FD"/>
    <w:rsid w:val="00691A30"/>
    <w:rsid w:val="0069252B"/>
    <w:rsid w:val="00692562"/>
    <w:rsid w:val="006925B6"/>
    <w:rsid w:val="0069392E"/>
    <w:rsid w:val="00694A40"/>
    <w:rsid w:val="00695F01"/>
    <w:rsid w:val="00696206"/>
    <w:rsid w:val="00697674"/>
    <w:rsid w:val="006977F4"/>
    <w:rsid w:val="00697C12"/>
    <w:rsid w:val="0069957A"/>
    <w:rsid w:val="006A0598"/>
    <w:rsid w:val="006A110E"/>
    <w:rsid w:val="006A16CF"/>
    <w:rsid w:val="006A1BDB"/>
    <w:rsid w:val="006A24E9"/>
    <w:rsid w:val="006A2EA6"/>
    <w:rsid w:val="006A3495"/>
    <w:rsid w:val="006A45A8"/>
    <w:rsid w:val="006A4FDA"/>
    <w:rsid w:val="006A6025"/>
    <w:rsid w:val="006A6B0F"/>
    <w:rsid w:val="006A7E17"/>
    <w:rsid w:val="006B0C0A"/>
    <w:rsid w:val="006B1632"/>
    <w:rsid w:val="006B1C2D"/>
    <w:rsid w:val="006B1F50"/>
    <w:rsid w:val="006B279C"/>
    <w:rsid w:val="006B2CFB"/>
    <w:rsid w:val="006B2E14"/>
    <w:rsid w:val="006B30CB"/>
    <w:rsid w:val="006B30F8"/>
    <w:rsid w:val="006B374F"/>
    <w:rsid w:val="006B3A59"/>
    <w:rsid w:val="006B3C84"/>
    <w:rsid w:val="006B4708"/>
    <w:rsid w:val="006B4CBE"/>
    <w:rsid w:val="006B4FF6"/>
    <w:rsid w:val="006B5088"/>
    <w:rsid w:val="006B6A1C"/>
    <w:rsid w:val="006B74D0"/>
    <w:rsid w:val="006B7A52"/>
    <w:rsid w:val="006C0D33"/>
    <w:rsid w:val="006C123C"/>
    <w:rsid w:val="006C1D8A"/>
    <w:rsid w:val="006C1E18"/>
    <w:rsid w:val="006C3BB3"/>
    <w:rsid w:val="006C3DF6"/>
    <w:rsid w:val="006C4CEC"/>
    <w:rsid w:val="006C5240"/>
    <w:rsid w:val="006C5F84"/>
    <w:rsid w:val="006C705F"/>
    <w:rsid w:val="006C7CB4"/>
    <w:rsid w:val="006D0608"/>
    <w:rsid w:val="006D0FAC"/>
    <w:rsid w:val="006D280A"/>
    <w:rsid w:val="006D2BF0"/>
    <w:rsid w:val="006D342F"/>
    <w:rsid w:val="006D3CC8"/>
    <w:rsid w:val="006D472B"/>
    <w:rsid w:val="006D55A9"/>
    <w:rsid w:val="006D5A96"/>
    <w:rsid w:val="006E0020"/>
    <w:rsid w:val="006E098A"/>
    <w:rsid w:val="006E2DFD"/>
    <w:rsid w:val="006E3170"/>
    <w:rsid w:val="006E37EF"/>
    <w:rsid w:val="006E3A42"/>
    <w:rsid w:val="006E4477"/>
    <w:rsid w:val="006E4CB8"/>
    <w:rsid w:val="006E5A85"/>
    <w:rsid w:val="006E5C28"/>
    <w:rsid w:val="006E6412"/>
    <w:rsid w:val="006F0349"/>
    <w:rsid w:val="006F12A8"/>
    <w:rsid w:val="006F28DE"/>
    <w:rsid w:val="006F3D9B"/>
    <w:rsid w:val="006F3E6E"/>
    <w:rsid w:val="006F4145"/>
    <w:rsid w:val="006F5439"/>
    <w:rsid w:val="006F5911"/>
    <w:rsid w:val="006F5C98"/>
    <w:rsid w:val="006F6C6B"/>
    <w:rsid w:val="006F6DB1"/>
    <w:rsid w:val="006F7057"/>
    <w:rsid w:val="00701349"/>
    <w:rsid w:val="0070157E"/>
    <w:rsid w:val="0070197A"/>
    <w:rsid w:val="00701CC0"/>
    <w:rsid w:val="007022FA"/>
    <w:rsid w:val="00703323"/>
    <w:rsid w:val="00704567"/>
    <w:rsid w:val="00704972"/>
    <w:rsid w:val="00705C5A"/>
    <w:rsid w:val="00705D0E"/>
    <w:rsid w:val="00706510"/>
    <w:rsid w:val="00706A66"/>
    <w:rsid w:val="00711A53"/>
    <w:rsid w:val="007127BF"/>
    <w:rsid w:val="00713598"/>
    <w:rsid w:val="00713B1A"/>
    <w:rsid w:val="007148D0"/>
    <w:rsid w:val="007159AE"/>
    <w:rsid w:val="00715B07"/>
    <w:rsid w:val="00720630"/>
    <w:rsid w:val="007215BA"/>
    <w:rsid w:val="00721936"/>
    <w:rsid w:val="007236A4"/>
    <w:rsid w:val="0072526B"/>
    <w:rsid w:val="00725421"/>
    <w:rsid w:val="00725734"/>
    <w:rsid w:val="007261F7"/>
    <w:rsid w:val="00726690"/>
    <w:rsid w:val="00726B5E"/>
    <w:rsid w:val="00726CA5"/>
    <w:rsid w:val="0073045B"/>
    <w:rsid w:val="00730853"/>
    <w:rsid w:val="007308FD"/>
    <w:rsid w:val="00730E31"/>
    <w:rsid w:val="00731357"/>
    <w:rsid w:val="007315E0"/>
    <w:rsid w:val="007317B2"/>
    <w:rsid w:val="007323F3"/>
    <w:rsid w:val="0073252C"/>
    <w:rsid w:val="00732E49"/>
    <w:rsid w:val="00733FD8"/>
    <w:rsid w:val="00734559"/>
    <w:rsid w:val="00734AAA"/>
    <w:rsid w:val="00734E0E"/>
    <w:rsid w:val="00735227"/>
    <w:rsid w:val="007353E0"/>
    <w:rsid w:val="00736170"/>
    <w:rsid w:val="00736559"/>
    <w:rsid w:val="0073758D"/>
    <w:rsid w:val="00737CA8"/>
    <w:rsid w:val="0074042C"/>
    <w:rsid w:val="00740BF2"/>
    <w:rsid w:val="007416D2"/>
    <w:rsid w:val="00741BB8"/>
    <w:rsid w:val="0074236F"/>
    <w:rsid w:val="00742F75"/>
    <w:rsid w:val="0074335F"/>
    <w:rsid w:val="00745C98"/>
    <w:rsid w:val="00745E65"/>
    <w:rsid w:val="007466C0"/>
    <w:rsid w:val="00746F32"/>
    <w:rsid w:val="0075128F"/>
    <w:rsid w:val="00751298"/>
    <w:rsid w:val="00751ADC"/>
    <w:rsid w:val="007524D3"/>
    <w:rsid w:val="00753168"/>
    <w:rsid w:val="00754453"/>
    <w:rsid w:val="007544FC"/>
    <w:rsid w:val="00755A91"/>
    <w:rsid w:val="00756D0C"/>
    <w:rsid w:val="00757ED6"/>
    <w:rsid w:val="00760179"/>
    <w:rsid w:val="00762EB0"/>
    <w:rsid w:val="00763AEC"/>
    <w:rsid w:val="00763BB2"/>
    <w:rsid w:val="007647BE"/>
    <w:rsid w:val="00764B6D"/>
    <w:rsid w:val="00764DF8"/>
    <w:rsid w:val="00765192"/>
    <w:rsid w:val="00765776"/>
    <w:rsid w:val="00765B26"/>
    <w:rsid w:val="007661CA"/>
    <w:rsid w:val="007667CA"/>
    <w:rsid w:val="007676B7"/>
    <w:rsid w:val="00770883"/>
    <w:rsid w:val="00770FAD"/>
    <w:rsid w:val="007714C6"/>
    <w:rsid w:val="00771A14"/>
    <w:rsid w:val="00771B93"/>
    <w:rsid w:val="00772ECC"/>
    <w:rsid w:val="00773EF2"/>
    <w:rsid w:val="00773FA3"/>
    <w:rsid w:val="00775BBF"/>
    <w:rsid w:val="0077746F"/>
    <w:rsid w:val="00777F9F"/>
    <w:rsid w:val="00777FE8"/>
    <w:rsid w:val="00780F06"/>
    <w:rsid w:val="00782C81"/>
    <w:rsid w:val="00783F54"/>
    <w:rsid w:val="007844AB"/>
    <w:rsid w:val="00784A1E"/>
    <w:rsid w:val="007858A4"/>
    <w:rsid w:val="007861A7"/>
    <w:rsid w:val="00786A7D"/>
    <w:rsid w:val="00786D13"/>
    <w:rsid w:val="00787866"/>
    <w:rsid w:val="00787991"/>
    <w:rsid w:val="00787D87"/>
    <w:rsid w:val="0079026D"/>
    <w:rsid w:val="00790650"/>
    <w:rsid w:val="007938AC"/>
    <w:rsid w:val="00793C40"/>
    <w:rsid w:val="007941CE"/>
    <w:rsid w:val="00794926"/>
    <w:rsid w:val="00794B3D"/>
    <w:rsid w:val="00795B68"/>
    <w:rsid w:val="00796245"/>
    <w:rsid w:val="007967D4"/>
    <w:rsid w:val="00797654"/>
    <w:rsid w:val="00797C5F"/>
    <w:rsid w:val="007A0F72"/>
    <w:rsid w:val="007A16A1"/>
    <w:rsid w:val="007A1FBC"/>
    <w:rsid w:val="007A211D"/>
    <w:rsid w:val="007A27ED"/>
    <w:rsid w:val="007A2826"/>
    <w:rsid w:val="007A2A0F"/>
    <w:rsid w:val="007A43DF"/>
    <w:rsid w:val="007A461D"/>
    <w:rsid w:val="007A515B"/>
    <w:rsid w:val="007A5425"/>
    <w:rsid w:val="007A5CC0"/>
    <w:rsid w:val="007A76F8"/>
    <w:rsid w:val="007A7770"/>
    <w:rsid w:val="007A7DB8"/>
    <w:rsid w:val="007B00B3"/>
    <w:rsid w:val="007B02BF"/>
    <w:rsid w:val="007B0499"/>
    <w:rsid w:val="007B0665"/>
    <w:rsid w:val="007B3B70"/>
    <w:rsid w:val="007B3D89"/>
    <w:rsid w:val="007B4244"/>
    <w:rsid w:val="007B4E80"/>
    <w:rsid w:val="007B51CB"/>
    <w:rsid w:val="007B52F9"/>
    <w:rsid w:val="007B53BF"/>
    <w:rsid w:val="007B5448"/>
    <w:rsid w:val="007B5B96"/>
    <w:rsid w:val="007B6C78"/>
    <w:rsid w:val="007B7211"/>
    <w:rsid w:val="007B78B5"/>
    <w:rsid w:val="007C0306"/>
    <w:rsid w:val="007C139A"/>
    <w:rsid w:val="007C16C3"/>
    <w:rsid w:val="007C28CD"/>
    <w:rsid w:val="007C336B"/>
    <w:rsid w:val="007C511D"/>
    <w:rsid w:val="007C554B"/>
    <w:rsid w:val="007C6627"/>
    <w:rsid w:val="007C68D3"/>
    <w:rsid w:val="007C6A64"/>
    <w:rsid w:val="007C7104"/>
    <w:rsid w:val="007D0333"/>
    <w:rsid w:val="007D08BF"/>
    <w:rsid w:val="007D094F"/>
    <w:rsid w:val="007D0BBE"/>
    <w:rsid w:val="007D0CDC"/>
    <w:rsid w:val="007D1A28"/>
    <w:rsid w:val="007D2502"/>
    <w:rsid w:val="007D3537"/>
    <w:rsid w:val="007D440F"/>
    <w:rsid w:val="007D4457"/>
    <w:rsid w:val="007D5071"/>
    <w:rsid w:val="007D60F5"/>
    <w:rsid w:val="007D69FA"/>
    <w:rsid w:val="007D6E74"/>
    <w:rsid w:val="007D7593"/>
    <w:rsid w:val="007D7BF9"/>
    <w:rsid w:val="007E0280"/>
    <w:rsid w:val="007E0344"/>
    <w:rsid w:val="007E05F4"/>
    <w:rsid w:val="007E0AB4"/>
    <w:rsid w:val="007E3516"/>
    <w:rsid w:val="007E37B7"/>
    <w:rsid w:val="007E3A0D"/>
    <w:rsid w:val="007E4BCE"/>
    <w:rsid w:val="007E52CE"/>
    <w:rsid w:val="007E5589"/>
    <w:rsid w:val="007E5976"/>
    <w:rsid w:val="007E5D0C"/>
    <w:rsid w:val="007E7053"/>
    <w:rsid w:val="007E705C"/>
    <w:rsid w:val="007F1C51"/>
    <w:rsid w:val="007F2366"/>
    <w:rsid w:val="007F2D1B"/>
    <w:rsid w:val="007F3E18"/>
    <w:rsid w:val="007F4082"/>
    <w:rsid w:val="007F4790"/>
    <w:rsid w:val="007F5190"/>
    <w:rsid w:val="007F59D3"/>
    <w:rsid w:val="007F5BD3"/>
    <w:rsid w:val="007F5C18"/>
    <w:rsid w:val="007F6299"/>
    <w:rsid w:val="007F64FF"/>
    <w:rsid w:val="007F66AC"/>
    <w:rsid w:val="007F689F"/>
    <w:rsid w:val="007F7045"/>
    <w:rsid w:val="007F7DF2"/>
    <w:rsid w:val="0080047B"/>
    <w:rsid w:val="0080053F"/>
    <w:rsid w:val="00800CD1"/>
    <w:rsid w:val="00801BEE"/>
    <w:rsid w:val="00801C17"/>
    <w:rsid w:val="0080251C"/>
    <w:rsid w:val="00802C89"/>
    <w:rsid w:val="00802E21"/>
    <w:rsid w:val="008038EA"/>
    <w:rsid w:val="00804DC9"/>
    <w:rsid w:val="0080522C"/>
    <w:rsid w:val="00805699"/>
    <w:rsid w:val="00805CB7"/>
    <w:rsid w:val="008061E2"/>
    <w:rsid w:val="00806AA3"/>
    <w:rsid w:val="0081334B"/>
    <w:rsid w:val="00813A5D"/>
    <w:rsid w:val="008141B8"/>
    <w:rsid w:val="008151CB"/>
    <w:rsid w:val="0081532E"/>
    <w:rsid w:val="00815B50"/>
    <w:rsid w:val="00816093"/>
    <w:rsid w:val="00816449"/>
    <w:rsid w:val="00816B09"/>
    <w:rsid w:val="00817107"/>
    <w:rsid w:val="008175B5"/>
    <w:rsid w:val="00817CB4"/>
    <w:rsid w:val="00820697"/>
    <w:rsid w:val="00820792"/>
    <w:rsid w:val="0082137B"/>
    <w:rsid w:val="00822948"/>
    <w:rsid w:val="0082315D"/>
    <w:rsid w:val="00823403"/>
    <w:rsid w:val="00823DCE"/>
    <w:rsid w:val="00823DF1"/>
    <w:rsid w:val="00825179"/>
    <w:rsid w:val="008253EE"/>
    <w:rsid w:val="0082547F"/>
    <w:rsid w:val="008258CB"/>
    <w:rsid w:val="00826D63"/>
    <w:rsid w:val="00827458"/>
    <w:rsid w:val="00827F58"/>
    <w:rsid w:val="008306F0"/>
    <w:rsid w:val="0083108B"/>
    <w:rsid w:val="00831939"/>
    <w:rsid w:val="008319E5"/>
    <w:rsid w:val="00832C05"/>
    <w:rsid w:val="0083355B"/>
    <w:rsid w:val="0083396B"/>
    <w:rsid w:val="00833FB2"/>
    <w:rsid w:val="00834FC3"/>
    <w:rsid w:val="008364D1"/>
    <w:rsid w:val="0084059E"/>
    <w:rsid w:val="008421F6"/>
    <w:rsid w:val="0084246A"/>
    <w:rsid w:val="00842924"/>
    <w:rsid w:val="00843080"/>
    <w:rsid w:val="0084390E"/>
    <w:rsid w:val="00843D45"/>
    <w:rsid w:val="00844021"/>
    <w:rsid w:val="00844096"/>
    <w:rsid w:val="008441A4"/>
    <w:rsid w:val="008441AD"/>
    <w:rsid w:val="00844443"/>
    <w:rsid w:val="00844530"/>
    <w:rsid w:val="00845899"/>
    <w:rsid w:val="00845968"/>
    <w:rsid w:val="00845E13"/>
    <w:rsid w:val="0084684E"/>
    <w:rsid w:val="0084699A"/>
    <w:rsid w:val="008479F9"/>
    <w:rsid w:val="008503CF"/>
    <w:rsid w:val="00850AC1"/>
    <w:rsid w:val="00850EBA"/>
    <w:rsid w:val="00851177"/>
    <w:rsid w:val="008515F6"/>
    <w:rsid w:val="00852392"/>
    <w:rsid w:val="00852DE7"/>
    <w:rsid w:val="00852F0E"/>
    <w:rsid w:val="008534B1"/>
    <w:rsid w:val="00853B77"/>
    <w:rsid w:val="008550E2"/>
    <w:rsid w:val="00855933"/>
    <w:rsid w:val="008562E2"/>
    <w:rsid w:val="00856F3D"/>
    <w:rsid w:val="00857474"/>
    <w:rsid w:val="00857EAD"/>
    <w:rsid w:val="008607BF"/>
    <w:rsid w:val="00862557"/>
    <w:rsid w:val="00863069"/>
    <w:rsid w:val="00863A1C"/>
    <w:rsid w:val="00864E4B"/>
    <w:rsid w:val="00864FB4"/>
    <w:rsid w:val="00865346"/>
    <w:rsid w:val="00866DCB"/>
    <w:rsid w:val="00866E01"/>
    <w:rsid w:val="00870866"/>
    <w:rsid w:val="00872A4B"/>
    <w:rsid w:val="00873A05"/>
    <w:rsid w:val="00873F8C"/>
    <w:rsid w:val="008748AA"/>
    <w:rsid w:val="00874E5B"/>
    <w:rsid w:val="00875C09"/>
    <w:rsid w:val="008766DA"/>
    <w:rsid w:val="00877215"/>
    <w:rsid w:val="00877366"/>
    <w:rsid w:val="008774AA"/>
    <w:rsid w:val="008775C8"/>
    <w:rsid w:val="00877BD5"/>
    <w:rsid w:val="00877DEB"/>
    <w:rsid w:val="0088114F"/>
    <w:rsid w:val="00881978"/>
    <w:rsid w:val="0088244A"/>
    <w:rsid w:val="00882910"/>
    <w:rsid w:val="00884FB3"/>
    <w:rsid w:val="008850EC"/>
    <w:rsid w:val="008867D8"/>
    <w:rsid w:val="00886C3F"/>
    <w:rsid w:val="008876B3"/>
    <w:rsid w:val="008877F7"/>
    <w:rsid w:val="008879CA"/>
    <w:rsid w:val="00887F7C"/>
    <w:rsid w:val="00890265"/>
    <w:rsid w:val="0089028B"/>
    <w:rsid w:val="00890AA4"/>
    <w:rsid w:val="0089184D"/>
    <w:rsid w:val="008918F1"/>
    <w:rsid w:val="00891C26"/>
    <w:rsid w:val="0089243F"/>
    <w:rsid w:val="008941BF"/>
    <w:rsid w:val="00894A47"/>
    <w:rsid w:val="0089555F"/>
    <w:rsid w:val="008956B0"/>
    <w:rsid w:val="008965A1"/>
    <w:rsid w:val="00897288"/>
    <w:rsid w:val="00897CB9"/>
    <w:rsid w:val="008A1CCE"/>
    <w:rsid w:val="008A340B"/>
    <w:rsid w:val="008A4D05"/>
    <w:rsid w:val="008A4D10"/>
    <w:rsid w:val="008A50BE"/>
    <w:rsid w:val="008A542A"/>
    <w:rsid w:val="008A5459"/>
    <w:rsid w:val="008A54E1"/>
    <w:rsid w:val="008A5858"/>
    <w:rsid w:val="008A6C84"/>
    <w:rsid w:val="008A719F"/>
    <w:rsid w:val="008A7236"/>
    <w:rsid w:val="008A7333"/>
    <w:rsid w:val="008A741F"/>
    <w:rsid w:val="008A7607"/>
    <w:rsid w:val="008A7872"/>
    <w:rsid w:val="008A7BEC"/>
    <w:rsid w:val="008A7EA5"/>
    <w:rsid w:val="008B031A"/>
    <w:rsid w:val="008B05A0"/>
    <w:rsid w:val="008B06E0"/>
    <w:rsid w:val="008B1E29"/>
    <w:rsid w:val="008B2041"/>
    <w:rsid w:val="008B2528"/>
    <w:rsid w:val="008B2F42"/>
    <w:rsid w:val="008B3A30"/>
    <w:rsid w:val="008B424B"/>
    <w:rsid w:val="008B4815"/>
    <w:rsid w:val="008B530A"/>
    <w:rsid w:val="008B6039"/>
    <w:rsid w:val="008B62E2"/>
    <w:rsid w:val="008B64E3"/>
    <w:rsid w:val="008B7018"/>
    <w:rsid w:val="008B7AC9"/>
    <w:rsid w:val="008B7F1E"/>
    <w:rsid w:val="008B7FFA"/>
    <w:rsid w:val="008C0286"/>
    <w:rsid w:val="008C0AB1"/>
    <w:rsid w:val="008C0E63"/>
    <w:rsid w:val="008C22A4"/>
    <w:rsid w:val="008C3AF6"/>
    <w:rsid w:val="008C436C"/>
    <w:rsid w:val="008C483F"/>
    <w:rsid w:val="008C50DF"/>
    <w:rsid w:val="008C58EB"/>
    <w:rsid w:val="008C5C61"/>
    <w:rsid w:val="008C5CA3"/>
    <w:rsid w:val="008C5F74"/>
    <w:rsid w:val="008C72B8"/>
    <w:rsid w:val="008D0A09"/>
    <w:rsid w:val="008D1723"/>
    <w:rsid w:val="008D1E60"/>
    <w:rsid w:val="008D2EC0"/>
    <w:rsid w:val="008D39DA"/>
    <w:rsid w:val="008D3D5A"/>
    <w:rsid w:val="008D407A"/>
    <w:rsid w:val="008D4EA6"/>
    <w:rsid w:val="008D51C2"/>
    <w:rsid w:val="008D5480"/>
    <w:rsid w:val="008D557C"/>
    <w:rsid w:val="008D5C08"/>
    <w:rsid w:val="008D5DD1"/>
    <w:rsid w:val="008D5DFA"/>
    <w:rsid w:val="008D6828"/>
    <w:rsid w:val="008D682A"/>
    <w:rsid w:val="008D7F7D"/>
    <w:rsid w:val="008E014D"/>
    <w:rsid w:val="008E0200"/>
    <w:rsid w:val="008E08EF"/>
    <w:rsid w:val="008E0FE9"/>
    <w:rsid w:val="008E1AAE"/>
    <w:rsid w:val="008E1BA4"/>
    <w:rsid w:val="008E245B"/>
    <w:rsid w:val="008E2561"/>
    <w:rsid w:val="008E3300"/>
    <w:rsid w:val="008E33CD"/>
    <w:rsid w:val="008E44F8"/>
    <w:rsid w:val="008E49B9"/>
    <w:rsid w:val="008E5163"/>
    <w:rsid w:val="008E7244"/>
    <w:rsid w:val="008E75FA"/>
    <w:rsid w:val="008F0131"/>
    <w:rsid w:val="008F07E7"/>
    <w:rsid w:val="008F1BE2"/>
    <w:rsid w:val="008F1CDF"/>
    <w:rsid w:val="008F1E78"/>
    <w:rsid w:val="008F28BD"/>
    <w:rsid w:val="008F2AE8"/>
    <w:rsid w:val="008F2EC1"/>
    <w:rsid w:val="008F4C27"/>
    <w:rsid w:val="008F583B"/>
    <w:rsid w:val="008F627F"/>
    <w:rsid w:val="008F63CC"/>
    <w:rsid w:val="008F7D5F"/>
    <w:rsid w:val="009003EA"/>
    <w:rsid w:val="009006D0"/>
    <w:rsid w:val="009008CB"/>
    <w:rsid w:val="00900CEB"/>
    <w:rsid w:val="00901119"/>
    <w:rsid w:val="00901AC1"/>
    <w:rsid w:val="0090205B"/>
    <w:rsid w:val="0090218A"/>
    <w:rsid w:val="00902BC6"/>
    <w:rsid w:val="0090476C"/>
    <w:rsid w:val="00905AAD"/>
    <w:rsid w:val="00905ACE"/>
    <w:rsid w:val="00907827"/>
    <w:rsid w:val="0091116A"/>
    <w:rsid w:val="0091126A"/>
    <w:rsid w:val="00911E12"/>
    <w:rsid w:val="009135B5"/>
    <w:rsid w:val="009142C6"/>
    <w:rsid w:val="0091437C"/>
    <w:rsid w:val="00914E48"/>
    <w:rsid w:val="0091594C"/>
    <w:rsid w:val="00915F4E"/>
    <w:rsid w:val="009175A9"/>
    <w:rsid w:val="0091794A"/>
    <w:rsid w:val="009206E2"/>
    <w:rsid w:val="00920B19"/>
    <w:rsid w:val="00920C18"/>
    <w:rsid w:val="00920FB9"/>
    <w:rsid w:val="00921640"/>
    <w:rsid w:val="00921728"/>
    <w:rsid w:val="00921DA9"/>
    <w:rsid w:val="009227E4"/>
    <w:rsid w:val="0092319E"/>
    <w:rsid w:val="00923D56"/>
    <w:rsid w:val="00923EF0"/>
    <w:rsid w:val="00924430"/>
    <w:rsid w:val="00924AB7"/>
    <w:rsid w:val="00925B23"/>
    <w:rsid w:val="009261E2"/>
    <w:rsid w:val="00926689"/>
    <w:rsid w:val="0093001A"/>
    <w:rsid w:val="00932042"/>
    <w:rsid w:val="00932197"/>
    <w:rsid w:val="00932BD0"/>
    <w:rsid w:val="00932D90"/>
    <w:rsid w:val="00933898"/>
    <w:rsid w:val="009369AC"/>
    <w:rsid w:val="009375E5"/>
    <w:rsid w:val="00937721"/>
    <w:rsid w:val="00937B7F"/>
    <w:rsid w:val="00941473"/>
    <w:rsid w:val="00941DF7"/>
    <w:rsid w:val="00941F54"/>
    <w:rsid w:val="009426C5"/>
    <w:rsid w:val="009427E6"/>
    <w:rsid w:val="0094293C"/>
    <w:rsid w:val="00942BE7"/>
    <w:rsid w:val="00943DE5"/>
    <w:rsid w:val="0094441A"/>
    <w:rsid w:val="0094596D"/>
    <w:rsid w:val="009459BC"/>
    <w:rsid w:val="009459CA"/>
    <w:rsid w:val="009464CC"/>
    <w:rsid w:val="00946984"/>
    <w:rsid w:val="009474DA"/>
    <w:rsid w:val="00947D73"/>
    <w:rsid w:val="00947E93"/>
    <w:rsid w:val="009503F8"/>
    <w:rsid w:val="009519D0"/>
    <w:rsid w:val="00951B71"/>
    <w:rsid w:val="00952F67"/>
    <w:rsid w:val="0095331C"/>
    <w:rsid w:val="0095488A"/>
    <w:rsid w:val="0095530D"/>
    <w:rsid w:val="00955AD0"/>
    <w:rsid w:val="00956E37"/>
    <w:rsid w:val="009572B1"/>
    <w:rsid w:val="00957920"/>
    <w:rsid w:val="00957ED2"/>
    <w:rsid w:val="00960634"/>
    <w:rsid w:val="00960877"/>
    <w:rsid w:val="00962544"/>
    <w:rsid w:val="00963AE1"/>
    <w:rsid w:val="00964CF7"/>
    <w:rsid w:val="00965889"/>
    <w:rsid w:val="0096798C"/>
    <w:rsid w:val="0097027F"/>
    <w:rsid w:val="0097160E"/>
    <w:rsid w:val="00971EBD"/>
    <w:rsid w:val="0097310B"/>
    <w:rsid w:val="009731F7"/>
    <w:rsid w:val="009734DF"/>
    <w:rsid w:val="00973812"/>
    <w:rsid w:val="009751FE"/>
    <w:rsid w:val="0097542F"/>
    <w:rsid w:val="00975901"/>
    <w:rsid w:val="00975C61"/>
    <w:rsid w:val="00975EFE"/>
    <w:rsid w:val="0097790C"/>
    <w:rsid w:val="009801BF"/>
    <w:rsid w:val="009842BB"/>
    <w:rsid w:val="00984ED0"/>
    <w:rsid w:val="0098540E"/>
    <w:rsid w:val="00985593"/>
    <w:rsid w:val="00986CAE"/>
    <w:rsid w:val="00986D66"/>
    <w:rsid w:val="00990589"/>
    <w:rsid w:val="00990A9E"/>
    <w:rsid w:val="00991859"/>
    <w:rsid w:val="00991B9A"/>
    <w:rsid w:val="009921CD"/>
    <w:rsid w:val="00992724"/>
    <w:rsid w:val="009927C8"/>
    <w:rsid w:val="00992887"/>
    <w:rsid w:val="0099371B"/>
    <w:rsid w:val="00993C84"/>
    <w:rsid w:val="00994927"/>
    <w:rsid w:val="00994AB1"/>
    <w:rsid w:val="00994BB8"/>
    <w:rsid w:val="00994E0A"/>
    <w:rsid w:val="0099523D"/>
    <w:rsid w:val="00995332"/>
    <w:rsid w:val="009954E9"/>
    <w:rsid w:val="00996C0B"/>
    <w:rsid w:val="00997F33"/>
    <w:rsid w:val="009A08A7"/>
    <w:rsid w:val="009A1D1E"/>
    <w:rsid w:val="009A22B1"/>
    <w:rsid w:val="009A2F04"/>
    <w:rsid w:val="009A3824"/>
    <w:rsid w:val="009A473B"/>
    <w:rsid w:val="009A499A"/>
    <w:rsid w:val="009A568E"/>
    <w:rsid w:val="009A56C3"/>
    <w:rsid w:val="009A6669"/>
    <w:rsid w:val="009A68B5"/>
    <w:rsid w:val="009A7AC1"/>
    <w:rsid w:val="009A7DF1"/>
    <w:rsid w:val="009B02F7"/>
    <w:rsid w:val="009B0FC4"/>
    <w:rsid w:val="009B176C"/>
    <w:rsid w:val="009B1898"/>
    <w:rsid w:val="009B201D"/>
    <w:rsid w:val="009B3133"/>
    <w:rsid w:val="009B350F"/>
    <w:rsid w:val="009B35CB"/>
    <w:rsid w:val="009B49A3"/>
    <w:rsid w:val="009B4DAF"/>
    <w:rsid w:val="009B4DE2"/>
    <w:rsid w:val="009B6984"/>
    <w:rsid w:val="009B7C36"/>
    <w:rsid w:val="009C01BF"/>
    <w:rsid w:val="009C023A"/>
    <w:rsid w:val="009C04C3"/>
    <w:rsid w:val="009C0768"/>
    <w:rsid w:val="009C0BF5"/>
    <w:rsid w:val="009C118A"/>
    <w:rsid w:val="009C2EA1"/>
    <w:rsid w:val="009C3051"/>
    <w:rsid w:val="009C35C5"/>
    <w:rsid w:val="009C42A6"/>
    <w:rsid w:val="009C4615"/>
    <w:rsid w:val="009C4D47"/>
    <w:rsid w:val="009C5315"/>
    <w:rsid w:val="009C57A9"/>
    <w:rsid w:val="009C5E31"/>
    <w:rsid w:val="009C6827"/>
    <w:rsid w:val="009C6D4A"/>
    <w:rsid w:val="009C6E6C"/>
    <w:rsid w:val="009C6EDB"/>
    <w:rsid w:val="009D011F"/>
    <w:rsid w:val="009D0ED8"/>
    <w:rsid w:val="009D0F86"/>
    <w:rsid w:val="009D241C"/>
    <w:rsid w:val="009D443B"/>
    <w:rsid w:val="009D5069"/>
    <w:rsid w:val="009D51B5"/>
    <w:rsid w:val="009D552B"/>
    <w:rsid w:val="009D5DB7"/>
    <w:rsid w:val="009D5FB0"/>
    <w:rsid w:val="009D69E4"/>
    <w:rsid w:val="009D7758"/>
    <w:rsid w:val="009E0D2C"/>
    <w:rsid w:val="009E1180"/>
    <w:rsid w:val="009E12DA"/>
    <w:rsid w:val="009E13CD"/>
    <w:rsid w:val="009E1E41"/>
    <w:rsid w:val="009E2417"/>
    <w:rsid w:val="009E2F09"/>
    <w:rsid w:val="009E2F67"/>
    <w:rsid w:val="009E30CD"/>
    <w:rsid w:val="009E44B3"/>
    <w:rsid w:val="009E4AB9"/>
    <w:rsid w:val="009E4D33"/>
    <w:rsid w:val="009E5C01"/>
    <w:rsid w:val="009E5D55"/>
    <w:rsid w:val="009E6CD9"/>
    <w:rsid w:val="009E7701"/>
    <w:rsid w:val="009E781D"/>
    <w:rsid w:val="009E7FFD"/>
    <w:rsid w:val="009F0056"/>
    <w:rsid w:val="009F1244"/>
    <w:rsid w:val="009F30A4"/>
    <w:rsid w:val="009F30CF"/>
    <w:rsid w:val="009F3304"/>
    <w:rsid w:val="009F373C"/>
    <w:rsid w:val="009F495C"/>
    <w:rsid w:val="009F4DCC"/>
    <w:rsid w:val="009F4FC0"/>
    <w:rsid w:val="009F5C21"/>
    <w:rsid w:val="009F6ACA"/>
    <w:rsid w:val="009F72B9"/>
    <w:rsid w:val="009F7FC1"/>
    <w:rsid w:val="00A0223C"/>
    <w:rsid w:val="00A02A3F"/>
    <w:rsid w:val="00A02BB7"/>
    <w:rsid w:val="00A02F87"/>
    <w:rsid w:val="00A039B4"/>
    <w:rsid w:val="00A046AD"/>
    <w:rsid w:val="00A04DCF"/>
    <w:rsid w:val="00A069F0"/>
    <w:rsid w:val="00A07045"/>
    <w:rsid w:val="00A07992"/>
    <w:rsid w:val="00A105EB"/>
    <w:rsid w:val="00A11DF5"/>
    <w:rsid w:val="00A11F1A"/>
    <w:rsid w:val="00A12440"/>
    <w:rsid w:val="00A12747"/>
    <w:rsid w:val="00A13290"/>
    <w:rsid w:val="00A1395E"/>
    <w:rsid w:val="00A142A1"/>
    <w:rsid w:val="00A14608"/>
    <w:rsid w:val="00A1472A"/>
    <w:rsid w:val="00A14A8F"/>
    <w:rsid w:val="00A15E26"/>
    <w:rsid w:val="00A162AA"/>
    <w:rsid w:val="00A16DBE"/>
    <w:rsid w:val="00A17984"/>
    <w:rsid w:val="00A205E2"/>
    <w:rsid w:val="00A20989"/>
    <w:rsid w:val="00A20A78"/>
    <w:rsid w:val="00A213B6"/>
    <w:rsid w:val="00A21509"/>
    <w:rsid w:val="00A23858"/>
    <w:rsid w:val="00A24707"/>
    <w:rsid w:val="00A2470F"/>
    <w:rsid w:val="00A24EC8"/>
    <w:rsid w:val="00A251D7"/>
    <w:rsid w:val="00A2605A"/>
    <w:rsid w:val="00A26F2F"/>
    <w:rsid w:val="00A2712A"/>
    <w:rsid w:val="00A2719C"/>
    <w:rsid w:val="00A27DD1"/>
    <w:rsid w:val="00A302F7"/>
    <w:rsid w:val="00A30E85"/>
    <w:rsid w:val="00A3141C"/>
    <w:rsid w:val="00A31BAF"/>
    <w:rsid w:val="00A32D32"/>
    <w:rsid w:val="00A32D51"/>
    <w:rsid w:val="00A34C2C"/>
    <w:rsid w:val="00A35EED"/>
    <w:rsid w:val="00A367CE"/>
    <w:rsid w:val="00A37319"/>
    <w:rsid w:val="00A377B0"/>
    <w:rsid w:val="00A418C1"/>
    <w:rsid w:val="00A43E08"/>
    <w:rsid w:val="00A507BB"/>
    <w:rsid w:val="00A5091C"/>
    <w:rsid w:val="00A5101E"/>
    <w:rsid w:val="00A51CF9"/>
    <w:rsid w:val="00A5235D"/>
    <w:rsid w:val="00A534FD"/>
    <w:rsid w:val="00A53E95"/>
    <w:rsid w:val="00A54281"/>
    <w:rsid w:val="00A54B63"/>
    <w:rsid w:val="00A54E55"/>
    <w:rsid w:val="00A54F21"/>
    <w:rsid w:val="00A55E94"/>
    <w:rsid w:val="00A56963"/>
    <w:rsid w:val="00A56B6E"/>
    <w:rsid w:val="00A573BC"/>
    <w:rsid w:val="00A57E19"/>
    <w:rsid w:val="00A60094"/>
    <w:rsid w:val="00A607C2"/>
    <w:rsid w:val="00A60AED"/>
    <w:rsid w:val="00A60DE2"/>
    <w:rsid w:val="00A60EA6"/>
    <w:rsid w:val="00A61B8D"/>
    <w:rsid w:val="00A62134"/>
    <w:rsid w:val="00A63881"/>
    <w:rsid w:val="00A63B52"/>
    <w:rsid w:val="00A6416F"/>
    <w:rsid w:val="00A65053"/>
    <w:rsid w:val="00A65868"/>
    <w:rsid w:val="00A670F3"/>
    <w:rsid w:val="00A67B60"/>
    <w:rsid w:val="00A70BEA"/>
    <w:rsid w:val="00A70D3A"/>
    <w:rsid w:val="00A70F90"/>
    <w:rsid w:val="00A70FF9"/>
    <w:rsid w:val="00A7190E"/>
    <w:rsid w:val="00A71B6B"/>
    <w:rsid w:val="00A73A4C"/>
    <w:rsid w:val="00A73DE2"/>
    <w:rsid w:val="00A7467F"/>
    <w:rsid w:val="00A746EF"/>
    <w:rsid w:val="00A75072"/>
    <w:rsid w:val="00A75946"/>
    <w:rsid w:val="00A75AA1"/>
    <w:rsid w:val="00A76455"/>
    <w:rsid w:val="00A76DFC"/>
    <w:rsid w:val="00A7743A"/>
    <w:rsid w:val="00A77B08"/>
    <w:rsid w:val="00A812F2"/>
    <w:rsid w:val="00A81310"/>
    <w:rsid w:val="00A825DC"/>
    <w:rsid w:val="00A82B9B"/>
    <w:rsid w:val="00A83212"/>
    <w:rsid w:val="00A83D05"/>
    <w:rsid w:val="00A83D81"/>
    <w:rsid w:val="00A84451"/>
    <w:rsid w:val="00A848C8"/>
    <w:rsid w:val="00A84CC5"/>
    <w:rsid w:val="00A85BC4"/>
    <w:rsid w:val="00A863FD"/>
    <w:rsid w:val="00A87ED6"/>
    <w:rsid w:val="00A87EDE"/>
    <w:rsid w:val="00A90789"/>
    <w:rsid w:val="00A90C0E"/>
    <w:rsid w:val="00A9171E"/>
    <w:rsid w:val="00A920B1"/>
    <w:rsid w:val="00A92506"/>
    <w:rsid w:val="00A92F34"/>
    <w:rsid w:val="00A93024"/>
    <w:rsid w:val="00A9454C"/>
    <w:rsid w:val="00A94CA5"/>
    <w:rsid w:val="00A9500C"/>
    <w:rsid w:val="00A96147"/>
    <w:rsid w:val="00A96962"/>
    <w:rsid w:val="00A97AD7"/>
    <w:rsid w:val="00A97EFE"/>
    <w:rsid w:val="00AA0356"/>
    <w:rsid w:val="00AA0A8D"/>
    <w:rsid w:val="00AA0D57"/>
    <w:rsid w:val="00AA1038"/>
    <w:rsid w:val="00AA190E"/>
    <w:rsid w:val="00AA3009"/>
    <w:rsid w:val="00AA30C1"/>
    <w:rsid w:val="00AA40B1"/>
    <w:rsid w:val="00AA4BF3"/>
    <w:rsid w:val="00AA5DDA"/>
    <w:rsid w:val="00AB02AE"/>
    <w:rsid w:val="00AB03A3"/>
    <w:rsid w:val="00AB0AE2"/>
    <w:rsid w:val="00AB0EA4"/>
    <w:rsid w:val="00AB1400"/>
    <w:rsid w:val="00AB1766"/>
    <w:rsid w:val="00AB255F"/>
    <w:rsid w:val="00AB2C3D"/>
    <w:rsid w:val="00AB2F9D"/>
    <w:rsid w:val="00AB3133"/>
    <w:rsid w:val="00AB3728"/>
    <w:rsid w:val="00AB3E39"/>
    <w:rsid w:val="00AB4B2B"/>
    <w:rsid w:val="00AB51A2"/>
    <w:rsid w:val="00AB64F8"/>
    <w:rsid w:val="00AB6FA5"/>
    <w:rsid w:val="00AB7422"/>
    <w:rsid w:val="00AB76A4"/>
    <w:rsid w:val="00AB7BEB"/>
    <w:rsid w:val="00AB7DE0"/>
    <w:rsid w:val="00AC0064"/>
    <w:rsid w:val="00AC0C69"/>
    <w:rsid w:val="00AC106B"/>
    <w:rsid w:val="00AC1A32"/>
    <w:rsid w:val="00AC1B50"/>
    <w:rsid w:val="00AC2284"/>
    <w:rsid w:val="00AC2B86"/>
    <w:rsid w:val="00AC3661"/>
    <w:rsid w:val="00AC37B3"/>
    <w:rsid w:val="00AC3CFE"/>
    <w:rsid w:val="00AC40FC"/>
    <w:rsid w:val="00AC4128"/>
    <w:rsid w:val="00AC4671"/>
    <w:rsid w:val="00AC46F1"/>
    <w:rsid w:val="00AC67A3"/>
    <w:rsid w:val="00AD0CF5"/>
    <w:rsid w:val="00AD26E3"/>
    <w:rsid w:val="00AD3448"/>
    <w:rsid w:val="00AD4E53"/>
    <w:rsid w:val="00AD5BF3"/>
    <w:rsid w:val="00AD6604"/>
    <w:rsid w:val="00AD70FF"/>
    <w:rsid w:val="00AD7E85"/>
    <w:rsid w:val="00AE037C"/>
    <w:rsid w:val="00AE1804"/>
    <w:rsid w:val="00AE19E1"/>
    <w:rsid w:val="00AE1B3A"/>
    <w:rsid w:val="00AE1C2A"/>
    <w:rsid w:val="00AE2340"/>
    <w:rsid w:val="00AE25D5"/>
    <w:rsid w:val="00AE262F"/>
    <w:rsid w:val="00AE2706"/>
    <w:rsid w:val="00AE4E9F"/>
    <w:rsid w:val="00AE54EE"/>
    <w:rsid w:val="00AE5AD4"/>
    <w:rsid w:val="00AE7764"/>
    <w:rsid w:val="00AE776C"/>
    <w:rsid w:val="00AE7C72"/>
    <w:rsid w:val="00AE7EDC"/>
    <w:rsid w:val="00AF09A6"/>
    <w:rsid w:val="00AF101F"/>
    <w:rsid w:val="00AF121B"/>
    <w:rsid w:val="00AF16EF"/>
    <w:rsid w:val="00AF1EF1"/>
    <w:rsid w:val="00AF20F1"/>
    <w:rsid w:val="00AF29D7"/>
    <w:rsid w:val="00AF3007"/>
    <w:rsid w:val="00AF423C"/>
    <w:rsid w:val="00AF56C6"/>
    <w:rsid w:val="00AF633D"/>
    <w:rsid w:val="00AF6846"/>
    <w:rsid w:val="00AF71F9"/>
    <w:rsid w:val="00B0004A"/>
    <w:rsid w:val="00B006FE"/>
    <w:rsid w:val="00B0082B"/>
    <w:rsid w:val="00B00E38"/>
    <w:rsid w:val="00B02891"/>
    <w:rsid w:val="00B03569"/>
    <w:rsid w:val="00B036C8"/>
    <w:rsid w:val="00B04ED4"/>
    <w:rsid w:val="00B05066"/>
    <w:rsid w:val="00B056B8"/>
    <w:rsid w:val="00B0590A"/>
    <w:rsid w:val="00B05BA5"/>
    <w:rsid w:val="00B05CE7"/>
    <w:rsid w:val="00B0608E"/>
    <w:rsid w:val="00B06920"/>
    <w:rsid w:val="00B0706F"/>
    <w:rsid w:val="00B109AC"/>
    <w:rsid w:val="00B10CAD"/>
    <w:rsid w:val="00B11E3F"/>
    <w:rsid w:val="00B11EC3"/>
    <w:rsid w:val="00B12544"/>
    <w:rsid w:val="00B13E1F"/>
    <w:rsid w:val="00B141C4"/>
    <w:rsid w:val="00B14A2E"/>
    <w:rsid w:val="00B14C3D"/>
    <w:rsid w:val="00B16241"/>
    <w:rsid w:val="00B16726"/>
    <w:rsid w:val="00B16790"/>
    <w:rsid w:val="00B1680C"/>
    <w:rsid w:val="00B16A4B"/>
    <w:rsid w:val="00B1700B"/>
    <w:rsid w:val="00B17758"/>
    <w:rsid w:val="00B20861"/>
    <w:rsid w:val="00B2156D"/>
    <w:rsid w:val="00B21835"/>
    <w:rsid w:val="00B22379"/>
    <w:rsid w:val="00B2240C"/>
    <w:rsid w:val="00B22DD1"/>
    <w:rsid w:val="00B2322C"/>
    <w:rsid w:val="00B235BF"/>
    <w:rsid w:val="00B2439C"/>
    <w:rsid w:val="00B2552F"/>
    <w:rsid w:val="00B26363"/>
    <w:rsid w:val="00B2781E"/>
    <w:rsid w:val="00B27D21"/>
    <w:rsid w:val="00B303D5"/>
    <w:rsid w:val="00B3094E"/>
    <w:rsid w:val="00B314A1"/>
    <w:rsid w:val="00B31A4C"/>
    <w:rsid w:val="00B338F0"/>
    <w:rsid w:val="00B349F8"/>
    <w:rsid w:val="00B34F70"/>
    <w:rsid w:val="00B36215"/>
    <w:rsid w:val="00B40C6A"/>
    <w:rsid w:val="00B40CDD"/>
    <w:rsid w:val="00B434F1"/>
    <w:rsid w:val="00B44592"/>
    <w:rsid w:val="00B454FD"/>
    <w:rsid w:val="00B460C6"/>
    <w:rsid w:val="00B46A01"/>
    <w:rsid w:val="00B476E1"/>
    <w:rsid w:val="00B50590"/>
    <w:rsid w:val="00B50AD6"/>
    <w:rsid w:val="00B515BD"/>
    <w:rsid w:val="00B51D8C"/>
    <w:rsid w:val="00B52093"/>
    <w:rsid w:val="00B55253"/>
    <w:rsid w:val="00B55597"/>
    <w:rsid w:val="00B562D1"/>
    <w:rsid w:val="00B56384"/>
    <w:rsid w:val="00B56837"/>
    <w:rsid w:val="00B569A3"/>
    <w:rsid w:val="00B57772"/>
    <w:rsid w:val="00B57C28"/>
    <w:rsid w:val="00B57DD8"/>
    <w:rsid w:val="00B60083"/>
    <w:rsid w:val="00B61289"/>
    <w:rsid w:val="00B612DA"/>
    <w:rsid w:val="00B6148F"/>
    <w:rsid w:val="00B61517"/>
    <w:rsid w:val="00B61F2A"/>
    <w:rsid w:val="00B62DA9"/>
    <w:rsid w:val="00B62E3E"/>
    <w:rsid w:val="00B63165"/>
    <w:rsid w:val="00B63470"/>
    <w:rsid w:val="00B64116"/>
    <w:rsid w:val="00B645CE"/>
    <w:rsid w:val="00B64688"/>
    <w:rsid w:val="00B65873"/>
    <w:rsid w:val="00B65D27"/>
    <w:rsid w:val="00B67061"/>
    <w:rsid w:val="00B6709A"/>
    <w:rsid w:val="00B672C7"/>
    <w:rsid w:val="00B677C6"/>
    <w:rsid w:val="00B7185F"/>
    <w:rsid w:val="00B7320F"/>
    <w:rsid w:val="00B73414"/>
    <w:rsid w:val="00B7466B"/>
    <w:rsid w:val="00B74780"/>
    <w:rsid w:val="00B74F28"/>
    <w:rsid w:val="00B751CF"/>
    <w:rsid w:val="00B75E8B"/>
    <w:rsid w:val="00B75F1A"/>
    <w:rsid w:val="00B77461"/>
    <w:rsid w:val="00B77862"/>
    <w:rsid w:val="00B80CB0"/>
    <w:rsid w:val="00B80E70"/>
    <w:rsid w:val="00B8221F"/>
    <w:rsid w:val="00B8242C"/>
    <w:rsid w:val="00B8296E"/>
    <w:rsid w:val="00B829B5"/>
    <w:rsid w:val="00B834EF"/>
    <w:rsid w:val="00B83EC7"/>
    <w:rsid w:val="00B847AF"/>
    <w:rsid w:val="00B84CAB"/>
    <w:rsid w:val="00B852CC"/>
    <w:rsid w:val="00B8573D"/>
    <w:rsid w:val="00B86AB6"/>
    <w:rsid w:val="00B86AE6"/>
    <w:rsid w:val="00B9026B"/>
    <w:rsid w:val="00B9092A"/>
    <w:rsid w:val="00B90A65"/>
    <w:rsid w:val="00B91DA0"/>
    <w:rsid w:val="00B9200A"/>
    <w:rsid w:val="00B921B5"/>
    <w:rsid w:val="00B92AAC"/>
    <w:rsid w:val="00B92C83"/>
    <w:rsid w:val="00B9336F"/>
    <w:rsid w:val="00B934CF"/>
    <w:rsid w:val="00B93793"/>
    <w:rsid w:val="00B9546A"/>
    <w:rsid w:val="00B95969"/>
    <w:rsid w:val="00B9690D"/>
    <w:rsid w:val="00B96910"/>
    <w:rsid w:val="00B96C12"/>
    <w:rsid w:val="00B977E4"/>
    <w:rsid w:val="00BA0E03"/>
    <w:rsid w:val="00BA1285"/>
    <w:rsid w:val="00BA286A"/>
    <w:rsid w:val="00BA4643"/>
    <w:rsid w:val="00BA4C2B"/>
    <w:rsid w:val="00BA5228"/>
    <w:rsid w:val="00BA601F"/>
    <w:rsid w:val="00BA6885"/>
    <w:rsid w:val="00BA74EA"/>
    <w:rsid w:val="00BA7777"/>
    <w:rsid w:val="00BB0220"/>
    <w:rsid w:val="00BB09D4"/>
    <w:rsid w:val="00BB1077"/>
    <w:rsid w:val="00BB16BA"/>
    <w:rsid w:val="00BB2BC6"/>
    <w:rsid w:val="00BB39E4"/>
    <w:rsid w:val="00BB4252"/>
    <w:rsid w:val="00BB451E"/>
    <w:rsid w:val="00BB4D0E"/>
    <w:rsid w:val="00BB660B"/>
    <w:rsid w:val="00BB7B2E"/>
    <w:rsid w:val="00BB7E76"/>
    <w:rsid w:val="00BC0395"/>
    <w:rsid w:val="00BC048F"/>
    <w:rsid w:val="00BC170B"/>
    <w:rsid w:val="00BC2448"/>
    <w:rsid w:val="00BC38BB"/>
    <w:rsid w:val="00BC5A03"/>
    <w:rsid w:val="00BC65E9"/>
    <w:rsid w:val="00BC6D89"/>
    <w:rsid w:val="00BD1369"/>
    <w:rsid w:val="00BD1C0E"/>
    <w:rsid w:val="00BD2212"/>
    <w:rsid w:val="00BD3768"/>
    <w:rsid w:val="00BD3FFE"/>
    <w:rsid w:val="00BD5959"/>
    <w:rsid w:val="00BD605F"/>
    <w:rsid w:val="00BD677F"/>
    <w:rsid w:val="00BD78AB"/>
    <w:rsid w:val="00BD7ABE"/>
    <w:rsid w:val="00BD7EA6"/>
    <w:rsid w:val="00BE03E7"/>
    <w:rsid w:val="00BE096B"/>
    <w:rsid w:val="00BE0CB8"/>
    <w:rsid w:val="00BE198F"/>
    <w:rsid w:val="00BE35DF"/>
    <w:rsid w:val="00BE3777"/>
    <w:rsid w:val="00BE3B2C"/>
    <w:rsid w:val="00BE4569"/>
    <w:rsid w:val="00BE49F3"/>
    <w:rsid w:val="00BE54AA"/>
    <w:rsid w:val="00BE5762"/>
    <w:rsid w:val="00BE5CD2"/>
    <w:rsid w:val="00BE5EB6"/>
    <w:rsid w:val="00BE620C"/>
    <w:rsid w:val="00BE6330"/>
    <w:rsid w:val="00BE6863"/>
    <w:rsid w:val="00BE6A8C"/>
    <w:rsid w:val="00BF246A"/>
    <w:rsid w:val="00BF28D4"/>
    <w:rsid w:val="00BF28F8"/>
    <w:rsid w:val="00BF293A"/>
    <w:rsid w:val="00BF2F2B"/>
    <w:rsid w:val="00BF35D1"/>
    <w:rsid w:val="00BF3B4A"/>
    <w:rsid w:val="00BF6C5B"/>
    <w:rsid w:val="00BF709D"/>
    <w:rsid w:val="00BF71C4"/>
    <w:rsid w:val="00BF740F"/>
    <w:rsid w:val="00BF765C"/>
    <w:rsid w:val="00BF7E5A"/>
    <w:rsid w:val="00C0032A"/>
    <w:rsid w:val="00C00525"/>
    <w:rsid w:val="00C03D5D"/>
    <w:rsid w:val="00C04129"/>
    <w:rsid w:val="00C064DE"/>
    <w:rsid w:val="00C06870"/>
    <w:rsid w:val="00C07136"/>
    <w:rsid w:val="00C07263"/>
    <w:rsid w:val="00C077FC"/>
    <w:rsid w:val="00C07AAE"/>
    <w:rsid w:val="00C10524"/>
    <w:rsid w:val="00C10531"/>
    <w:rsid w:val="00C110C7"/>
    <w:rsid w:val="00C1115F"/>
    <w:rsid w:val="00C11229"/>
    <w:rsid w:val="00C1181F"/>
    <w:rsid w:val="00C119EC"/>
    <w:rsid w:val="00C11AF7"/>
    <w:rsid w:val="00C122DE"/>
    <w:rsid w:val="00C1588F"/>
    <w:rsid w:val="00C169B4"/>
    <w:rsid w:val="00C17ABA"/>
    <w:rsid w:val="00C17CE0"/>
    <w:rsid w:val="00C21252"/>
    <w:rsid w:val="00C2173F"/>
    <w:rsid w:val="00C21758"/>
    <w:rsid w:val="00C21B30"/>
    <w:rsid w:val="00C22FC8"/>
    <w:rsid w:val="00C24187"/>
    <w:rsid w:val="00C2448E"/>
    <w:rsid w:val="00C24A75"/>
    <w:rsid w:val="00C24E96"/>
    <w:rsid w:val="00C25FA6"/>
    <w:rsid w:val="00C26D18"/>
    <w:rsid w:val="00C26DA3"/>
    <w:rsid w:val="00C275F2"/>
    <w:rsid w:val="00C278A9"/>
    <w:rsid w:val="00C27980"/>
    <w:rsid w:val="00C30FEC"/>
    <w:rsid w:val="00C31BC4"/>
    <w:rsid w:val="00C32DE9"/>
    <w:rsid w:val="00C35CAD"/>
    <w:rsid w:val="00C40AA5"/>
    <w:rsid w:val="00C40B03"/>
    <w:rsid w:val="00C41251"/>
    <w:rsid w:val="00C41A94"/>
    <w:rsid w:val="00C41CD8"/>
    <w:rsid w:val="00C421DB"/>
    <w:rsid w:val="00C42451"/>
    <w:rsid w:val="00C42E93"/>
    <w:rsid w:val="00C42F08"/>
    <w:rsid w:val="00C43C93"/>
    <w:rsid w:val="00C4459E"/>
    <w:rsid w:val="00C446DE"/>
    <w:rsid w:val="00C455E3"/>
    <w:rsid w:val="00C4582E"/>
    <w:rsid w:val="00C458C9"/>
    <w:rsid w:val="00C45D0A"/>
    <w:rsid w:val="00C4745D"/>
    <w:rsid w:val="00C47462"/>
    <w:rsid w:val="00C474C6"/>
    <w:rsid w:val="00C474ED"/>
    <w:rsid w:val="00C47C7D"/>
    <w:rsid w:val="00C5000E"/>
    <w:rsid w:val="00C508AB"/>
    <w:rsid w:val="00C51364"/>
    <w:rsid w:val="00C5227D"/>
    <w:rsid w:val="00C52FD5"/>
    <w:rsid w:val="00C531E6"/>
    <w:rsid w:val="00C53299"/>
    <w:rsid w:val="00C534B4"/>
    <w:rsid w:val="00C536C7"/>
    <w:rsid w:val="00C537E8"/>
    <w:rsid w:val="00C54521"/>
    <w:rsid w:val="00C549AB"/>
    <w:rsid w:val="00C54EC5"/>
    <w:rsid w:val="00C55311"/>
    <w:rsid w:val="00C5541D"/>
    <w:rsid w:val="00C55D54"/>
    <w:rsid w:val="00C56107"/>
    <w:rsid w:val="00C56196"/>
    <w:rsid w:val="00C561DD"/>
    <w:rsid w:val="00C56943"/>
    <w:rsid w:val="00C579DD"/>
    <w:rsid w:val="00C608C6"/>
    <w:rsid w:val="00C60E6B"/>
    <w:rsid w:val="00C6100D"/>
    <w:rsid w:val="00C61337"/>
    <w:rsid w:val="00C613B6"/>
    <w:rsid w:val="00C613EB"/>
    <w:rsid w:val="00C61DE0"/>
    <w:rsid w:val="00C61F66"/>
    <w:rsid w:val="00C61F9C"/>
    <w:rsid w:val="00C61FD6"/>
    <w:rsid w:val="00C62344"/>
    <w:rsid w:val="00C63767"/>
    <w:rsid w:val="00C63B93"/>
    <w:rsid w:val="00C64518"/>
    <w:rsid w:val="00C645F4"/>
    <w:rsid w:val="00C660E6"/>
    <w:rsid w:val="00C662DC"/>
    <w:rsid w:val="00C66C15"/>
    <w:rsid w:val="00C7046B"/>
    <w:rsid w:val="00C70663"/>
    <w:rsid w:val="00C70717"/>
    <w:rsid w:val="00C71A48"/>
    <w:rsid w:val="00C72181"/>
    <w:rsid w:val="00C72BC6"/>
    <w:rsid w:val="00C735ED"/>
    <w:rsid w:val="00C73F22"/>
    <w:rsid w:val="00C7443A"/>
    <w:rsid w:val="00C74562"/>
    <w:rsid w:val="00C74E54"/>
    <w:rsid w:val="00C75D69"/>
    <w:rsid w:val="00C766E4"/>
    <w:rsid w:val="00C77A8B"/>
    <w:rsid w:val="00C80059"/>
    <w:rsid w:val="00C8071E"/>
    <w:rsid w:val="00C80FB3"/>
    <w:rsid w:val="00C81A88"/>
    <w:rsid w:val="00C822BE"/>
    <w:rsid w:val="00C822FD"/>
    <w:rsid w:val="00C82CA7"/>
    <w:rsid w:val="00C82E5C"/>
    <w:rsid w:val="00C8392E"/>
    <w:rsid w:val="00C84DAD"/>
    <w:rsid w:val="00C84F90"/>
    <w:rsid w:val="00C8596C"/>
    <w:rsid w:val="00C86CDB"/>
    <w:rsid w:val="00C874E3"/>
    <w:rsid w:val="00C8785C"/>
    <w:rsid w:val="00C87EE2"/>
    <w:rsid w:val="00C905A4"/>
    <w:rsid w:val="00C90CA9"/>
    <w:rsid w:val="00C912FE"/>
    <w:rsid w:val="00C915FA"/>
    <w:rsid w:val="00C93A3A"/>
    <w:rsid w:val="00C93EBF"/>
    <w:rsid w:val="00C94148"/>
    <w:rsid w:val="00C946BD"/>
    <w:rsid w:val="00C94D26"/>
    <w:rsid w:val="00C94FC9"/>
    <w:rsid w:val="00C95E98"/>
    <w:rsid w:val="00C96973"/>
    <w:rsid w:val="00C971AF"/>
    <w:rsid w:val="00C976BB"/>
    <w:rsid w:val="00C97D35"/>
    <w:rsid w:val="00CA0A26"/>
    <w:rsid w:val="00CA1712"/>
    <w:rsid w:val="00CA1DAB"/>
    <w:rsid w:val="00CA2150"/>
    <w:rsid w:val="00CA2CF5"/>
    <w:rsid w:val="00CA2FFA"/>
    <w:rsid w:val="00CA4C6A"/>
    <w:rsid w:val="00CA5A00"/>
    <w:rsid w:val="00CA5B64"/>
    <w:rsid w:val="00CA6739"/>
    <w:rsid w:val="00CA6888"/>
    <w:rsid w:val="00CA79B4"/>
    <w:rsid w:val="00CA7E16"/>
    <w:rsid w:val="00CB15E7"/>
    <w:rsid w:val="00CB1F34"/>
    <w:rsid w:val="00CB2E81"/>
    <w:rsid w:val="00CB2F86"/>
    <w:rsid w:val="00CB3C12"/>
    <w:rsid w:val="00CB4B0B"/>
    <w:rsid w:val="00CB5126"/>
    <w:rsid w:val="00CB5CB5"/>
    <w:rsid w:val="00CB72D7"/>
    <w:rsid w:val="00CB75EE"/>
    <w:rsid w:val="00CB7A6B"/>
    <w:rsid w:val="00CC0969"/>
    <w:rsid w:val="00CC109A"/>
    <w:rsid w:val="00CC1C00"/>
    <w:rsid w:val="00CC2237"/>
    <w:rsid w:val="00CC2A1D"/>
    <w:rsid w:val="00CC2A83"/>
    <w:rsid w:val="00CC307E"/>
    <w:rsid w:val="00CC39AB"/>
    <w:rsid w:val="00CC3F17"/>
    <w:rsid w:val="00CC401D"/>
    <w:rsid w:val="00CC5451"/>
    <w:rsid w:val="00CC54CF"/>
    <w:rsid w:val="00CC576E"/>
    <w:rsid w:val="00CC580F"/>
    <w:rsid w:val="00CC5949"/>
    <w:rsid w:val="00CC64B8"/>
    <w:rsid w:val="00CC6823"/>
    <w:rsid w:val="00CC7A99"/>
    <w:rsid w:val="00CC7B25"/>
    <w:rsid w:val="00CD0B7D"/>
    <w:rsid w:val="00CD0C09"/>
    <w:rsid w:val="00CD16BD"/>
    <w:rsid w:val="00CD171D"/>
    <w:rsid w:val="00CD1C36"/>
    <w:rsid w:val="00CD1E85"/>
    <w:rsid w:val="00CD213B"/>
    <w:rsid w:val="00CD2B4F"/>
    <w:rsid w:val="00CD54B4"/>
    <w:rsid w:val="00CD57A7"/>
    <w:rsid w:val="00CD638A"/>
    <w:rsid w:val="00CD6711"/>
    <w:rsid w:val="00CD6FC0"/>
    <w:rsid w:val="00CD7240"/>
    <w:rsid w:val="00CD72C9"/>
    <w:rsid w:val="00CD7D59"/>
    <w:rsid w:val="00CDC8D4"/>
    <w:rsid w:val="00CE0C23"/>
    <w:rsid w:val="00CE2F18"/>
    <w:rsid w:val="00CE5AE8"/>
    <w:rsid w:val="00CE61FF"/>
    <w:rsid w:val="00CE7496"/>
    <w:rsid w:val="00CE7A25"/>
    <w:rsid w:val="00CE7B7A"/>
    <w:rsid w:val="00CE7F1D"/>
    <w:rsid w:val="00CF0366"/>
    <w:rsid w:val="00CF03AB"/>
    <w:rsid w:val="00CF1F69"/>
    <w:rsid w:val="00CF2CF0"/>
    <w:rsid w:val="00CF31A8"/>
    <w:rsid w:val="00CF3355"/>
    <w:rsid w:val="00CF3CD8"/>
    <w:rsid w:val="00CF40FC"/>
    <w:rsid w:val="00CF47C4"/>
    <w:rsid w:val="00CF521D"/>
    <w:rsid w:val="00CF6CEA"/>
    <w:rsid w:val="00CF704F"/>
    <w:rsid w:val="00CF72A0"/>
    <w:rsid w:val="00CF75F0"/>
    <w:rsid w:val="00CF78B8"/>
    <w:rsid w:val="00CF7925"/>
    <w:rsid w:val="00CF7FD5"/>
    <w:rsid w:val="00D00608"/>
    <w:rsid w:val="00D01267"/>
    <w:rsid w:val="00D01C49"/>
    <w:rsid w:val="00D026BC"/>
    <w:rsid w:val="00D057D9"/>
    <w:rsid w:val="00D06618"/>
    <w:rsid w:val="00D069A3"/>
    <w:rsid w:val="00D06FDA"/>
    <w:rsid w:val="00D0766B"/>
    <w:rsid w:val="00D07B98"/>
    <w:rsid w:val="00D10B7F"/>
    <w:rsid w:val="00D10BED"/>
    <w:rsid w:val="00D11558"/>
    <w:rsid w:val="00D11C85"/>
    <w:rsid w:val="00D11ED5"/>
    <w:rsid w:val="00D11F85"/>
    <w:rsid w:val="00D13167"/>
    <w:rsid w:val="00D1334D"/>
    <w:rsid w:val="00D139BC"/>
    <w:rsid w:val="00D14180"/>
    <w:rsid w:val="00D1512C"/>
    <w:rsid w:val="00D151FC"/>
    <w:rsid w:val="00D15D54"/>
    <w:rsid w:val="00D15DB7"/>
    <w:rsid w:val="00D15F0C"/>
    <w:rsid w:val="00D16765"/>
    <w:rsid w:val="00D17E26"/>
    <w:rsid w:val="00D204BF"/>
    <w:rsid w:val="00D204F0"/>
    <w:rsid w:val="00D211E2"/>
    <w:rsid w:val="00D232BA"/>
    <w:rsid w:val="00D23361"/>
    <w:rsid w:val="00D24431"/>
    <w:rsid w:val="00D25008"/>
    <w:rsid w:val="00D25430"/>
    <w:rsid w:val="00D257A6"/>
    <w:rsid w:val="00D265F6"/>
    <w:rsid w:val="00D26EDC"/>
    <w:rsid w:val="00D273CD"/>
    <w:rsid w:val="00D279F5"/>
    <w:rsid w:val="00D27D9A"/>
    <w:rsid w:val="00D3056A"/>
    <w:rsid w:val="00D310AA"/>
    <w:rsid w:val="00D3164A"/>
    <w:rsid w:val="00D318F0"/>
    <w:rsid w:val="00D3267D"/>
    <w:rsid w:val="00D327A4"/>
    <w:rsid w:val="00D32A29"/>
    <w:rsid w:val="00D3395A"/>
    <w:rsid w:val="00D33DBB"/>
    <w:rsid w:val="00D34957"/>
    <w:rsid w:val="00D35744"/>
    <w:rsid w:val="00D358F8"/>
    <w:rsid w:val="00D35A3B"/>
    <w:rsid w:val="00D3679A"/>
    <w:rsid w:val="00D36BFA"/>
    <w:rsid w:val="00D40ECA"/>
    <w:rsid w:val="00D42330"/>
    <w:rsid w:val="00D431BF"/>
    <w:rsid w:val="00D43D9C"/>
    <w:rsid w:val="00D43F07"/>
    <w:rsid w:val="00D449A4"/>
    <w:rsid w:val="00D45A69"/>
    <w:rsid w:val="00D461C8"/>
    <w:rsid w:val="00D46DED"/>
    <w:rsid w:val="00D47565"/>
    <w:rsid w:val="00D50523"/>
    <w:rsid w:val="00D50739"/>
    <w:rsid w:val="00D51510"/>
    <w:rsid w:val="00D51793"/>
    <w:rsid w:val="00D51C55"/>
    <w:rsid w:val="00D51D0A"/>
    <w:rsid w:val="00D5219D"/>
    <w:rsid w:val="00D52750"/>
    <w:rsid w:val="00D52D0C"/>
    <w:rsid w:val="00D53981"/>
    <w:rsid w:val="00D53A4F"/>
    <w:rsid w:val="00D54253"/>
    <w:rsid w:val="00D548FC"/>
    <w:rsid w:val="00D54950"/>
    <w:rsid w:val="00D54CC8"/>
    <w:rsid w:val="00D5514D"/>
    <w:rsid w:val="00D560DC"/>
    <w:rsid w:val="00D565F0"/>
    <w:rsid w:val="00D571DC"/>
    <w:rsid w:val="00D574E2"/>
    <w:rsid w:val="00D57D0C"/>
    <w:rsid w:val="00D5C1CC"/>
    <w:rsid w:val="00D60047"/>
    <w:rsid w:val="00D603BF"/>
    <w:rsid w:val="00D604B5"/>
    <w:rsid w:val="00D6182F"/>
    <w:rsid w:val="00D61A6D"/>
    <w:rsid w:val="00D621B2"/>
    <w:rsid w:val="00D62E90"/>
    <w:rsid w:val="00D63167"/>
    <w:rsid w:val="00D63208"/>
    <w:rsid w:val="00D6369F"/>
    <w:rsid w:val="00D638CE"/>
    <w:rsid w:val="00D63B4F"/>
    <w:rsid w:val="00D63F98"/>
    <w:rsid w:val="00D64CA5"/>
    <w:rsid w:val="00D6657B"/>
    <w:rsid w:val="00D66D6D"/>
    <w:rsid w:val="00D674BC"/>
    <w:rsid w:val="00D67A9F"/>
    <w:rsid w:val="00D67D1B"/>
    <w:rsid w:val="00D67E06"/>
    <w:rsid w:val="00D72B53"/>
    <w:rsid w:val="00D73F01"/>
    <w:rsid w:val="00D740AE"/>
    <w:rsid w:val="00D74252"/>
    <w:rsid w:val="00D74452"/>
    <w:rsid w:val="00D74A5C"/>
    <w:rsid w:val="00D74D2B"/>
    <w:rsid w:val="00D7529F"/>
    <w:rsid w:val="00D75AB0"/>
    <w:rsid w:val="00D75DB6"/>
    <w:rsid w:val="00D76419"/>
    <w:rsid w:val="00D76B56"/>
    <w:rsid w:val="00D76CEA"/>
    <w:rsid w:val="00D76DD6"/>
    <w:rsid w:val="00D76F6F"/>
    <w:rsid w:val="00D770F3"/>
    <w:rsid w:val="00D778C3"/>
    <w:rsid w:val="00D779FA"/>
    <w:rsid w:val="00D77C6F"/>
    <w:rsid w:val="00D801ED"/>
    <w:rsid w:val="00D801F5"/>
    <w:rsid w:val="00D8030F"/>
    <w:rsid w:val="00D80444"/>
    <w:rsid w:val="00D80952"/>
    <w:rsid w:val="00D825CB"/>
    <w:rsid w:val="00D83C0C"/>
    <w:rsid w:val="00D83C95"/>
    <w:rsid w:val="00D84131"/>
    <w:rsid w:val="00D842EF"/>
    <w:rsid w:val="00D84A4F"/>
    <w:rsid w:val="00D84C4C"/>
    <w:rsid w:val="00D854A3"/>
    <w:rsid w:val="00D85D59"/>
    <w:rsid w:val="00D87B75"/>
    <w:rsid w:val="00D90550"/>
    <w:rsid w:val="00D93B66"/>
    <w:rsid w:val="00D941C5"/>
    <w:rsid w:val="00D94266"/>
    <w:rsid w:val="00D94449"/>
    <w:rsid w:val="00D95228"/>
    <w:rsid w:val="00D95794"/>
    <w:rsid w:val="00D95CB7"/>
    <w:rsid w:val="00D96CAD"/>
    <w:rsid w:val="00DA0159"/>
    <w:rsid w:val="00DA1355"/>
    <w:rsid w:val="00DA18C9"/>
    <w:rsid w:val="00DA1B0A"/>
    <w:rsid w:val="00DA1F9C"/>
    <w:rsid w:val="00DA2546"/>
    <w:rsid w:val="00DA262B"/>
    <w:rsid w:val="00DA2C41"/>
    <w:rsid w:val="00DA2F88"/>
    <w:rsid w:val="00DA3861"/>
    <w:rsid w:val="00DA3AE6"/>
    <w:rsid w:val="00DA4761"/>
    <w:rsid w:val="00DA4826"/>
    <w:rsid w:val="00DA4DC8"/>
    <w:rsid w:val="00DA4F36"/>
    <w:rsid w:val="00DA5110"/>
    <w:rsid w:val="00DA537B"/>
    <w:rsid w:val="00DA540A"/>
    <w:rsid w:val="00DA5C4D"/>
    <w:rsid w:val="00DA7260"/>
    <w:rsid w:val="00DA7381"/>
    <w:rsid w:val="00DB0470"/>
    <w:rsid w:val="00DB0838"/>
    <w:rsid w:val="00DB1EB2"/>
    <w:rsid w:val="00DB2A7A"/>
    <w:rsid w:val="00DB2F0D"/>
    <w:rsid w:val="00DB314B"/>
    <w:rsid w:val="00DB4606"/>
    <w:rsid w:val="00DB4DCF"/>
    <w:rsid w:val="00DB4E5A"/>
    <w:rsid w:val="00DB5904"/>
    <w:rsid w:val="00DB5D01"/>
    <w:rsid w:val="00DB5E98"/>
    <w:rsid w:val="00DB6226"/>
    <w:rsid w:val="00DB6742"/>
    <w:rsid w:val="00DB68A7"/>
    <w:rsid w:val="00DB73E3"/>
    <w:rsid w:val="00DB786A"/>
    <w:rsid w:val="00DB7F03"/>
    <w:rsid w:val="00DC0604"/>
    <w:rsid w:val="00DC0D28"/>
    <w:rsid w:val="00DC1FB1"/>
    <w:rsid w:val="00DC22C2"/>
    <w:rsid w:val="00DC2340"/>
    <w:rsid w:val="00DC2F14"/>
    <w:rsid w:val="00DC44AB"/>
    <w:rsid w:val="00DC4888"/>
    <w:rsid w:val="00DC5E58"/>
    <w:rsid w:val="00DC6348"/>
    <w:rsid w:val="00DC743F"/>
    <w:rsid w:val="00DC75FD"/>
    <w:rsid w:val="00DC7EA6"/>
    <w:rsid w:val="00DD015F"/>
    <w:rsid w:val="00DD13A8"/>
    <w:rsid w:val="00DD1565"/>
    <w:rsid w:val="00DD1926"/>
    <w:rsid w:val="00DD1F9A"/>
    <w:rsid w:val="00DD2748"/>
    <w:rsid w:val="00DD27A6"/>
    <w:rsid w:val="00DD2E29"/>
    <w:rsid w:val="00DD3DB0"/>
    <w:rsid w:val="00DD4578"/>
    <w:rsid w:val="00DD49D9"/>
    <w:rsid w:val="00DD5C72"/>
    <w:rsid w:val="00DD61C2"/>
    <w:rsid w:val="00DD6DEF"/>
    <w:rsid w:val="00DD7614"/>
    <w:rsid w:val="00DE0504"/>
    <w:rsid w:val="00DE0B73"/>
    <w:rsid w:val="00DE0C65"/>
    <w:rsid w:val="00DE2689"/>
    <w:rsid w:val="00DE3246"/>
    <w:rsid w:val="00DE3672"/>
    <w:rsid w:val="00DE44FE"/>
    <w:rsid w:val="00DE63C9"/>
    <w:rsid w:val="00DE678E"/>
    <w:rsid w:val="00DE7743"/>
    <w:rsid w:val="00DE7D6C"/>
    <w:rsid w:val="00DE7EA6"/>
    <w:rsid w:val="00DF0378"/>
    <w:rsid w:val="00DF0402"/>
    <w:rsid w:val="00DF1BFE"/>
    <w:rsid w:val="00DF3233"/>
    <w:rsid w:val="00DF443A"/>
    <w:rsid w:val="00DF4C0C"/>
    <w:rsid w:val="00DF559F"/>
    <w:rsid w:val="00DF627D"/>
    <w:rsid w:val="00DF666F"/>
    <w:rsid w:val="00DF75CD"/>
    <w:rsid w:val="00E00AF6"/>
    <w:rsid w:val="00E0199B"/>
    <w:rsid w:val="00E02559"/>
    <w:rsid w:val="00E029D4"/>
    <w:rsid w:val="00E0322F"/>
    <w:rsid w:val="00E03EA3"/>
    <w:rsid w:val="00E04015"/>
    <w:rsid w:val="00E0432F"/>
    <w:rsid w:val="00E04DDE"/>
    <w:rsid w:val="00E05270"/>
    <w:rsid w:val="00E0673C"/>
    <w:rsid w:val="00E06836"/>
    <w:rsid w:val="00E06B0E"/>
    <w:rsid w:val="00E06BD2"/>
    <w:rsid w:val="00E06E79"/>
    <w:rsid w:val="00E06FAF"/>
    <w:rsid w:val="00E070BF"/>
    <w:rsid w:val="00E073DE"/>
    <w:rsid w:val="00E106B1"/>
    <w:rsid w:val="00E11660"/>
    <w:rsid w:val="00E128A8"/>
    <w:rsid w:val="00E1309B"/>
    <w:rsid w:val="00E13AF4"/>
    <w:rsid w:val="00E13EBF"/>
    <w:rsid w:val="00E13FD8"/>
    <w:rsid w:val="00E15101"/>
    <w:rsid w:val="00E15513"/>
    <w:rsid w:val="00E15A17"/>
    <w:rsid w:val="00E15E25"/>
    <w:rsid w:val="00E16127"/>
    <w:rsid w:val="00E161F4"/>
    <w:rsid w:val="00E173D8"/>
    <w:rsid w:val="00E17B74"/>
    <w:rsid w:val="00E17C07"/>
    <w:rsid w:val="00E205F5"/>
    <w:rsid w:val="00E208CC"/>
    <w:rsid w:val="00E2115C"/>
    <w:rsid w:val="00E220B4"/>
    <w:rsid w:val="00E234B9"/>
    <w:rsid w:val="00E237D7"/>
    <w:rsid w:val="00E24704"/>
    <w:rsid w:val="00E24909"/>
    <w:rsid w:val="00E2513A"/>
    <w:rsid w:val="00E25D64"/>
    <w:rsid w:val="00E25DB2"/>
    <w:rsid w:val="00E26281"/>
    <w:rsid w:val="00E26457"/>
    <w:rsid w:val="00E26513"/>
    <w:rsid w:val="00E26AE6"/>
    <w:rsid w:val="00E27242"/>
    <w:rsid w:val="00E272B2"/>
    <w:rsid w:val="00E30D45"/>
    <w:rsid w:val="00E3100A"/>
    <w:rsid w:val="00E317ED"/>
    <w:rsid w:val="00E31829"/>
    <w:rsid w:val="00E31B0D"/>
    <w:rsid w:val="00E31EC5"/>
    <w:rsid w:val="00E32392"/>
    <w:rsid w:val="00E32A38"/>
    <w:rsid w:val="00E32F11"/>
    <w:rsid w:val="00E32FFD"/>
    <w:rsid w:val="00E348C8"/>
    <w:rsid w:val="00E35558"/>
    <w:rsid w:val="00E35635"/>
    <w:rsid w:val="00E36AAE"/>
    <w:rsid w:val="00E37B2C"/>
    <w:rsid w:val="00E403EA"/>
    <w:rsid w:val="00E40C02"/>
    <w:rsid w:val="00E40F6B"/>
    <w:rsid w:val="00E41F62"/>
    <w:rsid w:val="00E421AC"/>
    <w:rsid w:val="00E421C5"/>
    <w:rsid w:val="00E42B7C"/>
    <w:rsid w:val="00E431CA"/>
    <w:rsid w:val="00E436AF"/>
    <w:rsid w:val="00E43ACE"/>
    <w:rsid w:val="00E43D3F"/>
    <w:rsid w:val="00E44CFD"/>
    <w:rsid w:val="00E44D1F"/>
    <w:rsid w:val="00E471EB"/>
    <w:rsid w:val="00E47508"/>
    <w:rsid w:val="00E475DF"/>
    <w:rsid w:val="00E47880"/>
    <w:rsid w:val="00E47AC9"/>
    <w:rsid w:val="00E47DB5"/>
    <w:rsid w:val="00E47EE2"/>
    <w:rsid w:val="00E500F2"/>
    <w:rsid w:val="00E50B07"/>
    <w:rsid w:val="00E51115"/>
    <w:rsid w:val="00E51D71"/>
    <w:rsid w:val="00E52001"/>
    <w:rsid w:val="00E52CEB"/>
    <w:rsid w:val="00E53982"/>
    <w:rsid w:val="00E549DA"/>
    <w:rsid w:val="00E55567"/>
    <w:rsid w:val="00E560B4"/>
    <w:rsid w:val="00E56325"/>
    <w:rsid w:val="00E56D56"/>
    <w:rsid w:val="00E57135"/>
    <w:rsid w:val="00E5772E"/>
    <w:rsid w:val="00E60A2D"/>
    <w:rsid w:val="00E60F95"/>
    <w:rsid w:val="00E611DA"/>
    <w:rsid w:val="00E615C7"/>
    <w:rsid w:val="00E61ECF"/>
    <w:rsid w:val="00E62EEF"/>
    <w:rsid w:val="00E63118"/>
    <w:rsid w:val="00E63195"/>
    <w:rsid w:val="00E631E3"/>
    <w:rsid w:val="00E6495A"/>
    <w:rsid w:val="00E64ADF"/>
    <w:rsid w:val="00E64FD4"/>
    <w:rsid w:val="00E64FEE"/>
    <w:rsid w:val="00E65022"/>
    <w:rsid w:val="00E6727B"/>
    <w:rsid w:val="00E67B56"/>
    <w:rsid w:val="00E67CE1"/>
    <w:rsid w:val="00E71039"/>
    <w:rsid w:val="00E71D05"/>
    <w:rsid w:val="00E743C0"/>
    <w:rsid w:val="00E74B9E"/>
    <w:rsid w:val="00E74FFE"/>
    <w:rsid w:val="00E75187"/>
    <w:rsid w:val="00E755D7"/>
    <w:rsid w:val="00E7573A"/>
    <w:rsid w:val="00E758B2"/>
    <w:rsid w:val="00E76EFD"/>
    <w:rsid w:val="00E80191"/>
    <w:rsid w:val="00E805A1"/>
    <w:rsid w:val="00E81ECC"/>
    <w:rsid w:val="00E82210"/>
    <w:rsid w:val="00E83446"/>
    <w:rsid w:val="00E8346B"/>
    <w:rsid w:val="00E8499A"/>
    <w:rsid w:val="00E8578D"/>
    <w:rsid w:val="00E85865"/>
    <w:rsid w:val="00E8634E"/>
    <w:rsid w:val="00E8667A"/>
    <w:rsid w:val="00E86CEF"/>
    <w:rsid w:val="00E90447"/>
    <w:rsid w:val="00E90888"/>
    <w:rsid w:val="00E91105"/>
    <w:rsid w:val="00E9165C"/>
    <w:rsid w:val="00E924C2"/>
    <w:rsid w:val="00E9304E"/>
    <w:rsid w:val="00E93E4E"/>
    <w:rsid w:val="00E944D6"/>
    <w:rsid w:val="00E946C2"/>
    <w:rsid w:val="00E94703"/>
    <w:rsid w:val="00E94A5F"/>
    <w:rsid w:val="00E94ED2"/>
    <w:rsid w:val="00E96C00"/>
    <w:rsid w:val="00E96C26"/>
    <w:rsid w:val="00E96C35"/>
    <w:rsid w:val="00E976DE"/>
    <w:rsid w:val="00E976E3"/>
    <w:rsid w:val="00E97D38"/>
    <w:rsid w:val="00EA0EE4"/>
    <w:rsid w:val="00EA1903"/>
    <w:rsid w:val="00EA199C"/>
    <w:rsid w:val="00EA296F"/>
    <w:rsid w:val="00EA2B66"/>
    <w:rsid w:val="00EA38A8"/>
    <w:rsid w:val="00EA4846"/>
    <w:rsid w:val="00EA4C24"/>
    <w:rsid w:val="00EA4F75"/>
    <w:rsid w:val="00EA5924"/>
    <w:rsid w:val="00EA5EBE"/>
    <w:rsid w:val="00EA5EFF"/>
    <w:rsid w:val="00EA5F41"/>
    <w:rsid w:val="00EA660B"/>
    <w:rsid w:val="00EA79FE"/>
    <w:rsid w:val="00EB03CB"/>
    <w:rsid w:val="00EB0A08"/>
    <w:rsid w:val="00EB0B41"/>
    <w:rsid w:val="00EB0C78"/>
    <w:rsid w:val="00EB1100"/>
    <w:rsid w:val="00EB11AE"/>
    <w:rsid w:val="00EB1A76"/>
    <w:rsid w:val="00EB1DF4"/>
    <w:rsid w:val="00EB2346"/>
    <w:rsid w:val="00EB407D"/>
    <w:rsid w:val="00EB4DC6"/>
    <w:rsid w:val="00EB7216"/>
    <w:rsid w:val="00EB744F"/>
    <w:rsid w:val="00EC0C41"/>
    <w:rsid w:val="00EC1548"/>
    <w:rsid w:val="00EC190B"/>
    <w:rsid w:val="00EC23E3"/>
    <w:rsid w:val="00EC2BE5"/>
    <w:rsid w:val="00EC3BE9"/>
    <w:rsid w:val="00EC54AC"/>
    <w:rsid w:val="00EC61B5"/>
    <w:rsid w:val="00ED010D"/>
    <w:rsid w:val="00ED0A6C"/>
    <w:rsid w:val="00ED22BE"/>
    <w:rsid w:val="00ED24C1"/>
    <w:rsid w:val="00ED25B4"/>
    <w:rsid w:val="00ED2F56"/>
    <w:rsid w:val="00ED32C8"/>
    <w:rsid w:val="00ED3CB9"/>
    <w:rsid w:val="00ED4181"/>
    <w:rsid w:val="00ED4390"/>
    <w:rsid w:val="00ED49F5"/>
    <w:rsid w:val="00ED4D2C"/>
    <w:rsid w:val="00ED52AA"/>
    <w:rsid w:val="00ED5CD0"/>
    <w:rsid w:val="00ED5D89"/>
    <w:rsid w:val="00ED78C3"/>
    <w:rsid w:val="00ED7EF7"/>
    <w:rsid w:val="00ED7FAB"/>
    <w:rsid w:val="00EE04F4"/>
    <w:rsid w:val="00EE1092"/>
    <w:rsid w:val="00EE1A37"/>
    <w:rsid w:val="00EE1AD0"/>
    <w:rsid w:val="00EE1DAB"/>
    <w:rsid w:val="00EE2F6D"/>
    <w:rsid w:val="00EE2FC6"/>
    <w:rsid w:val="00EE32CA"/>
    <w:rsid w:val="00EE44C6"/>
    <w:rsid w:val="00EE50A6"/>
    <w:rsid w:val="00EE5FC7"/>
    <w:rsid w:val="00EE646F"/>
    <w:rsid w:val="00EE657E"/>
    <w:rsid w:val="00EE6BBF"/>
    <w:rsid w:val="00EE7394"/>
    <w:rsid w:val="00EE76E0"/>
    <w:rsid w:val="00EE7FCC"/>
    <w:rsid w:val="00EF06C0"/>
    <w:rsid w:val="00EF0FAD"/>
    <w:rsid w:val="00EF1534"/>
    <w:rsid w:val="00EF16B7"/>
    <w:rsid w:val="00EF16FC"/>
    <w:rsid w:val="00EF1E96"/>
    <w:rsid w:val="00EF2C22"/>
    <w:rsid w:val="00EF33BD"/>
    <w:rsid w:val="00EF4654"/>
    <w:rsid w:val="00EF4A95"/>
    <w:rsid w:val="00EF4D85"/>
    <w:rsid w:val="00EF5958"/>
    <w:rsid w:val="00EF6E89"/>
    <w:rsid w:val="00EF7EC7"/>
    <w:rsid w:val="00EF7F73"/>
    <w:rsid w:val="00F00750"/>
    <w:rsid w:val="00F01112"/>
    <w:rsid w:val="00F019FC"/>
    <w:rsid w:val="00F02715"/>
    <w:rsid w:val="00F028FB"/>
    <w:rsid w:val="00F031F7"/>
    <w:rsid w:val="00F03A68"/>
    <w:rsid w:val="00F0523E"/>
    <w:rsid w:val="00F067C2"/>
    <w:rsid w:val="00F06845"/>
    <w:rsid w:val="00F06DF2"/>
    <w:rsid w:val="00F10879"/>
    <w:rsid w:val="00F10D18"/>
    <w:rsid w:val="00F11F61"/>
    <w:rsid w:val="00F12682"/>
    <w:rsid w:val="00F131FC"/>
    <w:rsid w:val="00F13213"/>
    <w:rsid w:val="00F13614"/>
    <w:rsid w:val="00F13A84"/>
    <w:rsid w:val="00F14495"/>
    <w:rsid w:val="00F1455F"/>
    <w:rsid w:val="00F14917"/>
    <w:rsid w:val="00F15BE6"/>
    <w:rsid w:val="00F15FFC"/>
    <w:rsid w:val="00F16452"/>
    <w:rsid w:val="00F17162"/>
    <w:rsid w:val="00F17510"/>
    <w:rsid w:val="00F178A0"/>
    <w:rsid w:val="00F20A54"/>
    <w:rsid w:val="00F21F98"/>
    <w:rsid w:val="00F22BE1"/>
    <w:rsid w:val="00F23A4E"/>
    <w:rsid w:val="00F246F4"/>
    <w:rsid w:val="00F249F0"/>
    <w:rsid w:val="00F25BB9"/>
    <w:rsid w:val="00F26762"/>
    <w:rsid w:val="00F2694D"/>
    <w:rsid w:val="00F27E93"/>
    <w:rsid w:val="00F30CDA"/>
    <w:rsid w:val="00F31148"/>
    <w:rsid w:val="00F31A58"/>
    <w:rsid w:val="00F324D2"/>
    <w:rsid w:val="00F32AEC"/>
    <w:rsid w:val="00F33464"/>
    <w:rsid w:val="00F334AC"/>
    <w:rsid w:val="00F33F34"/>
    <w:rsid w:val="00F34F2D"/>
    <w:rsid w:val="00F352AE"/>
    <w:rsid w:val="00F356BE"/>
    <w:rsid w:val="00F35770"/>
    <w:rsid w:val="00F35F42"/>
    <w:rsid w:val="00F374C9"/>
    <w:rsid w:val="00F376DB"/>
    <w:rsid w:val="00F37F2C"/>
    <w:rsid w:val="00F40083"/>
    <w:rsid w:val="00F40723"/>
    <w:rsid w:val="00F408DC"/>
    <w:rsid w:val="00F42F48"/>
    <w:rsid w:val="00F431AE"/>
    <w:rsid w:val="00F44DED"/>
    <w:rsid w:val="00F45958"/>
    <w:rsid w:val="00F45DD0"/>
    <w:rsid w:val="00F50F2C"/>
    <w:rsid w:val="00F5154F"/>
    <w:rsid w:val="00F51FFE"/>
    <w:rsid w:val="00F526F3"/>
    <w:rsid w:val="00F52C02"/>
    <w:rsid w:val="00F5351C"/>
    <w:rsid w:val="00F53840"/>
    <w:rsid w:val="00F5479A"/>
    <w:rsid w:val="00F54E68"/>
    <w:rsid w:val="00F56AF9"/>
    <w:rsid w:val="00F56B10"/>
    <w:rsid w:val="00F57682"/>
    <w:rsid w:val="00F609FF"/>
    <w:rsid w:val="00F60CBE"/>
    <w:rsid w:val="00F611CF"/>
    <w:rsid w:val="00F62279"/>
    <w:rsid w:val="00F64FDB"/>
    <w:rsid w:val="00F6506E"/>
    <w:rsid w:val="00F65273"/>
    <w:rsid w:val="00F65EF1"/>
    <w:rsid w:val="00F66797"/>
    <w:rsid w:val="00F6688D"/>
    <w:rsid w:val="00F677DB"/>
    <w:rsid w:val="00F70D27"/>
    <w:rsid w:val="00F711D2"/>
    <w:rsid w:val="00F71F72"/>
    <w:rsid w:val="00F72658"/>
    <w:rsid w:val="00F72C2B"/>
    <w:rsid w:val="00F72ED0"/>
    <w:rsid w:val="00F73A7C"/>
    <w:rsid w:val="00F74A54"/>
    <w:rsid w:val="00F7578E"/>
    <w:rsid w:val="00F75890"/>
    <w:rsid w:val="00F76360"/>
    <w:rsid w:val="00F76D45"/>
    <w:rsid w:val="00F76E2A"/>
    <w:rsid w:val="00F76E9D"/>
    <w:rsid w:val="00F80882"/>
    <w:rsid w:val="00F80CF2"/>
    <w:rsid w:val="00F8159A"/>
    <w:rsid w:val="00F82062"/>
    <w:rsid w:val="00F82A44"/>
    <w:rsid w:val="00F82EE7"/>
    <w:rsid w:val="00F8300A"/>
    <w:rsid w:val="00F830B0"/>
    <w:rsid w:val="00F83521"/>
    <w:rsid w:val="00F84C7B"/>
    <w:rsid w:val="00F85686"/>
    <w:rsid w:val="00F863CC"/>
    <w:rsid w:val="00F864BE"/>
    <w:rsid w:val="00F86A77"/>
    <w:rsid w:val="00F8718E"/>
    <w:rsid w:val="00F9031C"/>
    <w:rsid w:val="00F90E78"/>
    <w:rsid w:val="00F91359"/>
    <w:rsid w:val="00F91A01"/>
    <w:rsid w:val="00F92562"/>
    <w:rsid w:val="00F92ABA"/>
    <w:rsid w:val="00F92C77"/>
    <w:rsid w:val="00F93E7F"/>
    <w:rsid w:val="00F94033"/>
    <w:rsid w:val="00F948AB"/>
    <w:rsid w:val="00F95591"/>
    <w:rsid w:val="00F958D4"/>
    <w:rsid w:val="00F9599E"/>
    <w:rsid w:val="00F96838"/>
    <w:rsid w:val="00F96B79"/>
    <w:rsid w:val="00F96C64"/>
    <w:rsid w:val="00FA18E5"/>
    <w:rsid w:val="00FA1A52"/>
    <w:rsid w:val="00FA1D67"/>
    <w:rsid w:val="00FA3109"/>
    <w:rsid w:val="00FA4189"/>
    <w:rsid w:val="00FA47D1"/>
    <w:rsid w:val="00FA481E"/>
    <w:rsid w:val="00FA488E"/>
    <w:rsid w:val="00FA59B5"/>
    <w:rsid w:val="00FA7242"/>
    <w:rsid w:val="00FA735F"/>
    <w:rsid w:val="00FA74F1"/>
    <w:rsid w:val="00FA7658"/>
    <w:rsid w:val="00FA7764"/>
    <w:rsid w:val="00FA7930"/>
    <w:rsid w:val="00FA7DBD"/>
    <w:rsid w:val="00FB0DE1"/>
    <w:rsid w:val="00FB148C"/>
    <w:rsid w:val="00FB19F4"/>
    <w:rsid w:val="00FB1D7F"/>
    <w:rsid w:val="00FB2642"/>
    <w:rsid w:val="00FB2EF3"/>
    <w:rsid w:val="00FB38B3"/>
    <w:rsid w:val="00FB4001"/>
    <w:rsid w:val="00FB4C6C"/>
    <w:rsid w:val="00FB5064"/>
    <w:rsid w:val="00FB52ED"/>
    <w:rsid w:val="00FB6BB2"/>
    <w:rsid w:val="00FB7B17"/>
    <w:rsid w:val="00FB7C1E"/>
    <w:rsid w:val="00FC0215"/>
    <w:rsid w:val="00FC048F"/>
    <w:rsid w:val="00FC054C"/>
    <w:rsid w:val="00FC1C98"/>
    <w:rsid w:val="00FC262E"/>
    <w:rsid w:val="00FC3AE5"/>
    <w:rsid w:val="00FC3FAA"/>
    <w:rsid w:val="00FC4A1C"/>
    <w:rsid w:val="00FC4DA0"/>
    <w:rsid w:val="00FC5066"/>
    <w:rsid w:val="00FC5149"/>
    <w:rsid w:val="00FC52B7"/>
    <w:rsid w:val="00FC5625"/>
    <w:rsid w:val="00FC639D"/>
    <w:rsid w:val="00FC70B2"/>
    <w:rsid w:val="00FC7110"/>
    <w:rsid w:val="00FC72D3"/>
    <w:rsid w:val="00FC75CD"/>
    <w:rsid w:val="00FD01D2"/>
    <w:rsid w:val="00FD11F2"/>
    <w:rsid w:val="00FD1AFF"/>
    <w:rsid w:val="00FD1C24"/>
    <w:rsid w:val="00FD2019"/>
    <w:rsid w:val="00FD27FA"/>
    <w:rsid w:val="00FD3910"/>
    <w:rsid w:val="00FD426A"/>
    <w:rsid w:val="00FD4E53"/>
    <w:rsid w:val="00FD5DFB"/>
    <w:rsid w:val="00FD5F06"/>
    <w:rsid w:val="00FD6825"/>
    <w:rsid w:val="00FD693C"/>
    <w:rsid w:val="00FD6997"/>
    <w:rsid w:val="00FD69D8"/>
    <w:rsid w:val="00FD7C6E"/>
    <w:rsid w:val="00FE0795"/>
    <w:rsid w:val="00FE1126"/>
    <w:rsid w:val="00FE2027"/>
    <w:rsid w:val="00FE377E"/>
    <w:rsid w:val="00FE3A20"/>
    <w:rsid w:val="00FE3E41"/>
    <w:rsid w:val="00FE3E78"/>
    <w:rsid w:val="00FE40E8"/>
    <w:rsid w:val="00FE5C3D"/>
    <w:rsid w:val="00FE65F8"/>
    <w:rsid w:val="00FE6BF1"/>
    <w:rsid w:val="00FF0215"/>
    <w:rsid w:val="00FF03C1"/>
    <w:rsid w:val="00FF0D1D"/>
    <w:rsid w:val="00FF160C"/>
    <w:rsid w:val="00FF1F02"/>
    <w:rsid w:val="00FF2311"/>
    <w:rsid w:val="00FF34ED"/>
    <w:rsid w:val="00FF4664"/>
    <w:rsid w:val="00FF498F"/>
    <w:rsid w:val="00FF4D42"/>
    <w:rsid w:val="00FF57FD"/>
    <w:rsid w:val="00FF5A04"/>
    <w:rsid w:val="00FF5DFB"/>
    <w:rsid w:val="00FF6E67"/>
    <w:rsid w:val="00FF6F4A"/>
    <w:rsid w:val="00FF7EE7"/>
    <w:rsid w:val="013FA67B"/>
    <w:rsid w:val="014F81EE"/>
    <w:rsid w:val="0154648D"/>
    <w:rsid w:val="01619BCC"/>
    <w:rsid w:val="016F7C30"/>
    <w:rsid w:val="017521E5"/>
    <w:rsid w:val="019B1B04"/>
    <w:rsid w:val="01C3761C"/>
    <w:rsid w:val="02091B33"/>
    <w:rsid w:val="020E2D16"/>
    <w:rsid w:val="02527E6A"/>
    <w:rsid w:val="025871CE"/>
    <w:rsid w:val="026E9AC4"/>
    <w:rsid w:val="036CE01A"/>
    <w:rsid w:val="03F437DE"/>
    <w:rsid w:val="041344D8"/>
    <w:rsid w:val="042FBD18"/>
    <w:rsid w:val="04515E5F"/>
    <w:rsid w:val="045396CF"/>
    <w:rsid w:val="04778F3F"/>
    <w:rsid w:val="04D77E2B"/>
    <w:rsid w:val="04E47B63"/>
    <w:rsid w:val="051F49AF"/>
    <w:rsid w:val="05235AF5"/>
    <w:rsid w:val="05585F1B"/>
    <w:rsid w:val="05826B48"/>
    <w:rsid w:val="05AAF708"/>
    <w:rsid w:val="05CE73B8"/>
    <w:rsid w:val="05CFCC8B"/>
    <w:rsid w:val="05F4B22D"/>
    <w:rsid w:val="06058AE2"/>
    <w:rsid w:val="064DC36A"/>
    <w:rsid w:val="06AFE40C"/>
    <w:rsid w:val="06D95625"/>
    <w:rsid w:val="071C0619"/>
    <w:rsid w:val="07217490"/>
    <w:rsid w:val="0737F48A"/>
    <w:rsid w:val="074F3935"/>
    <w:rsid w:val="07E00E19"/>
    <w:rsid w:val="08559C22"/>
    <w:rsid w:val="08B470DE"/>
    <w:rsid w:val="08BCBA8F"/>
    <w:rsid w:val="08BDDB02"/>
    <w:rsid w:val="08BFE144"/>
    <w:rsid w:val="08C2FFC1"/>
    <w:rsid w:val="090B37EC"/>
    <w:rsid w:val="092E7DD1"/>
    <w:rsid w:val="093E784F"/>
    <w:rsid w:val="0974F861"/>
    <w:rsid w:val="0A2062B5"/>
    <w:rsid w:val="0A463290"/>
    <w:rsid w:val="0A60D457"/>
    <w:rsid w:val="0A99E425"/>
    <w:rsid w:val="0AD4360D"/>
    <w:rsid w:val="0AECFF8A"/>
    <w:rsid w:val="0B2C0C9B"/>
    <w:rsid w:val="0B5906B5"/>
    <w:rsid w:val="0BBA2617"/>
    <w:rsid w:val="0C089640"/>
    <w:rsid w:val="0C28E917"/>
    <w:rsid w:val="0C9F6F3A"/>
    <w:rsid w:val="0CE1DA16"/>
    <w:rsid w:val="0CF8B3DA"/>
    <w:rsid w:val="0D3C9C2D"/>
    <w:rsid w:val="0D737E36"/>
    <w:rsid w:val="0DEBC228"/>
    <w:rsid w:val="0E0DB29B"/>
    <w:rsid w:val="0E25DDDA"/>
    <w:rsid w:val="0E2DEAA2"/>
    <w:rsid w:val="0EF23762"/>
    <w:rsid w:val="0F0ABEB9"/>
    <w:rsid w:val="10189A1E"/>
    <w:rsid w:val="107A1203"/>
    <w:rsid w:val="1084A213"/>
    <w:rsid w:val="10AB3836"/>
    <w:rsid w:val="112AEF97"/>
    <w:rsid w:val="115ED62A"/>
    <w:rsid w:val="1214E0B8"/>
    <w:rsid w:val="12E82548"/>
    <w:rsid w:val="1333DF9D"/>
    <w:rsid w:val="1383F557"/>
    <w:rsid w:val="13A39D17"/>
    <w:rsid w:val="13B262D7"/>
    <w:rsid w:val="13DE52B5"/>
    <w:rsid w:val="13E6EB02"/>
    <w:rsid w:val="1441C34A"/>
    <w:rsid w:val="1442C8FD"/>
    <w:rsid w:val="14472798"/>
    <w:rsid w:val="14563CEA"/>
    <w:rsid w:val="146DD7E1"/>
    <w:rsid w:val="14B37B9A"/>
    <w:rsid w:val="14BE0AE8"/>
    <w:rsid w:val="14C894FE"/>
    <w:rsid w:val="15022A50"/>
    <w:rsid w:val="1545316A"/>
    <w:rsid w:val="1546260E"/>
    <w:rsid w:val="15A2A0E2"/>
    <w:rsid w:val="15E0C158"/>
    <w:rsid w:val="15EB3BB2"/>
    <w:rsid w:val="15EDE5DE"/>
    <w:rsid w:val="15F6DFE8"/>
    <w:rsid w:val="165438EC"/>
    <w:rsid w:val="167AE1AF"/>
    <w:rsid w:val="16901557"/>
    <w:rsid w:val="16C058EF"/>
    <w:rsid w:val="16F2AF4C"/>
    <w:rsid w:val="173D0C7A"/>
    <w:rsid w:val="173FF03F"/>
    <w:rsid w:val="175FF970"/>
    <w:rsid w:val="1775BE38"/>
    <w:rsid w:val="178D50D5"/>
    <w:rsid w:val="17DA13FA"/>
    <w:rsid w:val="17E02CCD"/>
    <w:rsid w:val="17F2EB65"/>
    <w:rsid w:val="17FE27FE"/>
    <w:rsid w:val="181AC2C6"/>
    <w:rsid w:val="182E39AF"/>
    <w:rsid w:val="18A16787"/>
    <w:rsid w:val="18A23F96"/>
    <w:rsid w:val="18C331DE"/>
    <w:rsid w:val="18D123B8"/>
    <w:rsid w:val="18E656D6"/>
    <w:rsid w:val="18FCFA05"/>
    <w:rsid w:val="19630304"/>
    <w:rsid w:val="198611D7"/>
    <w:rsid w:val="19AB5F79"/>
    <w:rsid w:val="19B357DB"/>
    <w:rsid w:val="19B3F2B2"/>
    <w:rsid w:val="19BADB7B"/>
    <w:rsid w:val="19CF05DA"/>
    <w:rsid w:val="19DDFC44"/>
    <w:rsid w:val="1A5D31C0"/>
    <w:rsid w:val="1A82CE91"/>
    <w:rsid w:val="1AB8985A"/>
    <w:rsid w:val="1AD9D827"/>
    <w:rsid w:val="1AEC71A4"/>
    <w:rsid w:val="1AF964A0"/>
    <w:rsid w:val="1AFCED49"/>
    <w:rsid w:val="1B7C6911"/>
    <w:rsid w:val="1BB9338B"/>
    <w:rsid w:val="1BCAFDAC"/>
    <w:rsid w:val="1BEECD7D"/>
    <w:rsid w:val="1C013D97"/>
    <w:rsid w:val="1C1019EF"/>
    <w:rsid w:val="1C50ABA2"/>
    <w:rsid w:val="1C85A835"/>
    <w:rsid w:val="1CB0E443"/>
    <w:rsid w:val="1CC995DB"/>
    <w:rsid w:val="1CCF7DB7"/>
    <w:rsid w:val="1CE53821"/>
    <w:rsid w:val="1D0AFA01"/>
    <w:rsid w:val="1D23F473"/>
    <w:rsid w:val="1D435A6B"/>
    <w:rsid w:val="1D43A3B1"/>
    <w:rsid w:val="1D7EC72E"/>
    <w:rsid w:val="1D8ED08A"/>
    <w:rsid w:val="1DA6A683"/>
    <w:rsid w:val="1E055B59"/>
    <w:rsid w:val="1E17E8ED"/>
    <w:rsid w:val="1E7ADAE0"/>
    <w:rsid w:val="1E8FD997"/>
    <w:rsid w:val="1EB5D2D2"/>
    <w:rsid w:val="1EB5EF1D"/>
    <w:rsid w:val="1EC207AE"/>
    <w:rsid w:val="1EE02B4B"/>
    <w:rsid w:val="1EE72B6C"/>
    <w:rsid w:val="1F08A082"/>
    <w:rsid w:val="1F08BF2F"/>
    <w:rsid w:val="1F11EFD8"/>
    <w:rsid w:val="1F18D4B2"/>
    <w:rsid w:val="1F46A986"/>
    <w:rsid w:val="1F4F72E7"/>
    <w:rsid w:val="1F5F7A22"/>
    <w:rsid w:val="1F6AE195"/>
    <w:rsid w:val="1FA8C71B"/>
    <w:rsid w:val="1FC4989F"/>
    <w:rsid w:val="202A0095"/>
    <w:rsid w:val="206F90BB"/>
    <w:rsid w:val="2092F90E"/>
    <w:rsid w:val="209C768E"/>
    <w:rsid w:val="20B280DD"/>
    <w:rsid w:val="20C447FA"/>
    <w:rsid w:val="20C7FBAE"/>
    <w:rsid w:val="20D39EEE"/>
    <w:rsid w:val="21089C64"/>
    <w:rsid w:val="210D350A"/>
    <w:rsid w:val="21524F87"/>
    <w:rsid w:val="21627D3E"/>
    <w:rsid w:val="218D2A99"/>
    <w:rsid w:val="21D815E6"/>
    <w:rsid w:val="21F497EB"/>
    <w:rsid w:val="221D89F2"/>
    <w:rsid w:val="224BD1B5"/>
    <w:rsid w:val="22702436"/>
    <w:rsid w:val="227AF040"/>
    <w:rsid w:val="22E1A8F5"/>
    <w:rsid w:val="22F104B3"/>
    <w:rsid w:val="23220A31"/>
    <w:rsid w:val="23AF5E52"/>
    <w:rsid w:val="23E54EE2"/>
    <w:rsid w:val="2474B754"/>
    <w:rsid w:val="25EA9F1A"/>
    <w:rsid w:val="25FCE2AD"/>
    <w:rsid w:val="26071668"/>
    <w:rsid w:val="2638CDAD"/>
    <w:rsid w:val="2664DE9C"/>
    <w:rsid w:val="266A5386"/>
    <w:rsid w:val="26E31A3E"/>
    <w:rsid w:val="27035FD5"/>
    <w:rsid w:val="27409858"/>
    <w:rsid w:val="27C8511D"/>
    <w:rsid w:val="2812F8B4"/>
    <w:rsid w:val="28785194"/>
    <w:rsid w:val="28BBD0F3"/>
    <w:rsid w:val="28DB6D85"/>
    <w:rsid w:val="28F783D3"/>
    <w:rsid w:val="28FD4128"/>
    <w:rsid w:val="29020B23"/>
    <w:rsid w:val="291FA335"/>
    <w:rsid w:val="292F0090"/>
    <w:rsid w:val="297D5E34"/>
    <w:rsid w:val="2995BFE2"/>
    <w:rsid w:val="29E3E467"/>
    <w:rsid w:val="29EABFF4"/>
    <w:rsid w:val="2A327A98"/>
    <w:rsid w:val="2A3D6967"/>
    <w:rsid w:val="2A7C618D"/>
    <w:rsid w:val="2AA4D262"/>
    <w:rsid w:val="2AF9A9DD"/>
    <w:rsid w:val="2B1E11C8"/>
    <w:rsid w:val="2B3A1665"/>
    <w:rsid w:val="2B4F593F"/>
    <w:rsid w:val="2B82462E"/>
    <w:rsid w:val="2B84BFF5"/>
    <w:rsid w:val="2BA75EA0"/>
    <w:rsid w:val="2BAC4AA1"/>
    <w:rsid w:val="2BBF5742"/>
    <w:rsid w:val="2BCB20E6"/>
    <w:rsid w:val="2BF0052C"/>
    <w:rsid w:val="2BFAC88F"/>
    <w:rsid w:val="2C0680EE"/>
    <w:rsid w:val="2C1ADD59"/>
    <w:rsid w:val="2C4DF237"/>
    <w:rsid w:val="2C4F7D9A"/>
    <w:rsid w:val="2CBF80EA"/>
    <w:rsid w:val="2D17CA88"/>
    <w:rsid w:val="2D237DA7"/>
    <w:rsid w:val="2D276389"/>
    <w:rsid w:val="2D42BAC5"/>
    <w:rsid w:val="2D4AA001"/>
    <w:rsid w:val="2D74CB16"/>
    <w:rsid w:val="2E249827"/>
    <w:rsid w:val="2E249FF4"/>
    <w:rsid w:val="2E46B515"/>
    <w:rsid w:val="2E6B570A"/>
    <w:rsid w:val="2F3BC36B"/>
    <w:rsid w:val="2F429C9A"/>
    <w:rsid w:val="2F6B83CB"/>
    <w:rsid w:val="2F7F3CC9"/>
    <w:rsid w:val="2F9758C4"/>
    <w:rsid w:val="304F54F5"/>
    <w:rsid w:val="30751FD8"/>
    <w:rsid w:val="3076FF0E"/>
    <w:rsid w:val="30A1C177"/>
    <w:rsid w:val="30C54FF4"/>
    <w:rsid w:val="30D03071"/>
    <w:rsid w:val="3157B160"/>
    <w:rsid w:val="315A4C8A"/>
    <w:rsid w:val="317D2A7D"/>
    <w:rsid w:val="31A23E10"/>
    <w:rsid w:val="31C83A37"/>
    <w:rsid w:val="31F92C5F"/>
    <w:rsid w:val="3235C72C"/>
    <w:rsid w:val="327B2240"/>
    <w:rsid w:val="3280C125"/>
    <w:rsid w:val="32835C10"/>
    <w:rsid w:val="328A8CD4"/>
    <w:rsid w:val="32BC3C3C"/>
    <w:rsid w:val="330498F2"/>
    <w:rsid w:val="3312CDA9"/>
    <w:rsid w:val="33305D7D"/>
    <w:rsid w:val="334DD10B"/>
    <w:rsid w:val="336E84F9"/>
    <w:rsid w:val="337082BC"/>
    <w:rsid w:val="338D4692"/>
    <w:rsid w:val="33C65BEF"/>
    <w:rsid w:val="33CBCC8C"/>
    <w:rsid w:val="33CE9CA0"/>
    <w:rsid w:val="345C11D4"/>
    <w:rsid w:val="34A7EB4B"/>
    <w:rsid w:val="34BCFDAA"/>
    <w:rsid w:val="34CA83FC"/>
    <w:rsid w:val="34CE5561"/>
    <w:rsid w:val="35067ADA"/>
    <w:rsid w:val="3508D404"/>
    <w:rsid w:val="3540EB94"/>
    <w:rsid w:val="3597ACD1"/>
    <w:rsid w:val="35BFF16A"/>
    <w:rsid w:val="35ECC052"/>
    <w:rsid w:val="362C126B"/>
    <w:rsid w:val="36968C79"/>
    <w:rsid w:val="36BFA7C5"/>
    <w:rsid w:val="36DE8F94"/>
    <w:rsid w:val="36E38D5C"/>
    <w:rsid w:val="36F3A297"/>
    <w:rsid w:val="370684C9"/>
    <w:rsid w:val="37265209"/>
    <w:rsid w:val="375DD0E6"/>
    <w:rsid w:val="3788DF5D"/>
    <w:rsid w:val="37D9AA52"/>
    <w:rsid w:val="37E8D96F"/>
    <w:rsid w:val="37F6C190"/>
    <w:rsid w:val="381A1F63"/>
    <w:rsid w:val="383E587D"/>
    <w:rsid w:val="3855F95D"/>
    <w:rsid w:val="387564B7"/>
    <w:rsid w:val="3876C822"/>
    <w:rsid w:val="38868DBE"/>
    <w:rsid w:val="38A08D7F"/>
    <w:rsid w:val="39656858"/>
    <w:rsid w:val="39769C43"/>
    <w:rsid w:val="39A5DB84"/>
    <w:rsid w:val="3A14C7BC"/>
    <w:rsid w:val="3A404D41"/>
    <w:rsid w:val="3A58759E"/>
    <w:rsid w:val="3B1A3A47"/>
    <w:rsid w:val="3B1B9542"/>
    <w:rsid w:val="3B332BA5"/>
    <w:rsid w:val="3B5013F8"/>
    <w:rsid w:val="3BA9C8C2"/>
    <w:rsid w:val="3BAF1C85"/>
    <w:rsid w:val="3BB1C033"/>
    <w:rsid w:val="3BD104E5"/>
    <w:rsid w:val="3C214DA7"/>
    <w:rsid w:val="3C2F373E"/>
    <w:rsid w:val="3C604959"/>
    <w:rsid w:val="3C6A2CE5"/>
    <w:rsid w:val="3CE28B0E"/>
    <w:rsid w:val="3D1DE88D"/>
    <w:rsid w:val="3D71E409"/>
    <w:rsid w:val="3D720776"/>
    <w:rsid w:val="3D978CA0"/>
    <w:rsid w:val="3E1B6B4B"/>
    <w:rsid w:val="3E34338F"/>
    <w:rsid w:val="3E644DF2"/>
    <w:rsid w:val="3E6E67BD"/>
    <w:rsid w:val="3E9AFA18"/>
    <w:rsid w:val="3ED26A7A"/>
    <w:rsid w:val="3F153F57"/>
    <w:rsid w:val="3F1716E7"/>
    <w:rsid w:val="3FB3B0CB"/>
    <w:rsid w:val="3FCCA16E"/>
    <w:rsid w:val="3FD512BF"/>
    <w:rsid w:val="401914F7"/>
    <w:rsid w:val="4029335A"/>
    <w:rsid w:val="402B8DC7"/>
    <w:rsid w:val="40993252"/>
    <w:rsid w:val="40A467A5"/>
    <w:rsid w:val="40A4D877"/>
    <w:rsid w:val="40D49B2B"/>
    <w:rsid w:val="411F99B5"/>
    <w:rsid w:val="423E44A6"/>
    <w:rsid w:val="427D0B5E"/>
    <w:rsid w:val="429A7529"/>
    <w:rsid w:val="429A8706"/>
    <w:rsid w:val="42D26B76"/>
    <w:rsid w:val="42EB6FAE"/>
    <w:rsid w:val="42FDDEED"/>
    <w:rsid w:val="431DEA01"/>
    <w:rsid w:val="435D81E2"/>
    <w:rsid w:val="4360B0F7"/>
    <w:rsid w:val="43693CC9"/>
    <w:rsid w:val="43C6DD14"/>
    <w:rsid w:val="43DFA8C5"/>
    <w:rsid w:val="4452CF4B"/>
    <w:rsid w:val="4471EB1F"/>
    <w:rsid w:val="453A4E23"/>
    <w:rsid w:val="45574D4E"/>
    <w:rsid w:val="45612A59"/>
    <w:rsid w:val="4565CF95"/>
    <w:rsid w:val="45865A23"/>
    <w:rsid w:val="458CF486"/>
    <w:rsid w:val="45A99D09"/>
    <w:rsid w:val="45C7E68F"/>
    <w:rsid w:val="45E053F4"/>
    <w:rsid w:val="460BDFDA"/>
    <w:rsid w:val="46910DFA"/>
    <w:rsid w:val="46C05305"/>
    <w:rsid w:val="46CD9C5F"/>
    <w:rsid w:val="46EBB13B"/>
    <w:rsid w:val="4743E633"/>
    <w:rsid w:val="47552A31"/>
    <w:rsid w:val="4786D25A"/>
    <w:rsid w:val="4788B841"/>
    <w:rsid w:val="478A4DEB"/>
    <w:rsid w:val="47979891"/>
    <w:rsid w:val="47D3B767"/>
    <w:rsid w:val="47E1E412"/>
    <w:rsid w:val="47FF5376"/>
    <w:rsid w:val="480A6805"/>
    <w:rsid w:val="485D7D98"/>
    <w:rsid w:val="48909DBA"/>
    <w:rsid w:val="48D04322"/>
    <w:rsid w:val="48DA2800"/>
    <w:rsid w:val="48EBCE6B"/>
    <w:rsid w:val="49173CEB"/>
    <w:rsid w:val="493288F3"/>
    <w:rsid w:val="49642202"/>
    <w:rsid w:val="496B87F3"/>
    <w:rsid w:val="49899BDF"/>
    <w:rsid w:val="499351DC"/>
    <w:rsid w:val="49AC5DEA"/>
    <w:rsid w:val="49F759E9"/>
    <w:rsid w:val="4A06B53F"/>
    <w:rsid w:val="4A099D8A"/>
    <w:rsid w:val="4A4514D7"/>
    <w:rsid w:val="4A455F35"/>
    <w:rsid w:val="4A55C1C3"/>
    <w:rsid w:val="4A5CA357"/>
    <w:rsid w:val="4A95DDD7"/>
    <w:rsid w:val="4AD0BE07"/>
    <w:rsid w:val="4B18DE61"/>
    <w:rsid w:val="4B3432CE"/>
    <w:rsid w:val="4B440475"/>
    <w:rsid w:val="4B63AE4D"/>
    <w:rsid w:val="4B6C5787"/>
    <w:rsid w:val="4BB8EBE7"/>
    <w:rsid w:val="4BC4F270"/>
    <w:rsid w:val="4BC8AAE0"/>
    <w:rsid w:val="4BEAA746"/>
    <w:rsid w:val="4BF46C1A"/>
    <w:rsid w:val="4C05EBAE"/>
    <w:rsid w:val="4C254D69"/>
    <w:rsid w:val="4C2F4DD2"/>
    <w:rsid w:val="4C30D454"/>
    <w:rsid w:val="4C3C997A"/>
    <w:rsid w:val="4C3F9C51"/>
    <w:rsid w:val="4C760DF0"/>
    <w:rsid w:val="4CBD2048"/>
    <w:rsid w:val="4CBE1AFD"/>
    <w:rsid w:val="4D0924C0"/>
    <w:rsid w:val="4D14AC24"/>
    <w:rsid w:val="4D15A1F9"/>
    <w:rsid w:val="4D1A865C"/>
    <w:rsid w:val="4D716080"/>
    <w:rsid w:val="4D78211C"/>
    <w:rsid w:val="4DB07602"/>
    <w:rsid w:val="4DB9C800"/>
    <w:rsid w:val="4E658B98"/>
    <w:rsid w:val="4E974168"/>
    <w:rsid w:val="4E9B5887"/>
    <w:rsid w:val="4E9FB2B5"/>
    <w:rsid w:val="4EC00011"/>
    <w:rsid w:val="4F328D2F"/>
    <w:rsid w:val="4F41D0FF"/>
    <w:rsid w:val="4F9C3920"/>
    <w:rsid w:val="4FB6D54E"/>
    <w:rsid w:val="4FCCA17E"/>
    <w:rsid w:val="503FD9D7"/>
    <w:rsid w:val="504B7BAE"/>
    <w:rsid w:val="505A2067"/>
    <w:rsid w:val="505C2309"/>
    <w:rsid w:val="50C064DE"/>
    <w:rsid w:val="50D5BB1F"/>
    <w:rsid w:val="50EEBB1D"/>
    <w:rsid w:val="5143D4C2"/>
    <w:rsid w:val="51CB7AA8"/>
    <w:rsid w:val="51EB7BC5"/>
    <w:rsid w:val="5268D3DC"/>
    <w:rsid w:val="52921BD6"/>
    <w:rsid w:val="52AE64AD"/>
    <w:rsid w:val="52B8E1BE"/>
    <w:rsid w:val="52C9C0A5"/>
    <w:rsid w:val="52CFDB2C"/>
    <w:rsid w:val="53161AD1"/>
    <w:rsid w:val="533D3AD2"/>
    <w:rsid w:val="534F7C58"/>
    <w:rsid w:val="53523BA9"/>
    <w:rsid w:val="5381A5DD"/>
    <w:rsid w:val="5386C15C"/>
    <w:rsid w:val="53A3FE55"/>
    <w:rsid w:val="543D84F8"/>
    <w:rsid w:val="54593950"/>
    <w:rsid w:val="5479EABD"/>
    <w:rsid w:val="5490A2AD"/>
    <w:rsid w:val="54B03070"/>
    <w:rsid w:val="55012F9A"/>
    <w:rsid w:val="5515F6C0"/>
    <w:rsid w:val="559751B4"/>
    <w:rsid w:val="559F69D4"/>
    <w:rsid w:val="55B415C9"/>
    <w:rsid w:val="55D627F1"/>
    <w:rsid w:val="5610452F"/>
    <w:rsid w:val="563D3C40"/>
    <w:rsid w:val="563EB9BE"/>
    <w:rsid w:val="5650892B"/>
    <w:rsid w:val="565392C9"/>
    <w:rsid w:val="567AC170"/>
    <w:rsid w:val="56F938D8"/>
    <w:rsid w:val="576DD451"/>
    <w:rsid w:val="5786132E"/>
    <w:rsid w:val="57B5DAE1"/>
    <w:rsid w:val="57E8C92B"/>
    <w:rsid w:val="5801BEAD"/>
    <w:rsid w:val="584982A9"/>
    <w:rsid w:val="5850A050"/>
    <w:rsid w:val="585C85AD"/>
    <w:rsid w:val="588FEF2A"/>
    <w:rsid w:val="58B01383"/>
    <w:rsid w:val="58BD9991"/>
    <w:rsid w:val="58F882A0"/>
    <w:rsid w:val="5970D632"/>
    <w:rsid w:val="598CE506"/>
    <w:rsid w:val="59ABC474"/>
    <w:rsid w:val="59C19CFB"/>
    <w:rsid w:val="59C85E8A"/>
    <w:rsid w:val="5A1037D9"/>
    <w:rsid w:val="5A3342D8"/>
    <w:rsid w:val="5A3B826C"/>
    <w:rsid w:val="5A68E3B5"/>
    <w:rsid w:val="5A845AA0"/>
    <w:rsid w:val="5A8F1027"/>
    <w:rsid w:val="5AE48831"/>
    <w:rsid w:val="5AEDE37D"/>
    <w:rsid w:val="5B51D6F9"/>
    <w:rsid w:val="5B5FBD8D"/>
    <w:rsid w:val="5B806E6F"/>
    <w:rsid w:val="5BC1A79C"/>
    <w:rsid w:val="5BD7631B"/>
    <w:rsid w:val="5C04CB86"/>
    <w:rsid w:val="5C35F4E3"/>
    <w:rsid w:val="5C76CE97"/>
    <w:rsid w:val="5C7DEB94"/>
    <w:rsid w:val="5CECA041"/>
    <w:rsid w:val="5D008073"/>
    <w:rsid w:val="5D2176C8"/>
    <w:rsid w:val="5D770F01"/>
    <w:rsid w:val="5D8F3F6F"/>
    <w:rsid w:val="5DBF3FCD"/>
    <w:rsid w:val="5DF6ADA0"/>
    <w:rsid w:val="5E07228F"/>
    <w:rsid w:val="5E16A320"/>
    <w:rsid w:val="5E221D1C"/>
    <w:rsid w:val="5E4B1BD7"/>
    <w:rsid w:val="5E58B131"/>
    <w:rsid w:val="5E6AE987"/>
    <w:rsid w:val="5E9F959E"/>
    <w:rsid w:val="5F27A6A3"/>
    <w:rsid w:val="5F5CD9F1"/>
    <w:rsid w:val="5F630FB3"/>
    <w:rsid w:val="5F724510"/>
    <w:rsid w:val="5F76E7EC"/>
    <w:rsid w:val="5F96433F"/>
    <w:rsid w:val="5FDA8E02"/>
    <w:rsid w:val="5FE67B39"/>
    <w:rsid w:val="5FF9B921"/>
    <w:rsid w:val="60300C28"/>
    <w:rsid w:val="60A3A0AE"/>
    <w:rsid w:val="611CDE77"/>
    <w:rsid w:val="6135E840"/>
    <w:rsid w:val="614F9E41"/>
    <w:rsid w:val="61716D05"/>
    <w:rsid w:val="6191BE83"/>
    <w:rsid w:val="61B0DEDE"/>
    <w:rsid w:val="623BA8AB"/>
    <w:rsid w:val="62A1C061"/>
    <w:rsid w:val="62D8C1CE"/>
    <w:rsid w:val="63037EF7"/>
    <w:rsid w:val="63402EA9"/>
    <w:rsid w:val="634E04BB"/>
    <w:rsid w:val="6356C5AE"/>
    <w:rsid w:val="635DBD81"/>
    <w:rsid w:val="63615EAA"/>
    <w:rsid w:val="63BF7771"/>
    <w:rsid w:val="6427FCFB"/>
    <w:rsid w:val="6479C105"/>
    <w:rsid w:val="64C25F97"/>
    <w:rsid w:val="64F90046"/>
    <w:rsid w:val="651EE986"/>
    <w:rsid w:val="65D06D59"/>
    <w:rsid w:val="660507BE"/>
    <w:rsid w:val="6655B487"/>
    <w:rsid w:val="667A8105"/>
    <w:rsid w:val="677F351A"/>
    <w:rsid w:val="6780F307"/>
    <w:rsid w:val="67AFD4CA"/>
    <w:rsid w:val="67E9CFCE"/>
    <w:rsid w:val="67FC398A"/>
    <w:rsid w:val="68347406"/>
    <w:rsid w:val="68638CD6"/>
    <w:rsid w:val="686C8879"/>
    <w:rsid w:val="68929EC4"/>
    <w:rsid w:val="68A43D82"/>
    <w:rsid w:val="68B75597"/>
    <w:rsid w:val="68FC8185"/>
    <w:rsid w:val="692F58CC"/>
    <w:rsid w:val="6968BB3F"/>
    <w:rsid w:val="697FA827"/>
    <w:rsid w:val="699ECE3B"/>
    <w:rsid w:val="69B3A78E"/>
    <w:rsid w:val="69E59A3B"/>
    <w:rsid w:val="6A0EA538"/>
    <w:rsid w:val="6A3D3D18"/>
    <w:rsid w:val="6A5D948C"/>
    <w:rsid w:val="6A64C620"/>
    <w:rsid w:val="6B2AE70E"/>
    <w:rsid w:val="6B5819AB"/>
    <w:rsid w:val="6B673610"/>
    <w:rsid w:val="6B68CDBC"/>
    <w:rsid w:val="6BDFC987"/>
    <w:rsid w:val="6BF6D514"/>
    <w:rsid w:val="6C0D5C5D"/>
    <w:rsid w:val="6C468F38"/>
    <w:rsid w:val="6C490AA9"/>
    <w:rsid w:val="6C58E1A7"/>
    <w:rsid w:val="6C74BA6E"/>
    <w:rsid w:val="6CA30712"/>
    <w:rsid w:val="6CAFBCB8"/>
    <w:rsid w:val="6D0C010C"/>
    <w:rsid w:val="6D19B059"/>
    <w:rsid w:val="6D4DE199"/>
    <w:rsid w:val="6D7BE2EF"/>
    <w:rsid w:val="6D8BD6E7"/>
    <w:rsid w:val="6D906EF6"/>
    <w:rsid w:val="6D908BA1"/>
    <w:rsid w:val="6DA44A83"/>
    <w:rsid w:val="6DAFFAD9"/>
    <w:rsid w:val="6DD280F7"/>
    <w:rsid w:val="6DEEE3C0"/>
    <w:rsid w:val="6DF3F951"/>
    <w:rsid w:val="6E10BFBB"/>
    <w:rsid w:val="6E65C13E"/>
    <w:rsid w:val="6E68D0AF"/>
    <w:rsid w:val="6E70D802"/>
    <w:rsid w:val="6E714F25"/>
    <w:rsid w:val="6EB2171C"/>
    <w:rsid w:val="6EE91C3F"/>
    <w:rsid w:val="6EED3D58"/>
    <w:rsid w:val="6F1E3081"/>
    <w:rsid w:val="6F1FFC86"/>
    <w:rsid w:val="6F4AD433"/>
    <w:rsid w:val="6F65A107"/>
    <w:rsid w:val="6F788F33"/>
    <w:rsid w:val="6F930BB4"/>
    <w:rsid w:val="6F97BAEE"/>
    <w:rsid w:val="707029FD"/>
    <w:rsid w:val="70799E4B"/>
    <w:rsid w:val="707E2BA5"/>
    <w:rsid w:val="70BEDBFD"/>
    <w:rsid w:val="711681C8"/>
    <w:rsid w:val="711B2721"/>
    <w:rsid w:val="71245680"/>
    <w:rsid w:val="712CDA3A"/>
    <w:rsid w:val="71BA98C0"/>
    <w:rsid w:val="71CB847D"/>
    <w:rsid w:val="72252A90"/>
    <w:rsid w:val="724F9A42"/>
    <w:rsid w:val="726FF802"/>
    <w:rsid w:val="728F757B"/>
    <w:rsid w:val="729DECE9"/>
    <w:rsid w:val="72CB0074"/>
    <w:rsid w:val="72CB070F"/>
    <w:rsid w:val="735319DB"/>
    <w:rsid w:val="73767231"/>
    <w:rsid w:val="737F2F45"/>
    <w:rsid w:val="737F4B34"/>
    <w:rsid w:val="73E3921E"/>
    <w:rsid w:val="73E5948E"/>
    <w:rsid w:val="74264B7E"/>
    <w:rsid w:val="74B7622E"/>
    <w:rsid w:val="74C91853"/>
    <w:rsid w:val="74CA6734"/>
    <w:rsid w:val="74EF7E1B"/>
    <w:rsid w:val="7559641C"/>
    <w:rsid w:val="7573BE34"/>
    <w:rsid w:val="757EC9B1"/>
    <w:rsid w:val="759C0EDD"/>
    <w:rsid w:val="75A66136"/>
    <w:rsid w:val="75AE7A4B"/>
    <w:rsid w:val="75CB7131"/>
    <w:rsid w:val="75EA7F2B"/>
    <w:rsid w:val="764805AD"/>
    <w:rsid w:val="76499F6E"/>
    <w:rsid w:val="7690AB84"/>
    <w:rsid w:val="769C930A"/>
    <w:rsid w:val="76AF0100"/>
    <w:rsid w:val="76B596EF"/>
    <w:rsid w:val="76F91977"/>
    <w:rsid w:val="773F5E9F"/>
    <w:rsid w:val="776D15CC"/>
    <w:rsid w:val="77862924"/>
    <w:rsid w:val="77AEB803"/>
    <w:rsid w:val="77B7CEAA"/>
    <w:rsid w:val="7885B1A5"/>
    <w:rsid w:val="78C8D97E"/>
    <w:rsid w:val="78C9B8D7"/>
    <w:rsid w:val="78D6E074"/>
    <w:rsid w:val="78F419B8"/>
    <w:rsid w:val="7910418B"/>
    <w:rsid w:val="7922FCE7"/>
    <w:rsid w:val="798CC6A5"/>
    <w:rsid w:val="799C30CF"/>
    <w:rsid w:val="79D7B425"/>
    <w:rsid w:val="7A137CBB"/>
    <w:rsid w:val="7A23AB56"/>
    <w:rsid w:val="7A568A7D"/>
    <w:rsid w:val="7A6C26E9"/>
    <w:rsid w:val="7A7E0725"/>
    <w:rsid w:val="7A7ED040"/>
    <w:rsid w:val="7A80373D"/>
    <w:rsid w:val="7AA5C1F0"/>
    <w:rsid w:val="7AC09EA0"/>
    <w:rsid w:val="7AE9714E"/>
    <w:rsid w:val="7B11D855"/>
    <w:rsid w:val="7B1BF0AB"/>
    <w:rsid w:val="7B5FF519"/>
    <w:rsid w:val="7B64FD98"/>
    <w:rsid w:val="7B756FF8"/>
    <w:rsid w:val="7B927CC0"/>
    <w:rsid w:val="7B9F88C7"/>
    <w:rsid w:val="7BB13CD6"/>
    <w:rsid w:val="7BC73820"/>
    <w:rsid w:val="7BD8B62B"/>
    <w:rsid w:val="7BE591BA"/>
    <w:rsid w:val="7BF1D718"/>
    <w:rsid w:val="7BFD91BC"/>
    <w:rsid w:val="7C08C6C5"/>
    <w:rsid w:val="7C11D4C9"/>
    <w:rsid w:val="7C220BE8"/>
    <w:rsid w:val="7C6D008B"/>
    <w:rsid w:val="7CB56E81"/>
    <w:rsid w:val="7CBFF095"/>
    <w:rsid w:val="7CFC6C26"/>
    <w:rsid w:val="7D2533C0"/>
    <w:rsid w:val="7D6BB038"/>
    <w:rsid w:val="7D82D156"/>
    <w:rsid w:val="7D82FC04"/>
    <w:rsid w:val="7D85D691"/>
    <w:rsid w:val="7DC55B2E"/>
    <w:rsid w:val="7DEF2ACC"/>
    <w:rsid w:val="7E5E512A"/>
    <w:rsid w:val="7E8EC441"/>
    <w:rsid w:val="7ED8CB72"/>
    <w:rsid w:val="7EDEF0B2"/>
    <w:rsid w:val="7F466A3E"/>
    <w:rsid w:val="7F8196B2"/>
    <w:rsid w:val="7FFDC8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6200B5EE-5EF1-42AC-99AA-7AADFCCA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66"/>
    <w:pPr>
      <w:spacing w:before="120" w:after="120" w:line="276" w:lineRule="auto"/>
    </w:pPr>
    <w:rPr>
      <w:rFonts w:ascii="Arial" w:hAnsi="Arial"/>
      <w:sz w:val="22"/>
    </w:rPr>
  </w:style>
  <w:style w:type="paragraph" w:styleId="Heading1">
    <w:name w:val="heading 1"/>
    <w:basedOn w:val="Normal"/>
    <w:next w:val="Normal"/>
    <w:link w:val="Heading1Char"/>
    <w:qFormat/>
    <w:rsid w:val="001F7637"/>
    <w:pPr>
      <w:keepNext/>
      <w:keepLines/>
      <w:numPr>
        <w:numId w:val="23"/>
      </w:numPr>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nhideWhenUsed/>
    <w:qFormat/>
    <w:rsid w:val="00BE6863"/>
    <w:pPr>
      <w:numPr>
        <w:ilvl w:val="1"/>
      </w:numPr>
      <w:spacing w:before="120" w:after="120" w:line="340" w:lineRule="atLeast"/>
      <w:outlineLvl w:val="1"/>
    </w:pPr>
    <w:rPr>
      <w:sz w:val="24"/>
      <w:szCs w:val="26"/>
    </w:rPr>
  </w:style>
  <w:style w:type="paragraph" w:styleId="Heading3">
    <w:name w:val="heading 3"/>
    <w:basedOn w:val="Heading2"/>
    <w:next w:val="Normal"/>
    <w:link w:val="Heading3Char"/>
    <w:unhideWhenUsed/>
    <w:qFormat/>
    <w:rsid w:val="00407AD1"/>
    <w:pPr>
      <w:numPr>
        <w:ilvl w:val="2"/>
      </w:numPr>
      <w:spacing w:line="280" w:lineRule="atLeast"/>
      <w:outlineLvl w:val="2"/>
    </w:pPr>
    <w:rPr>
      <w:szCs w:val="24"/>
    </w:rPr>
  </w:style>
  <w:style w:type="paragraph" w:styleId="Heading4">
    <w:name w:val="heading 4"/>
    <w:basedOn w:val="Heading3"/>
    <w:next w:val="Normal"/>
    <w:link w:val="Heading4Char"/>
    <w:uiPriority w:val="9"/>
    <w:unhideWhenUsed/>
    <w:qFormat/>
    <w:rsid w:val="00F64FDB"/>
    <w:pPr>
      <w:numPr>
        <w:ilvl w:val="3"/>
      </w:num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numPr>
        <w:ilvl w:val="4"/>
      </w:num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numPr>
        <w:ilvl w:val="5"/>
        <w:numId w:val="23"/>
      </w:numPr>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numPr>
        <w:ilvl w:val="6"/>
        <w:numId w:val="23"/>
      </w:numPr>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numPr>
        <w:ilvl w:val="7"/>
        <w:numId w:val="23"/>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numPr>
        <w:ilvl w:val="8"/>
        <w:numId w:val="23"/>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574127"/>
    <w:rPr>
      <w:rFonts w:ascii="Arial" w:hAnsi="Arial"/>
      <w:b/>
      <w:bCs/>
      <w:sz w:val="22"/>
    </w:rPr>
  </w:style>
  <w:style w:type="paragraph" w:styleId="Header">
    <w:name w:val="header"/>
    <w:basedOn w:val="Normal"/>
    <w:link w:val="HeaderChar"/>
    <w:unhideWhenUsed/>
    <w:qFormat/>
    <w:rsid w:val="00D560DC"/>
    <w:pPr>
      <w:spacing w:before="0"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qFormat/>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qFormat/>
    <w:rsid w:val="00F64FDB"/>
    <w:pPr>
      <w:spacing w:before="0" w:after="320" w:line="560" w:lineRule="atLeast"/>
      <w:ind w:left="576" w:hanging="576"/>
    </w:pPr>
    <w:rPr>
      <w:color w:val="212A4C" w:themeColor="text2"/>
      <w:sz w:val="44"/>
      <w:szCs w:val="22"/>
    </w:rPr>
  </w:style>
  <w:style w:type="character" w:customStyle="1" w:styleId="SubtitleChar">
    <w:name w:val="Subtitle Char"/>
    <w:basedOn w:val="DefaultParagraphFont"/>
    <w:link w:val="Subtitle"/>
    <w:rsid w:val="00F64FDB"/>
    <w:rPr>
      <w:rFonts w:ascii="Arial" w:eastAsiaTheme="majorEastAsia" w:hAnsi="Arial" w:cstheme="majorBidi"/>
      <w:b/>
      <w:color w:val="212A4C" w:themeColor="text2"/>
      <w:sz w:val="44"/>
      <w:szCs w:val="22"/>
    </w:rPr>
  </w:style>
  <w:style w:type="paragraph" w:styleId="Title">
    <w:name w:val="Title"/>
    <w:next w:val="Normal"/>
    <w:link w:val="TitleChar"/>
    <w:qFormat/>
    <w:rsid w:val="0004758E"/>
    <w:pPr>
      <w:spacing w:before="0" w:after="0" w:line="240" w:lineRule="auto"/>
      <w:contextualSpacing/>
    </w:pPr>
    <w:rPr>
      <w:rFonts w:ascii="Arial" w:eastAsiaTheme="majorEastAsia" w:hAnsi="Arial" w:cstheme="majorBidi"/>
      <w:b/>
      <w:color w:val="3F4A75"/>
      <w:spacing w:val="-10"/>
      <w:kern w:val="28"/>
      <w:sz w:val="48"/>
      <w:szCs w:val="52"/>
      <w:lang w:eastAsia="en-US"/>
    </w:rPr>
  </w:style>
  <w:style w:type="character" w:customStyle="1" w:styleId="TitleChar">
    <w:name w:val="Title Char"/>
    <w:basedOn w:val="DefaultParagraphFont"/>
    <w:link w:val="Title"/>
    <w:rsid w:val="0004758E"/>
    <w:rPr>
      <w:rFonts w:ascii="Arial" w:eastAsiaTheme="majorEastAsia" w:hAnsi="Arial" w:cstheme="majorBidi"/>
      <w:b/>
      <w:color w:val="3F4A75"/>
      <w:spacing w:val="-10"/>
      <w:kern w:val="28"/>
      <w:sz w:val="48"/>
      <w:szCs w:val="52"/>
      <w:lang w:eastAsia="en-US"/>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rsid w:val="00BE6863"/>
    <w:rPr>
      <w:rFonts w:ascii="Arial" w:eastAsiaTheme="majorEastAsia" w:hAnsi="Arial" w:cstheme="majorBidi"/>
      <w:b/>
      <w:sz w:val="24"/>
      <w:szCs w:val="26"/>
    </w:rPr>
  </w:style>
  <w:style w:type="character" w:customStyle="1" w:styleId="Heading1Char">
    <w:name w:val="Heading 1 Char"/>
    <w:basedOn w:val="DefaultParagraphFont"/>
    <w:link w:val="Heading1"/>
    <w:rsid w:val="0004758E"/>
    <w:rPr>
      <w:rFonts w:ascii="Arial" w:eastAsiaTheme="majorEastAsia" w:hAnsi="Arial" w:cstheme="majorBidi"/>
      <w:b/>
      <w:sz w:val="32"/>
      <w:szCs w:val="32"/>
    </w:rPr>
  </w:style>
  <w:style w:type="character" w:customStyle="1" w:styleId="Heading3Char">
    <w:name w:val="Heading 3 Char"/>
    <w:basedOn w:val="DefaultParagraphFont"/>
    <w:link w:val="Heading3"/>
    <w:rsid w:val="00407AD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A340B"/>
    <w:rPr>
      <w:rFonts w:ascii="Arial" w:eastAsiaTheme="majorEastAsia" w:hAnsi="Arial" w:cstheme="majorBidi"/>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2">
    <w:name w:val="Numbered List 2"/>
    <w:basedOn w:val="Normal"/>
    <w:uiPriority w:val="2"/>
    <w:qFormat/>
    <w:rsid w:val="00574127"/>
    <w:pPr>
      <w:tabs>
        <w:tab w:val="num" w:pos="1440"/>
      </w:tabs>
      <w:spacing w:before="80"/>
      <w:ind w:left="1440" w:hanging="360"/>
    </w:pPr>
  </w:style>
  <w:style w:type="paragraph" w:customStyle="1" w:styleId="NumberedList3">
    <w:name w:val="Numbered List 3"/>
    <w:basedOn w:val="NumberedList2"/>
    <w:uiPriority w:val="2"/>
    <w:qFormat/>
    <w:rsid w:val="00F64FDB"/>
    <w:pPr>
      <w:tabs>
        <w:tab w:val="clear" w:pos="1440"/>
        <w:tab w:val="num" w:pos="2160"/>
      </w:tabs>
      <w:ind w:left="2160"/>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Arial" w:eastAsiaTheme="majorEastAsia" w:hAnsi="Arial" w:cstheme="majorBidi"/>
      <w:b/>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2"/>
      </w:numPr>
    </w:pPr>
  </w:style>
  <w:style w:type="table" w:styleId="TableGrid">
    <w:name w:val="Table Grid"/>
    <w:basedOn w:val="TableNormal"/>
    <w:uiPriority w:val="5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nhideWhenUsed/>
    <w:qFormat/>
    <w:rsid w:val="00E0199B"/>
    <w:pPr>
      <w:numPr>
        <w:numId w:val="3"/>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link w:val="NoSpacingChar"/>
    <w:uiPriority w:val="1"/>
    <w:qFormat/>
    <w:rsid w:val="00F62279"/>
    <w:pPr>
      <w:spacing w:before="0" w:after="0"/>
    </w:pPr>
    <w:rPr>
      <w:rFonts w:ascii="Arial" w:hAnsi="Arial"/>
    </w:rPr>
  </w:style>
  <w:style w:type="paragraph" w:styleId="TOCHeading">
    <w:name w:val="TOC Heading"/>
    <w:next w:val="Normal"/>
    <w:uiPriority w:val="39"/>
    <w:unhideWhenUsed/>
    <w:qFormat/>
    <w:rsid w:val="0004758E"/>
    <w:pPr>
      <w:spacing w:before="720"/>
    </w:pPr>
    <w:rPr>
      <w:rFonts w:ascii="Arial" w:eastAsiaTheme="majorEastAsia" w:hAnsi="Arial" w:cstheme="majorBidi"/>
      <w:b/>
      <w:sz w:val="32"/>
      <w:szCs w:val="32"/>
    </w:rPr>
  </w:style>
  <w:style w:type="paragraph" w:styleId="TOC1">
    <w:name w:val="toc 1"/>
    <w:basedOn w:val="Normal"/>
    <w:next w:val="Normal"/>
    <w:uiPriority w:val="39"/>
    <w:unhideWhenUsed/>
    <w:rsid w:val="0737F48A"/>
    <w:rPr>
      <w:b/>
      <w:bCs/>
      <w:u w:val="single"/>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04758E"/>
    <w:rPr>
      <w:rFonts w:ascii="Arial" w:hAnsi="Arial"/>
      <w:color w:val="176CB5" w:themeColor="accent3"/>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2"/>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2"/>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before="40" w:after="0" w:line="259" w:lineRule="auto"/>
      <w:ind w:left="720" w:hanging="720"/>
    </w:pPr>
    <w:rPr>
      <w:rFonts w:asciiTheme="minorHAnsi" w:hAnsiTheme="minorHAnsi"/>
      <w:bCs/>
      <w:color w:val="264F90" w:themeColor="accent2"/>
      <w:kern w:val="2"/>
      <w:sz w:val="28"/>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spacing w:before="0" w:after="160" w:line="259" w:lineRule="auto"/>
      <w:ind w:left="720"/>
      <w:contextualSpacing/>
    </w:pPr>
    <w:rPr>
      <w:rFonts w:asciiTheme="minorHAnsi" w:eastAsiaTheme="minorHAnsi" w:hAnsiTheme="minorHAnsi" w:cs="Times New Roman"/>
      <w:color w:val="auto"/>
      <w:kern w:val="2"/>
      <w:szCs w:val="24"/>
      <w:lang w:eastAsia="en-US"/>
      <w14:ligatures w14:val="standardContextual"/>
    </w:rPr>
  </w:style>
  <w:style w:type="character" w:styleId="CommentReference">
    <w:name w:val="annotation reference"/>
    <w:basedOn w:val="DefaultParagraphFont"/>
    <w:uiPriority w:val="99"/>
    <w:semiHidden/>
    <w:unhideWhenUsed/>
    <w:rsid w:val="00817CB4"/>
    <w:rPr>
      <w:sz w:val="16"/>
      <w:szCs w:val="16"/>
    </w:rPr>
  </w:style>
  <w:style w:type="paragraph" w:styleId="CommentText">
    <w:name w:val="annotation text"/>
    <w:basedOn w:val="Normal"/>
    <w:link w:val="CommentTextChar"/>
    <w:uiPriority w:val="99"/>
    <w:unhideWhenUsed/>
    <w:rsid w:val="00817CB4"/>
    <w:pPr>
      <w:spacing w:before="0" w:after="16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CommentTextChar">
    <w:name w:val="Comment Text Char"/>
    <w:basedOn w:val="DefaultParagraphFont"/>
    <w:link w:val="CommentText"/>
    <w:uiPriority w:val="99"/>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paragraph" w:customStyle="1" w:styleId="Tablelistbullet">
    <w:name w:val="Table list bullet"/>
    <w:basedOn w:val="ListParagraph"/>
    <w:link w:val="TablelistbulletChar"/>
    <w:qFormat/>
    <w:rsid w:val="00877366"/>
    <w:pPr>
      <w:numPr>
        <w:numId w:val="18"/>
      </w:numPr>
      <w:spacing w:after="0" w:line="240" w:lineRule="auto"/>
      <w:textAlignment w:val="baseline"/>
    </w:pPr>
    <w:rPr>
      <w:rFonts w:ascii="Arial" w:hAnsi="Arial" w:cs="Arial"/>
      <w:szCs w:val="22"/>
    </w:rPr>
  </w:style>
  <w:style w:type="paragraph" w:styleId="NormalWeb">
    <w:name w:val="Normal (Web)"/>
    <w:basedOn w:val="Normal"/>
    <w:uiPriority w:val="99"/>
    <w:semiHidden/>
    <w:unhideWhenUsed/>
    <w:rsid w:val="00817CB4"/>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TOC3">
    <w:name w:val="toc 3"/>
    <w:basedOn w:val="Normal"/>
    <w:next w:val="Normal"/>
    <w:autoRedefine/>
    <w:uiPriority w:val="39"/>
    <w:unhideWhenUsed/>
    <w:rsid w:val="00817CB4"/>
    <w:pPr>
      <w:spacing w:before="0" w:after="0" w:line="259" w:lineRule="auto"/>
      <w:ind w:left="480"/>
    </w:pPr>
    <w:rPr>
      <w:rFonts w:asciiTheme="minorHAnsi" w:eastAsiaTheme="minorHAnsi" w:hAnsiTheme="minorHAnsi" w:cstheme="minorHAnsi"/>
      <w:i/>
      <w:iCs/>
      <w:color w:val="auto"/>
      <w:kern w:val="2"/>
      <w:sz w:val="20"/>
      <w:lang w:eastAsia="en-US"/>
      <w14:ligatures w14:val="standardContextual"/>
    </w:rPr>
  </w:style>
  <w:style w:type="paragraph" w:styleId="Revision">
    <w:name w:val="Revision"/>
    <w:hidden/>
    <w:uiPriority w:val="99"/>
    <w:semiHidden/>
    <w:rsid w:val="00817CB4"/>
    <w:pPr>
      <w:spacing w:before="0" w:after="0" w:line="240" w:lineRule="auto"/>
    </w:pPr>
    <w:rPr>
      <w:rFonts w:eastAsiaTheme="minorHAnsi" w:cs="Times New Roman"/>
      <w:color w:val="auto"/>
      <w:kern w:val="2"/>
      <w:sz w:val="24"/>
      <w:szCs w:val="24"/>
      <w:lang w:eastAsia="en-US"/>
      <w14:ligatures w14:val="standardContextual"/>
    </w:rPr>
  </w:style>
  <w:style w:type="paragraph" w:styleId="FootnoteText">
    <w:name w:val="footnote text"/>
    <w:basedOn w:val="Normal"/>
    <w:link w:val="FootnoteTextChar"/>
    <w:uiPriority w:val="99"/>
    <w:unhideWhenUsed/>
    <w:rsid w:val="00817CB4"/>
    <w:pPr>
      <w:spacing w:before="0" w:after="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040ED1"/>
    <w:rPr>
      <w:b/>
      <w:color w:val="115087" w:themeColor="accent3" w:themeShade="BF"/>
      <w:vertAlign w:val="superscript"/>
    </w:rPr>
  </w:style>
  <w:style w:type="character" w:customStyle="1" w:styleId="TablelistbulletChar">
    <w:name w:val="Table list bullet Char"/>
    <w:basedOn w:val="ListParagraphChar"/>
    <w:link w:val="Tablelistbullet"/>
    <w:rsid w:val="00877366"/>
    <w:rPr>
      <w:rFonts w:ascii="Arial" w:eastAsiaTheme="minorHAnsi" w:hAnsi="Arial" w:cs="Arial"/>
      <w:color w:val="auto"/>
      <w:kern w:val="2"/>
      <w:sz w:val="22"/>
      <w:szCs w:val="22"/>
      <w:lang w:eastAsia="en-US"/>
      <w14:ligatures w14:val="standardContextual"/>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rPr>
      <w:rFonts w:eastAsiaTheme="minorHAnsi" w:cs="Times New Roman"/>
      <w:color w:val="auto"/>
      <w:kern w:val="2"/>
      <w:sz w:val="24"/>
      <w:szCs w:val="24"/>
      <w:lang w:eastAsia="en-US"/>
      <w14:ligatures w14:val="standardContextual"/>
    </w:rPr>
  </w:style>
  <w:style w:type="paragraph" w:styleId="TOC4">
    <w:name w:val="toc 4"/>
    <w:basedOn w:val="Normal"/>
    <w:next w:val="Normal"/>
    <w:autoRedefine/>
    <w:uiPriority w:val="39"/>
    <w:unhideWhenUsed/>
    <w:rsid w:val="00817CB4"/>
    <w:pPr>
      <w:spacing w:before="0" w:after="0" w:line="259" w:lineRule="auto"/>
      <w:ind w:left="720"/>
    </w:pPr>
    <w:rPr>
      <w:rFonts w:asciiTheme="minorHAnsi" w:eastAsiaTheme="minorHAnsi" w:hAnsiTheme="minorHAnsi" w:cstheme="minorHAnsi"/>
      <w:color w:val="auto"/>
      <w:kern w:val="2"/>
      <w:sz w:val="18"/>
      <w:szCs w:val="18"/>
      <w:lang w:eastAsia="en-US"/>
      <w14:ligatures w14:val="standardContextual"/>
    </w:rPr>
  </w:style>
  <w:style w:type="paragraph" w:styleId="TOC5">
    <w:name w:val="toc 5"/>
    <w:basedOn w:val="Normal"/>
    <w:next w:val="Normal"/>
    <w:autoRedefine/>
    <w:uiPriority w:val="39"/>
    <w:unhideWhenUsed/>
    <w:rsid w:val="00817CB4"/>
    <w:pPr>
      <w:spacing w:before="0" w:after="0" w:line="259" w:lineRule="auto"/>
      <w:ind w:left="960"/>
    </w:pPr>
    <w:rPr>
      <w:rFonts w:asciiTheme="minorHAnsi" w:eastAsiaTheme="minorHAnsi" w:hAnsiTheme="minorHAnsi" w:cstheme="minorHAnsi"/>
      <w:color w:val="auto"/>
      <w:kern w:val="2"/>
      <w:sz w:val="18"/>
      <w:szCs w:val="18"/>
      <w:lang w:eastAsia="en-US"/>
      <w14:ligatures w14:val="standardContextual"/>
    </w:rPr>
  </w:style>
  <w:style w:type="paragraph" w:styleId="TOC6">
    <w:name w:val="toc 6"/>
    <w:basedOn w:val="Normal"/>
    <w:next w:val="Normal"/>
    <w:autoRedefine/>
    <w:uiPriority w:val="39"/>
    <w:unhideWhenUsed/>
    <w:rsid w:val="00817CB4"/>
    <w:pPr>
      <w:spacing w:before="0" w:after="0" w:line="259" w:lineRule="auto"/>
      <w:ind w:left="1200"/>
    </w:pPr>
    <w:rPr>
      <w:rFonts w:asciiTheme="minorHAnsi" w:eastAsiaTheme="minorHAnsi" w:hAnsiTheme="minorHAnsi" w:cstheme="minorHAnsi"/>
      <w:color w:val="auto"/>
      <w:kern w:val="2"/>
      <w:sz w:val="18"/>
      <w:szCs w:val="18"/>
      <w:lang w:eastAsia="en-US"/>
      <w14:ligatures w14:val="standardContextual"/>
    </w:rPr>
  </w:style>
  <w:style w:type="paragraph" w:styleId="TOC7">
    <w:name w:val="toc 7"/>
    <w:basedOn w:val="Normal"/>
    <w:next w:val="Normal"/>
    <w:autoRedefine/>
    <w:uiPriority w:val="39"/>
    <w:unhideWhenUsed/>
    <w:rsid w:val="00817CB4"/>
    <w:pPr>
      <w:spacing w:before="0" w:after="0" w:line="259" w:lineRule="auto"/>
      <w:ind w:left="1440"/>
    </w:pPr>
    <w:rPr>
      <w:rFonts w:asciiTheme="minorHAnsi" w:eastAsiaTheme="minorHAnsi" w:hAnsiTheme="minorHAnsi" w:cstheme="minorHAnsi"/>
      <w:color w:val="auto"/>
      <w:kern w:val="2"/>
      <w:sz w:val="18"/>
      <w:szCs w:val="18"/>
      <w:lang w:eastAsia="en-US"/>
      <w14:ligatures w14:val="standardContextual"/>
    </w:rPr>
  </w:style>
  <w:style w:type="paragraph" w:styleId="TOC8">
    <w:name w:val="toc 8"/>
    <w:basedOn w:val="Normal"/>
    <w:next w:val="Normal"/>
    <w:autoRedefine/>
    <w:uiPriority w:val="39"/>
    <w:unhideWhenUsed/>
    <w:rsid w:val="00817CB4"/>
    <w:pPr>
      <w:spacing w:before="0" w:after="0" w:line="259" w:lineRule="auto"/>
      <w:ind w:left="1680"/>
    </w:pPr>
    <w:rPr>
      <w:rFonts w:asciiTheme="minorHAnsi" w:eastAsiaTheme="minorHAnsi" w:hAnsiTheme="minorHAnsi" w:cstheme="minorHAnsi"/>
      <w:color w:val="auto"/>
      <w:kern w:val="2"/>
      <w:sz w:val="18"/>
      <w:szCs w:val="18"/>
      <w:lang w:eastAsia="en-US"/>
      <w14:ligatures w14:val="standardContextual"/>
    </w:rPr>
  </w:style>
  <w:style w:type="paragraph" w:styleId="TOC9">
    <w:name w:val="toc 9"/>
    <w:basedOn w:val="Normal"/>
    <w:next w:val="Normal"/>
    <w:autoRedefine/>
    <w:uiPriority w:val="39"/>
    <w:unhideWhenUsed/>
    <w:rsid w:val="00817CB4"/>
    <w:pPr>
      <w:spacing w:before="0" w:after="0" w:line="259" w:lineRule="auto"/>
      <w:ind w:left="1920"/>
    </w:pPr>
    <w:rPr>
      <w:rFonts w:asciiTheme="minorHAnsi" w:eastAsiaTheme="minorHAnsi" w:hAnsiTheme="minorHAnsi" w:cstheme="minorHAnsi"/>
      <w:color w:val="auto"/>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color w:val="212A4C" w:themeColor="accent1"/>
      <w:kern w:val="2"/>
      <w:sz w:val="28"/>
      <w:szCs w:val="28"/>
      <w:lang w:eastAsia="en-US"/>
      <w14:ligatures w14:val="standardContextual"/>
    </w:rPr>
  </w:style>
  <w:style w:type="character" w:customStyle="1" w:styleId="GuidelinesHeadingChar">
    <w:name w:val="Guidelines Heading Char"/>
    <w:basedOn w:val="Heading1Char"/>
    <w:link w:val="GuidelinesHeading"/>
    <w:rsid w:val="00817CB4"/>
    <w:rPr>
      <w:rFonts w:ascii="Arial" w:eastAsiaTheme="majorEastAsia" w:hAnsi="Arial" w:cstheme="minorHAnsi"/>
      <w:b/>
      <w:bCs/>
      <w:color w:val="212A4C" w:themeColor="accent1"/>
      <w:kern w:val="2"/>
      <w:sz w:val="28"/>
      <w:szCs w:val="28"/>
      <w:lang w:eastAsia="en-US"/>
      <w14:ligatures w14:val="standardContextual"/>
    </w:rPr>
  </w:style>
  <w:style w:type="paragraph" w:customStyle="1" w:styleId="Guidelines2">
    <w:name w:val="Guidelines 2"/>
    <w:basedOn w:val="Normal"/>
    <w:link w:val="Guidelines2Char"/>
    <w:qFormat/>
    <w:rsid w:val="00FC7110"/>
    <w:pPr>
      <w:spacing w:before="240" w:after="60" w:line="240" w:lineRule="auto"/>
      <w:ind w:left="792" w:hanging="432"/>
      <w:contextualSpacing/>
    </w:pPr>
    <w:rPr>
      <w:rFonts w:eastAsiaTheme="minorHAnsi" w:cs="Arial"/>
      <w:color w:val="358189"/>
      <w:kern w:val="2"/>
      <w:sz w:val="28"/>
      <w:szCs w:val="28"/>
      <w:lang w:eastAsia="en-US"/>
      <w14:ligatures w14:val="standardContextual"/>
    </w:rPr>
  </w:style>
  <w:style w:type="character" w:customStyle="1" w:styleId="Guidelines2Char">
    <w:name w:val="Guidelines 2 Char"/>
    <w:basedOn w:val="DefaultParagraphFont"/>
    <w:link w:val="Guidelines2"/>
    <w:rsid w:val="00FC7110"/>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264F90" w:themeColor="accent2"/>
      <w:kern w:val="2"/>
      <w:sz w:val="28"/>
      <w:szCs w:val="28"/>
      <w:lang w:eastAsia="en-US"/>
      <w14:ligatures w14:val="standardContextual"/>
    </w:rPr>
  </w:style>
  <w:style w:type="paragraph" w:customStyle="1" w:styleId="Guidelinessub-sub">
    <w:name w:val="Guidelines sub-sub"/>
    <w:basedOn w:val="Heading3"/>
    <w:link w:val="Guidelinessub-subChar"/>
    <w:qFormat/>
    <w:rsid w:val="00817CB4"/>
    <w:pPr>
      <w:numPr>
        <w:numId w:val="5"/>
      </w:numPr>
      <w:spacing w:before="40" w:after="0" w:line="259" w:lineRule="auto"/>
    </w:pPr>
    <w:rPr>
      <w:b w:val="0"/>
      <w:color w:val="212A4C" w:themeColor="accent1"/>
      <w:kern w:val="2"/>
      <w:lang w:eastAsia="en-US"/>
      <w14:ligatures w14:val="standardContextual"/>
    </w:rPr>
  </w:style>
  <w:style w:type="character" w:customStyle="1" w:styleId="Guidelinessub-subChar">
    <w:name w:val="Guidelines sub-sub Char"/>
    <w:basedOn w:val="DefaultParagraphFont"/>
    <w:link w:val="Guidelinessub-sub"/>
    <w:rsid w:val="00FC7110"/>
    <w:rPr>
      <w:rFonts w:ascii="Arial" w:eastAsiaTheme="majorEastAsia" w:hAnsi="Arial" w:cstheme="majorBidi"/>
      <w:color w:val="212A4C" w:themeColor="accent1"/>
      <w:kern w:val="2"/>
      <w:sz w:val="24"/>
      <w:szCs w:val="24"/>
      <w:lang w:eastAsia="en-US"/>
      <w14:ligatures w14:val="standardContextual"/>
    </w:rPr>
  </w:style>
  <w:style w:type="paragraph" w:customStyle="1" w:styleId="Headingguidelines">
    <w:name w:val="Heading guidelines"/>
    <w:basedOn w:val="Heading1"/>
    <w:link w:val="HeadingguidelinesChar"/>
    <w:qFormat/>
    <w:rsid w:val="00817CB4"/>
    <w:pPr>
      <w:spacing w:before="240" w:after="0" w:line="259" w:lineRule="auto"/>
      <w:ind w:left="420" w:hanging="420"/>
    </w:pPr>
    <w:rPr>
      <w:rFonts w:eastAsia="Times New Roman" w:cs="Arial"/>
      <w:bCs/>
      <w:color w:val="3F4A75"/>
      <w:kern w:val="28"/>
      <w:sz w:val="36"/>
      <w:szCs w:val="28"/>
      <w:lang w:eastAsia="en-US"/>
    </w:rPr>
  </w:style>
  <w:style w:type="character" w:customStyle="1" w:styleId="HeadingguidelinesChar">
    <w:name w:val="Heading guidelines Char"/>
    <w:basedOn w:val="Heading1Char"/>
    <w:link w:val="Headingguidelines"/>
    <w:rsid w:val="00817CB4"/>
    <w:rPr>
      <w:rFonts w:ascii="Arial" w:eastAsia="Times New Roman" w:hAnsi="Arial" w:cs="Arial"/>
      <w:b/>
      <w:bCs/>
      <w:color w:val="3F4A75"/>
      <w:kern w:val="28"/>
      <w:sz w:val="36"/>
      <w:szCs w:val="28"/>
      <w:lang w:eastAsia="en-US"/>
    </w:rPr>
  </w:style>
  <w:style w:type="paragraph" w:customStyle="1" w:styleId="Subheading-Guidelines">
    <w:name w:val="Sub heading - Guidelines"/>
    <w:basedOn w:val="Heading2"/>
    <w:link w:val="Subheading-GuidelinesChar"/>
    <w:qFormat/>
    <w:rsid w:val="00817CB4"/>
    <w:pPr>
      <w:numPr>
        <w:numId w:val="4"/>
      </w:numPr>
      <w:spacing w:before="40" w:after="0" w:line="259" w:lineRule="auto"/>
    </w:pPr>
    <w:rPr>
      <w:b w:val="0"/>
      <w:bCs/>
      <w:color w:val="264F90" w:themeColor="accent2"/>
      <w:kern w:val="2"/>
      <w:sz w:val="28"/>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Arial" w:eastAsiaTheme="majorEastAsia" w:hAnsi="Arial" w:cstheme="majorBidi"/>
      <w:b w:val="0"/>
      <w:bCs/>
      <w:color w:val="264F90"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styleId="Mention">
    <w:name w:val="Mention"/>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rPr>
      <w:rFonts w:ascii="Arial" w:hAnsi="Arial"/>
    </w:rPr>
  </w:style>
  <w:style w:type="paragraph" w:customStyle="1" w:styleId="TableHeaderWhite">
    <w:name w:val="Table Header White"/>
    <w:basedOn w:val="Normal"/>
    <w:next w:val="Normal"/>
    <w:qFormat/>
    <w:rsid w:val="00817CB4"/>
    <w:pPr>
      <w:spacing w:before="80"/>
    </w:pPr>
    <w:rPr>
      <w:rFonts w:eastAsia="Cambria" w:cs="Times New Roman"/>
      <w:b/>
      <w:color w:val="FFFFFF" w:themeColor="background1"/>
      <w:szCs w:val="22"/>
      <w:lang w:val="en-US" w:eastAsia="en-US"/>
    </w:rPr>
  </w:style>
  <w:style w:type="paragraph" w:customStyle="1" w:styleId="Tabletextleft">
    <w:name w:val="Table text left"/>
    <w:autoRedefine/>
    <w:qFormat/>
    <w:locked/>
    <w:rsid w:val="00733FD8"/>
    <w:pPr>
      <w:spacing w:before="60" w:after="60" w:line="240" w:lineRule="auto"/>
    </w:pPr>
    <w:rPr>
      <w:rFonts w:ascii="Arial" w:eastAsia="Times New Roman" w:hAnsi="Arial" w:cs="Times New Roman"/>
      <w:sz w:val="22"/>
      <w:szCs w:val="22"/>
      <w:lang w:eastAsia="en-US"/>
    </w:rPr>
  </w:style>
  <w:style w:type="paragraph" w:customStyle="1" w:styleId="TableHeader">
    <w:name w:val="Table Header"/>
    <w:basedOn w:val="Normal"/>
    <w:next w:val="Tabletextleft"/>
    <w:qFormat/>
    <w:rsid w:val="00817CB4"/>
    <w:pPr>
      <w:spacing w:before="80"/>
    </w:pPr>
    <w:rPr>
      <w:rFonts w:eastAsia="Cambria" w:cs="Times New Roman"/>
      <w:b/>
      <w:color w:val="FFFFFF" w:themeColor="background1"/>
      <w:szCs w:val="22"/>
      <w:lang w:val="en-US" w:eastAsia="en-US"/>
    </w:rPr>
  </w:style>
  <w:style w:type="table" w:customStyle="1" w:styleId="DepartmentofHealthtable">
    <w:name w:val="Department of Health table"/>
    <w:basedOn w:val="TableNormal"/>
    <w:uiPriority w:val="99"/>
    <w:rsid w:val="00817CB4"/>
    <w:pPr>
      <w:spacing w:before="0"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paragraph" w:styleId="ListBullet2">
    <w:name w:val="List Bullet 2"/>
    <w:basedOn w:val="Normal"/>
    <w:uiPriority w:val="99"/>
    <w:unhideWhenUsed/>
    <w:rsid w:val="003748EA"/>
    <w:pPr>
      <w:numPr>
        <w:numId w:val="6"/>
      </w:numPr>
      <w:contextualSpacing/>
    </w:pPr>
  </w:style>
  <w:style w:type="paragraph" w:styleId="EndnoteText">
    <w:name w:val="endnote text"/>
    <w:basedOn w:val="Normal"/>
    <w:link w:val="EndnoteTextChar"/>
    <w:uiPriority w:val="99"/>
    <w:semiHidden/>
    <w:unhideWhenUsed/>
    <w:rsid w:val="00720630"/>
    <w:pPr>
      <w:spacing w:before="0" w:after="0" w:line="240" w:lineRule="auto"/>
    </w:pPr>
    <w:rPr>
      <w:sz w:val="20"/>
    </w:rPr>
  </w:style>
  <w:style w:type="character" w:customStyle="1" w:styleId="EndnoteTextChar">
    <w:name w:val="Endnote Text Char"/>
    <w:basedOn w:val="DefaultParagraphFont"/>
    <w:link w:val="EndnoteText"/>
    <w:uiPriority w:val="99"/>
    <w:semiHidden/>
    <w:rsid w:val="00720630"/>
    <w:rPr>
      <w:rFonts w:ascii="Arial" w:hAnsi="Arial"/>
    </w:rPr>
  </w:style>
  <w:style w:type="character" w:styleId="EndnoteReference">
    <w:name w:val="endnote reference"/>
    <w:basedOn w:val="DefaultParagraphFont"/>
    <w:uiPriority w:val="99"/>
    <w:semiHidden/>
    <w:unhideWhenUsed/>
    <w:rsid w:val="00720630"/>
    <w:rPr>
      <w:vertAlign w:val="superscript"/>
    </w:rPr>
  </w:style>
  <w:style w:type="character" w:customStyle="1" w:styleId="eop">
    <w:name w:val="eop"/>
    <w:basedOn w:val="DefaultParagraphFont"/>
    <w:rsid w:val="00AC46F1"/>
  </w:style>
  <w:style w:type="character" w:customStyle="1" w:styleId="superscript">
    <w:name w:val="superscript"/>
    <w:basedOn w:val="DefaultParagraphFont"/>
    <w:rsid w:val="005E1CB5"/>
  </w:style>
  <w:style w:type="table" w:styleId="GridTable1Light-Accent1">
    <w:name w:val="Grid Table 1 Light Accent 1"/>
    <w:basedOn w:val="TableNormal"/>
    <w:uiPriority w:val="46"/>
    <w:rsid w:val="00D139BC"/>
    <w:pPr>
      <w:spacing w:after="0" w:line="240" w:lineRule="auto"/>
    </w:pPr>
    <w:tblPr>
      <w:tblStyleRowBandSize w:val="1"/>
      <w:tblStyleColBandSize w:val="1"/>
      <w:tblBorders>
        <w:top w:val="single" w:sz="4" w:space="0" w:color="8F9CCE" w:themeColor="accent1" w:themeTint="66"/>
        <w:left w:val="single" w:sz="4" w:space="0" w:color="8F9CCE" w:themeColor="accent1" w:themeTint="66"/>
        <w:bottom w:val="single" w:sz="4" w:space="0" w:color="8F9CCE" w:themeColor="accent1" w:themeTint="66"/>
        <w:right w:val="single" w:sz="4" w:space="0" w:color="8F9CCE" w:themeColor="accent1" w:themeTint="66"/>
        <w:insideH w:val="single" w:sz="4" w:space="0" w:color="8F9CCE" w:themeColor="accent1" w:themeTint="66"/>
        <w:insideV w:val="single" w:sz="4" w:space="0" w:color="8F9CCE" w:themeColor="accent1" w:themeTint="66"/>
      </w:tblBorders>
    </w:tblPr>
    <w:tblStylePr w:type="firstRow">
      <w:rPr>
        <w:b/>
        <w:bCs/>
      </w:rPr>
      <w:tblPr/>
      <w:tcPr>
        <w:tcBorders>
          <w:bottom w:val="single" w:sz="12" w:space="0" w:color="576AB6" w:themeColor="accent1" w:themeTint="99"/>
        </w:tcBorders>
      </w:tcPr>
    </w:tblStylePr>
    <w:tblStylePr w:type="lastRow">
      <w:rPr>
        <w:b/>
        <w:bCs/>
      </w:rPr>
      <w:tblPr/>
      <w:tcPr>
        <w:tcBorders>
          <w:top w:val="double" w:sz="2" w:space="0" w:color="576AB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5">
      <w:bodyDiv w:val="1"/>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
        <w:div w:id="227545002">
          <w:marLeft w:val="0"/>
          <w:marRight w:val="0"/>
          <w:marTop w:val="0"/>
          <w:marBottom w:val="0"/>
          <w:divBdr>
            <w:top w:val="none" w:sz="0" w:space="0" w:color="auto"/>
            <w:left w:val="none" w:sz="0" w:space="0" w:color="auto"/>
            <w:bottom w:val="none" w:sz="0" w:space="0" w:color="auto"/>
            <w:right w:val="none" w:sz="0" w:space="0" w:color="auto"/>
          </w:divBdr>
        </w:div>
        <w:div w:id="283317856">
          <w:marLeft w:val="0"/>
          <w:marRight w:val="0"/>
          <w:marTop w:val="0"/>
          <w:marBottom w:val="0"/>
          <w:divBdr>
            <w:top w:val="none" w:sz="0" w:space="0" w:color="auto"/>
            <w:left w:val="none" w:sz="0" w:space="0" w:color="auto"/>
            <w:bottom w:val="none" w:sz="0" w:space="0" w:color="auto"/>
            <w:right w:val="none" w:sz="0" w:space="0" w:color="auto"/>
          </w:divBdr>
        </w:div>
        <w:div w:id="304743808">
          <w:marLeft w:val="0"/>
          <w:marRight w:val="0"/>
          <w:marTop w:val="0"/>
          <w:marBottom w:val="0"/>
          <w:divBdr>
            <w:top w:val="none" w:sz="0" w:space="0" w:color="auto"/>
            <w:left w:val="none" w:sz="0" w:space="0" w:color="auto"/>
            <w:bottom w:val="none" w:sz="0" w:space="0" w:color="auto"/>
            <w:right w:val="none" w:sz="0" w:space="0" w:color="auto"/>
          </w:divBdr>
        </w:div>
        <w:div w:id="912355943">
          <w:marLeft w:val="0"/>
          <w:marRight w:val="0"/>
          <w:marTop w:val="0"/>
          <w:marBottom w:val="0"/>
          <w:divBdr>
            <w:top w:val="none" w:sz="0" w:space="0" w:color="auto"/>
            <w:left w:val="none" w:sz="0" w:space="0" w:color="auto"/>
            <w:bottom w:val="none" w:sz="0" w:space="0" w:color="auto"/>
            <w:right w:val="none" w:sz="0" w:space="0" w:color="auto"/>
          </w:divBdr>
        </w:div>
        <w:div w:id="1740245473">
          <w:marLeft w:val="0"/>
          <w:marRight w:val="0"/>
          <w:marTop w:val="0"/>
          <w:marBottom w:val="0"/>
          <w:divBdr>
            <w:top w:val="none" w:sz="0" w:space="0" w:color="auto"/>
            <w:left w:val="none" w:sz="0" w:space="0" w:color="auto"/>
            <w:bottom w:val="none" w:sz="0" w:space="0" w:color="auto"/>
            <w:right w:val="none" w:sz="0" w:space="0" w:color="auto"/>
          </w:divBdr>
        </w:div>
      </w:divsChild>
    </w:div>
    <w:div w:id="11612980">
      <w:bodyDiv w:val="1"/>
      <w:marLeft w:val="0"/>
      <w:marRight w:val="0"/>
      <w:marTop w:val="0"/>
      <w:marBottom w:val="0"/>
      <w:divBdr>
        <w:top w:val="none" w:sz="0" w:space="0" w:color="auto"/>
        <w:left w:val="none" w:sz="0" w:space="0" w:color="auto"/>
        <w:bottom w:val="none" w:sz="0" w:space="0" w:color="auto"/>
        <w:right w:val="none" w:sz="0" w:space="0" w:color="auto"/>
      </w:divBdr>
      <w:divsChild>
        <w:div w:id="1668426">
          <w:marLeft w:val="0"/>
          <w:marRight w:val="0"/>
          <w:marTop w:val="0"/>
          <w:marBottom w:val="0"/>
          <w:divBdr>
            <w:top w:val="none" w:sz="0" w:space="0" w:color="auto"/>
            <w:left w:val="none" w:sz="0" w:space="0" w:color="auto"/>
            <w:bottom w:val="none" w:sz="0" w:space="0" w:color="auto"/>
            <w:right w:val="none" w:sz="0" w:space="0" w:color="auto"/>
          </w:divBdr>
        </w:div>
        <w:div w:id="1357270665">
          <w:marLeft w:val="0"/>
          <w:marRight w:val="0"/>
          <w:marTop w:val="0"/>
          <w:marBottom w:val="0"/>
          <w:divBdr>
            <w:top w:val="none" w:sz="0" w:space="0" w:color="auto"/>
            <w:left w:val="none" w:sz="0" w:space="0" w:color="auto"/>
            <w:bottom w:val="none" w:sz="0" w:space="0" w:color="auto"/>
            <w:right w:val="none" w:sz="0" w:space="0" w:color="auto"/>
          </w:divBdr>
        </w:div>
      </w:divsChild>
    </w:div>
    <w:div w:id="13193977">
      <w:bodyDiv w:val="1"/>
      <w:marLeft w:val="0"/>
      <w:marRight w:val="0"/>
      <w:marTop w:val="0"/>
      <w:marBottom w:val="0"/>
      <w:divBdr>
        <w:top w:val="none" w:sz="0" w:space="0" w:color="auto"/>
        <w:left w:val="none" w:sz="0" w:space="0" w:color="auto"/>
        <w:bottom w:val="none" w:sz="0" w:space="0" w:color="auto"/>
        <w:right w:val="none" w:sz="0" w:space="0" w:color="auto"/>
      </w:divBdr>
      <w:divsChild>
        <w:div w:id="6753739">
          <w:marLeft w:val="0"/>
          <w:marRight w:val="0"/>
          <w:marTop w:val="0"/>
          <w:marBottom w:val="0"/>
          <w:divBdr>
            <w:top w:val="none" w:sz="0" w:space="0" w:color="auto"/>
            <w:left w:val="none" w:sz="0" w:space="0" w:color="auto"/>
            <w:bottom w:val="none" w:sz="0" w:space="0" w:color="auto"/>
            <w:right w:val="none" w:sz="0" w:space="0" w:color="auto"/>
          </w:divBdr>
          <w:divsChild>
            <w:div w:id="1076591655">
              <w:marLeft w:val="0"/>
              <w:marRight w:val="0"/>
              <w:marTop w:val="0"/>
              <w:marBottom w:val="0"/>
              <w:divBdr>
                <w:top w:val="none" w:sz="0" w:space="0" w:color="auto"/>
                <w:left w:val="none" w:sz="0" w:space="0" w:color="auto"/>
                <w:bottom w:val="none" w:sz="0" w:space="0" w:color="auto"/>
                <w:right w:val="none" w:sz="0" w:space="0" w:color="auto"/>
              </w:divBdr>
            </w:div>
          </w:divsChild>
        </w:div>
        <w:div w:id="39405866">
          <w:marLeft w:val="0"/>
          <w:marRight w:val="0"/>
          <w:marTop w:val="0"/>
          <w:marBottom w:val="0"/>
          <w:divBdr>
            <w:top w:val="none" w:sz="0" w:space="0" w:color="auto"/>
            <w:left w:val="none" w:sz="0" w:space="0" w:color="auto"/>
            <w:bottom w:val="none" w:sz="0" w:space="0" w:color="auto"/>
            <w:right w:val="none" w:sz="0" w:space="0" w:color="auto"/>
          </w:divBdr>
          <w:divsChild>
            <w:div w:id="142360020">
              <w:marLeft w:val="0"/>
              <w:marRight w:val="0"/>
              <w:marTop w:val="0"/>
              <w:marBottom w:val="0"/>
              <w:divBdr>
                <w:top w:val="none" w:sz="0" w:space="0" w:color="auto"/>
                <w:left w:val="none" w:sz="0" w:space="0" w:color="auto"/>
                <w:bottom w:val="none" w:sz="0" w:space="0" w:color="auto"/>
                <w:right w:val="none" w:sz="0" w:space="0" w:color="auto"/>
              </w:divBdr>
            </w:div>
          </w:divsChild>
        </w:div>
        <w:div w:id="62997128">
          <w:marLeft w:val="0"/>
          <w:marRight w:val="0"/>
          <w:marTop w:val="0"/>
          <w:marBottom w:val="0"/>
          <w:divBdr>
            <w:top w:val="none" w:sz="0" w:space="0" w:color="auto"/>
            <w:left w:val="none" w:sz="0" w:space="0" w:color="auto"/>
            <w:bottom w:val="none" w:sz="0" w:space="0" w:color="auto"/>
            <w:right w:val="none" w:sz="0" w:space="0" w:color="auto"/>
          </w:divBdr>
          <w:divsChild>
            <w:div w:id="1964454288">
              <w:marLeft w:val="0"/>
              <w:marRight w:val="0"/>
              <w:marTop w:val="0"/>
              <w:marBottom w:val="0"/>
              <w:divBdr>
                <w:top w:val="none" w:sz="0" w:space="0" w:color="auto"/>
                <w:left w:val="none" w:sz="0" w:space="0" w:color="auto"/>
                <w:bottom w:val="none" w:sz="0" w:space="0" w:color="auto"/>
                <w:right w:val="none" w:sz="0" w:space="0" w:color="auto"/>
              </w:divBdr>
            </w:div>
          </w:divsChild>
        </w:div>
        <w:div w:id="79105058">
          <w:marLeft w:val="0"/>
          <w:marRight w:val="0"/>
          <w:marTop w:val="0"/>
          <w:marBottom w:val="0"/>
          <w:divBdr>
            <w:top w:val="none" w:sz="0" w:space="0" w:color="auto"/>
            <w:left w:val="none" w:sz="0" w:space="0" w:color="auto"/>
            <w:bottom w:val="none" w:sz="0" w:space="0" w:color="auto"/>
            <w:right w:val="none" w:sz="0" w:space="0" w:color="auto"/>
          </w:divBdr>
          <w:divsChild>
            <w:div w:id="1320772672">
              <w:marLeft w:val="0"/>
              <w:marRight w:val="0"/>
              <w:marTop w:val="0"/>
              <w:marBottom w:val="0"/>
              <w:divBdr>
                <w:top w:val="none" w:sz="0" w:space="0" w:color="auto"/>
                <w:left w:val="none" w:sz="0" w:space="0" w:color="auto"/>
                <w:bottom w:val="none" w:sz="0" w:space="0" w:color="auto"/>
                <w:right w:val="none" w:sz="0" w:space="0" w:color="auto"/>
              </w:divBdr>
            </w:div>
          </w:divsChild>
        </w:div>
        <w:div w:id="83191527">
          <w:marLeft w:val="0"/>
          <w:marRight w:val="0"/>
          <w:marTop w:val="0"/>
          <w:marBottom w:val="0"/>
          <w:divBdr>
            <w:top w:val="none" w:sz="0" w:space="0" w:color="auto"/>
            <w:left w:val="none" w:sz="0" w:space="0" w:color="auto"/>
            <w:bottom w:val="none" w:sz="0" w:space="0" w:color="auto"/>
            <w:right w:val="none" w:sz="0" w:space="0" w:color="auto"/>
          </w:divBdr>
          <w:divsChild>
            <w:div w:id="2041470479">
              <w:marLeft w:val="0"/>
              <w:marRight w:val="0"/>
              <w:marTop w:val="0"/>
              <w:marBottom w:val="0"/>
              <w:divBdr>
                <w:top w:val="none" w:sz="0" w:space="0" w:color="auto"/>
                <w:left w:val="none" w:sz="0" w:space="0" w:color="auto"/>
                <w:bottom w:val="none" w:sz="0" w:space="0" w:color="auto"/>
                <w:right w:val="none" w:sz="0" w:space="0" w:color="auto"/>
              </w:divBdr>
            </w:div>
          </w:divsChild>
        </w:div>
        <w:div w:id="183136529">
          <w:marLeft w:val="0"/>
          <w:marRight w:val="0"/>
          <w:marTop w:val="0"/>
          <w:marBottom w:val="0"/>
          <w:divBdr>
            <w:top w:val="none" w:sz="0" w:space="0" w:color="auto"/>
            <w:left w:val="none" w:sz="0" w:space="0" w:color="auto"/>
            <w:bottom w:val="none" w:sz="0" w:space="0" w:color="auto"/>
            <w:right w:val="none" w:sz="0" w:space="0" w:color="auto"/>
          </w:divBdr>
          <w:divsChild>
            <w:div w:id="1683776155">
              <w:marLeft w:val="0"/>
              <w:marRight w:val="0"/>
              <w:marTop w:val="0"/>
              <w:marBottom w:val="0"/>
              <w:divBdr>
                <w:top w:val="none" w:sz="0" w:space="0" w:color="auto"/>
                <w:left w:val="none" w:sz="0" w:space="0" w:color="auto"/>
                <w:bottom w:val="none" w:sz="0" w:space="0" w:color="auto"/>
                <w:right w:val="none" w:sz="0" w:space="0" w:color="auto"/>
              </w:divBdr>
            </w:div>
          </w:divsChild>
        </w:div>
        <w:div w:id="208491935">
          <w:marLeft w:val="0"/>
          <w:marRight w:val="0"/>
          <w:marTop w:val="0"/>
          <w:marBottom w:val="0"/>
          <w:divBdr>
            <w:top w:val="none" w:sz="0" w:space="0" w:color="auto"/>
            <w:left w:val="none" w:sz="0" w:space="0" w:color="auto"/>
            <w:bottom w:val="none" w:sz="0" w:space="0" w:color="auto"/>
            <w:right w:val="none" w:sz="0" w:space="0" w:color="auto"/>
          </w:divBdr>
          <w:divsChild>
            <w:div w:id="1874343747">
              <w:marLeft w:val="0"/>
              <w:marRight w:val="0"/>
              <w:marTop w:val="0"/>
              <w:marBottom w:val="0"/>
              <w:divBdr>
                <w:top w:val="none" w:sz="0" w:space="0" w:color="auto"/>
                <w:left w:val="none" w:sz="0" w:space="0" w:color="auto"/>
                <w:bottom w:val="none" w:sz="0" w:space="0" w:color="auto"/>
                <w:right w:val="none" w:sz="0" w:space="0" w:color="auto"/>
              </w:divBdr>
            </w:div>
          </w:divsChild>
        </w:div>
        <w:div w:id="222522002">
          <w:marLeft w:val="0"/>
          <w:marRight w:val="0"/>
          <w:marTop w:val="0"/>
          <w:marBottom w:val="0"/>
          <w:divBdr>
            <w:top w:val="none" w:sz="0" w:space="0" w:color="auto"/>
            <w:left w:val="none" w:sz="0" w:space="0" w:color="auto"/>
            <w:bottom w:val="none" w:sz="0" w:space="0" w:color="auto"/>
            <w:right w:val="none" w:sz="0" w:space="0" w:color="auto"/>
          </w:divBdr>
          <w:divsChild>
            <w:div w:id="499081984">
              <w:marLeft w:val="0"/>
              <w:marRight w:val="0"/>
              <w:marTop w:val="0"/>
              <w:marBottom w:val="0"/>
              <w:divBdr>
                <w:top w:val="none" w:sz="0" w:space="0" w:color="auto"/>
                <w:left w:val="none" w:sz="0" w:space="0" w:color="auto"/>
                <w:bottom w:val="none" w:sz="0" w:space="0" w:color="auto"/>
                <w:right w:val="none" w:sz="0" w:space="0" w:color="auto"/>
              </w:divBdr>
            </w:div>
          </w:divsChild>
        </w:div>
        <w:div w:id="239874731">
          <w:marLeft w:val="0"/>
          <w:marRight w:val="0"/>
          <w:marTop w:val="0"/>
          <w:marBottom w:val="0"/>
          <w:divBdr>
            <w:top w:val="none" w:sz="0" w:space="0" w:color="auto"/>
            <w:left w:val="none" w:sz="0" w:space="0" w:color="auto"/>
            <w:bottom w:val="none" w:sz="0" w:space="0" w:color="auto"/>
            <w:right w:val="none" w:sz="0" w:space="0" w:color="auto"/>
          </w:divBdr>
          <w:divsChild>
            <w:div w:id="383526211">
              <w:marLeft w:val="0"/>
              <w:marRight w:val="0"/>
              <w:marTop w:val="0"/>
              <w:marBottom w:val="0"/>
              <w:divBdr>
                <w:top w:val="none" w:sz="0" w:space="0" w:color="auto"/>
                <w:left w:val="none" w:sz="0" w:space="0" w:color="auto"/>
                <w:bottom w:val="none" w:sz="0" w:space="0" w:color="auto"/>
                <w:right w:val="none" w:sz="0" w:space="0" w:color="auto"/>
              </w:divBdr>
            </w:div>
          </w:divsChild>
        </w:div>
        <w:div w:id="268706835">
          <w:marLeft w:val="0"/>
          <w:marRight w:val="0"/>
          <w:marTop w:val="0"/>
          <w:marBottom w:val="0"/>
          <w:divBdr>
            <w:top w:val="none" w:sz="0" w:space="0" w:color="auto"/>
            <w:left w:val="none" w:sz="0" w:space="0" w:color="auto"/>
            <w:bottom w:val="none" w:sz="0" w:space="0" w:color="auto"/>
            <w:right w:val="none" w:sz="0" w:space="0" w:color="auto"/>
          </w:divBdr>
          <w:divsChild>
            <w:div w:id="1688942029">
              <w:marLeft w:val="0"/>
              <w:marRight w:val="0"/>
              <w:marTop w:val="0"/>
              <w:marBottom w:val="0"/>
              <w:divBdr>
                <w:top w:val="none" w:sz="0" w:space="0" w:color="auto"/>
                <w:left w:val="none" w:sz="0" w:space="0" w:color="auto"/>
                <w:bottom w:val="none" w:sz="0" w:space="0" w:color="auto"/>
                <w:right w:val="none" w:sz="0" w:space="0" w:color="auto"/>
              </w:divBdr>
            </w:div>
          </w:divsChild>
        </w:div>
        <w:div w:id="274407991">
          <w:marLeft w:val="0"/>
          <w:marRight w:val="0"/>
          <w:marTop w:val="0"/>
          <w:marBottom w:val="0"/>
          <w:divBdr>
            <w:top w:val="none" w:sz="0" w:space="0" w:color="auto"/>
            <w:left w:val="none" w:sz="0" w:space="0" w:color="auto"/>
            <w:bottom w:val="none" w:sz="0" w:space="0" w:color="auto"/>
            <w:right w:val="none" w:sz="0" w:space="0" w:color="auto"/>
          </w:divBdr>
          <w:divsChild>
            <w:div w:id="1498695432">
              <w:marLeft w:val="0"/>
              <w:marRight w:val="0"/>
              <w:marTop w:val="0"/>
              <w:marBottom w:val="0"/>
              <w:divBdr>
                <w:top w:val="none" w:sz="0" w:space="0" w:color="auto"/>
                <w:left w:val="none" w:sz="0" w:space="0" w:color="auto"/>
                <w:bottom w:val="none" w:sz="0" w:space="0" w:color="auto"/>
                <w:right w:val="none" w:sz="0" w:space="0" w:color="auto"/>
              </w:divBdr>
            </w:div>
          </w:divsChild>
        </w:div>
        <w:div w:id="280694014">
          <w:marLeft w:val="0"/>
          <w:marRight w:val="0"/>
          <w:marTop w:val="0"/>
          <w:marBottom w:val="0"/>
          <w:divBdr>
            <w:top w:val="none" w:sz="0" w:space="0" w:color="auto"/>
            <w:left w:val="none" w:sz="0" w:space="0" w:color="auto"/>
            <w:bottom w:val="none" w:sz="0" w:space="0" w:color="auto"/>
            <w:right w:val="none" w:sz="0" w:space="0" w:color="auto"/>
          </w:divBdr>
          <w:divsChild>
            <w:div w:id="1016616082">
              <w:marLeft w:val="0"/>
              <w:marRight w:val="0"/>
              <w:marTop w:val="0"/>
              <w:marBottom w:val="0"/>
              <w:divBdr>
                <w:top w:val="none" w:sz="0" w:space="0" w:color="auto"/>
                <w:left w:val="none" w:sz="0" w:space="0" w:color="auto"/>
                <w:bottom w:val="none" w:sz="0" w:space="0" w:color="auto"/>
                <w:right w:val="none" w:sz="0" w:space="0" w:color="auto"/>
              </w:divBdr>
            </w:div>
          </w:divsChild>
        </w:div>
        <w:div w:id="399181596">
          <w:marLeft w:val="0"/>
          <w:marRight w:val="0"/>
          <w:marTop w:val="0"/>
          <w:marBottom w:val="0"/>
          <w:divBdr>
            <w:top w:val="none" w:sz="0" w:space="0" w:color="auto"/>
            <w:left w:val="none" w:sz="0" w:space="0" w:color="auto"/>
            <w:bottom w:val="none" w:sz="0" w:space="0" w:color="auto"/>
            <w:right w:val="none" w:sz="0" w:space="0" w:color="auto"/>
          </w:divBdr>
          <w:divsChild>
            <w:div w:id="454250092">
              <w:marLeft w:val="0"/>
              <w:marRight w:val="0"/>
              <w:marTop w:val="0"/>
              <w:marBottom w:val="0"/>
              <w:divBdr>
                <w:top w:val="none" w:sz="0" w:space="0" w:color="auto"/>
                <w:left w:val="none" w:sz="0" w:space="0" w:color="auto"/>
                <w:bottom w:val="none" w:sz="0" w:space="0" w:color="auto"/>
                <w:right w:val="none" w:sz="0" w:space="0" w:color="auto"/>
              </w:divBdr>
            </w:div>
          </w:divsChild>
        </w:div>
        <w:div w:id="406001958">
          <w:marLeft w:val="0"/>
          <w:marRight w:val="0"/>
          <w:marTop w:val="0"/>
          <w:marBottom w:val="0"/>
          <w:divBdr>
            <w:top w:val="none" w:sz="0" w:space="0" w:color="auto"/>
            <w:left w:val="none" w:sz="0" w:space="0" w:color="auto"/>
            <w:bottom w:val="none" w:sz="0" w:space="0" w:color="auto"/>
            <w:right w:val="none" w:sz="0" w:space="0" w:color="auto"/>
          </w:divBdr>
          <w:divsChild>
            <w:div w:id="875852872">
              <w:marLeft w:val="0"/>
              <w:marRight w:val="0"/>
              <w:marTop w:val="0"/>
              <w:marBottom w:val="0"/>
              <w:divBdr>
                <w:top w:val="none" w:sz="0" w:space="0" w:color="auto"/>
                <w:left w:val="none" w:sz="0" w:space="0" w:color="auto"/>
                <w:bottom w:val="none" w:sz="0" w:space="0" w:color="auto"/>
                <w:right w:val="none" w:sz="0" w:space="0" w:color="auto"/>
              </w:divBdr>
            </w:div>
          </w:divsChild>
        </w:div>
        <w:div w:id="467238581">
          <w:marLeft w:val="0"/>
          <w:marRight w:val="0"/>
          <w:marTop w:val="0"/>
          <w:marBottom w:val="0"/>
          <w:divBdr>
            <w:top w:val="none" w:sz="0" w:space="0" w:color="auto"/>
            <w:left w:val="none" w:sz="0" w:space="0" w:color="auto"/>
            <w:bottom w:val="none" w:sz="0" w:space="0" w:color="auto"/>
            <w:right w:val="none" w:sz="0" w:space="0" w:color="auto"/>
          </w:divBdr>
          <w:divsChild>
            <w:div w:id="1565481310">
              <w:marLeft w:val="0"/>
              <w:marRight w:val="0"/>
              <w:marTop w:val="0"/>
              <w:marBottom w:val="0"/>
              <w:divBdr>
                <w:top w:val="none" w:sz="0" w:space="0" w:color="auto"/>
                <w:left w:val="none" w:sz="0" w:space="0" w:color="auto"/>
                <w:bottom w:val="none" w:sz="0" w:space="0" w:color="auto"/>
                <w:right w:val="none" w:sz="0" w:space="0" w:color="auto"/>
              </w:divBdr>
            </w:div>
          </w:divsChild>
        </w:div>
        <w:div w:id="469632968">
          <w:marLeft w:val="0"/>
          <w:marRight w:val="0"/>
          <w:marTop w:val="0"/>
          <w:marBottom w:val="0"/>
          <w:divBdr>
            <w:top w:val="none" w:sz="0" w:space="0" w:color="auto"/>
            <w:left w:val="none" w:sz="0" w:space="0" w:color="auto"/>
            <w:bottom w:val="none" w:sz="0" w:space="0" w:color="auto"/>
            <w:right w:val="none" w:sz="0" w:space="0" w:color="auto"/>
          </w:divBdr>
          <w:divsChild>
            <w:div w:id="1817255699">
              <w:marLeft w:val="0"/>
              <w:marRight w:val="0"/>
              <w:marTop w:val="0"/>
              <w:marBottom w:val="0"/>
              <w:divBdr>
                <w:top w:val="none" w:sz="0" w:space="0" w:color="auto"/>
                <w:left w:val="none" w:sz="0" w:space="0" w:color="auto"/>
                <w:bottom w:val="none" w:sz="0" w:space="0" w:color="auto"/>
                <w:right w:val="none" w:sz="0" w:space="0" w:color="auto"/>
              </w:divBdr>
            </w:div>
          </w:divsChild>
        </w:div>
        <w:div w:id="481122216">
          <w:marLeft w:val="0"/>
          <w:marRight w:val="0"/>
          <w:marTop w:val="0"/>
          <w:marBottom w:val="0"/>
          <w:divBdr>
            <w:top w:val="none" w:sz="0" w:space="0" w:color="auto"/>
            <w:left w:val="none" w:sz="0" w:space="0" w:color="auto"/>
            <w:bottom w:val="none" w:sz="0" w:space="0" w:color="auto"/>
            <w:right w:val="none" w:sz="0" w:space="0" w:color="auto"/>
          </w:divBdr>
          <w:divsChild>
            <w:div w:id="479348405">
              <w:marLeft w:val="0"/>
              <w:marRight w:val="0"/>
              <w:marTop w:val="0"/>
              <w:marBottom w:val="0"/>
              <w:divBdr>
                <w:top w:val="none" w:sz="0" w:space="0" w:color="auto"/>
                <w:left w:val="none" w:sz="0" w:space="0" w:color="auto"/>
                <w:bottom w:val="none" w:sz="0" w:space="0" w:color="auto"/>
                <w:right w:val="none" w:sz="0" w:space="0" w:color="auto"/>
              </w:divBdr>
            </w:div>
          </w:divsChild>
        </w:div>
        <w:div w:id="519664608">
          <w:marLeft w:val="0"/>
          <w:marRight w:val="0"/>
          <w:marTop w:val="0"/>
          <w:marBottom w:val="0"/>
          <w:divBdr>
            <w:top w:val="none" w:sz="0" w:space="0" w:color="auto"/>
            <w:left w:val="none" w:sz="0" w:space="0" w:color="auto"/>
            <w:bottom w:val="none" w:sz="0" w:space="0" w:color="auto"/>
            <w:right w:val="none" w:sz="0" w:space="0" w:color="auto"/>
          </w:divBdr>
          <w:divsChild>
            <w:div w:id="2028939461">
              <w:marLeft w:val="0"/>
              <w:marRight w:val="0"/>
              <w:marTop w:val="0"/>
              <w:marBottom w:val="0"/>
              <w:divBdr>
                <w:top w:val="none" w:sz="0" w:space="0" w:color="auto"/>
                <w:left w:val="none" w:sz="0" w:space="0" w:color="auto"/>
                <w:bottom w:val="none" w:sz="0" w:space="0" w:color="auto"/>
                <w:right w:val="none" w:sz="0" w:space="0" w:color="auto"/>
              </w:divBdr>
            </w:div>
          </w:divsChild>
        </w:div>
        <w:div w:id="524829405">
          <w:marLeft w:val="0"/>
          <w:marRight w:val="0"/>
          <w:marTop w:val="0"/>
          <w:marBottom w:val="0"/>
          <w:divBdr>
            <w:top w:val="none" w:sz="0" w:space="0" w:color="auto"/>
            <w:left w:val="none" w:sz="0" w:space="0" w:color="auto"/>
            <w:bottom w:val="none" w:sz="0" w:space="0" w:color="auto"/>
            <w:right w:val="none" w:sz="0" w:space="0" w:color="auto"/>
          </w:divBdr>
          <w:divsChild>
            <w:div w:id="920453684">
              <w:marLeft w:val="0"/>
              <w:marRight w:val="0"/>
              <w:marTop w:val="0"/>
              <w:marBottom w:val="0"/>
              <w:divBdr>
                <w:top w:val="none" w:sz="0" w:space="0" w:color="auto"/>
                <w:left w:val="none" w:sz="0" w:space="0" w:color="auto"/>
                <w:bottom w:val="none" w:sz="0" w:space="0" w:color="auto"/>
                <w:right w:val="none" w:sz="0" w:space="0" w:color="auto"/>
              </w:divBdr>
            </w:div>
          </w:divsChild>
        </w:div>
        <w:div w:id="565802534">
          <w:marLeft w:val="0"/>
          <w:marRight w:val="0"/>
          <w:marTop w:val="0"/>
          <w:marBottom w:val="0"/>
          <w:divBdr>
            <w:top w:val="none" w:sz="0" w:space="0" w:color="auto"/>
            <w:left w:val="none" w:sz="0" w:space="0" w:color="auto"/>
            <w:bottom w:val="none" w:sz="0" w:space="0" w:color="auto"/>
            <w:right w:val="none" w:sz="0" w:space="0" w:color="auto"/>
          </w:divBdr>
          <w:divsChild>
            <w:div w:id="105856092">
              <w:marLeft w:val="0"/>
              <w:marRight w:val="0"/>
              <w:marTop w:val="0"/>
              <w:marBottom w:val="0"/>
              <w:divBdr>
                <w:top w:val="none" w:sz="0" w:space="0" w:color="auto"/>
                <w:left w:val="none" w:sz="0" w:space="0" w:color="auto"/>
                <w:bottom w:val="none" w:sz="0" w:space="0" w:color="auto"/>
                <w:right w:val="none" w:sz="0" w:space="0" w:color="auto"/>
              </w:divBdr>
            </w:div>
          </w:divsChild>
        </w:div>
        <w:div w:id="637027763">
          <w:marLeft w:val="0"/>
          <w:marRight w:val="0"/>
          <w:marTop w:val="0"/>
          <w:marBottom w:val="0"/>
          <w:divBdr>
            <w:top w:val="none" w:sz="0" w:space="0" w:color="auto"/>
            <w:left w:val="none" w:sz="0" w:space="0" w:color="auto"/>
            <w:bottom w:val="none" w:sz="0" w:space="0" w:color="auto"/>
            <w:right w:val="none" w:sz="0" w:space="0" w:color="auto"/>
          </w:divBdr>
          <w:divsChild>
            <w:div w:id="1327249383">
              <w:marLeft w:val="0"/>
              <w:marRight w:val="0"/>
              <w:marTop w:val="0"/>
              <w:marBottom w:val="0"/>
              <w:divBdr>
                <w:top w:val="none" w:sz="0" w:space="0" w:color="auto"/>
                <w:left w:val="none" w:sz="0" w:space="0" w:color="auto"/>
                <w:bottom w:val="none" w:sz="0" w:space="0" w:color="auto"/>
                <w:right w:val="none" w:sz="0" w:space="0" w:color="auto"/>
              </w:divBdr>
            </w:div>
          </w:divsChild>
        </w:div>
        <w:div w:id="637028606">
          <w:marLeft w:val="0"/>
          <w:marRight w:val="0"/>
          <w:marTop w:val="0"/>
          <w:marBottom w:val="0"/>
          <w:divBdr>
            <w:top w:val="none" w:sz="0" w:space="0" w:color="auto"/>
            <w:left w:val="none" w:sz="0" w:space="0" w:color="auto"/>
            <w:bottom w:val="none" w:sz="0" w:space="0" w:color="auto"/>
            <w:right w:val="none" w:sz="0" w:space="0" w:color="auto"/>
          </w:divBdr>
          <w:divsChild>
            <w:div w:id="2092969224">
              <w:marLeft w:val="0"/>
              <w:marRight w:val="0"/>
              <w:marTop w:val="0"/>
              <w:marBottom w:val="0"/>
              <w:divBdr>
                <w:top w:val="none" w:sz="0" w:space="0" w:color="auto"/>
                <w:left w:val="none" w:sz="0" w:space="0" w:color="auto"/>
                <w:bottom w:val="none" w:sz="0" w:space="0" w:color="auto"/>
                <w:right w:val="none" w:sz="0" w:space="0" w:color="auto"/>
              </w:divBdr>
            </w:div>
          </w:divsChild>
        </w:div>
        <w:div w:id="641276011">
          <w:marLeft w:val="0"/>
          <w:marRight w:val="0"/>
          <w:marTop w:val="0"/>
          <w:marBottom w:val="0"/>
          <w:divBdr>
            <w:top w:val="none" w:sz="0" w:space="0" w:color="auto"/>
            <w:left w:val="none" w:sz="0" w:space="0" w:color="auto"/>
            <w:bottom w:val="none" w:sz="0" w:space="0" w:color="auto"/>
            <w:right w:val="none" w:sz="0" w:space="0" w:color="auto"/>
          </w:divBdr>
          <w:divsChild>
            <w:div w:id="977959315">
              <w:marLeft w:val="0"/>
              <w:marRight w:val="0"/>
              <w:marTop w:val="0"/>
              <w:marBottom w:val="0"/>
              <w:divBdr>
                <w:top w:val="none" w:sz="0" w:space="0" w:color="auto"/>
                <w:left w:val="none" w:sz="0" w:space="0" w:color="auto"/>
                <w:bottom w:val="none" w:sz="0" w:space="0" w:color="auto"/>
                <w:right w:val="none" w:sz="0" w:space="0" w:color="auto"/>
              </w:divBdr>
            </w:div>
          </w:divsChild>
        </w:div>
        <w:div w:id="756246410">
          <w:marLeft w:val="0"/>
          <w:marRight w:val="0"/>
          <w:marTop w:val="0"/>
          <w:marBottom w:val="0"/>
          <w:divBdr>
            <w:top w:val="none" w:sz="0" w:space="0" w:color="auto"/>
            <w:left w:val="none" w:sz="0" w:space="0" w:color="auto"/>
            <w:bottom w:val="none" w:sz="0" w:space="0" w:color="auto"/>
            <w:right w:val="none" w:sz="0" w:space="0" w:color="auto"/>
          </w:divBdr>
          <w:divsChild>
            <w:div w:id="1953392141">
              <w:marLeft w:val="0"/>
              <w:marRight w:val="0"/>
              <w:marTop w:val="0"/>
              <w:marBottom w:val="0"/>
              <w:divBdr>
                <w:top w:val="none" w:sz="0" w:space="0" w:color="auto"/>
                <w:left w:val="none" w:sz="0" w:space="0" w:color="auto"/>
                <w:bottom w:val="none" w:sz="0" w:space="0" w:color="auto"/>
                <w:right w:val="none" w:sz="0" w:space="0" w:color="auto"/>
              </w:divBdr>
            </w:div>
          </w:divsChild>
        </w:div>
        <w:div w:id="832572312">
          <w:marLeft w:val="0"/>
          <w:marRight w:val="0"/>
          <w:marTop w:val="0"/>
          <w:marBottom w:val="0"/>
          <w:divBdr>
            <w:top w:val="none" w:sz="0" w:space="0" w:color="auto"/>
            <w:left w:val="none" w:sz="0" w:space="0" w:color="auto"/>
            <w:bottom w:val="none" w:sz="0" w:space="0" w:color="auto"/>
            <w:right w:val="none" w:sz="0" w:space="0" w:color="auto"/>
          </w:divBdr>
          <w:divsChild>
            <w:div w:id="1203711000">
              <w:marLeft w:val="0"/>
              <w:marRight w:val="0"/>
              <w:marTop w:val="0"/>
              <w:marBottom w:val="0"/>
              <w:divBdr>
                <w:top w:val="none" w:sz="0" w:space="0" w:color="auto"/>
                <w:left w:val="none" w:sz="0" w:space="0" w:color="auto"/>
                <w:bottom w:val="none" w:sz="0" w:space="0" w:color="auto"/>
                <w:right w:val="none" w:sz="0" w:space="0" w:color="auto"/>
              </w:divBdr>
            </w:div>
          </w:divsChild>
        </w:div>
        <w:div w:id="851804032">
          <w:marLeft w:val="0"/>
          <w:marRight w:val="0"/>
          <w:marTop w:val="0"/>
          <w:marBottom w:val="0"/>
          <w:divBdr>
            <w:top w:val="none" w:sz="0" w:space="0" w:color="auto"/>
            <w:left w:val="none" w:sz="0" w:space="0" w:color="auto"/>
            <w:bottom w:val="none" w:sz="0" w:space="0" w:color="auto"/>
            <w:right w:val="none" w:sz="0" w:space="0" w:color="auto"/>
          </w:divBdr>
          <w:divsChild>
            <w:div w:id="82116779">
              <w:marLeft w:val="0"/>
              <w:marRight w:val="0"/>
              <w:marTop w:val="0"/>
              <w:marBottom w:val="0"/>
              <w:divBdr>
                <w:top w:val="none" w:sz="0" w:space="0" w:color="auto"/>
                <w:left w:val="none" w:sz="0" w:space="0" w:color="auto"/>
                <w:bottom w:val="none" w:sz="0" w:space="0" w:color="auto"/>
                <w:right w:val="none" w:sz="0" w:space="0" w:color="auto"/>
              </w:divBdr>
            </w:div>
          </w:divsChild>
        </w:div>
        <w:div w:id="871914576">
          <w:marLeft w:val="0"/>
          <w:marRight w:val="0"/>
          <w:marTop w:val="0"/>
          <w:marBottom w:val="0"/>
          <w:divBdr>
            <w:top w:val="none" w:sz="0" w:space="0" w:color="auto"/>
            <w:left w:val="none" w:sz="0" w:space="0" w:color="auto"/>
            <w:bottom w:val="none" w:sz="0" w:space="0" w:color="auto"/>
            <w:right w:val="none" w:sz="0" w:space="0" w:color="auto"/>
          </w:divBdr>
          <w:divsChild>
            <w:div w:id="1831679855">
              <w:marLeft w:val="0"/>
              <w:marRight w:val="0"/>
              <w:marTop w:val="0"/>
              <w:marBottom w:val="0"/>
              <w:divBdr>
                <w:top w:val="none" w:sz="0" w:space="0" w:color="auto"/>
                <w:left w:val="none" w:sz="0" w:space="0" w:color="auto"/>
                <w:bottom w:val="none" w:sz="0" w:space="0" w:color="auto"/>
                <w:right w:val="none" w:sz="0" w:space="0" w:color="auto"/>
              </w:divBdr>
            </w:div>
          </w:divsChild>
        </w:div>
        <w:div w:id="877008510">
          <w:marLeft w:val="0"/>
          <w:marRight w:val="0"/>
          <w:marTop w:val="0"/>
          <w:marBottom w:val="0"/>
          <w:divBdr>
            <w:top w:val="none" w:sz="0" w:space="0" w:color="auto"/>
            <w:left w:val="none" w:sz="0" w:space="0" w:color="auto"/>
            <w:bottom w:val="none" w:sz="0" w:space="0" w:color="auto"/>
            <w:right w:val="none" w:sz="0" w:space="0" w:color="auto"/>
          </w:divBdr>
          <w:divsChild>
            <w:div w:id="1780294533">
              <w:marLeft w:val="0"/>
              <w:marRight w:val="0"/>
              <w:marTop w:val="0"/>
              <w:marBottom w:val="0"/>
              <w:divBdr>
                <w:top w:val="none" w:sz="0" w:space="0" w:color="auto"/>
                <w:left w:val="none" w:sz="0" w:space="0" w:color="auto"/>
                <w:bottom w:val="none" w:sz="0" w:space="0" w:color="auto"/>
                <w:right w:val="none" w:sz="0" w:space="0" w:color="auto"/>
              </w:divBdr>
            </w:div>
          </w:divsChild>
        </w:div>
        <w:div w:id="927617874">
          <w:marLeft w:val="0"/>
          <w:marRight w:val="0"/>
          <w:marTop w:val="0"/>
          <w:marBottom w:val="0"/>
          <w:divBdr>
            <w:top w:val="none" w:sz="0" w:space="0" w:color="auto"/>
            <w:left w:val="none" w:sz="0" w:space="0" w:color="auto"/>
            <w:bottom w:val="none" w:sz="0" w:space="0" w:color="auto"/>
            <w:right w:val="none" w:sz="0" w:space="0" w:color="auto"/>
          </w:divBdr>
          <w:divsChild>
            <w:div w:id="922489038">
              <w:marLeft w:val="0"/>
              <w:marRight w:val="0"/>
              <w:marTop w:val="0"/>
              <w:marBottom w:val="0"/>
              <w:divBdr>
                <w:top w:val="none" w:sz="0" w:space="0" w:color="auto"/>
                <w:left w:val="none" w:sz="0" w:space="0" w:color="auto"/>
                <w:bottom w:val="none" w:sz="0" w:space="0" w:color="auto"/>
                <w:right w:val="none" w:sz="0" w:space="0" w:color="auto"/>
              </w:divBdr>
            </w:div>
          </w:divsChild>
        </w:div>
        <w:div w:id="1043140328">
          <w:marLeft w:val="0"/>
          <w:marRight w:val="0"/>
          <w:marTop w:val="0"/>
          <w:marBottom w:val="0"/>
          <w:divBdr>
            <w:top w:val="none" w:sz="0" w:space="0" w:color="auto"/>
            <w:left w:val="none" w:sz="0" w:space="0" w:color="auto"/>
            <w:bottom w:val="none" w:sz="0" w:space="0" w:color="auto"/>
            <w:right w:val="none" w:sz="0" w:space="0" w:color="auto"/>
          </w:divBdr>
          <w:divsChild>
            <w:div w:id="1207453209">
              <w:marLeft w:val="0"/>
              <w:marRight w:val="0"/>
              <w:marTop w:val="0"/>
              <w:marBottom w:val="0"/>
              <w:divBdr>
                <w:top w:val="none" w:sz="0" w:space="0" w:color="auto"/>
                <w:left w:val="none" w:sz="0" w:space="0" w:color="auto"/>
                <w:bottom w:val="none" w:sz="0" w:space="0" w:color="auto"/>
                <w:right w:val="none" w:sz="0" w:space="0" w:color="auto"/>
              </w:divBdr>
            </w:div>
          </w:divsChild>
        </w:div>
        <w:div w:id="1049768369">
          <w:marLeft w:val="0"/>
          <w:marRight w:val="0"/>
          <w:marTop w:val="0"/>
          <w:marBottom w:val="0"/>
          <w:divBdr>
            <w:top w:val="none" w:sz="0" w:space="0" w:color="auto"/>
            <w:left w:val="none" w:sz="0" w:space="0" w:color="auto"/>
            <w:bottom w:val="none" w:sz="0" w:space="0" w:color="auto"/>
            <w:right w:val="none" w:sz="0" w:space="0" w:color="auto"/>
          </w:divBdr>
          <w:divsChild>
            <w:div w:id="864831675">
              <w:marLeft w:val="0"/>
              <w:marRight w:val="0"/>
              <w:marTop w:val="0"/>
              <w:marBottom w:val="0"/>
              <w:divBdr>
                <w:top w:val="none" w:sz="0" w:space="0" w:color="auto"/>
                <w:left w:val="none" w:sz="0" w:space="0" w:color="auto"/>
                <w:bottom w:val="none" w:sz="0" w:space="0" w:color="auto"/>
                <w:right w:val="none" w:sz="0" w:space="0" w:color="auto"/>
              </w:divBdr>
            </w:div>
          </w:divsChild>
        </w:div>
        <w:div w:id="1102456569">
          <w:marLeft w:val="0"/>
          <w:marRight w:val="0"/>
          <w:marTop w:val="0"/>
          <w:marBottom w:val="0"/>
          <w:divBdr>
            <w:top w:val="none" w:sz="0" w:space="0" w:color="auto"/>
            <w:left w:val="none" w:sz="0" w:space="0" w:color="auto"/>
            <w:bottom w:val="none" w:sz="0" w:space="0" w:color="auto"/>
            <w:right w:val="none" w:sz="0" w:space="0" w:color="auto"/>
          </w:divBdr>
          <w:divsChild>
            <w:div w:id="1204635361">
              <w:marLeft w:val="0"/>
              <w:marRight w:val="0"/>
              <w:marTop w:val="0"/>
              <w:marBottom w:val="0"/>
              <w:divBdr>
                <w:top w:val="none" w:sz="0" w:space="0" w:color="auto"/>
                <w:left w:val="none" w:sz="0" w:space="0" w:color="auto"/>
                <w:bottom w:val="none" w:sz="0" w:space="0" w:color="auto"/>
                <w:right w:val="none" w:sz="0" w:space="0" w:color="auto"/>
              </w:divBdr>
            </w:div>
          </w:divsChild>
        </w:div>
        <w:div w:id="1112240424">
          <w:marLeft w:val="0"/>
          <w:marRight w:val="0"/>
          <w:marTop w:val="0"/>
          <w:marBottom w:val="0"/>
          <w:divBdr>
            <w:top w:val="none" w:sz="0" w:space="0" w:color="auto"/>
            <w:left w:val="none" w:sz="0" w:space="0" w:color="auto"/>
            <w:bottom w:val="none" w:sz="0" w:space="0" w:color="auto"/>
            <w:right w:val="none" w:sz="0" w:space="0" w:color="auto"/>
          </w:divBdr>
          <w:divsChild>
            <w:div w:id="1355157990">
              <w:marLeft w:val="0"/>
              <w:marRight w:val="0"/>
              <w:marTop w:val="0"/>
              <w:marBottom w:val="0"/>
              <w:divBdr>
                <w:top w:val="none" w:sz="0" w:space="0" w:color="auto"/>
                <w:left w:val="none" w:sz="0" w:space="0" w:color="auto"/>
                <w:bottom w:val="none" w:sz="0" w:space="0" w:color="auto"/>
                <w:right w:val="none" w:sz="0" w:space="0" w:color="auto"/>
              </w:divBdr>
            </w:div>
          </w:divsChild>
        </w:div>
        <w:div w:id="1134248785">
          <w:marLeft w:val="0"/>
          <w:marRight w:val="0"/>
          <w:marTop w:val="0"/>
          <w:marBottom w:val="0"/>
          <w:divBdr>
            <w:top w:val="none" w:sz="0" w:space="0" w:color="auto"/>
            <w:left w:val="none" w:sz="0" w:space="0" w:color="auto"/>
            <w:bottom w:val="none" w:sz="0" w:space="0" w:color="auto"/>
            <w:right w:val="none" w:sz="0" w:space="0" w:color="auto"/>
          </w:divBdr>
          <w:divsChild>
            <w:div w:id="2135295468">
              <w:marLeft w:val="0"/>
              <w:marRight w:val="0"/>
              <w:marTop w:val="0"/>
              <w:marBottom w:val="0"/>
              <w:divBdr>
                <w:top w:val="none" w:sz="0" w:space="0" w:color="auto"/>
                <w:left w:val="none" w:sz="0" w:space="0" w:color="auto"/>
                <w:bottom w:val="none" w:sz="0" w:space="0" w:color="auto"/>
                <w:right w:val="none" w:sz="0" w:space="0" w:color="auto"/>
              </w:divBdr>
            </w:div>
          </w:divsChild>
        </w:div>
        <w:div w:id="1194418979">
          <w:marLeft w:val="0"/>
          <w:marRight w:val="0"/>
          <w:marTop w:val="0"/>
          <w:marBottom w:val="0"/>
          <w:divBdr>
            <w:top w:val="none" w:sz="0" w:space="0" w:color="auto"/>
            <w:left w:val="none" w:sz="0" w:space="0" w:color="auto"/>
            <w:bottom w:val="none" w:sz="0" w:space="0" w:color="auto"/>
            <w:right w:val="none" w:sz="0" w:space="0" w:color="auto"/>
          </w:divBdr>
          <w:divsChild>
            <w:div w:id="289361343">
              <w:marLeft w:val="0"/>
              <w:marRight w:val="0"/>
              <w:marTop w:val="0"/>
              <w:marBottom w:val="0"/>
              <w:divBdr>
                <w:top w:val="none" w:sz="0" w:space="0" w:color="auto"/>
                <w:left w:val="none" w:sz="0" w:space="0" w:color="auto"/>
                <w:bottom w:val="none" w:sz="0" w:space="0" w:color="auto"/>
                <w:right w:val="none" w:sz="0" w:space="0" w:color="auto"/>
              </w:divBdr>
            </w:div>
          </w:divsChild>
        </w:div>
        <w:div w:id="1200823347">
          <w:marLeft w:val="0"/>
          <w:marRight w:val="0"/>
          <w:marTop w:val="0"/>
          <w:marBottom w:val="0"/>
          <w:divBdr>
            <w:top w:val="none" w:sz="0" w:space="0" w:color="auto"/>
            <w:left w:val="none" w:sz="0" w:space="0" w:color="auto"/>
            <w:bottom w:val="none" w:sz="0" w:space="0" w:color="auto"/>
            <w:right w:val="none" w:sz="0" w:space="0" w:color="auto"/>
          </w:divBdr>
          <w:divsChild>
            <w:div w:id="668798905">
              <w:marLeft w:val="0"/>
              <w:marRight w:val="0"/>
              <w:marTop w:val="0"/>
              <w:marBottom w:val="0"/>
              <w:divBdr>
                <w:top w:val="none" w:sz="0" w:space="0" w:color="auto"/>
                <w:left w:val="none" w:sz="0" w:space="0" w:color="auto"/>
                <w:bottom w:val="none" w:sz="0" w:space="0" w:color="auto"/>
                <w:right w:val="none" w:sz="0" w:space="0" w:color="auto"/>
              </w:divBdr>
            </w:div>
          </w:divsChild>
        </w:div>
        <w:div w:id="1210261841">
          <w:marLeft w:val="0"/>
          <w:marRight w:val="0"/>
          <w:marTop w:val="0"/>
          <w:marBottom w:val="0"/>
          <w:divBdr>
            <w:top w:val="none" w:sz="0" w:space="0" w:color="auto"/>
            <w:left w:val="none" w:sz="0" w:space="0" w:color="auto"/>
            <w:bottom w:val="none" w:sz="0" w:space="0" w:color="auto"/>
            <w:right w:val="none" w:sz="0" w:space="0" w:color="auto"/>
          </w:divBdr>
          <w:divsChild>
            <w:div w:id="1090852200">
              <w:marLeft w:val="0"/>
              <w:marRight w:val="0"/>
              <w:marTop w:val="0"/>
              <w:marBottom w:val="0"/>
              <w:divBdr>
                <w:top w:val="none" w:sz="0" w:space="0" w:color="auto"/>
                <w:left w:val="none" w:sz="0" w:space="0" w:color="auto"/>
                <w:bottom w:val="none" w:sz="0" w:space="0" w:color="auto"/>
                <w:right w:val="none" w:sz="0" w:space="0" w:color="auto"/>
              </w:divBdr>
            </w:div>
          </w:divsChild>
        </w:div>
        <w:div w:id="1235748046">
          <w:marLeft w:val="0"/>
          <w:marRight w:val="0"/>
          <w:marTop w:val="0"/>
          <w:marBottom w:val="0"/>
          <w:divBdr>
            <w:top w:val="none" w:sz="0" w:space="0" w:color="auto"/>
            <w:left w:val="none" w:sz="0" w:space="0" w:color="auto"/>
            <w:bottom w:val="none" w:sz="0" w:space="0" w:color="auto"/>
            <w:right w:val="none" w:sz="0" w:space="0" w:color="auto"/>
          </w:divBdr>
          <w:divsChild>
            <w:div w:id="847134966">
              <w:marLeft w:val="0"/>
              <w:marRight w:val="0"/>
              <w:marTop w:val="0"/>
              <w:marBottom w:val="0"/>
              <w:divBdr>
                <w:top w:val="none" w:sz="0" w:space="0" w:color="auto"/>
                <w:left w:val="none" w:sz="0" w:space="0" w:color="auto"/>
                <w:bottom w:val="none" w:sz="0" w:space="0" w:color="auto"/>
                <w:right w:val="none" w:sz="0" w:space="0" w:color="auto"/>
              </w:divBdr>
            </w:div>
          </w:divsChild>
        </w:div>
        <w:div w:id="1268781075">
          <w:marLeft w:val="0"/>
          <w:marRight w:val="0"/>
          <w:marTop w:val="0"/>
          <w:marBottom w:val="0"/>
          <w:divBdr>
            <w:top w:val="none" w:sz="0" w:space="0" w:color="auto"/>
            <w:left w:val="none" w:sz="0" w:space="0" w:color="auto"/>
            <w:bottom w:val="none" w:sz="0" w:space="0" w:color="auto"/>
            <w:right w:val="none" w:sz="0" w:space="0" w:color="auto"/>
          </w:divBdr>
          <w:divsChild>
            <w:div w:id="1710177820">
              <w:marLeft w:val="0"/>
              <w:marRight w:val="0"/>
              <w:marTop w:val="0"/>
              <w:marBottom w:val="0"/>
              <w:divBdr>
                <w:top w:val="none" w:sz="0" w:space="0" w:color="auto"/>
                <w:left w:val="none" w:sz="0" w:space="0" w:color="auto"/>
                <w:bottom w:val="none" w:sz="0" w:space="0" w:color="auto"/>
                <w:right w:val="none" w:sz="0" w:space="0" w:color="auto"/>
              </w:divBdr>
            </w:div>
          </w:divsChild>
        </w:div>
        <w:div w:id="1284460800">
          <w:marLeft w:val="0"/>
          <w:marRight w:val="0"/>
          <w:marTop w:val="0"/>
          <w:marBottom w:val="0"/>
          <w:divBdr>
            <w:top w:val="none" w:sz="0" w:space="0" w:color="auto"/>
            <w:left w:val="none" w:sz="0" w:space="0" w:color="auto"/>
            <w:bottom w:val="none" w:sz="0" w:space="0" w:color="auto"/>
            <w:right w:val="none" w:sz="0" w:space="0" w:color="auto"/>
          </w:divBdr>
          <w:divsChild>
            <w:div w:id="1513304440">
              <w:marLeft w:val="0"/>
              <w:marRight w:val="0"/>
              <w:marTop w:val="0"/>
              <w:marBottom w:val="0"/>
              <w:divBdr>
                <w:top w:val="none" w:sz="0" w:space="0" w:color="auto"/>
                <w:left w:val="none" w:sz="0" w:space="0" w:color="auto"/>
                <w:bottom w:val="none" w:sz="0" w:space="0" w:color="auto"/>
                <w:right w:val="none" w:sz="0" w:space="0" w:color="auto"/>
              </w:divBdr>
            </w:div>
          </w:divsChild>
        </w:div>
        <w:div w:id="1321806399">
          <w:marLeft w:val="0"/>
          <w:marRight w:val="0"/>
          <w:marTop w:val="0"/>
          <w:marBottom w:val="0"/>
          <w:divBdr>
            <w:top w:val="none" w:sz="0" w:space="0" w:color="auto"/>
            <w:left w:val="none" w:sz="0" w:space="0" w:color="auto"/>
            <w:bottom w:val="none" w:sz="0" w:space="0" w:color="auto"/>
            <w:right w:val="none" w:sz="0" w:space="0" w:color="auto"/>
          </w:divBdr>
          <w:divsChild>
            <w:div w:id="1305307302">
              <w:marLeft w:val="0"/>
              <w:marRight w:val="0"/>
              <w:marTop w:val="0"/>
              <w:marBottom w:val="0"/>
              <w:divBdr>
                <w:top w:val="none" w:sz="0" w:space="0" w:color="auto"/>
                <w:left w:val="none" w:sz="0" w:space="0" w:color="auto"/>
                <w:bottom w:val="none" w:sz="0" w:space="0" w:color="auto"/>
                <w:right w:val="none" w:sz="0" w:space="0" w:color="auto"/>
              </w:divBdr>
            </w:div>
          </w:divsChild>
        </w:div>
        <w:div w:id="1324433294">
          <w:marLeft w:val="0"/>
          <w:marRight w:val="0"/>
          <w:marTop w:val="0"/>
          <w:marBottom w:val="0"/>
          <w:divBdr>
            <w:top w:val="none" w:sz="0" w:space="0" w:color="auto"/>
            <w:left w:val="none" w:sz="0" w:space="0" w:color="auto"/>
            <w:bottom w:val="none" w:sz="0" w:space="0" w:color="auto"/>
            <w:right w:val="none" w:sz="0" w:space="0" w:color="auto"/>
          </w:divBdr>
          <w:divsChild>
            <w:div w:id="1995453736">
              <w:marLeft w:val="0"/>
              <w:marRight w:val="0"/>
              <w:marTop w:val="0"/>
              <w:marBottom w:val="0"/>
              <w:divBdr>
                <w:top w:val="none" w:sz="0" w:space="0" w:color="auto"/>
                <w:left w:val="none" w:sz="0" w:space="0" w:color="auto"/>
                <w:bottom w:val="none" w:sz="0" w:space="0" w:color="auto"/>
                <w:right w:val="none" w:sz="0" w:space="0" w:color="auto"/>
              </w:divBdr>
            </w:div>
          </w:divsChild>
        </w:div>
        <w:div w:id="1369720228">
          <w:marLeft w:val="0"/>
          <w:marRight w:val="0"/>
          <w:marTop w:val="0"/>
          <w:marBottom w:val="0"/>
          <w:divBdr>
            <w:top w:val="none" w:sz="0" w:space="0" w:color="auto"/>
            <w:left w:val="none" w:sz="0" w:space="0" w:color="auto"/>
            <w:bottom w:val="none" w:sz="0" w:space="0" w:color="auto"/>
            <w:right w:val="none" w:sz="0" w:space="0" w:color="auto"/>
          </w:divBdr>
          <w:divsChild>
            <w:div w:id="1319578639">
              <w:marLeft w:val="0"/>
              <w:marRight w:val="0"/>
              <w:marTop w:val="0"/>
              <w:marBottom w:val="0"/>
              <w:divBdr>
                <w:top w:val="none" w:sz="0" w:space="0" w:color="auto"/>
                <w:left w:val="none" w:sz="0" w:space="0" w:color="auto"/>
                <w:bottom w:val="none" w:sz="0" w:space="0" w:color="auto"/>
                <w:right w:val="none" w:sz="0" w:space="0" w:color="auto"/>
              </w:divBdr>
            </w:div>
          </w:divsChild>
        </w:div>
        <w:div w:id="1382822540">
          <w:marLeft w:val="0"/>
          <w:marRight w:val="0"/>
          <w:marTop w:val="0"/>
          <w:marBottom w:val="0"/>
          <w:divBdr>
            <w:top w:val="none" w:sz="0" w:space="0" w:color="auto"/>
            <w:left w:val="none" w:sz="0" w:space="0" w:color="auto"/>
            <w:bottom w:val="none" w:sz="0" w:space="0" w:color="auto"/>
            <w:right w:val="none" w:sz="0" w:space="0" w:color="auto"/>
          </w:divBdr>
          <w:divsChild>
            <w:div w:id="951399923">
              <w:marLeft w:val="0"/>
              <w:marRight w:val="0"/>
              <w:marTop w:val="0"/>
              <w:marBottom w:val="0"/>
              <w:divBdr>
                <w:top w:val="none" w:sz="0" w:space="0" w:color="auto"/>
                <w:left w:val="none" w:sz="0" w:space="0" w:color="auto"/>
                <w:bottom w:val="none" w:sz="0" w:space="0" w:color="auto"/>
                <w:right w:val="none" w:sz="0" w:space="0" w:color="auto"/>
              </w:divBdr>
            </w:div>
          </w:divsChild>
        </w:div>
        <w:div w:id="1425414045">
          <w:marLeft w:val="0"/>
          <w:marRight w:val="0"/>
          <w:marTop w:val="0"/>
          <w:marBottom w:val="0"/>
          <w:divBdr>
            <w:top w:val="none" w:sz="0" w:space="0" w:color="auto"/>
            <w:left w:val="none" w:sz="0" w:space="0" w:color="auto"/>
            <w:bottom w:val="none" w:sz="0" w:space="0" w:color="auto"/>
            <w:right w:val="none" w:sz="0" w:space="0" w:color="auto"/>
          </w:divBdr>
          <w:divsChild>
            <w:div w:id="717438342">
              <w:marLeft w:val="0"/>
              <w:marRight w:val="0"/>
              <w:marTop w:val="0"/>
              <w:marBottom w:val="0"/>
              <w:divBdr>
                <w:top w:val="none" w:sz="0" w:space="0" w:color="auto"/>
                <w:left w:val="none" w:sz="0" w:space="0" w:color="auto"/>
                <w:bottom w:val="none" w:sz="0" w:space="0" w:color="auto"/>
                <w:right w:val="none" w:sz="0" w:space="0" w:color="auto"/>
              </w:divBdr>
            </w:div>
          </w:divsChild>
        </w:div>
        <w:div w:id="1508906278">
          <w:marLeft w:val="0"/>
          <w:marRight w:val="0"/>
          <w:marTop w:val="0"/>
          <w:marBottom w:val="0"/>
          <w:divBdr>
            <w:top w:val="none" w:sz="0" w:space="0" w:color="auto"/>
            <w:left w:val="none" w:sz="0" w:space="0" w:color="auto"/>
            <w:bottom w:val="none" w:sz="0" w:space="0" w:color="auto"/>
            <w:right w:val="none" w:sz="0" w:space="0" w:color="auto"/>
          </w:divBdr>
          <w:divsChild>
            <w:div w:id="127432698">
              <w:marLeft w:val="0"/>
              <w:marRight w:val="0"/>
              <w:marTop w:val="0"/>
              <w:marBottom w:val="0"/>
              <w:divBdr>
                <w:top w:val="none" w:sz="0" w:space="0" w:color="auto"/>
                <w:left w:val="none" w:sz="0" w:space="0" w:color="auto"/>
                <w:bottom w:val="none" w:sz="0" w:space="0" w:color="auto"/>
                <w:right w:val="none" w:sz="0" w:space="0" w:color="auto"/>
              </w:divBdr>
            </w:div>
          </w:divsChild>
        </w:div>
        <w:div w:id="1521119950">
          <w:marLeft w:val="0"/>
          <w:marRight w:val="0"/>
          <w:marTop w:val="0"/>
          <w:marBottom w:val="0"/>
          <w:divBdr>
            <w:top w:val="none" w:sz="0" w:space="0" w:color="auto"/>
            <w:left w:val="none" w:sz="0" w:space="0" w:color="auto"/>
            <w:bottom w:val="none" w:sz="0" w:space="0" w:color="auto"/>
            <w:right w:val="none" w:sz="0" w:space="0" w:color="auto"/>
          </w:divBdr>
          <w:divsChild>
            <w:div w:id="1464421330">
              <w:marLeft w:val="0"/>
              <w:marRight w:val="0"/>
              <w:marTop w:val="0"/>
              <w:marBottom w:val="0"/>
              <w:divBdr>
                <w:top w:val="none" w:sz="0" w:space="0" w:color="auto"/>
                <w:left w:val="none" w:sz="0" w:space="0" w:color="auto"/>
                <w:bottom w:val="none" w:sz="0" w:space="0" w:color="auto"/>
                <w:right w:val="none" w:sz="0" w:space="0" w:color="auto"/>
              </w:divBdr>
            </w:div>
          </w:divsChild>
        </w:div>
        <w:div w:id="1540360142">
          <w:marLeft w:val="0"/>
          <w:marRight w:val="0"/>
          <w:marTop w:val="0"/>
          <w:marBottom w:val="0"/>
          <w:divBdr>
            <w:top w:val="none" w:sz="0" w:space="0" w:color="auto"/>
            <w:left w:val="none" w:sz="0" w:space="0" w:color="auto"/>
            <w:bottom w:val="none" w:sz="0" w:space="0" w:color="auto"/>
            <w:right w:val="none" w:sz="0" w:space="0" w:color="auto"/>
          </w:divBdr>
          <w:divsChild>
            <w:div w:id="1088773442">
              <w:marLeft w:val="0"/>
              <w:marRight w:val="0"/>
              <w:marTop w:val="0"/>
              <w:marBottom w:val="0"/>
              <w:divBdr>
                <w:top w:val="none" w:sz="0" w:space="0" w:color="auto"/>
                <w:left w:val="none" w:sz="0" w:space="0" w:color="auto"/>
                <w:bottom w:val="none" w:sz="0" w:space="0" w:color="auto"/>
                <w:right w:val="none" w:sz="0" w:space="0" w:color="auto"/>
              </w:divBdr>
            </w:div>
          </w:divsChild>
        </w:div>
        <w:div w:id="1544362100">
          <w:marLeft w:val="0"/>
          <w:marRight w:val="0"/>
          <w:marTop w:val="0"/>
          <w:marBottom w:val="0"/>
          <w:divBdr>
            <w:top w:val="none" w:sz="0" w:space="0" w:color="auto"/>
            <w:left w:val="none" w:sz="0" w:space="0" w:color="auto"/>
            <w:bottom w:val="none" w:sz="0" w:space="0" w:color="auto"/>
            <w:right w:val="none" w:sz="0" w:space="0" w:color="auto"/>
          </w:divBdr>
          <w:divsChild>
            <w:div w:id="919339237">
              <w:marLeft w:val="0"/>
              <w:marRight w:val="0"/>
              <w:marTop w:val="0"/>
              <w:marBottom w:val="0"/>
              <w:divBdr>
                <w:top w:val="none" w:sz="0" w:space="0" w:color="auto"/>
                <w:left w:val="none" w:sz="0" w:space="0" w:color="auto"/>
                <w:bottom w:val="none" w:sz="0" w:space="0" w:color="auto"/>
                <w:right w:val="none" w:sz="0" w:space="0" w:color="auto"/>
              </w:divBdr>
            </w:div>
          </w:divsChild>
        </w:div>
        <w:div w:id="1545829129">
          <w:marLeft w:val="0"/>
          <w:marRight w:val="0"/>
          <w:marTop w:val="0"/>
          <w:marBottom w:val="0"/>
          <w:divBdr>
            <w:top w:val="none" w:sz="0" w:space="0" w:color="auto"/>
            <w:left w:val="none" w:sz="0" w:space="0" w:color="auto"/>
            <w:bottom w:val="none" w:sz="0" w:space="0" w:color="auto"/>
            <w:right w:val="none" w:sz="0" w:space="0" w:color="auto"/>
          </w:divBdr>
          <w:divsChild>
            <w:div w:id="1577393630">
              <w:marLeft w:val="0"/>
              <w:marRight w:val="0"/>
              <w:marTop w:val="0"/>
              <w:marBottom w:val="0"/>
              <w:divBdr>
                <w:top w:val="none" w:sz="0" w:space="0" w:color="auto"/>
                <w:left w:val="none" w:sz="0" w:space="0" w:color="auto"/>
                <w:bottom w:val="none" w:sz="0" w:space="0" w:color="auto"/>
                <w:right w:val="none" w:sz="0" w:space="0" w:color="auto"/>
              </w:divBdr>
            </w:div>
          </w:divsChild>
        </w:div>
        <w:div w:id="1587615307">
          <w:marLeft w:val="0"/>
          <w:marRight w:val="0"/>
          <w:marTop w:val="0"/>
          <w:marBottom w:val="0"/>
          <w:divBdr>
            <w:top w:val="none" w:sz="0" w:space="0" w:color="auto"/>
            <w:left w:val="none" w:sz="0" w:space="0" w:color="auto"/>
            <w:bottom w:val="none" w:sz="0" w:space="0" w:color="auto"/>
            <w:right w:val="none" w:sz="0" w:space="0" w:color="auto"/>
          </w:divBdr>
          <w:divsChild>
            <w:div w:id="2082293901">
              <w:marLeft w:val="0"/>
              <w:marRight w:val="0"/>
              <w:marTop w:val="0"/>
              <w:marBottom w:val="0"/>
              <w:divBdr>
                <w:top w:val="none" w:sz="0" w:space="0" w:color="auto"/>
                <w:left w:val="none" w:sz="0" w:space="0" w:color="auto"/>
                <w:bottom w:val="none" w:sz="0" w:space="0" w:color="auto"/>
                <w:right w:val="none" w:sz="0" w:space="0" w:color="auto"/>
              </w:divBdr>
            </w:div>
          </w:divsChild>
        </w:div>
        <w:div w:id="1600336546">
          <w:marLeft w:val="0"/>
          <w:marRight w:val="0"/>
          <w:marTop w:val="0"/>
          <w:marBottom w:val="0"/>
          <w:divBdr>
            <w:top w:val="none" w:sz="0" w:space="0" w:color="auto"/>
            <w:left w:val="none" w:sz="0" w:space="0" w:color="auto"/>
            <w:bottom w:val="none" w:sz="0" w:space="0" w:color="auto"/>
            <w:right w:val="none" w:sz="0" w:space="0" w:color="auto"/>
          </w:divBdr>
          <w:divsChild>
            <w:div w:id="1521817787">
              <w:marLeft w:val="0"/>
              <w:marRight w:val="0"/>
              <w:marTop w:val="0"/>
              <w:marBottom w:val="0"/>
              <w:divBdr>
                <w:top w:val="none" w:sz="0" w:space="0" w:color="auto"/>
                <w:left w:val="none" w:sz="0" w:space="0" w:color="auto"/>
                <w:bottom w:val="none" w:sz="0" w:space="0" w:color="auto"/>
                <w:right w:val="none" w:sz="0" w:space="0" w:color="auto"/>
              </w:divBdr>
            </w:div>
          </w:divsChild>
        </w:div>
        <w:div w:id="1631786067">
          <w:marLeft w:val="0"/>
          <w:marRight w:val="0"/>
          <w:marTop w:val="0"/>
          <w:marBottom w:val="0"/>
          <w:divBdr>
            <w:top w:val="none" w:sz="0" w:space="0" w:color="auto"/>
            <w:left w:val="none" w:sz="0" w:space="0" w:color="auto"/>
            <w:bottom w:val="none" w:sz="0" w:space="0" w:color="auto"/>
            <w:right w:val="none" w:sz="0" w:space="0" w:color="auto"/>
          </w:divBdr>
          <w:divsChild>
            <w:div w:id="1494487597">
              <w:marLeft w:val="0"/>
              <w:marRight w:val="0"/>
              <w:marTop w:val="0"/>
              <w:marBottom w:val="0"/>
              <w:divBdr>
                <w:top w:val="none" w:sz="0" w:space="0" w:color="auto"/>
                <w:left w:val="none" w:sz="0" w:space="0" w:color="auto"/>
                <w:bottom w:val="none" w:sz="0" w:space="0" w:color="auto"/>
                <w:right w:val="none" w:sz="0" w:space="0" w:color="auto"/>
              </w:divBdr>
            </w:div>
          </w:divsChild>
        </w:div>
        <w:div w:id="1640188289">
          <w:marLeft w:val="0"/>
          <w:marRight w:val="0"/>
          <w:marTop w:val="0"/>
          <w:marBottom w:val="0"/>
          <w:divBdr>
            <w:top w:val="none" w:sz="0" w:space="0" w:color="auto"/>
            <w:left w:val="none" w:sz="0" w:space="0" w:color="auto"/>
            <w:bottom w:val="none" w:sz="0" w:space="0" w:color="auto"/>
            <w:right w:val="none" w:sz="0" w:space="0" w:color="auto"/>
          </w:divBdr>
          <w:divsChild>
            <w:div w:id="306007979">
              <w:marLeft w:val="0"/>
              <w:marRight w:val="0"/>
              <w:marTop w:val="0"/>
              <w:marBottom w:val="0"/>
              <w:divBdr>
                <w:top w:val="none" w:sz="0" w:space="0" w:color="auto"/>
                <w:left w:val="none" w:sz="0" w:space="0" w:color="auto"/>
                <w:bottom w:val="none" w:sz="0" w:space="0" w:color="auto"/>
                <w:right w:val="none" w:sz="0" w:space="0" w:color="auto"/>
              </w:divBdr>
            </w:div>
          </w:divsChild>
        </w:div>
        <w:div w:id="1699770540">
          <w:marLeft w:val="0"/>
          <w:marRight w:val="0"/>
          <w:marTop w:val="0"/>
          <w:marBottom w:val="0"/>
          <w:divBdr>
            <w:top w:val="none" w:sz="0" w:space="0" w:color="auto"/>
            <w:left w:val="none" w:sz="0" w:space="0" w:color="auto"/>
            <w:bottom w:val="none" w:sz="0" w:space="0" w:color="auto"/>
            <w:right w:val="none" w:sz="0" w:space="0" w:color="auto"/>
          </w:divBdr>
          <w:divsChild>
            <w:div w:id="584387207">
              <w:marLeft w:val="0"/>
              <w:marRight w:val="0"/>
              <w:marTop w:val="0"/>
              <w:marBottom w:val="0"/>
              <w:divBdr>
                <w:top w:val="none" w:sz="0" w:space="0" w:color="auto"/>
                <w:left w:val="none" w:sz="0" w:space="0" w:color="auto"/>
                <w:bottom w:val="none" w:sz="0" w:space="0" w:color="auto"/>
                <w:right w:val="none" w:sz="0" w:space="0" w:color="auto"/>
              </w:divBdr>
            </w:div>
          </w:divsChild>
        </w:div>
        <w:div w:id="1839996866">
          <w:marLeft w:val="0"/>
          <w:marRight w:val="0"/>
          <w:marTop w:val="0"/>
          <w:marBottom w:val="0"/>
          <w:divBdr>
            <w:top w:val="none" w:sz="0" w:space="0" w:color="auto"/>
            <w:left w:val="none" w:sz="0" w:space="0" w:color="auto"/>
            <w:bottom w:val="none" w:sz="0" w:space="0" w:color="auto"/>
            <w:right w:val="none" w:sz="0" w:space="0" w:color="auto"/>
          </w:divBdr>
          <w:divsChild>
            <w:div w:id="1420442190">
              <w:marLeft w:val="0"/>
              <w:marRight w:val="0"/>
              <w:marTop w:val="0"/>
              <w:marBottom w:val="0"/>
              <w:divBdr>
                <w:top w:val="none" w:sz="0" w:space="0" w:color="auto"/>
                <w:left w:val="none" w:sz="0" w:space="0" w:color="auto"/>
                <w:bottom w:val="none" w:sz="0" w:space="0" w:color="auto"/>
                <w:right w:val="none" w:sz="0" w:space="0" w:color="auto"/>
              </w:divBdr>
            </w:div>
          </w:divsChild>
        </w:div>
        <w:div w:id="1878661998">
          <w:marLeft w:val="0"/>
          <w:marRight w:val="0"/>
          <w:marTop w:val="0"/>
          <w:marBottom w:val="0"/>
          <w:divBdr>
            <w:top w:val="none" w:sz="0" w:space="0" w:color="auto"/>
            <w:left w:val="none" w:sz="0" w:space="0" w:color="auto"/>
            <w:bottom w:val="none" w:sz="0" w:space="0" w:color="auto"/>
            <w:right w:val="none" w:sz="0" w:space="0" w:color="auto"/>
          </w:divBdr>
          <w:divsChild>
            <w:div w:id="1918854217">
              <w:marLeft w:val="0"/>
              <w:marRight w:val="0"/>
              <w:marTop w:val="0"/>
              <w:marBottom w:val="0"/>
              <w:divBdr>
                <w:top w:val="none" w:sz="0" w:space="0" w:color="auto"/>
                <w:left w:val="none" w:sz="0" w:space="0" w:color="auto"/>
                <w:bottom w:val="none" w:sz="0" w:space="0" w:color="auto"/>
                <w:right w:val="none" w:sz="0" w:space="0" w:color="auto"/>
              </w:divBdr>
            </w:div>
            <w:div w:id="2048488923">
              <w:marLeft w:val="0"/>
              <w:marRight w:val="0"/>
              <w:marTop w:val="0"/>
              <w:marBottom w:val="0"/>
              <w:divBdr>
                <w:top w:val="none" w:sz="0" w:space="0" w:color="auto"/>
                <w:left w:val="none" w:sz="0" w:space="0" w:color="auto"/>
                <w:bottom w:val="none" w:sz="0" w:space="0" w:color="auto"/>
                <w:right w:val="none" w:sz="0" w:space="0" w:color="auto"/>
              </w:divBdr>
            </w:div>
          </w:divsChild>
        </w:div>
        <w:div w:id="1891191431">
          <w:marLeft w:val="0"/>
          <w:marRight w:val="0"/>
          <w:marTop w:val="0"/>
          <w:marBottom w:val="0"/>
          <w:divBdr>
            <w:top w:val="none" w:sz="0" w:space="0" w:color="auto"/>
            <w:left w:val="none" w:sz="0" w:space="0" w:color="auto"/>
            <w:bottom w:val="none" w:sz="0" w:space="0" w:color="auto"/>
            <w:right w:val="none" w:sz="0" w:space="0" w:color="auto"/>
          </w:divBdr>
          <w:divsChild>
            <w:div w:id="402679771">
              <w:marLeft w:val="0"/>
              <w:marRight w:val="0"/>
              <w:marTop w:val="0"/>
              <w:marBottom w:val="0"/>
              <w:divBdr>
                <w:top w:val="none" w:sz="0" w:space="0" w:color="auto"/>
                <w:left w:val="none" w:sz="0" w:space="0" w:color="auto"/>
                <w:bottom w:val="none" w:sz="0" w:space="0" w:color="auto"/>
                <w:right w:val="none" w:sz="0" w:space="0" w:color="auto"/>
              </w:divBdr>
            </w:div>
          </w:divsChild>
        </w:div>
        <w:div w:id="1902253543">
          <w:marLeft w:val="0"/>
          <w:marRight w:val="0"/>
          <w:marTop w:val="0"/>
          <w:marBottom w:val="0"/>
          <w:divBdr>
            <w:top w:val="none" w:sz="0" w:space="0" w:color="auto"/>
            <w:left w:val="none" w:sz="0" w:space="0" w:color="auto"/>
            <w:bottom w:val="none" w:sz="0" w:space="0" w:color="auto"/>
            <w:right w:val="none" w:sz="0" w:space="0" w:color="auto"/>
          </w:divBdr>
          <w:divsChild>
            <w:div w:id="220405241">
              <w:marLeft w:val="0"/>
              <w:marRight w:val="0"/>
              <w:marTop w:val="0"/>
              <w:marBottom w:val="0"/>
              <w:divBdr>
                <w:top w:val="none" w:sz="0" w:space="0" w:color="auto"/>
                <w:left w:val="none" w:sz="0" w:space="0" w:color="auto"/>
                <w:bottom w:val="none" w:sz="0" w:space="0" w:color="auto"/>
                <w:right w:val="none" w:sz="0" w:space="0" w:color="auto"/>
              </w:divBdr>
            </w:div>
          </w:divsChild>
        </w:div>
        <w:div w:id="1906993372">
          <w:marLeft w:val="0"/>
          <w:marRight w:val="0"/>
          <w:marTop w:val="0"/>
          <w:marBottom w:val="0"/>
          <w:divBdr>
            <w:top w:val="none" w:sz="0" w:space="0" w:color="auto"/>
            <w:left w:val="none" w:sz="0" w:space="0" w:color="auto"/>
            <w:bottom w:val="none" w:sz="0" w:space="0" w:color="auto"/>
            <w:right w:val="none" w:sz="0" w:space="0" w:color="auto"/>
          </w:divBdr>
          <w:divsChild>
            <w:div w:id="1005786416">
              <w:marLeft w:val="0"/>
              <w:marRight w:val="0"/>
              <w:marTop w:val="0"/>
              <w:marBottom w:val="0"/>
              <w:divBdr>
                <w:top w:val="none" w:sz="0" w:space="0" w:color="auto"/>
                <w:left w:val="none" w:sz="0" w:space="0" w:color="auto"/>
                <w:bottom w:val="none" w:sz="0" w:space="0" w:color="auto"/>
                <w:right w:val="none" w:sz="0" w:space="0" w:color="auto"/>
              </w:divBdr>
            </w:div>
          </w:divsChild>
        </w:div>
        <w:div w:id="1952743235">
          <w:marLeft w:val="0"/>
          <w:marRight w:val="0"/>
          <w:marTop w:val="0"/>
          <w:marBottom w:val="0"/>
          <w:divBdr>
            <w:top w:val="none" w:sz="0" w:space="0" w:color="auto"/>
            <w:left w:val="none" w:sz="0" w:space="0" w:color="auto"/>
            <w:bottom w:val="none" w:sz="0" w:space="0" w:color="auto"/>
            <w:right w:val="none" w:sz="0" w:space="0" w:color="auto"/>
          </w:divBdr>
          <w:divsChild>
            <w:div w:id="996613832">
              <w:marLeft w:val="0"/>
              <w:marRight w:val="0"/>
              <w:marTop w:val="0"/>
              <w:marBottom w:val="0"/>
              <w:divBdr>
                <w:top w:val="none" w:sz="0" w:space="0" w:color="auto"/>
                <w:left w:val="none" w:sz="0" w:space="0" w:color="auto"/>
                <w:bottom w:val="none" w:sz="0" w:space="0" w:color="auto"/>
                <w:right w:val="none" w:sz="0" w:space="0" w:color="auto"/>
              </w:divBdr>
            </w:div>
          </w:divsChild>
        </w:div>
        <w:div w:id="2017532505">
          <w:marLeft w:val="0"/>
          <w:marRight w:val="0"/>
          <w:marTop w:val="0"/>
          <w:marBottom w:val="0"/>
          <w:divBdr>
            <w:top w:val="none" w:sz="0" w:space="0" w:color="auto"/>
            <w:left w:val="none" w:sz="0" w:space="0" w:color="auto"/>
            <w:bottom w:val="none" w:sz="0" w:space="0" w:color="auto"/>
            <w:right w:val="none" w:sz="0" w:space="0" w:color="auto"/>
          </w:divBdr>
          <w:divsChild>
            <w:div w:id="804665961">
              <w:marLeft w:val="0"/>
              <w:marRight w:val="0"/>
              <w:marTop w:val="0"/>
              <w:marBottom w:val="0"/>
              <w:divBdr>
                <w:top w:val="none" w:sz="0" w:space="0" w:color="auto"/>
                <w:left w:val="none" w:sz="0" w:space="0" w:color="auto"/>
                <w:bottom w:val="none" w:sz="0" w:space="0" w:color="auto"/>
                <w:right w:val="none" w:sz="0" w:space="0" w:color="auto"/>
              </w:divBdr>
            </w:div>
          </w:divsChild>
        </w:div>
        <w:div w:id="2021005425">
          <w:marLeft w:val="0"/>
          <w:marRight w:val="0"/>
          <w:marTop w:val="0"/>
          <w:marBottom w:val="0"/>
          <w:divBdr>
            <w:top w:val="none" w:sz="0" w:space="0" w:color="auto"/>
            <w:left w:val="none" w:sz="0" w:space="0" w:color="auto"/>
            <w:bottom w:val="none" w:sz="0" w:space="0" w:color="auto"/>
            <w:right w:val="none" w:sz="0" w:space="0" w:color="auto"/>
          </w:divBdr>
          <w:divsChild>
            <w:div w:id="1752048769">
              <w:marLeft w:val="0"/>
              <w:marRight w:val="0"/>
              <w:marTop w:val="0"/>
              <w:marBottom w:val="0"/>
              <w:divBdr>
                <w:top w:val="none" w:sz="0" w:space="0" w:color="auto"/>
                <w:left w:val="none" w:sz="0" w:space="0" w:color="auto"/>
                <w:bottom w:val="none" w:sz="0" w:space="0" w:color="auto"/>
                <w:right w:val="none" w:sz="0" w:space="0" w:color="auto"/>
              </w:divBdr>
            </w:div>
          </w:divsChild>
        </w:div>
        <w:div w:id="2033913277">
          <w:marLeft w:val="0"/>
          <w:marRight w:val="0"/>
          <w:marTop w:val="0"/>
          <w:marBottom w:val="0"/>
          <w:divBdr>
            <w:top w:val="none" w:sz="0" w:space="0" w:color="auto"/>
            <w:left w:val="none" w:sz="0" w:space="0" w:color="auto"/>
            <w:bottom w:val="none" w:sz="0" w:space="0" w:color="auto"/>
            <w:right w:val="none" w:sz="0" w:space="0" w:color="auto"/>
          </w:divBdr>
          <w:divsChild>
            <w:div w:id="1940673315">
              <w:marLeft w:val="0"/>
              <w:marRight w:val="0"/>
              <w:marTop w:val="0"/>
              <w:marBottom w:val="0"/>
              <w:divBdr>
                <w:top w:val="none" w:sz="0" w:space="0" w:color="auto"/>
                <w:left w:val="none" w:sz="0" w:space="0" w:color="auto"/>
                <w:bottom w:val="none" w:sz="0" w:space="0" w:color="auto"/>
                <w:right w:val="none" w:sz="0" w:space="0" w:color="auto"/>
              </w:divBdr>
            </w:div>
          </w:divsChild>
        </w:div>
        <w:div w:id="2055425831">
          <w:marLeft w:val="0"/>
          <w:marRight w:val="0"/>
          <w:marTop w:val="0"/>
          <w:marBottom w:val="0"/>
          <w:divBdr>
            <w:top w:val="none" w:sz="0" w:space="0" w:color="auto"/>
            <w:left w:val="none" w:sz="0" w:space="0" w:color="auto"/>
            <w:bottom w:val="none" w:sz="0" w:space="0" w:color="auto"/>
            <w:right w:val="none" w:sz="0" w:space="0" w:color="auto"/>
          </w:divBdr>
          <w:divsChild>
            <w:div w:id="1191798401">
              <w:marLeft w:val="0"/>
              <w:marRight w:val="0"/>
              <w:marTop w:val="0"/>
              <w:marBottom w:val="0"/>
              <w:divBdr>
                <w:top w:val="none" w:sz="0" w:space="0" w:color="auto"/>
                <w:left w:val="none" w:sz="0" w:space="0" w:color="auto"/>
                <w:bottom w:val="none" w:sz="0" w:space="0" w:color="auto"/>
                <w:right w:val="none" w:sz="0" w:space="0" w:color="auto"/>
              </w:divBdr>
            </w:div>
          </w:divsChild>
        </w:div>
        <w:div w:id="2055962321">
          <w:marLeft w:val="0"/>
          <w:marRight w:val="0"/>
          <w:marTop w:val="0"/>
          <w:marBottom w:val="0"/>
          <w:divBdr>
            <w:top w:val="none" w:sz="0" w:space="0" w:color="auto"/>
            <w:left w:val="none" w:sz="0" w:space="0" w:color="auto"/>
            <w:bottom w:val="none" w:sz="0" w:space="0" w:color="auto"/>
            <w:right w:val="none" w:sz="0" w:space="0" w:color="auto"/>
          </w:divBdr>
          <w:divsChild>
            <w:div w:id="1533958637">
              <w:marLeft w:val="0"/>
              <w:marRight w:val="0"/>
              <w:marTop w:val="0"/>
              <w:marBottom w:val="0"/>
              <w:divBdr>
                <w:top w:val="none" w:sz="0" w:space="0" w:color="auto"/>
                <w:left w:val="none" w:sz="0" w:space="0" w:color="auto"/>
                <w:bottom w:val="none" w:sz="0" w:space="0" w:color="auto"/>
                <w:right w:val="none" w:sz="0" w:space="0" w:color="auto"/>
              </w:divBdr>
            </w:div>
          </w:divsChild>
        </w:div>
        <w:div w:id="2080908379">
          <w:marLeft w:val="0"/>
          <w:marRight w:val="0"/>
          <w:marTop w:val="0"/>
          <w:marBottom w:val="0"/>
          <w:divBdr>
            <w:top w:val="none" w:sz="0" w:space="0" w:color="auto"/>
            <w:left w:val="none" w:sz="0" w:space="0" w:color="auto"/>
            <w:bottom w:val="none" w:sz="0" w:space="0" w:color="auto"/>
            <w:right w:val="none" w:sz="0" w:space="0" w:color="auto"/>
          </w:divBdr>
          <w:divsChild>
            <w:div w:id="1228611199">
              <w:marLeft w:val="0"/>
              <w:marRight w:val="0"/>
              <w:marTop w:val="0"/>
              <w:marBottom w:val="0"/>
              <w:divBdr>
                <w:top w:val="none" w:sz="0" w:space="0" w:color="auto"/>
                <w:left w:val="none" w:sz="0" w:space="0" w:color="auto"/>
                <w:bottom w:val="none" w:sz="0" w:space="0" w:color="auto"/>
                <w:right w:val="none" w:sz="0" w:space="0" w:color="auto"/>
              </w:divBdr>
            </w:div>
          </w:divsChild>
        </w:div>
        <w:div w:id="2132437759">
          <w:marLeft w:val="0"/>
          <w:marRight w:val="0"/>
          <w:marTop w:val="0"/>
          <w:marBottom w:val="0"/>
          <w:divBdr>
            <w:top w:val="none" w:sz="0" w:space="0" w:color="auto"/>
            <w:left w:val="none" w:sz="0" w:space="0" w:color="auto"/>
            <w:bottom w:val="none" w:sz="0" w:space="0" w:color="auto"/>
            <w:right w:val="none" w:sz="0" w:space="0" w:color="auto"/>
          </w:divBdr>
          <w:divsChild>
            <w:div w:id="139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1322">
      <w:bodyDiv w:val="1"/>
      <w:marLeft w:val="0"/>
      <w:marRight w:val="0"/>
      <w:marTop w:val="0"/>
      <w:marBottom w:val="0"/>
      <w:divBdr>
        <w:top w:val="none" w:sz="0" w:space="0" w:color="auto"/>
        <w:left w:val="none" w:sz="0" w:space="0" w:color="auto"/>
        <w:bottom w:val="none" w:sz="0" w:space="0" w:color="auto"/>
        <w:right w:val="none" w:sz="0" w:space="0" w:color="auto"/>
      </w:divBdr>
    </w:div>
    <w:div w:id="351303439">
      <w:bodyDiv w:val="1"/>
      <w:marLeft w:val="0"/>
      <w:marRight w:val="0"/>
      <w:marTop w:val="0"/>
      <w:marBottom w:val="0"/>
      <w:divBdr>
        <w:top w:val="none" w:sz="0" w:space="0" w:color="auto"/>
        <w:left w:val="none" w:sz="0" w:space="0" w:color="auto"/>
        <w:bottom w:val="none" w:sz="0" w:space="0" w:color="auto"/>
        <w:right w:val="none" w:sz="0" w:space="0" w:color="auto"/>
      </w:divBdr>
      <w:divsChild>
        <w:div w:id="202133690">
          <w:marLeft w:val="0"/>
          <w:marRight w:val="0"/>
          <w:marTop w:val="0"/>
          <w:marBottom w:val="0"/>
          <w:divBdr>
            <w:top w:val="none" w:sz="0" w:space="0" w:color="auto"/>
            <w:left w:val="none" w:sz="0" w:space="0" w:color="auto"/>
            <w:bottom w:val="none" w:sz="0" w:space="0" w:color="auto"/>
            <w:right w:val="none" w:sz="0" w:space="0" w:color="auto"/>
          </w:divBdr>
        </w:div>
        <w:div w:id="1720208896">
          <w:marLeft w:val="0"/>
          <w:marRight w:val="0"/>
          <w:marTop w:val="0"/>
          <w:marBottom w:val="0"/>
          <w:divBdr>
            <w:top w:val="none" w:sz="0" w:space="0" w:color="auto"/>
            <w:left w:val="none" w:sz="0" w:space="0" w:color="auto"/>
            <w:bottom w:val="none" w:sz="0" w:space="0" w:color="auto"/>
            <w:right w:val="none" w:sz="0" w:space="0" w:color="auto"/>
          </w:divBdr>
        </w:div>
        <w:div w:id="2000035482">
          <w:marLeft w:val="0"/>
          <w:marRight w:val="0"/>
          <w:marTop w:val="0"/>
          <w:marBottom w:val="0"/>
          <w:divBdr>
            <w:top w:val="none" w:sz="0" w:space="0" w:color="auto"/>
            <w:left w:val="none" w:sz="0" w:space="0" w:color="auto"/>
            <w:bottom w:val="none" w:sz="0" w:space="0" w:color="auto"/>
            <w:right w:val="none" w:sz="0" w:space="0" w:color="auto"/>
          </w:divBdr>
        </w:div>
      </w:divsChild>
    </w:div>
    <w:div w:id="406079675">
      <w:bodyDiv w:val="1"/>
      <w:marLeft w:val="0"/>
      <w:marRight w:val="0"/>
      <w:marTop w:val="0"/>
      <w:marBottom w:val="0"/>
      <w:divBdr>
        <w:top w:val="none" w:sz="0" w:space="0" w:color="auto"/>
        <w:left w:val="none" w:sz="0" w:space="0" w:color="auto"/>
        <w:bottom w:val="none" w:sz="0" w:space="0" w:color="auto"/>
        <w:right w:val="none" w:sz="0" w:space="0" w:color="auto"/>
      </w:divBdr>
      <w:divsChild>
        <w:div w:id="658851772">
          <w:marLeft w:val="0"/>
          <w:marRight w:val="0"/>
          <w:marTop w:val="0"/>
          <w:marBottom w:val="0"/>
          <w:divBdr>
            <w:top w:val="none" w:sz="0" w:space="0" w:color="auto"/>
            <w:left w:val="none" w:sz="0" w:space="0" w:color="auto"/>
            <w:bottom w:val="none" w:sz="0" w:space="0" w:color="auto"/>
            <w:right w:val="none" w:sz="0" w:space="0" w:color="auto"/>
          </w:divBdr>
        </w:div>
        <w:div w:id="1999963854">
          <w:marLeft w:val="0"/>
          <w:marRight w:val="0"/>
          <w:marTop w:val="0"/>
          <w:marBottom w:val="0"/>
          <w:divBdr>
            <w:top w:val="none" w:sz="0" w:space="0" w:color="auto"/>
            <w:left w:val="none" w:sz="0" w:space="0" w:color="auto"/>
            <w:bottom w:val="none" w:sz="0" w:space="0" w:color="auto"/>
            <w:right w:val="none" w:sz="0" w:space="0" w:color="auto"/>
          </w:divBdr>
        </w:div>
      </w:divsChild>
    </w:div>
    <w:div w:id="421411539">
      <w:bodyDiv w:val="1"/>
      <w:marLeft w:val="0"/>
      <w:marRight w:val="0"/>
      <w:marTop w:val="0"/>
      <w:marBottom w:val="0"/>
      <w:divBdr>
        <w:top w:val="none" w:sz="0" w:space="0" w:color="auto"/>
        <w:left w:val="none" w:sz="0" w:space="0" w:color="auto"/>
        <w:bottom w:val="none" w:sz="0" w:space="0" w:color="auto"/>
        <w:right w:val="none" w:sz="0" w:space="0" w:color="auto"/>
      </w:divBdr>
      <w:divsChild>
        <w:div w:id="1599950971">
          <w:marLeft w:val="0"/>
          <w:marRight w:val="0"/>
          <w:marTop w:val="0"/>
          <w:marBottom w:val="0"/>
          <w:divBdr>
            <w:top w:val="none" w:sz="0" w:space="0" w:color="auto"/>
            <w:left w:val="none" w:sz="0" w:space="0" w:color="auto"/>
            <w:bottom w:val="none" w:sz="0" w:space="0" w:color="auto"/>
            <w:right w:val="none" w:sz="0" w:space="0" w:color="auto"/>
          </w:divBdr>
        </w:div>
        <w:div w:id="1668553932">
          <w:marLeft w:val="0"/>
          <w:marRight w:val="0"/>
          <w:marTop w:val="0"/>
          <w:marBottom w:val="0"/>
          <w:divBdr>
            <w:top w:val="none" w:sz="0" w:space="0" w:color="auto"/>
            <w:left w:val="none" w:sz="0" w:space="0" w:color="auto"/>
            <w:bottom w:val="none" w:sz="0" w:space="0" w:color="auto"/>
            <w:right w:val="none" w:sz="0" w:space="0" w:color="auto"/>
          </w:divBdr>
        </w:div>
      </w:divsChild>
    </w:div>
    <w:div w:id="602538031">
      <w:bodyDiv w:val="1"/>
      <w:marLeft w:val="0"/>
      <w:marRight w:val="0"/>
      <w:marTop w:val="0"/>
      <w:marBottom w:val="0"/>
      <w:divBdr>
        <w:top w:val="none" w:sz="0" w:space="0" w:color="auto"/>
        <w:left w:val="none" w:sz="0" w:space="0" w:color="auto"/>
        <w:bottom w:val="none" w:sz="0" w:space="0" w:color="auto"/>
        <w:right w:val="none" w:sz="0" w:space="0" w:color="auto"/>
      </w:divBdr>
      <w:divsChild>
        <w:div w:id="96337937">
          <w:marLeft w:val="0"/>
          <w:marRight w:val="0"/>
          <w:marTop w:val="0"/>
          <w:marBottom w:val="0"/>
          <w:divBdr>
            <w:top w:val="none" w:sz="0" w:space="0" w:color="auto"/>
            <w:left w:val="none" w:sz="0" w:space="0" w:color="auto"/>
            <w:bottom w:val="none" w:sz="0" w:space="0" w:color="auto"/>
            <w:right w:val="none" w:sz="0" w:space="0" w:color="auto"/>
          </w:divBdr>
        </w:div>
        <w:div w:id="465005606">
          <w:marLeft w:val="0"/>
          <w:marRight w:val="0"/>
          <w:marTop w:val="0"/>
          <w:marBottom w:val="0"/>
          <w:divBdr>
            <w:top w:val="none" w:sz="0" w:space="0" w:color="auto"/>
            <w:left w:val="none" w:sz="0" w:space="0" w:color="auto"/>
            <w:bottom w:val="none" w:sz="0" w:space="0" w:color="auto"/>
            <w:right w:val="none" w:sz="0" w:space="0" w:color="auto"/>
          </w:divBdr>
        </w:div>
        <w:div w:id="719596446">
          <w:marLeft w:val="0"/>
          <w:marRight w:val="0"/>
          <w:marTop w:val="0"/>
          <w:marBottom w:val="0"/>
          <w:divBdr>
            <w:top w:val="none" w:sz="0" w:space="0" w:color="auto"/>
            <w:left w:val="none" w:sz="0" w:space="0" w:color="auto"/>
            <w:bottom w:val="none" w:sz="0" w:space="0" w:color="auto"/>
            <w:right w:val="none" w:sz="0" w:space="0" w:color="auto"/>
          </w:divBdr>
        </w:div>
        <w:div w:id="929195781">
          <w:marLeft w:val="0"/>
          <w:marRight w:val="0"/>
          <w:marTop w:val="0"/>
          <w:marBottom w:val="0"/>
          <w:divBdr>
            <w:top w:val="none" w:sz="0" w:space="0" w:color="auto"/>
            <w:left w:val="none" w:sz="0" w:space="0" w:color="auto"/>
            <w:bottom w:val="none" w:sz="0" w:space="0" w:color="auto"/>
            <w:right w:val="none" w:sz="0" w:space="0" w:color="auto"/>
          </w:divBdr>
        </w:div>
        <w:div w:id="980767061">
          <w:marLeft w:val="0"/>
          <w:marRight w:val="0"/>
          <w:marTop w:val="0"/>
          <w:marBottom w:val="0"/>
          <w:divBdr>
            <w:top w:val="none" w:sz="0" w:space="0" w:color="auto"/>
            <w:left w:val="none" w:sz="0" w:space="0" w:color="auto"/>
            <w:bottom w:val="none" w:sz="0" w:space="0" w:color="auto"/>
            <w:right w:val="none" w:sz="0" w:space="0" w:color="auto"/>
          </w:divBdr>
        </w:div>
        <w:div w:id="1726566322">
          <w:marLeft w:val="0"/>
          <w:marRight w:val="0"/>
          <w:marTop w:val="0"/>
          <w:marBottom w:val="0"/>
          <w:divBdr>
            <w:top w:val="none" w:sz="0" w:space="0" w:color="auto"/>
            <w:left w:val="none" w:sz="0" w:space="0" w:color="auto"/>
            <w:bottom w:val="none" w:sz="0" w:space="0" w:color="auto"/>
            <w:right w:val="none" w:sz="0" w:space="0" w:color="auto"/>
          </w:divBdr>
        </w:div>
        <w:div w:id="1800759690">
          <w:marLeft w:val="0"/>
          <w:marRight w:val="0"/>
          <w:marTop w:val="0"/>
          <w:marBottom w:val="0"/>
          <w:divBdr>
            <w:top w:val="none" w:sz="0" w:space="0" w:color="auto"/>
            <w:left w:val="none" w:sz="0" w:space="0" w:color="auto"/>
            <w:bottom w:val="none" w:sz="0" w:space="0" w:color="auto"/>
            <w:right w:val="none" w:sz="0" w:space="0" w:color="auto"/>
          </w:divBdr>
        </w:div>
        <w:div w:id="1849369348">
          <w:marLeft w:val="0"/>
          <w:marRight w:val="0"/>
          <w:marTop w:val="0"/>
          <w:marBottom w:val="0"/>
          <w:divBdr>
            <w:top w:val="none" w:sz="0" w:space="0" w:color="auto"/>
            <w:left w:val="none" w:sz="0" w:space="0" w:color="auto"/>
            <w:bottom w:val="none" w:sz="0" w:space="0" w:color="auto"/>
            <w:right w:val="none" w:sz="0" w:space="0" w:color="auto"/>
          </w:divBdr>
        </w:div>
      </w:divsChild>
    </w:div>
    <w:div w:id="621035922">
      <w:bodyDiv w:val="1"/>
      <w:marLeft w:val="0"/>
      <w:marRight w:val="0"/>
      <w:marTop w:val="0"/>
      <w:marBottom w:val="0"/>
      <w:divBdr>
        <w:top w:val="none" w:sz="0" w:space="0" w:color="auto"/>
        <w:left w:val="none" w:sz="0" w:space="0" w:color="auto"/>
        <w:bottom w:val="none" w:sz="0" w:space="0" w:color="auto"/>
        <w:right w:val="none" w:sz="0" w:space="0" w:color="auto"/>
      </w:divBdr>
    </w:div>
    <w:div w:id="675692128">
      <w:bodyDiv w:val="1"/>
      <w:marLeft w:val="0"/>
      <w:marRight w:val="0"/>
      <w:marTop w:val="0"/>
      <w:marBottom w:val="0"/>
      <w:divBdr>
        <w:top w:val="none" w:sz="0" w:space="0" w:color="auto"/>
        <w:left w:val="none" w:sz="0" w:space="0" w:color="auto"/>
        <w:bottom w:val="none" w:sz="0" w:space="0" w:color="auto"/>
        <w:right w:val="none" w:sz="0" w:space="0" w:color="auto"/>
      </w:divBdr>
      <w:divsChild>
        <w:div w:id="401683693">
          <w:marLeft w:val="0"/>
          <w:marRight w:val="0"/>
          <w:marTop w:val="0"/>
          <w:marBottom w:val="0"/>
          <w:divBdr>
            <w:top w:val="none" w:sz="0" w:space="0" w:color="auto"/>
            <w:left w:val="none" w:sz="0" w:space="0" w:color="auto"/>
            <w:bottom w:val="none" w:sz="0" w:space="0" w:color="auto"/>
            <w:right w:val="none" w:sz="0" w:space="0" w:color="auto"/>
          </w:divBdr>
        </w:div>
        <w:div w:id="1829243152">
          <w:marLeft w:val="0"/>
          <w:marRight w:val="0"/>
          <w:marTop w:val="0"/>
          <w:marBottom w:val="0"/>
          <w:divBdr>
            <w:top w:val="none" w:sz="0" w:space="0" w:color="auto"/>
            <w:left w:val="none" w:sz="0" w:space="0" w:color="auto"/>
            <w:bottom w:val="none" w:sz="0" w:space="0" w:color="auto"/>
            <w:right w:val="none" w:sz="0" w:space="0" w:color="auto"/>
          </w:divBdr>
        </w:div>
        <w:div w:id="2039578025">
          <w:marLeft w:val="0"/>
          <w:marRight w:val="0"/>
          <w:marTop w:val="0"/>
          <w:marBottom w:val="0"/>
          <w:divBdr>
            <w:top w:val="none" w:sz="0" w:space="0" w:color="auto"/>
            <w:left w:val="none" w:sz="0" w:space="0" w:color="auto"/>
            <w:bottom w:val="none" w:sz="0" w:space="0" w:color="auto"/>
            <w:right w:val="none" w:sz="0" w:space="0" w:color="auto"/>
          </w:divBdr>
        </w:div>
      </w:divsChild>
    </w:div>
    <w:div w:id="676152369">
      <w:bodyDiv w:val="1"/>
      <w:marLeft w:val="0"/>
      <w:marRight w:val="0"/>
      <w:marTop w:val="0"/>
      <w:marBottom w:val="0"/>
      <w:divBdr>
        <w:top w:val="none" w:sz="0" w:space="0" w:color="auto"/>
        <w:left w:val="none" w:sz="0" w:space="0" w:color="auto"/>
        <w:bottom w:val="none" w:sz="0" w:space="0" w:color="auto"/>
        <w:right w:val="none" w:sz="0" w:space="0" w:color="auto"/>
      </w:divBdr>
      <w:divsChild>
        <w:div w:id="277222028">
          <w:marLeft w:val="0"/>
          <w:marRight w:val="0"/>
          <w:marTop w:val="0"/>
          <w:marBottom w:val="0"/>
          <w:divBdr>
            <w:top w:val="none" w:sz="0" w:space="0" w:color="auto"/>
            <w:left w:val="none" w:sz="0" w:space="0" w:color="auto"/>
            <w:bottom w:val="none" w:sz="0" w:space="0" w:color="auto"/>
            <w:right w:val="none" w:sz="0" w:space="0" w:color="auto"/>
          </w:divBdr>
        </w:div>
        <w:div w:id="416554989">
          <w:marLeft w:val="0"/>
          <w:marRight w:val="0"/>
          <w:marTop w:val="0"/>
          <w:marBottom w:val="0"/>
          <w:divBdr>
            <w:top w:val="none" w:sz="0" w:space="0" w:color="auto"/>
            <w:left w:val="none" w:sz="0" w:space="0" w:color="auto"/>
            <w:bottom w:val="none" w:sz="0" w:space="0" w:color="auto"/>
            <w:right w:val="none" w:sz="0" w:space="0" w:color="auto"/>
          </w:divBdr>
        </w:div>
        <w:div w:id="452751378">
          <w:marLeft w:val="0"/>
          <w:marRight w:val="0"/>
          <w:marTop w:val="0"/>
          <w:marBottom w:val="0"/>
          <w:divBdr>
            <w:top w:val="none" w:sz="0" w:space="0" w:color="auto"/>
            <w:left w:val="none" w:sz="0" w:space="0" w:color="auto"/>
            <w:bottom w:val="none" w:sz="0" w:space="0" w:color="auto"/>
            <w:right w:val="none" w:sz="0" w:space="0" w:color="auto"/>
          </w:divBdr>
        </w:div>
        <w:div w:id="453256336">
          <w:marLeft w:val="0"/>
          <w:marRight w:val="0"/>
          <w:marTop w:val="0"/>
          <w:marBottom w:val="0"/>
          <w:divBdr>
            <w:top w:val="none" w:sz="0" w:space="0" w:color="auto"/>
            <w:left w:val="none" w:sz="0" w:space="0" w:color="auto"/>
            <w:bottom w:val="none" w:sz="0" w:space="0" w:color="auto"/>
            <w:right w:val="none" w:sz="0" w:space="0" w:color="auto"/>
          </w:divBdr>
        </w:div>
        <w:div w:id="488863038">
          <w:marLeft w:val="0"/>
          <w:marRight w:val="0"/>
          <w:marTop w:val="0"/>
          <w:marBottom w:val="0"/>
          <w:divBdr>
            <w:top w:val="none" w:sz="0" w:space="0" w:color="auto"/>
            <w:left w:val="none" w:sz="0" w:space="0" w:color="auto"/>
            <w:bottom w:val="none" w:sz="0" w:space="0" w:color="auto"/>
            <w:right w:val="none" w:sz="0" w:space="0" w:color="auto"/>
          </w:divBdr>
        </w:div>
        <w:div w:id="674235498">
          <w:marLeft w:val="0"/>
          <w:marRight w:val="0"/>
          <w:marTop w:val="0"/>
          <w:marBottom w:val="0"/>
          <w:divBdr>
            <w:top w:val="none" w:sz="0" w:space="0" w:color="auto"/>
            <w:left w:val="none" w:sz="0" w:space="0" w:color="auto"/>
            <w:bottom w:val="none" w:sz="0" w:space="0" w:color="auto"/>
            <w:right w:val="none" w:sz="0" w:space="0" w:color="auto"/>
          </w:divBdr>
        </w:div>
        <w:div w:id="707295111">
          <w:marLeft w:val="0"/>
          <w:marRight w:val="0"/>
          <w:marTop w:val="0"/>
          <w:marBottom w:val="0"/>
          <w:divBdr>
            <w:top w:val="none" w:sz="0" w:space="0" w:color="auto"/>
            <w:left w:val="none" w:sz="0" w:space="0" w:color="auto"/>
            <w:bottom w:val="none" w:sz="0" w:space="0" w:color="auto"/>
            <w:right w:val="none" w:sz="0" w:space="0" w:color="auto"/>
          </w:divBdr>
        </w:div>
        <w:div w:id="1161653525">
          <w:marLeft w:val="0"/>
          <w:marRight w:val="0"/>
          <w:marTop w:val="0"/>
          <w:marBottom w:val="0"/>
          <w:divBdr>
            <w:top w:val="none" w:sz="0" w:space="0" w:color="auto"/>
            <w:left w:val="none" w:sz="0" w:space="0" w:color="auto"/>
            <w:bottom w:val="none" w:sz="0" w:space="0" w:color="auto"/>
            <w:right w:val="none" w:sz="0" w:space="0" w:color="auto"/>
          </w:divBdr>
        </w:div>
        <w:div w:id="1172527254">
          <w:marLeft w:val="0"/>
          <w:marRight w:val="0"/>
          <w:marTop w:val="0"/>
          <w:marBottom w:val="0"/>
          <w:divBdr>
            <w:top w:val="none" w:sz="0" w:space="0" w:color="auto"/>
            <w:left w:val="none" w:sz="0" w:space="0" w:color="auto"/>
            <w:bottom w:val="none" w:sz="0" w:space="0" w:color="auto"/>
            <w:right w:val="none" w:sz="0" w:space="0" w:color="auto"/>
          </w:divBdr>
        </w:div>
        <w:div w:id="1364674794">
          <w:marLeft w:val="0"/>
          <w:marRight w:val="0"/>
          <w:marTop w:val="0"/>
          <w:marBottom w:val="0"/>
          <w:divBdr>
            <w:top w:val="none" w:sz="0" w:space="0" w:color="auto"/>
            <w:left w:val="none" w:sz="0" w:space="0" w:color="auto"/>
            <w:bottom w:val="none" w:sz="0" w:space="0" w:color="auto"/>
            <w:right w:val="none" w:sz="0" w:space="0" w:color="auto"/>
          </w:divBdr>
        </w:div>
        <w:div w:id="1432970911">
          <w:marLeft w:val="0"/>
          <w:marRight w:val="0"/>
          <w:marTop w:val="0"/>
          <w:marBottom w:val="0"/>
          <w:divBdr>
            <w:top w:val="none" w:sz="0" w:space="0" w:color="auto"/>
            <w:left w:val="none" w:sz="0" w:space="0" w:color="auto"/>
            <w:bottom w:val="none" w:sz="0" w:space="0" w:color="auto"/>
            <w:right w:val="none" w:sz="0" w:space="0" w:color="auto"/>
          </w:divBdr>
        </w:div>
        <w:div w:id="1451054100">
          <w:marLeft w:val="0"/>
          <w:marRight w:val="0"/>
          <w:marTop w:val="0"/>
          <w:marBottom w:val="0"/>
          <w:divBdr>
            <w:top w:val="none" w:sz="0" w:space="0" w:color="auto"/>
            <w:left w:val="none" w:sz="0" w:space="0" w:color="auto"/>
            <w:bottom w:val="none" w:sz="0" w:space="0" w:color="auto"/>
            <w:right w:val="none" w:sz="0" w:space="0" w:color="auto"/>
          </w:divBdr>
        </w:div>
        <w:div w:id="2084645914">
          <w:marLeft w:val="0"/>
          <w:marRight w:val="0"/>
          <w:marTop w:val="0"/>
          <w:marBottom w:val="0"/>
          <w:divBdr>
            <w:top w:val="none" w:sz="0" w:space="0" w:color="auto"/>
            <w:left w:val="none" w:sz="0" w:space="0" w:color="auto"/>
            <w:bottom w:val="none" w:sz="0" w:space="0" w:color="auto"/>
            <w:right w:val="none" w:sz="0" w:space="0" w:color="auto"/>
          </w:divBdr>
        </w:div>
      </w:divsChild>
    </w:div>
    <w:div w:id="739720112">
      <w:bodyDiv w:val="1"/>
      <w:marLeft w:val="0"/>
      <w:marRight w:val="0"/>
      <w:marTop w:val="0"/>
      <w:marBottom w:val="0"/>
      <w:divBdr>
        <w:top w:val="none" w:sz="0" w:space="0" w:color="auto"/>
        <w:left w:val="none" w:sz="0" w:space="0" w:color="auto"/>
        <w:bottom w:val="none" w:sz="0" w:space="0" w:color="auto"/>
        <w:right w:val="none" w:sz="0" w:space="0" w:color="auto"/>
      </w:divBdr>
      <w:divsChild>
        <w:div w:id="35551703">
          <w:marLeft w:val="0"/>
          <w:marRight w:val="0"/>
          <w:marTop w:val="0"/>
          <w:marBottom w:val="0"/>
          <w:divBdr>
            <w:top w:val="none" w:sz="0" w:space="0" w:color="auto"/>
            <w:left w:val="none" w:sz="0" w:space="0" w:color="auto"/>
            <w:bottom w:val="none" w:sz="0" w:space="0" w:color="auto"/>
            <w:right w:val="none" w:sz="0" w:space="0" w:color="auto"/>
          </w:divBdr>
        </w:div>
        <w:div w:id="112867945">
          <w:marLeft w:val="0"/>
          <w:marRight w:val="0"/>
          <w:marTop w:val="0"/>
          <w:marBottom w:val="0"/>
          <w:divBdr>
            <w:top w:val="none" w:sz="0" w:space="0" w:color="auto"/>
            <w:left w:val="none" w:sz="0" w:space="0" w:color="auto"/>
            <w:bottom w:val="none" w:sz="0" w:space="0" w:color="auto"/>
            <w:right w:val="none" w:sz="0" w:space="0" w:color="auto"/>
          </w:divBdr>
        </w:div>
        <w:div w:id="171840039">
          <w:marLeft w:val="0"/>
          <w:marRight w:val="0"/>
          <w:marTop w:val="0"/>
          <w:marBottom w:val="0"/>
          <w:divBdr>
            <w:top w:val="none" w:sz="0" w:space="0" w:color="auto"/>
            <w:left w:val="none" w:sz="0" w:space="0" w:color="auto"/>
            <w:bottom w:val="none" w:sz="0" w:space="0" w:color="auto"/>
            <w:right w:val="none" w:sz="0" w:space="0" w:color="auto"/>
          </w:divBdr>
        </w:div>
        <w:div w:id="206456324">
          <w:marLeft w:val="0"/>
          <w:marRight w:val="0"/>
          <w:marTop w:val="0"/>
          <w:marBottom w:val="0"/>
          <w:divBdr>
            <w:top w:val="none" w:sz="0" w:space="0" w:color="auto"/>
            <w:left w:val="none" w:sz="0" w:space="0" w:color="auto"/>
            <w:bottom w:val="none" w:sz="0" w:space="0" w:color="auto"/>
            <w:right w:val="none" w:sz="0" w:space="0" w:color="auto"/>
          </w:divBdr>
        </w:div>
        <w:div w:id="253825483">
          <w:marLeft w:val="0"/>
          <w:marRight w:val="0"/>
          <w:marTop w:val="0"/>
          <w:marBottom w:val="0"/>
          <w:divBdr>
            <w:top w:val="none" w:sz="0" w:space="0" w:color="auto"/>
            <w:left w:val="none" w:sz="0" w:space="0" w:color="auto"/>
            <w:bottom w:val="none" w:sz="0" w:space="0" w:color="auto"/>
            <w:right w:val="none" w:sz="0" w:space="0" w:color="auto"/>
          </w:divBdr>
        </w:div>
        <w:div w:id="361907247">
          <w:marLeft w:val="0"/>
          <w:marRight w:val="0"/>
          <w:marTop w:val="0"/>
          <w:marBottom w:val="0"/>
          <w:divBdr>
            <w:top w:val="none" w:sz="0" w:space="0" w:color="auto"/>
            <w:left w:val="none" w:sz="0" w:space="0" w:color="auto"/>
            <w:bottom w:val="none" w:sz="0" w:space="0" w:color="auto"/>
            <w:right w:val="none" w:sz="0" w:space="0" w:color="auto"/>
          </w:divBdr>
        </w:div>
        <w:div w:id="474106088">
          <w:marLeft w:val="0"/>
          <w:marRight w:val="0"/>
          <w:marTop w:val="0"/>
          <w:marBottom w:val="0"/>
          <w:divBdr>
            <w:top w:val="none" w:sz="0" w:space="0" w:color="auto"/>
            <w:left w:val="none" w:sz="0" w:space="0" w:color="auto"/>
            <w:bottom w:val="none" w:sz="0" w:space="0" w:color="auto"/>
            <w:right w:val="none" w:sz="0" w:space="0" w:color="auto"/>
          </w:divBdr>
        </w:div>
        <w:div w:id="713777228">
          <w:marLeft w:val="0"/>
          <w:marRight w:val="0"/>
          <w:marTop w:val="0"/>
          <w:marBottom w:val="0"/>
          <w:divBdr>
            <w:top w:val="none" w:sz="0" w:space="0" w:color="auto"/>
            <w:left w:val="none" w:sz="0" w:space="0" w:color="auto"/>
            <w:bottom w:val="none" w:sz="0" w:space="0" w:color="auto"/>
            <w:right w:val="none" w:sz="0" w:space="0" w:color="auto"/>
          </w:divBdr>
        </w:div>
        <w:div w:id="744958858">
          <w:marLeft w:val="0"/>
          <w:marRight w:val="0"/>
          <w:marTop w:val="0"/>
          <w:marBottom w:val="0"/>
          <w:divBdr>
            <w:top w:val="none" w:sz="0" w:space="0" w:color="auto"/>
            <w:left w:val="none" w:sz="0" w:space="0" w:color="auto"/>
            <w:bottom w:val="none" w:sz="0" w:space="0" w:color="auto"/>
            <w:right w:val="none" w:sz="0" w:space="0" w:color="auto"/>
          </w:divBdr>
        </w:div>
        <w:div w:id="1092386659">
          <w:marLeft w:val="0"/>
          <w:marRight w:val="0"/>
          <w:marTop w:val="0"/>
          <w:marBottom w:val="0"/>
          <w:divBdr>
            <w:top w:val="none" w:sz="0" w:space="0" w:color="auto"/>
            <w:left w:val="none" w:sz="0" w:space="0" w:color="auto"/>
            <w:bottom w:val="none" w:sz="0" w:space="0" w:color="auto"/>
            <w:right w:val="none" w:sz="0" w:space="0" w:color="auto"/>
          </w:divBdr>
        </w:div>
        <w:div w:id="1149790068">
          <w:marLeft w:val="0"/>
          <w:marRight w:val="0"/>
          <w:marTop w:val="0"/>
          <w:marBottom w:val="0"/>
          <w:divBdr>
            <w:top w:val="none" w:sz="0" w:space="0" w:color="auto"/>
            <w:left w:val="none" w:sz="0" w:space="0" w:color="auto"/>
            <w:bottom w:val="none" w:sz="0" w:space="0" w:color="auto"/>
            <w:right w:val="none" w:sz="0" w:space="0" w:color="auto"/>
          </w:divBdr>
        </w:div>
        <w:div w:id="1362130836">
          <w:marLeft w:val="0"/>
          <w:marRight w:val="0"/>
          <w:marTop w:val="0"/>
          <w:marBottom w:val="0"/>
          <w:divBdr>
            <w:top w:val="none" w:sz="0" w:space="0" w:color="auto"/>
            <w:left w:val="none" w:sz="0" w:space="0" w:color="auto"/>
            <w:bottom w:val="none" w:sz="0" w:space="0" w:color="auto"/>
            <w:right w:val="none" w:sz="0" w:space="0" w:color="auto"/>
          </w:divBdr>
        </w:div>
        <w:div w:id="2076194663">
          <w:marLeft w:val="0"/>
          <w:marRight w:val="0"/>
          <w:marTop w:val="0"/>
          <w:marBottom w:val="0"/>
          <w:divBdr>
            <w:top w:val="none" w:sz="0" w:space="0" w:color="auto"/>
            <w:left w:val="none" w:sz="0" w:space="0" w:color="auto"/>
            <w:bottom w:val="none" w:sz="0" w:space="0" w:color="auto"/>
            <w:right w:val="none" w:sz="0" w:space="0" w:color="auto"/>
          </w:divBdr>
        </w:div>
      </w:divsChild>
    </w:div>
    <w:div w:id="755320225">
      <w:bodyDiv w:val="1"/>
      <w:marLeft w:val="0"/>
      <w:marRight w:val="0"/>
      <w:marTop w:val="0"/>
      <w:marBottom w:val="0"/>
      <w:divBdr>
        <w:top w:val="none" w:sz="0" w:space="0" w:color="auto"/>
        <w:left w:val="none" w:sz="0" w:space="0" w:color="auto"/>
        <w:bottom w:val="none" w:sz="0" w:space="0" w:color="auto"/>
        <w:right w:val="none" w:sz="0" w:space="0" w:color="auto"/>
      </w:divBdr>
      <w:divsChild>
        <w:div w:id="92164176">
          <w:marLeft w:val="0"/>
          <w:marRight w:val="0"/>
          <w:marTop w:val="0"/>
          <w:marBottom w:val="0"/>
          <w:divBdr>
            <w:top w:val="none" w:sz="0" w:space="0" w:color="auto"/>
            <w:left w:val="none" w:sz="0" w:space="0" w:color="auto"/>
            <w:bottom w:val="none" w:sz="0" w:space="0" w:color="auto"/>
            <w:right w:val="none" w:sz="0" w:space="0" w:color="auto"/>
          </w:divBdr>
        </w:div>
        <w:div w:id="649477193">
          <w:marLeft w:val="0"/>
          <w:marRight w:val="0"/>
          <w:marTop w:val="0"/>
          <w:marBottom w:val="0"/>
          <w:divBdr>
            <w:top w:val="none" w:sz="0" w:space="0" w:color="auto"/>
            <w:left w:val="none" w:sz="0" w:space="0" w:color="auto"/>
            <w:bottom w:val="none" w:sz="0" w:space="0" w:color="auto"/>
            <w:right w:val="none" w:sz="0" w:space="0" w:color="auto"/>
          </w:divBdr>
        </w:div>
        <w:div w:id="669411425">
          <w:marLeft w:val="0"/>
          <w:marRight w:val="0"/>
          <w:marTop w:val="0"/>
          <w:marBottom w:val="0"/>
          <w:divBdr>
            <w:top w:val="none" w:sz="0" w:space="0" w:color="auto"/>
            <w:left w:val="none" w:sz="0" w:space="0" w:color="auto"/>
            <w:bottom w:val="none" w:sz="0" w:space="0" w:color="auto"/>
            <w:right w:val="none" w:sz="0" w:space="0" w:color="auto"/>
          </w:divBdr>
        </w:div>
        <w:div w:id="1383628008">
          <w:marLeft w:val="0"/>
          <w:marRight w:val="0"/>
          <w:marTop w:val="0"/>
          <w:marBottom w:val="0"/>
          <w:divBdr>
            <w:top w:val="none" w:sz="0" w:space="0" w:color="auto"/>
            <w:left w:val="none" w:sz="0" w:space="0" w:color="auto"/>
            <w:bottom w:val="none" w:sz="0" w:space="0" w:color="auto"/>
            <w:right w:val="none" w:sz="0" w:space="0" w:color="auto"/>
          </w:divBdr>
        </w:div>
        <w:div w:id="1408066376">
          <w:marLeft w:val="0"/>
          <w:marRight w:val="0"/>
          <w:marTop w:val="0"/>
          <w:marBottom w:val="0"/>
          <w:divBdr>
            <w:top w:val="none" w:sz="0" w:space="0" w:color="auto"/>
            <w:left w:val="none" w:sz="0" w:space="0" w:color="auto"/>
            <w:bottom w:val="none" w:sz="0" w:space="0" w:color="auto"/>
            <w:right w:val="none" w:sz="0" w:space="0" w:color="auto"/>
          </w:divBdr>
        </w:div>
        <w:div w:id="1968930242">
          <w:marLeft w:val="0"/>
          <w:marRight w:val="0"/>
          <w:marTop w:val="0"/>
          <w:marBottom w:val="0"/>
          <w:divBdr>
            <w:top w:val="none" w:sz="0" w:space="0" w:color="auto"/>
            <w:left w:val="none" w:sz="0" w:space="0" w:color="auto"/>
            <w:bottom w:val="none" w:sz="0" w:space="0" w:color="auto"/>
            <w:right w:val="none" w:sz="0" w:space="0" w:color="auto"/>
          </w:divBdr>
        </w:div>
      </w:divsChild>
    </w:div>
    <w:div w:id="770128348">
      <w:bodyDiv w:val="1"/>
      <w:marLeft w:val="0"/>
      <w:marRight w:val="0"/>
      <w:marTop w:val="0"/>
      <w:marBottom w:val="0"/>
      <w:divBdr>
        <w:top w:val="none" w:sz="0" w:space="0" w:color="auto"/>
        <w:left w:val="none" w:sz="0" w:space="0" w:color="auto"/>
        <w:bottom w:val="none" w:sz="0" w:space="0" w:color="auto"/>
        <w:right w:val="none" w:sz="0" w:space="0" w:color="auto"/>
      </w:divBdr>
      <w:divsChild>
        <w:div w:id="569652704">
          <w:marLeft w:val="0"/>
          <w:marRight w:val="0"/>
          <w:marTop w:val="0"/>
          <w:marBottom w:val="0"/>
          <w:divBdr>
            <w:top w:val="none" w:sz="0" w:space="0" w:color="auto"/>
            <w:left w:val="none" w:sz="0" w:space="0" w:color="auto"/>
            <w:bottom w:val="none" w:sz="0" w:space="0" w:color="auto"/>
            <w:right w:val="none" w:sz="0" w:space="0" w:color="auto"/>
          </w:divBdr>
        </w:div>
        <w:div w:id="599024092">
          <w:marLeft w:val="0"/>
          <w:marRight w:val="0"/>
          <w:marTop w:val="0"/>
          <w:marBottom w:val="0"/>
          <w:divBdr>
            <w:top w:val="none" w:sz="0" w:space="0" w:color="auto"/>
            <w:left w:val="none" w:sz="0" w:space="0" w:color="auto"/>
            <w:bottom w:val="none" w:sz="0" w:space="0" w:color="auto"/>
            <w:right w:val="none" w:sz="0" w:space="0" w:color="auto"/>
          </w:divBdr>
        </w:div>
        <w:div w:id="917790264">
          <w:marLeft w:val="0"/>
          <w:marRight w:val="0"/>
          <w:marTop w:val="0"/>
          <w:marBottom w:val="0"/>
          <w:divBdr>
            <w:top w:val="none" w:sz="0" w:space="0" w:color="auto"/>
            <w:left w:val="none" w:sz="0" w:space="0" w:color="auto"/>
            <w:bottom w:val="none" w:sz="0" w:space="0" w:color="auto"/>
            <w:right w:val="none" w:sz="0" w:space="0" w:color="auto"/>
          </w:divBdr>
        </w:div>
        <w:div w:id="1858884812">
          <w:marLeft w:val="0"/>
          <w:marRight w:val="0"/>
          <w:marTop w:val="0"/>
          <w:marBottom w:val="0"/>
          <w:divBdr>
            <w:top w:val="none" w:sz="0" w:space="0" w:color="auto"/>
            <w:left w:val="none" w:sz="0" w:space="0" w:color="auto"/>
            <w:bottom w:val="none" w:sz="0" w:space="0" w:color="auto"/>
            <w:right w:val="none" w:sz="0" w:space="0" w:color="auto"/>
          </w:divBdr>
        </w:div>
        <w:div w:id="2139256027">
          <w:marLeft w:val="0"/>
          <w:marRight w:val="0"/>
          <w:marTop w:val="0"/>
          <w:marBottom w:val="0"/>
          <w:divBdr>
            <w:top w:val="none" w:sz="0" w:space="0" w:color="auto"/>
            <w:left w:val="none" w:sz="0" w:space="0" w:color="auto"/>
            <w:bottom w:val="none" w:sz="0" w:space="0" w:color="auto"/>
            <w:right w:val="none" w:sz="0" w:space="0" w:color="auto"/>
          </w:divBdr>
        </w:div>
      </w:divsChild>
    </w:div>
    <w:div w:id="773403470">
      <w:bodyDiv w:val="1"/>
      <w:marLeft w:val="0"/>
      <w:marRight w:val="0"/>
      <w:marTop w:val="0"/>
      <w:marBottom w:val="0"/>
      <w:divBdr>
        <w:top w:val="none" w:sz="0" w:space="0" w:color="auto"/>
        <w:left w:val="none" w:sz="0" w:space="0" w:color="auto"/>
        <w:bottom w:val="none" w:sz="0" w:space="0" w:color="auto"/>
        <w:right w:val="none" w:sz="0" w:space="0" w:color="auto"/>
      </w:divBdr>
      <w:divsChild>
        <w:div w:id="1159036636">
          <w:marLeft w:val="0"/>
          <w:marRight w:val="0"/>
          <w:marTop w:val="0"/>
          <w:marBottom w:val="0"/>
          <w:divBdr>
            <w:top w:val="none" w:sz="0" w:space="0" w:color="auto"/>
            <w:left w:val="none" w:sz="0" w:space="0" w:color="auto"/>
            <w:bottom w:val="none" w:sz="0" w:space="0" w:color="auto"/>
            <w:right w:val="none" w:sz="0" w:space="0" w:color="auto"/>
          </w:divBdr>
        </w:div>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 w:id="914976684">
      <w:bodyDiv w:val="1"/>
      <w:marLeft w:val="0"/>
      <w:marRight w:val="0"/>
      <w:marTop w:val="0"/>
      <w:marBottom w:val="0"/>
      <w:divBdr>
        <w:top w:val="none" w:sz="0" w:space="0" w:color="auto"/>
        <w:left w:val="none" w:sz="0" w:space="0" w:color="auto"/>
        <w:bottom w:val="none" w:sz="0" w:space="0" w:color="auto"/>
        <w:right w:val="none" w:sz="0" w:space="0" w:color="auto"/>
      </w:divBdr>
      <w:divsChild>
        <w:div w:id="601643432">
          <w:marLeft w:val="0"/>
          <w:marRight w:val="0"/>
          <w:marTop w:val="0"/>
          <w:marBottom w:val="0"/>
          <w:divBdr>
            <w:top w:val="none" w:sz="0" w:space="0" w:color="auto"/>
            <w:left w:val="none" w:sz="0" w:space="0" w:color="auto"/>
            <w:bottom w:val="none" w:sz="0" w:space="0" w:color="auto"/>
            <w:right w:val="none" w:sz="0" w:space="0" w:color="auto"/>
          </w:divBdr>
        </w:div>
        <w:div w:id="664362588">
          <w:marLeft w:val="0"/>
          <w:marRight w:val="0"/>
          <w:marTop w:val="0"/>
          <w:marBottom w:val="0"/>
          <w:divBdr>
            <w:top w:val="none" w:sz="0" w:space="0" w:color="auto"/>
            <w:left w:val="none" w:sz="0" w:space="0" w:color="auto"/>
            <w:bottom w:val="none" w:sz="0" w:space="0" w:color="auto"/>
            <w:right w:val="none" w:sz="0" w:space="0" w:color="auto"/>
          </w:divBdr>
        </w:div>
      </w:divsChild>
    </w:div>
    <w:div w:id="1012032338">
      <w:bodyDiv w:val="1"/>
      <w:marLeft w:val="0"/>
      <w:marRight w:val="0"/>
      <w:marTop w:val="0"/>
      <w:marBottom w:val="0"/>
      <w:divBdr>
        <w:top w:val="none" w:sz="0" w:space="0" w:color="auto"/>
        <w:left w:val="none" w:sz="0" w:space="0" w:color="auto"/>
        <w:bottom w:val="none" w:sz="0" w:space="0" w:color="auto"/>
        <w:right w:val="none" w:sz="0" w:space="0" w:color="auto"/>
      </w:divBdr>
      <w:divsChild>
        <w:div w:id="984117869">
          <w:marLeft w:val="0"/>
          <w:marRight w:val="0"/>
          <w:marTop w:val="0"/>
          <w:marBottom w:val="0"/>
          <w:divBdr>
            <w:top w:val="none" w:sz="0" w:space="0" w:color="auto"/>
            <w:left w:val="none" w:sz="0" w:space="0" w:color="auto"/>
            <w:bottom w:val="none" w:sz="0" w:space="0" w:color="auto"/>
            <w:right w:val="none" w:sz="0" w:space="0" w:color="auto"/>
          </w:divBdr>
          <w:divsChild>
            <w:div w:id="517357087">
              <w:marLeft w:val="0"/>
              <w:marRight w:val="0"/>
              <w:marTop w:val="0"/>
              <w:marBottom w:val="0"/>
              <w:divBdr>
                <w:top w:val="none" w:sz="0" w:space="0" w:color="auto"/>
                <w:left w:val="none" w:sz="0" w:space="0" w:color="auto"/>
                <w:bottom w:val="none" w:sz="0" w:space="0" w:color="auto"/>
                <w:right w:val="none" w:sz="0" w:space="0" w:color="auto"/>
              </w:divBdr>
            </w:div>
            <w:div w:id="1036000586">
              <w:marLeft w:val="0"/>
              <w:marRight w:val="0"/>
              <w:marTop w:val="0"/>
              <w:marBottom w:val="0"/>
              <w:divBdr>
                <w:top w:val="none" w:sz="0" w:space="0" w:color="auto"/>
                <w:left w:val="none" w:sz="0" w:space="0" w:color="auto"/>
                <w:bottom w:val="none" w:sz="0" w:space="0" w:color="auto"/>
                <w:right w:val="none" w:sz="0" w:space="0" w:color="auto"/>
              </w:divBdr>
            </w:div>
            <w:div w:id="2129623354">
              <w:marLeft w:val="0"/>
              <w:marRight w:val="0"/>
              <w:marTop w:val="0"/>
              <w:marBottom w:val="0"/>
              <w:divBdr>
                <w:top w:val="none" w:sz="0" w:space="0" w:color="auto"/>
                <w:left w:val="none" w:sz="0" w:space="0" w:color="auto"/>
                <w:bottom w:val="none" w:sz="0" w:space="0" w:color="auto"/>
                <w:right w:val="none" w:sz="0" w:space="0" w:color="auto"/>
              </w:divBdr>
            </w:div>
          </w:divsChild>
        </w:div>
        <w:div w:id="1067917743">
          <w:marLeft w:val="0"/>
          <w:marRight w:val="0"/>
          <w:marTop w:val="0"/>
          <w:marBottom w:val="0"/>
          <w:divBdr>
            <w:top w:val="none" w:sz="0" w:space="0" w:color="auto"/>
            <w:left w:val="none" w:sz="0" w:space="0" w:color="auto"/>
            <w:bottom w:val="none" w:sz="0" w:space="0" w:color="auto"/>
            <w:right w:val="none" w:sz="0" w:space="0" w:color="auto"/>
          </w:divBdr>
          <w:divsChild>
            <w:div w:id="164825585">
              <w:marLeft w:val="0"/>
              <w:marRight w:val="0"/>
              <w:marTop w:val="0"/>
              <w:marBottom w:val="0"/>
              <w:divBdr>
                <w:top w:val="none" w:sz="0" w:space="0" w:color="auto"/>
                <w:left w:val="none" w:sz="0" w:space="0" w:color="auto"/>
                <w:bottom w:val="none" w:sz="0" w:space="0" w:color="auto"/>
                <w:right w:val="none" w:sz="0" w:space="0" w:color="auto"/>
              </w:divBdr>
            </w:div>
            <w:div w:id="223492919">
              <w:marLeft w:val="0"/>
              <w:marRight w:val="0"/>
              <w:marTop w:val="0"/>
              <w:marBottom w:val="0"/>
              <w:divBdr>
                <w:top w:val="none" w:sz="0" w:space="0" w:color="auto"/>
                <w:left w:val="none" w:sz="0" w:space="0" w:color="auto"/>
                <w:bottom w:val="none" w:sz="0" w:space="0" w:color="auto"/>
                <w:right w:val="none" w:sz="0" w:space="0" w:color="auto"/>
              </w:divBdr>
            </w:div>
            <w:div w:id="339816585">
              <w:marLeft w:val="0"/>
              <w:marRight w:val="0"/>
              <w:marTop w:val="0"/>
              <w:marBottom w:val="0"/>
              <w:divBdr>
                <w:top w:val="none" w:sz="0" w:space="0" w:color="auto"/>
                <w:left w:val="none" w:sz="0" w:space="0" w:color="auto"/>
                <w:bottom w:val="none" w:sz="0" w:space="0" w:color="auto"/>
                <w:right w:val="none" w:sz="0" w:space="0" w:color="auto"/>
              </w:divBdr>
            </w:div>
            <w:div w:id="700400445">
              <w:marLeft w:val="0"/>
              <w:marRight w:val="0"/>
              <w:marTop w:val="0"/>
              <w:marBottom w:val="0"/>
              <w:divBdr>
                <w:top w:val="none" w:sz="0" w:space="0" w:color="auto"/>
                <w:left w:val="none" w:sz="0" w:space="0" w:color="auto"/>
                <w:bottom w:val="none" w:sz="0" w:space="0" w:color="auto"/>
                <w:right w:val="none" w:sz="0" w:space="0" w:color="auto"/>
              </w:divBdr>
            </w:div>
            <w:div w:id="1234773038">
              <w:marLeft w:val="0"/>
              <w:marRight w:val="0"/>
              <w:marTop w:val="0"/>
              <w:marBottom w:val="0"/>
              <w:divBdr>
                <w:top w:val="none" w:sz="0" w:space="0" w:color="auto"/>
                <w:left w:val="none" w:sz="0" w:space="0" w:color="auto"/>
                <w:bottom w:val="none" w:sz="0" w:space="0" w:color="auto"/>
                <w:right w:val="none" w:sz="0" w:space="0" w:color="auto"/>
              </w:divBdr>
            </w:div>
            <w:div w:id="1922567359">
              <w:marLeft w:val="0"/>
              <w:marRight w:val="0"/>
              <w:marTop w:val="0"/>
              <w:marBottom w:val="0"/>
              <w:divBdr>
                <w:top w:val="none" w:sz="0" w:space="0" w:color="auto"/>
                <w:left w:val="none" w:sz="0" w:space="0" w:color="auto"/>
                <w:bottom w:val="none" w:sz="0" w:space="0" w:color="auto"/>
                <w:right w:val="none" w:sz="0" w:space="0" w:color="auto"/>
              </w:divBdr>
            </w:div>
            <w:div w:id="19355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9839">
      <w:bodyDiv w:val="1"/>
      <w:marLeft w:val="0"/>
      <w:marRight w:val="0"/>
      <w:marTop w:val="0"/>
      <w:marBottom w:val="0"/>
      <w:divBdr>
        <w:top w:val="none" w:sz="0" w:space="0" w:color="auto"/>
        <w:left w:val="none" w:sz="0" w:space="0" w:color="auto"/>
        <w:bottom w:val="none" w:sz="0" w:space="0" w:color="auto"/>
        <w:right w:val="none" w:sz="0" w:space="0" w:color="auto"/>
      </w:divBdr>
      <w:divsChild>
        <w:div w:id="500120907">
          <w:marLeft w:val="0"/>
          <w:marRight w:val="0"/>
          <w:marTop w:val="0"/>
          <w:marBottom w:val="0"/>
          <w:divBdr>
            <w:top w:val="none" w:sz="0" w:space="0" w:color="auto"/>
            <w:left w:val="none" w:sz="0" w:space="0" w:color="auto"/>
            <w:bottom w:val="none" w:sz="0" w:space="0" w:color="auto"/>
            <w:right w:val="none" w:sz="0" w:space="0" w:color="auto"/>
          </w:divBdr>
        </w:div>
        <w:div w:id="1929804293">
          <w:marLeft w:val="0"/>
          <w:marRight w:val="0"/>
          <w:marTop w:val="0"/>
          <w:marBottom w:val="0"/>
          <w:divBdr>
            <w:top w:val="none" w:sz="0" w:space="0" w:color="auto"/>
            <w:left w:val="none" w:sz="0" w:space="0" w:color="auto"/>
            <w:bottom w:val="none" w:sz="0" w:space="0" w:color="auto"/>
            <w:right w:val="none" w:sz="0" w:space="0" w:color="auto"/>
          </w:divBdr>
        </w:div>
      </w:divsChild>
    </w:div>
    <w:div w:id="1030910692">
      <w:bodyDiv w:val="1"/>
      <w:marLeft w:val="0"/>
      <w:marRight w:val="0"/>
      <w:marTop w:val="0"/>
      <w:marBottom w:val="0"/>
      <w:divBdr>
        <w:top w:val="none" w:sz="0" w:space="0" w:color="auto"/>
        <w:left w:val="none" w:sz="0" w:space="0" w:color="auto"/>
        <w:bottom w:val="none" w:sz="0" w:space="0" w:color="auto"/>
        <w:right w:val="none" w:sz="0" w:space="0" w:color="auto"/>
      </w:divBdr>
      <w:divsChild>
        <w:div w:id="1127310238">
          <w:marLeft w:val="0"/>
          <w:marRight w:val="0"/>
          <w:marTop w:val="0"/>
          <w:marBottom w:val="0"/>
          <w:divBdr>
            <w:top w:val="none" w:sz="0" w:space="0" w:color="auto"/>
            <w:left w:val="none" w:sz="0" w:space="0" w:color="auto"/>
            <w:bottom w:val="none" w:sz="0" w:space="0" w:color="auto"/>
            <w:right w:val="none" w:sz="0" w:space="0" w:color="auto"/>
          </w:divBdr>
          <w:divsChild>
            <w:div w:id="208300194">
              <w:marLeft w:val="0"/>
              <w:marRight w:val="0"/>
              <w:marTop w:val="0"/>
              <w:marBottom w:val="0"/>
              <w:divBdr>
                <w:top w:val="none" w:sz="0" w:space="0" w:color="auto"/>
                <w:left w:val="none" w:sz="0" w:space="0" w:color="auto"/>
                <w:bottom w:val="none" w:sz="0" w:space="0" w:color="auto"/>
                <w:right w:val="none" w:sz="0" w:space="0" w:color="auto"/>
              </w:divBdr>
            </w:div>
            <w:div w:id="221907332">
              <w:marLeft w:val="0"/>
              <w:marRight w:val="0"/>
              <w:marTop w:val="0"/>
              <w:marBottom w:val="0"/>
              <w:divBdr>
                <w:top w:val="none" w:sz="0" w:space="0" w:color="auto"/>
                <w:left w:val="none" w:sz="0" w:space="0" w:color="auto"/>
                <w:bottom w:val="none" w:sz="0" w:space="0" w:color="auto"/>
                <w:right w:val="none" w:sz="0" w:space="0" w:color="auto"/>
              </w:divBdr>
            </w:div>
            <w:div w:id="992493357">
              <w:marLeft w:val="0"/>
              <w:marRight w:val="0"/>
              <w:marTop w:val="0"/>
              <w:marBottom w:val="0"/>
              <w:divBdr>
                <w:top w:val="none" w:sz="0" w:space="0" w:color="auto"/>
                <w:left w:val="none" w:sz="0" w:space="0" w:color="auto"/>
                <w:bottom w:val="none" w:sz="0" w:space="0" w:color="auto"/>
                <w:right w:val="none" w:sz="0" w:space="0" w:color="auto"/>
              </w:divBdr>
            </w:div>
            <w:div w:id="1048646391">
              <w:marLeft w:val="0"/>
              <w:marRight w:val="0"/>
              <w:marTop w:val="0"/>
              <w:marBottom w:val="0"/>
              <w:divBdr>
                <w:top w:val="none" w:sz="0" w:space="0" w:color="auto"/>
                <w:left w:val="none" w:sz="0" w:space="0" w:color="auto"/>
                <w:bottom w:val="none" w:sz="0" w:space="0" w:color="auto"/>
                <w:right w:val="none" w:sz="0" w:space="0" w:color="auto"/>
              </w:divBdr>
            </w:div>
            <w:div w:id="1241797332">
              <w:marLeft w:val="0"/>
              <w:marRight w:val="0"/>
              <w:marTop w:val="0"/>
              <w:marBottom w:val="0"/>
              <w:divBdr>
                <w:top w:val="none" w:sz="0" w:space="0" w:color="auto"/>
                <w:left w:val="none" w:sz="0" w:space="0" w:color="auto"/>
                <w:bottom w:val="none" w:sz="0" w:space="0" w:color="auto"/>
                <w:right w:val="none" w:sz="0" w:space="0" w:color="auto"/>
              </w:divBdr>
            </w:div>
            <w:div w:id="1913007758">
              <w:marLeft w:val="0"/>
              <w:marRight w:val="0"/>
              <w:marTop w:val="0"/>
              <w:marBottom w:val="0"/>
              <w:divBdr>
                <w:top w:val="none" w:sz="0" w:space="0" w:color="auto"/>
                <w:left w:val="none" w:sz="0" w:space="0" w:color="auto"/>
                <w:bottom w:val="none" w:sz="0" w:space="0" w:color="auto"/>
                <w:right w:val="none" w:sz="0" w:space="0" w:color="auto"/>
              </w:divBdr>
            </w:div>
            <w:div w:id="1938950070">
              <w:marLeft w:val="0"/>
              <w:marRight w:val="0"/>
              <w:marTop w:val="0"/>
              <w:marBottom w:val="0"/>
              <w:divBdr>
                <w:top w:val="none" w:sz="0" w:space="0" w:color="auto"/>
                <w:left w:val="none" w:sz="0" w:space="0" w:color="auto"/>
                <w:bottom w:val="none" w:sz="0" w:space="0" w:color="auto"/>
                <w:right w:val="none" w:sz="0" w:space="0" w:color="auto"/>
              </w:divBdr>
            </w:div>
          </w:divsChild>
        </w:div>
        <w:div w:id="1806121396">
          <w:marLeft w:val="0"/>
          <w:marRight w:val="0"/>
          <w:marTop w:val="0"/>
          <w:marBottom w:val="0"/>
          <w:divBdr>
            <w:top w:val="none" w:sz="0" w:space="0" w:color="auto"/>
            <w:left w:val="none" w:sz="0" w:space="0" w:color="auto"/>
            <w:bottom w:val="none" w:sz="0" w:space="0" w:color="auto"/>
            <w:right w:val="none" w:sz="0" w:space="0" w:color="auto"/>
          </w:divBdr>
          <w:divsChild>
            <w:div w:id="610630364">
              <w:marLeft w:val="0"/>
              <w:marRight w:val="0"/>
              <w:marTop w:val="0"/>
              <w:marBottom w:val="0"/>
              <w:divBdr>
                <w:top w:val="none" w:sz="0" w:space="0" w:color="auto"/>
                <w:left w:val="none" w:sz="0" w:space="0" w:color="auto"/>
                <w:bottom w:val="none" w:sz="0" w:space="0" w:color="auto"/>
                <w:right w:val="none" w:sz="0" w:space="0" w:color="auto"/>
              </w:divBdr>
            </w:div>
            <w:div w:id="771709766">
              <w:marLeft w:val="0"/>
              <w:marRight w:val="0"/>
              <w:marTop w:val="0"/>
              <w:marBottom w:val="0"/>
              <w:divBdr>
                <w:top w:val="none" w:sz="0" w:space="0" w:color="auto"/>
                <w:left w:val="none" w:sz="0" w:space="0" w:color="auto"/>
                <w:bottom w:val="none" w:sz="0" w:space="0" w:color="auto"/>
                <w:right w:val="none" w:sz="0" w:space="0" w:color="auto"/>
              </w:divBdr>
            </w:div>
            <w:div w:id="1309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783">
      <w:bodyDiv w:val="1"/>
      <w:marLeft w:val="0"/>
      <w:marRight w:val="0"/>
      <w:marTop w:val="0"/>
      <w:marBottom w:val="0"/>
      <w:divBdr>
        <w:top w:val="none" w:sz="0" w:space="0" w:color="auto"/>
        <w:left w:val="none" w:sz="0" w:space="0" w:color="auto"/>
        <w:bottom w:val="none" w:sz="0" w:space="0" w:color="auto"/>
        <w:right w:val="none" w:sz="0" w:space="0" w:color="auto"/>
      </w:divBdr>
      <w:divsChild>
        <w:div w:id="79377934">
          <w:marLeft w:val="0"/>
          <w:marRight w:val="0"/>
          <w:marTop w:val="0"/>
          <w:marBottom w:val="0"/>
          <w:divBdr>
            <w:top w:val="none" w:sz="0" w:space="0" w:color="auto"/>
            <w:left w:val="none" w:sz="0" w:space="0" w:color="auto"/>
            <w:bottom w:val="none" w:sz="0" w:space="0" w:color="auto"/>
            <w:right w:val="none" w:sz="0" w:space="0" w:color="auto"/>
          </w:divBdr>
        </w:div>
        <w:div w:id="1522011627">
          <w:marLeft w:val="0"/>
          <w:marRight w:val="0"/>
          <w:marTop w:val="0"/>
          <w:marBottom w:val="0"/>
          <w:divBdr>
            <w:top w:val="none" w:sz="0" w:space="0" w:color="auto"/>
            <w:left w:val="none" w:sz="0" w:space="0" w:color="auto"/>
            <w:bottom w:val="none" w:sz="0" w:space="0" w:color="auto"/>
            <w:right w:val="none" w:sz="0" w:space="0" w:color="auto"/>
          </w:divBdr>
        </w:div>
        <w:div w:id="1936131134">
          <w:marLeft w:val="0"/>
          <w:marRight w:val="0"/>
          <w:marTop w:val="0"/>
          <w:marBottom w:val="0"/>
          <w:divBdr>
            <w:top w:val="none" w:sz="0" w:space="0" w:color="auto"/>
            <w:left w:val="none" w:sz="0" w:space="0" w:color="auto"/>
            <w:bottom w:val="none" w:sz="0" w:space="0" w:color="auto"/>
            <w:right w:val="none" w:sz="0" w:space="0" w:color="auto"/>
          </w:divBdr>
        </w:div>
      </w:divsChild>
    </w:div>
    <w:div w:id="1142693429">
      <w:bodyDiv w:val="1"/>
      <w:marLeft w:val="0"/>
      <w:marRight w:val="0"/>
      <w:marTop w:val="0"/>
      <w:marBottom w:val="0"/>
      <w:divBdr>
        <w:top w:val="none" w:sz="0" w:space="0" w:color="auto"/>
        <w:left w:val="none" w:sz="0" w:space="0" w:color="auto"/>
        <w:bottom w:val="none" w:sz="0" w:space="0" w:color="auto"/>
        <w:right w:val="none" w:sz="0" w:space="0" w:color="auto"/>
      </w:divBdr>
      <w:divsChild>
        <w:div w:id="488639698">
          <w:marLeft w:val="0"/>
          <w:marRight w:val="0"/>
          <w:marTop w:val="0"/>
          <w:marBottom w:val="0"/>
          <w:divBdr>
            <w:top w:val="none" w:sz="0" w:space="0" w:color="auto"/>
            <w:left w:val="none" w:sz="0" w:space="0" w:color="auto"/>
            <w:bottom w:val="none" w:sz="0" w:space="0" w:color="auto"/>
            <w:right w:val="none" w:sz="0" w:space="0" w:color="auto"/>
          </w:divBdr>
        </w:div>
        <w:div w:id="1444956730">
          <w:marLeft w:val="0"/>
          <w:marRight w:val="0"/>
          <w:marTop w:val="0"/>
          <w:marBottom w:val="0"/>
          <w:divBdr>
            <w:top w:val="none" w:sz="0" w:space="0" w:color="auto"/>
            <w:left w:val="none" w:sz="0" w:space="0" w:color="auto"/>
            <w:bottom w:val="none" w:sz="0" w:space="0" w:color="auto"/>
            <w:right w:val="none" w:sz="0" w:space="0" w:color="auto"/>
          </w:divBdr>
          <w:divsChild>
            <w:div w:id="678586945">
              <w:marLeft w:val="0"/>
              <w:marRight w:val="0"/>
              <w:marTop w:val="0"/>
              <w:marBottom w:val="0"/>
              <w:divBdr>
                <w:top w:val="none" w:sz="0" w:space="0" w:color="auto"/>
                <w:left w:val="none" w:sz="0" w:space="0" w:color="auto"/>
                <w:bottom w:val="none" w:sz="0" w:space="0" w:color="auto"/>
                <w:right w:val="none" w:sz="0" w:space="0" w:color="auto"/>
              </w:divBdr>
            </w:div>
            <w:div w:id="1126846927">
              <w:marLeft w:val="0"/>
              <w:marRight w:val="0"/>
              <w:marTop w:val="0"/>
              <w:marBottom w:val="0"/>
              <w:divBdr>
                <w:top w:val="none" w:sz="0" w:space="0" w:color="auto"/>
                <w:left w:val="none" w:sz="0" w:space="0" w:color="auto"/>
                <w:bottom w:val="none" w:sz="0" w:space="0" w:color="auto"/>
                <w:right w:val="none" w:sz="0" w:space="0" w:color="auto"/>
              </w:divBdr>
            </w:div>
            <w:div w:id="1369914157">
              <w:marLeft w:val="0"/>
              <w:marRight w:val="0"/>
              <w:marTop w:val="0"/>
              <w:marBottom w:val="0"/>
              <w:divBdr>
                <w:top w:val="none" w:sz="0" w:space="0" w:color="auto"/>
                <w:left w:val="none" w:sz="0" w:space="0" w:color="auto"/>
                <w:bottom w:val="none" w:sz="0" w:space="0" w:color="auto"/>
                <w:right w:val="none" w:sz="0" w:space="0" w:color="auto"/>
              </w:divBdr>
            </w:div>
            <w:div w:id="1455053395">
              <w:marLeft w:val="0"/>
              <w:marRight w:val="0"/>
              <w:marTop w:val="0"/>
              <w:marBottom w:val="0"/>
              <w:divBdr>
                <w:top w:val="none" w:sz="0" w:space="0" w:color="auto"/>
                <w:left w:val="none" w:sz="0" w:space="0" w:color="auto"/>
                <w:bottom w:val="none" w:sz="0" w:space="0" w:color="auto"/>
                <w:right w:val="none" w:sz="0" w:space="0" w:color="auto"/>
              </w:divBdr>
            </w:div>
            <w:div w:id="1637636235">
              <w:marLeft w:val="0"/>
              <w:marRight w:val="0"/>
              <w:marTop w:val="0"/>
              <w:marBottom w:val="0"/>
              <w:divBdr>
                <w:top w:val="none" w:sz="0" w:space="0" w:color="auto"/>
                <w:left w:val="none" w:sz="0" w:space="0" w:color="auto"/>
                <w:bottom w:val="none" w:sz="0" w:space="0" w:color="auto"/>
                <w:right w:val="none" w:sz="0" w:space="0" w:color="auto"/>
              </w:divBdr>
            </w:div>
            <w:div w:id="2137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199">
      <w:bodyDiv w:val="1"/>
      <w:marLeft w:val="0"/>
      <w:marRight w:val="0"/>
      <w:marTop w:val="0"/>
      <w:marBottom w:val="0"/>
      <w:divBdr>
        <w:top w:val="none" w:sz="0" w:space="0" w:color="auto"/>
        <w:left w:val="none" w:sz="0" w:space="0" w:color="auto"/>
        <w:bottom w:val="none" w:sz="0" w:space="0" w:color="auto"/>
        <w:right w:val="none" w:sz="0" w:space="0" w:color="auto"/>
      </w:divBdr>
    </w:div>
    <w:div w:id="1254895017">
      <w:bodyDiv w:val="1"/>
      <w:marLeft w:val="0"/>
      <w:marRight w:val="0"/>
      <w:marTop w:val="0"/>
      <w:marBottom w:val="0"/>
      <w:divBdr>
        <w:top w:val="none" w:sz="0" w:space="0" w:color="auto"/>
        <w:left w:val="none" w:sz="0" w:space="0" w:color="auto"/>
        <w:bottom w:val="none" w:sz="0" w:space="0" w:color="auto"/>
        <w:right w:val="none" w:sz="0" w:space="0" w:color="auto"/>
      </w:divBdr>
      <w:divsChild>
        <w:div w:id="1708602954">
          <w:marLeft w:val="0"/>
          <w:marRight w:val="0"/>
          <w:marTop w:val="0"/>
          <w:marBottom w:val="0"/>
          <w:divBdr>
            <w:top w:val="none" w:sz="0" w:space="0" w:color="auto"/>
            <w:left w:val="none" w:sz="0" w:space="0" w:color="auto"/>
            <w:bottom w:val="none" w:sz="0" w:space="0" w:color="auto"/>
            <w:right w:val="none" w:sz="0" w:space="0" w:color="auto"/>
          </w:divBdr>
          <w:divsChild>
            <w:div w:id="27487088">
              <w:marLeft w:val="0"/>
              <w:marRight w:val="0"/>
              <w:marTop w:val="0"/>
              <w:marBottom w:val="0"/>
              <w:divBdr>
                <w:top w:val="none" w:sz="0" w:space="0" w:color="auto"/>
                <w:left w:val="none" w:sz="0" w:space="0" w:color="auto"/>
                <w:bottom w:val="none" w:sz="0" w:space="0" w:color="auto"/>
                <w:right w:val="none" w:sz="0" w:space="0" w:color="auto"/>
              </w:divBdr>
            </w:div>
            <w:div w:id="202905220">
              <w:marLeft w:val="0"/>
              <w:marRight w:val="0"/>
              <w:marTop w:val="0"/>
              <w:marBottom w:val="0"/>
              <w:divBdr>
                <w:top w:val="none" w:sz="0" w:space="0" w:color="auto"/>
                <w:left w:val="none" w:sz="0" w:space="0" w:color="auto"/>
                <w:bottom w:val="none" w:sz="0" w:space="0" w:color="auto"/>
                <w:right w:val="none" w:sz="0" w:space="0" w:color="auto"/>
              </w:divBdr>
            </w:div>
            <w:div w:id="804541587">
              <w:marLeft w:val="0"/>
              <w:marRight w:val="0"/>
              <w:marTop w:val="0"/>
              <w:marBottom w:val="0"/>
              <w:divBdr>
                <w:top w:val="none" w:sz="0" w:space="0" w:color="auto"/>
                <w:left w:val="none" w:sz="0" w:space="0" w:color="auto"/>
                <w:bottom w:val="none" w:sz="0" w:space="0" w:color="auto"/>
                <w:right w:val="none" w:sz="0" w:space="0" w:color="auto"/>
              </w:divBdr>
            </w:div>
            <w:div w:id="1098595481">
              <w:marLeft w:val="0"/>
              <w:marRight w:val="0"/>
              <w:marTop w:val="0"/>
              <w:marBottom w:val="0"/>
              <w:divBdr>
                <w:top w:val="none" w:sz="0" w:space="0" w:color="auto"/>
                <w:left w:val="none" w:sz="0" w:space="0" w:color="auto"/>
                <w:bottom w:val="none" w:sz="0" w:space="0" w:color="auto"/>
                <w:right w:val="none" w:sz="0" w:space="0" w:color="auto"/>
              </w:divBdr>
            </w:div>
            <w:div w:id="1242759213">
              <w:marLeft w:val="0"/>
              <w:marRight w:val="0"/>
              <w:marTop w:val="0"/>
              <w:marBottom w:val="0"/>
              <w:divBdr>
                <w:top w:val="none" w:sz="0" w:space="0" w:color="auto"/>
                <w:left w:val="none" w:sz="0" w:space="0" w:color="auto"/>
                <w:bottom w:val="none" w:sz="0" w:space="0" w:color="auto"/>
                <w:right w:val="none" w:sz="0" w:space="0" w:color="auto"/>
              </w:divBdr>
            </w:div>
            <w:div w:id="1420714534">
              <w:marLeft w:val="0"/>
              <w:marRight w:val="0"/>
              <w:marTop w:val="0"/>
              <w:marBottom w:val="0"/>
              <w:divBdr>
                <w:top w:val="none" w:sz="0" w:space="0" w:color="auto"/>
                <w:left w:val="none" w:sz="0" w:space="0" w:color="auto"/>
                <w:bottom w:val="none" w:sz="0" w:space="0" w:color="auto"/>
                <w:right w:val="none" w:sz="0" w:space="0" w:color="auto"/>
              </w:divBdr>
            </w:div>
            <w:div w:id="1585189473">
              <w:marLeft w:val="0"/>
              <w:marRight w:val="0"/>
              <w:marTop w:val="0"/>
              <w:marBottom w:val="0"/>
              <w:divBdr>
                <w:top w:val="none" w:sz="0" w:space="0" w:color="auto"/>
                <w:left w:val="none" w:sz="0" w:space="0" w:color="auto"/>
                <w:bottom w:val="none" w:sz="0" w:space="0" w:color="auto"/>
                <w:right w:val="none" w:sz="0" w:space="0" w:color="auto"/>
              </w:divBdr>
            </w:div>
          </w:divsChild>
        </w:div>
        <w:div w:id="1982803257">
          <w:marLeft w:val="0"/>
          <w:marRight w:val="0"/>
          <w:marTop w:val="0"/>
          <w:marBottom w:val="0"/>
          <w:divBdr>
            <w:top w:val="none" w:sz="0" w:space="0" w:color="auto"/>
            <w:left w:val="none" w:sz="0" w:space="0" w:color="auto"/>
            <w:bottom w:val="none" w:sz="0" w:space="0" w:color="auto"/>
            <w:right w:val="none" w:sz="0" w:space="0" w:color="auto"/>
          </w:divBdr>
          <w:divsChild>
            <w:div w:id="996148804">
              <w:marLeft w:val="0"/>
              <w:marRight w:val="0"/>
              <w:marTop w:val="0"/>
              <w:marBottom w:val="0"/>
              <w:divBdr>
                <w:top w:val="none" w:sz="0" w:space="0" w:color="auto"/>
                <w:left w:val="none" w:sz="0" w:space="0" w:color="auto"/>
                <w:bottom w:val="none" w:sz="0" w:space="0" w:color="auto"/>
                <w:right w:val="none" w:sz="0" w:space="0" w:color="auto"/>
              </w:divBdr>
            </w:div>
            <w:div w:id="1498181707">
              <w:marLeft w:val="0"/>
              <w:marRight w:val="0"/>
              <w:marTop w:val="0"/>
              <w:marBottom w:val="0"/>
              <w:divBdr>
                <w:top w:val="none" w:sz="0" w:space="0" w:color="auto"/>
                <w:left w:val="none" w:sz="0" w:space="0" w:color="auto"/>
                <w:bottom w:val="none" w:sz="0" w:space="0" w:color="auto"/>
                <w:right w:val="none" w:sz="0" w:space="0" w:color="auto"/>
              </w:divBdr>
            </w:div>
            <w:div w:id="15626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5051">
      <w:bodyDiv w:val="1"/>
      <w:marLeft w:val="0"/>
      <w:marRight w:val="0"/>
      <w:marTop w:val="0"/>
      <w:marBottom w:val="0"/>
      <w:divBdr>
        <w:top w:val="none" w:sz="0" w:space="0" w:color="auto"/>
        <w:left w:val="none" w:sz="0" w:space="0" w:color="auto"/>
        <w:bottom w:val="none" w:sz="0" w:space="0" w:color="auto"/>
        <w:right w:val="none" w:sz="0" w:space="0" w:color="auto"/>
      </w:divBdr>
    </w:div>
    <w:div w:id="1380014254">
      <w:bodyDiv w:val="1"/>
      <w:marLeft w:val="0"/>
      <w:marRight w:val="0"/>
      <w:marTop w:val="0"/>
      <w:marBottom w:val="0"/>
      <w:divBdr>
        <w:top w:val="none" w:sz="0" w:space="0" w:color="auto"/>
        <w:left w:val="none" w:sz="0" w:space="0" w:color="auto"/>
        <w:bottom w:val="none" w:sz="0" w:space="0" w:color="auto"/>
        <w:right w:val="none" w:sz="0" w:space="0" w:color="auto"/>
      </w:divBdr>
      <w:divsChild>
        <w:div w:id="156389011">
          <w:marLeft w:val="0"/>
          <w:marRight w:val="0"/>
          <w:marTop w:val="0"/>
          <w:marBottom w:val="0"/>
          <w:divBdr>
            <w:top w:val="none" w:sz="0" w:space="0" w:color="auto"/>
            <w:left w:val="none" w:sz="0" w:space="0" w:color="auto"/>
            <w:bottom w:val="none" w:sz="0" w:space="0" w:color="auto"/>
            <w:right w:val="none" w:sz="0" w:space="0" w:color="auto"/>
          </w:divBdr>
        </w:div>
        <w:div w:id="202400550">
          <w:marLeft w:val="0"/>
          <w:marRight w:val="0"/>
          <w:marTop w:val="0"/>
          <w:marBottom w:val="0"/>
          <w:divBdr>
            <w:top w:val="none" w:sz="0" w:space="0" w:color="auto"/>
            <w:left w:val="none" w:sz="0" w:space="0" w:color="auto"/>
            <w:bottom w:val="none" w:sz="0" w:space="0" w:color="auto"/>
            <w:right w:val="none" w:sz="0" w:space="0" w:color="auto"/>
          </w:divBdr>
        </w:div>
        <w:div w:id="239609090">
          <w:marLeft w:val="0"/>
          <w:marRight w:val="0"/>
          <w:marTop w:val="0"/>
          <w:marBottom w:val="0"/>
          <w:divBdr>
            <w:top w:val="none" w:sz="0" w:space="0" w:color="auto"/>
            <w:left w:val="none" w:sz="0" w:space="0" w:color="auto"/>
            <w:bottom w:val="none" w:sz="0" w:space="0" w:color="auto"/>
            <w:right w:val="none" w:sz="0" w:space="0" w:color="auto"/>
          </w:divBdr>
        </w:div>
        <w:div w:id="317811975">
          <w:marLeft w:val="0"/>
          <w:marRight w:val="0"/>
          <w:marTop w:val="0"/>
          <w:marBottom w:val="0"/>
          <w:divBdr>
            <w:top w:val="none" w:sz="0" w:space="0" w:color="auto"/>
            <w:left w:val="none" w:sz="0" w:space="0" w:color="auto"/>
            <w:bottom w:val="none" w:sz="0" w:space="0" w:color="auto"/>
            <w:right w:val="none" w:sz="0" w:space="0" w:color="auto"/>
          </w:divBdr>
        </w:div>
        <w:div w:id="1747725231">
          <w:marLeft w:val="0"/>
          <w:marRight w:val="0"/>
          <w:marTop w:val="0"/>
          <w:marBottom w:val="0"/>
          <w:divBdr>
            <w:top w:val="none" w:sz="0" w:space="0" w:color="auto"/>
            <w:left w:val="none" w:sz="0" w:space="0" w:color="auto"/>
            <w:bottom w:val="none" w:sz="0" w:space="0" w:color="auto"/>
            <w:right w:val="none" w:sz="0" w:space="0" w:color="auto"/>
          </w:divBdr>
        </w:div>
        <w:div w:id="1749305573">
          <w:marLeft w:val="0"/>
          <w:marRight w:val="0"/>
          <w:marTop w:val="0"/>
          <w:marBottom w:val="0"/>
          <w:divBdr>
            <w:top w:val="none" w:sz="0" w:space="0" w:color="auto"/>
            <w:left w:val="none" w:sz="0" w:space="0" w:color="auto"/>
            <w:bottom w:val="none" w:sz="0" w:space="0" w:color="auto"/>
            <w:right w:val="none" w:sz="0" w:space="0" w:color="auto"/>
          </w:divBdr>
        </w:div>
        <w:div w:id="2003510899">
          <w:marLeft w:val="0"/>
          <w:marRight w:val="0"/>
          <w:marTop w:val="0"/>
          <w:marBottom w:val="0"/>
          <w:divBdr>
            <w:top w:val="none" w:sz="0" w:space="0" w:color="auto"/>
            <w:left w:val="none" w:sz="0" w:space="0" w:color="auto"/>
            <w:bottom w:val="none" w:sz="0" w:space="0" w:color="auto"/>
            <w:right w:val="none" w:sz="0" w:space="0" w:color="auto"/>
          </w:divBdr>
        </w:div>
        <w:div w:id="2045133013">
          <w:marLeft w:val="0"/>
          <w:marRight w:val="0"/>
          <w:marTop w:val="0"/>
          <w:marBottom w:val="0"/>
          <w:divBdr>
            <w:top w:val="none" w:sz="0" w:space="0" w:color="auto"/>
            <w:left w:val="none" w:sz="0" w:space="0" w:color="auto"/>
            <w:bottom w:val="none" w:sz="0" w:space="0" w:color="auto"/>
            <w:right w:val="none" w:sz="0" w:space="0" w:color="auto"/>
          </w:divBdr>
        </w:div>
      </w:divsChild>
    </w:div>
    <w:div w:id="1422485586">
      <w:bodyDiv w:val="1"/>
      <w:marLeft w:val="0"/>
      <w:marRight w:val="0"/>
      <w:marTop w:val="0"/>
      <w:marBottom w:val="0"/>
      <w:divBdr>
        <w:top w:val="none" w:sz="0" w:space="0" w:color="auto"/>
        <w:left w:val="none" w:sz="0" w:space="0" w:color="auto"/>
        <w:bottom w:val="none" w:sz="0" w:space="0" w:color="auto"/>
        <w:right w:val="none" w:sz="0" w:space="0" w:color="auto"/>
      </w:divBdr>
    </w:div>
    <w:div w:id="1464470112">
      <w:bodyDiv w:val="1"/>
      <w:marLeft w:val="0"/>
      <w:marRight w:val="0"/>
      <w:marTop w:val="0"/>
      <w:marBottom w:val="0"/>
      <w:divBdr>
        <w:top w:val="none" w:sz="0" w:space="0" w:color="auto"/>
        <w:left w:val="none" w:sz="0" w:space="0" w:color="auto"/>
        <w:bottom w:val="none" w:sz="0" w:space="0" w:color="auto"/>
        <w:right w:val="none" w:sz="0" w:space="0" w:color="auto"/>
      </w:divBdr>
      <w:divsChild>
        <w:div w:id="957642002">
          <w:marLeft w:val="0"/>
          <w:marRight w:val="0"/>
          <w:marTop w:val="0"/>
          <w:marBottom w:val="0"/>
          <w:divBdr>
            <w:top w:val="none" w:sz="0" w:space="0" w:color="auto"/>
            <w:left w:val="none" w:sz="0" w:space="0" w:color="auto"/>
            <w:bottom w:val="none" w:sz="0" w:space="0" w:color="auto"/>
            <w:right w:val="none" w:sz="0" w:space="0" w:color="auto"/>
          </w:divBdr>
        </w:div>
        <w:div w:id="2113159941">
          <w:marLeft w:val="0"/>
          <w:marRight w:val="0"/>
          <w:marTop w:val="0"/>
          <w:marBottom w:val="0"/>
          <w:divBdr>
            <w:top w:val="none" w:sz="0" w:space="0" w:color="auto"/>
            <w:left w:val="none" w:sz="0" w:space="0" w:color="auto"/>
            <w:bottom w:val="none" w:sz="0" w:space="0" w:color="auto"/>
            <w:right w:val="none" w:sz="0" w:space="0" w:color="auto"/>
          </w:divBdr>
        </w:div>
      </w:divsChild>
    </w:div>
    <w:div w:id="1518815417">
      <w:bodyDiv w:val="1"/>
      <w:marLeft w:val="0"/>
      <w:marRight w:val="0"/>
      <w:marTop w:val="0"/>
      <w:marBottom w:val="0"/>
      <w:divBdr>
        <w:top w:val="none" w:sz="0" w:space="0" w:color="auto"/>
        <w:left w:val="none" w:sz="0" w:space="0" w:color="auto"/>
        <w:bottom w:val="none" w:sz="0" w:space="0" w:color="auto"/>
        <w:right w:val="none" w:sz="0" w:space="0" w:color="auto"/>
      </w:divBdr>
    </w:div>
    <w:div w:id="1571303095">
      <w:bodyDiv w:val="1"/>
      <w:marLeft w:val="0"/>
      <w:marRight w:val="0"/>
      <w:marTop w:val="0"/>
      <w:marBottom w:val="0"/>
      <w:divBdr>
        <w:top w:val="none" w:sz="0" w:space="0" w:color="auto"/>
        <w:left w:val="none" w:sz="0" w:space="0" w:color="auto"/>
        <w:bottom w:val="none" w:sz="0" w:space="0" w:color="auto"/>
        <w:right w:val="none" w:sz="0" w:space="0" w:color="auto"/>
      </w:divBdr>
    </w:div>
    <w:div w:id="1590769856">
      <w:bodyDiv w:val="1"/>
      <w:marLeft w:val="0"/>
      <w:marRight w:val="0"/>
      <w:marTop w:val="0"/>
      <w:marBottom w:val="0"/>
      <w:divBdr>
        <w:top w:val="none" w:sz="0" w:space="0" w:color="auto"/>
        <w:left w:val="none" w:sz="0" w:space="0" w:color="auto"/>
        <w:bottom w:val="none" w:sz="0" w:space="0" w:color="auto"/>
        <w:right w:val="none" w:sz="0" w:space="0" w:color="auto"/>
      </w:divBdr>
      <w:divsChild>
        <w:div w:id="10183113">
          <w:marLeft w:val="0"/>
          <w:marRight w:val="0"/>
          <w:marTop w:val="0"/>
          <w:marBottom w:val="0"/>
          <w:divBdr>
            <w:top w:val="none" w:sz="0" w:space="0" w:color="auto"/>
            <w:left w:val="none" w:sz="0" w:space="0" w:color="auto"/>
            <w:bottom w:val="none" w:sz="0" w:space="0" w:color="auto"/>
            <w:right w:val="none" w:sz="0" w:space="0" w:color="auto"/>
          </w:divBdr>
        </w:div>
        <w:div w:id="238758950">
          <w:marLeft w:val="0"/>
          <w:marRight w:val="0"/>
          <w:marTop w:val="0"/>
          <w:marBottom w:val="0"/>
          <w:divBdr>
            <w:top w:val="none" w:sz="0" w:space="0" w:color="auto"/>
            <w:left w:val="none" w:sz="0" w:space="0" w:color="auto"/>
            <w:bottom w:val="none" w:sz="0" w:space="0" w:color="auto"/>
            <w:right w:val="none" w:sz="0" w:space="0" w:color="auto"/>
          </w:divBdr>
        </w:div>
        <w:div w:id="1223516156">
          <w:marLeft w:val="0"/>
          <w:marRight w:val="0"/>
          <w:marTop w:val="0"/>
          <w:marBottom w:val="0"/>
          <w:divBdr>
            <w:top w:val="none" w:sz="0" w:space="0" w:color="auto"/>
            <w:left w:val="none" w:sz="0" w:space="0" w:color="auto"/>
            <w:bottom w:val="none" w:sz="0" w:space="0" w:color="auto"/>
            <w:right w:val="none" w:sz="0" w:space="0" w:color="auto"/>
          </w:divBdr>
        </w:div>
      </w:divsChild>
    </w:div>
    <w:div w:id="1652171363">
      <w:bodyDiv w:val="1"/>
      <w:marLeft w:val="0"/>
      <w:marRight w:val="0"/>
      <w:marTop w:val="0"/>
      <w:marBottom w:val="0"/>
      <w:divBdr>
        <w:top w:val="none" w:sz="0" w:space="0" w:color="auto"/>
        <w:left w:val="none" w:sz="0" w:space="0" w:color="auto"/>
        <w:bottom w:val="none" w:sz="0" w:space="0" w:color="auto"/>
        <w:right w:val="none" w:sz="0" w:space="0" w:color="auto"/>
      </w:divBdr>
    </w:div>
    <w:div w:id="1702171921">
      <w:bodyDiv w:val="1"/>
      <w:marLeft w:val="0"/>
      <w:marRight w:val="0"/>
      <w:marTop w:val="0"/>
      <w:marBottom w:val="0"/>
      <w:divBdr>
        <w:top w:val="none" w:sz="0" w:space="0" w:color="auto"/>
        <w:left w:val="none" w:sz="0" w:space="0" w:color="auto"/>
        <w:bottom w:val="none" w:sz="0" w:space="0" w:color="auto"/>
        <w:right w:val="none" w:sz="0" w:space="0" w:color="auto"/>
      </w:divBdr>
      <w:divsChild>
        <w:div w:id="1077896702">
          <w:marLeft w:val="0"/>
          <w:marRight w:val="0"/>
          <w:marTop w:val="0"/>
          <w:marBottom w:val="0"/>
          <w:divBdr>
            <w:top w:val="none" w:sz="0" w:space="0" w:color="auto"/>
            <w:left w:val="none" w:sz="0" w:space="0" w:color="auto"/>
            <w:bottom w:val="none" w:sz="0" w:space="0" w:color="auto"/>
            <w:right w:val="none" w:sz="0" w:space="0" w:color="auto"/>
          </w:divBdr>
        </w:div>
        <w:div w:id="1502810926">
          <w:marLeft w:val="0"/>
          <w:marRight w:val="0"/>
          <w:marTop w:val="0"/>
          <w:marBottom w:val="0"/>
          <w:divBdr>
            <w:top w:val="none" w:sz="0" w:space="0" w:color="auto"/>
            <w:left w:val="none" w:sz="0" w:space="0" w:color="auto"/>
            <w:bottom w:val="none" w:sz="0" w:space="0" w:color="auto"/>
            <w:right w:val="none" w:sz="0" w:space="0" w:color="auto"/>
          </w:divBdr>
        </w:div>
      </w:divsChild>
    </w:div>
    <w:div w:id="1716196697">
      <w:bodyDiv w:val="1"/>
      <w:marLeft w:val="0"/>
      <w:marRight w:val="0"/>
      <w:marTop w:val="0"/>
      <w:marBottom w:val="0"/>
      <w:divBdr>
        <w:top w:val="none" w:sz="0" w:space="0" w:color="auto"/>
        <w:left w:val="none" w:sz="0" w:space="0" w:color="auto"/>
        <w:bottom w:val="none" w:sz="0" w:space="0" w:color="auto"/>
        <w:right w:val="none" w:sz="0" w:space="0" w:color="auto"/>
      </w:divBdr>
      <w:divsChild>
        <w:div w:id="1017080158">
          <w:marLeft w:val="0"/>
          <w:marRight w:val="0"/>
          <w:marTop w:val="0"/>
          <w:marBottom w:val="0"/>
          <w:divBdr>
            <w:top w:val="none" w:sz="0" w:space="0" w:color="auto"/>
            <w:left w:val="none" w:sz="0" w:space="0" w:color="auto"/>
            <w:bottom w:val="none" w:sz="0" w:space="0" w:color="auto"/>
            <w:right w:val="none" w:sz="0" w:space="0" w:color="auto"/>
          </w:divBdr>
        </w:div>
        <w:div w:id="1206135005">
          <w:marLeft w:val="0"/>
          <w:marRight w:val="0"/>
          <w:marTop w:val="0"/>
          <w:marBottom w:val="0"/>
          <w:divBdr>
            <w:top w:val="none" w:sz="0" w:space="0" w:color="auto"/>
            <w:left w:val="none" w:sz="0" w:space="0" w:color="auto"/>
            <w:bottom w:val="none" w:sz="0" w:space="0" w:color="auto"/>
            <w:right w:val="none" w:sz="0" w:space="0" w:color="auto"/>
          </w:divBdr>
        </w:div>
      </w:divsChild>
    </w:div>
    <w:div w:id="1729765890">
      <w:bodyDiv w:val="1"/>
      <w:marLeft w:val="0"/>
      <w:marRight w:val="0"/>
      <w:marTop w:val="0"/>
      <w:marBottom w:val="0"/>
      <w:divBdr>
        <w:top w:val="none" w:sz="0" w:space="0" w:color="auto"/>
        <w:left w:val="none" w:sz="0" w:space="0" w:color="auto"/>
        <w:bottom w:val="none" w:sz="0" w:space="0" w:color="auto"/>
        <w:right w:val="none" w:sz="0" w:space="0" w:color="auto"/>
      </w:divBdr>
    </w:div>
    <w:div w:id="1846895639">
      <w:bodyDiv w:val="1"/>
      <w:marLeft w:val="0"/>
      <w:marRight w:val="0"/>
      <w:marTop w:val="0"/>
      <w:marBottom w:val="0"/>
      <w:divBdr>
        <w:top w:val="none" w:sz="0" w:space="0" w:color="auto"/>
        <w:left w:val="none" w:sz="0" w:space="0" w:color="auto"/>
        <w:bottom w:val="none" w:sz="0" w:space="0" w:color="auto"/>
        <w:right w:val="none" w:sz="0" w:space="0" w:color="auto"/>
      </w:divBdr>
      <w:divsChild>
        <w:div w:id="62871742">
          <w:marLeft w:val="0"/>
          <w:marRight w:val="0"/>
          <w:marTop w:val="0"/>
          <w:marBottom w:val="0"/>
          <w:divBdr>
            <w:top w:val="none" w:sz="0" w:space="0" w:color="auto"/>
            <w:left w:val="none" w:sz="0" w:space="0" w:color="auto"/>
            <w:bottom w:val="none" w:sz="0" w:space="0" w:color="auto"/>
            <w:right w:val="none" w:sz="0" w:space="0" w:color="auto"/>
          </w:divBdr>
        </w:div>
        <w:div w:id="152915594">
          <w:marLeft w:val="0"/>
          <w:marRight w:val="0"/>
          <w:marTop w:val="0"/>
          <w:marBottom w:val="0"/>
          <w:divBdr>
            <w:top w:val="none" w:sz="0" w:space="0" w:color="auto"/>
            <w:left w:val="none" w:sz="0" w:space="0" w:color="auto"/>
            <w:bottom w:val="none" w:sz="0" w:space="0" w:color="auto"/>
            <w:right w:val="none" w:sz="0" w:space="0" w:color="auto"/>
          </w:divBdr>
        </w:div>
        <w:div w:id="594556228">
          <w:marLeft w:val="0"/>
          <w:marRight w:val="0"/>
          <w:marTop w:val="0"/>
          <w:marBottom w:val="0"/>
          <w:divBdr>
            <w:top w:val="none" w:sz="0" w:space="0" w:color="auto"/>
            <w:left w:val="none" w:sz="0" w:space="0" w:color="auto"/>
            <w:bottom w:val="none" w:sz="0" w:space="0" w:color="auto"/>
            <w:right w:val="none" w:sz="0" w:space="0" w:color="auto"/>
          </w:divBdr>
        </w:div>
        <w:div w:id="679048203">
          <w:marLeft w:val="0"/>
          <w:marRight w:val="0"/>
          <w:marTop w:val="0"/>
          <w:marBottom w:val="0"/>
          <w:divBdr>
            <w:top w:val="none" w:sz="0" w:space="0" w:color="auto"/>
            <w:left w:val="none" w:sz="0" w:space="0" w:color="auto"/>
            <w:bottom w:val="none" w:sz="0" w:space="0" w:color="auto"/>
            <w:right w:val="none" w:sz="0" w:space="0" w:color="auto"/>
          </w:divBdr>
        </w:div>
        <w:div w:id="1533226764">
          <w:marLeft w:val="0"/>
          <w:marRight w:val="0"/>
          <w:marTop w:val="0"/>
          <w:marBottom w:val="0"/>
          <w:divBdr>
            <w:top w:val="none" w:sz="0" w:space="0" w:color="auto"/>
            <w:left w:val="none" w:sz="0" w:space="0" w:color="auto"/>
            <w:bottom w:val="none" w:sz="0" w:space="0" w:color="auto"/>
            <w:right w:val="none" w:sz="0" w:space="0" w:color="auto"/>
          </w:divBdr>
        </w:div>
      </w:divsChild>
    </w:div>
    <w:div w:id="1916283020">
      <w:bodyDiv w:val="1"/>
      <w:marLeft w:val="0"/>
      <w:marRight w:val="0"/>
      <w:marTop w:val="0"/>
      <w:marBottom w:val="0"/>
      <w:divBdr>
        <w:top w:val="none" w:sz="0" w:space="0" w:color="auto"/>
        <w:left w:val="none" w:sz="0" w:space="0" w:color="auto"/>
        <w:bottom w:val="none" w:sz="0" w:space="0" w:color="auto"/>
        <w:right w:val="none" w:sz="0" w:space="0" w:color="auto"/>
      </w:divBdr>
      <w:divsChild>
        <w:div w:id="134959489">
          <w:marLeft w:val="0"/>
          <w:marRight w:val="0"/>
          <w:marTop w:val="0"/>
          <w:marBottom w:val="0"/>
          <w:divBdr>
            <w:top w:val="none" w:sz="0" w:space="0" w:color="auto"/>
            <w:left w:val="none" w:sz="0" w:space="0" w:color="auto"/>
            <w:bottom w:val="none" w:sz="0" w:space="0" w:color="auto"/>
            <w:right w:val="none" w:sz="0" w:space="0" w:color="auto"/>
          </w:divBdr>
        </w:div>
        <w:div w:id="292441061">
          <w:marLeft w:val="0"/>
          <w:marRight w:val="0"/>
          <w:marTop w:val="0"/>
          <w:marBottom w:val="0"/>
          <w:divBdr>
            <w:top w:val="none" w:sz="0" w:space="0" w:color="auto"/>
            <w:left w:val="none" w:sz="0" w:space="0" w:color="auto"/>
            <w:bottom w:val="none" w:sz="0" w:space="0" w:color="auto"/>
            <w:right w:val="none" w:sz="0" w:space="0" w:color="auto"/>
          </w:divBdr>
        </w:div>
        <w:div w:id="587739643">
          <w:marLeft w:val="0"/>
          <w:marRight w:val="0"/>
          <w:marTop w:val="0"/>
          <w:marBottom w:val="0"/>
          <w:divBdr>
            <w:top w:val="none" w:sz="0" w:space="0" w:color="auto"/>
            <w:left w:val="none" w:sz="0" w:space="0" w:color="auto"/>
            <w:bottom w:val="none" w:sz="0" w:space="0" w:color="auto"/>
            <w:right w:val="none" w:sz="0" w:space="0" w:color="auto"/>
          </w:divBdr>
        </w:div>
        <w:div w:id="842084437">
          <w:marLeft w:val="0"/>
          <w:marRight w:val="0"/>
          <w:marTop w:val="0"/>
          <w:marBottom w:val="0"/>
          <w:divBdr>
            <w:top w:val="none" w:sz="0" w:space="0" w:color="auto"/>
            <w:left w:val="none" w:sz="0" w:space="0" w:color="auto"/>
            <w:bottom w:val="none" w:sz="0" w:space="0" w:color="auto"/>
            <w:right w:val="none" w:sz="0" w:space="0" w:color="auto"/>
          </w:divBdr>
        </w:div>
        <w:div w:id="929314269">
          <w:marLeft w:val="0"/>
          <w:marRight w:val="0"/>
          <w:marTop w:val="0"/>
          <w:marBottom w:val="0"/>
          <w:divBdr>
            <w:top w:val="none" w:sz="0" w:space="0" w:color="auto"/>
            <w:left w:val="none" w:sz="0" w:space="0" w:color="auto"/>
            <w:bottom w:val="none" w:sz="0" w:space="0" w:color="auto"/>
            <w:right w:val="none" w:sz="0" w:space="0" w:color="auto"/>
          </w:divBdr>
        </w:div>
        <w:div w:id="1099830443">
          <w:marLeft w:val="0"/>
          <w:marRight w:val="0"/>
          <w:marTop w:val="0"/>
          <w:marBottom w:val="0"/>
          <w:divBdr>
            <w:top w:val="none" w:sz="0" w:space="0" w:color="auto"/>
            <w:left w:val="none" w:sz="0" w:space="0" w:color="auto"/>
            <w:bottom w:val="none" w:sz="0" w:space="0" w:color="auto"/>
            <w:right w:val="none" w:sz="0" w:space="0" w:color="auto"/>
          </w:divBdr>
        </w:div>
        <w:div w:id="1153985134">
          <w:marLeft w:val="0"/>
          <w:marRight w:val="0"/>
          <w:marTop w:val="0"/>
          <w:marBottom w:val="0"/>
          <w:divBdr>
            <w:top w:val="none" w:sz="0" w:space="0" w:color="auto"/>
            <w:left w:val="none" w:sz="0" w:space="0" w:color="auto"/>
            <w:bottom w:val="none" w:sz="0" w:space="0" w:color="auto"/>
            <w:right w:val="none" w:sz="0" w:space="0" w:color="auto"/>
          </w:divBdr>
        </w:div>
        <w:div w:id="1494492440">
          <w:marLeft w:val="0"/>
          <w:marRight w:val="0"/>
          <w:marTop w:val="0"/>
          <w:marBottom w:val="0"/>
          <w:divBdr>
            <w:top w:val="none" w:sz="0" w:space="0" w:color="auto"/>
            <w:left w:val="none" w:sz="0" w:space="0" w:color="auto"/>
            <w:bottom w:val="none" w:sz="0" w:space="0" w:color="auto"/>
            <w:right w:val="none" w:sz="0" w:space="0" w:color="auto"/>
          </w:divBdr>
        </w:div>
        <w:div w:id="2029479238">
          <w:marLeft w:val="0"/>
          <w:marRight w:val="0"/>
          <w:marTop w:val="0"/>
          <w:marBottom w:val="0"/>
          <w:divBdr>
            <w:top w:val="none" w:sz="0" w:space="0" w:color="auto"/>
            <w:left w:val="none" w:sz="0" w:space="0" w:color="auto"/>
            <w:bottom w:val="none" w:sz="0" w:space="0" w:color="auto"/>
            <w:right w:val="none" w:sz="0" w:space="0" w:color="auto"/>
          </w:divBdr>
        </w:div>
      </w:divsChild>
    </w:div>
    <w:div w:id="2027438877">
      <w:bodyDiv w:val="1"/>
      <w:marLeft w:val="0"/>
      <w:marRight w:val="0"/>
      <w:marTop w:val="0"/>
      <w:marBottom w:val="0"/>
      <w:divBdr>
        <w:top w:val="none" w:sz="0" w:space="0" w:color="auto"/>
        <w:left w:val="none" w:sz="0" w:space="0" w:color="auto"/>
        <w:bottom w:val="none" w:sz="0" w:space="0" w:color="auto"/>
        <w:right w:val="none" w:sz="0" w:space="0" w:color="auto"/>
      </w:divBdr>
    </w:div>
    <w:div w:id="2113354944">
      <w:bodyDiv w:val="1"/>
      <w:marLeft w:val="0"/>
      <w:marRight w:val="0"/>
      <w:marTop w:val="0"/>
      <w:marBottom w:val="0"/>
      <w:divBdr>
        <w:top w:val="none" w:sz="0" w:space="0" w:color="auto"/>
        <w:left w:val="none" w:sz="0" w:space="0" w:color="auto"/>
        <w:bottom w:val="none" w:sz="0" w:space="0" w:color="auto"/>
        <w:right w:val="none" w:sz="0" w:space="0" w:color="auto"/>
      </w:divBdr>
      <w:divsChild>
        <w:div w:id="149251836">
          <w:marLeft w:val="0"/>
          <w:marRight w:val="0"/>
          <w:marTop w:val="0"/>
          <w:marBottom w:val="0"/>
          <w:divBdr>
            <w:top w:val="none" w:sz="0" w:space="0" w:color="auto"/>
            <w:left w:val="none" w:sz="0" w:space="0" w:color="auto"/>
            <w:bottom w:val="none" w:sz="0" w:space="0" w:color="auto"/>
            <w:right w:val="none" w:sz="0" w:space="0" w:color="auto"/>
          </w:divBdr>
        </w:div>
        <w:div w:id="815412651">
          <w:marLeft w:val="0"/>
          <w:marRight w:val="0"/>
          <w:marTop w:val="0"/>
          <w:marBottom w:val="0"/>
          <w:divBdr>
            <w:top w:val="none" w:sz="0" w:space="0" w:color="auto"/>
            <w:left w:val="none" w:sz="0" w:space="0" w:color="auto"/>
            <w:bottom w:val="none" w:sz="0" w:space="0" w:color="auto"/>
            <w:right w:val="none" w:sz="0" w:space="0" w:color="auto"/>
          </w:divBdr>
        </w:div>
        <w:div w:id="2132623899">
          <w:marLeft w:val="0"/>
          <w:marRight w:val="0"/>
          <w:marTop w:val="0"/>
          <w:marBottom w:val="0"/>
          <w:divBdr>
            <w:top w:val="none" w:sz="0" w:space="0" w:color="auto"/>
            <w:left w:val="none" w:sz="0" w:space="0" w:color="auto"/>
            <w:bottom w:val="none" w:sz="0" w:space="0" w:color="auto"/>
            <w:right w:val="none" w:sz="0" w:space="0" w:color="auto"/>
          </w:divBdr>
        </w:div>
      </w:divsChild>
    </w:div>
    <w:div w:id="2114284369">
      <w:bodyDiv w:val="1"/>
      <w:marLeft w:val="0"/>
      <w:marRight w:val="0"/>
      <w:marTop w:val="0"/>
      <w:marBottom w:val="0"/>
      <w:divBdr>
        <w:top w:val="none" w:sz="0" w:space="0" w:color="auto"/>
        <w:left w:val="none" w:sz="0" w:space="0" w:color="auto"/>
        <w:bottom w:val="none" w:sz="0" w:space="0" w:color="auto"/>
        <w:right w:val="none" w:sz="0" w:space="0" w:color="auto"/>
      </w:divBdr>
      <w:divsChild>
        <w:div w:id="190388299">
          <w:marLeft w:val="0"/>
          <w:marRight w:val="0"/>
          <w:marTop w:val="0"/>
          <w:marBottom w:val="0"/>
          <w:divBdr>
            <w:top w:val="none" w:sz="0" w:space="0" w:color="auto"/>
            <w:left w:val="none" w:sz="0" w:space="0" w:color="auto"/>
            <w:bottom w:val="none" w:sz="0" w:space="0" w:color="auto"/>
            <w:right w:val="none" w:sz="0" w:space="0" w:color="auto"/>
          </w:divBdr>
          <w:divsChild>
            <w:div w:id="495146481">
              <w:marLeft w:val="0"/>
              <w:marRight w:val="0"/>
              <w:marTop w:val="0"/>
              <w:marBottom w:val="0"/>
              <w:divBdr>
                <w:top w:val="none" w:sz="0" w:space="0" w:color="auto"/>
                <w:left w:val="none" w:sz="0" w:space="0" w:color="auto"/>
                <w:bottom w:val="none" w:sz="0" w:space="0" w:color="auto"/>
                <w:right w:val="none" w:sz="0" w:space="0" w:color="auto"/>
              </w:divBdr>
            </w:div>
            <w:div w:id="835917762">
              <w:marLeft w:val="0"/>
              <w:marRight w:val="0"/>
              <w:marTop w:val="0"/>
              <w:marBottom w:val="0"/>
              <w:divBdr>
                <w:top w:val="none" w:sz="0" w:space="0" w:color="auto"/>
                <w:left w:val="none" w:sz="0" w:space="0" w:color="auto"/>
                <w:bottom w:val="none" w:sz="0" w:space="0" w:color="auto"/>
                <w:right w:val="none" w:sz="0" w:space="0" w:color="auto"/>
              </w:divBdr>
            </w:div>
            <w:div w:id="1083143129">
              <w:marLeft w:val="0"/>
              <w:marRight w:val="0"/>
              <w:marTop w:val="0"/>
              <w:marBottom w:val="0"/>
              <w:divBdr>
                <w:top w:val="none" w:sz="0" w:space="0" w:color="auto"/>
                <w:left w:val="none" w:sz="0" w:space="0" w:color="auto"/>
                <w:bottom w:val="none" w:sz="0" w:space="0" w:color="auto"/>
                <w:right w:val="none" w:sz="0" w:space="0" w:color="auto"/>
              </w:divBdr>
            </w:div>
            <w:div w:id="1200046147">
              <w:marLeft w:val="0"/>
              <w:marRight w:val="0"/>
              <w:marTop w:val="0"/>
              <w:marBottom w:val="0"/>
              <w:divBdr>
                <w:top w:val="none" w:sz="0" w:space="0" w:color="auto"/>
                <w:left w:val="none" w:sz="0" w:space="0" w:color="auto"/>
                <w:bottom w:val="none" w:sz="0" w:space="0" w:color="auto"/>
                <w:right w:val="none" w:sz="0" w:space="0" w:color="auto"/>
              </w:divBdr>
            </w:div>
            <w:div w:id="1558280561">
              <w:marLeft w:val="0"/>
              <w:marRight w:val="0"/>
              <w:marTop w:val="0"/>
              <w:marBottom w:val="0"/>
              <w:divBdr>
                <w:top w:val="none" w:sz="0" w:space="0" w:color="auto"/>
                <w:left w:val="none" w:sz="0" w:space="0" w:color="auto"/>
                <w:bottom w:val="none" w:sz="0" w:space="0" w:color="auto"/>
                <w:right w:val="none" w:sz="0" w:space="0" w:color="auto"/>
              </w:divBdr>
            </w:div>
          </w:divsChild>
        </w:div>
        <w:div w:id="795874922">
          <w:marLeft w:val="0"/>
          <w:marRight w:val="0"/>
          <w:marTop w:val="0"/>
          <w:marBottom w:val="0"/>
          <w:divBdr>
            <w:top w:val="none" w:sz="0" w:space="0" w:color="auto"/>
            <w:left w:val="none" w:sz="0" w:space="0" w:color="auto"/>
            <w:bottom w:val="none" w:sz="0" w:space="0" w:color="auto"/>
            <w:right w:val="none" w:sz="0" w:space="0" w:color="auto"/>
          </w:divBdr>
          <w:divsChild>
            <w:div w:id="1000237655">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strengthening-medicare-taskforce-report?language=en" TargetMode="External"/><Relationship Id="rId18" Type="http://schemas.openxmlformats.org/officeDocument/2006/relationships/hyperlink" Target="mailto:organisation.register@servicesaustralia.gov.au" TargetMode="External"/><Relationship Id="rId26" Type="http://schemas.openxmlformats.org/officeDocument/2006/relationships/hyperlink" Target="https://www.oaic.gov.au/privacy-law/privacy-act/australian-privacy-principles" TargetMode="External"/><Relationship Id="rId39" Type="http://schemas.openxmlformats.org/officeDocument/2006/relationships/hyperlink" Target="https://www.servicesaustralia.gov.au/organisation-register-for-general-practitioners-gps-and-health-professionals-privacy-notice?context=22" TargetMode="External"/><Relationship Id="rId21" Type="http://schemas.openxmlformats.org/officeDocument/2006/relationships/hyperlink" Target="https://www.digitalhealth.gov.au/initiatives-and-programs/my-health-record/manage-your-record/profile-and-settings" TargetMode="External"/><Relationship Id="rId34" Type="http://schemas.openxmlformats.org/officeDocument/2006/relationships/hyperlink" Target="https://www.servicesaustralia.gov.au/about-mymedicare-for-health-professionals?context=20" TargetMode="External"/><Relationship Id="rId42" Type="http://schemas.openxmlformats.org/officeDocument/2006/relationships/hyperlink" Target="https://www.servicesaustralia.gov.au/register-your-practice-for-mymedicare?context=2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pe.servicesaustralia.gov.au/organisation-register.html" TargetMode="External"/><Relationship Id="rId29" Type="http://schemas.openxmlformats.org/officeDocument/2006/relationships/hyperlink" Target="https://www.digitalhealth.gov.au/about-us/policies-privacy-and-reporting/privacy-policy" TargetMode="External"/><Relationship Id="rId11" Type="http://schemas.openxmlformats.org/officeDocument/2006/relationships/hyperlink" Target="mailto:copyright@health.gov.au" TargetMode="External"/><Relationship Id="rId24" Type="http://schemas.openxmlformats.org/officeDocument/2006/relationships/hyperlink" Target="https://www.health.gov.au/our-work/mymedicare?utm_source=health.gov.au&amp;utm_medium=redirect&amp;utm_campaign=digital_transformation&amp;utm_content=mymedicare" TargetMode="External"/><Relationship Id="rId32" Type="http://schemas.openxmlformats.org/officeDocument/2006/relationships/hyperlink" Target="https://www.servicesaustralia.gov.au/organisation-register-for-general-practitioners-gps-and-health-professionals-privacy-notice?context=22" TargetMode="External"/><Relationship Id="rId37" Type="http://schemas.openxmlformats.org/officeDocument/2006/relationships/hyperlink" Target="https://www.servicesaustralia.gov.au/health-care-and-medicare?context=60092" TargetMode="External"/><Relationship Id="rId40" Type="http://schemas.openxmlformats.org/officeDocument/2006/relationships/hyperlink" Target="https://www.servicesaustralia.gov.au/register-for-mymedicare"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topics/rural-health-workforce/classifications/mmm" TargetMode="External"/><Relationship Id="rId23" Type="http://schemas.openxmlformats.org/officeDocument/2006/relationships/hyperlink" Target="mailto:MyMedicare@Health.gov.au" TargetMode="External"/><Relationship Id="rId28" Type="http://schemas.openxmlformats.org/officeDocument/2006/relationships/hyperlink" Target="https://www.dva.gov.au/about/overview/legal-resources/dva-privacy-policy" TargetMode="External"/><Relationship Id="rId36" Type="http://schemas.openxmlformats.org/officeDocument/2006/relationships/hyperlink" Target="https://www.servicesaustralia.gov.au/general-practice-aged-care-incentive?context=20"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gov.au/our-work/mymedicare/patients" TargetMode="External"/><Relationship Id="rId31" Type="http://schemas.openxmlformats.org/officeDocument/2006/relationships/hyperlink" Target="https://www.health.gov.au/sites/default/files/2024-04/mymedicare-privacy-notice_0.pdf"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gister-organisation-register-hpos?context=20" TargetMode="External"/><Relationship Id="rId22" Type="http://schemas.openxmlformats.org/officeDocument/2006/relationships/hyperlink" Target="https://www.servicesaustralia.gov.au/ip034" TargetMode="External"/><Relationship Id="rId27" Type="http://schemas.openxmlformats.org/officeDocument/2006/relationships/hyperlink" Target="https://www.servicesaustralia.gov.au/your-right-to-privacy?context=1" TargetMode="External"/><Relationship Id="rId30" Type="http://schemas.openxmlformats.org/officeDocument/2006/relationships/hyperlink" Target="https://www.health.gov.au/resources/publications/mymedicare-privacy-notice?language=en" TargetMode="External"/><Relationship Id="rId35" Type="http://schemas.openxmlformats.org/officeDocument/2006/relationships/hyperlink" Target="https://www.servicesaustralia.gov.au/features-organisation-register?context=20" TargetMode="External"/><Relationship Id="rId43" Type="http://schemas.openxmlformats.org/officeDocument/2006/relationships/hyperlink" Target="https://www.health.gov.au/our-work/mymedicare/resource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health.gov.au/resources/publications/australias-primary-health-care-10-year-plan-2022-2032?language=en" TargetMode="External"/><Relationship Id="rId17" Type="http://schemas.openxmlformats.org/officeDocument/2006/relationships/hyperlink" Target="https://www.safetyandquality.gov.au/our-work/accreditation/national-general-practice-accreditation-scheme" TargetMode="External"/><Relationship Id="rId25" Type="http://schemas.openxmlformats.org/officeDocument/2006/relationships/hyperlink" Target="https://www.legislation.gov.au/C2004A03712/latest/versions" TargetMode="External"/><Relationship Id="rId33" Type="http://schemas.openxmlformats.org/officeDocument/2006/relationships/hyperlink" Target="https://www.servicesaustralia.gov.au/about-general-practice-aged-care-incentive?context=20" TargetMode="External"/><Relationship Id="rId38" Type="http://schemas.openxmlformats.org/officeDocument/2006/relationships/hyperlink" Target="https://www.servicesaustralia.gov.au/mymedicare-incentives?context=20" TargetMode="External"/><Relationship Id="rId46" Type="http://schemas.openxmlformats.org/officeDocument/2006/relationships/footer" Target="footer1.xml"/><Relationship Id="rId20" Type="http://schemas.openxmlformats.org/officeDocument/2006/relationships/hyperlink" Target="https://www.health.gov.au/resources/publications/general-practice-in-aged-care-incentive-program-guidelines-2024?language=en" TargetMode="External"/><Relationship Id="rId41" Type="http://schemas.openxmlformats.org/officeDocument/2006/relationships/hyperlink" Target="https://www.servicesaustralia.gov.au/register-individual-practitioner?context=2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afetyandquality.gov.au/newsroom/national-standards-updates/advisory-gp2302-requests-extensions-and-appeals" TargetMode="External"/><Relationship Id="rId7" Type="http://schemas.openxmlformats.org/officeDocument/2006/relationships/hyperlink" Target="https://www.servicesaustralia.gov.au/medicare-representative-to-act-for-you?context=22201" TargetMode="External"/><Relationship Id="rId2" Type="http://schemas.openxmlformats.org/officeDocument/2006/relationships/hyperlink" Target="https://www.racgp.org.au/running-a-practice/practice-standards/standards-5th-edition/standards-for-general-practices-5th-ed/introduction-to-the-standards-for-general-practice/accreditation" TargetMode="External"/><Relationship Id="rId1" Type="http://schemas.openxmlformats.org/officeDocument/2006/relationships/hyperlink" Target="https://www.health.gov.au/resources/publications/general-practice-in-aged-care-incentive-program-guidelines-2024" TargetMode="External"/><Relationship Id="rId6" Type="http://schemas.openxmlformats.org/officeDocument/2006/relationships/hyperlink" Target="https://www.health.gov.au/sites/default/files/documents/2021/06/administrative-record-keeping-guidelines-for-health-professionals.pdf" TargetMode="External"/><Relationship Id="rId5" Type="http://schemas.openxmlformats.org/officeDocument/2006/relationships/hyperlink" Target="https://www.racgp.org.au/running-a-practice/practice-standards/standards-5th-edition/standards-for-general-practices-5th-ed/table-of-contents" TargetMode="External"/><Relationship Id="rId4" Type="http://schemas.openxmlformats.org/officeDocument/2006/relationships/hyperlink" Target="mailto:mymedicare@health.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572C0" w:rsidRDefault="0096254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7F"/>
    <w:rsid w:val="000128E3"/>
    <w:rsid w:val="000235A6"/>
    <w:rsid w:val="00027D67"/>
    <w:rsid w:val="00061DE2"/>
    <w:rsid w:val="00076024"/>
    <w:rsid w:val="000761A5"/>
    <w:rsid w:val="00090105"/>
    <w:rsid w:val="00092245"/>
    <w:rsid w:val="00094F71"/>
    <w:rsid w:val="000B79B8"/>
    <w:rsid w:val="000C72ED"/>
    <w:rsid w:val="000D4231"/>
    <w:rsid w:val="0011146E"/>
    <w:rsid w:val="001343FF"/>
    <w:rsid w:val="00147D88"/>
    <w:rsid w:val="00154F23"/>
    <w:rsid w:val="00160744"/>
    <w:rsid w:val="001914E8"/>
    <w:rsid w:val="0019409D"/>
    <w:rsid w:val="001B3BCD"/>
    <w:rsid w:val="001B688A"/>
    <w:rsid w:val="001D05BB"/>
    <w:rsid w:val="001F079A"/>
    <w:rsid w:val="001F41D7"/>
    <w:rsid w:val="002430EE"/>
    <w:rsid w:val="00251B82"/>
    <w:rsid w:val="0025586B"/>
    <w:rsid w:val="0029122C"/>
    <w:rsid w:val="002B205F"/>
    <w:rsid w:val="002B42BD"/>
    <w:rsid w:val="002B7CF6"/>
    <w:rsid w:val="002D1030"/>
    <w:rsid w:val="0030436E"/>
    <w:rsid w:val="00315DD5"/>
    <w:rsid w:val="00323EDC"/>
    <w:rsid w:val="00333B85"/>
    <w:rsid w:val="0036718F"/>
    <w:rsid w:val="00370B0F"/>
    <w:rsid w:val="00394D39"/>
    <w:rsid w:val="003A3076"/>
    <w:rsid w:val="003A6642"/>
    <w:rsid w:val="003B0989"/>
    <w:rsid w:val="003F01CD"/>
    <w:rsid w:val="0041174C"/>
    <w:rsid w:val="0043625B"/>
    <w:rsid w:val="0044658F"/>
    <w:rsid w:val="0044660F"/>
    <w:rsid w:val="00455D64"/>
    <w:rsid w:val="00461B30"/>
    <w:rsid w:val="00462F8F"/>
    <w:rsid w:val="0049142F"/>
    <w:rsid w:val="004A2342"/>
    <w:rsid w:val="004C2935"/>
    <w:rsid w:val="004D2072"/>
    <w:rsid w:val="00504EF3"/>
    <w:rsid w:val="00550E80"/>
    <w:rsid w:val="005675BB"/>
    <w:rsid w:val="0058737C"/>
    <w:rsid w:val="0059769C"/>
    <w:rsid w:val="005A2C97"/>
    <w:rsid w:val="005B5406"/>
    <w:rsid w:val="005C3716"/>
    <w:rsid w:val="005C5F8A"/>
    <w:rsid w:val="005F497F"/>
    <w:rsid w:val="00611C54"/>
    <w:rsid w:val="00620F74"/>
    <w:rsid w:val="006510C9"/>
    <w:rsid w:val="006649B7"/>
    <w:rsid w:val="00667708"/>
    <w:rsid w:val="006723C9"/>
    <w:rsid w:val="0068107A"/>
    <w:rsid w:val="00682C6C"/>
    <w:rsid w:val="006A0598"/>
    <w:rsid w:val="006A0C49"/>
    <w:rsid w:val="006D280A"/>
    <w:rsid w:val="006E2FFB"/>
    <w:rsid w:val="0070592F"/>
    <w:rsid w:val="007572C0"/>
    <w:rsid w:val="007667CA"/>
    <w:rsid w:val="00771A17"/>
    <w:rsid w:val="007861A7"/>
    <w:rsid w:val="00790650"/>
    <w:rsid w:val="007A5D17"/>
    <w:rsid w:val="007F147F"/>
    <w:rsid w:val="00800002"/>
    <w:rsid w:val="008A211C"/>
    <w:rsid w:val="008A7FD9"/>
    <w:rsid w:val="008C7403"/>
    <w:rsid w:val="008D2385"/>
    <w:rsid w:val="008D51C2"/>
    <w:rsid w:val="008F0131"/>
    <w:rsid w:val="008F5505"/>
    <w:rsid w:val="009004FC"/>
    <w:rsid w:val="00905334"/>
    <w:rsid w:val="00907F4D"/>
    <w:rsid w:val="00923AF6"/>
    <w:rsid w:val="00923D6B"/>
    <w:rsid w:val="00926689"/>
    <w:rsid w:val="00962544"/>
    <w:rsid w:val="00976830"/>
    <w:rsid w:val="00991859"/>
    <w:rsid w:val="00992690"/>
    <w:rsid w:val="009E2F09"/>
    <w:rsid w:val="009F3830"/>
    <w:rsid w:val="00A02F87"/>
    <w:rsid w:val="00A34973"/>
    <w:rsid w:val="00A35B15"/>
    <w:rsid w:val="00A514D2"/>
    <w:rsid w:val="00A83F3E"/>
    <w:rsid w:val="00A84CC5"/>
    <w:rsid w:val="00AA0356"/>
    <w:rsid w:val="00AB7DE0"/>
    <w:rsid w:val="00AC4128"/>
    <w:rsid w:val="00AE2706"/>
    <w:rsid w:val="00AF3C7E"/>
    <w:rsid w:val="00B612D7"/>
    <w:rsid w:val="00B7320F"/>
    <w:rsid w:val="00B8221F"/>
    <w:rsid w:val="00B829B5"/>
    <w:rsid w:val="00BA0E03"/>
    <w:rsid w:val="00BC65FE"/>
    <w:rsid w:val="00BE198F"/>
    <w:rsid w:val="00C1619B"/>
    <w:rsid w:val="00C22DA0"/>
    <w:rsid w:val="00C24E96"/>
    <w:rsid w:val="00C543F1"/>
    <w:rsid w:val="00C56196"/>
    <w:rsid w:val="00C766E4"/>
    <w:rsid w:val="00C908A6"/>
    <w:rsid w:val="00CA1DAB"/>
    <w:rsid w:val="00CB3C12"/>
    <w:rsid w:val="00CF04A7"/>
    <w:rsid w:val="00D26EDC"/>
    <w:rsid w:val="00D34780"/>
    <w:rsid w:val="00D37109"/>
    <w:rsid w:val="00D42785"/>
    <w:rsid w:val="00D5123B"/>
    <w:rsid w:val="00D72961"/>
    <w:rsid w:val="00DA1355"/>
    <w:rsid w:val="00DC7EA6"/>
    <w:rsid w:val="00DD03E0"/>
    <w:rsid w:val="00ED7FAB"/>
    <w:rsid w:val="00EE1D10"/>
    <w:rsid w:val="00EF30FD"/>
    <w:rsid w:val="00F51C66"/>
    <w:rsid w:val="00F570D0"/>
    <w:rsid w:val="00FA6979"/>
    <w:rsid w:val="00FD2537"/>
    <w:rsid w:val="00FE3E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Person xmlns="eed6a5a7-df4c-4f06-9f66-e2196ce308ad">
      <UserInfo>
        <DisplayName/>
        <AccountId/>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6" ma:contentTypeDescription="Create a new document." ma:contentTypeScope="" ma:versionID="a7f3893b9df3b59dc5703f845b2c2dc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f008f4934d797d958c2c6bdaebcd527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element ref="ns2:Pers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element name="Person" ma:index="23" ma:displayName="Person" ma:description="Name of person to last access this artefact"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427DD-31CC-4478-9152-877A989C59FE}">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be9f254a-b9e3-4c7a-926f-76ec7f770886"/>
    <ds:schemaRef ds:uri="eed6a5a7-df4c-4f06-9f66-e2196ce308ad"/>
  </ds:schemaRefs>
</ds:datastoreItem>
</file>

<file path=customXml/itemProps4.xml><?xml version="1.0" encoding="utf-8"?>
<ds:datastoreItem xmlns:ds="http://schemas.openxmlformats.org/officeDocument/2006/customXml" ds:itemID="{1731A3C4-C32A-464F-9BFB-1E4A6D49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10434</Words>
  <Characters>60310</Characters>
  <Application>Microsoft Office Word</Application>
  <DocSecurity>0</DocSecurity>
  <Lines>1283</Lines>
  <Paragraphs>873</Paragraphs>
  <ScaleCrop>false</ScaleCrop>
  <Manager/>
  <Company/>
  <LinksUpToDate>false</LinksUpToDate>
  <CharactersWithSpaces>69871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Program Guidelines</dc:title>
  <dc:subject>MyMedicare</dc:subject>
  <dc:creator>Australian Government Department of Health and Aged Care</dc:creator>
  <cp:keywords>medicare; MyMedicare;</cp:keywords>
  <dc:description/>
  <cp:revision>7</cp:revision>
  <cp:lastPrinted>2025-05-10T12:10:00Z</cp:lastPrinted>
  <dcterms:created xsi:type="dcterms:W3CDTF">2026-02-23T04:47:00Z</dcterms:created>
  <dcterms:modified xsi:type="dcterms:W3CDTF">2026-02-23T05:13:00Z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4ddee8ca,79d274c2,5126a6e4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5ea579cb,737d6060,58838af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2025-07-29T04:40:15Z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80237de8-5904-4909-92a8-ebfd84c30da5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0x01010089AAE7EC0B811B42B180F330F2A664A5</vt:lpwstr>
  </property>
  <property fmtid="{D5CDD505-2E9C-101B-9397-08002B2CF9AE}" pid="17" name="MediaServiceImageTags">
    <vt:lpwstr/>
  </property>
  <property fmtid="{D5CDD505-2E9C-101B-9397-08002B2CF9AE}" pid="18" name="docLang">
    <vt:lpwstr>en</vt:lpwstr>
  </property>
</Properties>
</file>