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55A87" w14:textId="77777777" w:rsidR="00392C3F" w:rsidRPr="00392C3F" w:rsidRDefault="00392C3F" w:rsidP="00392C3F">
      <w:pPr>
        <w:pStyle w:val="Heading1"/>
        <w:keepNext/>
        <w:pageBreakBefore/>
        <w:spacing w:before="0" w:after="480" w:line="240" w:lineRule="auto"/>
        <w:contextualSpacing w:val="0"/>
        <w:rPr>
          <w:rFonts w:ascii="Segoe UI" w:eastAsia="Times New Roman" w:hAnsi="Segoe UI" w:cs="Times New Roman"/>
          <w:bCs w:val="0"/>
          <w:color w:val="00264D"/>
          <w:sz w:val="36"/>
          <w:szCs w:val="19"/>
          <w:lang w:eastAsia="en-AU"/>
        </w:rPr>
      </w:pPr>
      <w:r w:rsidRPr="00392C3F">
        <w:rPr>
          <w:rFonts w:ascii="Segoe UI" w:eastAsia="Times New Roman" w:hAnsi="Segoe UI" w:cs="Times New Roman"/>
          <w:bCs w:val="0"/>
          <w:color w:val="00264D"/>
          <w:sz w:val="36"/>
          <w:szCs w:val="19"/>
          <w:lang w:eastAsia="en-AU"/>
        </w:rPr>
        <w:t>Evaluation of younger people in residential aged care (YPIRAC) initiatives – Summary report</w:t>
      </w:r>
    </w:p>
    <w:p w14:paraId="5E840AAD" w14:textId="4506AB65" w:rsidR="00392C3F" w:rsidRPr="005D2329" w:rsidRDefault="00392C3F" w:rsidP="005D2329">
      <w:pPr>
        <w:pStyle w:val="Heading2"/>
      </w:pPr>
      <w:r w:rsidRPr="005D2329">
        <w:t>The evaluation sought to understand progress to date, to inform future actions for the Australian Government.</w:t>
      </w:r>
    </w:p>
    <w:p w14:paraId="41768507" w14:textId="393950B4" w:rsidR="00392C3F" w:rsidRPr="002E6DC8" w:rsidRDefault="00392C3F" w:rsidP="00392C3F">
      <w:pPr>
        <w:rPr>
          <w:rFonts w:ascii="Segoe UI" w:hAnsi="Segoe UI" w:cs="Segoe UI"/>
          <w:sz w:val="24"/>
          <w:szCs w:val="24"/>
        </w:rPr>
      </w:pPr>
      <w:r w:rsidRPr="002E6DC8">
        <w:rPr>
          <w:rFonts w:ascii="Segoe UI" w:hAnsi="Segoe UI" w:cs="Segoe UI"/>
          <w:sz w:val="24"/>
          <w:szCs w:val="24"/>
        </w:rPr>
        <w:t xml:space="preserve">The Australian Government established several initiatives between 2019 and 2022 to help achieve a target of ‘no people under the age of 65 living in residential aged care by January 2025’ and respond to recommendations from the Royal Commission into Aged Care Safety and Quality. The focus of the Australian Government’s response was helping younger people navigate the system. </w:t>
      </w:r>
    </w:p>
    <w:p w14:paraId="300C47B2" w14:textId="25B964EA" w:rsidR="00392C3F" w:rsidRPr="002E6DC8" w:rsidRDefault="00392C3F" w:rsidP="00392C3F">
      <w:pPr>
        <w:rPr>
          <w:rFonts w:ascii="Segoe UI" w:hAnsi="Segoe UI" w:cs="Segoe UI"/>
          <w:sz w:val="24"/>
          <w:szCs w:val="24"/>
        </w:rPr>
      </w:pPr>
      <w:r w:rsidRPr="002E6DC8">
        <w:rPr>
          <w:rFonts w:ascii="Segoe UI" w:hAnsi="Segoe UI" w:cs="Segoe UI"/>
          <w:sz w:val="24"/>
          <w:szCs w:val="24"/>
        </w:rPr>
        <w:t xml:space="preserve">The number of younger people in residential aged care (RAC) reduced from 5,513 in September 2018 to 1,470 in December 2023. This was driven by a reduction in the number of younger people entering RAC, younger people ageing out and deaths. While there has been a reduction in the number of younger people living in RAC, the target will not be achieved. </w:t>
      </w:r>
    </w:p>
    <w:p w14:paraId="03254996" w14:textId="77777777" w:rsidR="00392C3F" w:rsidRPr="002E6DC8" w:rsidRDefault="00392C3F" w:rsidP="00392C3F">
      <w:pPr>
        <w:rPr>
          <w:rFonts w:ascii="Segoe UI" w:hAnsi="Segoe UI" w:cs="Segoe UI"/>
          <w:sz w:val="24"/>
          <w:szCs w:val="24"/>
        </w:rPr>
      </w:pPr>
      <w:r w:rsidRPr="002E6DC8">
        <w:rPr>
          <w:rFonts w:ascii="Segoe UI" w:hAnsi="Segoe UI" w:cs="Segoe UI"/>
          <w:sz w:val="24"/>
          <w:szCs w:val="24"/>
        </w:rPr>
        <w:t xml:space="preserve">The evaluation team engaged over 300 stakeholders, including younger people, families, disability workers, health workers, aged care workers, aged care assessors and states and territories. Data from the NDIA, Department of Health and Aged Care and Ability First Australia was also analysed. </w:t>
      </w:r>
    </w:p>
    <w:p w14:paraId="6661F5FB" w14:textId="5EFBF650" w:rsidR="00392C3F" w:rsidRPr="002E6DC8" w:rsidRDefault="00392C3F" w:rsidP="005D2329">
      <w:pPr>
        <w:pStyle w:val="Heading2"/>
      </w:pPr>
      <w:r w:rsidRPr="002E6DC8">
        <w:t>YPIRAC initiatives have contributed to reducing the number of younger people in RAC</w:t>
      </w:r>
    </w:p>
    <w:p w14:paraId="368837A2" w14:textId="5C49FD02" w:rsidR="00392C3F" w:rsidRPr="002E6DC8" w:rsidRDefault="00392C3F" w:rsidP="00392C3F">
      <w:pPr>
        <w:rPr>
          <w:rFonts w:ascii="Segoe UI" w:hAnsi="Segoe UI" w:cs="Segoe UI"/>
          <w:sz w:val="24"/>
          <w:szCs w:val="24"/>
        </w:rPr>
      </w:pPr>
      <w:r w:rsidRPr="002E6DC8">
        <w:rPr>
          <w:rFonts w:ascii="Segoe UI" w:hAnsi="Segoe UI" w:cs="Segoe UI"/>
          <w:sz w:val="24"/>
          <w:szCs w:val="24"/>
        </w:rPr>
        <w:t xml:space="preserve">The key drivers leading to a reduction in younger people entering RAC are 1) access to navigation supports; 2) the supply of alternative accommodation options; and 3) changes to the principles and guidelines that required alternatives be explored and exhausted before access to commonwealth funded aged care services. </w:t>
      </w:r>
    </w:p>
    <w:p w14:paraId="4E3638FA" w14:textId="3CE0CEAA" w:rsidR="00392C3F" w:rsidRPr="002E6DC8" w:rsidRDefault="00392C3F" w:rsidP="00392C3F">
      <w:pPr>
        <w:rPr>
          <w:rFonts w:ascii="Segoe UI" w:hAnsi="Segoe UI" w:cs="Segoe UI"/>
          <w:sz w:val="24"/>
          <w:szCs w:val="24"/>
        </w:rPr>
      </w:pPr>
      <w:r w:rsidRPr="002E6DC8">
        <w:rPr>
          <w:rFonts w:ascii="Segoe UI" w:hAnsi="Segoe UI" w:cs="Segoe UI"/>
          <w:sz w:val="24"/>
          <w:szCs w:val="24"/>
        </w:rPr>
        <w:t>New referral pathways have helped younger people to find support, but there continues to be examples of poor collaboration across the health, disability and aged-care service systems.</w:t>
      </w:r>
    </w:p>
    <w:p w14:paraId="73F8EF8A" w14:textId="1FBA3B97" w:rsidR="00392C3F" w:rsidRPr="002E6DC8" w:rsidRDefault="00392C3F" w:rsidP="00392C3F">
      <w:pPr>
        <w:rPr>
          <w:rFonts w:ascii="Segoe UI" w:hAnsi="Segoe UI" w:cs="Segoe UI"/>
          <w:sz w:val="24"/>
          <w:szCs w:val="24"/>
        </w:rPr>
      </w:pPr>
      <w:r w:rsidRPr="002E6DC8">
        <w:rPr>
          <w:rFonts w:ascii="Segoe UI" w:hAnsi="Segoe UI" w:cs="Segoe UI"/>
          <w:sz w:val="24"/>
          <w:szCs w:val="24"/>
        </w:rPr>
        <w:t>Targeted efforts in data publication and research have increased the Australian Government’s understanding of the YPIRAC cohort and their needs and preferences. Regular reporting has improved accountability but there continues to be disconnect between government jurisdictions.</w:t>
      </w:r>
    </w:p>
    <w:p w14:paraId="0B90F174" w14:textId="25BA912D" w:rsidR="00392C3F" w:rsidRPr="002E6DC8" w:rsidRDefault="00392C3F" w:rsidP="00392C3F">
      <w:pPr>
        <w:rPr>
          <w:rFonts w:ascii="Segoe UI" w:hAnsi="Segoe UI" w:cs="Segoe UI"/>
          <w:sz w:val="24"/>
          <w:szCs w:val="24"/>
        </w:rPr>
      </w:pPr>
      <w:r w:rsidRPr="002E6DC8">
        <w:rPr>
          <w:rFonts w:ascii="Segoe UI" w:hAnsi="Segoe UI" w:cs="Segoe UI"/>
          <w:sz w:val="24"/>
          <w:szCs w:val="24"/>
        </w:rPr>
        <w:lastRenderedPageBreak/>
        <w:t xml:space="preserve">The effectiveness of each initiative in reducing the number of younger people in RAC is impacted by a younger person’s timely access to age-appropriate alternatives and their preference to explore alternatives. </w:t>
      </w:r>
    </w:p>
    <w:p w14:paraId="255CCB12" w14:textId="77777777" w:rsidR="00392C3F" w:rsidRPr="002E6DC8" w:rsidRDefault="00392C3F" w:rsidP="00392C3F">
      <w:pPr>
        <w:rPr>
          <w:rFonts w:ascii="Segoe UI" w:hAnsi="Segoe UI" w:cs="Segoe UI"/>
          <w:sz w:val="24"/>
          <w:szCs w:val="24"/>
        </w:rPr>
      </w:pPr>
      <w:r w:rsidRPr="002E6DC8">
        <w:rPr>
          <w:rFonts w:ascii="Segoe UI" w:hAnsi="Segoe UI" w:cs="Segoe UI"/>
          <w:sz w:val="24"/>
          <w:szCs w:val="24"/>
        </w:rPr>
        <w:t xml:space="preserve">Progress is not consistent across the YPIRAC cohort with those over the age of 60, those with co-occurring mental illness, those not eligible for NDIS, those living in a regional or remote area or those living with a life-limiting illness being more likely to still enter RAC. </w:t>
      </w:r>
    </w:p>
    <w:p w14:paraId="05C2979F" w14:textId="4884AFE5" w:rsidR="00392C3F" w:rsidRPr="002E6DC8" w:rsidRDefault="00392C3F" w:rsidP="005D2329">
      <w:pPr>
        <w:pStyle w:val="Heading2"/>
      </w:pPr>
      <w:r w:rsidRPr="002E6DC8">
        <w:t>A case management approach will continue to reduce the number of younger people in RAC.</w:t>
      </w:r>
    </w:p>
    <w:p w14:paraId="0B381A6E" w14:textId="28BA07E9" w:rsidR="00392C3F" w:rsidRPr="002E6DC8" w:rsidRDefault="6CDEC34A" w:rsidP="00392C3F">
      <w:pPr>
        <w:rPr>
          <w:rFonts w:ascii="Segoe UI" w:hAnsi="Segoe UI" w:cs="Segoe UI"/>
          <w:sz w:val="24"/>
          <w:szCs w:val="24"/>
        </w:rPr>
      </w:pPr>
      <w:r w:rsidRPr="11D223D7">
        <w:rPr>
          <w:rFonts w:ascii="Segoe UI" w:hAnsi="Segoe UI" w:cs="Segoe UI"/>
          <w:sz w:val="24"/>
          <w:szCs w:val="24"/>
        </w:rPr>
        <w:t xml:space="preserve">The evaluation makes eight recommendations to deliver on the government’s commitment to reduce the number of younger people in RAC. The number of younger people in RAC represent a decreasing group of people with diverse needs. As such, a more tailored and targeted approach is required to source viable alternatives. </w:t>
      </w:r>
    </w:p>
    <w:p w14:paraId="3B637C46" w14:textId="73E74B13" w:rsidR="007B0256" w:rsidRPr="002E6DC8" w:rsidRDefault="00392C3F" w:rsidP="00392C3F">
      <w:pPr>
        <w:rPr>
          <w:rFonts w:ascii="Segoe UI" w:hAnsi="Segoe UI" w:cs="Segoe UI"/>
          <w:sz w:val="24"/>
          <w:szCs w:val="24"/>
        </w:rPr>
      </w:pPr>
      <w:r w:rsidRPr="002E6DC8">
        <w:rPr>
          <w:rFonts w:ascii="Segoe UI" w:hAnsi="Segoe UI" w:cs="Segoe UI"/>
          <w:sz w:val="24"/>
          <w:szCs w:val="24"/>
        </w:rPr>
        <w:t>The recommendations can be sorted into three groups:</w:t>
      </w:r>
    </w:p>
    <w:p w14:paraId="1DF3F035" w14:textId="62E7006B" w:rsidR="00392C3F" w:rsidRPr="002E6DC8" w:rsidRDefault="00392C3F" w:rsidP="00392C3F">
      <w:pPr>
        <w:pStyle w:val="ListParagraph"/>
        <w:numPr>
          <w:ilvl w:val="0"/>
          <w:numId w:val="1"/>
        </w:numPr>
        <w:ind w:left="284"/>
        <w:rPr>
          <w:rFonts w:ascii="Segoe UI" w:hAnsi="Segoe UI" w:cs="Segoe UI"/>
          <w:b/>
          <w:bCs/>
          <w:sz w:val="24"/>
          <w:szCs w:val="24"/>
        </w:rPr>
      </w:pPr>
      <w:r w:rsidRPr="002E6DC8">
        <w:rPr>
          <w:rFonts w:ascii="Segoe UI" w:hAnsi="Segoe UI" w:cs="Segoe UI"/>
          <w:b/>
          <w:bCs/>
          <w:sz w:val="24"/>
          <w:szCs w:val="24"/>
        </w:rPr>
        <w:t xml:space="preserve">Establish case management approach </w:t>
      </w:r>
    </w:p>
    <w:p w14:paraId="6A49C861" w14:textId="0FFCF117" w:rsidR="00392C3F" w:rsidRPr="002E6DC8" w:rsidRDefault="00392C3F" w:rsidP="00392C3F">
      <w:pPr>
        <w:rPr>
          <w:rFonts w:ascii="Segoe UI" w:hAnsi="Segoe UI" w:cs="Segoe UI"/>
          <w:sz w:val="24"/>
          <w:szCs w:val="24"/>
        </w:rPr>
      </w:pPr>
      <w:r w:rsidRPr="002E6DC8">
        <w:rPr>
          <w:rFonts w:ascii="Segoe UI" w:hAnsi="Segoe UI" w:cs="Segoe UI"/>
          <w:sz w:val="24"/>
          <w:szCs w:val="24"/>
        </w:rPr>
        <w:t>Create a multi-agency case management panel in each jurisdiction as a mechanism to share data, identify and commission responses specific to the younger person.</w:t>
      </w:r>
    </w:p>
    <w:p w14:paraId="613F975F" w14:textId="311B096C" w:rsidR="00392C3F" w:rsidRPr="00392C3F" w:rsidRDefault="00392C3F" w:rsidP="00392C3F">
      <w:pPr>
        <w:pStyle w:val="ListParagraph"/>
        <w:numPr>
          <w:ilvl w:val="0"/>
          <w:numId w:val="1"/>
        </w:numPr>
        <w:ind w:left="284"/>
        <w:rPr>
          <w:rFonts w:ascii="Segoe UI" w:hAnsi="Segoe UI" w:cs="Segoe UI"/>
          <w:b/>
          <w:bCs/>
          <w:sz w:val="24"/>
          <w:szCs w:val="24"/>
        </w:rPr>
      </w:pPr>
      <w:r w:rsidRPr="002E6DC8">
        <w:rPr>
          <w:rFonts w:ascii="Segoe UI" w:hAnsi="Segoe UI" w:cs="Segoe UI"/>
          <w:b/>
          <w:bCs/>
          <w:sz w:val="24"/>
          <w:szCs w:val="24"/>
        </w:rPr>
        <w:t>I</w:t>
      </w:r>
      <w:r w:rsidRPr="00392C3F">
        <w:rPr>
          <w:rFonts w:ascii="Segoe UI" w:hAnsi="Segoe UI" w:cs="Segoe UI"/>
          <w:b/>
          <w:bCs/>
          <w:sz w:val="24"/>
          <w:szCs w:val="24"/>
        </w:rPr>
        <w:t>mprove existing processes</w:t>
      </w:r>
    </w:p>
    <w:p w14:paraId="202BDD46" w14:textId="1560AB76" w:rsidR="00392C3F" w:rsidRPr="002E6DC8" w:rsidRDefault="00392C3F" w:rsidP="00392C3F">
      <w:pPr>
        <w:ind w:left="-76"/>
        <w:rPr>
          <w:rFonts w:ascii="Segoe UI" w:hAnsi="Segoe UI" w:cs="Segoe UI"/>
          <w:sz w:val="24"/>
          <w:szCs w:val="24"/>
        </w:rPr>
      </w:pPr>
      <w:r w:rsidRPr="002E6DC8">
        <w:rPr>
          <w:rFonts w:ascii="Segoe UI" w:hAnsi="Segoe UI" w:cs="Segoe UI"/>
          <w:sz w:val="24"/>
          <w:szCs w:val="24"/>
        </w:rPr>
        <w:t xml:space="preserve">Ensure younger people have a </w:t>
      </w:r>
      <w:r w:rsidRPr="00392C3F">
        <w:rPr>
          <w:rFonts w:ascii="Segoe UI" w:hAnsi="Segoe UI" w:cs="Segoe UI"/>
          <w:sz w:val="24"/>
          <w:szCs w:val="24"/>
        </w:rPr>
        <w:t>consistent experience across their journey to explore age-appropriate accommodation and support options,</w:t>
      </w:r>
      <w:r w:rsidRPr="002E6DC8">
        <w:rPr>
          <w:rFonts w:ascii="Segoe UI" w:hAnsi="Segoe UI" w:cs="Segoe UI"/>
          <w:sz w:val="24"/>
          <w:szCs w:val="24"/>
        </w:rPr>
        <w:t xml:space="preserve"> </w:t>
      </w:r>
      <w:r w:rsidRPr="00392C3F">
        <w:rPr>
          <w:rFonts w:ascii="Segoe UI" w:hAnsi="Segoe UI" w:cs="Segoe UI"/>
          <w:sz w:val="24"/>
          <w:szCs w:val="24"/>
        </w:rPr>
        <w:t xml:space="preserve">in addition to transitioning out of RAC, through well-documented and </w:t>
      </w:r>
      <w:r w:rsidRPr="002E6DC8">
        <w:rPr>
          <w:rFonts w:ascii="Segoe UI" w:hAnsi="Segoe UI" w:cs="Segoe UI"/>
          <w:sz w:val="24"/>
          <w:szCs w:val="24"/>
        </w:rPr>
        <w:t>standardised processes.</w:t>
      </w:r>
    </w:p>
    <w:p w14:paraId="6C01BD0C" w14:textId="77777777" w:rsidR="00392C3F" w:rsidRPr="00392C3F" w:rsidRDefault="00392C3F" w:rsidP="00392C3F">
      <w:pPr>
        <w:pStyle w:val="ListParagraph"/>
        <w:numPr>
          <w:ilvl w:val="0"/>
          <w:numId w:val="1"/>
        </w:numPr>
        <w:ind w:left="284"/>
        <w:rPr>
          <w:rFonts w:ascii="Segoe UI" w:hAnsi="Segoe UI" w:cs="Segoe UI"/>
          <w:b/>
          <w:bCs/>
          <w:sz w:val="24"/>
          <w:szCs w:val="24"/>
        </w:rPr>
      </w:pPr>
      <w:r w:rsidRPr="00392C3F">
        <w:rPr>
          <w:rFonts w:ascii="Segoe UI" w:hAnsi="Segoe UI" w:cs="Segoe UI"/>
          <w:b/>
          <w:bCs/>
          <w:sz w:val="24"/>
          <w:szCs w:val="24"/>
        </w:rPr>
        <w:t>Prepare for legislative changes</w:t>
      </w:r>
    </w:p>
    <w:p w14:paraId="5E2126AA" w14:textId="0F00D4FE" w:rsidR="00392C3F" w:rsidRPr="00A31381" w:rsidRDefault="00392C3F" w:rsidP="00A31381">
      <w:pPr>
        <w:ind w:left="-76"/>
        <w:rPr>
          <w:rFonts w:ascii="Segoe UI" w:hAnsi="Segoe UI" w:cs="Segoe UI"/>
          <w:sz w:val="24"/>
          <w:szCs w:val="24"/>
        </w:rPr>
      </w:pPr>
      <w:r w:rsidRPr="002E6DC8">
        <w:rPr>
          <w:rFonts w:ascii="Segoe UI" w:hAnsi="Segoe UI" w:cs="Segoe UI"/>
          <w:sz w:val="24"/>
          <w:szCs w:val="24"/>
        </w:rPr>
        <w:t xml:space="preserve">In planning for the new Aged Care Act, </w:t>
      </w:r>
      <w:r w:rsidRPr="00392C3F">
        <w:rPr>
          <w:rFonts w:ascii="Segoe UI" w:hAnsi="Segoe UI" w:cs="Segoe UI"/>
          <w:sz w:val="24"/>
          <w:szCs w:val="24"/>
        </w:rPr>
        <w:t xml:space="preserve">consider refining the definition of exceptional circumstances and allowing for a transition period prior to </w:t>
      </w:r>
      <w:r w:rsidRPr="002E6DC8">
        <w:rPr>
          <w:rFonts w:ascii="Segoe UI" w:hAnsi="Segoe UI" w:cs="Segoe UI"/>
          <w:sz w:val="24"/>
          <w:szCs w:val="24"/>
        </w:rPr>
        <w:t>implementation.</w:t>
      </w:r>
    </w:p>
    <w:sectPr w:rsidR="00392C3F" w:rsidRPr="00A3138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8462A" w14:textId="77777777" w:rsidR="0003417D" w:rsidRDefault="0003417D" w:rsidP="00B04ED8">
      <w:pPr>
        <w:spacing w:after="0" w:line="240" w:lineRule="auto"/>
      </w:pPr>
      <w:r>
        <w:separator/>
      </w:r>
    </w:p>
  </w:endnote>
  <w:endnote w:type="continuationSeparator" w:id="0">
    <w:p w14:paraId="3B190D98" w14:textId="77777777" w:rsidR="0003417D" w:rsidRDefault="0003417D" w:rsidP="00B04ED8">
      <w:pPr>
        <w:spacing w:after="0" w:line="240" w:lineRule="auto"/>
      </w:pPr>
      <w:r>
        <w:continuationSeparator/>
      </w:r>
    </w:p>
  </w:endnote>
  <w:endnote w:type="continuationNotice" w:id="1">
    <w:p w14:paraId="58FCC530" w14:textId="77777777" w:rsidR="0003417D" w:rsidRDefault="000341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4983D" w14:textId="7D86335F" w:rsidR="00A13A35" w:rsidRDefault="006330CF">
    <w:pPr>
      <w:pStyle w:val="Footer"/>
    </w:pPr>
    <w:r>
      <w:rPr>
        <w:noProof/>
      </w:rPr>
      <mc:AlternateContent>
        <mc:Choice Requires="wps">
          <w:drawing>
            <wp:anchor distT="0" distB="0" distL="0" distR="0" simplePos="0" relativeHeight="251663361" behindDoc="0" locked="0" layoutInCell="1" allowOverlap="1" wp14:anchorId="206DC43E" wp14:editId="2E0E3466">
              <wp:simplePos x="635" y="635"/>
              <wp:positionH relativeFrom="page">
                <wp:align>center</wp:align>
              </wp:positionH>
              <wp:positionV relativeFrom="page">
                <wp:align>bottom</wp:align>
              </wp:positionV>
              <wp:extent cx="609600" cy="409575"/>
              <wp:effectExtent l="0" t="0" r="0" b="0"/>
              <wp:wrapNone/>
              <wp:docPr id="93139466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71FCF788" w14:textId="10B10B61" w:rsidR="006330CF" w:rsidRPr="006330CF" w:rsidRDefault="006330CF" w:rsidP="006330CF">
                          <w:pPr>
                            <w:spacing w:after="0"/>
                            <w:rPr>
                              <w:rFonts w:ascii="Aptos" w:eastAsia="Aptos" w:hAnsi="Aptos" w:cs="Aptos"/>
                              <w:noProof/>
                              <w:color w:val="FF0000"/>
                              <w:sz w:val="24"/>
                              <w:szCs w:val="24"/>
                            </w:rPr>
                          </w:pPr>
                          <w:r w:rsidRPr="006330C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6DC43E" id="_x0000_t202" coordsize="21600,21600" o:spt="202" path="m,l,21600r21600,l21600,xe">
              <v:stroke joinstyle="miter"/>
              <v:path gradientshapeok="t" o:connecttype="rect"/>
            </v:shapetype>
            <v:shape id="Text Box 5" o:spid="_x0000_s1027" type="#_x0000_t202" alt="OFFICIAL" style="position:absolute;margin-left:0;margin-top:0;width:48pt;height:32.25pt;z-index:2516633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" filled="f" stroked="f">
              <v:textbox style="mso-fit-shape-to-text:t" inset="0,0,0,15pt">
                <w:txbxContent>
                  <w:p w14:paraId="71FCF788" w14:textId="10B10B61" w:rsidR="006330CF" w:rsidRPr="006330CF" w:rsidRDefault="006330CF" w:rsidP="006330CF">
                    <w:pPr>
                      <w:spacing w:after="0"/>
                      <w:rPr>
                        <w:rFonts w:ascii="Aptos" w:eastAsia="Aptos" w:hAnsi="Aptos" w:cs="Aptos"/>
                        <w:noProof/>
                        <w:color w:val="FF0000"/>
                        <w:sz w:val="24"/>
                        <w:szCs w:val="24"/>
                      </w:rPr>
                    </w:pPr>
                    <w:r w:rsidRPr="006330CF">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5B74C" w14:textId="240C45E1" w:rsidR="00392C3F" w:rsidRDefault="00392C3F" w:rsidP="00392C3F">
    <w:pPr>
      <w:pStyle w:val="Footer"/>
      <w:jc w:val="right"/>
    </w:pPr>
    <w:r>
      <w:rPr>
        <w:noProof/>
        <w:lang w:eastAsia="en-AU"/>
      </w:rPr>
      <w:drawing>
        <wp:anchor distT="0" distB="0" distL="114300" distR="114300" simplePos="0" relativeHeight="251658241" behindDoc="1" locked="0" layoutInCell="1" allowOverlap="1" wp14:anchorId="59CED54B" wp14:editId="05E19611">
          <wp:simplePos x="0" y="0"/>
          <wp:positionH relativeFrom="rightMargin">
            <wp:posOffset>-314960</wp:posOffset>
          </wp:positionH>
          <wp:positionV relativeFrom="paragraph">
            <wp:posOffset>-57150</wp:posOffset>
          </wp:positionV>
          <wp:extent cx="857431" cy="234000"/>
          <wp:effectExtent l="0" t="0" r="0" b="0"/>
          <wp:wrapNone/>
          <wp:docPr id="1082963145" name="Picture 10829631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963145" name="Picture 108296314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57431" cy="2340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F9BBD" w14:textId="7D0A54B3" w:rsidR="00A13A35" w:rsidRDefault="006330CF">
    <w:pPr>
      <w:pStyle w:val="Footer"/>
    </w:pPr>
    <w:r>
      <w:rPr>
        <w:noProof/>
      </w:rPr>
      <mc:AlternateContent>
        <mc:Choice Requires="wps">
          <w:drawing>
            <wp:anchor distT="0" distB="0" distL="0" distR="0" simplePos="0" relativeHeight="251662337" behindDoc="0" locked="0" layoutInCell="1" allowOverlap="1" wp14:anchorId="10605955" wp14:editId="5B4FC08F">
              <wp:simplePos x="635" y="635"/>
              <wp:positionH relativeFrom="page">
                <wp:align>center</wp:align>
              </wp:positionH>
              <wp:positionV relativeFrom="page">
                <wp:align>bottom</wp:align>
              </wp:positionV>
              <wp:extent cx="609600" cy="409575"/>
              <wp:effectExtent l="0" t="0" r="0" b="0"/>
              <wp:wrapNone/>
              <wp:docPr id="214724007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1D9B0E02" w14:textId="60753752" w:rsidR="006330CF" w:rsidRPr="006330CF" w:rsidRDefault="006330CF" w:rsidP="006330CF">
                          <w:pPr>
                            <w:spacing w:after="0"/>
                            <w:rPr>
                              <w:rFonts w:ascii="Aptos" w:eastAsia="Aptos" w:hAnsi="Aptos" w:cs="Aptos"/>
                              <w:noProof/>
                              <w:color w:val="FF0000"/>
                              <w:sz w:val="24"/>
                              <w:szCs w:val="24"/>
                            </w:rPr>
                          </w:pPr>
                          <w:r w:rsidRPr="006330C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605955" id="_x0000_t202" coordsize="21600,21600" o:spt="202" path="m,l,21600r21600,l21600,xe">
              <v:stroke joinstyle="miter"/>
              <v:path gradientshapeok="t" o:connecttype="rect"/>
            </v:shapetype>
            <v:shape id="Text Box 4" o:spid="_x0000_s1029" type="#_x0000_t202" alt="OFFICIAL" style="position:absolute;margin-left:0;margin-top:0;width:48pt;height:32.25pt;z-index:25166233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" filled="f" stroked="f">
              <v:textbox style="mso-fit-shape-to-text:t" inset="0,0,0,15pt">
                <w:txbxContent>
                  <w:p w14:paraId="1D9B0E02" w14:textId="60753752" w:rsidR="006330CF" w:rsidRPr="006330CF" w:rsidRDefault="006330CF" w:rsidP="006330CF">
                    <w:pPr>
                      <w:spacing w:after="0"/>
                      <w:rPr>
                        <w:rFonts w:ascii="Aptos" w:eastAsia="Aptos" w:hAnsi="Aptos" w:cs="Aptos"/>
                        <w:noProof/>
                        <w:color w:val="FF0000"/>
                        <w:sz w:val="24"/>
                        <w:szCs w:val="24"/>
                      </w:rPr>
                    </w:pPr>
                    <w:r w:rsidRPr="006330CF">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7330B" w14:textId="77777777" w:rsidR="0003417D" w:rsidRDefault="0003417D" w:rsidP="00B04ED8">
      <w:pPr>
        <w:spacing w:after="0" w:line="240" w:lineRule="auto"/>
      </w:pPr>
      <w:r>
        <w:separator/>
      </w:r>
    </w:p>
  </w:footnote>
  <w:footnote w:type="continuationSeparator" w:id="0">
    <w:p w14:paraId="48E652A7" w14:textId="77777777" w:rsidR="0003417D" w:rsidRDefault="0003417D" w:rsidP="00B04ED8">
      <w:pPr>
        <w:spacing w:after="0" w:line="240" w:lineRule="auto"/>
      </w:pPr>
      <w:r>
        <w:continuationSeparator/>
      </w:r>
    </w:p>
  </w:footnote>
  <w:footnote w:type="continuationNotice" w:id="1">
    <w:p w14:paraId="0A3009AC" w14:textId="77777777" w:rsidR="0003417D" w:rsidRDefault="000341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F2C4B" w14:textId="2C9412D7" w:rsidR="00A13A35" w:rsidRDefault="006330CF">
    <w:pPr>
      <w:pStyle w:val="Header"/>
    </w:pPr>
    <w:r>
      <w:rPr>
        <w:noProof/>
      </w:rPr>
      <mc:AlternateContent>
        <mc:Choice Requires="wps">
          <w:drawing>
            <wp:anchor distT="0" distB="0" distL="0" distR="0" simplePos="0" relativeHeight="251660289" behindDoc="0" locked="0" layoutInCell="1" allowOverlap="1" wp14:anchorId="47A388FD" wp14:editId="0AF024FE">
              <wp:simplePos x="635" y="635"/>
              <wp:positionH relativeFrom="page">
                <wp:align>center</wp:align>
              </wp:positionH>
              <wp:positionV relativeFrom="page">
                <wp:align>top</wp:align>
              </wp:positionV>
              <wp:extent cx="609600" cy="409575"/>
              <wp:effectExtent l="0" t="0" r="0" b="9525"/>
              <wp:wrapNone/>
              <wp:docPr id="150739958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7763018A" w14:textId="2C3F1407" w:rsidR="006330CF" w:rsidRPr="006330CF" w:rsidRDefault="006330CF" w:rsidP="006330CF">
                          <w:pPr>
                            <w:spacing w:after="0"/>
                            <w:rPr>
                              <w:rFonts w:ascii="Aptos" w:eastAsia="Aptos" w:hAnsi="Aptos" w:cs="Aptos"/>
                              <w:noProof/>
                              <w:color w:val="FF0000"/>
                              <w:sz w:val="24"/>
                              <w:szCs w:val="24"/>
                            </w:rPr>
                          </w:pPr>
                          <w:r w:rsidRPr="006330C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A388FD" id="_x0000_t202" coordsize="21600,21600" o:spt="202" path="m,l,21600r21600,l21600,xe">
              <v:stroke joinstyle="miter"/>
              <v:path gradientshapeok="t" o:connecttype="rect"/>
            </v:shapetype>
            <v:shape id="Text Box 2" o:spid="_x0000_s1026" type="#_x0000_t202" alt="OFFICIAL" style="position:absolute;margin-left:0;margin-top:0;width:48pt;height:32.25pt;z-index:2516602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" filled="f" stroked="f">
              <v:textbox style="mso-fit-shape-to-text:t" inset="0,15pt,0,0">
                <w:txbxContent>
                  <w:p w14:paraId="7763018A" w14:textId="2C3F1407" w:rsidR="006330CF" w:rsidRPr="006330CF" w:rsidRDefault="006330CF" w:rsidP="006330CF">
                    <w:pPr>
                      <w:spacing w:after="0"/>
                      <w:rPr>
                        <w:rFonts w:ascii="Aptos" w:eastAsia="Aptos" w:hAnsi="Aptos" w:cs="Aptos"/>
                        <w:noProof/>
                        <w:color w:val="FF0000"/>
                        <w:sz w:val="24"/>
                        <w:szCs w:val="24"/>
                      </w:rPr>
                    </w:pPr>
                    <w:r w:rsidRPr="006330CF">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F3D12" w14:textId="3A46CF09" w:rsidR="00B04ED8" w:rsidRDefault="00392C3F">
    <w:pPr>
      <w:pStyle w:val="Header"/>
    </w:pPr>
    <w:r w:rsidRPr="009C08CE">
      <w:rPr>
        <w:noProof/>
        <w:lang w:eastAsia="en-AU"/>
      </w:rPr>
      <w:drawing>
        <wp:anchor distT="0" distB="0" distL="114300" distR="114300" simplePos="0" relativeHeight="251658240" behindDoc="1" locked="0" layoutInCell="1" allowOverlap="1" wp14:anchorId="007A5BD6" wp14:editId="49816356">
          <wp:simplePos x="0" y="0"/>
          <wp:positionH relativeFrom="page">
            <wp:posOffset>-196850</wp:posOffset>
          </wp:positionH>
          <wp:positionV relativeFrom="page">
            <wp:align>top</wp:align>
          </wp:positionV>
          <wp:extent cx="10908000" cy="1152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8000" cy="115200"/>
                  </a:xfrm>
                  <a:prstGeom prst="rect">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noFill/>
                  </a:ln>
                  <a:effec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01B4C" w14:textId="3AA58A07" w:rsidR="00A13A35" w:rsidRDefault="006330CF">
    <w:pPr>
      <w:pStyle w:val="Header"/>
    </w:pPr>
    <w:r>
      <w:rPr>
        <w:noProof/>
      </w:rPr>
      <mc:AlternateContent>
        <mc:Choice Requires="wps">
          <w:drawing>
            <wp:anchor distT="0" distB="0" distL="0" distR="0" simplePos="0" relativeHeight="251659265" behindDoc="0" locked="0" layoutInCell="1" allowOverlap="1" wp14:anchorId="7BAD1484" wp14:editId="55FFDE7B">
              <wp:simplePos x="635" y="635"/>
              <wp:positionH relativeFrom="page">
                <wp:align>center</wp:align>
              </wp:positionH>
              <wp:positionV relativeFrom="page">
                <wp:align>top</wp:align>
              </wp:positionV>
              <wp:extent cx="609600" cy="409575"/>
              <wp:effectExtent l="0" t="0" r="0" b="9525"/>
              <wp:wrapNone/>
              <wp:docPr id="24889178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238D7E1C" w14:textId="062BB65E" w:rsidR="006330CF" w:rsidRPr="006330CF" w:rsidRDefault="006330CF" w:rsidP="006330CF">
                          <w:pPr>
                            <w:spacing w:after="0"/>
                            <w:rPr>
                              <w:rFonts w:ascii="Aptos" w:eastAsia="Aptos" w:hAnsi="Aptos" w:cs="Aptos"/>
                              <w:noProof/>
                              <w:color w:val="FF0000"/>
                              <w:sz w:val="24"/>
                              <w:szCs w:val="24"/>
                            </w:rPr>
                          </w:pPr>
                          <w:r w:rsidRPr="006330C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AD1484" id="_x0000_t202" coordsize="21600,21600" o:spt="202" path="m,l,21600r21600,l21600,xe">
              <v:stroke joinstyle="miter"/>
              <v:path gradientshapeok="t" o:connecttype="rect"/>
            </v:shapetype>
            <v:shape id="Text Box 1" o:spid="_x0000_s1028" type="#_x0000_t202" alt="OFFICIAL" style="position:absolute;margin-left:0;margin-top:0;width:48pt;height:32.25pt;z-index:2516592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" filled="f" stroked="f">
              <v:textbox style="mso-fit-shape-to-text:t" inset="0,15pt,0,0">
                <w:txbxContent>
                  <w:p w14:paraId="238D7E1C" w14:textId="062BB65E" w:rsidR="006330CF" w:rsidRPr="006330CF" w:rsidRDefault="006330CF" w:rsidP="006330CF">
                    <w:pPr>
                      <w:spacing w:after="0"/>
                      <w:rPr>
                        <w:rFonts w:ascii="Aptos" w:eastAsia="Aptos" w:hAnsi="Aptos" w:cs="Aptos"/>
                        <w:noProof/>
                        <w:color w:val="FF0000"/>
                        <w:sz w:val="24"/>
                        <w:szCs w:val="24"/>
                      </w:rPr>
                    </w:pPr>
                    <w:r w:rsidRPr="006330CF">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07731C"/>
    <w:multiLevelType w:val="hybridMultilevel"/>
    <w:tmpl w:val="478A09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45424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C3F"/>
    <w:rsid w:val="00005633"/>
    <w:rsid w:val="0003417D"/>
    <w:rsid w:val="00150AF2"/>
    <w:rsid w:val="001A21C2"/>
    <w:rsid w:val="001E630D"/>
    <w:rsid w:val="002510EA"/>
    <w:rsid w:val="00284DC9"/>
    <w:rsid w:val="002E6DC8"/>
    <w:rsid w:val="00352F25"/>
    <w:rsid w:val="003805B5"/>
    <w:rsid w:val="00386A27"/>
    <w:rsid w:val="00392C3F"/>
    <w:rsid w:val="003B2BB8"/>
    <w:rsid w:val="003D34FF"/>
    <w:rsid w:val="00480E29"/>
    <w:rsid w:val="00485570"/>
    <w:rsid w:val="004B54CA"/>
    <w:rsid w:val="004E5CBF"/>
    <w:rsid w:val="0059589C"/>
    <w:rsid w:val="005C3AA9"/>
    <w:rsid w:val="005C50D6"/>
    <w:rsid w:val="005D2329"/>
    <w:rsid w:val="00621FC5"/>
    <w:rsid w:val="006330CF"/>
    <w:rsid w:val="006344B6"/>
    <w:rsid w:val="00637B02"/>
    <w:rsid w:val="00683A84"/>
    <w:rsid w:val="006A4CE7"/>
    <w:rsid w:val="006B509A"/>
    <w:rsid w:val="006C154E"/>
    <w:rsid w:val="00785261"/>
    <w:rsid w:val="007B0256"/>
    <w:rsid w:val="0083177B"/>
    <w:rsid w:val="009013DC"/>
    <w:rsid w:val="009225F0"/>
    <w:rsid w:val="0093462C"/>
    <w:rsid w:val="00953795"/>
    <w:rsid w:val="00974189"/>
    <w:rsid w:val="00A13A35"/>
    <w:rsid w:val="00A31381"/>
    <w:rsid w:val="00AE2FBB"/>
    <w:rsid w:val="00B04ED8"/>
    <w:rsid w:val="00B91E3E"/>
    <w:rsid w:val="00BA2DB9"/>
    <w:rsid w:val="00BE7148"/>
    <w:rsid w:val="00BF0961"/>
    <w:rsid w:val="00C1468D"/>
    <w:rsid w:val="00C317C4"/>
    <w:rsid w:val="00C81675"/>
    <w:rsid w:val="00C84DD7"/>
    <w:rsid w:val="00CB5863"/>
    <w:rsid w:val="00CE61CB"/>
    <w:rsid w:val="00D17582"/>
    <w:rsid w:val="00DA243A"/>
    <w:rsid w:val="00DA392A"/>
    <w:rsid w:val="00E273E4"/>
    <w:rsid w:val="00E96392"/>
    <w:rsid w:val="00EC1AAF"/>
    <w:rsid w:val="00EF508C"/>
    <w:rsid w:val="00F30AFE"/>
    <w:rsid w:val="00FC3FCA"/>
    <w:rsid w:val="11D223D7"/>
    <w:rsid w:val="3026BF7D"/>
    <w:rsid w:val="6CDEC34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4DCE4"/>
  <w15:chartTrackingRefBased/>
  <w15:docId w15:val="{9DD5617D-E5EA-429C-98ED-D3303E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4CA"/>
    <w:rPr>
      <w:rFonts w:ascii="Arial" w:hAnsi="Arial"/>
    </w:rPr>
  </w:style>
  <w:style w:type="paragraph" w:styleId="Heading1">
    <w:name w:val="heading 1"/>
    <w:basedOn w:val="Normal"/>
    <w:next w:val="Normal"/>
    <w:link w:val="Heading1Char"/>
    <w:uiPriority w:val="1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5D2329"/>
    <w:pPr>
      <w:outlineLvl w:val="1"/>
    </w:pPr>
    <w:rPr>
      <w:rFonts w:ascii="Segoe UI" w:hAnsi="Segoe UI" w:cs="Segoe UI"/>
      <w:b/>
      <w:bCs/>
      <w:sz w:val="24"/>
      <w:szCs w:val="24"/>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5D2329"/>
    <w:rPr>
      <w:rFonts w:ascii="Segoe UI" w:hAnsi="Segoe UI" w:cs="Segoe UI"/>
      <w:b/>
      <w:bCs/>
      <w:sz w:val="24"/>
      <w:szCs w:val="24"/>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f6d9be8-8e00-4ae0-b4b2-dd9a585f2417">
      <Terms xmlns="http://schemas.microsoft.com/office/infopath/2007/PartnerControls"/>
    </lcf76f155ced4ddcb4097134ff3c332f>
    <TaxCatchAll xmlns="82b24c52-de31-43d7-822c-ee8b611ee64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D1AC722A79744BA3F7A5E2B1508283" ma:contentTypeVersion="11" ma:contentTypeDescription="Create a new document." ma:contentTypeScope="" ma:versionID="eed177e55a36c3d5bed7d04bea25423f">
  <xsd:schema xmlns:xsd="http://www.w3.org/2001/XMLSchema" xmlns:xs="http://www.w3.org/2001/XMLSchema" xmlns:p="http://schemas.microsoft.com/office/2006/metadata/properties" xmlns:ns2="0f6d9be8-8e00-4ae0-b4b2-dd9a585f2417" xmlns:ns3="82b24c52-de31-43d7-822c-ee8b611ee647" targetNamespace="http://schemas.microsoft.com/office/2006/metadata/properties" ma:root="true" ma:fieldsID="f976f4f0e8643ef66c6c096d57c1328f" ns2:_="" ns3:_="">
    <xsd:import namespace="0f6d9be8-8e00-4ae0-b4b2-dd9a585f2417"/>
    <xsd:import namespace="82b24c52-de31-43d7-822c-ee8b611ee6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6d9be8-8e00-4ae0-b4b2-dd9a585f2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b24c52-de31-43d7-822c-ee8b611ee6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5322e3a-e732-463a-90b1-e9648a7248a2}" ma:internalName="TaxCatchAll" ma:showField="CatchAllData" ma:web="82b24c52-de31-43d7-822c-ee8b611ee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81969-7AC4-4BE9-9FE1-E97A51C90CD3}">
  <ds:schemaRefs>
    <ds:schemaRef ds:uri="http://schemas.microsoft.com/office/2006/metadata/properties"/>
    <ds:schemaRef ds:uri="http://schemas.microsoft.com/office/infopath/2007/PartnerControls"/>
    <ds:schemaRef ds:uri="0f6d9be8-8e00-4ae0-b4b2-dd9a585f2417"/>
    <ds:schemaRef ds:uri="82b24c52-de31-43d7-822c-ee8b611ee647"/>
  </ds:schemaRefs>
</ds:datastoreItem>
</file>

<file path=customXml/itemProps2.xml><?xml version="1.0" encoding="utf-8"?>
<ds:datastoreItem xmlns:ds="http://schemas.openxmlformats.org/officeDocument/2006/customXml" ds:itemID="{55255B70-8006-4076-9B5F-53CFA4768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6d9be8-8e00-4ae0-b4b2-dd9a585f2417"/>
    <ds:schemaRef ds:uri="82b24c52-de31-43d7-822c-ee8b611ee6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230C26-3880-4BAE-95E3-437E2EBB82AB}">
  <ds:schemaRefs>
    <ds:schemaRef ds:uri="http://schemas.microsoft.com/sharepoint/v3/contenttype/forms"/>
  </ds:schemaRefs>
</ds:datastoreItem>
</file>

<file path=customXml/itemProps4.xml><?xml version="1.0" encoding="utf-8"?>
<ds:datastoreItem xmlns:ds="http://schemas.openxmlformats.org/officeDocument/2006/customXml" ds:itemID="{B13D648B-79D4-406F-8815-19C67EC4335E}">
  <ds:schemaRefs>
    <ds:schemaRef ds:uri="http://schemas.openxmlformats.org/officeDocument/2006/bibliography"/>
  </ds:schemaRefs>
</ds:datastoreItem>
</file>

<file path=docMetadata/LabelInfo.xml><?xml version="1.0" encoding="utf-8"?>
<clbl:labelList xmlns:clbl="http://schemas.microsoft.com/office/2020/mipLabelMetadata">
  <clbl:label id="{b6388990-a08e-44f4-a5b0-f44eab36c88f}" enabled="1" method="Privileged" siteId="{311f614e-2687-4905-bb5c-f592370e0d4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557</Words>
  <Characters>3130</Characters>
  <Application>Microsoft Office Word</Application>
  <DocSecurity>0</DocSecurity>
  <Lines>57</Lines>
  <Paragraphs>23</Paragraphs>
  <ScaleCrop>false</ScaleCrop>
  <HeadingPairs>
    <vt:vector size="2" baseType="variant">
      <vt:variant>
        <vt:lpstr>Title</vt:lpstr>
      </vt:variant>
      <vt:variant>
        <vt:i4>1</vt:i4>
      </vt:variant>
    </vt:vector>
  </HeadingPairs>
  <TitlesOfParts>
    <vt:vector size="1" baseType="lpstr">
      <vt:lpstr>Independent evaluation of past and current younger people in residential aged care (YPIRAC) measures</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younger people in residential aged care (YPIRAC) initiatives – Summary report</dc:title>
  <dc:subject>Aged Care</dc:subject>
  <dc:creator>Australian Government Department of Health, Disability and Ageing</dc:creator>
  <cp:keywords>Nous Group; YPIRAC initiatives;  younger people in aged care </cp:keywords>
  <dc:description/>
  <cp:lastModifiedBy>MASCHKE, Elvia</cp:lastModifiedBy>
  <cp:revision>3</cp:revision>
  <dcterms:created xsi:type="dcterms:W3CDTF">2026-02-27T03:21:00Z</dcterms:created>
  <dcterms:modified xsi:type="dcterms:W3CDTF">2026-02-27T04:56:00Z</dcterms:modified>
  <cp:category>Report</cp:category>
  <cp:contentStatus>Complete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MSIP_Label_eb34d90b-fc41-464d-af60-f74d721d0790_Name">
    <vt:lpwstr>OFFICIAL</vt:lpwstr>
  </property>
  <property fmtid="{D5CDD505-2E9C-101B-9397-08002B2CF9AE}" pid="7" name="PMHMAC">
    <vt:lpwstr>v=2022.1;a=SHA256;h=AEEBD97AE77F99E86D85A60B3AF482713228693E8110EC5BF710812290B36D39</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2025-02-19T18:41:50Z</vt:lpwstr>
  </property>
  <property fmtid="{D5CDD505-2E9C-101B-9397-08002B2CF9AE}" pid="12" name="PM_Markers">
    <vt:lpwstr/>
  </property>
  <property fmtid="{D5CDD505-2E9C-101B-9397-08002B2CF9AE}" pid="13" name="MSIP_Label_eb34d90b-fc41-464d-af60-f74d721d0790_SiteId">
    <vt:lpwstr>61e36dd1-ca6e-4d61-aa0a-2b4eb88317a3</vt:lpwstr>
  </property>
  <property fmtid="{D5CDD505-2E9C-101B-9397-08002B2CF9AE}" pid="14" name="MSIP_Label_eb34d90b-fc41-464d-af60-f74d721d0790_ContentBits">
    <vt:lpwstr>0</vt:lpwstr>
  </property>
  <property fmtid="{D5CDD505-2E9C-101B-9397-08002B2CF9AE}" pid="15" name="MSIP_Label_eb34d90b-fc41-464d-af60-f74d721d0790_Enabled">
    <vt:lpwstr>true</vt:lpwstr>
  </property>
  <property fmtid="{D5CDD505-2E9C-101B-9397-08002B2CF9AE}" pid="16" name="PM_ProtectiveMarkingImage_Footer">
    <vt:lpwstr>C:\Program Files (x86)\Common Files\janusNET Shared\janusSEAL\Images\DocumentSlashBlue.png</vt:lpwstr>
  </property>
  <property fmtid="{D5CDD505-2E9C-101B-9397-08002B2CF9AE}" pid="17" name="MSIP_Label_eb34d90b-fc41-464d-af60-f74d721d0790_SetDate">
    <vt:lpwstr>2025-02-19T18:41:50Z</vt:lpwstr>
  </property>
  <property fmtid="{D5CDD505-2E9C-101B-9397-08002B2CF9AE}" pid="18" name="MSIP_Label_eb34d90b-fc41-464d-af60-f74d721d0790_Method">
    <vt:lpwstr>Privileged</vt:lpwstr>
  </property>
  <property fmtid="{D5CDD505-2E9C-101B-9397-08002B2CF9AE}" pid="19" name="MSIP_Label_eb34d90b-fc41-464d-af60-f74d721d0790_ActionId">
    <vt:lpwstr>7e9556365d8243acac629f8158e702d0</vt:lpwstr>
  </property>
  <property fmtid="{D5CDD505-2E9C-101B-9397-08002B2CF9AE}" pid="20" name="PM_InsertionValue">
    <vt:lpwstr>OFFICIAL</vt:lpwstr>
  </property>
  <property fmtid="{D5CDD505-2E9C-101B-9397-08002B2CF9AE}" pid="21" name="PM_Originator_Hash_SHA1">
    <vt:lpwstr>135C8A0783D232C4FF5FA5FA451E8BA3DFA08FB0</vt:lpwstr>
  </property>
  <property fmtid="{D5CDD505-2E9C-101B-9397-08002B2CF9AE}" pid="22" name="PM_DisplayValueSecClassificationWithQualifier">
    <vt:lpwstr>OFFICIAL</vt:lpwstr>
  </property>
  <property fmtid="{D5CDD505-2E9C-101B-9397-08002B2CF9AE}" pid="23" name="PM_Originating_FileId">
    <vt:lpwstr>CFB306541B20489895B31819CD48829A</vt:lpwstr>
  </property>
  <property fmtid="{D5CDD505-2E9C-101B-9397-08002B2CF9AE}" pid="24" name="PM_ProtectiveMarkingValue_Footer">
    <vt:lpwstr>OFFICIAL</vt:lpwstr>
  </property>
  <property fmtid="{D5CDD505-2E9C-101B-9397-08002B2CF9AE}" pid="25" name="PM_ProtectiveMarkingImage_Header">
    <vt:lpwstr>C:\Program Files (x86)\Common Files\janusNET Shared\janusSEAL\Images\DocumentSlashBlue.png</vt:lpwstr>
  </property>
  <property fmtid="{D5CDD505-2E9C-101B-9397-08002B2CF9AE}" pid="26" name="PM_Display">
    <vt:lpwstr>OFFICIAL</vt:lpwstr>
  </property>
  <property fmtid="{D5CDD505-2E9C-101B-9397-08002B2CF9AE}" pid="27" name="PM_OriginatorUserAccountName_SHA256">
    <vt:lpwstr>A7DAAAB8C6B7A69BB15C1402D04844B2FF520ACB23E6DB3D621A7F43AFF66EC0</vt:lpwstr>
  </property>
  <property fmtid="{D5CDD505-2E9C-101B-9397-08002B2CF9AE}" pid="28" name="PM_OriginatorDomainName_SHA256">
    <vt:lpwstr>E83A2A66C4061446A7E3732E8D44762184B6B377D962B96C83DC624302585857</vt:lpwstr>
  </property>
  <property fmtid="{D5CDD505-2E9C-101B-9397-08002B2CF9AE}" pid="29" name="PMUuid">
    <vt:lpwstr>v=2022.2;d=gov.au;g=46DD6D7C-8107-577B-BC6E-F348953B2E44</vt:lpwstr>
  </property>
  <property fmtid="{D5CDD505-2E9C-101B-9397-08002B2CF9AE}" pid="30" name="PM_Hash_Version">
    <vt:lpwstr>2022.1</vt:lpwstr>
  </property>
  <property fmtid="{D5CDD505-2E9C-101B-9397-08002B2CF9AE}" pid="31" name="PM_Hash_Salt_Prev">
    <vt:lpwstr>6A087F7D20793054A1B26157964882E7</vt:lpwstr>
  </property>
  <property fmtid="{D5CDD505-2E9C-101B-9397-08002B2CF9AE}" pid="32" name="PM_Hash_Salt">
    <vt:lpwstr>610CB60F847FB52A1101546021BACEFF</vt:lpwstr>
  </property>
  <property fmtid="{D5CDD505-2E9C-101B-9397-08002B2CF9AE}" pid="33" name="PM_Hash_SHA1">
    <vt:lpwstr>2587066869B554E0600C792DFADBFB255353624E</vt:lpwstr>
  </property>
  <property fmtid="{D5CDD505-2E9C-101B-9397-08002B2CF9AE}" pid="34" name="ContentTypeId">
    <vt:lpwstr>0x0101001ED1AC722A79744BA3F7A5E2B1508283</vt:lpwstr>
  </property>
  <property fmtid="{D5CDD505-2E9C-101B-9397-08002B2CF9AE}" pid="35" name="PM_SecurityClassification_Prev">
    <vt:lpwstr>OFFICIAL</vt:lpwstr>
  </property>
  <property fmtid="{D5CDD505-2E9C-101B-9397-08002B2CF9AE}" pid="36" name="PM_Qualifier_Prev">
    <vt:lpwstr/>
  </property>
  <property fmtid="{D5CDD505-2E9C-101B-9397-08002B2CF9AE}" pid="37" name="MediaServiceImageTags">
    <vt:lpwstr/>
  </property>
  <property fmtid="{D5CDD505-2E9C-101B-9397-08002B2CF9AE}" pid="38" name="_ExtendedDescription">
    <vt:lpwstr/>
  </property>
  <property fmtid="{D5CDD505-2E9C-101B-9397-08002B2CF9AE}" pid="39" name="ClassificationContentMarkingHeaderShapeIds">
    <vt:lpwstr>ed5c986,59d9179f,4cd9106e</vt:lpwstr>
  </property>
  <property fmtid="{D5CDD505-2E9C-101B-9397-08002B2CF9AE}" pid="40" name="ClassificationContentMarkingHeaderFontProps">
    <vt:lpwstr>#ff0000,12,Aptos</vt:lpwstr>
  </property>
  <property fmtid="{D5CDD505-2E9C-101B-9397-08002B2CF9AE}" pid="41" name="ClassificationContentMarkingHeaderText">
    <vt:lpwstr>OFFICIAL</vt:lpwstr>
  </property>
  <property fmtid="{D5CDD505-2E9C-101B-9397-08002B2CF9AE}" pid="42" name="ClassificationContentMarkingFooterShapeIds">
    <vt:lpwstr>7ffc488d,3783f46c,6e202406</vt:lpwstr>
  </property>
  <property fmtid="{D5CDD505-2E9C-101B-9397-08002B2CF9AE}" pid="43" name="ClassificationContentMarkingFooterFontProps">
    <vt:lpwstr>#ff0000,12,Aptos</vt:lpwstr>
  </property>
  <property fmtid="{D5CDD505-2E9C-101B-9397-08002B2CF9AE}" pid="44" name="ClassificationContentMarkingFooterText">
    <vt:lpwstr>OFFICIAL</vt:lpwstr>
  </property>
  <property fmtid="{D5CDD505-2E9C-101B-9397-08002B2CF9AE}" pid="45" name="MSIP_Label_7cd3e8b9-ffed-43a8-b7f4-cc2fa0382d36_Enabled">
    <vt:lpwstr>true</vt:lpwstr>
  </property>
  <property fmtid="{D5CDD505-2E9C-101B-9397-08002B2CF9AE}" pid="46" name="MSIP_Label_7cd3e8b9-ffed-43a8-b7f4-cc2fa0382d36_SetDate">
    <vt:lpwstr>2026-02-26T23:11:32Z</vt:lpwstr>
  </property>
  <property fmtid="{D5CDD505-2E9C-101B-9397-08002B2CF9AE}" pid="47" name="MSIP_Label_7cd3e8b9-ffed-43a8-b7f4-cc2fa0382d36_Method">
    <vt:lpwstr>Privileged</vt:lpwstr>
  </property>
  <property fmtid="{D5CDD505-2E9C-101B-9397-08002B2CF9AE}" pid="48" name="MSIP_Label_7cd3e8b9-ffed-43a8-b7f4-cc2fa0382d36_Name">
    <vt:lpwstr>O</vt:lpwstr>
  </property>
  <property fmtid="{D5CDD505-2E9C-101B-9397-08002B2CF9AE}" pid="49" name="MSIP_Label_7cd3e8b9-ffed-43a8-b7f4-cc2fa0382d36_SiteId">
    <vt:lpwstr>34a3929c-73cf-4954-abfe-147dc3517892</vt:lpwstr>
  </property>
  <property fmtid="{D5CDD505-2E9C-101B-9397-08002B2CF9AE}" pid="50" name="MSIP_Label_7cd3e8b9-ffed-43a8-b7f4-cc2fa0382d36_ActionId">
    <vt:lpwstr>ef9185c4-67d2-47b6-9605-38d0e70addb6</vt:lpwstr>
  </property>
  <property fmtid="{D5CDD505-2E9C-101B-9397-08002B2CF9AE}" pid="51" name="MSIP_Label_7cd3e8b9-ffed-43a8-b7f4-cc2fa0382d36_ContentBits">
    <vt:lpwstr>3</vt:lpwstr>
  </property>
  <property fmtid="{D5CDD505-2E9C-101B-9397-08002B2CF9AE}" pid="52" name="MSIP_Label_7cd3e8b9-ffed-43a8-b7f4-cc2fa0382d36_Tag">
    <vt:lpwstr>10, 0, 1, 2</vt:lpwstr>
  </property>
</Properties>
</file>