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0CA7" w14:textId="6FEA6CCE" w:rsidR="007F54A6" w:rsidRPr="00C0775F" w:rsidRDefault="007F54A6" w:rsidP="0005626E">
      <w:pPr>
        <w:pStyle w:val="Title"/>
      </w:pPr>
      <w:r>
        <w:t>Health Technology Assessment</w:t>
      </w:r>
      <w:r w:rsidR="00C0775F">
        <w:t xml:space="preserve"> </w:t>
      </w:r>
      <w:r>
        <w:t>Consumer Consultative Committee</w:t>
      </w:r>
      <w:r w:rsidR="00C0775F">
        <w:t xml:space="preserve"> </w:t>
      </w:r>
      <w:r w:rsidRPr="00C0775F">
        <w:t>Terms of Reference</w:t>
      </w:r>
    </w:p>
    <w:p w14:paraId="186D230B" w14:textId="13B5F6F7" w:rsidR="00B53987" w:rsidRPr="0005626E" w:rsidRDefault="39842646" w:rsidP="00A56511">
      <w:r>
        <w:t>February 2026</w:t>
      </w:r>
    </w:p>
    <w:p w14:paraId="2DE615CB" w14:textId="71D2BBA3" w:rsidR="00FA02BB" w:rsidRPr="00FA02BB" w:rsidRDefault="007540C3" w:rsidP="007F54A6">
      <w:pPr>
        <w:pStyle w:val="Heading2"/>
      </w:pPr>
      <w:r w:rsidRPr="009E5151">
        <w:t>Purpose</w:t>
      </w:r>
    </w:p>
    <w:p w14:paraId="183C64E8" w14:textId="2524C30B" w:rsidR="00747C32" w:rsidRDefault="008D4209" w:rsidP="00CD1B28">
      <w:pPr>
        <w:pStyle w:val="ListParagraph"/>
        <w:ind w:left="0" w:right="-142"/>
      </w:pPr>
      <w:r>
        <w:t xml:space="preserve">The </w:t>
      </w:r>
      <w:r w:rsidR="0011766A">
        <w:t xml:space="preserve">Health Technology Assessment (HTA) </w:t>
      </w:r>
      <w:r>
        <w:t>Consumer Consultative Committee (Committee) provide</w:t>
      </w:r>
      <w:r w:rsidR="6B0FB461">
        <w:t>s</w:t>
      </w:r>
      <w:r>
        <w:t xml:space="preserve"> strategic advice and support to</w:t>
      </w:r>
      <w:r w:rsidR="009916C8">
        <w:t xml:space="preserve"> </w:t>
      </w:r>
      <w:r w:rsidR="007606B4">
        <w:t xml:space="preserve">the Technology Assessment and Access Division (TAAD) </w:t>
      </w:r>
      <w:r w:rsidR="1A348B77">
        <w:t>within</w:t>
      </w:r>
      <w:r w:rsidR="007606B4">
        <w:t xml:space="preserve"> the Department of Health</w:t>
      </w:r>
      <w:r w:rsidR="009A50DC">
        <w:t>, Disability and Ageing</w:t>
      </w:r>
      <w:r w:rsidR="00860481">
        <w:t xml:space="preserve"> (the Department)</w:t>
      </w:r>
      <w:r w:rsidR="009A50DC">
        <w:t xml:space="preserve"> </w:t>
      </w:r>
      <w:r w:rsidR="007606B4">
        <w:t xml:space="preserve">and </w:t>
      </w:r>
      <w:r w:rsidR="64A16C77">
        <w:t xml:space="preserve">HTA </w:t>
      </w:r>
      <w:r w:rsidR="59AD159A">
        <w:t xml:space="preserve">advisory </w:t>
      </w:r>
      <w:r w:rsidR="64A16C77">
        <w:t>committees</w:t>
      </w:r>
      <w:r w:rsidR="7C92E9BE">
        <w:t>. The purpose</w:t>
      </w:r>
      <w:r w:rsidR="2D0A5CDF">
        <w:t xml:space="preserve"> is</w:t>
      </w:r>
      <w:r w:rsidR="64A16C77">
        <w:t xml:space="preserve"> to </w:t>
      </w:r>
      <w:r w:rsidR="007606B4">
        <w:t xml:space="preserve">support optimal consumer engagement and participation in </w:t>
      </w:r>
      <w:r w:rsidR="663A760F">
        <w:t>HTA</w:t>
      </w:r>
      <w:r w:rsidR="00FF5FA5">
        <w:t xml:space="preserve"> </w:t>
      </w:r>
      <w:r w:rsidR="2286A1F1">
        <w:t xml:space="preserve">committee </w:t>
      </w:r>
      <w:r w:rsidR="007606B4">
        <w:t>processes</w:t>
      </w:r>
      <w:r w:rsidR="22B8C800">
        <w:t>.</w:t>
      </w:r>
      <w:r w:rsidR="007606B4">
        <w:t xml:space="preserve"> </w:t>
      </w:r>
    </w:p>
    <w:p w14:paraId="0BF52C4B" w14:textId="3BFADF86" w:rsidR="007F54A6" w:rsidRPr="00FA02BB" w:rsidRDefault="007540C3" w:rsidP="007F54A6">
      <w:pPr>
        <w:pStyle w:val="Heading2"/>
      </w:pPr>
      <w:r w:rsidRPr="00292C70">
        <w:t>Objectives</w:t>
      </w:r>
      <w:r w:rsidR="00BB4E14" w:rsidRPr="00292C70">
        <w:t xml:space="preserve"> </w:t>
      </w:r>
    </w:p>
    <w:p w14:paraId="058AC692" w14:textId="09CC7C8B" w:rsidR="00403A90" w:rsidRDefault="006C7B01" w:rsidP="00BC24D7">
      <w:pPr>
        <w:rPr>
          <w:lang w:eastAsia="en-AU"/>
        </w:rPr>
      </w:pPr>
      <w:r w:rsidRPr="1163A93A">
        <w:rPr>
          <w:lang w:eastAsia="en-AU"/>
        </w:rPr>
        <w:t xml:space="preserve">The </w:t>
      </w:r>
      <w:r w:rsidR="00A57338" w:rsidRPr="1163A93A">
        <w:rPr>
          <w:lang w:eastAsia="en-AU"/>
        </w:rPr>
        <w:t>objective</w:t>
      </w:r>
      <w:r w:rsidRPr="1163A93A">
        <w:rPr>
          <w:lang w:eastAsia="en-AU"/>
        </w:rPr>
        <w:t xml:space="preserve"> of the Committee </w:t>
      </w:r>
      <w:r w:rsidR="00BC24D7" w:rsidRPr="1163A93A">
        <w:rPr>
          <w:lang w:eastAsia="en-AU"/>
        </w:rPr>
        <w:t>is</w:t>
      </w:r>
      <w:r w:rsidR="00D643B1" w:rsidRPr="1163A93A">
        <w:rPr>
          <w:lang w:eastAsia="en-AU"/>
        </w:rPr>
        <w:t xml:space="preserve"> to</w:t>
      </w:r>
      <w:r w:rsidR="00BC24D7" w:rsidRPr="1163A93A">
        <w:rPr>
          <w:lang w:eastAsia="en-AU"/>
        </w:rPr>
        <w:t xml:space="preserve"> </w:t>
      </w:r>
      <w:r w:rsidR="2EDBAFE5">
        <w:t>advise</w:t>
      </w:r>
      <w:r>
        <w:t xml:space="preserve"> the Department </w:t>
      </w:r>
      <w:r w:rsidR="007C1C5A">
        <w:t xml:space="preserve">and </w:t>
      </w:r>
      <w:r w:rsidR="00B926D7">
        <w:t xml:space="preserve">the HTA Committees </w:t>
      </w:r>
      <w:r w:rsidR="00403A90">
        <w:t>by:</w:t>
      </w:r>
    </w:p>
    <w:p w14:paraId="65CAB1B0" w14:textId="4A80B50E" w:rsidR="00635F21" w:rsidRPr="00E15A42" w:rsidRDefault="6C46287B" w:rsidP="12F70654">
      <w:pPr>
        <w:pStyle w:val="ListParagraph"/>
        <w:numPr>
          <w:ilvl w:val="0"/>
          <w:numId w:val="36"/>
        </w:numPr>
        <w:ind w:left="567" w:right="-284" w:hanging="283"/>
        <w:rPr>
          <w:szCs w:val="22"/>
        </w:rPr>
      </w:pPr>
      <w:r>
        <w:t xml:space="preserve">providing a consumer perspective on all HTA matters of relevance to Australian consumers and </w:t>
      </w:r>
      <w:proofErr w:type="gramStart"/>
      <w:r>
        <w:t>communities;</w:t>
      </w:r>
      <w:proofErr w:type="gramEnd"/>
    </w:p>
    <w:p w14:paraId="0137403C" w14:textId="2992799D" w:rsidR="00635F21" w:rsidRPr="00E15A42" w:rsidRDefault="06397F5C" w:rsidP="08947F70">
      <w:pPr>
        <w:pStyle w:val="ListParagraph"/>
        <w:numPr>
          <w:ilvl w:val="0"/>
          <w:numId w:val="36"/>
        </w:numPr>
        <w:ind w:left="567" w:right="-284" w:hanging="283"/>
        <w:rPr>
          <w:szCs w:val="22"/>
        </w:rPr>
      </w:pPr>
      <w:r>
        <w:t xml:space="preserve">informing HTA policies, methods and processes of significance to Australian consumers and the </w:t>
      </w:r>
      <w:proofErr w:type="gramStart"/>
      <w:r>
        <w:t>community;</w:t>
      </w:r>
      <w:proofErr w:type="gramEnd"/>
      <w:r>
        <w:t xml:space="preserve"> </w:t>
      </w:r>
    </w:p>
    <w:p w14:paraId="259BC209" w14:textId="77777777" w:rsidR="006A2EA5" w:rsidRDefault="24DFA82F" w:rsidP="006A2EA5">
      <w:pPr>
        <w:pStyle w:val="ListParagraph"/>
        <w:numPr>
          <w:ilvl w:val="0"/>
          <w:numId w:val="36"/>
        </w:numPr>
        <w:ind w:left="567" w:right="-144" w:hanging="283"/>
      </w:pPr>
      <w:r>
        <w:t xml:space="preserve">promoting communication, collaboration, engagement, mutual understanding and operational efficiencies across the HTA Committees and Sub-Committees where consumer members are </w:t>
      </w:r>
      <w:proofErr w:type="gramStart"/>
      <w:r>
        <w:t>involved;</w:t>
      </w:r>
      <w:proofErr w:type="gramEnd"/>
      <w:r>
        <w:t xml:space="preserve"> </w:t>
      </w:r>
    </w:p>
    <w:p w14:paraId="67CC744B" w14:textId="77777777" w:rsidR="003F34C2" w:rsidRDefault="1BA7E81D" w:rsidP="08947F70">
      <w:pPr>
        <w:pStyle w:val="ListParagraph"/>
        <w:numPr>
          <w:ilvl w:val="0"/>
          <w:numId w:val="36"/>
        </w:numPr>
        <w:ind w:left="567" w:right="-144" w:hanging="283"/>
      </w:pPr>
      <w:r>
        <w:t xml:space="preserve">identifying gaps and opportunities for consumer engagement across technology assessment processes, that can inform the evidence and assessment requirements of the relevant HTA </w:t>
      </w:r>
      <w:proofErr w:type="gramStart"/>
      <w:r>
        <w:t>Committees;</w:t>
      </w:r>
      <w:proofErr w:type="gramEnd"/>
    </w:p>
    <w:p w14:paraId="021F9A76" w14:textId="3638CD4F" w:rsidR="00492D9D" w:rsidRDefault="45E4AC76" w:rsidP="12F70654">
      <w:pPr>
        <w:pStyle w:val="ListParagraph"/>
        <w:numPr>
          <w:ilvl w:val="0"/>
          <w:numId w:val="36"/>
        </w:numPr>
        <w:ind w:left="567" w:right="-144" w:hanging="283"/>
        <w:rPr>
          <w:szCs w:val="22"/>
        </w:rPr>
      </w:pPr>
      <w:r>
        <w:t xml:space="preserve">collaborating with the Consumer Evidence and Engagement Unit (CEEU) within the Department on strategies to engage with consumer / patient groups </w:t>
      </w:r>
      <w:r w:rsidR="6FC1F111">
        <w:t>to help them</w:t>
      </w:r>
      <w:r>
        <w:t xml:space="preserve"> provide information, education and support on engagement with HTA methods and </w:t>
      </w:r>
      <w:proofErr w:type="gramStart"/>
      <w:r>
        <w:t>procedures;</w:t>
      </w:r>
      <w:proofErr w:type="gramEnd"/>
    </w:p>
    <w:p w14:paraId="1C2C11EE" w14:textId="2F4B6EE5" w:rsidR="00492D9D" w:rsidRDefault="3CAF5C31" w:rsidP="12F70654">
      <w:pPr>
        <w:pStyle w:val="ListParagraph"/>
        <w:numPr>
          <w:ilvl w:val="0"/>
          <w:numId w:val="36"/>
        </w:numPr>
        <w:ind w:left="567" w:right="-144" w:hanging="283"/>
      </w:pPr>
      <w:r>
        <w:t>i</w:t>
      </w:r>
      <w:r w:rsidR="166D1210">
        <w:t>nforming methods for formal patient inputs</w:t>
      </w:r>
      <w:r w:rsidR="5A782EBB">
        <w:t xml:space="preserve"> </w:t>
      </w:r>
      <w:r w:rsidR="166D1210">
        <w:t>and integration into assessment frameworks</w:t>
      </w:r>
      <w:r w:rsidR="45E4AC76">
        <w:t xml:space="preserve"> </w:t>
      </w:r>
      <w:r w:rsidR="5DF18397">
        <w:t>which</w:t>
      </w:r>
      <w:r w:rsidR="40B85239">
        <w:t xml:space="preserve"> would</w:t>
      </w:r>
      <w:r w:rsidR="58D1EB56">
        <w:t xml:space="preserve"> </w:t>
      </w:r>
      <w:r w:rsidR="7329FA48">
        <w:t>include</w:t>
      </w:r>
      <w:r w:rsidR="58D1EB56">
        <w:t xml:space="preserve"> activities such as training, feedback to patient groups and conflict of </w:t>
      </w:r>
      <w:r w:rsidR="48E91DBF">
        <w:t>interest</w:t>
      </w:r>
      <w:r w:rsidR="58D1EB56">
        <w:t xml:space="preserve"> requirements.</w:t>
      </w:r>
    </w:p>
    <w:p w14:paraId="302688C4" w14:textId="44353E1C" w:rsidR="00492D9D" w:rsidRDefault="35FCF318" w:rsidP="08947F70">
      <w:pPr>
        <w:pStyle w:val="ListParagraph"/>
        <w:numPr>
          <w:ilvl w:val="0"/>
          <w:numId w:val="36"/>
        </w:numPr>
        <w:ind w:left="567" w:right="-284" w:hanging="283"/>
      </w:pPr>
      <w:r w:rsidRPr="00AA040E">
        <w:t xml:space="preserve">supporting the CEEU in promoting greater public understanding of HTA </w:t>
      </w:r>
      <w:r w:rsidR="1599B7D2" w:rsidRPr="00AA040E">
        <w:t>decision-making</w:t>
      </w:r>
      <w:r w:rsidRPr="00AA040E">
        <w:t xml:space="preserve"> processes and increasing the transparency of how these assessment decisions are </w:t>
      </w:r>
      <w:proofErr w:type="gramStart"/>
      <w:r w:rsidRPr="00AA040E">
        <w:t>made</w:t>
      </w:r>
      <w:r w:rsidR="547E7971" w:rsidRPr="00AA040E">
        <w:t>;</w:t>
      </w:r>
      <w:proofErr w:type="gramEnd"/>
      <w:r w:rsidRPr="00AA040E">
        <w:t xml:space="preserve"> </w:t>
      </w:r>
    </w:p>
    <w:p w14:paraId="30065221" w14:textId="3622A403" w:rsidR="004B4290" w:rsidRDefault="007815A3" w:rsidP="15A4B545">
      <w:pPr>
        <w:pStyle w:val="ListParagraph"/>
        <w:numPr>
          <w:ilvl w:val="0"/>
          <w:numId w:val="36"/>
        </w:numPr>
        <w:ind w:left="567" w:right="-284" w:hanging="283"/>
      </w:pPr>
      <w:r>
        <w:t>communicating consumer values, needs and perspectives to all aspects of the HTA sector, including external stakeholders</w:t>
      </w:r>
      <w:r w:rsidR="1207F130">
        <w:t>.</w:t>
      </w:r>
    </w:p>
    <w:p w14:paraId="4EB9B75C" w14:textId="77777777" w:rsidR="00921F5F" w:rsidRPr="009E7E5D" w:rsidRDefault="00921F5F" w:rsidP="00921F5F">
      <w:pPr>
        <w:pStyle w:val="Heading2"/>
      </w:pPr>
      <w:r w:rsidRPr="009E7E5D">
        <w:t>Roles and Responsibilities</w:t>
      </w:r>
    </w:p>
    <w:p w14:paraId="45BC1139" w14:textId="765CCCAF" w:rsidR="00921F5F" w:rsidRPr="00921F5F" w:rsidRDefault="00E51728" w:rsidP="00921F5F">
      <w:r>
        <w:t>Committee</w:t>
      </w:r>
      <w:r w:rsidR="00921F5F" w:rsidRPr="00921F5F">
        <w:t xml:space="preserve"> members will nominate a Chair and Deputy Chair from the group. </w:t>
      </w:r>
    </w:p>
    <w:p w14:paraId="5AED9883" w14:textId="77777777" w:rsidR="00921F5F" w:rsidRPr="00921F5F" w:rsidRDefault="00921F5F" w:rsidP="00921F5F">
      <w:r w:rsidRPr="00921F5F">
        <w:lastRenderedPageBreak/>
        <w:t>Members will commit to:</w:t>
      </w:r>
    </w:p>
    <w:p w14:paraId="6800CD80" w14:textId="77777777" w:rsidR="00921F5F" w:rsidRPr="00921F5F" w:rsidRDefault="7E9E0DA6" w:rsidP="00BD6BB2">
      <w:pPr>
        <w:pStyle w:val="ListParagraph"/>
        <w:numPr>
          <w:ilvl w:val="0"/>
          <w:numId w:val="36"/>
        </w:numPr>
        <w:ind w:left="567" w:right="-144" w:hanging="283"/>
      </w:pPr>
      <w:r>
        <w:t xml:space="preserve">Attending all scheduled Committee </w:t>
      </w:r>
      <w:proofErr w:type="gramStart"/>
      <w:r>
        <w:t>meetings;</w:t>
      </w:r>
      <w:proofErr w:type="gramEnd"/>
    </w:p>
    <w:p w14:paraId="596BDBCC" w14:textId="6CDFE11C" w:rsidR="00A52F69" w:rsidRDefault="61A10F60" w:rsidP="12F70654">
      <w:pPr>
        <w:pStyle w:val="ListParagraph"/>
        <w:numPr>
          <w:ilvl w:val="0"/>
          <w:numId w:val="36"/>
        </w:numPr>
        <w:ind w:left="567" w:right="-144" w:hanging="283"/>
        <w:rPr>
          <w:szCs w:val="22"/>
        </w:rPr>
      </w:pPr>
      <w:r>
        <w:t xml:space="preserve">Maintaining confidentiality and adhering to all conflict-of-interest avoidance and / or management, annually and at each </w:t>
      </w:r>
      <w:proofErr w:type="gramStart"/>
      <w:r>
        <w:t>meeting;</w:t>
      </w:r>
      <w:proofErr w:type="gramEnd"/>
    </w:p>
    <w:p w14:paraId="4A5C5350" w14:textId="384A1528" w:rsidR="00A52F69" w:rsidRDefault="4C2086FB" w:rsidP="12F70654">
      <w:pPr>
        <w:pStyle w:val="ListParagraph"/>
        <w:numPr>
          <w:ilvl w:val="0"/>
          <w:numId w:val="36"/>
        </w:numPr>
        <w:ind w:left="567" w:right="-144" w:hanging="283"/>
        <w:rPr>
          <w:szCs w:val="22"/>
        </w:rPr>
      </w:pPr>
      <w:r>
        <w:t xml:space="preserve">Championing the Committee and broader partnership with the HTA </w:t>
      </w:r>
      <w:proofErr w:type="gramStart"/>
      <w:r>
        <w:t>sector;</w:t>
      </w:r>
      <w:proofErr w:type="gramEnd"/>
    </w:p>
    <w:p w14:paraId="49FAA992" w14:textId="69129B02" w:rsidR="00A52F69" w:rsidRDefault="7E9E0DA6" w:rsidP="12F70654">
      <w:pPr>
        <w:pStyle w:val="ListParagraph"/>
        <w:numPr>
          <w:ilvl w:val="0"/>
          <w:numId w:val="36"/>
        </w:numPr>
        <w:ind w:left="567" w:right="-144" w:hanging="283"/>
      </w:pPr>
      <w:r>
        <w:t>Sharing of items / issues within the Committee as they arise; and</w:t>
      </w:r>
    </w:p>
    <w:p w14:paraId="5C5D47FF" w14:textId="5B2C6D0C" w:rsidR="00A52F69" w:rsidRDefault="7E9E0DA6" w:rsidP="12F70654">
      <w:pPr>
        <w:pStyle w:val="ListParagraph"/>
        <w:numPr>
          <w:ilvl w:val="0"/>
          <w:numId w:val="36"/>
        </w:numPr>
        <w:ind w:left="567" w:right="-144" w:hanging="283"/>
      </w:pPr>
      <w:r>
        <w:t>Promoting the Committee in relevant forums.</w:t>
      </w:r>
    </w:p>
    <w:p w14:paraId="3F713398" w14:textId="391089D4" w:rsidR="007F54A6" w:rsidRPr="00FA02BB" w:rsidRDefault="007F54A6" w:rsidP="007F54A6">
      <w:pPr>
        <w:pStyle w:val="Heading2"/>
      </w:pPr>
      <w:r>
        <w:t>Membership</w:t>
      </w:r>
    </w:p>
    <w:p w14:paraId="5A87D1C0" w14:textId="77777777" w:rsidR="00CA359B" w:rsidRPr="00285577" w:rsidRDefault="00CA359B" w:rsidP="00A02054">
      <w:pPr>
        <w:spacing w:after="60"/>
        <w:rPr>
          <w:rFonts w:cs="Arial"/>
          <w:iCs/>
          <w:color w:val="358189"/>
          <w:sz w:val="28"/>
          <w:szCs w:val="28"/>
        </w:rPr>
      </w:pPr>
      <w:bookmarkStart w:id="0" w:name="_Hlk202952522"/>
      <w:r w:rsidRPr="00550AA5">
        <w:rPr>
          <w:rFonts w:cs="Arial"/>
          <w:iCs/>
          <w:color w:val="358189"/>
          <w:sz w:val="28"/>
          <w:szCs w:val="28"/>
        </w:rPr>
        <w:t>Composition</w:t>
      </w:r>
    </w:p>
    <w:p w14:paraId="175DBD66" w14:textId="3CDA758B" w:rsidR="00720D3E" w:rsidRDefault="199C3D05" w:rsidP="00A02054">
      <w:pPr>
        <w:spacing w:before="0"/>
      </w:pPr>
      <w:r>
        <w:t>Core m</w:t>
      </w:r>
      <w:r w:rsidR="003A7706">
        <w:t>embership of the Committee will include each consumer member from the</w:t>
      </w:r>
      <w:r w:rsidR="4C3CCE89">
        <w:t xml:space="preserve"> following HTA committees</w:t>
      </w:r>
      <w:r w:rsidR="098267AE">
        <w:t xml:space="preserve"> and their </w:t>
      </w:r>
      <w:r w:rsidR="00CD167E" w:rsidRPr="009A5CC2">
        <w:t>S</w:t>
      </w:r>
      <w:r w:rsidR="098267AE" w:rsidRPr="009A5CC2">
        <w:t>ub</w:t>
      </w:r>
      <w:r w:rsidR="00A96893" w:rsidRPr="009A5CC2">
        <w:t>-C</w:t>
      </w:r>
      <w:r w:rsidR="098267AE" w:rsidRPr="009A5CC2">
        <w:t>ommittees</w:t>
      </w:r>
      <w:r w:rsidR="003A7706" w:rsidRPr="009A5CC2">
        <w:t>:</w:t>
      </w:r>
      <w:r w:rsidR="003A7706">
        <w:t xml:space="preserve"> </w:t>
      </w:r>
    </w:p>
    <w:p w14:paraId="52C70B9C" w14:textId="77777777" w:rsidR="00720D3E" w:rsidRDefault="003A7706" w:rsidP="00DD6596">
      <w:pPr>
        <w:pStyle w:val="ListParagraph"/>
        <w:numPr>
          <w:ilvl w:val="0"/>
          <w:numId w:val="40"/>
        </w:numPr>
        <w:spacing w:before="0"/>
        <w:ind w:left="567" w:hanging="283"/>
      </w:pPr>
      <w:r>
        <w:t>Pharmaceutical Benefits Advisory Committee</w:t>
      </w:r>
      <w:r w:rsidR="003F7FFA">
        <w:t xml:space="preserve"> (PBAC</w:t>
      </w:r>
      <w:proofErr w:type="gramStart"/>
      <w:r w:rsidR="003F7FFA">
        <w:t>)</w:t>
      </w:r>
      <w:r>
        <w:t>;</w:t>
      </w:r>
      <w:proofErr w:type="gramEnd"/>
      <w:r>
        <w:t xml:space="preserve"> </w:t>
      </w:r>
    </w:p>
    <w:p w14:paraId="555AC86E" w14:textId="77777777" w:rsidR="00720D3E" w:rsidRDefault="003A7706" w:rsidP="00DD6596">
      <w:pPr>
        <w:pStyle w:val="ListParagraph"/>
        <w:numPr>
          <w:ilvl w:val="0"/>
          <w:numId w:val="40"/>
        </w:numPr>
        <w:spacing w:before="0"/>
        <w:ind w:left="567" w:hanging="283"/>
      </w:pPr>
      <w:r>
        <w:t>Medical Services Advisory Committee</w:t>
      </w:r>
      <w:r w:rsidR="003F7FFA">
        <w:t xml:space="preserve"> (MSAC</w:t>
      </w:r>
      <w:proofErr w:type="gramStart"/>
      <w:r w:rsidR="003F7FFA">
        <w:t>)</w:t>
      </w:r>
      <w:r>
        <w:t>;</w:t>
      </w:r>
      <w:proofErr w:type="gramEnd"/>
      <w:r>
        <w:t xml:space="preserve"> </w:t>
      </w:r>
    </w:p>
    <w:p w14:paraId="2DC17E8C" w14:textId="5645B251" w:rsidR="00720D3E" w:rsidRDefault="003A7706" w:rsidP="00DD6596">
      <w:pPr>
        <w:pStyle w:val="ListParagraph"/>
        <w:numPr>
          <w:ilvl w:val="0"/>
          <w:numId w:val="40"/>
        </w:numPr>
        <w:spacing w:before="0"/>
        <w:ind w:left="567" w:hanging="283"/>
      </w:pPr>
      <w:r>
        <w:t>Medical Devices and Human Tissue Advisory Committee</w:t>
      </w:r>
      <w:r w:rsidR="00CD6F63">
        <w:t xml:space="preserve"> (</w:t>
      </w:r>
      <w:r w:rsidR="00CD6F63" w:rsidRPr="00720D3E">
        <w:rPr>
          <w:lang w:val="en-US"/>
        </w:rPr>
        <w:t>MDHTAC)</w:t>
      </w:r>
      <w:r w:rsidR="00094ABD">
        <w:t>.</w:t>
      </w:r>
      <w:r>
        <w:t xml:space="preserve"> </w:t>
      </w:r>
    </w:p>
    <w:p w14:paraId="3DE11B6B" w14:textId="6669A3E9" w:rsidR="00B64F82" w:rsidRPr="00FB37FE" w:rsidRDefault="00D521FB" w:rsidP="1163A93A">
      <w:pPr>
        <w:rPr>
          <w:b/>
          <w:bCs/>
          <w:strike/>
        </w:rPr>
      </w:pPr>
      <w:r>
        <w:t>C</w:t>
      </w:r>
      <w:r w:rsidR="003A7706">
        <w:t xml:space="preserve">onsumer members </w:t>
      </w:r>
      <w:r>
        <w:t>from other H</w:t>
      </w:r>
      <w:r w:rsidR="00075940">
        <w:t>TA</w:t>
      </w:r>
      <w:r w:rsidR="00706083">
        <w:t>-</w:t>
      </w:r>
      <w:r w:rsidR="00075940">
        <w:t xml:space="preserve">related committees </w:t>
      </w:r>
      <w:r w:rsidR="003A7706">
        <w:t xml:space="preserve">may be recommended by the HTA Consumer Consultative Committee </w:t>
      </w:r>
      <w:r w:rsidR="727D49EB">
        <w:t xml:space="preserve">or Department </w:t>
      </w:r>
      <w:r w:rsidR="003A7706">
        <w:t>as required</w:t>
      </w:r>
      <w:r w:rsidR="005A74B4">
        <w:t>.</w:t>
      </w:r>
      <w:r w:rsidR="005C3C5A">
        <w:t xml:space="preserve"> </w:t>
      </w:r>
      <w:r w:rsidR="003A7706">
        <w:t xml:space="preserve">This will </w:t>
      </w:r>
      <w:r w:rsidR="00CD167E">
        <w:t xml:space="preserve">be </w:t>
      </w:r>
      <w:r w:rsidR="00576891">
        <w:t>approved</w:t>
      </w:r>
      <w:r w:rsidR="003A7706">
        <w:t xml:space="preserve"> </w:t>
      </w:r>
      <w:r w:rsidR="00CD167E">
        <w:t xml:space="preserve">by </w:t>
      </w:r>
      <w:r w:rsidR="003A7706">
        <w:t>the First Assistant Secretary, TAAD.</w:t>
      </w:r>
    </w:p>
    <w:bookmarkEnd w:id="0"/>
    <w:p w14:paraId="6B96E12C" w14:textId="77777777" w:rsidR="00373F51" w:rsidRDefault="00373F51" w:rsidP="00A02054">
      <w:pPr>
        <w:spacing w:before="240" w:after="60"/>
        <w:rPr>
          <w:rFonts w:cs="Arial"/>
          <w:iCs/>
          <w:color w:val="358189"/>
          <w:sz w:val="28"/>
          <w:szCs w:val="28"/>
        </w:rPr>
      </w:pPr>
      <w:r w:rsidRPr="00285577">
        <w:rPr>
          <w:rFonts w:cs="Arial"/>
          <w:iCs/>
          <w:color w:val="358189"/>
          <w:sz w:val="28"/>
          <w:szCs w:val="28"/>
        </w:rPr>
        <w:t>Appointment</w:t>
      </w:r>
    </w:p>
    <w:p w14:paraId="0C74F54D" w14:textId="3AE9A139" w:rsidR="00A73972" w:rsidRPr="00C72367" w:rsidRDefault="00C72367" w:rsidP="00C72367">
      <w:pPr>
        <w:spacing w:before="0"/>
        <w:rPr>
          <w:rStyle w:val="normaltextrun"/>
          <w:rFonts w:cs="Arial"/>
          <w:shd w:val="clear" w:color="auto" w:fill="FFFFFF"/>
        </w:rPr>
      </w:pPr>
      <w:r w:rsidRPr="00C72367">
        <w:rPr>
          <w:rStyle w:val="normaltextrun"/>
          <w:rFonts w:cs="Arial"/>
          <w:shd w:val="clear" w:color="auto" w:fill="FFFFFF"/>
        </w:rPr>
        <w:t>The Committee is a non-statutory external committee</w:t>
      </w:r>
      <w:r w:rsidR="009024D2">
        <w:rPr>
          <w:rStyle w:val="normaltextrun"/>
          <w:rFonts w:cs="Arial"/>
          <w:shd w:val="clear" w:color="auto" w:fill="FFFFFF"/>
        </w:rPr>
        <w:t>.</w:t>
      </w:r>
      <w:r w:rsidRPr="00C72367">
        <w:rPr>
          <w:rStyle w:val="normaltextrun"/>
          <w:rFonts w:cs="Arial"/>
          <w:shd w:val="clear" w:color="auto" w:fill="FFFFFF"/>
        </w:rPr>
        <w:t xml:space="preserve"> </w:t>
      </w:r>
      <w:r w:rsidR="009024D2">
        <w:rPr>
          <w:rStyle w:val="normaltextrun"/>
          <w:rFonts w:cs="Arial"/>
          <w:shd w:val="clear" w:color="auto" w:fill="FFFFFF"/>
        </w:rPr>
        <w:t>T</w:t>
      </w:r>
      <w:r w:rsidRPr="00C72367">
        <w:rPr>
          <w:rStyle w:val="normaltextrun"/>
          <w:rFonts w:cs="Arial"/>
          <w:shd w:val="clear" w:color="auto" w:fill="FFFFFF"/>
        </w:rPr>
        <w:t>he Committee’s membership is initiated further to a consumer committee member’s appointment to a principal HTA committee / Sub-Committee.</w:t>
      </w:r>
      <w:r w:rsidR="002861AB">
        <w:rPr>
          <w:rStyle w:val="normaltextrun"/>
          <w:rFonts w:cs="Arial"/>
          <w:shd w:val="clear" w:color="auto" w:fill="FFFFFF"/>
        </w:rPr>
        <w:t xml:space="preserve"> </w:t>
      </w:r>
      <w:r w:rsidR="009024D2" w:rsidRPr="009024D2">
        <w:rPr>
          <w:rStyle w:val="normaltextrun"/>
          <w:rFonts w:cs="Arial"/>
          <w:shd w:val="clear" w:color="auto" w:fill="FFFFFF"/>
        </w:rPr>
        <w:t xml:space="preserve">Members </w:t>
      </w:r>
      <w:r w:rsidR="009024D2">
        <w:rPr>
          <w:rStyle w:val="normaltextrun"/>
          <w:rFonts w:cs="Arial"/>
          <w:shd w:val="clear" w:color="auto" w:fill="FFFFFF"/>
        </w:rPr>
        <w:t xml:space="preserve">are </w:t>
      </w:r>
      <w:r w:rsidR="009024D2" w:rsidRPr="009024D2">
        <w:rPr>
          <w:rStyle w:val="normaltextrun"/>
          <w:rFonts w:cs="Arial"/>
          <w:shd w:val="clear" w:color="auto" w:fill="FFFFFF"/>
        </w:rPr>
        <w:t>appointed by the First Assistant Secretary, TAAD, or their delegate.</w:t>
      </w:r>
    </w:p>
    <w:p w14:paraId="6B3B4743" w14:textId="3449C0C4" w:rsidR="00373F51" w:rsidRDefault="00373F51" w:rsidP="00A02054">
      <w:pPr>
        <w:spacing w:before="240" w:after="60"/>
        <w:rPr>
          <w:rFonts w:cs="Arial"/>
          <w:iCs/>
          <w:color w:val="358189"/>
          <w:sz w:val="28"/>
          <w:szCs w:val="28"/>
        </w:rPr>
      </w:pPr>
      <w:r w:rsidRPr="00285577">
        <w:rPr>
          <w:rFonts w:cs="Arial"/>
          <w:iCs/>
          <w:color w:val="358189"/>
          <w:sz w:val="28"/>
          <w:szCs w:val="28"/>
        </w:rPr>
        <w:t>Length of Appointment</w:t>
      </w:r>
    </w:p>
    <w:p w14:paraId="2CBCCAEE" w14:textId="3BF44529" w:rsidR="000E7BD8" w:rsidRPr="007E1E7B" w:rsidRDefault="000E7BD8" w:rsidP="00C97EF1">
      <w:pPr>
        <w:spacing w:before="0"/>
        <w:rPr>
          <w:rFonts w:cs="Arial"/>
          <w:iCs/>
          <w:color w:val="auto"/>
          <w:szCs w:val="22"/>
        </w:rPr>
      </w:pPr>
      <w:r>
        <w:rPr>
          <w:rStyle w:val="normaltextrun"/>
          <w:rFonts w:cs="Arial"/>
          <w:shd w:val="clear" w:color="auto" w:fill="FFFFFF"/>
        </w:rPr>
        <w:t>An individual’s membership of the Committee aligns with the term of their appointment to their</w:t>
      </w:r>
      <w:r w:rsidR="007553A5">
        <w:rPr>
          <w:rStyle w:val="normaltextrun"/>
          <w:rFonts w:cs="Arial"/>
          <w:shd w:val="clear" w:color="auto" w:fill="FFFFFF"/>
        </w:rPr>
        <w:t xml:space="preserve"> principal</w:t>
      </w:r>
      <w:r>
        <w:rPr>
          <w:rStyle w:val="normaltextrun"/>
          <w:rFonts w:cs="Arial"/>
          <w:shd w:val="clear" w:color="auto" w:fill="FFFFFF"/>
        </w:rPr>
        <w:t xml:space="preserve"> HTA Committee / Sub-Committee. The end of an individual’s term with their </w:t>
      </w:r>
      <w:r w:rsidR="007553A5">
        <w:rPr>
          <w:rStyle w:val="normaltextrun"/>
          <w:rFonts w:cs="Arial"/>
          <w:shd w:val="clear" w:color="auto" w:fill="FFFFFF"/>
        </w:rPr>
        <w:t>principal committee</w:t>
      </w:r>
      <w:r>
        <w:rPr>
          <w:rStyle w:val="normaltextrun"/>
          <w:rFonts w:cs="Arial"/>
          <w:shd w:val="clear" w:color="auto" w:fill="FFFFFF"/>
        </w:rPr>
        <w:t xml:space="preserve"> prompts the end of the individual’s membership with the Committee</w:t>
      </w:r>
      <w:r w:rsidR="007E1E7B">
        <w:rPr>
          <w:rStyle w:val="normaltextrun"/>
          <w:rFonts w:cs="Arial"/>
          <w:shd w:val="clear" w:color="auto" w:fill="FFFFFF"/>
        </w:rPr>
        <w:t>.</w:t>
      </w:r>
    </w:p>
    <w:p w14:paraId="46F5F176" w14:textId="7882B4DF" w:rsidR="00373F51" w:rsidRDefault="00A9063C" w:rsidP="00A02054">
      <w:pPr>
        <w:spacing w:before="240" w:after="60"/>
      </w:pPr>
      <w:r w:rsidRPr="00285577">
        <w:rPr>
          <w:rFonts w:cs="Arial"/>
          <w:iCs/>
          <w:color w:val="358189"/>
          <w:sz w:val="28"/>
          <w:szCs w:val="28"/>
        </w:rPr>
        <w:t>Secretariat</w:t>
      </w:r>
      <w:r w:rsidR="006C7B01" w:rsidRPr="006C7B01">
        <w:t xml:space="preserve"> </w:t>
      </w:r>
    </w:p>
    <w:p w14:paraId="50C1D1C0" w14:textId="6AF3111E" w:rsidR="003A7706" w:rsidRDefault="003A7706" w:rsidP="00A02054">
      <w:pPr>
        <w:spacing w:before="0"/>
      </w:pPr>
      <w:r>
        <w:t xml:space="preserve">The CEEU </w:t>
      </w:r>
      <w:r w:rsidRPr="00452CAB">
        <w:t>will</w:t>
      </w:r>
      <w:r>
        <w:t xml:space="preserve"> provide logistical and organisational support for the Committee</w:t>
      </w:r>
      <w:r w:rsidR="00507D87">
        <w:t>, including</w:t>
      </w:r>
      <w:r w:rsidRPr="00452CAB">
        <w:t>:</w:t>
      </w:r>
    </w:p>
    <w:p w14:paraId="3698A2FE" w14:textId="653BB721" w:rsidR="003A7706" w:rsidRDefault="003A7706" w:rsidP="00CD1B28">
      <w:pPr>
        <w:pStyle w:val="ListBullet"/>
        <w:spacing w:line="276" w:lineRule="auto"/>
        <w:ind w:left="568" w:hanging="284"/>
      </w:pPr>
      <w:r>
        <w:t>Organi</w:t>
      </w:r>
      <w:r w:rsidR="00507D87">
        <w:t>sing</w:t>
      </w:r>
      <w:r>
        <w:t xml:space="preserve"> meetings (</w:t>
      </w:r>
      <w:r w:rsidR="00642FB7">
        <w:t xml:space="preserve">including </w:t>
      </w:r>
      <w:r w:rsidR="00EC48CB">
        <w:t>securing a venue</w:t>
      </w:r>
      <w:r w:rsidR="00FB6FE5">
        <w:t>,</w:t>
      </w:r>
      <w:r w:rsidR="00642FB7">
        <w:t xml:space="preserve"> </w:t>
      </w:r>
      <w:r>
        <w:t>travel arrangements</w:t>
      </w:r>
      <w:r w:rsidR="00093AAE">
        <w:t>,</w:t>
      </w:r>
      <w:r>
        <w:t xml:space="preserve"> and remuneration</w:t>
      </w:r>
      <w:proofErr w:type="gramStart"/>
      <w:r>
        <w:t>);</w:t>
      </w:r>
      <w:proofErr w:type="gramEnd"/>
    </w:p>
    <w:p w14:paraId="18B1C7DD" w14:textId="14D3D987" w:rsidR="003A7706" w:rsidRDefault="003A7706" w:rsidP="00CD1B28">
      <w:pPr>
        <w:pStyle w:val="ListBullet"/>
        <w:spacing w:line="276" w:lineRule="auto"/>
        <w:ind w:left="568" w:hanging="284"/>
      </w:pPr>
      <w:r>
        <w:t>P</w:t>
      </w:r>
      <w:r w:rsidRPr="009B6792">
        <w:t>rovid</w:t>
      </w:r>
      <w:r w:rsidR="00507D87">
        <w:t>ing</w:t>
      </w:r>
      <w:r w:rsidRPr="009B6792">
        <w:t xml:space="preserve"> advice</w:t>
      </w:r>
      <w:r>
        <w:t xml:space="preserve"> and information on Committee processes and requirements for meetings, including the process for declaring and managing conflicts of </w:t>
      </w:r>
      <w:proofErr w:type="gramStart"/>
      <w:r>
        <w:t>interest;</w:t>
      </w:r>
      <w:proofErr w:type="gramEnd"/>
    </w:p>
    <w:p w14:paraId="774D17BD" w14:textId="150B18D5" w:rsidR="003A7706" w:rsidRDefault="003A7706" w:rsidP="00CD1B28">
      <w:pPr>
        <w:pStyle w:val="ListBullet"/>
        <w:spacing w:line="276" w:lineRule="auto"/>
        <w:ind w:left="568" w:hanging="284"/>
      </w:pPr>
      <w:r>
        <w:t>Support</w:t>
      </w:r>
      <w:r w:rsidR="00507D87">
        <w:t>ing</w:t>
      </w:r>
      <w:r>
        <w:t xml:space="preserve"> the Committee Chair and members to develop </w:t>
      </w:r>
      <w:r w:rsidR="006B62F2">
        <w:t>a</w:t>
      </w:r>
      <w:r>
        <w:t xml:space="preserve">genda items, and coordinate actions arising from </w:t>
      </w:r>
      <w:proofErr w:type="gramStart"/>
      <w:r>
        <w:t>meetings;</w:t>
      </w:r>
      <w:proofErr w:type="gramEnd"/>
      <w:r>
        <w:t xml:space="preserve"> </w:t>
      </w:r>
    </w:p>
    <w:p w14:paraId="63949F2D" w14:textId="75BE7179" w:rsidR="003A7706" w:rsidRPr="00DF3506" w:rsidRDefault="003A7706" w:rsidP="00CD1B28">
      <w:pPr>
        <w:pStyle w:val="ListBullet"/>
        <w:spacing w:line="276" w:lineRule="auto"/>
        <w:ind w:left="568" w:hanging="284"/>
      </w:pPr>
      <w:r>
        <w:t>Record</w:t>
      </w:r>
      <w:r w:rsidR="00507D87">
        <w:t>ing</w:t>
      </w:r>
      <w:r>
        <w:t xml:space="preserve"> meeting discussions and providing </w:t>
      </w:r>
      <w:r w:rsidR="006B62F2">
        <w:t>m</w:t>
      </w:r>
      <w:r>
        <w:t xml:space="preserve">eeting </w:t>
      </w:r>
      <w:r w:rsidR="006B62F2">
        <w:t>o</w:t>
      </w:r>
      <w:r>
        <w:t xml:space="preserve">utcomes and </w:t>
      </w:r>
      <w:r w:rsidR="006B62F2">
        <w:t>c</w:t>
      </w:r>
      <w:r>
        <w:t xml:space="preserve">ommunications for public </w:t>
      </w:r>
      <w:proofErr w:type="gramStart"/>
      <w:r w:rsidRPr="00DF3506">
        <w:t>access</w:t>
      </w:r>
      <w:r>
        <w:t>;</w:t>
      </w:r>
      <w:proofErr w:type="gramEnd"/>
    </w:p>
    <w:p w14:paraId="57AB6261" w14:textId="317CA644" w:rsidR="003A7706" w:rsidRPr="00DF3506" w:rsidRDefault="003A7706" w:rsidP="00CD1B28">
      <w:pPr>
        <w:pStyle w:val="ListBullet"/>
        <w:spacing w:line="276" w:lineRule="auto"/>
        <w:ind w:left="568" w:hanging="284"/>
      </w:pPr>
      <w:r w:rsidRPr="00DF3506">
        <w:t>Inform</w:t>
      </w:r>
      <w:r w:rsidR="00507D87">
        <w:t>ing</w:t>
      </w:r>
      <w:r w:rsidRPr="00DF3506">
        <w:t xml:space="preserve"> and coordinat</w:t>
      </w:r>
      <w:r w:rsidR="00507D87">
        <w:t>ing</w:t>
      </w:r>
      <w:r w:rsidRPr="00DF3506">
        <w:t xml:space="preserve"> communications between the Committee and other Departmental areas and HTA Committee </w:t>
      </w:r>
      <w:proofErr w:type="gramStart"/>
      <w:r w:rsidRPr="00DF3506">
        <w:t>Chairs;</w:t>
      </w:r>
      <w:proofErr w:type="gramEnd"/>
      <w:r w:rsidRPr="00DF3506">
        <w:t xml:space="preserve"> </w:t>
      </w:r>
    </w:p>
    <w:p w14:paraId="64EA05B1" w14:textId="01D08792" w:rsidR="003A7706" w:rsidRPr="00DF3506" w:rsidRDefault="003A7706" w:rsidP="00CD1B28">
      <w:pPr>
        <w:pStyle w:val="ListBullet"/>
        <w:spacing w:line="276" w:lineRule="auto"/>
        <w:ind w:left="568" w:hanging="284"/>
      </w:pPr>
      <w:r w:rsidRPr="00DF3506">
        <w:t>Support</w:t>
      </w:r>
      <w:r w:rsidR="00507D87">
        <w:t>ing</w:t>
      </w:r>
      <w:r w:rsidRPr="00DF3506">
        <w:t xml:space="preserve"> and coordinat</w:t>
      </w:r>
      <w:r w:rsidR="00507D87">
        <w:t>ing</w:t>
      </w:r>
      <w:r w:rsidRPr="00DF3506">
        <w:t xml:space="preserve"> communications for the Committee, for internal and external contacts and referrals; and</w:t>
      </w:r>
    </w:p>
    <w:p w14:paraId="00E94B12" w14:textId="1CB00F4E" w:rsidR="003A7706" w:rsidRPr="00DF3506" w:rsidRDefault="003A7706" w:rsidP="00CD1B28">
      <w:pPr>
        <w:pStyle w:val="ListBullet"/>
        <w:spacing w:line="276" w:lineRule="auto"/>
        <w:ind w:left="568" w:hanging="284"/>
      </w:pPr>
      <w:r w:rsidRPr="00DF3506">
        <w:lastRenderedPageBreak/>
        <w:t>Promot</w:t>
      </w:r>
      <w:r w:rsidR="00507D87">
        <w:t>ing</w:t>
      </w:r>
      <w:r w:rsidRPr="00DF3506">
        <w:t xml:space="preserve"> the Committee in relevant forums.</w:t>
      </w:r>
    </w:p>
    <w:p w14:paraId="4A88A04F" w14:textId="77777777" w:rsidR="00507D87" w:rsidRPr="0078127C" w:rsidRDefault="00507D87" w:rsidP="0078127C">
      <w:pPr>
        <w:spacing w:before="0" w:after="0" w:line="240" w:lineRule="auto"/>
        <w:rPr>
          <w:sz w:val="10"/>
          <w:szCs w:val="10"/>
        </w:rPr>
      </w:pPr>
    </w:p>
    <w:p w14:paraId="6BD2BD29" w14:textId="7A7AE351" w:rsidR="003A7706" w:rsidRDefault="003A7706" w:rsidP="00E26668">
      <w:pPr>
        <w:rPr>
          <w:color w:val="auto"/>
        </w:rPr>
      </w:pPr>
      <w:r>
        <w:t xml:space="preserve">Email contact for the CEEU is: </w:t>
      </w:r>
      <w:hyperlink r:id="rId11" w:tooltip="CEEU email address" w:history="1">
        <w:r w:rsidRPr="00507D87">
          <w:rPr>
            <w:rStyle w:val="Hyperlink"/>
            <w:color w:val="0070C0"/>
          </w:rPr>
          <w:t>HTAconsumerengagement@health.gov.au</w:t>
        </w:r>
      </w:hyperlink>
      <w:r w:rsidR="00507D87">
        <w:rPr>
          <w:color w:val="auto"/>
        </w:rPr>
        <w:t>.</w:t>
      </w:r>
    </w:p>
    <w:p w14:paraId="2E4F26AE" w14:textId="77777777" w:rsidR="00E62853" w:rsidRPr="009B6053" w:rsidRDefault="00E62853" w:rsidP="00E26668">
      <w:pPr>
        <w:rPr>
          <w:rFonts w:cs="Arial"/>
          <w:iCs/>
          <w:color w:val="358189"/>
          <w:sz w:val="24"/>
        </w:rPr>
      </w:pPr>
    </w:p>
    <w:p w14:paraId="458B8301" w14:textId="2BFD2639" w:rsidR="009B6053" w:rsidRDefault="00C924F6" w:rsidP="006C7B01">
      <w:pPr>
        <w:pStyle w:val="Heading2"/>
      </w:pPr>
      <w:r>
        <w:t>R</w:t>
      </w:r>
      <w:r w:rsidR="009B6053">
        <w:t>emuneration</w:t>
      </w:r>
    </w:p>
    <w:p w14:paraId="203B8232" w14:textId="561DAB3A" w:rsidR="00E06EF1" w:rsidRPr="00E06EF1" w:rsidRDefault="00E06EF1" w:rsidP="00E93786">
      <w:r w:rsidRPr="1650412B">
        <w:rPr>
          <w:lang w:val="en-US"/>
        </w:rPr>
        <w:t xml:space="preserve">The Committee Chair and members are remunerated in accordance with the Departmental Remuneration Framework, updated annually as advised by the Department. </w:t>
      </w:r>
    </w:p>
    <w:p w14:paraId="25FE83C5" w14:textId="2AD5DA52" w:rsidR="00E06EF1" w:rsidRDefault="4D621E9D" w:rsidP="005117F4">
      <w:pPr>
        <w:rPr>
          <w:lang w:val="en-US"/>
        </w:rPr>
      </w:pPr>
      <w:r w:rsidRPr="15A4B545">
        <w:rPr>
          <w:lang w:val="en-US"/>
        </w:rPr>
        <w:t xml:space="preserve">All Committee members are entitled to </w:t>
      </w:r>
      <w:proofErr w:type="gramStart"/>
      <w:r w:rsidRPr="15A4B545">
        <w:rPr>
          <w:lang w:val="en-US"/>
        </w:rPr>
        <w:t xml:space="preserve">reimbursement </w:t>
      </w:r>
      <w:r w:rsidR="43B88067" w:rsidRPr="15A4B545">
        <w:rPr>
          <w:lang w:val="en-US"/>
        </w:rPr>
        <w:t>of</w:t>
      </w:r>
      <w:proofErr w:type="gramEnd"/>
      <w:r w:rsidRPr="15A4B545">
        <w:rPr>
          <w:lang w:val="en-US"/>
        </w:rPr>
        <w:t xml:space="preserve"> travel expenses in accordance with the relevant Remuneration Tribunal (Official Travel) Determination</w:t>
      </w:r>
      <w:r w:rsidR="7EFC4638" w:rsidRPr="15A4B545">
        <w:rPr>
          <w:lang w:val="en-US"/>
        </w:rPr>
        <w:t>.</w:t>
      </w:r>
      <w:r w:rsidRPr="15A4B545">
        <w:rPr>
          <w:lang w:val="en-US"/>
        </w:rPr>
        <w:t xml:space="preserve"> </w:t>
      </w:r>
    </w:p>
    <w:p w14:paraId="2D6FF720" w14:textId="501F3368" w:rsidR="00D935D0" w:rsidRDefault="00D935D0" w:rsidP="00D935D0">
      <w:pPr>
        <w:pStyle w:val="Heading2"/>
      </w:pPr>
      <w:r>
        <w:t xml:space="preserve">Committee </w:t>
      </w:r>
      <w:r w:rsidR="005C0B4C">
        <w:t>Meetings</w:t>
      </w:r>
    </w:p>
    <w:p w14:paraId="5F048A50" w14:textId="748062B4" w:rsidR="00475877" w:rsidRDefault="00475877" w:rsidP="00753C07">
      <w:pPr>
        <w:pStyle w:val="ListBullet"/>
        <w:numPr>
          <w:ilvl w:val="0"/>
          <w:numId w:val="0"/>
        </w:numPr>
        <w:spacing w:after="120"/>
      </w:pPr>
      <w:r>
        <w:t>M</w:t>
      </w:r>
      <w:r w:rsidRPr="00D21753">
        <w:t xml:space="preserve">eetings </w:t>
      </w:r>
      <w:r w:rsidR="00213951">
        <w:t xml:space="preserve">will </w:t>
      </w:r>
      <w:r>
        <w:t xml:space="preserve">be </w:t>
      </w:r>
      <w:r w:rsidRPr="00D21753">
        <w:t xml:space="preserve">held three times per year, with </w:t>
      </w:r>
      <w:r>
        <w:t>videoconference/teleconferences</w:t>
      </w:r>
      <w:r w:rsidRPr="00E3744E">
        <w:t xml:space="preserve"> or extra</w:t>
      </w:r>
      <w:r w:rsidR="003A1B15">
        <w:t xml:space="preserve"> </w:t>
      </w:r>
      <w:r w:rsidRPr="00E3744E">
        <w:t>meetings as required</w:t>
      </w:r>
      <w:r w:rsidR="00753C07">
        <w:t>.</w:t>
      </w:r>
    </w:p>
    <w:p w14:paraId="5E084AF9" w14:textId="3BD559C6" w:rsidR="001727A8" w:rsidRPr="00EE145B" w:rsidRDefault="001727A8" w:rsidP="00753C07">
      <w:pPr>
        <w:pStyle w:val="ListBullet"/>
        <w:numPr>
          <w:ilvl w:val="0"/>
          <w:numId w:val="0"/>
        </w:numPr>
        <w:spacing w:after="120"/>
        <w:rPr>
          <w:rStyle w:val="normaltextrun"/>
        </w:rPr>
      </w:pPr>
      <w:r>
        <w:rPr>
          <w:rStyle w:val="normaltextrun"/>
          <w:rFonts w:cs="Arial"/>
          <w:shd w:val="clear" w:color="auto" w:fill="FFFFFF"/>
        </w:rPr>
        <w:t xml:space="preserve">Where a committee member is unable to attend a meeting, proxies will </w:t>
      </w:r>
      <w:r w:rsidRPr="00EE145B">
        <w:rPr>
          <w:rStyle w:val="normaltextrun"/>
          <w:rFonts w:cs="Arial"/>
          <w:shd w:val="clear" w:color="auto" w:fill="FFFFFF"/>
        </w:rPr>
        <w:t>not</w:t>
      </w:r>
      <w:r>
        <w:rPr>
          <w:rStyle w:val="normaltextrun"/>
          <w:rFonts w:cs="Arial"/>
          <w:shd w:val="clear" w:color="auto" w:fill="FFFFFF"/>
        </w:rPr>
        <w:t xml:space="preserve"> be allowed to attend the meeting</w:t>
      </w:r>
      <w:r w:rsidR="00753C07">
        <w:rPr>
          <w:rStyle w:val="normaltextrun"/>
          <w:rFonts w:cs="Arial"/>
          <w:shd w:val="clear" w:color="auto" w:fill="FFFFFF"/>
        </w:rPr>
        <w:t>.</w:t>
      </w:r>
    </w:p>
    <w:p w14:paraId="2AE5F476" w14:textId="5DE6E91D" w:rsidR="00285577" w:rsidRPr="00E3744E" w:rsidRDefault="00285577" w:rsidP="009F1AA5">
      <w:pPr>
        <w:pStyle w:val="ListBullet"/>
        <w:numPr>
          <w:ilvl w:val="0"/>
          <w:numId w:val="0"/>
        </w:numPr>
        <w:spacing w:after="120"/>
      </w:pPr>
      <w:r w:rsidRPr="00D21753">
        <w:t>All me</w:t>
      </w:r>
      <w:r>
        <w:t xml:space="preserve">etings </w:t>
      </w:r>
      <w:r w:rsidR="005C0B4C">
        <w:t xml:space="preserve">will be </w:t>
      </w:r>
      <w:r>
        <w:t>chaired by the Committee</w:t>
      </w:r>
      <w:r w:rsidRPr="00D21753">
        <w:t xml:space="preserve"> </w:t>
      </w:r>
      <w:r w:rsidR="00EE248F" w:rsidRPr="00D21753">
        <w:t>Chair</w:t>
      </w:r>
      <w:r w:rsidR="00EE248F">
        <w:t>,</w:t>
      </w:r>
      <w:r w:rsidR="00EE248F" w:rsidRPr="00D21753">
        <w:t xml:space="preserve"> Deputy</w:t>
      </w:r>
      <w:r w:rsidRPr="00E3744E">
        <w:t xml:space="preserve"> Chair </w:t>
      </w:r>
      <w:r w:rsidR="00EE248F">
        <w:t xml:space="preserve">or nominated member </w:t>
      </w:r>
      <w:r w:rsidRPr="00E3744E">
        <w:t>as required</w:t>
      </w:r>
      <w:r w:rsidR="00753C07">
        <w:t>.</w:t>
      </w:r>
    </w:p>
    <w:p w14:paraId="71C124B5" w14:textId="4DAE0392" w:rsidR="00B85D09" w:rsidRDefault="00C322E0" w:rsidP="663743CC">
      <w:pPr>
        <w:pStyle w:val="ListBullet"/>
        <w:numPr>
          <w:ilvl w:val="0"/>
          <w:numId w:val="0"/>
        </w:numPr>
        <w:spacing w:after="120"/>
      </w:pPr>
      <w:r>
        <w:t xml:space="preserve">A </w:t>
      </w:r>
      <w:r w:rsidR="00285577">
        <w:t xml:space="preserve">Quorum will be half </w:t>
      </w:r>
      <w:r w:rsidR="00C63B50">
        <w:t>the committee membership</w:t>
      </w:r>
      <w:r w:rsidR="00B85D09">
        <w:t xml:space="preserve"> </w:t>
      </w:r>
      <w:r w:rsidR="00285577">
        <w:t xml:space="preserve">plus </w:t>
      </w:r>
      <w:r w:rsidR="0045423A">
        <w:t>one</w:t>
      </w:r>
      <w:r w:rsidR="00753C07">
        <w:t>.</w:t>
      </w:r>
      <w:r w:rsidR="778AADE6">
        <w:t xml:space="preserve"> </w:t>
      </w:r>
      <w:r w:rsidR="00B85D09">
        <w:t>Any vacancy</w:t>
      </w:r>
      <w:r w:rsidR="006B0AEB">
        <w:t xml:space="preserve"> on the Committee</w:t>
      </w:r>
      <w:r w:rsidR="145D1210">
        <w:t xml:space="preserve"> </w:t>
      </w:r>
      <w:r w:rsidR="006B0AEB">
        <w:t>will not affect its power to function</w:t>
      </w:r>
      <w:r w:rsidR="00753C07">
        <w:t>.</w:t>
      </w:r>
    </w:p>
    <w:p w14:paraId="535AB9C0" w14:textId="16AB3155" w:rsidR="00E9141A" w:rsidRPr="00D21753" w:rsidRDefault="00E9141A" w:rsidP="663743CC">
      <w:pPr>
        <w:pStyle w:val="ListBullet"/>
        <w:numPr>
          <w:ilvl w:val="0"/>
          <w:numId w:val="0"/>
        </w:numPr>
        <w:spacing w:after="120"/>
      </w:pPr>
      <w:r>
        <w:t xml:space="preserve">The agenda will be set by Committee members, </w:t>
      </w:r>
      <w:r w:rsidR="005D7D4D">
        <w:t>with input from the Secretariat when required</w:t>
      </w:r>
      <w:r w:rsidR="00520E2E">
        <w:t>.</w:t>
      </w:r>
      <w:r w:rsidR="00EB21BC">
        <w:t xml:space="preserve"> </w:t>
      </w:r>
      <w:r w:rsidR="00520E2E">
        <w:t>T</w:t>
      </w:r>
      <w:r w:rsidR="00273431">
        <w:t xml:space="preserve">he </w:t>
      </w:r>
      <w:r>
        <w:t xml:space="preserve">Chair </w:t>
      </w:r>
      <w:r w:rsidR="00763204">
        <w:t xml:space="preserve">will </w:t>
      </w:r>
      <w:r>
        <w:t xml:space="preserve">finalise </w:t>
      </w:r>
      <w:r w:rsidR="480507D5">
        <w:t xml:space="preserve">the agenda </w:t>
      </w:r>
      <w:r>
        <w:t>prior to each meeting</w:t>
      </w:r>
      <w:r w:rsidR="00753C07">
        <w:t>.</w:t>
      </w:r>
    </w:p>
    <w:p w14:paraId="404B402E" w14:textId="337BF2D8" w:rsidR="00B65182" w:rsidRPr="00D21753" w:rsidRDefault="0A5820E5" w:rsidP="00753C07">
      <w:pPr>
        <w:pStyle w:val="ListBullet"/>
        <w:numPr>
          <w:ilvl w:val="0"/>
          <w:numId w:val="0"/>
        </w:numPr>
        <w:spacing w:after="120"/>
        <w:ind w:left="357" w:hanging="357"/>
      </w:pPr>
      <w:r>
        <w:t>Committee</w:t>
      </w:r>
      <w:r w:rsidR="03D81F9C">
        <w:t xml:space="preserve"> discussions </w:t>
      </w:r>
      <w:r w:rsidR="3622A5CE">
        <w:t>are</w:t>
      </w:r>
      <w:r w:rsidR="0849252C">
        <w:t xml:space="preserve"> treated as confidential</w:t>
      </w:r>
      <w:r w:rsidR="55C18F16">
        <w:t>.</w:t>
      </w:r>
    </w:p>
    <w:p w14:paraId="7C5F5616" w14:textId="3E3AA3C9" w:rsidR="00285577" w:rsidRDefault="00285577" w:rsidP="00907919">
      <w:pPr>
        <w:pStyle w:val="ListBullet"/>
        <w:numPr>
          <w:ilvl w:val="0"/>
          <w:numId w:val="0"/>
        </w:numPr>
        <w:spacing w:after="120"/>
        <w:ind w:left="357" w:hanging="357"/>
      </w:pPr>
      <w:r>
        <w:t>Consensus for key decisions and actions will be the preferred process of deliberations</w:t>
      </w:r>
      <w:r w:rsidR="00753C07">
        <w:t>.</w:t>
      </w:r>
    </w:p>
    <w:p w14:paraId="2EFDC9B4" w14:textId="06967548" w:rsidR="00222F78" w:rsidRDefault="00222F78" w:rsidP="00222F78">
      <w:pPr>
        <w:pStyle w:val="Heading2"/>
      </w:pPr>
      <w:r>
        <w:t>Reporting</w:t>
      </w:r>
    </w:p>
    <w:p w14:paraId="17643B7A" w14:textId="647EF5D9" w:rsidR="00222F78" w:rsidRDefault="00684D75" w:rsidP="00222F78">
      <w:pPr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 xml:space="preserve">The Chair is ultimately responsible to </w:t>
      </w:r>
      <w:r w:rsidRPr="00630CEC">
        <w:rPr>
          <w:rStyle w:val="normaltextrun"/>
          <w:rFonts w:cs="Arial"/>
          <w:shd w:val="clear" w:color="auto" w:fill="FFFFFF"/>
        </w:rPr>
        <w:t xml:space="preserve">the </w:t>
      </w:r>
      <w:r w:rsidR="00630CEC">
        <w:rPr>
          <w:rStyle w:val="normaltextrun"/>
          <w:rFonts w:cs="Arial"/>
          <w:shd w:val="clear" w:color="auto" w:fill="FFFFFF"/>
        </w:rPr>
        <w:t xml:space="preserve">First </w:t>
      </w:r>
      <w:r w:rsidR="00D67534">
        <w:rPr>
          <w:rStyle w:val="normaltextrun"/>
          <w:rFonts w:cs="Arial"/>
          <w:shd w:val="clear" w:color="auto" w:fill="FFFFFF"/>
        </w:rPr>
        <w:t>Assistant</w:t>
      </w:r>
      <w:r w:rsidR="00630CEC">
        <w:rPr>
          <w:rStyle w:val="normaltextrun"/>
          <w:rFonts w:cs="Arial"/>
          <w:shd w:val="clear" w:color="auto" w:fill="FFFFFF"/>
        </w:rPr>
        <w:t xml:space="preserve"> Secretary</w:t>
      </w:r>
      <w:r w:rsidR="00D67534">
        <w:rPr>
          <w:rStyle w:val="normaltextrun"/>
          <w:rFonts w:cs="Arial"/>
          <w:shd w:val="clear" w:color="auto" w:fill="FFFFFF"/>
        </w:rPr>
        <w:t>, TA</w:t>
      </w:r>
      <w:r w:rsidR="00F56DFD">
        <w:rPr>
          <w:rStyle w:val="normaltextrun"/>
          <w:rFonts w:cs="Arial"/>
          <w:shd w:val="clear" w:color="auto" w:fill="FFFFFF"/>
        </w:rPr>
        <w:t>A</w:t>
      </w:r>
      <w:r w:rsidR="00D67534">
        <w:rPr>
          <w:rStyle w:val="normaltextrun"/>
          <w:rFonts w:cs="Arial"/>
          <w:shd w:val="clear" w:color="auto" w:fill="FFFFFF"/>
        </w:rPr>
        <w:t>D</w:t>
      </w:r>
      <w:r>
        <w:rPr>
          <w:rStyle w:val="normaltextrun"/>
          <w:rFonts w:cs="Arial"/>
          <w:shd w:val="clear" w:color="auto" w:fill="FFFFFF"/>
        </w:rPr>
        <w:t xml:space="preserve"> for the operations of the Committee.</w:t>
      </w:r>
    </w:p>
    <w:p w14:paraId="0C2CE55F" w14:textId="2B23571F" w:rsidR="00933446" w:rsidRDefault="00F606DA" w:rsidP="00222F78">
      <w:pPr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>A r</w:t>
      </w:r>
      <w:r w:rsidR="00933446" w:rsidRPr="00933446">
        <w:rPr>
          <w:rStyle w:val="normaltextrun"/>
          <w:rFonts w:cs="Arial"/>
          <w:shd w:val="clear" w:color="auto" w:fill="FFFFFF"/>
        </w:rPr>
        <w:t xml:space="preserve">ecord of meetings </w:t>
      </w:r>
      <w:r>
        <w:rPr>
          <w:rStyle w:val="normaltextrun"/>
          <w:rFonts w:cs="Arial"/>
          <w:shd w:val="clear" w:color="auto" w:fill="FFFFFF"/>
        </w:rPr>
        <w:t xml:space="preserve">is </w:t>
      </w:r>
      <w:r w:rsidR="00933446" w:rsidRPr="00933446">
        <w:rPr>
          <w:rStyle w:val="normaltextrun"/>
          <w:rFonts w:cs="Arial"/>
          <w:shd w:val="clear" w:color="auto" w:fill="FFFFFF"/>
        </w:rPr>
        <w:t xml:space="preserve">to be reported following each meeting </w:t>
      </w:r>
      <w:r w:rsidR="00AF7F8A">
        <w:rPr>
          <w:rStyle w:val="normaltextrun"/>
          <w:rFonts w:cs="Arial"/>
          <w:shd w:val="clear" w:color="auto" w:fill="FFFFFF"/>
        </w:rPr>
        <w:t xml:space="preserve">and provided to </w:t>
      </w:r>
      <w:r w:rsidR="00DC072F">
        <w:rPr>
          <w:rStyle w:val="normaltextrun"/>
          <w:rFonts w:cs="Arial"/>
          <w:shd w:val="clear" w:color="auto" w:fill="FFFFFF"/>
        </w:rPr>
        <w:t>Committee members, Departmental executives,</w:t>
      </w:r>
      <w:r w:rsidR="00933446" w:rsidRPr="00933446">
        <w:rPr>
          <w:rStyle w:val="normaltextrun"/>
          <w:rFonts w:cs="Arial"/>
          <w:shd w:val="clear" w:color="auto" w:fill="FFFFFF"/>
        </w:rPr>
        <w:t xml:space="preserve"> and Principal HTA Committee Chairs.</w:t>
      </w:r>
    </w:p>
    <w:p w14:paraId="775B5735" w14:textId="3B956561" w:rsidR="006A55EA" w:rsidRDefault="006A55EA" w:rsidP="00222F78">
      <w:pPr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>A Committee Co</w:t>
      </w:r>
      <w:r w:rsidR="002B5B69">
        <w:rPr>
          <w:rStyle w:val="normaltextrun"/>
          <w:rFonts w:cs="Arial"/>
          <w:shd w:val="clear" w:color="auto" w:fill="FFFFFF"/>
        </w:rPr>
        <w:t xml:space="preserve">mmunique is to be published on the Department’s </w:t>
      </w:r>
      <w:r w:rsidR="00C20718">
        <w:rPr>
          <w:rStyle w:val="normaltextrun"/>
          <w:rFonts w:cs="Arial"/>
          <w:shd w:val="clear" w:color="auto" w:fill="FFFFFF"/>
        </w:rPr>
        <w:t>website following each meeting</w:t>
      </w:r>
      <w:r w:rsidR="0011537E">
        <w:rPr>
          <w:rStyle w:val="normaltextrun"/>
          <w:rFonts w:cs="Arial"/>
          <w:shd w:val="clear" w:color="auto" w:fill="FFFFFF"/>
        </w:rPr>
        <w:t>.</w:t>
      </w:r>
    </w:p>
    <w:p w14:paraId="579C9004" w14:textId="0D0AE5CA" w:rsidR="00247407" w:rsidRDefault="00370567" w:rsidP="00222F78">
      <w:pPr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>The Committee</w:t>
      </w:r>
      <w:r w:rsidR="009106CD">
        <w:rPr>
          <w:rStyle w:val="normaltextrun"/>
          <w:rFonts w:cs="Arial"/>
          <w:shd w:val="clear" w:color="auto" w:fill="FFFFFF"/>
        </w:rPr>
        <w:t xml:space="preserve"> </w:t>
      </w:r>
      <w:r w:rsidR="0001645D">
        <w:rPr>
          <w:rStyle w:val="normaltextrun"/>
          <w:rFonts w:cs="Arial"/>
          <w:shd w:val="clear" w:color="auto" w:fill="FFFFFF"/>
        </w:rPr>
        <w:t xml:space="preserve">is to </w:t>
      </w:r>
      <w:r w:rsidR="00064A1B">
        <w:rPr>
          <w:rStyle w:val="normaltextrun"/>
          <w:rFonts w:cs="Arial"/>
          <w:shd w:val="clear" w:color="auto" w:fill="FFFFFF"/>
        </w:rPr>
        <w:t xml:space="preserve">develop a </w:t>
      </w:r>
      <w:r w:rsidR="009106CD">
        <w:rPr>
          <w:rStyle w:val="normaltextrun"/>
          <w:rFonts w:cs="Arial"/>
          <w:shd w:val="clear" w:color="auto" w:fill="FFFFFF"/>
        </w:rPr>
        <w:t xml:space="preserve">Plan of Activities </w:t>
      </w:r>
      <w:r w:rsidR="000F5575">
        <w:rPr>
          <w:rStyle w:val="normaltextrun"/>
          <w:rFonts w:cs="Arial"/>
          <w:shd w:val="clear" w:color="auto" w:fill="FFFFFF"/>
        </w:rPr>
        <w:t>biennially</w:t>
      </w:r>
      <w:r w:rsidR="00064A1B">
        <w:rPr>
          <w:rStyle w:val="normaltextrun"/>
          <w:rFonts w:cs="Arial"/>
          <w:shd w:val="clear" w:color="auto" w:fill="FFFFFF"/>
        </w:rPr>
        <w:t>, w</w:t>
      </w:r>
      <w:r w:rsidR="005D716D">
        <w:rPr>
          <w:rStyle w:val="normaltextrun"/>
          <w:rFonts w:cs="Arial"/>
          <w:shd w:val="clear" w:color="auto" w:fill="FFFFFF"/>
        </w:rPr>
        <w:t xml:space="preserve">hich </w:t>
      </w:r>
      <w:r w:rsidR="00EE5EFA">
        <w:rPr>
          <w:rStyle w:val="normaltextrun"/>
          <w:rFonts w:cs="Arial"/>
          <w:shd w:val="clear" w:color="auto" w:fill="FFFFFF"/>
        </w:rPr>
        <w:t>will be</w:t>
      </w:r>
      <w:r w:rsidR="005D716D">
        <w:rPr>
          <w:rStyle w:val="normaltextrun"/>
          <w:rFonts w:cs="Arial"/>
          <w:shd w:val="clear" w:color="auto" w:fill="FFFFFF"/>
        </w:rPr>
        <w:t xml:space="preserve"> provided to the First Assistant Secretary, TAAD</w:t>
      </w:r>
      <w:r w:rsidR="00CE5773">
        <w:rPr>
          <w:rStyle w:val="normaltextrun"/>
          <w:rFonts w:cs="Arial"/>
          <w:shd w:val="clear" w:color="auto" w:fill="FFFFFF"/>
        </w:rPr>
        <w:t xml:space="preserve"> for endorsement</w:t>
      </w:r>
      <w:r w:rsidR="00C25EA4">
        <w:rPr>
          <w:rStyle w:val="normaltextrun"/>
          <w:rFonts w:cs="Arial"/>
          <w:shd w:val="clear" w:color="auto" w:fill="FFFFFF"/>
        </w:rPr>
        <w:t>.</w:t>
      </w:r>
    </w:p>
    <w:p w14:paraId="79EFBE2E" w14:textId="7852CCF5" w:rsidR="00222F78" w:rsidRPr="00FA02BB" w:rsidRDefault="00222F78" w:rsidP="00222F78">
      <w:pPr>
        <w:pStyle w:val="Heading2"/>
      </w:pPr>
      <w:bookmarkStart w:id="1" w:name="_Hlk202953964"/>
      <w:r>
        <w:t>Confidentiality and Conflict of Interest</w:t>
      </w:r>
    </w:p>
    <w:bookmarkEnd w:id="1"/>
    <w:p w14:paraId="609017EA" w14:textId="722EB637" w:rsidR="00222F78" w:rsidRDefault="00222F78" w:rsidP="00A02054">
      <w:pPr>
        <w:spacing w:after="60"/>
        <w:rPr>
          <w:rFonts w:cs="Arial"/>
          <w:iCs/>
          <w:color w:val="358189"/>
          <w:sz w:val="28"/>
          <w:szCs w:val="28"/>
        </w:rPr>
      </w:pPr>
      <w:r>
        <w:rPr>
          <w:rFonts w:cs="Arial"/>
          <w:iCs/>
          <w:color w:val="358189"/>
          <w:sz w:val="28"/>
          <w:szCs w:val="28"/>
        </w:rPr>
        <w:t>Confidentiality</w:t>
      </w:r>
    </w:p>
    <w:p w14:paraId="26E4E003" w14:textId="4E3A5D21" w:rsidR="002744F2" w:rsidRDefault="25C2F138" w:rsidP="12F70654">
      <w:pPr>
        <w:spacing w:before="0"/>
        <w:rPr>
          <w:rFonts w:cs="Arial"/>
          <w:color w:val="358189"/>
          <w:sz w:val="28"/>
          <w:szCs w:val="28"/>
        </w:rPr>
      </w:pPr>
      <w:r>
        <w:rPr>
          <w:rStyle w:val="normaltextrun"/>
          <w:rFonts w:cs="Arial"/>
          <w:shd w:val="clear" w:color="auto" w:fill="FFFFFF"/>
        </w:rPr>
        <w:t xml:space="preserve">Committee members may, on occasion, be provided with confidential material.  Members are not to disclose this material to anyone outside the </w:t>
      </w:r>
      <w:proofErr w:type="gramStart"/>
      <w:r>
        <w:rPr>
          <w:rStyle w:val="normaltextrun"/>
          <w:rFonts w:cs="Arial"/>
          <w:shd w:val="clear" w:color="auto" w:fill="FFFFFF"/>
        </w:rPr>
        <w:t>Committee, and</w:t>
      </w:r>
      <w:proofErr w:type="gramEnd"/>
      <w:r>
        <w:rPr>
          <w:rStyle w:val="normaltextrun"/>
          <w:rFonts w:cs="Arial"/>
          <w:shd w:val="clear" w:color="auto" w:fill="FFFFFF"/>
        </w:rPr>
        <w:t xml:space="preserve"> are to treat this material with the utmost care and discretion and in accordance with terms of their confidentiality agreement.</w:t>
      </w:r>
    </w:p>
    <w:p w14:paraId="750B5E62" w14:textId="77777777" w:rsidR="00666F9C" w:rsidRDefault="00666F9C">
      <w:pPr>
        <w:spacing w:before="0" w:after="0" w:line="240" w:lineRule="auto"/>
        <w:rPr>
          <w:rFonts w:cs="Arial"/>
          <w:iCs/>
          <w:color w:val="358189"/>
          <w:sz w:val="28"/>
          <w:szCs w:val="28"/>
        </w:rPr>
      </w:pPr>
      <w:r>
        <w:rPr>
          <w:rFonts w:cs="Arial"/>
          <w:iCs/>
          <w:color w:val="358189"/>
          <w:sz w:val="28"/>
          <w:szCs w:val="28"/>
        </w:rPr>
        <w:br w:type="page"/>
      </w:r>
    </w:p>
    <w:p w14:paraId="12F25463" w14:textId="2C9897FC" w:rsidR="00222F78" w:rsidRDefault="00222F78" w:rsidP="00A02054">
      <w:pPr>
        <w:spacing w:before="240" w:after="60"/>
        <w:rPr>
          <w:rFonts w:cs="Arial"/>
          <w:iCs/>
          <w:color w:val="358189"/>
          <w:sz w:val="28"/>
          <w:szCs w:val="28"/>
        </w:rPr>
      </w:pPr>
      <w:r>
        <w:rPr>
          <w:rFonts w:cs="Arial"/>
          <w:iCs/>
          <w:color w:val="358189"/>
          <w:sz w:val="28"/>
          <w:szCs w:val="28"/>
        </w:rPr>
        <w:lastRenderedPageBreak/>
        <w:t>Conflict of Interest</w:t>
      </w:r>
    </w:p>
    <w:p w14:paraId="7B8D5931" w14:textId="02DE14EE" w:rsidR="00924943" w:rsidRPr="00924943" w:rsidRDefault="00924943" w:rsidP="004709B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</w:pP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Conflict of interest is defined as any instance where a </w:t>
      </w:r>
      <w:r w:rsidR="00E27746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c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ommittee member, partner or close family friend has a direct financial or other interest in matters under consideration or proposed matters for consideration by the Committee.</w:t>
      </w:r>
    </w:p>
    <w:p w14:paraId="78A3B265" w14:textId="6F081B47" w:rsidR="00924943" w:rsidRPr="00924943" w:rsidRDefault="00924943" w:rsidP="004709B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</w:pPr>
    </w:p>
    <w:p w14:paraId="3AFFC7CD" w14:textId="250B7219" w:rsidR="00924943" w:rsidRPr="00924943" w:rsidRDefault="00924943" w:rsidP="004709B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</w:pP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A member is not to participate in </w:t>
      </w:r>
      <w:r w:rsidR="00E0149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C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ommittee business until the Confidentiality, Conflict of Interest, Privacy and Secrecy Deed Poll form has been completed. Additionally, </w:t>
      </w:r>
      <w:r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C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ommittee members must undertake an annual Declaration of Interest (DOI) process, submitted to the Committee Management Group within the O</w:t>
      </w:r>
      <w:r w:rsidR="00CA394E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ffice of 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H</w:t>
      </w:r>
      <w:r w:rsidR="00CA394E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ealth 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T</w:t>
      </w:r>
      <w:r w:rsidR="00CA394E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echnology 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A</w:t>
      </w:r>
      <w:r w:rsidR="00CA394E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ssessment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 HTA Support Unit (HSU).</w:t>
      </w:r>
    </w:p>
    <w:p w14:paraId="01A0C7BD" w14:textId="743D7488" w:rsidR="00924943" w:rsidRPr="00924943" w:rsidRDefault="00924943" w:rsidP="004709B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</w:pPr>
    </w:p>
    <w:p w14:paraId="7C90A1D1" w14:textId="302D77B7" w:rsidR="002744F2" w:rsidRPr="00B25C45" w:rsidRDefault="00924943" w:rsidP="004709B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</w:pP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A member must disclose to the Chair any situation that may give rise to a</w:t>
      </w:r>
      <w:r w:rsidR="00A43E42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ny actual, </w:t>
      </w:r>
      <w:r w:rsidR="00C0028F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potential</w:t>
      </w:r>
      <w:r w:rsidR="00A43E42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 or perceived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 conflict of interest concerning matters to be discussed at Committee meetings. Where such a matter arises, the Chair may direct a member to not be involved in any related discussion or decision-making process</w:t>
      </w:r>
      <w:r w:rsidR="00985D99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 xml:space="preserve"> and may restrict access to relevant documents</w:t>
      </w:r>
      <w:r w:rsidRPr="00924943">
        <w:rPr>
          <w:rStyle w:val="normaltextrun"/>
          <w:rFonts w:ascii="Arial" w:hAnsi="Arial" w:cs="Arial"/>
          <w:color w:val="000000" w:themeColor="text1"/>
          <w:sz w:val="22"/>
          <w:shd w:val="clear" w:color="auto" w:fill="FFFFFF"/>
          <w:lang w:eastAsia="en-US"/>
        </w:rPr>
        <w:t>.</w:t>
      </w:r>
    </w:p>
    <w:p w14:paraId="76C5CF32" w14:textId="37C488F7" w:rsidR="68911C86" w:rsidRDefault="68911C86" w:rsidP="68911C86"/>
    <w:sectPr w:rsidR="68911C86" w:rsidSect="00E628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5" w:right="1274" w:bottom="1276" w:left="1418" w:header="709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FA3E" w14:textId="77777777" w:rsidR="00037ACE" w:rsidRDefault="00037ACE" w:rsidP="006B56BB">
      <w:r>
        <w:separator/>
      </w:r>
    </w:p>
    <w:p w14:paraId="774CE62D" w14:textId="77777777" w:rsidR="00037ACE" w:rsidRDefault="00037ACE"/>
  </w:endnote>
  <w:endnote w:type="continuationSeparator" w:id="0">
    <w:p w14:paraId="681E4CA8" w14:textId="77777777" w:rsidR="00037ACE" w:rsidRDefault="00037ACE" w:rsidP="006B56BB">
      <w:r>
        <w:continuationSeparator/>
      </w:r>
    </w:p>
    <w:p w14:paraId="6D6FC75C" w14:textId="77777777" w:rsidR="00037ACE" w:rsidRDefault="00037ACE"/>
  </w:endnote>
  <w:endnote w:type="continuationNotice" w:id="1">
    <w:p w14:paraId="550E81CA" w14:textId="77777777" w:rsidR="00037ACE" w:rsidRDefault="00037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A760" w14:textId="428A15B7" w:rsidR="00BE3402" w:rsidRDefault="00BE34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66FE9DE" wp14:editId="4E6BC2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942888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D7719" w14:textId="4C5EC130" w:rsidR="00BE3402" w:rsidRPr="00AA040E" w:rsidRDefault="00BE3402" w:rsidP="00AA04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A040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FE9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13CD7719" w14:textId="4C5EC130" w:rsidR="00BE3402" w:rsidRPr="00AA040E" w:rsidRDefault="00BE3402" w:rsidP="00AA04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A040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06F0" w14:textId="570EC481" w:rsidR="00B53987" w:rsidRPr="00F431D9" w:rsidRDefault="00BE3402" w:rsidP="00B53987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956C84" wp14:editId="2773D45F">
              <wp:simplePos x="0" y="0"/>
              <wp:positionH relativeFrom="page">
                <wp:posOffset>3469005</wp:posOffset>
              </wp:positionH>
              <wp:positionV relativeFrom="page">
                <wp:posOffset>9899015</wp:posOffset>
              </wp:positionV>
              <wp:extent cx="609600" cy="485775"/>
              <wp:effectExtent l="0" t="0" r="6350" b="0"/>
              <wp:wrapNone/>
              <wp:docPr id="15783126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0B38D" w14:textId="73D20F63" w:rsidR="00BE3402" w:rsidRPr="00AA040E" w:rsidRDefault="00BE3402" w:rsidP="00AA04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56C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273.15pt;margin-top:779.45pt;width:48pt;height:38.25pt;z-index:25165824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DhaLwf4QAAAA0BAAAPAAAAZHJzL2Rvd25yZXYueG1sTI/NTsMwEITvSLyDtUjcqEP+VNI4FarE&#10;qQipLRdurrNNUuJ1FDtt+vYsJzjuzKfZmXI9215ccPSdIwXPiwgEknF1R42Cz8Pb0xKED5pq3TtC&#10;BTf0sK7u70pd1O5KO7zsQyM4hHyhFbQhDIWU3rRotV+4AYm9kxutDnyOjaxHfeVw28s4inJpdUf8&#10;odUDblo03/vJKsh24X36oEPyNce383bYmOS0NUo9PsyvKxAB5/AHw299rg4Vdzq6iWoves5I84RR&#10;NrJs+QKCkTyNWTqylCdZCrIq5f8V1Q8AAAD//wMAUEsBAi0AFAAGAAgAAAAhALaDOJL+AAAA4QEA&#10;ABMAAAAAAAAAAAAAAAAAAAAAAFtDb250ZW50X1R5cGVzXS54bWxQSwECLQAUAAYACAAAACEAOP0h&#10;/9YAAACUAQAACwAAAAAAAAAAAAAAAAAvAQAAX3JlbHMvLnJlbHNQSwECLQAUAAYACAAAACEAsQ+L&#10;hg4CAAAcBAAADgAAAAAAAAAAAAAAAAAuAgAAZHJzL2Uyb0RvYy54bWxQSwECLQAUAAYACAAAACEA&#10;4Wi8H+EAAAANAQAADwAAAAAAAAAAAAAAAABoBAAAZHJzL2Rvd25yZXYueG1sUEsFBgAAAAAEAAQA&#10;8wAAAHYFAAAAAA==&#10;" filled="f" stroked="f">
              <v:textbox style="mso-fit-shape-to-text:t" inset="0,0,0,15pt">
                <w:txbxContent>
                  <w:p w14:paraId="24A0B38D" w14:textId="73D20F63" w:rsidR="00BE3402" w:rsidRPr="00AA040E" w:rsidRDefault="00BE3402" w:rsidP="00AA04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1BCD" w:rsidRPr="00F431D9">
      <w:rPr>
        <w:sz w:val="16"/>
        <w:szCs w:val="16"/>
      </w:rPr>
      <w:t>Department of Health</w:t>
    </w:r>
    <w:r w:rsidR="00A47E56" w:rsidRPr="00F431D9">
      <w:rPr>
        <w:sz w:val="16"/>
        <w:szCs w:val="16"/>
      </w:rPr>
      <w:t>, Disability</w:t>
    </w:r>
    <w:r w:rsidR="004C1BCD" w:rsidRPr="00F431D9">
      <w:rPr>
        <w:sz w:val="16"/>
        <w:szCs w:val="16"/>
      </w:rPr>
      <w:t xml:space="preserve"> and Age</w:t>
    </w:r>
    <w:r w:rsidR="00A47E56" w:rsidRPr="00F431D9">
      <w:rPr>
        <w:sz w:val="16"/>
        <w:szCs w:val="16"/>
      </w:rPr>
      <w:t>ing</w:t>
    </w:r>
    <w:r w:rsidR="004C1BCD" w:rsidRPr="00F431D9">
      <w:rPr>
        <w:sz w:val="16"/>
        <w:szCs w:val="16"/>
      </w:rPr>
      <w:t xml:space="preserve"> </w:t>
    </w:r>
    <w:r w:rsidR="00B53987" w:rsidRPr="00F431D9">
      <w:rPr>
        <w:sz w:val="16"/>
        <w:szCs w:val="16"/>
      </w:rPr>
      <w:t xml:space="preserve">– </w:t>
    </w:r>
    <w:r w:rsidR="007F54A6" w:rsidRPr="00F431D9">
      <w:rPr>
        <w:sz w:val="16"/>
        <w:szCs w:val="16"/>
      </w:rPr>
      <w:t>HTA CCC Terms of Reference</w:t>
    </w:r>
    <w:sdt>
      <w:sdtPr>
        <w:rPr>
          <w:sz w:val="16"/>
          <w:szCs w:val="16"/>
        </w:rPr>
        <w:id w:val="-183903453"/>
        <w:docPartObj>
          <w:docPartGallery w:val="Page Numbers (Bottom of Page)"/>
          <w:docPartUnique/>
        </w:docPartObj>
      </w:sdtPr>
      <w:sdtEndPr/>
      <w:sdtContent>
        <w:r w:rsidR="00B53987" w:rsidRPr="00F431D9">
          <w:rPr>
            <w:sz w:val="16"/>
            <w:szCs w:val="16"/>
          </w:rPr>
          <w:tab/>
        </w:r>
        <w:r w:rsidR="00B53987" w:rsidRPr="00F431D9">
          <w:rPr>
            <w:sz w:val="16"/>
            <w:szCs w:val="16"/>
          </w:rPr>
          <w:fldChar w:fldCharType="begin"/>
        </w:r>
        <w:r w:rsidR="00B53987" w:rsidRPr="00F431D9">
          <w:rPr>
            <w:sz w:val="16"/>
            <w:szCs w:val="16"/>
          </w:rPr>
          <w:instrText xml:space="preserve"> PAGE   \* MERGEFORMAT </w:instrText>
        </w:r>
        <w:r w:rsidR="00B53987" w:rsidRPr="00F431D9">
          <w:rPr>
            <w:sz w:val="16"/>
            <w:szCs w:val="16"/>
          </w:rPr>
          <w:fldChar w:fldCharType="separate"/>
        </w:r>
        <w:r w:rsidR="00B53987" w:rsidRPr="00F431D9">
          <w:rPr>
            <w:sz w:val="16"/>
            <w:szCs w:val="16"/>
          </w:rPr>
          <w:t>1</w:t>
        </w:r>
        <w:r w:rsidR="00B53987" w:rsidRPr="00F431D9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1592" w14:textId="45D704C6" w:rsidR="00B53987" w:rsidRDefault="00BE3402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DEE6F6" wp14:editId="452A93B0">
              <wp:simplePos x="0" y="0"/>
              <wp:positionH relativeFrom="page">
                <wp:posOffset>3469005</wp:posOffset>
              </wp:positionH>
              <wp:positionV relativeFrom="page">
                <wp:posOffset>9899015</wp:posOffset>
              </wp:positionV>
              <wp:extent cx="609600" cy="485775"/>
              <wp:effectExtent l="0" t="0" r="6350" b="0"/>
              <wp:wrapNone/>
              <wp:docPr id="20554467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6618D" w14:textId="70D42BEB" w:rsidR="00BE3402" w:rsidRPr="00AA040E" w:rsidRDefault="00BE3402" w:rsidP="00AA04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EE6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273.15pt;margin-top:779.45pt;width:48pt;height:38.25pt;z-index:25165824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4Wi8H+EAAAANAQAADwAAAGRycy9kb3ducmV2LnhtbEyPzU7DMBCE70i8g7VI3KhD/lTSOBWqxKkI&#10;qS0Xbq6zTVLidRQ7bfr2LCc47syn2ZlyPdteXHD0nSMFz4sIBJJxdUeNgs/D29MShA+aat07QgU3&#10;9LCu7u9KXdTuSju87EMjOIR8oRW0IQyFlN60aLVfuAGJvZMbrQ58jo2sR33lcNvLOIpyaXVH/KHV&#10;A25aNN/7ySrIduF9+qBD8jXHt/N22JjktDVKPT7MrysQAefwB8Nvfa4OFXc6uolqL3rOSPOEUTay&#10;bPkCgpE8jVk6spQnWQqyKuX/FdUPAAAA//8DAFBLAQItABQABgAIAAAAIQC2gziS/gAAAOEBAAAT&#10;AAAAAAAAAAAAAAAAAAAAAABbQ29udGVudF9UeXBlc10ueG1sUEsBAi0AFAAGAAgAAAAhADj9If/W&#10;AAAAlAEAAAsAAAAAAAAAAAAAAAAALwEAAF9yZWxzLy5yZWxzUEsBAi0AFAAGAAgAAAAhAN+MJAsM&#10;AgAAHAQAAA4AAAAAAAAAAAAAAAAALgIAAGRycy9lMm9Eb2MueG1sUEsBAi0AFAAGAAgAAAAhAOFo&#10;vB/hAAAADQEAAA8AAAAAAAAAAAAAAAAAZgQAAGRycy9kb3ducmV2LnhtbFBLBQYAAAAABAAEAPMA&#10;AAB0BQAAAAA=&#10;" filled="f" stroked="f">
              <v:textbox style="mso-fit-shape-to-text:t" inset="0,0,0,15pt">
                <w:txbxContent>
                  <w:p w14:paraId="5F36618D" w14:textId="70D42BEB" w:rsidR="00BE3402" w:rsidRPr="00AA040E" w:rsidRDefault="00BE3402" w:rsidP="00AA04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12F70654">
      <w:t>Department of Health, Disability and Ageing – HTA CCC Terms of Reference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>
          <w:fldChar w:fldCharType="begin"/>
        </w:r>
        <w:r w:rsidR="00B53987">
          <w:instrText xml:space="preserve"> PAGE   \* MERGEFORMAT </w:instrText>
        </w:r>
        <w:r w:rsidR="00B53987">
          <w:fldChar w:fldCharType="separate"/>
        </w:r>
        <w:r w:rsidR="12F70654">
          <w:t>2</w:t>
        </w:r>
        <w:r w:rsidR="00B5398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97F" w14:textId="77777777" w:rsidR="00037ACE" w:rsidRDefault="00037ACE" w:rsidP="006B56BB">
      <w:r>
        <w:separator/>
      </w:r>
    </w:p>
    <w:p w14:paraId="5DCEF358" w14:textId="77777777" w:rsidR="00037ACE" w:rsidRDefault="00037ACE"/>
  </w:footnote>
  <w:footnote w:type="continuationSeparator" w:id="0">
    <w:p w14:paraId="0FFD39D0" w14:textId="77777777" w:rsidR="00037ACE" w:rsidRDefault="00037ACE" w:rsidP="006B56BB">
      <w:r>
        <w:continuationSeparator/>
      </w:r>
    </w:p>
    <w:p w14:paraId="009F995D" w14:textId="77777777" w:rsidR="00037ACE" w:rsidRDefault="00037ACE"/>
  </w:footnote>
  <w:footnote w:type="continuationNotice" w:id="1">
    <w:p w14:paraId="5E6888F6" w14:textId="77777777" w:rsidR="00037ACE" w:rsidRDefault="00037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8D93" w14:textId="08815B4D" w:rsidR="00BE3402" w:rsidRDefault="00BE34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2F8DBF" wp14:editId="1AC16B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36047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CFF49" w14:textId="1AAA851D" w:rsidR="00BE3402" w:rsidRPr="00AA040E" w:rsidRDefault="00BE3402" w:rsidP="00AA04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A040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F8D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710CFF49" w14:textId="1AAA851D" w:rsidR="00BE3402" w:rsidRPr="00AA040E" w:rsidRDefault="00BE3402" w:rsidP="00AA04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A040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EB65" w14:textId="65984926" w:rsidR="008E0C77" w:rsidRDefault="00BE3402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6224AC8" wp14:editId="7F648D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667156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3AA93" w14:textId="16A5DB12" w:rsidR="00BE3402" w:rsidRPr="00AA040E" w:rsidRDefault="00BE3402" w:rsidP="00AA04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24A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7E13AA93" w14:textId="16A5DB12" w:rsidR="00BE3402" w:rsidRPr="00AA040E" w:rsidRDefault="00BE3402" w:rsidP="00AA04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FB78" w14:textId="78BD12A6" w:rsidR="00B53987" w:rsidRDefault="00BE3402">
    <w:pPr>
      <w:pStyle w:val="Header"/>
      <w:rPr>
        <w:noProof/>
        <w:lang w:eastAsia="en-AU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7F04B6" wp14:editId="4F1F87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772673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808FC" w14:textId="53C2BCDC" w:rsidR="00BE3402" w:rsidRPr="00AA040E" w:rsidRDefault="00BE3402" w:rsidP="00AA04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F04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05B808FC" w14:textId="53C2BCDC" w:rsidR="00BE3402" w:rsidRPr="00AA040E" w:rsidRDefault="00BE3402" w:rsidP="00AA04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3A89">
      <w:rPr>
        <w:noProof/>
      </w:rPr>
      <w:drawing>
        <wp:inline distT="0" distB="0" distL="0" distR="0" wp14:anchorId="5EBD86A6" wp14:editId="5C3C9A50">
          <wp:extent cx="2188845" cy="664210"/>
          <wp:effectExtent l="0" t="0" r="1905" b="2540"/>
          <wp:docPr id="1163080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602021" w14:textId="77777777" w:rsidR="00D83A89" w:rsidRDefault="00D83A89">
    <w:pPr>
      <w:pStyle w:val="Header"/>
      <w:rPr>
        <w:noProof/>
        <w:lang w:eastAsia="en-AU"/>
      </w:rPr>
    </w:pPr>
  </w:p>
  <w:p w14:paraId="63BBF73D" w14:textId="7F7202E7" w:rsidR="00D83A89" w:rsidRDefault="005E75CA">
    <w:pPr>
      <w:pStyle w:val="Header"/>
    </w:pPr>
    <w:r>
      <w:rPr>
        <w:noProof/>
      </w:rPr>
      <w:drawing>
        <wp:inline distT="0" distB="0" distL="0" distR="0" wp14:anchorId="19673AFB" wp14:editId="541D3473">
          <wp:extent cx="6193790" cy="341630"/>
          <wp:effectExtent l="0" t="0" r="0" b="1270"/>
          <wp:docPr id="21046361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ACC1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70CF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88802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96E7E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67B283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5BE3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8E6C3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486448"/>
    <w:multiLevelType w:val="hybridMultilevel"/>
    <w:tmpl w:val="E84C41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15778"/>
    <w:multiLevelType w:val="hybridMultilevel"/>
    <w:tmpl w:val="ABBA9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5644D"/>
    <w:multiLevelType w:val="hybridMultilevel"/>
    <w:tmpl w:val="31F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92DF3"/>
    <w:multiLevelType w:val="hybridMultilevel"/>
    <w:tmpl w:val="1B062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1ADF"/>
    <w:multiLevelType w:val="hybridMultilevel"/>
    <w:tmpl w:val="0798AD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625384F"/>
    <w:multiLevelType w:val="hybridMultilevel"/>
    <w:tmpl w:val="B6CC2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B6DA2"/>
    <w:multiLevelType w:val="hybridMultilevel"/>
    <w:tmpl w:val="FFFFFFFF"/>
    <w:lvl w:ilvl="0" w:tplc="0798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09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E4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4A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A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49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6B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67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8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369F2"/>
    <w:multiLevelType w:val="multilevel"/>
    <w:tmpl w:val="936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CE5D5C"/>
    <w:multiLevelType w:val="hybridMultilevel"/>
    <w:tmpl w:val="9FF874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03BA7"/>
    <w:multiLevelType w:val="multilevel"/>
    <w:tmpl w:val="834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A7234"/>
    <w:multiLevelType w:val="hybridMultilevel"/>
    <w:tmpl w:val="0ED2E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813424"/>
    <w:multiLevelType w:val="hybridMultilevel"/>
    <w:tmpl w:val="30D01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925B9"/>
    <w:multiLevelType w:val="hybridMultilevel"/>
    <w:tmpl w:val="ABF8D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19272128">
    <w:abstractNumId w:val="20"/>
  </w:num>
  <w:num w:numId="2" w16cid:durableId="130170232">
    <w:abstractNumId w:val="7"/>
  </w:num>
  <w:num w:numId="3" w16cid:durableId="492456061">
    <w:abstractNumId w:val="25"/>
  </w:num>
  <w:num w:numId="4" w16cid:durableId="1521697938">
    <w:abstractNumId w:val="30"/>
  </w:num>
  <w:num w:numId="5" w16cid:durableId="2064211025">
    <w:abstractNumId w:val="9"/>
  </w:num>
  <w:num w:numId="6" w16cid:durableId="18699906">
    <w:abstractNumId w:val="9"/>
    <w:lvlOverride w:ilvl="0">
      <w:startOverride w:val="1"/>
    </w:lvlOverride>
  </w:num>
  <w:num w:numId="7" w16cid:durableId="413741580">
    <w:abstractNumId w:val="10"/>
  </w:num>
  <w:num w:numId="8" w16cid:durableId="2033459573">
    <w:abstractNumId w:val="18"/>
  </w:num>
  <w:num w:numId="9" w16cid:durableId="1665431159">
    <w:abstractNumId w:val="29"/>
  </w:num>
  <w:num w:numId="10" w16cid:durableId="108087475">
    <w:abstractNumId w:val="5"/>
  </w:num>
  <w:num w:numId="11" w16cid:durableId="1110127513">
    <w:abstractNumId w:val="4"/>
  </w:num>
  <w:num w:numId="12" w16cid:durableId="86272518">
    <w:abstractNumId w:val="3"/>
  </w:num>
  <w:num w:numId="13" w16cid:durableId="257446731">
    <w:abstractNumId w:val="2"/>
  </w:num>
  <w:num w:numId="14" w16cid:durableId="1709528275">
    <w:abstractNumId w:val="6"/>
  </w:num>
  <w:num w:numId="15" w16cid:durableId="1841579160">
    <w:abstractNumId w:val="1"/>
  </w:num>
  <w:num w:numId="16" w16cid:durableId="1186097893">
    <w:abstractNumId w:val="0"/>
  </w:num>
  <w:num w:numId="17" w16cid:durableId="1172911087">
    <w:abstractNumId w:val="31"/>
  </w:num>
  <w:num w:numId="18" w16cid:durableId="1791895645">
    <w:abstractNumId w:val="11"/>
  </w:num>
  <w:num w:numId="19" w16cid:durableId="925191332">
    <w:abstractNumId w:val="14"/>
  </w:num>
  <w:num w:numId="20" w16cid:durableId="1397624051">
    <w:abstractNumId w:val="17"/>
  </w:num>
  <w:num w:numId="21" w16cid:durableId="843059348">
    <w:abstractNumId w:val="11"/>
  </w:num>
  <w:num w:numId="22" w16cid:durableId="24798065">
    <w:abstractNumId w:val="17"/>
  </w:num>
  <w:num w:numId="23" w16cid:durableId="457994602">
    <w:abstractNumId w:val="31"/>
  </w:num>
  <w:num w:numId="24" w16cid:durableId="590697048">
    <w:abstractNumId w:val="25"/>
  </w:num>
  <w:num w:numId="25" w16cid:durableId="458498316">
    <w:abstractNumId w:val="30"/>
  </w:num>
  <w:num w:numId="26" w16cid:durableId="1628465539">
    <w:abstractNumId w:val="9"/>
  </w:num>
  <w:num w:numId="27" w16cid:durableId="1414159493">
    <w:abstractNumId w:val="23"/>
  </w:num>
  <w:num w:numId="28" w16cid:durableId="1496261218">
    <w:abstractNumId w:val="22"/>
  </w:num>
  <w:num w:numId="29" w16cid:durableId="904073142">
    <w:abstractNumId w:val="15"/>
  </w:num>
  <w:num w:numId="30" w16cid:durableId="260266590">
    <w:abstractNumId w:val="28"/>
  </w:num>
  <w:num w:numId="31" w16cid:durableId="1022171034">
    <w:abstractNumId w:val="12"/>
  </w:num>
  <w:num w:numId="32" w16cid:durableId="95517893">
    <w:abstractNumId w:val="27"/>
  </w:num>
  <w:num w:numId="33" w16cid:durableId="2062973675">
    <w:abstractNumId w:val="26"/>
  </w:num>
  <w:num w:numId="34" w16cid:durableId="2065908424">
    <w:abstractNumId w:val="19"/>
  </w:num>
  <w:num w:numId="35" w16cid:durableId="1454787389">
    <w:abstractNumId w:val="13"/>
  </w:num>
  <w:num w:numId="36" w16cid:durableId="987392865">
    <w:abstractNumId w:val="16"/>
  </w:num>
  <w:num w:numId="37" w16cid:durableId="2115976995">
    <w:abstractNumId w:val="24"/>
  </w:num>
  <w:num w:numId="38" w16cid:durableId="789010795">
    <w:abstractNumId w:val="21"/>
  </w:num>
  <w:num w:numId="39" w16cid:durableId="167719765">
    <w:abstractNumId w:val="11"/>
  </w:num>
  <w:num w:numId="40" w16cid:durableId="1914312761">
    <w:abstractNumId w:val="8"/>
  </w:num>
  <w:num w:numId="41" w16cid:durableId="361712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17"/>
    <w:rsid w:val="00003743"/>
    <w:rsid w:val="000047B4"/>
    <w:rsid w:val="00005712"/>
    <w:rsid w:val="00007FD8"/>
    <w:rsid w:val="000117F8"/>
    <w:rsid w:val="0001460F"/>
    <w:rsid w:val="0001645D"/>
    <w:rsid w:val="00022120"/>
    <w:rsid w:val="00022629"/>
    <w:rsid w:val="00022E7C"/>
    <w:rsid w:val="00026139"/>
    <w:rsid w:val="00027601"/>
    <w:rsid w:val="000326BB"/>
    <w:rsid w:val="00033321"/>
    <w:rsid w:val="000338E5"/>
    <w:rsid w:val="00033ECC"/>
    <w:rsid w:val="0003422F"/>
    <w:rsid w:val="00037ACE"/>
    <w:rsid w:val="00043E6E"/>
    <w:rsid w:val="000451CA"/>
    <w:rsid w:val="00046966"/>
    <w:rsid w:val="00046FF0"/>
    <w:rsid w:val="00050176"/>
    <w:rsid w:val="00050342"/>
    <w:rsid w:val="000528E7"/>
    <w:rsid w:val="00052D89"/>
    <w:rsid w:val="00053929"/>
    <w:rsid w:val="00055441"/>
    <w:rsid w:val="0005626E"/>
    <w:rsid w:val="000634DD"/>
    <w:rsid w:val="00064A1B"/>
    <w:rsid w:val="00064E06"/>
    <w:rsid w:val="00067456"/>
    <w:rsid w:val="00071506"/>
    <w:rsid w:val="0007154F"/>
    <w:rsid w:val="00075940"/>
    <w:rsid w:val="000776DE"/>
    <w:rsid w:val="00081AB1"/>
    <w:rsid w:val="00090316"/>
    <w:rsid w:val="0009087A"/>
    <w:rsid w:val="00090AE3"/>
    <w:rsid w:val="00093981"/>
    <w:rsid w:val="00093AAE"/>
    <w:rsid w:val="00094ABD"/>
    <w:rsid w:val="00097700"/>
    <w:rsid w:val="000A48DE"/>
    <w:rsid w:val="000A6106"/>
    <w:rsid w:val="000B067A"/>
    <w:rsid w:val="000B1540"/>
    <w:rsid w:val="000B1E53"/>
    <w:rsid w:val="000B2B4D"/>
    <w:rsid w:val="000B33FD"/>
    <w:rsid w:val="000B4ABA"/>
    <w:rsid w:val="000C13C9"/>
    <w:rsid w:val="000C4B16"/>
    <w:rsid w:val="000C50C3"/>
    <w:rsid w:val="000C5E14"/>
    <w:rsid w:val="000D21F6"/>
    <w:rsid w:val="000D3845"/>
    <w:rsid w:val="000D4500"/>
    <w:rsid w:val="000D7AEA"/>
    <w:rsid w:val="000E2582"/>
    <w:rsid w:val="000E2C66"/>
    <w:rsid w:val="000E762A"/>
    <w:rsid w:val="000E7BD8"/>
    <w:rsid w:val="000F123C"/>
    <w:rsid w:val="000F27B7"/>
    <w:rsid w:val="000F2FED"/>
    <w:rsid w:val="000F429E"/>
    <w:rsid w:val="000F5575"/>
    <w:rsid w:val="00103FD3"/>
    <w:rsid w:val="0010616D"/>
    <w:rsid w:val="00110478"/>
    <w:rsid w:val="00112BBA"/>
    <w:rsid w:val="00113353"/>
    <w:rsid w:val="0011537E"/>
    <w:rsid w:val="0011711B"/>
    <w:rsid w:val="0011766A"/>
    <w:rsid w:val="00117F8A"/>
    <w:rsid w:val="00120412"/>
    <w:rsid w:val="00121B9B"/>
    <w:rsid w:val="00122ADC"/>
    <w:rsid w:val="00124AF7"/>
    <w:rsid w:val="00127BB8"/>
    <w:rsid w:val="00130F59"/>
    <w:rsid w:val="00131742"/>
    <w:rsid w:val="00133EC0"/>
    <w:rsid w:val="00134289"/>
    <w:rsid w:val="001364D1"/>
    <w:rsid w:val="00137231"/>
    <w:rsid w:val="00141CE5"/>
    <w:rsid w:val="00144908"/>
    <w:rsid w:val="001461CF"/>
    <w:rsid w:val="00156D96"/>
    <w:rsid w:val="001571C7"/>
    <w:rsid w:val="00161094"/>
    <w:rsid w:val="00162A3D"/>
    <w:rsid w:val="00162DA7"/>
    <w:rsid w:val="001678ED"/>
    <w:rsid w:val="001727A8"/>
    <w:rsid w:val="0017665C"/>
    <w:rsid w:val="00177AD2"/>
    <w:rsid w:val="001815A8"/>
    <w:rsid w:val="001840FA"/>
    <w:rsid w:val="00190079"/>
    <w:rsid w:val="00192B3C"/>
    <w:rsid w:val="00195DC5"/>
    <w:rsid w:val="0019622E"/>
    <w:rsid w:val="001966A7"/>
    <w:rsid w:val="001A307A"/>
    <w:rsid w:val="001A4627"/>
    <w:rsid w:val="001A4979"/>
    <w:rsid w:val="001A4E85"/>
    <w:rsid w:val="001B15D3"/>
    <w:rsid w:val="001B3203"/>
    <w:rsid w:val="001B3443"/>
    <w:rsid w:val="001B4C61"/>
    <w:rsid w:val="001B6F96"/>
    <w:rsid w:val="001C0326"/>
    <w:rsid w:val="001C192F"/>
    <w:rsid w:val="001C23AB"/>
    <w:rsid w:val="001C2B98"/>
    <w:rsid w:val="001C3C42"/>
    <w:rsid w:val="001C3F6F"/>
    <w:rsid w:val="001C7214"/>
    <w:rsid w:val="001D7869"/>
    <w:rsid w:val="001E61AD"/>
    <w:rsid w:val="001E691D"/>
    <w:rsid w:val="002026CD"/>
    <w:rsid w:val="002033FC"/>
    <w:rsid w:val="002044BB"/>
    <w:rsid w:val="002074C5"/>
    <w:rsid w:val="00210B09"/>
    <w:rsid w:val="00210C9E"/>
    <w:rsid w:val="00211840"/>
    <w:rsid w:val="00212342"/>
    <w:rsid w:val="00213951"/>
    <w:rsid w:val="00216C8D"/>
    <w:rsid w:val="00220E5F"/>
    <w:rsid w:val="002212B5"/>
    <w:rsid w:val="00221C9D"/>
    <w:rsid w:val="00222F78"/>
    <w:rsid w:val="00226668"/>
    <w:rsid w:val="00233809"/>
    <w:rsid w:val="002375BE"/>
    <w:rsid w:val="00240046"/>
    <w:rsid w:val="00243C91"/>
    <w:rsid w:val="00247407"/>
    <w:rsid w:val="0024797F"/>
    <w:rsid w:val="0025119E"/>
    <w:rsid w:val="00251269"/>
    <w:rsid w:val="002535C0"/>
    <w:rsid w:val="00254F25"/>
    <w:rsid w:val="002579FE"/>
    <w:rsid w:val="00260552"/>
    <w:rsid w:val="0026311C"/>
    <w:rsid w:val="00264D1F"/>
    <w:rsid w:val="0026668C"/>
    <w:rsid w:val="00266AC1"/>
    <w:rsid w:val="00266DB2"/>
    <w:rsid w:val="0027178C"/>
    <w:rsid w:val="002719FA"/>
    <w:rsid w:val="00272668"/>
    <w:rsid w:val="0027330B"/>
    <w:rsid w:val="00273431"/>
    <w:rsid w:val="002735E4"/>
    <w:rsid w:val="002744F2"/>
    <w:rsid w:val="002771E2"/>
    <w:rsid w:val="002777E2"/>
    <w:rsid w:val="002803AD"/>
    <w:rsid w:val="00282052"/>
    <w:rsid w:val="002831A3"/>
    <w:rsid w:val="0028519E"/>
    <w:rsid w:val="00285577"/>
    <w:rsid w:val="002856A5"/>
    <w:rsid w:val="002861AB"/>
    <w:rsid w:val="002872ED"/>
    <w:rsid w:val="002877C5"/>
    <w:rsid w:val="0029058E"/>
    <w:rsid w:val="002905C2"/>
    <w:rsid w:val="002910A9"/>
    <w:rsid w:val="00292C70"/>
    <w:rsid w:val="00295AF2"/>
    <w:rsid w:val="00295C91"/>
    <w:rsid w:val="00297151"/>
    <w:rsid w:val="002A4571"/>
    <w:rsid w:val="002B20E6"/>
    <w:rsid w:val="002B33F8"/>
    <w:rsid w:val="002B42A3"/>
    <w:rsid w:val="002B5B69"/>
    <w:rsid w:val="002C0CDD"/>
    <w:rsid w:val="002C38C4"/>
    <w:rsid w:val="002D080A"/>
    <w:rsid w:val="002D4D4D"/>
    <w:rsid w:val="002D5A7C"/>
    <w:rsid w:val="002D6157"/>
    <w:rsid w:val="002E05DF"/>
    <w:rsid w:val="002E1A1D"/>
    <w:rsid w:val="002E4081"/>
    <w:rsid w:val="002E5B78"/>
    <w:rsid w:val="002E7C66"/>
    <w:rsid w:val="002F3AE3"/>
    <w:rsid w:val="00301F7A"/>
    <w:rsid w:val="0030464B"/>
    <w:rsid w:val="00306A65"/>
    <w:rsid w:val="0030786C"/>
    <w:rsid w:val="0031612A"/>
    <w:rsid w:val="00317BC4"/>
    <w:rsid w:val="003233DE"/>
    <w:rsid w:val="0032466B"/>
    <w:rsid w:val="00332559"/>
    <w:rsid w:val="003330EB"/>
    <w:rsid w:val="003415FD"/>
    <w:rsid w:val="003429F0"/>
    <w:rsid w:val="00345A82"/>
    <w:rsid w:val="0035097A"/>
    <w:rsid w:val="003540A4"/>
    <w:rsid w:val="00356C98"/>
    <w:rsid w:val="00357BCC"/>
    <w:rsid w:val="00360E4E"/>
    <w:rsid w:val="00370567"/>
    <w:rsid w:val="00370AAA"/>
    <w:rsid w:val="00373F51"/>
    <w:rsid w:val="00375F77"/>
    <w:rsid w:val="00381BBE"/>
    <w:rsid w:val="00382903"/>
    <w:rsid w:val="003846FF"/>
    <w:rsid w:val="003857D4"/>
    <w:rsid w:val="00385AD4"/>
    <w:rsid w:val="00387924"/>
    <w:rsid w:val="00393717"/>
    <w:rsid w:val="0039384D"/>
    <w:rsid w:val="00395C23"/>
    <w:rsid w:val="003A1B15"/>
    <w:rsid w:val="003A2E4F"/>
    <w:rsid w:val="003A4438"/>
    <w:rsid w:val="003A5013"/>
    <w:rsid w:val="003A5078"/>
    <w:rsid w:val="003A62DD"/>
    <w:rsid w:val="003A6436"/>
    <w:rsid w:val="003A7706"/>
    <w:rsid w:val="003A775A"/>
    <w:rsid w:val="003B089D"/>
    <w:rsid w:val="003B213A"/>
    <w:rsid w:val="003B43AD"/>
    <w:rsid w:val="003C0FEC"/>
    <w:rsid w:val="003C2AC8"/>
    <w:rsid w:val="003C559A"/>
    <w:rsid w:val="003C670E"/>
    <w:rsid w:val="003D033A"/>
    <w:rsid w:val="003D13BC"/>
    <w:rsid w:val="003D17F9"/>
    <w:rsid w:val="003D2D88"/>
    <w:rsid w:val="003D41EA"/>
    <w:rsid w:val="003D4850"/>
    <w:rsid w:val="003D535A"/>
    <w:rsid w:val="003E2536"/>
    <w:rsid w:val="003E5265"/>
    <w:rsid w:val="003E6B9E"/>
    <w:rsid w:val="003F075F"/>
    <w:rsid w:val="003F0955"/>
    <w:rsid w:val="003F34C2"/>
    <w:rsid w:val="003F5F4D"/>
    <w:rsid w:val="003F646F"/>
    <w:rsid w:val="003F6A36"/>
    <w:rsid w:val="003F7E25"/>
    <w:rsid w:val="003F7FFA"/>
    <w:rsid w:val="00400F00"/>
    <w:rsid w:val="0040211E"/>
    <w:rsid w:val="0040293C"/>
    <w:rsid w:val="00403066"/>
    <w:rsid w:val="00403A90"/>
    <w:rsid w:val="00404F8B"/>
    <w:rsid w:val="00405256"/>
    <w:rsid w:val="00410031"/>
    <w:rsid w:val="0041177D"/>
    <w:rsid w:val="00415C81"/>
    <w:rsid w:val="0041772E"/>
    <w:rsid w:val="004201EF"/>
    <w:rsid w:val="004265C7"/>
    <w:rsid w:val="004304A7"/>
    <w:rsid w:val="00432378"/>
    <w:rsid w:val="00440D65"/>
    <w:rsid w:val="004435E6"/>
    <w:rsid w:val="004456B7"/>
    <w:rsid w:val="00447E31"/>
    <w:rsid w:val="004501B9"/>
    <w:rsid w:val="00453923"/>
    <w:rsid w:val="0045423A"/>
    <w:rsid w:val="00454B9B"/>
    <w:rsid w:val="00457858"/>
    <w:rsid w:val="00460B0B"/>
    <w:rsid w:val="00461023"/>
    <w:rsid w:val="00461814"/>
    <w:rsid w:val="00462563"/>
    <w:rsid w:val="00462FAC"/>
    <w:rsid w:val="00464631"/>
    <w:rsid w:val="00464B79"/>
    <w:rsid w:val="004654F1"/>
    <w:rsid w:val="004677EA"/>
    <w:rsid w:val="00467BBF"/>
    <w:rsid w:val="004709BF"/>
    <w:rsid w:val="00470DA1"/>
    <w:rsid w:val="00471BE4"/>
    <w:rsid w:val="00475877"/>
    <w:rsid w:val="00482F75"/>
    <w:rsid w:val="00483FB6"/>
    <w:rsid w:val="004858DC"/>
    <w:rsid w:val="0048593C"/>
    <w:rsid w:val="004867E2"/>
    <w:rsid w:val="004874CF"/>
    <w:rsid w:val="0049187C"/>
    <w:rsid w:val="004929A9"/>
    <w:rsid w:val="00492D9D"/>
    <w:rsid w:val="004A0F1D"/>
    <w:rsid w:val="004A0FA9"/>
    <w:rsid w:val="004A382A"/>
    <w:rsid w:val="004A5DD8"/>
    <w:rsid w:val="004A78D9"/>
    <w:rsid w:val="004B4290"/>
    <w:rsid w:val="004C1854"/>
    <w:rsid w:val="004C1BCD"/>
    <w:rsid w:val="004C6BCF"/>
    <w:rsid w:val="004D0AF8"/>
    <w:rsid w:val="004D1037"/>
    <w:rsid w:val="004D3699"/>
    <w:rsid w:val="004D37E6"/>
    <w:rsid w:val="004D58BF"/>
    <w:rsid w:val="004E2C8A"/>
    <w:rsid w:val="004E3EC7"/>
    <w:rsid w:val="004E4335"/>
    <w:rsid w:val="004E79D8"/>
    <w:rsid w:val="004F13EE"/>
    <w:rsid w:val="004F2022"/>
    <w:rsid w:val="004F4FD6"/>
    <w:rsid w:val="004F7213"/>
    <w:rsid w:val="004F7C05"/>
    <w:rsid w:val="005004D5"/>
    <w:rsid w:val="00501C94"/>
    <w:rsid w:val="00506432"/>
    <w:rsid w:val="00506E82"/>
    <w:rsid w:val="00507D87"/>
    <w:rsid w:val="005108C2"/>
    <w:rsid w:val="005117F4"/>
    <w:rsid w:val="0051758C"/>
    <w:rsid w:val="00517BFA"/>
    <w:rsid w:val="00517C50"/>
    <w:rsid w:val="0052051D"/>
    <w:rsid w:val="00520E2E"/>
    <w:rsid w:val="005228B0"/>
    <w:rsid w:val="00536031"/>
    <w:rsid w:val="00537FEB"/>
    <w:rsid w:val="00545EE6"/>
    <w:rsid w:val="00550AA5"/>
    <w:rsid w:val="005550E7"/>
    <w:rsid w:val="005564FB"/>
    <w:rsid w:val="005572C7"/>
    <w:rsid w:val="00563304"/>
    <w:rsid w:val="005650ED"/>
    <w:rsid w:val="00565ECF"/>
    <w:rsid w:val="0057129D"/>
    <w:rsid w:val="00575754"/>
    <w:rsid w:val="00576891"/>
    <w:rsid w:val="00581FBA"/>
    <w:rsid w:val="00591458"/>
    <w:rsid w:val="00591E20"/>
    <w:rsid w:val="00592514"/>
    <w:rsid w:val="00595408"/>
    <w:rsid w:val="00595E84"/>
    <w:rsid w:val="005A0C59"/>
    <w:rsid w:val="005A24C6"/>
    <w:rsid w:val="005A48EB"/>
    <w:rsid w:val="005A6CFB"/>
    <w:rsid w:val="005A6D57"/>
    <w:rsid w:val="005A74B4"/>
    <w:rsid w:val="005B54D5"/>
    <w:rsid w:val="005B5E0D"/>
    <w:rsid w:val="005C0B4C"/>
    <w:rsid w:val="005C3C5A"/>
    <w:rsid w:val="005C5AEB"/>
    <w:rsid w:val="005D1B95"/>
    <w:rsid w:val="005D1E96"/>
    <w:rsid w:val="005D2CDE"/>
    <w:rsid w:val="005D4F9A"/>
    <w:rsid w:val="005D716D"/>
    <w:rsid w:val="005D7D4D"/>
    <w:rsid w:val="005E0A3F"/>
    <w:rsid w:val="005E52CC"/>
    <w:rsid w:val="005E6883"/>
    <w:rsid w:val="005E75CA"/>
    <w:rsid w:val="005E772F"/>
    <w:rsid w:val="005E7D9A"/>
    <w:rsid w:val="005F4ECA"/>
    <w:rsid w:val="00602573"/>
    <w:rsid w:val="006041BE"/>
    <w:rsid w:val="006043C7"/>
    <w:rsid w:val="0060441C"/>
    <w:rsid w:val="0060594D"/>
    <w:rsid w:val="00611F99"/>
    <w:rsid w:val="00616D74"/>
    <w:rsid w:val="00616F20"/>
    <w:rsid w:val="0062070C"/>
    <w:rsid w:val="0062196F"/>
    <w:rsid w:val="00624B52"/>
    <w:rsid w:val="00630546"/>
    <w:rsid w:val="00630794"/>
    <w:rsid w:val="00630CEC"/>
    <w:rsid w:val="00631DF4"/>
    <w:rsid w:val="00634175"/>
    <w:rsid w:val="00635F21"/>
    <w:rsid w:val="006408AC"/>
    <w:rsid w:val="00642FB7"/>
    <w:rsid w:val="006444D9"/>
    <w:rsid w:val="006511B6"/>
    <w:rsid w:val="00653586"/>
    <w:rsid w:val="00655F91"/>
    <w:rsid w:val="00657FF8"/>
    <w:rsid w:val="00660F62"/>
    <w:rsid w:val="00662364"/>
    <w:rsid w:val="00664160"/>
    <w:rsid w:val="00664185"/>
    <w:rsid w:val="00664BF7"/>
    <w:rsid w:val="00666F9C"/>
    <w:rsid w:val="00670D99"/>
    <w:rsid w:val="00670E2B"/>
    <w:rsid w:val="006734BB"/>
    <w:rsid w:val="00673DC2"/>
    <w:rsid w:val="00675A1E"/>
    <w:rsid w:val="0067697A"/>
    <w:rsid w:val="006821EB"/>
    <w:rsid w:val="00684D75"/>
    <w:rsid w:val="00690A4F"/>
    <w:rsid w:val="00691183"/>
    <w:rsid w:val="00692E16"/>
    <w:rsid w:val="006A0E11"/>
    <w:rsid w:val="006A298B"/>
    <w:rsid w:val="006A2EA5"/>
    <w:rsid w:val="006A451E"/>
    <w:rsid w:val="006A55EA"/>
    <w:rsid w:val="006B0AEB"/>
    <w:rsid w:val="006B0C14"/>
    <w:rsid w:val="006B2286"/>
    <w:rsid w:val="006B42EB"/>
    <w:rsid w:val="006B56BB"/>
    <w:rsid w:val="006B62F2"/>
    <w:rsid w:val="006C7626"/>
    <w:rsid w:val="006C77A8"/>
    <w:rsid w:val="006C7B01"/>
    <w:rsid w:val="006D2F18"/>
    <w:rsid w:val="006D4098"/>
    <w:rsid w:val="006D7681"/>
    <w:rsid w:val="006D7B2E"/>
    <w:rsid w:val="006E02EA"/>
    <w:rsid w:val="006E0968"/>
    <w:rsid w:val="006E0983"/>
    <w:rsid w:val="006E27DA"/>
    <w:rsid w:val="006E2AF6"/>
    <w:rsid w:val="006F30F2"/>
    <w:rsid w:val="0070100A"/>
    <w:rsid w:val="00701275"/>
    <w:rsid w:val="00705DE9"/>
    <w:rsid w:val="00706083"/>
    <w:rsid w:val="00707DDE"/>
    <w:rsid w:val="00707F56"/>
    <w:rsid w:val="00713558"/>
    <w:rsid w:val="00720D08"/>
    <w:rsid w:val="00720D3E"/>
    <w:rsid w:val="007263B9"/>
    <w:rsid w:val="00731070"/>
    <w:rsid w:val="00731F84"/>
    <w:rsid w:val="007334F8"/>
    <w:rsid w:val="007339CD"/>
    <w:rsid w:val="00733F0F"/>
    <w:rsid w:val="0073456E"/>
    <w:rsid w:val="007345E6"/>
    <w:rsid w:val="007359D8"/>
    <w:rsid w:val="007362D4"/>
    <w:rsid w:val="00740049"/>
    <w:rsid w:val="00741F2C"/>
    <w:rsid w:val="00747C32"/>
    <w:rsid w:val="007533AC"/>
    <w:rsid w:val="00753C07"/>
    <w:rsid w:val="007540C3"/>
    <w:rsid w:val="007553A5"/>
    <w:rsid w:val="00755E6E"/>
    <w:rsid w:val="007606B4"/>
    <w:rsid w:val="00763204"/>
    <w:rsid w:val="0076672A"/>
    <w:rsid w:val="00770D56"/>
    <w:rsid w:val="00775A4D"/>
    <w:rsid w:val="00775E45"/>
    <w:rsid w:val="00776D22"/>
    <w:rsid w:val="00776E74"/>
    <w:rsid w:val="0078127C"/>
    <w:rsid w:val="007815A3"/>
    <w:rsid w:val="00781809"/>
    <w:rsid w:val="00784A17"/>
    <w:rsid w:val="00785169"/>
    <w:rsid w:val="00786D04"/>
    <w:rsid w:val="00787E29"/>
    <w:rsid w:val="007954AB"/>
    <w:rsid w:val="00797C93"/>
    <w:rsid w:val="007A14C5"/>
    <w:rsid w:val="007A24BB"/>
    <w:rsid w:val="007A41F3"/>
    <w:rsid w:val="007A4A10"/>
    <w:rsid w:val="007A4BEB"/>
    <w:rsid w:val="007B1760"/>
    <w:rsid w:val="007C0986"/>
    <w:rsid w:val="007C09E4"/>
    <w:rsid w:val="007C192F"/>
    <w:rsid w:val="007C1C5A"/>
    <w:rsid w:val="007C1FDC"/>
    <w:rsid w:val="007C6D9C"/>
    <w:rsid w:val="007C7DDB"/>
    <w:rsid w:val="007D2028"/>
    <w:rsid w:val="007D2146"/>
    <w:rsid w:val="007D2CC7"/>
    <w:rsid w:val="007D673D"/>
    <w:rsid w:val="007E0FB8"/>
    <w:rsid w:val="007E15A4"/>
    <w:rsid w:val="007E1E7B"/>
    <w:rsid w:val="007E4D09"/>
    <w:rsid w:val="007E747E"/>
    <w:rsid w:val="007F2220"/>
    <w:rsid w:val="007F4B3E"/>
    <w:rsid w:val="007F54A6"/>
    <w:rsid w:val="008008FC"/>
    <w:rsid w:val="0080097D"/>
    <w:rsid w:val="008014A8"/>
    <w:rsid w:val="008068A8"/>
    <w:rsid w:val="00806B9F"/>
    <w:rsid w:val="008076E5"/>
    <w:rsid w:val="008079E0"/>
    <w:rsid w:val="008127AF"/>
    <w:rsid w:val="00812B46"/>
    <w:rsid w:val="00815700"/>
    <w:rsid w:val="008222D1"/>
    <w:rsid w:val="0082246B"/>
    <w:rsid w:val="008264EB"/>
    <w:rsid w:val="00826B8F"/>
    <w:rsid w:val="008272D9"/>
    <w:rsid w:val="00831E8A"/>
    <w:rsid w:val="00834CFD"/>
    <w:rsid w:val="00835C76"/>
    <w:rsid w:val="008376E2"/>
    <w:rsid w:val="00843049"/>
    <w:rsid w:val="0085209B"/>
    <w:rsid w:val="00856570"/>
    <w:rsid w:val="00856B66"/>
    <w:rsid w:val="008601AC"/>
    <w:rsid w:val="00860481"/>
    <w:rsid w:val="0086180D"/>
    <w:rsid w:val="00861A5F"/>
    <w:rsid w:val="008644AD"/>
    <w:rsid w:val="00865303"/>
    <w:rsid w:val="00865735"/>
    <w:rsid w:val="00865768"/>
    <w:rsid w:val="00865DDB"/>
    <w:rsid w:val="00867538"/>
    <w:rsid w:val="00873D90"/>
    <w:rsid w:val="00873FC8"/>
    <w:rsid w:val="00884C63"/>
    <w:rsid w:val="00884D85"/>
    <w:rsid w:val="00885908"/>
    <w:rsid w:val="008864B7"/>
    <w:rsid w:val="00894962"/>
    <w:rsid w:val="0089677E"/>
    <w:rsid w:val="008A2FE8"/>
    <w:rsid w:val="008A6630"/>
    <w:rsid w:val="008A7438"/>
    <w:rsid w:val="008B1334"/>
    <w:rsid w:val="008B25C7"/>
    <w:rsid w:val="008B25E0"/>
    <w:rsid w:val="008B6198"/>
    <w:rsid w:val="008B6C0C"/>
    <w:rsid w:val="008C0278"/>
    <w:rsid w:val="008C24E9"/>
    <w:rsid w:val="008C6940"/>
    <w:rsid w:val="008D0533"/>
    <w:rsid w:val="008D4209"/>
    <w:rsid w:val="008D42CB"/>
    <w:rsid w:val="008D48C9"/>
    <w:rsid w:val="008D6381"/>
    <w:rsid w:val="008D7AA7"/>
    <w:rsid w:val="008D7C04"/>
    <w:rsid w:val="008E0C77"/>
    <w:rsid w:val="008E52D3"/>
    <w:rsid w:val="008E625F"/>
    <w:rsid w:val="008F264D"/>
    <w:rsid w:val="009024D2"/>
    <w:rsid w:val="009040E9"/>
    <w:rsid w:val="009074E1"/>
    <w:rsid w:val="00907919"/>
    <w:rsid w:val="00907E3E"/>
    <w:rsid w:val="009106CD"/>
    <w:rsid w:val="009112F7"/>
    <w:rsid w:val="009122AF"/>
    <w:rsid w:val="00912D54"/>
    <w:rsid w:val="0091389F"/>
    <w:rsid w:val="009208F7"/>
    <w:rsid w:val="00921649"/>
    <w:rsid w:val="00921F5F"/>
    <w:rsid w:val="00922517"/>
    <w:rsid w:val="00922722"/>
    <w:rsid w:val="0092409A"/>
    <w:rsid w:val="00924943"/>
    <w:rsid w:val="009261E6"/>
    <w:rsid w:val="00926674"/>
    <w:rsid w:val="009268E1"/>
    <w:rsid w:val="009271EE"/>
    <w:rsid w:val="00933446"/>
    <w:rsid w:val="009344AE"/>
    <w:rsid w:val="009344DE"/>
    <w:rsid w:val="0093747B"/>
    <w:rsid w:val="00945BA7"/>
    <w:rsid w:val="00945E7F"/>
    <w:rsid w:val="00954E2E"/>
    <w:rsid w:val="009557C1"/>
    <w:rsid w:val="00957025"/>
    <w:rsid w:val="009608D0"/>
    <w:rsid w:val="00960D6E"/>
    <w:rsid w:val="0096265D"/>
    <w:rsid w:val="00964F86"/>
    <w:rsid w:val="00974B59"/>
    <w:rsid w:val="00980B2A"/>
    <w:rsid w:val="0098340B"/>
    <w:rsid w:val="00985D99"/>
    <w:rsid w:val="00986830"/>
    <w:rsid w:val="00990979"/>
    <w:rsid w:val="00990B27"/>
    <w:rsid w:val="009916C8"/>
    <w:rsid w:val="009924C3"/>
    <w:rsid w:val="00993102"/>
    <w:rsid w:val="00995CF9"/>
    <w:rsid w:val="009A1E11"/>
    <w:rsid w:val="009A2232"/>
    <w:rsid w:val="009A4DD7"/>
    <w:rsid w:val="009A50DC"/>
    <w:rsid w:val="009A5CC2"/>
    <w:rsid w:val="009B1570"/>
    <w:rsid w:val="009B4B7F"/>
    <w:rsid w:val="009B6053"/>
    <w:rsid w:val="009C6F10"/>
    <w:rsid w:val="009C73A1"/>
    <w:rsid w:val="009D0242"/>
    <w:rsid w:val="009D148F"/>
    <w:rsid w:val="009D3D70"/>
    <w:rsid w:val="009E2A9B"/>
    <w:rsid w:val="009E5151"/>
    <w:rsid w:val="009E60B0"/>
    <w:rsid w:val="009E6534"/>
    <w:rsid w:val="009E6F7E"/>
    <w:rsid w:val="009E7A57"/>
    <w:rsid w:val="009E7E5D"/>
    <w:rsid w:val="009F1AA5"/>
    <w:rsid w:val="009F4803"/>
    <w:rsid w:val="009F4F6A"/>
    <w:rsid w:val="009F6BBB"/>
    <w:rsid w:val="00A00C31"/>
    <w:rsid w:val="00A02054"/>
    <w:rsid w:val="00A05D7E"/>
    <w:rsid w:val="00A13EB5"/>
    <w:rsid w:val="00A16E36"/>
    <w:rsid w:val="00A24961"/>
    <w:rsid w:val="00A24B10"/>
    <w:rsid w:val="00A277EF"/>
    <w:rsid w:val="00A30E9B"/>
    <w:rsid w:val="00A41AA4"/>
    <w:rsid w:val="00A43E42"/>
    <w:rsid w:val="00A4512D"/>
    <w:rsid w:val="00A47E56"/>
    <w:rsid w:val="00A50244"/>
    <w:rsid w:val="00A52F69"/>
    <w:rsid w:val="00A54B03"/>
    <w:rsid w:val="00A56511"/>
    <w:rsid w:val="00A57204"/>
    <w:rsid w:val="00A57338"/>
    <w:rsid w:val="00A57412"/>
    <w:rsid w:val="00A579D1"/>
    <w:rsid w:val="00A627D7"/>
    <w:rsid w:val="00A655D9"/>
    <w:rsid w:val="00A656C7"/>
    <w:rsid w:val="00A705AF"/>
    <w:rsid w:val="00A719F6"/>
    <w:rsid w:val="00A72454"/>
    <w:rsid w:val="00A73972"/>
    <w:rsid w:val="00A77696"/>
    <w:rsid w:val="00A80557"/>
    <w:rsid w:val="00A81D33"/>
    <w:rsid w:val="00A82F65"/>
    <w:rsid w:val="00A8341C"/>
    <w:rsid w:val="00A83A46"/>
    <w:rsid w:val="00A850AD"/>
    <w:rsid w:val="00A85F1C"/>
    <w:rsid w:val="00A9063C"/>
    <w:rsid w:val="00A91D15"/>
    <w:rsid w:val="00A930AE"/>
    <w:rsid w:val="00A95A26"/>
    <w:rsid w:val="00A96893"/>
    <w:rsid w:val="00AA040E"/>
    <w:rsid w:val="00AA1A95"/>
    <w:rsid w:val="00AA260F"/>
    <w:rsid w:val="00AA53BD"/>
    <w:rsid w:val="00AA613B"/>
    <w:rsid w:val="00AB187E"/>
    <w:rsid w:val="00AB1EE7"/>
    <w:rsid w:val="00AB4B37"/>
    <w:rsid w:val="00AB5762"/>
    <w:rsid w:val="00AB6812"/>
    <w:rsid w:val="00AC21E1"/>
    <w:rsid w:val="00AC2679"/>
    <w:rsid w:val="00AC4BE4"/>
    <w:rsid w:val="00AC588C"/>
    <w:rsid w:val="00AD05E6"/>
    <w:rsid w:val="00AD0D3F"/>
    <w:rsid w:val="00AD2C1F"/>
    <w:rsid w:val="00AE1D7D"/>
    <w:rsid w:val="00AE2A8B"/>
    <w:rsid w:val="00AE3F64"/>
    <w:rsid w:val="00AF2AB5"/>
    <w:rsid w:val="00AF3E8D"/>
    <w:rsid w:val="00AF5C14"/>
    <w:rsid w:val="00AF7386"/>
    <w:rsid w:val="00AF7934"/>
    <w:rsid w:val="00AF7F8A"/>
    <w:rsid w:val="00B00B81"/>
    <w:rsid w:val="00B04580"/>
    <w:rsid w:val="00B04B09"/>
    <w:rsid w:val="00B11556"/>
    <w:rsid w:val="00B11982"/>
    <w:rsid w:val="00B12B29"/>
    <w:rsid w:val="00B131FE"/>
    <w:rsid w:val="00B159CB"/>
    <w:rsid w:val="00B16A51"/>
    <w:rsid w:val="00B201BB"/>
    <w:rsid w:val="00B237B9"/>
    <w:rsid w:val="00B25C45"/>
    <w:rsid w:val="00B32222"/>
    <w:rsid w:val="00B35342"/>
    <w:rsid w:val="00B35594"/>
    <w:rsid w:val="00B3600F"/>
    <w:rsid w:val="00B3618D"/>
    <w:rsid w:val="00B36233"/>
    <w:rsid w:val="00B41471"/>
    <w:rsid w:val="00B42851"/>
    <w:rsid w:val="00B45AC7"/>
    <w:rsid w:val="00B5093F"/>
    <w:rsid w:val="00B52059"/>
    <w:rsid w:val="00B5372F"/>
    <w:rsid w:val="00B53987"/>
    <w:rsid w:val="00B53B83"/>
    <w:rsid w:val="00B55D12"/>
    <w:rsid w:val="00B61129"/>
    <w:rsid w:val="00B64F82"/>
    <w:rsid w:val="00B65182"/>
    <w:rsid w:val="00B67C63"/>
    <w:rsid w:val="00B67E7F"/>
    <w:rsid w:val="00B75868"/>
    <w:rsid w:val="00B837C2"/>
    <w:rsid w:val="00B839B2"/>
    <w:rsid w:val="00B85D09"/>
    <w:rsid w:val="00B86921"/>
    <w:rsid w:val="00B926D7"/>
    <w:rsid w:val="00B92E04"/>
    <w:rsid w:val="00B93E65"/>
    <w:rsid w:val="00B94252"/>
    <w:rsid w:val="00B9715A"/>
    <w:rsid w:val="00BA14BE"/>
    <w:rsid w:val="00BA2732"/>
    <w:rsid w:val="00BA293D"/>
    <w:rsid w:val="00BA49BC"/>
    <w:rsid w:val="00BA56B7"/>
    <w:rsid w:val="00BA7A1E"/>
    <w:rsid w:val="00BB0E8A"/>
    <w:rsid w:val="00BB2F6C"/>
    <w:rsid w:val="00BB3875"/>
    <w:rsid w:val="00BB4706"/>
    <w:rsid w:val="00BB48C0"/>
    <w:rsid w:val="00BB4E14"/>
    <w:rsid w:val="00BB5860"/>
    <w:rsid w:val="00BB6AAD"/>
    <w:rsid w:val="00BB6D17"/>
    <w:rsid w:val="00BB7537"/>
    <w:rsid w:val="00BC0BEE"/>
    <w:rsid w:val="00BC24D7"/>
    <w:rsid w:val="00BC4A19"/>
    <w:rsid w:val="00BC4E6D"/>
    <w:rsid w:val="00BD0617"/>
    <w:rsid w:val="00BD2E9B"/>
    <w:rsid w:val="00BD648D"/>
    <w:rsid w:val="00BD6BB2"/>
    <w:rsid w:val="00BD7FB2"/>
    <w:rsid w:val="00BE2CC9"/>
    <w:rsid w:val="00BE3402"/>
    <w:rsid w:val="00BE3EB1"/>
    <w:rsid w:val="00BF2DCE"/>
    <w:rsid w:val="00BF46F1"/>
    <w:rsid w:val="00C0028F"/>
    <w:rsid w:val="00C00930"/>
    <w:rsid w:val="00C03DC1"/>
    <w:rsid w:val="00C03F29"/>
    <w:rsid w:val="00C044CE"/>
    <w:rsid w:val="00C053AB"/>
    <w:rsid w:val="00C060AD"/>
    <w:rsid w:val="00C0775F"/>
    <w:rsid w:val="00C113BF"/>
    <w:rsid w:val="00C20718"/>
    <w:rsid w:val="00C2176E"/>
    <w:rsid w:val="00C23430"/>
    <w:rsid w:val="00C25EA4"/>
    <w:rsid w:val="00C27D67"/>
    <w:rsid w:val="00C322E0"/>
    <w:rsid w:val="00C347B5"/>
    <w:rsid w:val="00C354AF"/>
    <w:rsid w:val="00C37A59"/>
    <w:rsid w:val="00C4357F"/>
    <w:rsid w:val="00C4631F"/>
    <w:rsid w:val="00C478EE"/>
    <w:rsid w:val="00C47CDE"/>
    <w:rsid w:val="00C50E16"/>
    <w:rsid w:val="00C518A9"/>
    <w:rsid w:val="00C526E8"/>
    <w:rsid w:val="00C55258"/>
    <w:rsid w:val="00C56D26"/>
    <w:rsid w:val="00C63B50"/>
    <w:rsid w:val="00C660FD"/>
    <w:rsid w:val="00C72367"/>
    <w:rsid w:val="00C74B8B"/>
    <w:rsid w:val="00C80C46"/>
    <w:rsid w:val="00C813D2"/>
    <w:rsid w:val="00C82EEB"/>
    <w:rsid w:val="00C83507"/>
    <w:rsid w:val="00C87541"/>
    <w:rsid w:val="00C90A72"/>
    <w:rsid w:val="00C924F6"/>
    <w:rsid w:val="00C971DC"/>
    <w:rsid w:val="00C97EF1"/>
    <w:rsid w:val="00CA16B7"/>
    <w:rsid w:val="00CA1BF0"/>
    <w:rsid w:val="00CA2A3D"/>
    <w:rsid w:val="00CA359B"/>
    <w:rsid w:val="00CA394E"/>
    <w:rsid w:val="00CA62AE"/>
    <w:rsid w:val="00CB3BAC"/>
    <w:rsid w:val="00CB5B1A"/>
    <w:rsid w:val="00CC05B9"/>
    <w:rsid w:val="00CC220B"/>
    <w:rsid w:val="00CC2BB9"/>
    <w:rsid w:val="00CC5C43"/>
    <w:rsid w:val="00CC73A6"/>
    <w:rsid w:val="00CD02AE"/>
    <w:rsid w:val="00CD0E09"/>
    <w:rsid w:val="00CD167E"/>
    <w:rsid w:val="00CD1B28"/>
    <w:rsid w:val="00CD28F6"/>
    <w:rsid w:val="00CD2A4F"/>
    <w:rsid w:val="00CD4199"/>
    <w:rsid w:val="00CD6F63"/>
    <w:rsid w:val="00CD7CD2"/>
    <w:rsid w:val="00CE03CA"/>
    <w:rsid w:val="00CE06BE"/>
    <w:rsid w:val="00CE22F1"/>
    <w:rsid w:val="00CE50F2"/>
    <w:rsid w:val="00CE5773"/>
    <w:rsid w:val="00CE6502"/>
    <w:rsid w:val="00CF2CE6"/>
    <w:rsid w:val="00CF6567"/>
    <w:rsid w:val="00CF7D3C"/>
    <w:rsid w:val="00D011FD"/>
    <w:rsid w:val="00D01F09"/>
    <w:rsid w:val="00D04412"/>
    <w:rsid w:val="00D10F1E"/>
    <w:rsid w:val="00D1305E"/>
    <w:rsid w:val="00D147EB"/>
    <w:rsid w:val="00D14BB1"/>
    <w:rsid w:val="00D221F9"/>
    <w:rsid w:val="00D27549"/>
    <w:rsid w:val="00D34667"/>
    <w:rsid w:val="00D401E1"/>
    <w:rsid w:val="00D408B4"/>
    <w:rsid w:val="00D411E8"/>
    <w:rsid w:val="00D44217"/>
    <w:rsid w:val="00D44330"/>
    <w:rsid w:val="00D44F63"/>
    <w:rsid w:val="00D521FB"/>
    <w:rsid w:val="00D524C8"/>
    <w:rsid w:val="00D5292D"/>
    <w:rsid w:val="00D61018"/>
    <w:rsid w:val="00D643B1"/>
    <w:rsid w:val="00D66E2F"/>
    <w:rsid w:val="00D674C7"/>
    <w:rsid w:val="00D67534"/>
    <w:rsid w:val="00D70E24"/>
    <w:rsid w:val="00D71F30"/>
    <w:rsid w:val="00D72B61"/>
    <w:rsid w:val="00D81893"/>
    <w:rsid w:val="00D83A89"/>
    <w:rsid w:val="00D86C7F"/>
    <w:rsid w:val="00D9323B"/>
    <w:rsid w:val="00D935D0"/>
    <w:rsid w:val="00D94257"/>
    <w:rsid w:val="00DA3D1D"/>
    <w:rsid w:val="00DA6FF5"/>
    <w:rsid w:val="00DA70B5"/>
    <w:rsid w:val="00DB6286"/>
    <w:rsid w:val="00DB645F"/>
    <w:rsid w:val="00DB76E9"/>
    <w:rsid w:val="00DC072F"/>
    <w:rsid w:val="00DC0A67"/>
    <w:rsid w:val="00DC0B04"/>
    <w:rsid w:val="00DC0CE6"/>
    <w:rsid w:val="00DC1B75"/>
    <w:rsid w:val="00DC1D5E"/>
    <w:rsid w:val="00DC1D81"/>
    <w:rsid w:val="00DC5220"/>
    <w:rsid w:val="00DD068D"/>
    <w:rsid w:val="00DD08DC"/>
    <w:rsid w:val="00DD0D51"/>
    <w:rsid w:val="00DD2061"/>
    <w:rsid w:val="00DD6596"/>
    <w:rsid w:val="00DD7967"/>
    <w:rsid w:val="00DD7DAB"/>
    <w:rsid w:val="00DE128C"/>
    <w:rsid w:val="00DE3355"/>
    <w:rsid w:val="00DE3869"/>
    <w:rsid w:val="00DE4FC7"/>
    <w:rsid w:val="00DF0C60"/>
    <w:rsid w:val="00DF2A30"/>
    <w:rsid w:val="00DF3F66"/>
    <w:rsid w:val="00DF486F"/>
    <w:rsid w:val="00DF4B9C"/>
    <w:rsid w:val="00DF5B5B"/>
    <w:rsid w:val="00DF7619"/>
    <w:rsid w:val="00E01493"/>
    <w:rsid w:val="00E03704"/>
    <w:rsid w:val="00E0403A"/>
    <w:rsid w:val="00E042D8"/>
    <w:rsid w:val="00E06EF1"/>
    <w:rsid w:val="00E06EFA"/>
    <w:rsid w:val="00E07EE7"/>
    <w:rsid w:val="00E10844"/>
    <w:rsid w:val="00E1103B"/>
    <w:rsid w:val="00E15A42"/>
    <w:rsid w:val="00E17B44"/>
    <w:rsid w:val="00E20F27"/>
    <w:rsid w:val="00E22443"/>
    <w:rsid w:val="00E2522B"/>
    <w:rsid w:val="00E25B1F"/>
    <w:rsid w:val="00E26668"/>
    <w:rsid w:val="00E269B7"/>
    <w:rsid w:val="00E27746"/>
    <w:rsid w:val="00E27FEA"/>
    <w:rsid w:val="00E320B8"/>
    <w:rsid w:val="00E35B66"/>
    <w:rsid w:val="00E40139"/>
    <w:rsid w:val="00E4086F"/>
    <w:rsid w:val="00E40A36"/>
    <w:rsid w:val="00E414BE"/>
    <w:rsid w:val="00E43B3C"/>
    <w:rsid w:val="00E46AFF"/>
    <w:rsid w:val="00E50188"/>
    <w:rsid w:val="00E50BB3"/>
    <w:rsid w:val="00E515CB"/>
    <w:rsid w:val="00E51728"/>
    <w:rsid w:val="00E52260"/>
    <w:rsid w:val="00E55A37"/>
    <w:rsid w:val="00E62853"/>
    <w:rsid w:val="00E639B6"/>
    <w:rsid w:val="00E63BF4"/>
    <w:rsid w:val="00E6434B"/>
    <w:rsid w:val="00E64360"/>
    <w:rsid w:val="00E6463D"/>
    <w:rsid w:val="00E67E9F"/>
    <w:rsid w:val="00E72E9B"/>
    <w:rsid w:val="00E84A09"/>
    <w:rsid w:val="00E850C3"/>
    <w:rsid w:val="00E85DBB"/>
    <w:rsid w:val="00E85F84"/>
    <w:rsid w:val="00E86D13"/>
    <w:rsid w:val="00E87DF2"/>
    <w:rsid w:val="00E90B94"/>
    <w:rsid w:val="00E9108B"/>
    <w:rsid w:val="00E9141A"/>
    <w:rsid w:val="00E93786"/>
    <w:rsid w:val="00E9462E"/>
    <w:rsid w:val="00EA2B73"/>
    <w:rsid w:val="00EA470E"/>
    <w:rsid w:val="00EA47A7"/>
    <w:rsid w:val="00EA57EB"/>
    <w:rsid w:val="00EB21BC"/>
    <w:rsid w:val="00EB3226"/>
    <w:rsid w:val="00EC1A88"/>
    <w:rsid w:val="00EC1E32"/>
    <w:rsid w:val="00EC213A"/>
    <w:rsid w:val="00EC2D67"/>
    <w:rsid w:val="00EC3EC2"/>
    <w:rsid w:val="00EC48CB"/>
    <w:rsid w:val="00EC5688"/>
    <w:rsid w:val="00EC7744"/>
    <w:rsid w:val="00ED0DAD"/>
    <w:rsid w:val="00ED0E1C"/>
    <w:rsid w:val="00ED0F46"/>
    <w:rsid w:val="00ED2373"/>
    <w:rsid w:val="00ED2601"/>
    <w:rsid w:val="00ED4A89"/>
    <w:rsid w:val="00ED5D94"/>
    <w:rsid w:val="00ED714D"/>
    <w:rsid w:val="00EE145B"/>
    <w:rsid w:val="00EE248F"/>
    <w:rsid w:val="00EE3E8A"/>
    <w:rsid w:val="00EE5EFA"/>
    <w:rsid w:val="00EE601E"/>
    <w:rsid w:val="00EE65B5"/>
    <w:rsid w:val="00EF1DFB"/>
    <w:rsid w:val="00EF58B8"/>
    <w:rsid w:val="00EF6ECA"/>
    <w:rsid w:val="00F024E1"/>
    <w:rsid w:val="00F02A99"/>
    <w:rsid w:val="00F058C7"/>
    <w:rsid w:val="00F06C10"/>
    <w:rsid w:val="00F1096F"/>
    <w:rsid w:val="00F11E57"/>
    <w:rsid w:val="00F12589"/>
    <w:rsid w:val="00F12595"/>
    <w:rsid w:val="00F134D9"/>
    <w:rsid w:val="00F1403D"/>
    <w:rsid w:val="00F1463F"/>
    <w:rsid w:val="00F14EB0"/>
    <w:rsid w:val="00F166A0"/>
    <w:rsid w:val="00F17342"/>
    <w:rsid w:val="00F21302"/>
    <w:rsid w:val="00F2430D"/>
    <w:rsid w:val="00F321DE"/>
    <w:rsid w:val="00F32C86"/>
    <w:rsid w:val="00F33777"/>
    <w:rsid w:val="00F40648"/>
    <w:rsid w:val="00F42732"/>
    <w:rsid w:val="00F431D9"/>
    <w:rsid w:val="00F45118"/>
    <w:rsid w:val="00F45D2D"/>
    <w:rsid w:val="00F47DA2"/>
    <w:rsid w:val="00F50207"/>
    <w:rsid w:val="00F50F93"/>
    <w:rsid w:val="00F519FC"/>
    <w:rsid w:val="00F56DFD"/>
    <w:rsid w:val="00F606DA"/>
    <w:rsid w:val="00F6239D"/>
    <w:rsid w:val="00F635AF"/>
    <w:rsid w:val="00F711DF"/>
    <w:rsid w:val="00F715D2"/>
    <w:rsid w:val="00F7222E"/>
    <w:rsid w:val="00F7274F"/>
    <w:rsid w:val="00F7437E"/>
    <w:rsid w:val="00F74E84"/>
    <w:rsid w:val="00F76FA8"/>
    <w:rsid w:val="00F779AE"/>
    <w:rsid w:val="00F81695"/>
    <w:rsid w:val="00F82FF4"/>
    <w:rsid w:val="00F93F08"/>
    <w:rsid w:val="00F94CED"/>
    <w:rsid w:val="00F96BC8"/>
    <w:rsid w:val="00FA02BB"/>
    <w:rsid w:val="00FA2CEE"/>
    <w:rsid w:val="00FA318C"/>
    <w:rsid w:val="00FB37FE"/>
    <w:rsid w:val="00FB6F92"/>
    <w:rsid w:val="00FB6FE5"/>
    <w:rsid w:val="00FC026E"/>
    <w:rsid w:val="00FC0762"/>
    <w:rsid w:val="00FC4EF3"/>
    <w:rsid w:val="00FC5124"/>
    <w:rsid w:val="00FC5D67"/>
    <w:rsid w:val="00FD18E1"/>
    <w:rsid w:val="00FD4731"/>
    <w:rsid w:val="00FD6768"/>
    <w:rsid w:val="00FD79BF"/>
    <w:rsid w:val="00FE31AA"/>
    <w:rsid w:val="00FE3B9E"/>
    <w:rsid w:val="00FE6ADB"/>
    <w:rsid w:val="00FF0AB0"/>
    <w:rsid w:val="00FF28AC"/>
    <w:rsid w:val="00FF3FA7"/>
    <w:rsid w:val="00FF5FA5"/>
    <w:rsid w:val="00FF777D"/>
    <w:rsid w:val="00FF7F62"/>
    <w:rsid w:val="0135E1D5"/>
    <w:rsid w:val="01D8E645"/>
    <w:rsid w:val="01E5BA42"/>
    <w:rsid w:val="0214D8B2"/>
    <w:rsid w:val="03D81F9C"/>
    <w:rsid w:val="04CCA75A"/>
    <w:rsid w:val="04F817E4"/>
    <w:rsid w:val="056FA281"/>
    <w:rsid w:val="06397F5C"/>
    <w:rsid w:val="06685195"/>
    <w:rsid w:val="068B8B61"/>
    <w:rsid w:val="07265921"/>
    <w:rsid w:val="0841E209"/>
    <w:rsid w:val="0849252C"/>
    <w:rsid w:val="08605536"/>
    <w:rsid w:val="08947F70"/>
    <w:rsid w:val="098267AE"/>
    <w:rsid w:val="0A5820E5"/>
    <w:rsid w:val="0B2E6CDA"/>
    <w:rsid w:val="0C24F48C"/>
    <w:rsid w:val="0D151684"/>
    <w:rsid w:val="0D55189D"/>
    <w:rsid w:val="0DCB00A4"/>
    <w:rsid w:val="0E53C98F"/>
    <w:rsid w:val="0F2F3E5B"/>
    <w:rsid w:val="1040D28E"/>
    <w:rsid w:val="105A3F95"/>
    <w:rsid w:val="1163A93A"/>
    <w:rsid w:val="1207F130"/>
    <w:rsid w:val="12F70654"/>
    <w:rsid w:val="145D1210"/>
    <w:rsid w:val="1484AB38"/>
    <w:rsid w:val="14BD1431"/>
    <w:rsid w:val="14C890FF"/>
    <w:rsid w:val="14FF463E"/>
    <w:rsid w:val="1519E112"/>
    <w:rsid w:val="1599B7D2"/>
    <w:rsid w:val="159AD1F3"/>
    <w:rsid w:val="15A4B545"/>
    <w:rsid w:val="16445C04"/>
    <w:rsid w:val="1650412B"/>
    <w:rsid w:val="166D1210"/>
    <w:rsid w:val="1688FFDE"/>
    <w:rsid w:val="194FE300"/>
    <w:rsid w:val="199C3D05"/>
    <w:rsid w:val="1A348B77"/>
    <w:rsid w:val="1BA7E81D"/>
    <w:rsid w:val="1D311E0D"/>
    <w:rsid w:val="1DAD8D73"/>
    <w:rsid w:val="1E1792CD"/>
    <w:rsid w:val="21300001"/>
    <w:rsid w:val="21E04F32"/>
    <w:rsid w:val="2235F4A5"/>
    <w:rsid w:val="2286A1F1"/>
    <w:rsid w:val="22B8C800"/>
    <w:rsid w:val="23BE6CFA"/>
    <w:rsid w:val="24C9C391"/>
    <w:rsid w:val="24DFA82F"/>
    <w:rsid w:val="25C2F138"/>
    <w:rsid w:val="26239A3E"/>
    <w:rsid w:val="26EA8F21"/>
    <w:rsid w:val="271BDF77"/>
    <w:rsid w:val="2865E380"/>
    <w:rsid w:val="28F4142F"/>
    <w:rsid w:val="2A51A5E8"/>
    <w:rsid w:val="2AFAA1C0"/>
    <w:rsid w:val="2B802C8A"/>
    <w:rsid w:val="2D0A5CDF"/>
    <w:rsid w:val="2D336DE1"/>
    <w:rsid w:val="2E759D92"/>
    <w:rsid w:val="2EDBAFE5"/>
    <w:rsid w:val="32399544"/>
    <w:rsid w:val="325EEEB1"/>
    <w:rsid w:val="326EA939"/>
    <w:rsid w:val="3291E96E"/>
    <w:rsid w:val="35BFABA9"/>
    <w:rsid w:val="35FCF318"/>
    <w:rsid w:val="3622A5CE"/>
    <w:rsid w:val="362943B1"/>
    <w:rsid w:val="36C70C4A"/>
    <w:rsid w:val="381CCC05"/>
    <w:rsid w:val="39842646"/>
    <w:rsid w:val="39850789"/>
    <w:rsid w:val="3C008160"/>
    <w:rsid w:val="3C9B3C28"/>
    <w:rsid w:val="3CAF5C31"/>
    <w:rsid w:val="3D02C40F"/>
    <w:rsid w:val="3DD91E4A"/>
    <w:rsid w:val="3DFEBB26"/>
    <w:rsid w:val="4024C3A8"/>
    <w:rsid w:val="40B85239"/>
    <w:rsid w:val="42871056"/>
    <w:rsid w:val="42C70DF4"/>
    <w:rsid w:val="435593EC"/>
    <w:rsid w:val="437AAF87"/>
    <w:rsid w:val="43B88067"/>
    <w:rsid w:val="442CFB9F"/>
    <w:rsid w:val="443CD67E"/>
    <w:rsid w:val="45E4AC76"/>
    <w:rsid w:val="47286684"/>
    <w:rsid w:val="47BC4BC9"/>
    <w:rsid w:val="480507D5"/>
    <w:rsid w:val="482CEFCE"/>
    <w:rsid w:val="48E91DBF"/>
    <w:rsid w:val="4995F4BC"/>
    <w:rsid w:val="4C12A503"/>
    <w:rsid w:val="4C2086FB"/>
    <w:rsid w:val="4C3CCE89"/>
    <w:rsid w:val="4D334140"/>
    <w:rsid w:val="4D621E9D"/>
    <w:rsid w:val="4ED0203D"/>
    <w:rsid w:val="4FD4685E"/>
    <w:rsid w:val="547E7971"/>
    <w:rsid w:val="55C18F16"/>
    <w:rsid w:val="55D4E243"/>
    <w:rsid w:val="57F98224"/>
    <w:rsid w:val="58D1EB56"/>
    <w:rsid w:val="58D91C5D"/>
    <w:rsid w:val="590F332C"/>
    <w:rsid w:val="59AD159A"/>
    <w:rsid w:val="59DAD843"/>
    <w:rsid w:val="5A782EBB"/>
    <w:rsid w:val="5DC41B78"/>
    <w:rsid w:val="5DF106CB"/>
    <w:rsid w:val="5DF18397"/>
    <w:rsid w:val="5EA44BCD"/>
    <w:rsid w:val="5F49119A"/>
    <w:rsid w:val="5F9BF11E"/>
    <w:rsid w:val="6097D06D"/>
    <w:rsid w:val="613686E8"/>
    <w:rsid w:val="61A10F60"/>
    <w:rsid w:val="6276B503"/>
    <w:rsid w:val="63007E8D"/>
    <w:rsid w:val="635B6238"/>
    <w:rsid w:val="635D5CB4"/>
    <w:rsid w:val="6361289A"/>
    <w:rsid w:val="6395868D"/>
    <w:rsid w:val="63FA33D3"/>
    <w:rsid w:val="6493A44D"/>
    <w:rsid w:val="64A16C77"/>
    <w:rsid w:val="65C20F12"/>
    <w:rsid w:val="663743CC"/>
    <w:rsid w:val="663A760F"/>
    <w:rsid w:val="682E378D"/>
    <w:rsid w:val="6888C121"/>
    <w:rsid w:val="68911C86"/>
    <w:rsid w:val="68DB5F7E"/>
    <w:rsid w:val="691BE6AA"/>
    <w:rsid w:val="6AFF5AEB"/>
    <w:rsid w:val="6B0FB461"/>
    <w:rsid w:val="6C46287B"/>
    <w:rsid w:val="6FC1F111"/>
    <w:rsid w:val="706644F1"/>
    <w:rsid w:val="727D49EB"/>
    <w:rsid w:val="7329FA48"/>
    <w:rsid w:val="737CF3D0"/>
    <w:rsid w:val="737EBBE7"/>
    <w:rsid w:val="73BF75FB"/>
    <w:rsid w:val="73F50326"/>
    <w:rsid w:val="76266610"/>
    <w:rsid w:val="771850C6"/>
    <w:rsid w:val="778AADE6"/>
    <w:rsid w:val="778AE6AE"/>
    <w:rsid w:val="77CD9984"/>
    <w:rsid w:val="79F2815C"/>
    <w:rsid w:val="7A25B117"/>
    <w:rsid w:val="7A9F1E1F"/>
    <w:rsid w:val="7C7F2FE0"/>
    <w:rsid w:val="7C92E9BE"/>
    <w:rsid w:val="7D3EBDAC"/>
    <w:rsid w:val="7E9E0DA6"/>
    <w:rsid w:val="7EFC4638"/>
    <w:rsid w:val="7F559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72449"/>
  <w15:docId w15:val="{FA489C13-7878-4C7B-8F12-6B648CF8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5626E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3"/>
      </w:numPr>
    </w:pPr>
  </w:style>
  <w:style w:type="paragraph" w:styleId="ListNumber2">
    <w:name w:val="List Number 2"/>
    <w:basedOn w:val="ListBullet"/>
    <w:qFormat/>
    <w:rsid w:val="00A719F6"/>
    <w:pPr>
      <w:numPr>
        <w:numId w:val="22"/>
      </w:numPr>
    </w:pPr>
  </w:style>
  <w:style w:type="paragraph" w:styleId="ListBullet">
    <w:name w:val="List Bullet"/>
    <w:basedOn w:val="Normal"/>
    <w:qFormat/>
    <w:rsid w:val="0005626E"/>
    <w:pPr>
      <w:numPr>
        <w:numId w:val="21"/>
      </w:numPr>
      <w:spacing w:before="60" w:after="6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5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6C7B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7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7B01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7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7B01"/>
    <w:rPr>
      <w:rFonts w:ascii="Arial" w:hAnsi="Arial"/>
      <w:b/>
      <w:bCs/>
      <w:color w:val="000000" w:themeColor="text1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7B01"/>
    <w:rPr>
      <w:rFonts w:ascii="Arial" w:hAnsi="Arial"/>
      <w:color w:val="000000" w:themeColor="text1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C80C46"/>
    <w:rPr>
      <w:rFonts w:ascii="Arial" w:hAnsi="Arial"/>
      <w:color w:val="000000" w:themeColor="text1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5DD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861AB"/>
  </w:style>
  <w:style w:type="character" w:customStyle="1" w:styleId="eop">
    <w:name w:val="eop"/>
    <w:basedOn w:val="DefaultParagraphFont"/>
    <w:rsid w:val="002861AB"/>
  </w:style>
  <w:style w:type="character" w:customStyle="1" w:styleId="scxw172268544">
    <w:name w:val="scxw172268544"/>
    <w:basedOn w:val="DefaultParagraphFont"/>
    <w:rsid w:val="002744F2"/>
  </w:style>
  <w:style w:type="paragraph" w:customStyle="1" w:styleId="paragraph">
    <w:name w:val="paragraph"/>
    <w:basedOn w:val="Normal"/>
    <w:rsid w:val="0092494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styleId="Mention">
    <w:name w:val="Mention"/>
    <w:basedOn w:val="DefaultParagraphFont"/>
    <w:uiPriority w:val="99"/>
    <w:unhideWhenUsed/>
    <w:rsid w:val="008653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TAconsumerengagement@health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8F12C133ADE49867CD979358DDE52" ma:contentTypeVersion="14" ma:contentTypeDescription="Create a new document." ma:contentTypeScope="" ma:versionID="ddcb920858a9987a960a42761a961165">
  <xsd:schema xmlns:xsd="http://www.w3.org/2001/XMLSchema" xmlns:xs="http://www.w3.org/2001/XMLSchema" xmlns:p="http://schemas.microsoft.com/office/2006/metadata/properties" xmlns:ns2="b33a22f0-1548-4bd4-90ad-f69b2bdef635" xmlns:ns3="117fb4f1-39b0-4ef9-ad52-929d325d2c9d" targetNamespace="http://schemas.microsoft.com/office/2006/metadata/properties" ma:root="true" ma:fieldsID="1a3a898dd2b452aa219927abcc0d6880" ns2:_="" ns3:_="">
    <xsd:import namespace="b33a22f0-1548-4bd4-90ad-f69b2bdef635"/>
    <xsd:import namespace="117fb4f1-39b0-4ef9-ad52-929d325d2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a22f0-1548-4bd4-90ad-f69b2bde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f1-39b0-4ef9-ad52-929d325d2c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77d2e3-fffd-4a0c-814e-8f319c2979ee}" ma:internalName="TaxCatchAll" ma:showField="CatchAllData" ma:web="117fb4f1-39b0-4ef9-ad52-929d325d2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fb4f1-39b0-4ef9-ad52-929d325d2c9d" xsi:nil="true"/>
    <lcf76f155ced4ddcb4097134ff3c332f xmlns="b33a22f0-1548-4bd4-90ad-f69b2bdef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88B82F-87E2-4C5B-950B-546F13D16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88000-0A62-4D07-AAEF-87F258164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a22f0-1548-4bd4-90ad-f69b2bdef635"/>
    <ds:schemaRef ds:uri="117fb4f1-39b0-4ef9-ad52-929d325d2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B3766-7BAF-40E2-AF98-5C38632ABFF5}">
  <ds:schemaRefs>
    <ds:schemaRef ds:uri="http://www.w3.org/XML/1998/namespace"/>
    <ds:schemaRef ds:uri="117fb4f1-39b0-4ef9-ad52-929d325d2c9d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3a22f0-1548-4bd4-90ad-f69b2bdef63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1023</Words>
  <Characters>6374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Technology Assessment (HTA) Consumer Consultative Committee (CCC) Terms of Reference</vt:lpstr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Technology Assessment (HTA) Consumer Consultative Committee (CCC) Terms of Reference</dc:title>
  <dc:subject>Health Technology</dc:subject>
  <dc:creator>Australian Government Department of Health, Disability and Ageing</dc:creator>
  <cp:keywords>Health Technology; HTC; Consumer Consultative Committee (CCC); Terms of Reference</cp:keywords>
  <cp:lastModifiedBy>SPASENOVSKI, Christopher</cp:lastModifiedBy>
  <cp:revision>9</cp:revision>
  <dcterms:created xsi:type="dcterms:W3CDTF">2026-01-22T22:15:00Z</dcterms:created>
  <dcterms:modified xsi:type="dcterms:W3CDTF">2026-02-23T05:06:00Z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0x01010019F8F12C133ADE49867CD979358DDE52</vt:lpwstr>
  </property>
  <property fmtid="{D5CDD505-2E9C-101B-9397-08002B2CF9AE}" pid="4" name="ClassificationContentMarkingHeaderShapeIds">
    <vt:lpwstr>3a3feac5,412f1587,1bd183db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7a83a0ea,64fccbcc,5e1323f8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2025-08-26T06:21:02Z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5f1c455f-1449-48d5-9bdd-15c1a43ef512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