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9FD" w:rsidP="001A79FD" w:rsidRDefault="001A79FD" w14:paraId="4884F4CE" w14:textId="77777777">
      <w:pPr>
        <w:pStyle w:val="Title"/>
      </w:pPr>
      <w:r>
        <w:t>Defining Therapy Supports</w:t>
      </w:r>
    </w:p>
    <w:p w:rsidR="00751A23" w:rsidP="00751A23" w:rsidRDefault="00A24FFE" w14:paraId="364ECD6F" w14:textId="0AC09A20">
      <w:pPr>
        <w:pStyle w:val="Subtitle"/>
        <w:sectPr w:rsidR="00751A23" w:rsidSect="00D45D94">
          <w:footerReference w:type="default" r:id="rId11"/>
          <w:headerReference w:type="first" r:id="rId12"/>
          <w:type w:val="continuous"/>
          <w:pgSz w:w="11906" w:h="16838" w:orient="portrait"/>
          <w:pgMar w:top="1701" w:right="1418" w:bottom="1418" w:left="1418" w:header="850" w:footer="709" w:gutter="0"/>
          <w:cols w:space="708"/>
          <w:titlePg/>
          <w:docGrid w:linePitch="360"/>
        </w:sectPr>
      </w:pPr>
      <w:r>
        <w:t>Consultation with Allied Health Sector</w:t>
      </w:r>
    </w:p>
    <w:p w:rsidR="00AB5783" w:rsidP="00AB5783" w:rsidRDefault="00AB5783" w14:paraId="651683C1" w14:textId="77777777">
      <w:pPr>
        <w:pStyle w:val="Heading1"/>
      </w:pPr>
      <w:r>
        <w:lastRenderedPageBreak/>
        <w:t>Purpose of this paper</w:t>
      </w:r>
    </w:p>
    <w:p w:rsidRPr="00B730B9" w:rsidR="00AB5783" w:rsidP="00AB5783" w:rsidRDefault="00AB5783" w14:paraId="2BC98065" w14:textId="77777777">
      <w:pPr>
        <w:pStyle w:val="Paragraphtext"/>
        <w:spacing w:after="240" w:line="276" w:lineRule="auto"/>
        <w:jc w:val="both"/>
        <w:rPr>
          <w:rFonts w:cs="Arial"/>
          <w:sz w:val="22"/>
          <w:szCs w:val="22"/>
        </w:rPr>
      </w:pPr>
      <w:r>
        <w:rPr>
          <w:rFonts w:cs="Arial"/>
          <w:sz w:val="22"/>
          <w:szCs w:val="22"/>
        </w:rPr>
        <w:t xml:space="preserve">The Department of Health, Disability and Ageing (department) is currently working on amendments to the </w:t>
      </w:r>
      <w:r w:rsidRPr="00CD245E">
        <w:rPr>
          <w:rFonts w:cs="Arial"/>
          <w:i/>
          <w:iCs/>
          <w:sz w:val="22"/>
          <w:szCs w:val="22"/>
        </w:rPr>
        <w:t>National Disability Insurance Scheme (Getting the NDIS Back on Track No. 1) (NDIS Supports) Transitional Rules 2024</w:t>
      </w:r>
      <w:r w:rsidRPr="00CD245E">
        <w:rPr>
          <w:rFonts w:cs="Arial"/>
          <w:sz w:val="22"/>
          <w:szCs w:val="22"/>
        </w:rPr>
        <w:t xml:space="preserve"> (NDIS Supports Transitional Rules).</w:t>
      </w:r>
      <w:r>
        <w:rPr>
          <w:rFonts w:cs="Arial"/>
          <w:sz w:val="22"/>
          <w:szCs w:val="22"/>
        </w:rPr>
        <w:t xml:space="preserve"> The purpose of this paper is to seek input from the allied health sector on how to categorise and describe therapy supports in new framework planning, expected to commence in July 2026.</w:t>
      </w:r>
    </w:p>
    <w:p w:rsidR="00AB5783" w:rsidP="00AB5783" w:rsidRDefault="00AB5783" w14:paraId="6C4F7124" w14:textId="77777777">
      <w:pPr>
        <w:pStyle w:val="Paragraphtext"/>
        <w:spacing w:after="240" w:line="276" w:lineRule="auto"/>
        <w:jc w:val="both"/>
        <w:rPr>
          <w:rFonts w:cs="Arial"/>
          <w:sz w:val="22"/>
          <w:szCs w:val="22"/>
        </w:rPr>
      </w:pPr>
      <w:r>
        <w:rPr>
          <w:rFonts w:cs="Arial"/>
          <w:sz w:val="22"/>
          <w:szCs w:val="22"/>
        </w:rPr>
        <w:t xml:space="preserve">We acknowledge that the allied health sector and participants also have a keen interest in </w:t>
      </w:r>
      <w:r w:rsidRPr="00B730B9">
        <w:rPr>
          <w:rFonts w:cs="Arial"/>
          <w:sz w:val="22"/>
          <w:szCs w:val="22"/>
        </w:rPr>
        <w:t xml:space="preserve">the </w:t>
      </w:r>
      <w:r>
        <w:rPr>
          <w:rFonts w:cs="Arial"/>
          <w:sz w:val="22"/>
          <w:szCs w:val="22"/>
        </w:rPr>
        <w:t>approach to</w:t>
      </w:r>
      <w:r w:rsidRPr="00B730B9">
        <w:rPr>
          <w:rFonts w:cs="Arial"/>
          <w:sz w:val="22"/>
          <w:szCs w:val="22"/>
        </w:rPr>
        <w:t xml:space="preserve"> assessing </w:t>
      </w:r>
      <w:r>
        <w:rPr>
          <w:rFonts w:cs="Arial"/>
          <w:sz w:val="22"/>
          <w:szCs w:val="22"/>
        </w:rPr>
        <w:t xml:space="preserve">and funding </w:t>
      </w:r>
      <w:r w:rsidRPr="00B730B9">
        <w:rPr>
          <w:rFonts w:cs="Arial"/>
          <w:sz w:val="22"/>
          <w:szCs w:val="22"/>
        </w:rPr>
        <w:t xml:space="preserve">a participant’s need for </w:t>
      </w:r>
      <w:r>
        <w:rPr>
          <w:rFonts w:cs="Arial"/>
          <w:sz w:val="22"/>
          <w:szCs w:val="22"/>
        </w:rPr>
        <w:t xml:space="preserve">disability related </w:t>
      </w:r>
      <w:r w:rsidRPr="00B730B9">
        <w:rPr>
          <w:rFonts w:cs="Arial"/>
          <w:sz w:val="22"/>
          <w:szCs w:val="22"/>
        </w:rPr>
        <w:t>therapy supports</w:t>
      </w:r>
      <w:r>
        <w:rPr>
          <w:rFonts w:cs="Arial"/>
          <w:sz w:val="22"/>
          <w:szCs w:val="22"/>
        </w:rPr>
        <w:t>. While there is a</w:t>
      </w:r>
      <w:r w:rsidRPr="00B730B9">
        <w:rPr>
          <w:rFonts w:cs="Arial"/>
          <w:sz w:val="22"/>
          <w:szCs w:val="22"/>
        </w:rPr>
        <w:t xml:space="preserve"> </w:t>
      </w:r>
      <w:r>
        <w:rPr>
          <w:rFonts w:cs="Arial"/>
          <w:sz w:val="22"/>
          <w:szCs w:val="22"/>
        </w:rPr>
        <w:t>public consultation on new framework planning that is currently open (</w:t>
      </w:r>
      <w:hyperlink w:history="1" r:id="rId13">
        <w:r w:rsidRPr="00DC3008">
          <w:rPr>
            <w:rStyle w:val="Hyperlink"/>
            <w:rFonts w:cs="Arial"/>
            <w:sz w:val="22"/>
            <w:szCs w:val="22"/>
          </w:rPr>
          <w:t>NDIS rules: Public consultation on new framework planning - Australian Government Department of Health, Disability and Ageing - Citizen Space</w:t>
        </w:r>
      </w:hyperlink>
      <w:r>
        <w:rPr>
          <w:rFonts w:cs="Arial"/>
          <w:sz w:val="22"/>
          <w:szCs w:val="22"/>
        </w:rPr>
        <w:t xml:space="preserve">) until 6 March 2026, we acknowledge the information is high level. </w:t>
      </w:r>
    </w:p>
    <w:p w:rsidR="00AB5783" w:rsidP="00AB5783" w:rsidRDefault="00AB5783" w14:paraId="3EB452BC" w14:textId="77777777">
      <w:pPr>
        <w:pStyle w:val="Paragraphtext"/>
        <w:spacing w:before="240" w:after="240" w:line="276" w:lineRule="auto"/>
        <w:jc w:val="both"/>
        <w:rPr>
          <w:rFonts w:cs="Arial"/>
          <w:sz w:val="22"/>
          <w:szCs w:val="22"/>
        </w:rPr>
      </w:pPr>
      <w:r>
        <w:rPr>
          <w:rFonts w:cs="Arial"/>
          <w:sz w:val="22"/>
          <w:szCs w:val="22"/>
        </w:rPr>
        <w:t xml:space="preserve">This paper provides background and context for NDIS supports, as well as setting out a proposed approach to categorising and describing therapy supports in the </w:t>
      </w:r>
      <w:r w:rsidRPr="00D22CCA">
        <w:rPr>
          <w:rFonts w:cs="Arial"/>
          <w:i/>
          <w:iCs/>
          <w:sz w:val="22"/>
          <w:szCs w:val="22"/>
        </w:rPr>
        <w:t>National Disability Insurance Scheme Amendment (Getting the NDIS Back on Track No. 1) (NDIS Supports) Transitional Rules 2026</w:t>
      </w:r>
      <w:r w:rsidRPr="00D22CCA">
        <w:rPr>
          <w:rFonts w:cs="Arial"/>
          <w:sz w:val="22"/>
          <w:szCs w:val="22"/>
        </w:rPr>
        <w:t xml:space="preserve"> (Amending Rules)</w:t>
      </w:r>
      <w:r>
        <w:rPr>
          <w:rFonts w:cs="Arial"/>
          <w:sz w:val="22"/>
          <w:szCs w:val="22"/>
        </w:rPr>
        <w:t xml:space="preserve">. </w:t>
      </w:r>
      <w:r w:rsidRPr="00D22CCA">
        <w:rPr>
          <w:rFonts w:cs="Arial"/>
          <w:sz w:val="22"/>
          <w:szCs w:val="22"/>
        </w:rPr>
        <w:t>The approach to the categorisation and description of therapy supports are still subject to policy refinement and consultation.</w:t>
      </w:r>
    </w:p>
    <w:p w:rsidR="00AB5783" w:rsidP="00AB5783" w:rsidRDefault="00AB5783" w14:paraId="26D6DC6D" w14:textId="77777777">
      <w:pPr>
        <w:pStyle w:val="Paragraphtext"/>
        <w:spacing w:before="240" w:after="240" w:line="276" w:lineRule="auto"/>
        <w:jc w:val="both"/>
        <w:rPr>
          <w:rFonts w:cs="Arial"/>
          <w:sz w:val="22"/>
          <w:szCs w:val="22"/>
        </w:rPr>
      </w:pPr>
      <w:r>
        <w:rPr>
          <w:rFonts w:cs="Arial"/>
          <w:sz w:val="22"/>
          <w:szCs w:val="22"/>
        </w:rPr>
        <w:t xml:space="preserve">The department is planning to a full public consultation on the Amending Rules in March 2026. </w:t>
      </w:r>
    </w:p>
    <w:p w:rsidR="00AB5783" w:rsidP="00AB5783" w:rsidRDefault="00AB5783" w14:paraId="1BD30B2E" w14:textId="77777777">
      <w:pPr>
        <w:pStyle w:val="Heading1"/>
      </w:pPr>
      <w:r>
        <w:t>Background</w:t>
      </w:r>
    </w:p>
    <w:p w:rsidRPr="00D22CCA" w:rsidR="00AB5783" w:rsidP="00AB5783" w:rsidRDefault="00AB5783" w14:paraId="0A60A56D" w14:textId="77777777">
      <w:pPr>
        <w:pStyle w:val="Paragraphtext"/>
        <w:spacing w:after="240" w:line="276" w:lineRule="auto"/>
        <w:jc w:val="both"/>
        <w:rPr>
          <w:rFonts w:cs="Arial"/>
          <w:sz w:val="22"/>
          <w:szCs w:val="22"/>
        </w:rPr>
      </w:pPr>
      <w:r w:rsidRPr="00936735">
        <w:rPr>
          <w:rFonts w:cs="Arial"/>
          <w:sz w:val="22"/>
          <w:szCs w:val="22"/>
        </w:rPr>
        <w:t xml:space="preserve">The </w:t>
      </w:r>
      <w:r w:rsidRPr="00936735">
        <w:rPr>
          <w:rFonts w:cs="Arial"/>
          <w:i/>
          <w:iCs/>
          <w:sz w:val="22"/>
          <w:szCs w:val="22"/>
        </w:rPr>
        <w:t>National Disability Insurance Scheme Amendment (Getting the NDIS Back on Track No. 1) Act 2024</w:t>
      </w:r>
      <w:r w:rsidRPr="00936735">
        <w:rPr>
          <w:rFonts w:cs="Arial"/>
          <w:sz w:val="22"/>
          <w:szCs w:val="22"/>
        </w:rPr>
        <w:t xml:space="preserve"> (Amending Act) made some of the most significant changes to the NDIS since it was established. One of the key changes made by the Amending Act was creating the concept of ‘NDIS supports’ in section 10 of the </w:t>
      </w:r>
      <w:r w:rsidRPr="00936735">
        <w:rPr>
          <w:rFonts w:cs="Arial"/>
          <w:i/>
          <w:iCs/>
          <w:sz w:val="22"/>
          <w:szCs w:val="22"/>
        </w:rPr>
        <w:t>National Disability Insurance Scheme Act 2013</w:t>
      </w:r>
      <w:r w:rsidRPr="00936735">
        <w:rPr>
          <w:rFonts w:cs="Arial"/>
          <w:sz w:val="22"/>
          <w:szCs w:val="22"/>
        </w:rPr>
        <w:t xml:space="preserve"> (NDIS Act). This concept now appears throughout the </w:t>
      </w:r>
      <w:r>
        <w:rPr>
          <w:rFonts w:cs="Arial"/>
          <w:sz w:val="22"/>
          <w:szCs w:val="22"/>
        </w:rPr>
        <w:t xml:space="preserve">NDIS </w:t>
      </w:r>
      <w:r w:rsidRPr="00936735">
        <w:rPr>
          <w:rFonts w:cs="Arial"/>
          <w:sz w:val="22"/>
          <w:szCs w:val="22"/>
        </w:rPr>
        <w:t>Act and is central to the operation of the NDIS.</w:t>
      </w:r>
    </w:p>
    <w:p w:rsidRPr="00D22CCA" w:rsidR="00AB5783" w:rsidP="00AB5783" w:rsidRDefault="00AB5783" w14:paraId="38B7058A" w14:textId="77777777">
      <w:pPr>
        <w:pStyle w:val="Paragraphtext"/>
        <w:spacing w:before="240" w:after="240" w:line="276" w:lineRule="auto"/>
        <w:jc w:val="both"/>
        <w:rPr>
          <w:rFonts w:cs="Arial"/>
          <w:sz w:val="22"/>
          <w:szCs w:val="22"/>
        </w:rPr>
      </w:pPr>
      <w:r w:rsidRPr="00D22CCA">
        <w:rPr>
          <w:rFonts w:cs="Arial"/>
          <w:sz w:val="22"/>
          <w:szCs w:val="22"/>
        </w:rPr>
        <w:t>The definition of NDIS support guides participants on how they may spend their NDIS funding. The intention is to provide greater clarity around the supports which can</w:t>
      </w:r>
      <w:r w:rsidRPr="00D22CCA" w:rsidDel="00DE169D">
        <w:rPr>
          <w:rFonts w:cs="Arial"/>
          <w:sz w:val="22"/>
          <w:szCs w:val="22"/>
        </w:rPr>
        <w:t xml:space="preserve"> </w:t>
      </w:r>
      <w:r w:rsidRPr="00D22CCA">
        <w:rPr>
          <w:rFonts w:cs="Arial"/>
          <w:sz w:val="22"/>
          <w:szCs w:val="22"/>
        </w:rPr>
        <w:t>and cannot be purchased using NDIS funds.</w:t>
      </w:r>
      <w:r>
        <w:rPr>
          <w:rFonts w:cs="Arial"/>
          <w:sz w:val="22"/>
          <w:szCs w:val="22"/>
        </w:rPr>
        <w:t xml:space="preserve"> </w:t>
      </w:r>
    </w:p>
    <w:p w:rsidR="00AB5783" w:rsidP="00AB5783" w:rsidRDefault="00AB5783" w14:paraId="605C48C9" w14:textId="77777777">
      <w:pPr>
        <w:pStyle w:val="Paragraphtext"/>
        <w:spacing w:before="240" w:after="240" w:line="276" w:lineRule="auto"/>
        <w:jc w:val="both"/>
        <w:rPr>
          <w:rFonts w:cs="Arial"/>
          <w:sz w:val="22"/>
          <w:szCs w:val="22"/>
        </w:rPr>
      </w:pPr>
      <w:r w:rsidRPr="126CC69F">
        <w:rPr>
          <w:rFonts w:cs="Arial"/>
          <w:sz w:val="22"/>
          <w:szCs w:val="22"/>
        </w:rPr>
        <w:t xml:space="preserve">The NDIS Supports Transitional Rules commenced on 3 October 2024 and only apply to old framework plans. Under the new planning framework, reasonable and necessary supports will be replaced by reasonable and necessary budgets, meaning that most supports will no longer be described in a participant’s plan. The definition of NDIS supports has an even more important role in new framework planning in guiding participants to understand the supports which can be funded by the NDIS through their flexible budgets. This means that changes are needed to ensure the definition of NDIS supports works for both old and new framework planning. </w:t>
      </w:r>
    </w:p>
    <w:p w:rsidR="00AB5783" w:rsidP="00AB5783" w:rsidRDefault="00AB5783" w14:paraId="4F613610" w14:textId="77777777">
      <w:pPr>
        <w:pStyle w:val="Paragraphtext"/>
        <w:spacing w:before="240" w:after="240" w:line="276" w:lineRule="auto"/>
        <w:jc w:val="both"/>
        <w:rPr>
          <w:rFonts w:cs="Arial"/>
          <w:sz w:val="22"/>
          <w:szCs w:val="22"/>
        </w:rPr>
      </w:pPr>
      <w:r w:rsidRPr="126CC69F">
        <w:rPr>
          <w:rFonts w:cs="Arial"/>
          <w:sz w:val="22"/>
          <w:szCs w:val="22"/>
        </w:rPr>
        <w:t xml:space="preserve">In new framework planning a participant must have an ‘assessed need’ to access therapy supports. A need for therapy will be identified through the support needs assessment process. </w:t>
      </w:r>
      <w:r w:rsidRPr="126CC69F">
        <w:rPr>
          <w:rFonts w:cs="Arial"/>
          <w:sz w:val="22"/>
          <w:szCs w:val="22"/>
        </w:rPr>
        <w:lastRenderedPageBreak/>
        <w:t>A participant will be advised which category or categories of therapy they may access using NDIS funding, likely as part of the participant’s needs assessment report and/or plan. The support needs assessment report will not necessarily identify the therapy type (for example speech pathology) but will identify at least the broader category of therapy.</w:t>
      </w:r>
    </w:p>
    <w:p w:rsidRPr="00B27F27" w:rsidR="00AB5783" w:rsidP="00AB5783" w:rsidRDefault="00AB5783" w14:paraId="5F63E4FE" w14:textId="77777777">
      <w:pPr>
        <w:pStyle w:val="Paragraphtext"/>
        <w:spacing w:before="240" w:after="240" w:line="276" w:lineRule="auto"/>
        <w:jc w:val="both"/>
        <w:rPr>
          <w:rFonts w:cs="Arial"/>
          <w:sz w:val="22"/>
          <w:szCs w:val="22"/>
        </w:rPr>
      </w:pPr>
      <w:r w:rsidRPr="126CC69F">
        <w:rPr>
          <w:rFonts w:cs="Arial"/>
          <w:sz w:val="22"/>
          <w:szCs w:val="22"/>
        </w:rPr>
        <w:t>Therapy will be funded in participant plans as part of a flexible budget</w:t>
      </w:r>
      <w:r>
        <w:rPr>
          <w:rFonts w:cs="Arial"/>
          <w:sz w:val="22"/>
          <w:szCs w:val="22"/>
        </w:rPr>
        <w:t>.</w:t>
      </w:r>
      <w:r w:rsidRPr="126CC69F">
        <w:rPr>
          <w:rFonts w:cs="Arial"/>
          <w:sz w:val="22"/>
          <w:szCs w:val="22"/>
        </w:rPr>
        <w:t xml:space="preserve"> This means a participant can spend their NDIS funding flexibly across the categories of therapy supports which have been identified for them through the support needs assessment process</w:t>
      </w:r>
      <w:r>
        <w:rPr>
          <w:rFonts w:cs="Arial"/>
          <w:sz w:val="22"/>
          <w:szCs w:val="22"/>
        </w:rPr>
        <w:t xml:space="preserve"> and across other flexible funding categories</w:t>
      </w:r>
      <w:r w:rsidRPr="126CC69F">
        <w:rPr>
          <w:rFonts w:cs="Arial"/>
          <w:sz w:val="22"/>
          <w:szCs w:val="22"/>
        </w:rPr>
        <w:t>.</w:t>
      </w:r>
      <w:r>
        <w:rPr>
          <w:rFonts w:cs="Arial"/>
          <w:sz w:val="22"/>
          <w:szCs w:val="22"/>
        </w:rPr>
        <w:t xml:space="preserve"> </w:t>
      </w:r>
      <w:r w:rsidRPr="126CC69F">
        <w:rPr>
          <w:rFonts w:cs="Arial"/>
          <w:sz w:val="22"/>
          <w:szCs w:val="22"/>
        </w:rPr>
        <w:t xml:space="preserve"> </w:t>
      </w:r>
    </w:p>
    <w:p w:rsidRPr="00D22CCA" w:rsidR="00AB5783" w:rsidP="00AB5783" w:rsidRDefault="00AB5783" w14:paraId="1654D4AB" w14:textId="77777777">
      <w:pPr>
        <w:pStyle w:val="Paragraphtext"/>
        <w:spacing w:before="240" w:after="240" w:line="276" w:lineRule="auto"/>
        <w:jc w:val="both"/>
        <w:rPr>
          <w:rFonts w:cs="Arial"/>
          <w:sz w:val="22"/>
          <w:szCs w:val="22"/>
        </w:rPr>
      </w:pPr>
      <w:r w:rsidRPr="00B27F27">
        <w:rPr>
          <w:rFonts w:cs="Arial"/>
          <w:sz w:val="22"/>
          <w:szCs w:val="22"/>
        </w:rPr>
        <w:t>Feedback from consultation on the NDIS Supports Transitional Rule in June and July 2025 highlighted the need for clearer descriptions of therapy supports, with participants and providers noting uncertainty about how therapy is categorised, the purpose of therapeutic supports</w:t>
      </w:r>
      <w:r>
        <w:rPr>
          <w:rFonts w:cs="Arial"/>
          <w:sz w:val="22"/>
          <w:szCs w:val="22"/>
        </w:rPr>
        <w:t>,</w:t>
      </w:r>
      <w:r w:rsidRPr="00B27F27">
        <w:rPr>
          <w:rFonts w:cs="Arial"/>
          <w:sz w:val="22"/>
          <w:szCs w:val="22"/>
        </w:rPr>
        <w:t xml:space="preserve"> and the differences between therapy, general health services and lifestyle services. Clearer definitions will help participants understand which therapy supports align with their disability related needs.</w:t>
      </w:r>
      <w:r w:rsidRPr="00E42F37">
        <w:rPr>
          <w:rFonts w:cs="Arial"/>
          <w:sz w:val="22"/>
          <w:szCs w:val="22"/>
        </w:rPr>
        <w:t> </w:t>
      </w:r>
    </w:p>
    <w:p w:rsidRPr="00D22CCA" w:rsidR="00AB5783" w:rsidP="00AB5783" w:rsidRDefault="00AB5783" w14:paraId="4F6F6947" w14:textId="77777777">
      <w:pPr>
        <w:pStyle w:val="Paragraphtext"/>
        <w:spacing w:before="240" w:after="240" w:line="276" w:lineRule="auto"/>
        <w:jc w:val="both"/>
        <w:rPr>
          <w:rFonts w:cs="Arial"/>
          <w:sz w:val="22"/>
          <w:szCs w:val="22"/>
        </w:rPr>
      </w:pPr>
      <w:r>
        <w:rPr>
          <w:rFonts w:cs="Arial"/>
          <w:sz w:val="22"/>
          <w:szCs w:val="22"/>
        </w:rPr>
        <w:t>Changes to the rules</w:t>
      </w:r>
      <w:r w:rsidRPr="00D22CCA">
        <w:rPr>
          <w:rFonts w:cs="Arial"/>
          <w:sz w:val="22"/>
          <w:szCs w:val="22"/>
        </w:rPr>
        <w:t xml:space="preserve"> will</w:t>
      </w:r>
      <w:r>
        <w:rPr>
          <w:rFonts w:cs="Arial"/>
          <w:sz w:val="22"/>
          <w:szCs w:val="22"/>
        </w:rPr>
        <w:t>, among other things,</w:t>
      </w:r>
      <w:r w:rsidRPr="00D22CCA">
        <w:rPr>
          <w:rFonts w:cs="Arial"/>
          <w:sz w:val="22"/>
          <w:szCs w:val="22"/>
        </w:rPr>
        <w:t xml:space="preserve"> repeal and replace schedule 1 to the NDIS Supports Transitional Rule. </w:t>
      </w:r>
      <w:r>
        <w:rPr>
          <w:rFonts w:cs="Arial"/>
          <w:sz w:val="22"/>
          <w:szCs w:val="22"/>
        </w:rPr>
        <w:t>Schedule 1 declares supports that are NDIS Supports.</w:t>
      </w:r>
    </w:p>
    <w:p w:rsidRPr="00D22CCA" w:rsidR="00AB5783" w:rsidP="00AB5783" w:rsidRDefault="00AB5783" w14:paraId="0026BBBD" w14:textId="77777777">
      <w:pPr>
        <w:pStyle w:val="Paragraphtext"/>
        <w:spacing w:before="240" w:after="240" w:line="276" w:lineRule="auto"/>
        <w:jc w:val="both"/>
        <w:rPr>
          <w:rFonts w:cs="Arial"/>
          <w:sz w:val="22"/>
          <w:szCs w:val="22"/>
        </w:rPr>
      </w:pPr>
      <w:r w:rsidRPr="126CC69F">
        <w:rPr>
          <w:rFonts w:cs="Arial"/>
          <w:sz w:val="22"/>
          <w:szCs w:val="22"/>
        </w:rPr>
        <w:t xml:space="preserve">Schedule 1 to the NDIS Supports Transitional Rule currently contains 36 categories of supports, largely aligned to NDIS Provider Registration Categories. The replacement schedule 1 will take a different approach to categorising supports. It will be restructured to align with Support Item Groupings (SIGs) which are groups of supports funded under the NDIS with a similar overarching purpose or delivery method. </w:t>
      </w:r>
    </w:p>
    <w:p w:rsidR="00AB5783" w:rsidP="00AB5783" w:rsidRDefault="00AB5783" w14:paraId="68FCE732" w14:textId="77777777">
      <w:pPr>
        <w:pStyle w:val="Paragraphtext"/>
        <w:spacing w:before="240" w:after="240" w:line="276" w:lineRule="auto"/>
        <w:jc w:val="both"/>
        <w:rPr>
          <w:rFonts w:cs="Arial"/>
          <w:sz w:val="22"/>
          <w:szCs w:val="22"/>
        </w:rPr>
      </w:pPr>
      <w:r w:rsidRPr="126CC69F">
        <w:rPr>
          <w:rFonts w:cs="Arial"/>
          <w:sz w:val="22"/>
          <w:szCs w:val="22"/>
        </w:rPr>
        <w:t xml:space="preserve">Schedule 1 to NDIS Supports Transitional Rules will be restructured to align with </w:t>
      </w:r>
      <w:r>
        <w:rPr>
          <w:rFonts w:cs="Arial"/>
          <w:sz w:val="22"/>
          <w:szCs w:val="22"/>
        </w:rPr>
        <w:t xml:space="preserve">SIGs. </w:t>
      </w:r>
      <w:r w:rsidRPr="126CC69F">
        <w:rPr>
          <w:rFonts w:cs="Arial"/>
          <w:sz w:val="22"/>
          <w:szCs w:val="22"/>
        </w:rPr>
        <w:t xml:space="preserve">This approach will provide greater clarity for participants, as SIGs correlate directly to needs identified in the support needs assessment (see section 32L of the NDIS Act) and the Pricing Arrangements and Price Limits (PAPL) and support catalogue (see </w:t>
      </w:r>
      <w:hyperlink r:id="rId14">
        <w:r w:rsidRPr="126CC69F">
          <w:rPr>
            <w:rStyle w:val="Hyperlink"/>
            <w:rFonts w:cs="Arial"/>
            <w:sz w:val="22"/>
            <w:szCs w:val="22"/>
          </w:rPr>
          <w:t>https://www.ndis.gov.au/providers/pricing-arrangements</w:t>
        </w:r>
      </w:hyperlink>
      <w:r w:rsidRPr="126CC69F">
        <w:rPr>
          <w:rFonts w:cs="Arial"/>
          <w:sz w:val="22"/>
          <w:szCs w:val="22"/>
        </w:rPr>
        <w:t xml:space="preserve">). This provides a more consistent framework for how a participant’s budget is generated and what they can spend their funds on. </w:t>
      </w:r>
    </w:p>
    <w:p w:rsidR="00AB5783" w:rsidP="00AB5783" w:rsidRDefault="00AB5783" w14:paraId="493E6971" w14:textId="77777777">
      <w:pPr>
        <w:pStyle w:val="Paragraphtext"/>
        <w:spacing w:before="240" w:after="240" w:line="276" w:lineRule="auto"/>
        <w:jc w:val="both"/>
        <w:rPr>
          <w:rFonts w:cs="Arial"/>
          <w:sz w:val="22"/>
          <w:szCs w:val="22"/>
        </w:rPr>
      </w:pPr>
      <w:r w:rsidRPr="126CC69F">
        <w:rPr>
          <w:rFonts w:cs="Arial"/>
          <w:sz w:val="22"/>
          <w:szCs w:val="22"/>
        </w:rPr>
        <w:t xml:space="preserve">This approach will not change the supports that a participant is currently able to access under the NDIS Supports Transitional Rule. Participants with old framework plans will continue to have reasonable and necessary supports identified in their plan which can be mapped to the relevant SIGs. </w:t>
      </w:r>
      <w:r>
        <w:rPr>
          <w:rFonts w:cs="Arial"/>
          <w:sz w:val="22"/>
          <w:szCs w:val="22"/>
        </w:rPr>
        <w:t xml:space="preserve"> </w:t>
      </w:r>
    </w:p>
    <w:p w:rsidR="00AB5783" w:rsidP="00AB5783" w:rsidRDefault="00AB5783" w14:paraId="7A5FFB13" w14:textId="77777777">
      <w:pPr>
        <w:pStyle w:val="Heading1"/>
      </w:pPr>
      <w:r>
        <w:t>Proposed approach</w:t>
      </w:r>
    </w:p>
    <w:p w:rsidR="00AB5783" w:rsidP="00AB5783" w:rsidRDefault="00AB5783" w14:paraId="4F2FFEBD" w14:textId="77777777">
      <w:pPr>
        <w:pStyle w:val="Paragraphtext"/>
        <w:spacing w:before="240" w:after="240" w:line="276" w:lineRule="auto"/>
        <w:jc w:val="both"/>
        <w:rPr>
          <w:rFonts w:cs="Arial"/>
          <w:sz w:val="22"/>
          <w:szCs w:val="22"/>
        </w:rPr>
      </w:pPr>
      <w:r w:rsidRPr="126CC69F">
        <w:rPr>
          <w:rFonts w:cs="Arial"/>
          <w:sz w:val="22"/>
          <w:szCs w:val="22"/>
        </w:rPr>
        <w:t xml:space="preserve">Therapy supports are evidence-based therapeutic interventions delivered by, or under the direct supervision of, appropriately qualified allied health professionals. Therapy is generally aimed at improving or maintaining functional capacity, or reducing its decline, in areas like mobility, self-care and communication. These types of supports are generally referred to as capacity building supports in old framework plans. For the purposes of the NDIS Supports rule, therapy supports also includes assessments, and prescription and training in the use of </w:t>
      </w:r>
      <w:r>
        <w:rPr>
          <w:rFonts w:cs="Arial"/>
          <w:sz w:val="22"/>
          <w:szCs w:val="22"/>
        </w:rPr>
        <w:t xml:space="preserve">things like </w:t>
      </w:r>
      <w:r w:rsidRPr="126CC69F">
        <w:rPr>
          <w:rFonts w:cs="Arial"/>
          <w:sz w:val="22"/>
          <w:szCs w:val="22"/>
        </w:rPr>
        <w:t xml:space="preserve">assistive technology. </w:t>
      </w:r>
    </w:p>
    <w:p w:rsidR="00AB5783" w:rsidP="00AB5783" w:rsidRDefault="00AB5783" w14:paraId="7F4C75CB" w14:textId="77777777">
      <w:pPr>
        <w:pStyle w:val="Paragraphtext"/>
        <w:spacing w:before="240" w:after="240" w:line="276" w:lineRule="auto"/>
        <w:jc w:val="both"/>
        <w:rPr>
          <w:rFonts w:cs="Arial"/>
          <w:sz w:val="22"/>
          <w:szCs w:val="22"/>
        </w:rPr>
      </w:pPr>
      <w:r>
        <w:rPr>
          <w:rFonts w:cs="Arial"/>
          <w:sz w:val="22"/>
          <w:szCs w:val="22"/>
        </w:rPr>
        <w:t xml:space="preserve">Allied health </w:t>
      </w:r>
      <w:r w:rsidRPr="451AF224">
        <w:rPr>
          <w:rFonts w:cs="Arial"/>
          <w:sz w:val="22"/>
          <w:szCs w:val="22"/>
        </w:rPr>
        <w:t>professionals</w:t>
      </w:r>
      <w:r>
        <w:rPr>
          <w:rFonts w:cs="Arial"/>
          <w:sz w:val="22"/>
          <w:szCs w:val="22"/>
        </w:rPr>
        <w:t xml:space="preserve"> may also provide supports in other relevant categories, for example in the context of employment supports.  </w:t>
      </w:r>
    </w:p>
    <w:p w:rsidR="00AB5783" w:rsidP="00AB5783" w:rsidRDefault="00AB5783" w14:paraId="334FE47C" w14:textId="7C66A118">
      <w:pPr>
        <w:pStyle w:val="Paragraphtext"/>
        <w:spacing w:before="240" w:after="240" w:line="276" w:lineRule="auto"/>
        <w:jc w:val="both"/>
        <w:rPr>
          <w:rFonts w:cs="Arial"/>
          <w:sz w:val="22"/>
          <w:szCs w:val="22"/>
        </w:rPr>
      </w:pPr>
      <w:r w:rsidRPr="63A29BF0" w:rsidR="00AB5783">
        <w:rPr>
          <w:rFonts w:cs="Arial"/>
          <w:sz w:val="22"/>
          <w:szCs w:val="22"/>
        </w:rPr>
        <w:t xml:space="preserve">In new framework planning, therapy supports must be linked to the disability-specific needs </w:t>
      </w:r>
      <w:r w:rsidRPr="63A29BF0" w:rsidR="00AB5783">
        <w:rPr>
          <w:rFonts w:cs="Arial"/>
          <w:sz w:val="22"/>
          <w:szCs w:val="22"/>
        </w:rPr>
        <w:t>identified</w:t>
      </w:r>
      <w:r w:rsidRPr="63A29BF0" w:rsidR="00AB5783">
        <w:rPr>
          <w:rFonts w:cs="Arial"/>
          <w:sz w:val="22"/>
          <w:szCs w:val="22"/>
        </w:rPr>
        <w:t xml:space="preserve"> in a participant’s support needs assessment. It is therefore proposed to divide therapy supports into three categories of ‘general</w:t>
      </w:r>
      <w:r w:rsidRPr="63A29BF0" w:rsidR="00AB5783">
        <w:rPr>
          <w:rFonts w:cs="Arial"/>
          <w:sz w:val="22"/>
          <w:szCs w:val="22"/>
        </w:rPr>
        <w:t>’,</w:t>
      </w:r>
      <w:r w:rsidRPr="63A29BF0" w:rsidR="00AB5783">
        <w:rPr>
          <w:rFonts w:cs="Arial"/>
          <w:sz w:val="22"/>
          <w:szCs w:val="22"/>
        </w:rPr>
        <w:t xml:space="preserve"> ‘social</w:t>
      </w:r>
      <w:r w:rsidRPr="63A29BF0" w:rsidR="00AB5783">
        <w:rPr>
          <w:rFonts w:cs="Arial"/>
          <w:sz w:val="22"/>
          <w:szCs w:val="22"/>
        </w:rPr>
        <w:t>’,</w:t>
      </w:r>
      <w:r w:rsidRPr="63A29BF0" w:rsidR="00AB5783">
        <w:rPr>
          <w:rFonts w:cs="Arial"/>
          <w:sz w:val="22"/>
          <w:szCs w:val="22"/>
        </w:rPr>
        <w:t xml:space="preserve"> and ‘physical and health related’ therapy. Each of these categories can be linked to the relevant </w:t>
      </w:r>
      <w:r w:rsidRPr="63A29BF0" w:rsidR="00615734">
        <w:rPr>
          <w:rFonts w:cs="Arial"/>
          <w:sz w:val="22"/>
          <w:szCs w:val="22"/>
        </w:rPr>
        <w:t>core assessment tool</w:t>
      </w:r>
      <w:r w:rsidRPr="63A29BF0" w:rsidR="00AB5783">
        <w:rPr>
          <w:rFonts w:cs="Arial"/>
          <w:sz w:val="22"/>
          <w:szCs w:val="22"/>
        </w:rPr>
        <w:t xml:space="preserve"> domains </w:t>
      </w:r>
      <w:r w:rsidRPr="63A29BF0" w:rsidR="00485808">
        <w:rPr>
          <w:rFonts w:cs="Arial"/>
          <w:sz w:val="22"/>
          <w:szCs w:val="22"/>
        </w:rPr>
        <w:t xml:space="preserve">(see </w:t>
      </w:r>
      <w:r w:rsidRPr="63A29BF0" w:rsidR="00485808">
        <w:rPr>
          <w:rFonts w:cs="Arial"/>
          <w:sz w:val="22"/>
          <w:szCs w:val="22"/>
        </w:rPr>
        <w:t>Annexure A</w:t>
      </w:r>
      <w:r w:rsidRPr="63A29BF0" w:rsidR="00CA61BA">
        <w:rPr>
          <w:rFonts w:cs="Arial"/>
          <w:sz w:val="22"/>
          <w:szCs w:val="22"/>
        </w:rPr>
        <w:t xml:space="preserve">, page 7) </w:t>
      </w:r>
      <w:r w:rsidRPr="63A29BF0" w:rsidR="00AB5783">
        <w:rPr>
          <w:rFonts w:cs="Arial"/>
          <w:sz w:val="22"/>
          <w:szCs w:val="22"/>
        </w:rPr>
        <w:t>the category of therapy seeks to address. This enables alignment of therapy supports with areas of need as assessed through the</w:t>
      </w:r>
      <w:r w:rsidRPr="63A29BF0" w:rsidR="00AB5783">
        <w:rPr>
          <w:rFonts w:cs="Arial"/>
          <w:sz w:val="22"/>
          <w:szCs w:val="22"/>
        </w:rPr>
        <w:t xml:space="preserve"> support needs assessment process</w:t>
      </w:r>
      <w:r w:rsidRPr="63A29BF0" w:rsidR="00AB5783">
        <w:rPr>
          <w:rFonts w:cs="Arial"/>
          <w:sz w:val="22"/>
          <w:szCs w:val="22"/>
        </w:rPr>
        <w:t>.</w:t>
      </w:r>
    </w:p>
    <w:p w:rsidR="00AB5783" w:rsidP="00AB5783" w:rsidRDefault="00AB5783" w14:paraId="1AFD26B7" w14:textId="77777777">
      <w:pPr>
        <w:pStyle w:val="Paragraphtext"/>
        <w:spacing w:before="240" w:after="240" w:line="276" w:lineRule="auto"/>
        <w:jc w:val="both"/>
        <w:rPr>
          <w:rFonts w:cs="Arial"/>
          <w:sz w:val="22"/>
          <w:szCs w:val="22"/>
        </w:rPr>
      </w:pPr>
      <w:r w:rsidRPr="126CC69F">
        <w:rPr>
          <w:rFonts w:cs="Arial"/>
          <w:sz w:val="22"/>
          <w:szCs w:val="22"/>
        </w:rPr>
        <w:t>Participants with new framework plans may be assessed as hav</w:t>
      </w:r>
      <w:r>
        <w:rPr>
          <w:rFonts w:cs="Arial"/>
          <w:sz w:val="22"/>
          <w:szCs w:val="22"/>
        </w:rPr>
        <w:t>ing</w:t>
      </w:r>
      <w:r w:rsidRPr="126CC69F">
        <w:rPr>
          <w:rFonts w:cs="Arial"/>
          <w:sz w:val="22"/>
          <w:szCs w:val="22"/>
        </w:rPr>
        <w:t xml:space="preserve"> a need for one or more categories of therapy supports.</w:t>
      </w:r>
      <w:r>
        <w:rPr>
          <w:rFonts w:cs="Arial"/>
          <w:sz w:val="22"/>
          <w:szCs w:val="22"/>
        </w:rPr>
        <w:t xml:space="preserve"> We propose that e</w:t>
      </w:r>
      <w:r w:rsidRPr="0094592A">
        <w:rPr>
          <w:rFonts w:cs="Arial"/>
          <w:sz w:val="22"/>
          <w:szCs w:val="22"/>
        </w:rPr>
        <w:t>ach category of therapy support will set out the types of therapies that fall within that category, for example ‘physiotherapy</w:t>
      </w:r>
      <w:r>
        <w:rPr>
          <w:rFonts w:cs="Arial"/>
          <w:sz w:val="22"/>
          <w:szCs w:val="22"/>
        </w:rPr>
        <w:t>’</w:t>
      </w:r>
      <w:r w:rsidRPr="20277882">
        <w:rPr>
          <w:rFonts w:cs="Arial"/>
          <w:sz w:val="22"/>
          <w:szCs w:val="22"/>
        </w:rPr>
        <w:t>.</w:t>
      </w:r>
      <w:r w:rsidRPr="126CC69F">
        <w:rPr>
          <w:rFonts w:cs="Arial"/>
          <w:sz w:val="22"/>
          <w:szCs w:val="22"/>
        </w:rPr>
        <w:t xml:space="preserve"> Participants will then be able to choose which type of therapy falling within that category best meets their needs. </w:t>
      </w:r>
    </w:p>
    <w:p w:rsidR="00AB5783" w:rsidP="00AB5783" w:rsidRDefault="00AB5783" w14:paraId="7CC300C3" w14:textId="77777777">
      <w:pPr>
        <w:pStyle w:val="Heading6"/>
        <w:spacing w:after="240" w:line="276" w:lineRule="auto"/>
        <w:jc w:val="both"/>
        <w:rPr>
          <w:rFonts w:cs="Arial"/>
        </w:rPr>
      </w:pPr>
      <w:r>
        <w:t>‘General’ therapy</w:t>
      </w:r>
    </w:p>
    <w:p w:rsidR="00AB5783" w:rsidP="00AB5783" w:rsidRDefault="00AB5783" w14:paraId="60012137" w14:textId="56FFA1AE">
      <w:pPr>
        <w:pStyle w:val="Paragraphtext"/>
        <w:spacing w:before="240" w:after="240" w:line="276" w:lineRule="auto"/>
        <w:jc w:val="both"/>
        <w:rPr>
          <w:rFonts w:cs="Arial"/>
          <w:sz w:val="22"/>
          <w:szCs w:val="22"/>
        </w:rPr>
      </w:pPr>
      <w:r w:rsidRPr="63A29BF0" w:rsidR="00AB5783">
        <w:rPr>
          <w:rFonts w:cs="Arial"/>
          <w:sz w:val="22"/>
          <w:szCs w:val="22"/>
        </w:rPr>
        <w:t xml:space="preserve">Supports covered by the general therapy category will help a participant improve, </w:t>
      </w:r>
      <w:r w:rsidRPr="63A29BF0" w:rsidR="00AB5783">
        <w:rPr>
          <w:rFonts w:cs="Arial"/>
          <w:sz w:val="22"/>
          <w:szCs w:val="22"/>
        </w:rPr>
        <w:t>maintain</w:t>
      </w:r>
      <w:r w:rsidRPr="63A29BF0" w:rsidR="00AB5783">
        <w:rPr>
          <w:rFonts w:cs="Arial"/>
          <w:sz w:val="22"/>
          <w:szCs w:val="22"/>
        </w:rPr>
        <w:t xml:space="preserve">, or </w:t>
      </w:r>
      <w:r w:rsidRPr="63A29BF0" w:rsidR="00AB5783">
        <w:rPr>
          <w:rFonts w:cs="Arial"/>
          <w:sz w:val="22"/>
          <w:szCs w:val="22"/>
        </w:rPr>
        <w:t>reducing</w:t>
      </w:r>
      <w:r w:rsidRPr="63A29BF0" w:rsidR="00AB5783">
        <w:rPr>
          <w:rFonts w:cs="Arial"/>
          <w:sz w:val="22"/>
          <w:szCs w:val="22"/>
        </w:rPr>
        <w:t xml:space="preserve"> decline in function</w:t>
      </w:r>
      <w:r w:rsidRPr="63A29BF0" w:rsidR="00AB5783">
        <w:rPr>
          <w:rFonts w:cs="Arial"/>
          <w:sz w:val="22"/>
          <w:szCs w:val="22"/>
        </w:rPr>
        <w:t xml:space="preserve">al capacity in the following </w:t>
      </w:r>
      <w:r w:rsidRPr="63A29BF0" w:rsidR="00424107">
        <w:rPr>
          <w:rFonts w:cs="Arial"/>
          <w:sz w:val="22"/>
          <w:szCs w:val="22"/>
        </w:rPr>
        <w:t xml:space="preserve"> core </w:t>
      </w:r>
      <w:r w:rsidRPr="63A29BF0" w:rsidR="009A767E">
        <w:rPr>
          <w:rFonts w:cs="Arial"/>
          <w:sz w:val="22"/>
          <w:szCs w:val="22"/>
        </w:rPr>
        <w:t>assessment tool</w:t>
      </w:r>
      <w:r w:rsidRPr="63A29BF0" w:rsidR="00AB5783">
        <w:rPr>
          <w:rFonts w:cs="Arial"/>
          <w:sz w:val="22"/>
          <w:szCs w:val="22"/>
        </w:rPr>
        <w:t xml:space="preserve"> domains:</w:t>
      </w:r>
    </w:p>
    <w:p w:rsidRPr="00A35046" w:rsidR="00AB5783" w:rsidP="00AB5783" w:rsidRDefault="00AB5783" w14:paraId="266415DF" w14:textId="77777777">
      <w:pPr>
        <w:pStyle w:val="ListNumber2"/>
        <w:rPr>
          <w:szCs w:val="22"/>
        </w:rPr>
      </w:pPr>
      <w:r w:rsidRPr="00A35046">
        <w:rPr>
          <w:szCs w:val="22"/>
        </w:rPr>
        <w:t>communication </w:t>
      </w:r>
    </w:p>
    <w:p w:rsidRPr="00A35046" w:rsidR="00AB5783" w:rsidP="00AB5783" w:rsidRDefault="00AB5783" w14:paraId="68A7CC26" w14:textId="77777777">
      <w:pPr>
        <w:pStyle w:val="ListNumber2"/>
        <w:rPr>
          <w:szCs w:val="22"/>
        </w:rPr>
      </w:pPr>
      <w:r w:rsidRPr="00A35046">
        <w:rPr>
          <w:szCs w:val="22"/>
        </w:rPr>
        <w:t xml:space="preserve">community, social and civic life </w:t>
      </w:r>
    </w:p>
    <w:p w:rsidRPr="00A35046" w:rsidR="00AB5783" w:rsidP="00AB5783" w:rsidRDefault="00AB5783" w14:paraId="084FBA3B" w14:textId="77777777">
      <w:pPr>
        <w:pStyle w:val="ListNumber2"/>
        <w:rPr>
          <w:szCs w:val="22"/>
        </w:rPr>
      </w:pPr>
      <w:r w:rsidRPr="00A35046">
        <w:rPr>
          <w:szCs w:val="22"/>
        </w:rPr>
        <w:t>domestic life </w:t>
      </w:r>
    </w:p>
    <w:p w:rsidRPr="00A35046" w:rsidR="00AB5783" w:rsidP="00AB5783" w:rsidRDefault="00AB5783" w14:paraId="75A8168A" w14:textId="77777777">
      <w:pPr>
        <w:pStyle w:val="ListNumber2"/>
        <w:rPr>
          <w:szCs w:val="22"/>
        </w:rPr>
      </w:pPr>
      <w:r w:rsidRPr="00A35046">
        <w:rPr>
          <w:szCs w:val="22"/>
        </w:rPr>
        <w:t>general tasks and demands </w:t>
      </w:r>
    </w:p>
    <w:p w:rsidR="00AB5783" w:rsidP="00AB5783" w:rsidRDefault="00AB5783" w14:paraId="4C75934F" w14:textId="77777777">
      <w:pPr>
        <w:pStyle w:val="ListNumber2"/>
        <w:rPr>
          <w:szCs w:val="22"/>
        </w:rPr>
      </w:pPr>
      <w:r w:rsidRPr="00A35046">
        <w:rPr>
          <w:szCs w:val="22"/>
        </w:rPr>
        <w:t xml:space="preserve">interpersonal interactions and relationships </w:t>
      </w:r>
    </w:p>
    <w:p w:rsidRPr="00A35046" w:rsidR="00AB5783" w:rsidP="00AB5783" w:rsidRDefault="00AB5783" w14:paraId="55A11C2F" w14:textId="77777777">
      <w:pPr>
        <w:pStyle w:val="ListNumber2"/>
        <w:rPr>
          <w:szCs w:val="22"/>
        </w:rPr>
      </w:pPr>
      <w:r w:rsidRPr="00A35046">
        <w:rPr>
          <w:szCs w:val="22"/>
        </w:rPr>
        <w:t>learning and applying knowledge</w:t>
      </w:r>
    </w:p>
    <w:p w:rsidRPr="00A35046" w:rsidR="00AB5783" w:rsidP="00AB5783" w:rsidRDefault="00AB5783" w14:paraId="20C312CA" w14:textId="77777777">
      <w:pPr>
        <w:pStyle w:val="ListNumber2"/>
        <w:rPr>
          <w:szCs w:val="22"/>
        </w:rPr>
      </w:pPr>
      <w:r w:rsidRPr="00A35046">
        <w:rPr>
          <w:szCs w:val="22"/>
        </w:rPr>
        <w:t>lifelong learning </w:t>
      </w:r>
    </w:p>
    <w:p w:rsidRPr="00A35046" w:rsidR="00AB5783" w:rsidP="00AB5783" w:rsidRDefault="00AB5783" w14:paraId="76B48F72" w14:textId="77777777">
      <w:pPr>
        <w:pStyle w:val="ListNumber2"/>
        <w:rPr>
          <w:szCs w:val="22"/>
        </w:rPr>
      </w:pPr>
      <w:r w:rsidRPr="00A35046">
        <w:rPr>
          <w:szCs w:val="22"/>
        </w:rPr>
        <w:t>mobility </w:t>
      </w:r>
    </w:p>
    <w:p w:rsidRPr="00672AFB" w:rsidR="00AB5783" w:rsidP="00AB5783" w:rsidRDefault="00AB5783" w14:paraId="07EFEDDF" w14:textId="77777777">
      <w:pPr>
        <w:pStyle w:val="ListNumber2"/>
        <w:rPr>
          <w:szCs w:val="22"/>
        </w:rPr>
      </w:pPr>
      <w:r w:rsidRPr="00A35046">
        <w:rPr>
          <w:szCs w:val="22"/>
        </w:rPr>
        <w:t>self-care</w:t>
      </w:r>
      <w:r>
        <w:rPr>
          <w:szCs w:val="22"/>
        </w:rPr>
        <w:t>.</w:t>
      </w:r>
    </w:p>
    <w:p w:rsidRPr="00F675BC" w:rsidR="00AB5783" w:rsidP="00AB5783" w:rsidRDefault="00AB5783" w14:paraId="1A853564" w14:textId="77777777">
      <w:pPr>
        <w:pStyle w:val="Paragraphtext"/>
        <w:spacing w:before="240" w:after="240" w:line="276" w:lineRule="auto"/>
        <w:jc w:val="both"/>
        <w:rPr>
          <w:rFonts w:cs="Arial"/>
          <w:sz w:val="22"/>
          <w:szCs w:val="22"/>
        </w:rPr>
      </w:pPr>
      <w:r>
        <w:rPr>
          <w:rFonts w:cs="Arial"/>
          <w:sz w:val="22"/>
          <w:szCs w:val="22"/>
        </w:rPr>
        <w:t xml:space="preserve">We </w:t>
      </w:r>
      <w:r w:rsidRPr="126CC69F">
        <w:rPr>
          <w:rFonts w:cs="Arial"/>
          <w:sz w:val="22"/>
          <w:szCs w:val="22"/>
        </w:rPr>
        <w:t>anticipate that this category will be open to most, if not all, participants assessed as having a need for therapy. We are still considering the types of therapy to be included in this category.</w:t>
      </w:r>
    </w:p>
    <w:p w:rsidRPr="00F675BC" w:rsidR="00AB5783" w:rsidP="00AB5783" w:rsidRDefault="00AB5783" w14:paraId="035E0BB5" w14:textId="77777777">
      <w:pPr>
        <w:pStyle w:val="Heading6"/>
        <w:rPr>
          <w:rFonts w:cs="Arial"/>
          <w:i/>
          <w:iCs/>
        </w:rPr>
      </w:pPr>
      <w:r>
        <w:t>‘</w:t>
      </w:r>
      <w:r w:rsidRPr="00F675BC">
        <w:t>Social</w:t>
      </w:r>
      <w:r>
        <w:t>’</w:t>
      </w:r>
      <w:r>
        <w:rPr>
          <w:rFonts w:cs="Arial"/>
          <w:iCs/>
        </w:rPr>
        <w:t xml:space="preserve"> </w:t>
      </w:r>
      <w:r w:rsidRPr="00F675BC">
        <w:t>therapy</w:t>
      </w:r>
    </w:p>
    <w:p w:rsidRPr="00D22CCA" w:rsidR="00AB5783" w:rsidP="00AB5783" w:rsidRDefault="00AB5783" w14:paraId="49F3D214" w14:textId="0BB5069B">
      <w:pPr>
        <w:pStyle w:val="Paragraphtext"/>
        <w:spacing w:before="240" w:after="240" w:line="276" w:lineRule="auto"/>
        <w:jc w:val="both"/>
        <w:rPr>
          <w:rFonts w:cs="Arial"/>
          <w:sz w:val="22"/>
          <w:szCs w:val="22"/>
        </w:rPr>
      </w:pPr>
      <w:r w:rsidRPr="63A29BF0" w:rsidR="00AB5783">
        <w:rPr>
          <w:rFonts w:cs="Arial"/>
          <w:sz w:val="22"/>
          <w:szCs w:val="22"/>
        </w:rPr>
        <w:t xml:space="preserve">Supports covered by the social therapy category will help a person improve, </w:t>
      </w:r>
      <w:r w:rsidRPr="63A29BF0" w:rsidR="00AB5783">
        <w:rPr>
          <w:rFonts w:cs="Arial"/>
          <w:sz w:val="22"/>
          <w:szCs w:val="22"/>
        </w:rPr>
        <w:t>maintain</w:t>
      </w:r>
      <w:r w:rsidRPr="63A29BF0" w:rsidR="00AB5783">
        <w:rPr>
          <w:rFonts w:cs="Arial"/>
          <w:sz w:val="22"/>
          <w:szCs w:val="22"/>
        </w:rPr>
        <w:t xml:space="preserve"> or </w:t>
      </w:r>
      <w:r w:rsidRPr="63A29BF0" w:rsidR="00AB5783">
        <w:rPr>
          <w:rFonts w:cs="Arial"/>
          <w:sz w:val="22"/>
          <w:szCs w:val="22"/>
        </w:rPr>
        <w:t>reduce</w:t>
      </w:r>
      <w:r w:rsidRPr="63A29BF0" w:rsidR="00AB5783">
        <w:rPr>
          <w:rFonts w:cs="Arial"/>
          <w:sz w:val="22"/>
          <w:szCs w:val="22"/>
        </w:rPr>
        <w:t xml:space="preserve"> decline in function</w:t>
      </w:r>
      <w:r w:rsidRPr="63A29BF0" w:rsidR="00AB5783">
        <w:rPr>
          <w:rFonts w:cs="Arial"/>
          <w:sz w:val="22"/>
          <w:szCs w:val="22"/>
        </w:rPr>
        <w:t>al capacity</w:t>
      </w:r>
      <w:r w:rsidRPr="63A29BF0" w:rsidR="00AB5783">
        <w:rPr>
          <w:rFonts w:cs="Arial"/>
          <w:sz w:val="22"/>
          <w:szCs w:val="22"/>
        </w:rPr>
        <w:t xml:space="preserve"> related to</w:t>
      </w:r>
      <w:r w:rsidRPr="63A29BF0" w:rsidR="00AB5783">
        <w:rPr>
          <w:rFonts w:cs="Arial"/>
          <w:sz w:val="22"/>
          <w:szCs w:val="22"/>
        </w:rPr>
        <w:t xml:space="preserve"> the following </w:t>
      </w:r>
      <w:r w:rsidRPr="63A29BF0" w:rsidR="00424107">
        <w:rPr>
          <w:rFonts w:cs="Arial"/>
          <w:sz w:val="22"/>
          <w:szCs w:val="22"/>
        </w:rPr>
        <w:t>core assessment tool</w:t>
      </w:r>
      <w:r w:rsidRPr="63A29BF0" w:rsidR="00DD6D73">
        <w:rPr>
          <w:rFonts w:cs="Arial"/>
          <w:sz w:val="22"/>
          <w:szCs w:val="22"/>
        </w:rPr>
        <w:t xml:space="preserve"> </w:t>
      </w:r>
      <w:r w:rsidRPr="63A29BF0" w:rsidR="00AB5783">
        <w:rPr>
          <w:rFonts w:cs="Arial"/>
          <w:sz w:val="22"/>
          <w:szCs w:val="22"/>
        </w:rPr>
        <w:t>domains:</w:t>
      </w:r>
    </w:p>
    <w:p w:rsidR="00AB5783" w:rsidP="00AB5783" w:rsidRDefault="00AB5783" w14:paraId="29CF335E" w14:textId="77777777">
      <w:pPr>
        <w:pStyle w:val="ListNumber2"/>
        <w:rPr>
          <w:szCs w:val="22"/>
        </w:rPr>
      </w:pPr>
      <w:r w:rsidRPr="00A35046">
        <w:rPr>
          <w:szCs w:val="22"/>
        </w:rPr>
        <w:t xml:space="preserve">communication </w:t>
      </w:r>
    </w:p>
    <w:p w:rsidRPr="00A35046" w:rsidR="00AB5783" w:rsidP="00AB5783" w:rsidRDefault="00AB5783" w14:paraId="0CF2586C" w14:textId="77777777">
      <w:pPr>
        <w:pStyle w:val="ListNumber2"/>
        <w:rPr>
          <w:szCs w:val="22"/>
        </w:rPr>
      </w:pPr>
      <w:r w:rsidRPr="00A35046">
        <w:rPr>
          <w:szCs w:val="22"/>
        </w:rPr>
        <w:t>community, social and civic life </w:t>
      </w:r>
    </w:p>
    <w:p w:rsidRPr="00A35046" w:rsidR="00AB5783" w:rsidP="00AB5783" w:rsidRDefault="00AB5783" w14:paraId="4836CE59" w14:textId="77777777">
      <w:pPr>
        <w:pStyle w:val="ListNumber2"/>
        <w:rPr>
          <w:szCs w:val="22"/>
        </w:rPr>
      </w:pPr>
      <w:r w:rsidRPr="00A35046">
        <w:rPr>
          <w:szCs w:val="22"/>
        </w:rPr>
        <w:t>general tasks and demands </w:t>
      </w:r>
    </w:p>
    <w:p w:rsidR="00AB5783" w:rsidP="00AB5783" w:rsidRDefault="00AB5783" w14:paraId="7996FF20" w14:textId="77777777">
      <w:pPr>
        <w:pStyle w:val="ListNumber2"/>
        <w:rPr>
          <w:szCs w:val="22"/>
        </w:rPr>
      </w:pPr>
      <w:r w:rsidRPr="00A35046">
        <w:rPr>
          <w:szCs w:val="22"/>
        </w:rPr>
        <w:t xml:space="preserve">interpersonal interactions and relationships </w:t>
      </w:r>
    </w:p>
    <w:p w:rsidR="00AB5783" w:rsidP="00AB5783" w:rsidRDefault="00AB5783" w14:paraId="30C663D0" w14:textId="77777777">
      <w:pPr>
        <w:pStyle w:val="ListNumber2"/>
        <w:rPr>
          <w:szCs w:val="22"/>
        </w:rPr>
      </w:pPr>
      <w:r w:rsidRPr="00A35046">
        <w:rPr>
          <w:szCs w:val="22"/>
        </w:rPr>
        <w:t>learning and applying knowledge</w:t>
      </w:r>
    </w:p>
    <w:p w:rsidRPr="00672AFB" w:rsidR="00AB5783" w:rsidP="00AB5783" w:rsidRDefault="00AB5783" w14:paraId="45EFFFB3" w14:textId="77777777">
      <w:pPr>
        <w:pStyle w:val="ListNumber2"/>
        <w:rPr>
          <w:szCs w:val="22"/>
        </w:rPr>
      </w:pPr>
      <w:r>
        <w:rPr>
          <w:szCs w:val="22"/>
        </w:rPr>
        <w:t>lifelong learning.</w:t>
      </w:r>
    </w:p>
    <w:p w:rsidRPr="00D22CCA" w:rsidR="00AB5783" w:rsidP="00AB5783" w:rsidRDefault="00AB5783" w14:paraId="23314767" w14:textId="77777777">
      <w:pPr>
        <w:pStyle w:val="Paragraphtext"/>
        <w:spacing w:before="240" w:after="240" w:line="276" w:lineRule="auto"/>
        <w:jc w:val="both"/>
        <w:rPr>
          <w:rFonts w:cs="Arial"/>
          <w:sz w:val="22"/>
          <w:szCs w:val="22"/>
        </w:rPr>
      </w:pPr>
      <w:r w:rsidRPr="00D125D2">
        <w:rPr>
          <w:rFonts w:cs="Arial"/>
          <w:sz w:val="22"/>
          <w:szCs w:val="22"/>
        </w:rPr>
        <w:t>The</w:t>
      </w:r>
      <w:r w:rsidRPr="003456CC">
        <w:rPr>
          <w:rFonts w:cs="Arial"/>
          <w:sz w:val="22"/>
          <w:szCs w:val="22"/>
        </w:rPr>
        <w:t xml:space="preserve"> types of therapy to be included in this category is still being considered</w:t>
      </w:r>
      <w:r>
        <w:t>.</w:t>
      </w:r>
    </w:p>
    <w:p w:rsidRPr="00F675BC" w:rsidR="00AB5783" w:rsidP="00AB5783" w:rsidRDefault="00AB5783" w14:paraId="348CF7EF" w14:textId="77777777">
      <w:pPr>
        <w:pStyle w:val="Heading6"/>
        <w:rPr>
          <w:rFonts w:cs="Arial"/>
          <w:i/>
          <w:iCs/>
        </w:rPr>
      </w:pPr>
      <w:r>
        <w:t>‘</w:t>
      </w:r>
      <w:r w:rsidRPr="00F675BC">
        <w:t>Physical and health related</w:t>
      </w:r>
      <w:r>
        <w:t>’ therapy</w:t>
      </w:r>
    </w:p>
    <w:p w:rsidR="00AB5783" w:rsidP="00AB5783" w:rsidRDefault="00AB5783" w14:paraId="1F106A89" w14:textId="3B258C91">
      <w:pPr>
        <w:pStyle w:val="Paragraphtext"/>
        <w:spacing w:before="240" w:after="240" w:line="276" w:lineRule="auto"/>
        <w:jc w:val="both"/>
        <w:rPr>
          <w:rFonts w:cs="Arial"/>
          <w:sz w:val="22"/>
          <w:szCs w:val="22"/>
        </w:rPr>
      </w:pPr>
      <w:r w:rsidRPr="63A29BF0" w:rsidR="00AB5783">
        <w:rPr>
          <w:rFonts w:cs="Arial"/>
          <w:sz w:val="22"/>
          <w:szCs w:val="22"/>
        </w:rPr>
        <w:t xml:space="preserve">Supports covered by the physical and health related therapy category will help a participant improve, </w:t>
      </w:r>
      <w:r w:rsidRPr="63A29BF0" w:rsidR="00AB5783">
        <w:rPr>
          <w:rFonts w:cs="Arial"/>
          <w:sz w:val="22"/>
          <w:szCs w:val="22"/>
        </w:rPr>
        <w:t>maintain</w:t>
      </w:r>
      <w:r w:rsidRPr="63A29BF0" w:rsidR="00AB5783">
        <w:rPr>
          <w:rFonts w:cs="Arial"/>
          <w:sz w:val="22"/>
          <w:szCs w:val="22"/>
        </w:rPr>
        <w:t xml:space="preserve">, or </w:t>
      </w:r>
      <w:r w:rsidRPr="63A29BF0" w:rsidR="00AB5783">
        <w:rPr>
          <w:rFonts w:cs="Arial"/>
          <w:sz w:val="22"/>
          <w:szCs w:val="22"/>
        </w:rPr>
        <w:t>reduce</w:t>
      </w:r>
      <w:r w:rsidRPr="63A29BF0" w:rsidR="00AB5783">
        <w:rPr>
          <w:rFonts w:cs="Arial"/>
          <w:sz w:val="22"/>
          <w:szCs w:val="22"/>
        </w:rPr>
        <w:t xml:space="preserve"> decline in </w:t>
      </w:r>
      <w:r w:rsidRPr="63A29BF0" w:rsidR="00AB5783">
        <w:rPr>
          <w:rFonts w:cs="Arial"/>
          <w:sz w:val="22"/>
          <w:szCs w:val="22"/>
        </w:rPr>
        <w:t>functional capacity in</w:t>
      </w:r>
      <w:r w:rsidRPr="63A29BF0" w:rsidR="00AB5783">
        <w:rPr>
          <w:rFonts w:cs="Arial"/>
          <w:sz w:val="22"/>
          <w:szCs w:val="22"/>
        </w:rPr>
        <w:t xml:space="preserve"> the following </w:t>
      </w:r>
      <w:r w:rsidRPr="63A29BF0" w:rsidR="00FC0566">
        <w:rPr>
          <w:rFonts w:cs="Arial"/>
          <w:sz w:val="22"/>
          <w:szCs w:val="22"/>
        </w:rPr>
        <w:t>core assessment tool</w:t>
      </w:r>
      <w:r w:rsidRPr="63A29BF0" w:rsidR="00AB5783">
        <w:rPr>
          <w:rFonts w:cs="Arial"/>
          <w:sz w:val="22"/>
          <w:szCs w:val="22"/>
        </w:rPr>
        <w:t xml:space="preserve"> domains:</w:t>
      </w:r>
    </w:p>
    <w:p w:rsidR="00AB5783" w:rsidP="00AB5783" w:rsidRDefault="00AB5783" w14:paraId="53D3D406" w14:textId="77777777">
      <w:pPr>
        <w:pStyle w:val="ListNumber2"/>
        <w:rPr>
          <w:szCs w:val="22"/>
        </w:rPr>
      </w:pPr>
      <w:r w:rsidRPr="00A35046">
        <w:rPr>
          <w:szCs w:val="22"/>
        </w:rPr>
        <w:t xml:space="preserve">communication </w:t>
      </w:r>
    </w:p>
    <w:p w:rsidRPr="00A35046" w:rsidR="00AB5783" w:rsidP="00AB5783" w:rsidRDefault="00AB5783" w14:paraId="0079C43F" w14:textId="77777777">
      <w:pPr>
        <w:pStyle w:val="ListNumber2"/>
        <w:rPr>
          <w:szCs w:val="22"/>
        </w:rPr>
      </w:pPr>
      <w:r w:rsidRPr="00A35046">
        <w:rPr>
          <w:szCs w:val="22"/>
        </w:rPr>
        <w:t>domestic life</w:t>
      </w:r>
    </w:p>
    <w:p w:rsidRPr="00A35046" w:rsidR="00AB5783" w:rsidP="00AB5783" w:rsidRDefault="00AB5783" w14:paraId="5A6A6519" w14:textId="77777777">
      <w:pPr>
        <w:pStyle w:val="ListNumber2"/>
        <w:rPr>
          <w:szCs w:val="22"/>
        </w:rPr>
      </w:pPr>
      <w:r w:rsidRPr="00A35046">
        <w:rPr>
          <w:szCs w:val="22"/>
        </w:rPr>
        <w:t>general tasks and demands </w:t>
      </w:r>
    </w:p>
    <w:p w:rsidRPr="00A35046" w:rsidR="00AB5783" w:rsidP="00AB5783" w:rsidRDefault="00AB5783" w14:paraId="3EB56379" w14:textId="77777777">
      <w:pPr>
        <w:pStyle w:val="ListNumber2"/>
        <w:rPr>
          <w:szCs w:val="22"/>
        </w:rPr>
      </w:pPr>
      <w:r w:rsidRPr="00A35046">
        <w:rPr>
          <w:szCs w:val="22"/>
        </w:rPr>
        <w:t>mobility</w:t>
      </w:r>
    </w:p>
    <w:p w:rsidRPr="00672AFB" w:rsidR="00AB5783" w:rsidP="00AB5783" w:rsidRDefault="00AB5783" w14:paraId="4FB5F3C5" w14:textId="77777777">
      <w:pPr>
        <w:pStyle w:val="ListNumber2"/>
        <w:rPr>
          <w:szCs w:val="22"/>
        </w:rPr>
      </w:pPr>
      <w:r w:rsidRPr="00A35046">
        <w:rPr>
          <w:szCs w:val="22"/>
        </w:rPr>
        <w:t>self-care</w:t>
      </w:r>
      <w:r>
        <w:rPr>
          <w:szCs w:val="22"/>
        </w:rPr>
        <w:t>.</w:t>
      </w:r>
    </w:p>
    <w:p w:rsidR="00AB5783" w:rsidP="00AB5783" w:rsidRDefault="00AB5783" w14:paraId="1255AC1A" w14:textId="77777777">
      <w:pPr>
        <w:pStyle w:val="Paragraphtext"/>
        <w:spacing w:before="240" w:after="240" w:line="276" w:lineRule="auto"/>
        <w:jc w:val="both"/>
        <w:rPr>
          <w:rFonts w:cs="Arial"/>
          <w:sz w:val="22"/>
          <w:szCs w:val="22"/>
        </w:rPr>
      </w:pPr>
      <w:r w:rsidRPr="00D125D2">
        <w:rPr>
          <w:rFonts w:cs="Arial"/>
          <w:sz w:val="22"/>
          <w:szCs w:val="22"/>
        </w:rPr>
        <w:t>The</w:t>
      </w:r>
      <w:r w:rsidRPr="003456CC">
        <w:rPr>
          <w:rFonts w:cs="Arial"/>
          <w:sz w:val="22"/>
          <w:szCs w:val="22"/>
        </w:rPr>
        <w:t xml:space="preserve"> types of therapy to be included in this category is still being considered</w:t>
      </w:r>
      <w:r>
        <w:t>.</w:t>
      </w:r>
      <w:r>
        <w:rPr>
          <w:rFonts w:cs="Arial"/>
          <w:sz w:val="22"/>
          <w:szCs w:val="22"/>
        </w:rPr>
        <w:t xml:space="preserve"> </w:t>
      </w:r>
    </w:p>
    <w:p w:rsidR="00AB5783" w:rsidP="00AB5783" w:rsidRDefault="00AB5783" w14:paraId="7BB82B9F" w14:textId="77777777">
      <w:pPr>
        <w:pStyle w:val="Heading1"/>
      </w:pPr>
      <w:r>
        <w:t>Feedback and questions</w:t>
      </w:r>
    </w:p>
    <w:p w:rsidRPr="008C6CA5" w:rsidR="00AB5783" w:rsidP="00AB5783" w:rsidRDefault="00AB5783" w14:paraId="636E6C38" w14:textId="77777777">
      <w:pPr>
        <w:pStyle w:val="Paragraphtext"/>
        <w:spacing w:before="240" w:after="240" w:line="276" w:lineRule="auto"/>
        <w:jc w:val="both"/>
        <w:rPr>
          <w:rFonts w:cs="Arial"/>
          <w:sz w:val="22"/>
          <w:szCs w:val="22"/>
        </w:rPr>
      </w:pPr>
      <w:r w:rsidRPr="6ADC9C99">
        <w:rPr>
          <w:rFonts w:cs="Arial"/>
          <w:sz w:val="22"/>
          <w:szCs w:val="22"/>
        </w:rPr>
        <w:t xml:space="preserve">The department is seeking feedback on the proposed approach to categorising and describing therapy supports. We welcome general thoughts and feedback but would particularly appreciate responses to some or all the following questions </w:t>
      </w:r>
      <w:r>
        <w:rPr>
          <w:rFonts w:cs="Arial"/>
          <w:sz w:val="22"/>
          <w:szCs w:val="22"/>
        </w:rPr>
        <w:t xml:space="preserve">from allied health professional peak bodies </w:t>
      </w:r>
      <w:r w:rsidRPr="6ADC9C99">
        <w:rPr>
          <w:rFonts w:cs="Arial"/>
          <w:sz w:val="22"/>
          <w:szCs w:val="22"/>
        </w:rPr>
        <w:t xml:space="preserve">as they will assist us in developing changes to the NDIS Supports Transitional Rule. Where possible, we would appreciate references or </w:t>
      </w:r>
      <w:r>
        <w:rPr>
          <w:rFonts w:cs="Arial"/>
          <w:sz w:val="22"/>
          <w:szCs w:val="22"/>
        </w:rPr>
        <w:t xml:space="preserve">direction to the </w:t>
      </w:r>
      <w:r w:rsidRPr="6ADC9C99">
        <w:rPr>
          <w:rFonts w:cs="Arial"/>
          <w:sz w:val="22"/>
          <w:szCs w:val="22"/>
        </w:rPr>
        <w:t xml:space="preserve">evidence </w:t>
      </w:r>
      <w:r>
        <w:rPr>
          <w:rFonts w:cs="Arial"/>
          <w:sz w:val="22"/>
          <w:szCs w:val="22"/>
        </w:rPr>
        <w:t>informing responses</w:t>
      </w:r>
      <w:r w:rsidRPr="6ADC9C99">
        <w:rPr>
          <w:rFonts w:cs="Arial"/>
          <w:sz w:val="22"/>
          <w:szCs w:val="22"/>
        </w:rPr>
        <w:t>.</w:t>
      </w:r>
    </w:p>
    <w:p w:rsidR="00AB5783" w:rsidP="00AB5783" w:rsidRDefault="00AB5783" w14:paraId="1E3A8B1E" w14:textId="77777777">
      <w:pPr>
        <w:pStyle w:val="Paragraphtext"/>
        <w:spacing w:before="240" w:after="240" w:line="276" w:lineRule="auto"/>
        <w:jc w:val="both"/>
      </w:pPr>
      <w:r>
        <w:rPr>
          <w:rFonts w:cs="Arial"/>
          <w:sz w:val="22"/>
          <w:szCs w:val="22"/>
        </w:rPr>
        <w:t>T</w:t>
      </w:r>
      <w:r w:rsidRPr="008C6CA5">
        <w:rPr>
          <w:rFonts w:cs="Arial"/>
          <w:sz w:val="22"/>
          <w:szCs w:val="22"/>
        </w:rPr>
        <w:t xml:space="preserve">herapy supports need to be grouped into categories </w:t>
      </w:r>
      <w:r>
        <w:rPr>
          <w:rFonts w:cs="Arial"/>
          <w:sz w:val="22"/>
          <w:szCs w:val="22"/>
        </w:rPr>
        <w:t>which address a similar range of needs. As outlined above, w</w:t>
      </w:r>
      <w:r w:rsidRPr="008C6CA5">
        <w:rPr>
          <w:rFonts w:cs="Arial"/>
          <w:sz w:val="22"/>
          <w:szCs w:val="22"/>
        </w:rPr>
        <w:t xml:space="preserve">e </w:t>
      </w:r>
      <w:r>
        <w:rPr>
          <w:rFonts w:cs="Arial"/>
          <w:sz w:val="22"/>
          <w:szCs w:val="22"/>
        </w:rPr>
        <w:t xml:space="preserve">are </w:t>
      </w:r>
      <w:r w:rsidRPr="008C6CA5">
        <w:rPr>
          <w:rFonts w:cs="Arial"/>
          <w:sz w:val="22"/>
          <w:szCs w:val="22"/>
        </w:rPr>
        <w:t>propos</w:t>
      </w:r>
      <w:r>
        <w:rPr>
          <w:rFonts w:cs="Arial"/>
          <w:sz w:val="22"/>
          <w:szCs w:val="22"/>
        </w:rPr>
        <w:t>ing</w:t>
      </w:r>
      <w:r w:rsidRPr="008C6CA5">
        <w:rPr>
          <w:rFonts w:cs="Arial"/>
          <w:sz w:val="22"/>
          <w:szCs w:val="22"/>
        </w:rPr>
        <w:t xml:space="preserve"> to split therapy supports into categories</w:t>
      </w:r>
      <w:r>
        <w:rPr>
          <w:rFonts w:cs="Arial"/>
          <w:sz w:val="22"/>
          <w:szCs w:val="22"/>
        </w:rPr>
        <w:t xml:space="preserve">. These are being referred to as </w:t>
      </w:r>
      <w:r w:rsidRPr="008C6CA5">
        <w:rPr>
          <w:rFonts w:cs="Arial"/>
          <w:sz w:val="22"/>
          <w:szCs w:val="22"/>
        </w:rPr>
        <w:t xml:space="preserve">‘general’, ‘social’ and ‘physical and health </w:t>
      </w:r>
      <w:r w:rsidRPr="00F32B99">
        <w:rPr>
          <w:rFonts w:cs="Arial"/>
          <w:sz w:val="22"/>
          <w:szCs w:val="22"/>
        </w:rPr>
        <w:t>related’</w:t>
      </w:r>
      <w:r>
        <w:rPr>
          <w:rFonts w:cs="Arial"/>
          <w:sz w:val="22"/>
          <w:szCs w:val="22"/>
        </w:rPr>
        <w:t xml:space="preserve"> therapy, but these categories are not set</w:t>
      </w:r>
      <w:r w:rsidRPr="00F32B99">
        <w:t xml:space="preserve">. </w:t>
      </w:r>
    </w:p>
    <w:p w:rsidRPr="00A313AF" w:rsidR="00AB5783" w:rsidP="00AB5783" w:rsidRDefault="00AB5783" w14:paraId="46F7D185" w14:textId="77777777">
      <w:pPr>
        <w:pStyle w:val="Paragraphtext"/>
        <w:spacing w:before="240" w:after="240" w:line="276" w:lineRule="auto"/>
        <w:jc w:val="both"/>
        <w:rPr>
          <w:rFonts w:cs="Arial"/>
          <w:sz w:val="22"/>
          <w:szCs w:val="22"/>
        </w:rPr>
      </w:pPr>
      <w:r w:rsidRPr="126CC69F">
        <w:rPr>
          <w:rFonts w:cs="Arial"/>
          <w:sz w:val="22"/>
          <w:szCs w:val="22"/>
        </w:rPr>
        <w:t>We are proposing to describe each category of therapy supports by specifying the ‘therapy types’, or allied health professions who can provide therapy in that category. We are also considering options for how to define each allied health profession, including whether they can be defined with reference to the relevant scope of practice.</w:t>
      </w:r>
    </w:p>
    <w:p w:rsidR="00AB5783" w:rsidP="00AB5783" w:rsidRDefault="00AB5783" w14:paraId="2C2DAA11" w14:textId="7269C616">
      <w:pPr>
        <w:pStyle w:val="ListNumber2"/>
        <w:rPr/>
      </w:pPr>
      <w:r w:rsidR="00AB5783">
        <w:rPr/>
        <w:t xml:space="preserve">What </w:t>
      </w:r>
      <w:r w:rsidR="00FC0566">
        <w:rPr/>
        <w:t>core assessment tool</w:t>
      </w:r>
      <w:r w:rsidR="00AB5783">
        <w:rPr/>
        <w:t xml:space="preserve"> domains do you consider your profession</w:t>
      </w:r>
      <w:r w:rsidR="00AB5783">
        <w:rPr/>
        <w:t xml:space="preserve"> and/or </w:t>
      </w:r>
      <w:r w:rsidR="00AB5783">
        <w:rPr/>
        <w:t xml:space="preserve">scope of practice is best situated to address? </w:t>
      </w:r>
    </w:p>
    <w:p w:rsidR="00AB5783" w:rsidP="00AB5783" w:rsidRDefault="00AB5783" w14:paraId="6EE22457" w14:textId="28209091">
      <w:pPr>
        <w:pStyle w:val="ListNumber2"/>
        <w:rPr/>
      </w:pPr>
      <w:r w:rsidR="00AB5783">
        <w:rPr/>
        <w:t xml:space="preserve">Are you able to provide a short definition of your therapy type or the scope of your practice and/or how that therapy delivers demonstratable outcomes for participants across relevant </w:t>
      </w:r>
      <w:r w:rsidR="00FC0566">
        <w:rPr/>
        <w:t>core assessment tool</w:t>
      </w:r>
      <w:r w:rsidR="00AB5783">
        <w:rPr/>
        <w:t xml:space="preserve"> domains?</w:t>
      </w:r>
    </w:p>
    <w:p w:rsidRPr="00A35046" w:rsidR="00AB5783" w:rsidP="00AB5783" w:rsidRDefault="00AB5783" w14:paraId="74991976" w14:textId="77777777">
      <w:pPr>
        <w:pStyle w:val="ListNumber2"/>
        <w:rPr>
          <w:szCs w:val="22"/>
        </w:rPr>
      </w:pPr>
      <w:r w:rsidRPr="126CC69F">
        <w:rPr>
          <w:szCs w:val="22"/>
        </w:rPr>
        <w:t>What do you see as the benefits or limitations of this approach?</w:t>
      </w:r>
    </w:p>
    <w:p w:rsidRPr="00A313AF" w:rsidR="00AB5783" w:rsidP="00AB5783" w:rsidRDefault="00AB5783" w14:paraId="3072A773" w14:textId="3014AA4A">
      <w:pPr>
        <w:pStyle w:val="Paragraphtext"/>
        <w:spacing w:before="240" w:after="240" w:line="276" w:lineRule="auto"/>
        <w:jc w:val="both"/>
        <w:rPr>
          <w:rFonts w:cs="Arial"/>
          <w:sz w:val="22"/>
          <w:szCs w:val="22"/>
        </w:rPr>
      </w:pPr>
      <w:r w:rsidRPr="63A29BF0" w:rsidR="00AB5783">
        <w:rPr>
          <w:rFonts w:cs="Arial"/>
          <w:sz w:val="22"/>
          <w:szCs w:val="22"/>
        </w:rPr>
        <w:t>The</w:t>
      </w:r>
      <w:r w:rsidRPr="63A29BF0" w:rsidR="00AB5783">
        <w:rPr>
          <w:rFonts w:cs="Arial"/>
          <w:sz w:val="22"/>
          <w:szCs w:val="22"/>
        </w:rPr>
        <w:t xml:space="preserve"> above</w:t>
      </w:r>
      <w:r w:rsidRPr="63A29BF0" w:rsidR="00AB5783">
        <w:rPr>
          <w:rFonts w:cs="Arial"/>
          <w:sz w:val="22"/>
          <w:szCs w:val="22"/>
        </w:rPr>
        <w:t xml:space="preserve"> categories were </w:t>
      </w:r>
      <w:r w:rsidRPr="63A29BF0" w:rsidR="00AB5783">
        <w:rPr>
          <w:rFonts w:cs="Arial"/>
          <w:sz w:val="22"/>
          <w:szCs w:val="22"/>
        </w:rPr>
        <w:t>identified</w:t>
      </w:r>
      <w:r w:rsidRPr="63A29BF0" w:rsidR="00AB5783">
        <w:rPr>
          <w:rFonts w:cs="Arial"/>
          <w:sz w:val="22"/>
          <w:szCs w:val="22"/>
        </w:rPr>
        <w:t xml:space="preserve"> by </w:t>
      </w:r>
      <w:r w:rsidRPr="63A29BF0" w:rsidR="00AB5783">
        <w:rPr>
          <w:rFonts w:cs="Arial"/>
          <w:sz w:val="22"/>
          <w:szCs w:val="22"/>
        </w:rPr>
        <w:t>considering which therapies could address needs in</w:t>
      </w:r>
      <w:r w:rsidRPr="63A29BF0" w:rsidR="00AB5783">
        <w:rPr>
          <w:rFonts w:cs="Arial"/>
          <w:sz w:val="22"/>
          <w:szCs w:val="22"/>
        </w:rPr>
        <w:t xml:space="preserve"> the domains </w:t>
      </w:r>
      <w:r w:rsidRPr="63A29BF0" w:rsidR="00AB5783">
        <w:rPr>
          <w:rFonts w:cs="Arial"/>
          <w:sz w:val="22"/>
          <w:szCs w:val="22"/>
        </w:rPr>
        <w:t xml:space="preserve">outlined </w:t>
      </w:r>
      <w:r w:rsidRPr="63A29BF0" w:rsidR="00AB5783">
        <w:rPr>
          <w:rFonts w:cs="Arial"/>
          <w:sz w:val="22"/>
          <w:szCs w:val="22"/>
        </w:rPr>
        <w:t xml:space="preserve">in the </w:t>
      </w:r>
      <w:r w:rsidRPr="63A29BF0" w:rsidR="007F5806">
        <w:rPr>
          <w:rFonts w:cs="Arial"/>
          <w:sz w:val="22"/>
          <w:szCs w:val="22"/>
        </w:rPr>
        <w:t>core assessment tool</w:t>
      </w:r>
      <w:r w:rsidRPr="63A29BF0" w:rsidR="00AB5783">
        <w:rPr>
          <w:rFonts w:cs="Arial"/>
          <w:sz w:val="22"/>
          <w:szCs w:val="22"/>
        </w:rPr>
        <w:t>,</w:t>
      </w:r>
      <w:r w:rsidRPr="63A29BF0" w:rsidR="00AB5783">
        <w:rPr>
          <w:rFonts w:cs="Arial"/>
          <w:sz w:val="22"/>
          <w:szCs w:val="22"/>
        </w:rPr>
        <w:t xml:space="preserve"> based on publicly available scope of practice. </w:t>
      </w:r>
    </w:p>
    <w:p w:rsidRPr="00FF6D9D" w:rsidR="00AB5783" w:rsidP="00AB5783" w:rsidRDefault="00AB5783" w14:paraId="398EA9B0" w14:textId="1444B93F">
      <w:pPr>
        <w:pStyle w:val="ListNumber2"/>
        <w:rPr/>
      </w:pPr>
      <w:r w:rsidR="00AB5783">
        <w:rPr/>
        <w:t xml:space="preserve">Are there alternate ways of grouping therapy supports with reference to the domains in the </w:t>
      </w:r>
      <w:r w:rsidR="007F5806">
        <w:rPr/>
        <w:t>core assessment too</w:t>
      </w:r>
      <w:r w:rsidR="00975A58">
        <w:rPr/>
        <w:t xml:space="preserve"> </w:t>
      </w:r>
      <w:r w:rsidR="00AB5783">
        <w:rPr/>
        <w:t xml:space="preserve">for which a participant would need access to therapy that you consider would be </w:t>
      </w:r>
      <w:r w:rsidR="00AB5783">
        <w:rPr/>
        <w:t>appropriate</w:t>
      </w:r>
      <w:r w:rsidR="00AB5783">
        <w:rPr/>
        <w:t>?</w:t>
      </w:r>
    </w:p>
    <w:p w:rsidRPr="00F52406" w:rsidR="00AB5783" w:rsidP="00AB5783" w:rsidRDefault="00AB5783" w14:paraId="3110A6A5" w14:textId="22AE73F6">
      <w:pPr>
        <w:pStyle w:val="Paragraphtext"/>
        <w:spacing w:before="240" w:after="240" w:line="276" w:lineRule="auto"/>
        <w:jc w:val="both"/>
        <w:rPr>
          <w:rFonts w:cs="Arial"/>
          <w:sz w:val="22"/>
          <w:szCs w:val="22"/>
        </w:rPr>
      </w:pPr>
      <w:r w:rsidRPr="63A29BF0" w:rsidR="00AB5783">
        <w:rPr>
          <w:rFonts w:cs="Arial"/>
          <w:sz w:val="22"/>
          <w:szCs w:val="22"/>
        </w:rPr>
        <w:t xml:space="preserve">As outlined above, we propose to describe the purpose of each category of therapy supports with reference to improving, </w:t>
      </w:r>
      <w:r w:rsidRPr="63A29BF0" w:rsidR="00AB5783">
        <w:rPr>
          <w:rFonts w:cs="Arial"/>
          <w:sz w:val="22"/>
          <w:szCs w:val="22"/>
        </w:rPr>
        <w:t>maintaining</w:t>
      </w:r>
      <w:r w:rsidRPr="63A29BF0" w:rsidR="00AB5783">
        <w:rPr>
          <w:rFonts w:cs="Arial"/>
          <w:sz w:val="22"/>
          <w:szCs w:val="22"/>
        </w:rPr>
        <w:t xml:space="preserve"> or </w:t>
      </w:r>
      <w:r w:rsidRPr="63A29BF0" w:rsidR="00AB5783">
        <w:rPr>
          <w:rFonts w:cs="Arial"/>
          <w:sz w:val="22"/>
          <w:szCs w:val="22"/>
        </w:rPr>
        <w:t>reducing</w:t>
      </w:r>
      <w:r w:rsidRPr="63A29BF0" w:rsidR="00AB5783">
        <w:rPr>
          <w:rFonts w:cs="Arial"/>
          <w:sz w:val="22"/>
          <w:szCs w:val="22"/>
        </w:rPr>
        <w:t xml:space="preserve"> the decline in a participant’s function in the relevant </w:t>
      </w:r>
      <w:r w:rsidRPr="63A29BF0" w:rsidR="00E1073D">
        <w:rPr>
          <w:rFonts w:cs="Arial"/>
          <w:sz w:val="22"/>
          <w:szCs w:val="22"/>
        </w:rPr>
        <w:t>core assessment tool</w:t>
      </w:r>
      <w:r w:rsidRPr="63A29BF0" w:rsidR="00AB5783">
        <w:rPr>
          <w:rFonts w:cs="Arial"/>
          <w:sz w:val="22"/>
          <w:szCs w:val="22"/>
        </w:rPr>
        <w:t xml:space="preserve"> domains. </w:t>
      </w:r>
    </w:p>
    <w:p w:rsidR="00AB5783" w:rsidP="00AB5783" w:rsidRDefault="00AB5783" w14:paraId="66D5DC62" w14:textId="77777777">
      <w:pPr>
        <w:pStyle w:val="ListNumber2"/>
        <w:rPr>
          <w:szCs w:val="22"/>
        </w:rPr>
      </w:pPr>
      <w:r w:rsidRPr="00A35046">
        <w:rPr>
          <w:szCs w:val="22"/>
        </w:rPr>
        <w:t xml:space="preserve">Is there an alternate approach to describing the purpose of each category of supports that you </w:t>
      </w:r>
      <w:r>
        <w:rPr>
          <w:szCs w:val="22"/>
        </w:rPr>
        <w:t>consider would be appropriate</w:t>
      </w:r>
      <w:r w:rsidRPr="00A35046">
        <w:rPr>
          <w:szCs w:val="22"/>
        </w:rPr>
        <w:t>?</w:t>
      </w:r>
    </w:p>
    <w:p w:rsidRPr="00A313AF" w:rsidR="00AB5783" w:rsidP="00AB5783" w:rsidRDefault="00AB5783" w14:paraId="357490A4" w14:textId="77777777">
      <w:pPr>
        <w:pStyle w:val="Paragraphtext"/>
        <w:spacing w:before="240" w:after="240" w:line="276" w:lineRule="auto"/>
        <w:jc w:val="both"/>
      </w:pPr>
      <w:r>
        <w:t xml:space="preserve">We are considering including examples to clarify the purpose of supports. For example, in relation to the domain of mobility, the rule could provide that the purpose is to: </w:t>
      </w:r>
    </w:p>
    <w:p w:rsidRPr="00A35046" w:rsidR="00AB5783" w:rsidP="00AB5783" w:rsidRDefault="00AB5783" w14:paraId="53DDB2C7" w14:textId="77777777">
      <w:pPr>
        <w:ind w:left="284"/>
      </w:pPr>
      <w:r w:rsidRPr="00D71B8D">
        <w:rPr>
          <w:i/>
          <w:iCs/>
        </w:rPr>
        <w:t>help participants improve, maintain or slow the decline in a participant’s mobility, including walking and moving, physical transfers</w:t>
      </w:r>
      <w:r w:rsidRPr="00D71B8D">
        <w:rPr>
          <w:i/>
          <w:iCs/>
          <w:u w:val="single"/>
        </w:rPr>
        <w:t>,</w:t>
      </w:r>
      <w:r w:rsidRPr="00A35046">
        <w:rPr>
          <w:i/>
          <w:iCs/>
        </w:rPr>
        <w:t xml:space="preserve"> </w:t>
      </w:r>
      <w:r w:rsidRPr="00D71B8D">
        <w:rPr>
          <w:i/>
          <w:iCs/>
        </w:rPr>
        <w:t>positioning, re-positioning and turning, carrying, moving and handling objects</w:t>
      </w:r>
      <w:r>
        <w:t>.</w:t>
      </w:r>
    </w:p>
    <w:p w:rsidR="00AB5783" w:rsidP="00AB5783" w:rsidRDefault="00AB5783" w14:paraId="7B2055E7" w14:textId="77777777"/>
    <w:p w:rsidR="00AB5783" w:rsidP="00AB5783" w:rsidRDefault="00AB5783" w14:paraId="228C886A" w14:textId="77777777">
      <w:pPr>
        <w:pStyle w:val="ListNumber2"/>
        <w:rPr>
          <w:szCs w:val="22"/>
        </w:rPr>
      </w:pPr>
      <w:r w:rsidRPr="00A35046">
        <w:rPr>
          <w:szCs w:val="22"/>
        </w:rPr>
        <w:t xml:space="preserve">Do you think including examples in the rule would be useful? </w:t>
      </w:r>
    </w:p>
    <w:p w:rsidR="00AB5783" w:rsidP="00AB5783" w:rsidRDefault="00AB5783" w14:paraId="045A09FA" w14:textId="77777777">
      <w:pPr>
        <w:pStyle w:val="ListNumber2"/>
        <w:rPr>
          <w:szCs w:val="22"/>
        </w:rPr>
      </w:pPr>
      <w:r>
        <w:rPr>
          <w:szCs w:val="22"/>
        </w:rPr>
        <w:t xml:space="preserve">If so, how detailed should the examples be and what kind of examples would be useful? </w:t>
      </w:r>
    </w:p>
    <w:p w:rsidRPr="0075489A" w:rsidR="00AB5783" w:rsidP="00AB5783" w:rsidRDefault="00AB5783" w14:paraId="0D3D6988" w14:textId="77777777">
      <w:pPr>
        <w:pStyle w:val="ListNumber2"/>
        <w:rPr>
          <w:szCs w:val="22"/>
        </w:rPr>
      </w:pPr>
      <w:r>
        <w:rPr>
          <w:szCs w:val="22"/>
        </w:rPr>
        <w:t>If not, is there another way of clarifying the purpose of the supports that you think would be preferable?</w:t>
      </w:r>
    </w:p>
    <w:p w:rsidR="00AB5783" w:rsidP="00AB5783" w:rsidRDefault="00AB5783" w14:paraId="0806323E" w14:textId="77777777"/>
    <w:p w:rsidRPr="001571C7" w:rsidR="00AB5783" w:rsidP="00AB5783" w:rsidRDefault="00AB5783" w14:paraId="70C231F6" w14:textId="77777777">
      <w:pPr>
        <w:pStyle w:val="Heading3"/>
        <w:rPr>
          <w:b w:val="0"/>
        </w:rPr>
      </w:pPr>
      <w:r>
        <w:t xml:space="preserve"> </w:t>
      </w:r>
    </w:p>
    <w:p w:rsidR="00AB5783" w:rsidP="00AB5783" w:rsidRDefault="00AB5783" w14:paraId="6503A878" w14:textId="77777777"/>
    <w:p w:rsidRPr="008D48C9" w:rsidR="00AB5783" w:rsidP="00AB5783" w:rsidRDefault="00AB5783" w14:paraId="5862F868" w14:textId="77777777">
      <w:pPr>
        <w:pStyle w:val="Paragraphtext"/>
        <w:sectPr w:rsidRPr="008D48C9" w:rsidR="00AB5783" w:rsidSect="00AB5783">
          <w:headerReference w:type="even" r:id="rId15"/>
          <w:headerReference w:type="default" r:id="rId16"/>
          <w:headerReference w:type="first" r:id="rId17"/>
          <w:footerReference w:type="first" r:id="rId18"/>
          <w:pgSz w:w="11906" w:h="16838" w:orient="portrait"/>
          <w:pgMar w:top="1701" w:right="1418" w:bottom="1418" w:left="1418" w:header="850" w:footer="709" w:gutter="0"/>
          <w:cols w:space="708"/>
          <w:titlePg/>
          <w:docGrid w:linePitch="360"/>
        </w:sectPr>
      </w:pPr>
    </w:p>
    <w:p w:rsidR="00AB5783" w:rsidP="00AB5783" w:rsidRDefault="00AB5783" w14:paraId="67E08E70" w14:textId="77777777">
      <w:r>
        <w:br w:type="page"/>
      </w:r>
    </w:p>
    <w:p w:rsidRPr="00610085" w:rsidR="00AB5783" w:rsidP="00AB5783" w:rsidRDefault="00AB5783" w14:paraId="2CC544AB" w14:textId="77777777">
      <w:pPr>
        <w:pStyle w:val="Heading3"/>
        <w:rPr>
          <w:bCs w:val="0"/>
        </w:rPr>
      </w:pPr>
      <w:r w:rsidRPr="00660E53">
        <w:rPr>
          <w:bCs w:val="0"/>
        </w:rPr>
        <w:t>Annexure A:</w:t>
      </w:r>
      <w:r w:rsidRPr="00610085">
        <w:rPr>
          <w:bCs w:val="0"/>
        </w:rPr>
        <w:t xml:space="preserve"> </w:t>
      </w:r>
      <w:r>
        <w:rPr>
          <w:bCs w:val="0"/>
        </w:rPr>
        <w:t xml:space="preserve">Relevant </w:t>
      </w:r>
      <w:r w:rsidRPr="00610085">
        <w:rPr>
          <w:bCs w:val="0"/>
        </w:rPr>
        <w:t>domains and sub domains</w:t>
      </w:r>
    </w:p>
    <w:p w:rsidR="00AB5783" w:rsidP="00AB5783" w:rsidRDefault="00AB5783" w14:paraId="26E80FC4" w14:textId="77777777"/>
    <w:tbl>
      <w:tblPr>
        <w:tblStyle w:val="TableGrid"/>
        <w:tblW w:w="0" w:type="auto"/>
        <w:tblLook w:val="04A0" w:firstRow="1" w:lastRow="0" w:firstColumn="1" w:lastColumn="0" w:noHBand="0" w:noVBand="1"/>
      </w:tblPr>
      <w:tblGrid>
        <w:gridCol w:w="2547"/>
        <w:gridCol w:w="5881"/>
      </w:tblGrid>
      <w:tr w:rsidRPr="00710D3E" w:rsidR="00AB5783" w:rsidTr="00BB5CCD" w14:paraId="353E0FB1" w14:textId="77777777">
        <w:trPr>
          <w:cantSplit/>
          <w:tblHeader/>
        </w:trPr>
        <w:tc>
          <w:tcPr>
            <w:tcW w:w="2547" w:type="dxa"/>
          </w:tcPr>
          <w:p w:rsidRPr="00710D3E" w:rsidR="00AB5783" w:rsidP="00BB5CCD" w:rsidRDefault="00AB5783" w14:paraId="2FB19C29" w14:textId="77777777">
            <w:pPr>
              <w:pStyle w:val="TableTitle"/>
            </w:pPr>
            <w:r w:rsidRPr="00710D3E">
              <w:t>Domain</w:t>
            </w:r>
          </w:p>
        </w:tc>
        <w:tc>
          <w:tcPr>
            <w:tcW w:w="5881" w:type="dxa"/>
          </w:tcPr>
          <w:p w:rsidRPr="00710D3E" w:rsidR="00AB5783" w:rsidP="00BB5CCD" w:rsidRDefault="00AB5783" w14:paraId="4BC08F16" w14:textId="77777777">
            <w:pPr>
              <w:pStyle w:val="TableTitle"/>
              <w:rPr>
                <w:b w:val="0"/>
                <w:bCs/>
              </w:rPr>
            </w:pPr>
            <w:r w:rsidRPr="009D0467">
              <w:t>Subdomains</w:t>
            </w:r>
          </w:p>
        </w:tc>
      </w:tr>
      <w:tr w:rsidRPr="00710D3E" w:rsidR="00AB5783" w:rsidTr="00BB5CCD" w14:paraId="4DD5F234" w14:textId="77777777">
        <w:tc>
          <w:tcPr>
            <w:tcW w:w="2547" w:type="dxa"/>
          </w:tcPr>
          <w:p w:rsidR="00AB5783" w:rsidP="00BB5CCD" w:rsidRDefault="00AB5783" w14:paraId="28ECC4D5" w14:textId="77777777">
            <w:pPr>
              <w:pStyle w:val="Tabletextleft"/>
            </w:pPr>
            <w:r>
              <w:t>Mobility</w:t>
            </w:r>
          </w:p>
        </w:tc>
        <w:tc>
          <w:tcPr>
            <w:tcW w:w="5881" w:type="dxa"/>
          </w:tcPr>
          <w:p w:rsidRPr="00710D3E" w:rsidR="00AB5783" w:rsidP="00BB5CCD" w:rsidRDefault="00AB5783" w14:paraId="1E47D674" w14:textId="77777777">
            <w:pPr>
              <w:pStyle w:val="Tabletextleft"/>
            </w:pPr>
            <w:r w:rsidRPr="00710D3E">
              <w:t>(a) transferring and positioning;</w:t>
            </w:r>
          </w:p>
          <w:p w:rsidRPr="00710D3E" w:rsidR="00AB5783" w:rsidP="00BB5CCD" w:rsidRDefault="00AB5783" w14:paraId="44FAE706" w14:textId="77777777">
            <w:pPr>
              <w:pStyle w:val="Tabletextleft"/>
            </w:pPr>
            <w:r w:rsidRPr="00710D3E">
              <w:t>(b) carrying, moving and handling objects;</w:t>
            </w:r>
          </w:p>
          <w:p w:rsidRPr="00710D3E" w:rsidR="00AB5783" w:rsidP="00BB5CCD" w:rsidRDefault="00AB5783" w14:paraId="687DA493" w14:textId="77777777">
            <w:pPr>
              <w:pStyle w:val="Tabletextleft"/>
            </w:pPr>
            <w:r w:rsidRPr="00710D3E">
              <w:t>(c) walking and moving;</w:t>
            </w:r>
          </w:p>
          <w:p w:rsidRPr="00710D3E" w:rsidR="00AB5783" w:rsidP="00BB5CCD" w:rsidRDefault="00AB5783" w14:paraId="371F7B9C" w14:textId="77777777">
            <w:pPr>
              <w:pStyle w:val="Tabletextleft"/>
            </w:pPr>
            <w:r w:rsidRPr="00710D3E">
              <w:t>(d) transport</w:t>
            </w:r>
          </w:p>
        </w:tc>
      </w:tr>
      <w:tr w:rsidRPr="00710D3E" w:rsidR="00AB5783" w:rsidTr="00BB5CCD" w14:paraId="0DE7581C" w14:textId="77777777">
        <w:tc>
          <w:tcPr>
            <w:tcW w:w="2547" w:type="dxa"/>
          </w:tcPr>
          <w:p w:rsidR="00AB5783" w:rsidP="00BB5CCD" w:rsidRDefault="00AB5783" w14:paraId="23B98943" w14:textId="77777777">
            <w:pPr>
              <w:pStyle w:val="Tabletextleft"/>
            </w:pPr>
            <w:r>
              <w:t>Domestic life</w:t>
            </w:r>
          </w:p>
        </w:tc>
        <w:tc>
          <w:tcPr>
            <w:tcW w:w="5881" w:type="dxa"/>
          </w:tcPr>
          <w:p w:rsidRPr="00710D3E" w:rsidR="00AB5783" w:rsidP="00BB5CCD" w:rsidRDefault="00AB5783" w14:paraId="1FD3970C" w14:textId="77777777">
            <w:pPr>
              <w:pStyle w:val="Tabletextleft"/>
            </w:pPr>
            <w:r w:rsidRPr="00710D3E">
              <w:t>(a) shopping;</w:t>
            </w:r>
          </w:p>
          <w:p w:rsidRPr="00710D3E" w:rsidR="00AB5783" w:rsidP="00BB5CCD" w:rsidRDefault="00AB5783" w14:paraId="13567AAF" w14:textId="77777777">
            <w:pPr>
              <w:pStyle w:val="Tabletextleft"/>
            </w:pPr>
            <w:r w:rsidRPr="00710D3E">
              <w:t>(b) cooking;</w:t>
            </w:r>
          </w:p>
          <w:p w:rsidRPr="00710D3E" w:rsidR="00AB5783" w:rsidP="00BB5CCD" w:rsidRDefault="00AB5783" w14:paraId="77AD3E73" w14:textId="77777777">
            <w:pPr>
              <w:pStyle w:val="Tabletextleft"/>
            </w:pPr>
            <w:r w:rsidRPr="00710D3E">
              <w:t>(c) cleaning and domestic tasks;</w:t>
            </w:r>
          </w:p>
          <w:p w:rsidRPr="00710D3E" w:rsidR="00AB5783" w:rsidP="00BB5CCD" w:rsidRDefault="00AB5783" w14:paraId="4C41A86E" w14:textId="77777777">
            <w:pPr>
              <w:pStyle w:val="Tabletextleft"/>
            </w:pPr>
            <w:r w:rsidRPr="00710D3E">
              <w:t>(d) household maintenance</w:t>
            </w:r>
          </w:p>
        </w:tc>
      </w:tr>
      <w:tr w:rsidRPr="00710D3E" w:rsidR="00AB5783" w:rsidTr="00BB5CCD" w14:paraId="144605CF" w14:textId="77777777">
        <w:tc>
          <w:tcPr>
            <w:tcW w:w="2547" w:type="dxa"/>
          </w:tcPr>
          <w:p w:rsidR="00AB5783" w:rsidP="00BB5CCD" w:rsidRDefault="00AB5783" w14:paraId="7F2BDCF8" w14:textId="77777777">
            <w:pPr>
              <w:pStyle w:val="Tabletextleft"/>
            </w:pPr>
            <w:r>
              <w:t>Self-care</w:t>
            </w:r>
          </w:p>
        </w:tc>
        <w:tc>
          <w:tcPr>
            <w:tcW w:w="5881" w:type="dxa"/>
          </w:tcPr>
          <w:p w:rsidRPr="00710D3E" w:rsidR="00AB5783" w:rsidP="00BB5CCD" w:rsidRDefault="00AB5783" w14:paraId="50C91C24" w14:textId="77777777">
            <w:pPr>
              <w:pStyle w:val="Tabletextleft"/>
            </w:pPr>
            <w:r w:rsidRPr="00710D3E">
              <w:t>(a) eating and drinking;</w:t>
            </w:r>
          </w:p>
          <w:p w:rsidRPr="00710D3E" w:rsidR="00AB5783" w:rsidP="00BB5CCD" w:rsidRDefault="00AB5783" w14:paraId="4E496945" w14:textId="77777777">
            <w:pPr>
              <w:pStyle w:val="Tabletextleft"/>
            </w:pPr>
            <w:r w:rsidRPr="00710D3E">
              <w:t>(b) personal care;</w:t>
            </w:r>
          </w:p>
          <w:p w:rsidRPr="00710D3E" w:rsidR="00AB5783" w:rsidP="00BB5CCD" w:rsidRDefault="00AB5783" w14:paraId="71584DE3" w14:textId="77777777">
            <w:pPr>
              <w:pStyle w:val="Tabletextleft"/>
            </w:pPr>
            <w:r w:rsidRPr="00710D3E">
              <w:t>(c) toileting;</w:t>
            </w:r>
          </w:p>
          <w:p w:rsidRPr="00710D3E" w:rsidR="00AB5783" w:rsidP="00BB5CCD" w:rsidRDefault="00AB5783" w14:paraId="63B0E4CA" w14:textId="77777777">
            <w:pPr>
              <w:pStyle w:val="Tabletextleft"/>
            </w:pPr>
            <w:r w:rsidRPr="00710D3E">
              <w:t>(d) dressing</w:t>
            </w:r>
          </w:p>
        </w:tc>
      </w:tr>
      <w:tr w:rsidRPr="00710D3E" w:rsidR="00AB5783" w:rsidTr="00BB5CCD" w14:paraId="00FD3F1F" w14:textId="77777777">
        <w:tc>
          <w:tcPr>
            <w:tcW w:w="2547" w:type="dxa"/>
          </w:tcPr>
          <w:p w:rsidR="00AB5783" w:rsidP="00BB5CCD" w:rsidRDefault="00AB5783" w14:paraId="5D59834E" w14:textId="77777777">
            <w:pPr>
              <w:pStyle w:val="Tabletextleft"/>
            </w:pPr>
            <w:r>
              <w:t>Community, social and civic life</w:t>
            </w:r>
          </w:p>
        </w:tc>
        <w:tc>
          <w:tcPr>
            <w:tcW w:w="5881" w:type="dxa"/>
          </w:tcPr>
          <w:p w:rsidRPr="00710D3E" w:rsidR="00AB5783" w:rsidP="00BB5CCD" w:rsidRDefault="00AB5783" w14:paraId="4E0F2E83" w14:textId="77777777">
            <w:pPr>
              <w:pStyle w:val="Tabletextleft"/>
            </w:pPr>
            <w:r w:rsidRPr="00710D3E">
              <w:t>(a) money and economic life;</w:t>
            </w:r>
          </w:p>
          <w:p w:rsidRPr="00710D3E" w:rsidR="00AB5783" w:rsidP="00BB5CCD" w:rsidRDefault="00AB5783" w14:paraId="37783600" w14:textId="77777777">
            <w:pPr>
              <w:pStyle w:val="Tabletextleft"/>
            </w:pPr>
            <w:r w:rsidRPr="00710D3E">
              <w:t>(b) community life;</w:t>
            </w:r>
          </w:p>
          <w:p w:rsidRPr="00710D3E" w:rsidR="00AB5783" w:rsidP="00BB5CCD" w:rsidRDefault="00AB5783" w14:paraId="19BC72BF" w14:textId="77777777">
            <w:pPr>
              <w:pStyle w:val="Tabletextleft"/>
            </w:pPr>
            <w:r w:rsidRPr="00710D3E">
              <w:t>(c) leisure and recreation;</w:t>
            </w:r>
          </w:p>
          <w:p w:rsidRPr="00710D3E" w:rsidR="00AB5783" w:rsidP="00BB5CCD" w:rsidRDefault="00AB5783" w14:paraId="6D8ACD92" w14:textId="77777777">
            <w:pPr>
              <w:pStyle w:val="Tabletextleft"/>
            </w:pPr>
            <w:r w:rsidRPr="00710D3E">
              <w:t>(d) advocacy</w:t>
            </w:r>
          </w:p>
        </w:tc>
      </w:tr>
      <w:tr w:rsidRPr="00710D3E" w:rsidR="00AB5783" w:rsidTr="00BB5CCD" w14:paraId="168D0F5E" w14:textId="77777777">
        <w:tc>
          <w:tcPr>
            <w:tcW w:w="2547" w:type="dxa"/>
          </w:tcPr>
          <w:p w:rsidR="00AB5783" w:rsidP="00BB5CCD" w:rsidRDefault="00AB5783" w14:paraId="0E6B3D17" w14:textId="77777777">
            <w:pPr>
              <w:pStyle w:val="Tabletextleft"/>
            </w:pPr>
            <w:r>
              <w:t>Communication</w:t>
            </w:r>
          </w:p>
        </w:tc>
        <w:tc>
          <w:tcPr>
            <w:tcW w:w="5881" w:type="dxa"/>
          </w:tcPr>
          <w:p w:rsidRPr="00710D3E" w:rsidR="00AB5783" w:rsidP="00BB5CCD" w:rsidRDefault="00AB5783" w14:paraId="43135101" w14:textId="77777777">
            <w:pPr>
              <w:pStyle w:val="Tabletextleft"/>
            </w:pPr>
            <w:r w:rsidRPr="00710D3E">
              <w:t>(a) receiving basic communication;</w:t>
            </w:r>
          </w:p>
          <w:p w:rsidRPr="00710D3E" w:rsidR="00AB5783" w:rsidP="00BB5CCD" w:rsidRDefault="00AB5783" w14:paraId="57177ACD" w14:textId="77777777">
            <w:pPr>
              <w:pStyle w:val="Tabletextleft"/>
            </w:pPr>
            <w:r w:rsidRPr="00710D3E">
              <w:t>(b) expressing basic communication;</w:t>
            </w:r>
          </w:p>
          <w:p w:rsidRPr="00710D3E" w:rsidR="00AB5783" w:rsidP="00BB5CCD" w:rsidRDefault="00AB5783" w14:paraId="3ACEEE21" w14:textId="77777777">
            <w:pPr>
              <w:pStyle w:val="Tabletextleft"/>
            </w:pPr>
            <w:r w:rsidRPr="00710D3E">
              <w:t>(c) feelings and emotions;</w:t>
            </w:r>
          </w:p>
          <w:p w:rsidRPr="00710D3E" w:rsidR="00AB5783" w:rsidP="00BB5CCD" w:rsidRDefault="00AB5783" w14:paraId="2F9231CB" w14:textId="77777777">
            <w:pPr>
              <w:pStyle w:val="Tabletextleft"/>
            </w:pPr>
            <w:r w:rsidRPr="00710D3E">
              <w:t>(d) conversations and complex communication</w:t>
            </w:r>
          </w:p>
        </w:tc>
      </w:tr>
      <w:tr w:rsidRPr="00710D3E" w:rsidR="00AB5783" w:rsidTr="00BB5CCD" w14:paraId="706BDC24" w14:textId="77777777">
        <w:tc>
          <w:tcPr>
            <w:tcW w:w="2547" w:type="dxa"/>
          </w:tcPr>
          <w:p w:rsidR="00AB5783" w:rsidP="00BB5CCD" w:rsidRDefault="00AB5783" w14:paraId="3C933BBA" w14:textId="77777777">
            <w:pPr>
              <w:pStyle w:val="Tabletextleft"/>
            </w:pPr>
            <w:r>
              <w:t>Learning and applying knowledge</w:t>
            </w:r>
          </w:p>
        </w:tc>
        <w:tc>
          <w:tcPr>
            <w:tcW w:w="5881" w:type="dxa"/>
          </w:tcPr>
          <w:p w:rsidRPr="00710D3E" w:rsidR="00AB5783" w:rsidP="00BB5CCD" w:rsidRDefault="00AB5783" w14:paraId="77671958" w14:textId="77777777">
            <w:pPr>
              <w:pStyle w:val="Tabletextleft"/>
            </w:pPr>
            <w:r w:rsidRPr="00710D3E">
              <w:t>(a) learning new tasks;</w:t>
            </w:r>
          </w:p>
          <w:p w:rsidRPr="00710D3E" w:rsidR="00AB5783" w:rsidP="00BB5CCD" w:rsidRDefault="00AB5783" w14:paraId="49444FD0" w14:textId="77777777">
            <w:pPr>
              <w:pStyle w:val="Tabletextleft"/>
            </w:pPr>
            <w:r w:rsidRPr="00710D3E">
              <w:t>(b) decision making;</w:t>
            </w:r>
          </w:p>
          <w:p w:rsidRPr="00710D3E" w:rsidR="00AB5783" w:rsidP="00BB5CCD" w:rsidRDefault="00AB5783" w14:paraId="5CB6A85E" w14:textId="77777777">
            <w:pPr>
              <w:pStyle w:val="Tabletextleft"/>
            </w:pPr>
            <w:r w:rsidRPr="00710D3E">
              <w:t>(c) literacy and numeracy;</w:t>
            </w:r>
          </w:p>
          <w:p w:rsidRPr="00710D3E" w:rsidR="00AB5783" w:rsidP="00BB5CCD" w:rsidRDefault="00AB5783" w14:paraId="6665F4C3" w14:textId="77777777">
            <w:pPr>
              <w:pStyle w:val="Tabletextleft"/>
            </w:pPr>
            <w:r w:rsidRPr="00710D3E">
              <w:t>(d) understanding time</w:t>
            </w:r>
          </w:p>
        </w:tc>
      </w:tr>
      <w:tr w:rsidRPr="00710D3E" w:rsidR="00AB5783" w:rsidTr="00BB5CCD" w14:paraId="30408B69" w14:textId="77777777">
        <w:tc>
          <w:tcPr>
            <w:tcW w:w="2547" w:type="dxa"/>
          </w:tcPr>
          <w:p w:rsidR="00AB5783" w:rsidP="00BB5CCD" w:rsidRDefault="00AB5783" w14:paraId="74E94238" w14:textId="77777777">
            <w:pPr>
              <w:pStyle w:val="Tabletextleft"/>
            </w:pPr>
            <w:r>
              <w:t>General tasks and demands</w:t>
            </w:r>
          </w:p>
        </w:tc>
        <w:tc>
          <w:tcPr>
            <w:tcW w:w="5881" w:type="dxa"/>
          </w:tcPr>
          <w:p w:rsidRPr="00710D3E" w:rsidR="00AB5783" w:rsidP="00BB5CCD" w:rsidRDefault="00AB5783" w14:paraId="339E42F9" w14:textId="77777777">
            <w:pPr>
              <w:pStyle w:val="Tabletextleft"/>
            </w:pPr>
            <w:r w:rsidRPr="00710D3E">
              <w:t>(a) daily routines;</w:t>
            </w:r>
          </w:p>
          <w:p w:rsidRPr="00710D3E" w:rsidR="00AB5783" w:rsidP="00BB5CCD" w:rsidRDefault="00AB5783" w14:paraId="597C2232" w14:textId="77777777">
            <w:pPr>
              <w:pStyle w:val="Tabletextleft"/>
            </w:pPr>
            <w:r w:rsidRPr="00710D3E">
              <w:t>(b) initiating and completing tasks;</w:t>
            </w:r>
          </w:p>
          <w:p w:rsidRPr="00710D3E" w:rsidR="00AB5783" w:rsidP="00BB5CCD" w:rsidRDefault="00AB5783" w14:paraId="0A38CCE8" w14:textId="77777777">
            <w:pPr>
              <w:pStyle w:val="Tabletextleft"/>
            </w:pPr>
            <w:r w:rsidRPr="00710D3E">
              <w:t>(c) managing medication;</w:t>
            </w:r>
          </w:p>
          <w:p w:rsidRPr="00710D3E" w:rsidR="00AB5783" w:rsidP="00BB5CCD" w:rsidRDefault="00AB5783" w14:paraId="4019939C" w14:textId="77777777">
            <w:pPr>
              <w:pStyle w:val="Tabletextleft"/>
            </w:pPr>
            <w:r w:rsidRPr="00710D3E">
              <w:t>(d) safety and risk abuse</w:t>
            </w:r>
          </w:p>
        </w:tc>
      </w:tr>
      <w:tr w:rsidRPr="00710D3E" w:rsidR="00AB5783" w:rsidTr="00BB5CCD" w14:paraId="4BC93A5D" w14:textId="77777777">
        <w:tc>
          <w:tcPr>
            <w:tcW w:w="2547" w:type="dxa"/>
          </w:tcPr>
          <w:p w:rsidR="00AB5783" w:rsidP="00BB5CCD" w:rsidRDefault="00AB5783" w14:paraId="3730F66A" w14:textId="77777777">
            <w:pPr>
              <w:pStyle w:val="Tabletextleft"/>
            </w:pPr>
            <w:r>
              <w:t>Life</w:t>
            </w:r>
            <w:r>
              <w:noBreakHyphen/>
              <w:t>long learning</w:t>
            </w:r>
          </w:p>
        </w:tc>
        <w:tc>
          <w:tcPr>
            <w:tcW w:w="5881" w:type="dxa"/>
          </w:tcPr>
          <w:p w:rsidRPr="00710D3E" w:rsidR="00AB5783" w:rsidP="00BB5CCD" w:rsidRDefault="00AB5783" w14:paraId="6C6A0DFB" w14:textId="77777777">
            <w:pPr>
              <w:pStyle w:val="Tabletextleft"/>
            </w:pPr>
            <w:r w:rsidRPr="00710D3E">
              <w:t>(a) finding, choosing and applying;</w:t>
            </w:r>
          </w:p>
          <w:p w:rsidRPr="00710D3E" w:rsidR="00AB5783" w:rsidP="00BB5CCD" w:rsidRDefault="00AB5783" w14:paraId="3BA74F58" w14:textId="77777777">
            <w:pPr>
              <w:pStyle w:val="Tabletextleft"/>
            </w:pPr>
            <w:r w:rsidRPr="00710D3E">
              <w:t>(b) punctuality and preparation;</w:t>
            </w:r>
          </w:p>
          <w:p w:rsidRPr="00710D3E" w:rsidR="00AB5783" w:rsidP="00BB5CCD" w:rsidRDefault="00AB5783" w14:paraId="1C9BB1DF" w14:textId="77777777">
            <w:pPr>
              <w:pStyle w:val="Tabletextleft"/>
            </w:pPr>
            <w:r w:rsidRPr="00710D3E">
              <w:t>(c) doing the job or participating in learning;</w:t>
            </w:r>
          </w:p>
          <w:p w:rsidRPr="00710D3E" w:rsidR="00AB5783" w:rsidP="00BB5CCD" w:rsidRDefault="00AB5783" w14:paraId="1C0375C1" w14:textId="77777777">
            <w:pPr>
              <w:pStyle w:val="Tabletextleft"/>
            </w:pPr>
            <w:r w:rsidRPr="00710D3E">
              <w:t>(d) after hours</w:t>
            </w:r>
          </w:p>
        </w:tc>
      </w:tr>
      <w:tr w:rsidRPr="00710D3E" w:rsidR="00AB5783" w:rsidTr="00BB5CCD" w14:paraId="61B8188F" w14:textId="77777777">
        <w:tc>
          <w:tcPr>
            <w:tcW w:w="2547" w:type="dxa"/>
          </w:tcPr>
          <w:p w:rsidR="00AB5783" w:rsidP="00BB5CCD" w:rsidRDefault="00AB5783" w14:paraId="01D0E60B" w14:textId="77777777">
            <w:pPr>
              <w:pStyle w:val="Tabletextleft"/>
            </w:pPr>
            <w:r>
              <w:t>Interpersonal interactions and relationships</w:t>
            </w:r>
          </w:p>
        </w:tc>
        <w:tc>
          <w:tcPr>
            <w:tcW w:w="5881" w:type="dxa"/>
          </w:tcPr>
          <w:p w:rsidRPr="00710D3E" w:rsidR="00AB5783" w:rsidP="00BB5CCD" w:rsidRDefault="00AB5783" w14:paraId="4615E8D2" w14:textId="77777777">
            <w:pPr>
              <w:pStyle w:val="Tabletextleft"/>
            </w:pPr>
            <w:r w:rsidRPr="00710D3E">
              <w:t>(a) social skills;</w:t>
            </w:r>
          </w:p>
          <w:p w:rsidRPr="00710D3E" w:rsidR="00AB5783" w:rsidP="00BB5CCD" w:rsidRDefault="00AB5783" w14:paraId="51919C4D" w14:textId="77777777">
            <w:pPr>
              <w:pStyle w:val="Tabletextleft"/>
            </w:pPr>
            <w:r w:rsidRPr="00710D3E">
              <w:t>(b) seeking assistance and cooperating;</w:t>
            </w:r>
          </w:p>
          <w:p w:rsidRPr="00710D3E" w:rsidR="00AB5783" w:rsidP="00BB5CCD" w:rsidRDefault="00AB5783" w14:paraId="5A2628E9" w14:textId="77777777">
            <w:pPr>
              <w:pStyle w:val="Tabletextleft"/>
            </w:pPr>
            <w:r w:rsidRPr="00710D3E">
              <w:t>(c) managing relationships;</w:t>
            </w:r>
          </w:p>
          <w:p w:rsidRPr="00710D3E" w:rsidR="00AB5783" w:rsidP="00BB5CCD" w:rsidRDefault="00AB5783" w14:paraId="04FC64EA" w14:textId="77777777">
            <w:pPr>
              <w:pStyle w:val="Tabletextleft"/>
            </w:pPr>
            <w:r w:rsidRPr="00710D3E">
              <w:t>(d) intimate and dependent relationships</w:t>
            </w:r>
          </w:p>
        </w:tc>
      </w:tr>
    </w:tbl>
    <w:p w:rsidRPr="001F2F78" w:rsidR="0051242B" w:rsidP="00AB5783" w:rsidRDefault="0051242B" w14:paraId="4095F4DA" w14:textId="09436422">
      <w:pPr>
        <w:pStyle w:val="Heading1"/>
      </w:pPr>
    </w:p>
    <w:sectPr w:rsidRPr="001F2F78" w:rsidR="0051242B" w:rsidSect="00AB5783">
      <w:headerReference w:type="even" r:id="rId19"/>
      <w:headerReference w:type="default" r:id="rId20"/>
      <w:footerReference w:type="default" r:id="rId21"/>
      <w:headerReference w:type="first" r:id="rId22"/>
      <w:type w:val="continuous"/>
      <w:pgSz w:w="11906" w:h="16838" w:orient="portrait"/>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A01" w:rsidP="00934368" w:rsidRDefault="00272A01" w14:paraId="6618BB5E" w14:textId="77777777">
      <w:r>
        <w:separator/>
      </w:r>
    </w:p>
    <w:p w:rsidR="00272A01" w:rsidP="00934368" w:rsidRDefault="00272A01" w14:paraId="5DD905A6" w14:textId="77777777"/>
  </w:endnote>
  <w:endnote w:type="continuationSeparator" w:id="0">
    <w:p w:rsidR="00272A01" w:rsidP="00934368" w:rsidRDefault="00272A01" w14:paraId="376CDA1A" w14:textId="77777777">
      <w:r>
        <w:continuationSeparator/>
      </w:r>
    </w:p>
    <w:p w:rsidR="00272A01" w:rsidP="00934368" w:rsidRDefault="00272A01" w14:paraId="65F7E72B" w14:textId="77777777"/>
  </w:endnote>
  <w:endnote w:type="continuationNotice" w:id="1">
    <w:p w:rsidR="00272A01" w:rsidP="00934368" w:rsidRDefault="00272A01" w14:paraId="3DF90C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80320"/>
      <w:docPartObj>
        <w:docPartGallery w:val="Page Numbers (Bottom of Page)"/>
        <w:docPartUnique/>
      </w:docPartObj>
    </w:sdtPr>
    <w:sdtEndPr/>
    <w:sdtContent>
      <w:p w:rsidR="00BE0E8D" w:rsidRDefault="00BE0E8D" w14:paraId="5FAFDCE1" w14:textId="3E16DA0E">
        <w:pPr>
          <w:pStyle w:val="Footer"/>
        </w:pPr>
        <w:r>
          <w:fldChar w:fldCharType="begin"/>
        </w:r>
        <w:r>
          <w:instrText>PAGE   \* MERGEFORMAT</w:instrText>
        </w:r>
        <w:r>
          <w:fldChar w:fldCharType="separate"/>
        </w:r>
        <w:r>
          <w:rPr>
            <w:lang w:val="en-GB"/>
          </w:rPr>
          <w:t>2</w:t>
        </w:r>
        <w:r>
          <w:fldChar w:fldCharType="end"/>
        </w:r>
      </w:p>
    </w:sdtContent>
  </w:sdt>
  <w:p w:rsidR="00715110" w:rsidP="00BE0E8D" w:rsidRDefault="00BE0E8D" w14:paraId="29414C07" w14:textId="6DBF610C">
    <w:pPr>
      <w:pStyle w:val="Footer"/>
      <w:tabs>
        <w:tab w:val="left" w:pos="1005"/>
      </w:tabs>
      <w:jc w:val="left"/>
    </w:pPr>
    <w:r>
      <w:rPr>
        <w:szCs w:val="20"/>
      </w:rPr>
      <w:t>Defining Therapy Supports</w:t>
    </w:r>
    <w:r w:rsidRPr="00751A23">
      <w:rPr>
        <w:szCs w:val="20"/>
      </w:rPr>
      <w:t xml:space="preserve"> </w:t>
    </w:r>
    <w:r>
      <w:rPr>
        <w:szCs w:val="20"/>
      </w:rPr>
      <w:t>– Consultation with Allied Health Sector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E3355" w:rsidR="00AB5783" w:rsidP="00751A23" w:rsidRDefault="00AB5783" w14:paraId="56069FE9" w14:textId="77777777">
    <w:pPr>
      <w:pStyle w:val="Footer"/>
    </w:pPr>
    <w:r>
      <w:rPr>
        <w:szCs w:val="20"/>
      </w:rPr>
      <w:t>Defining Therapy Supports</w:t>
    </w:r>
    <w:r w:rsidRPr="00751A23">
      <w:rPr>
        <w:szCs w:val="20"/>
      </w:rPr>
      <w:t xml:space="preserve"> </w:t>
    </w:r>
    <w:r>
      <w:rPr>
        <w:szCs w:val="20"/>
      </w:rPr>
      <w:t>– Consultation with Allied Health Sector</w:t>
    </w:r>
    <w:r w:rsidRPr="00751A23">
      <w:rPr>
        <w:szCs w:val="20"/>
      </w:rPr>
      <w:tab/>
    </w:r>
    <w:r w:rsidRPr="00660E53">
      <w:rPr>
        <w:szCs w:val="20"/>
      </w:rPr>
      <w:fldChar w:fldCharType="begin"/>
    </w:r>
    <w:r w:rsidRPr="00660E53">
      <w:rPr>
        <w:szCs w:val="20"/>
      </w:rPr>
      <w:instrText>PAGE   \* MERGEFORMAT</w:instrText>
    </w:r>
    <w:r w:rsidRPr="00660E53">
      <w:rPr>
        <w:szCs w:val="20"/>
      </w:rPr>
      <w:fldChar w:fldCharType="separate"/>
    </w:r>
    <w:r w:rsidRPr="00660E53">
      <w:rPr>
        <w:szCs w:val="20"/>
        <w:lang w:val="en-GB"/>
      </w:rPr>
      <w:t>1</w:t>
    </w:r>
    <w:r w:rsidRPr="00660E53">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1A23" w:rsidR="00AB5783" w:rsidP="00751A23" w:rsidRDefault="00AB5783" w14:paraId="3933018B" w14:textId="61178DCE">
    <w:pPr>
      <w:pStyle w:val="Footer"/>
      <w:rPr>
        <w:szCs w:val="20"/>
      </w:rPr>
    </w:pPr>
    <w:r>
      <w:rPr>
        <w:szCs w:val="20"/>
      </w:rPr>
      <w:t>Defining Therapy Supports</w:t>
    </w:r>
    <w:r w:rsidRPr="00751A23">
      <w:rPr>
        <w:szCs w:val="20"/>
      </w:rPr>
      <w:t xml:space="preserve"> </w:t>
    </w:r>
    <w:r>
      <w:rPr>
        <w:szCs w:val="20"/>
      </w:rPr>
      <w:t>– Consultation with Allied Health Sector</w:t>
    </w:r>
    <w:r w:rsidRPr="00751A23">
      <w:rPr>
        <w:szCs w:val="20"/>
      </w:rPr>
      <w:tab/>
    </w:r>
    <w:r w:rsidRPr="00660E53">
      <w:rPr>
        <w:szCs w:val="20"/>
      </w:rPr>
      <w:fldChar w:fldCharType="begin"/>
    </w:r>
    <w:r w:rsidRPr="00660E53">
      <w:rPr>
        <w:szCs w:val="20"/>
      </w:rPr>
      <w:instrText>PAGE   \* MERGEFORMAT</w:instrText>
    </w:r>
    <w:r w:rsidRPr="00660E53">
      <w:rPr>
        <w:szCs w:val="20"/>
      </w:rPr>
      <w:fldChar w:fldCharType="separate"/>
    </w:r>
    <w:r>
      <w:rPr>
        <w:szCs w:val="20"/>
      </w:rPr>
      <w:t>2</w:t>
    </w:r>
    <w:r w:rsidRPr="00660E53">
      <w:rPr>
        <w:szCs w:val="20"/>
      </w:rPr>
      <w:fldChar w:fldCharType="end"/>
    </w:r>
    <w:sdt>
      <w:sdtPr>
        <w:rPr>
          <w:szCs w:val="20"/>
        </w:rPr>
        <w:id w:val="-443848716"/>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A01" w:rsidP="00934368" w:rsidRDefault="00272A01" w14:paraId="2242B9B4" w14:textId="77777777">
      <w:r>
        <w:separator/>
      </w:r>
    </w:p>
    <w:p w:rsidR="00272A01" w:rsidP="00934368" w:rsidRDefault="00272A01" w14:paraId="74DAE6E2" w14:textId="77777777"/>
  </w:footnote>
  <w:footnote w:type="continuationSeparator" w:id="0">
    <w:p w:rsidR="00272A01" w:rsidP="00934368" w:rsidRDefault="00272A01" w14:paraId="658080ED" w14:textId="77777777">
      <w:r>
        <w:continuationSeparator/>
      </w:r>
    </w:p>
    <w:p w:rsidR="00272A01" w:rsidP="00934368" w:rsidRDefault="00272A01" w14:paraId="0DDEF265" w14:textId="77777777"/>
  </w:footnote>
  <w:footnote w:type="continuationNotice" w:id="1">
    <w:p w:rsidR="00272A01" w:rsidP="00934368" w:rsidRDefault="00272A01" w14:paraId="22D1EA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51A23" w:rsidP="00934368" w:rsidRDefault="00751A23" w14:paraId="48EF8657" w14:textId="77777777">
    <w:pPr>
      <w:pStyle w:val="Header"/>
    </w:pPr>
    <w:r>
      <w:rPr>
        <w:noProof/>
        <w:lang w:eastAsia="en-AU"/>
      </w:rPr>
      <w:drawing>
        <wp:anchor distT="0" distB="0" distL="114300" distR="114300" simplePos="0" relativeHeight="251658240" behindDoc="1" locked="0" layoutInCell="1" allowOverlap="1" wp14:anchorId="13BF03FD" wp14:editId="2208CADE">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83" w:rsidRDefault="00AB5783" w14:paraId="183DBC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83" w:rsidRDefault="00AB5783" w14:paraId="6DA0C7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83" w:rsidRDefault="00AB5783" w14:paraId="54CB8CF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83" w:rsidRDefault="00AB5783" w14:paraId="21F693E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83" w:rsidP="008E0C77" w:rsidRDefault="00AB5783" w14:paraId="7F206D92" w14:textId="77777777">
    <w:pPr>
      <w:pStyle w:val="Headertext"/>
      <w:spacing w:after="18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83" w:rsidRDefault="00AB5783" w14:paraId="4451E6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085032849">
    <w:abstractNumId w:val="7"/>
  </w:num>
  <w:num w:numId="2" w16cid:durableId="1487239672">
    <w:abstractNumId w:val="15"/>
  </w:num>
  <w:num w:numId="3" w16cid:durableId="1111165562">
    <w:abstractNumId w:val="17"/>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3"/>
  </w:num>
  <w:num w:numId="8" w16cid:durableId="1364792563">
    <w:abstractNumId w:val="1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18"/>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18"/>
  </w:num>
  <w:num w:numId="23" w16cid:durableId="759183430">
    <w:abstractNumId w:val="15"/>
  </w:num>
  <w:num w:numId="24" w16cid:durableId="936640889">
    <w:abstractNumId w:val="17"/>
  </w:num>
  <w:num w:numId="25" w16cid:durableId="682364219">
    <w:abstractNumId w:val="8"/>
  </w:num>
  <w:num w:numId="26" w16cid:durableId="2122454649">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0F7026"/>
    <w:rsid w:val="0010616D"/>
    <w:rsid w:val="00110478"/>
    <w:rsid w:val="0011711B"/>
    <w:rsid w:val="00117F8A"/>
    <w:rsid w:val="00121B9B"/>
    <w:rsid w:val="00122ADC"/>
    <w:rsid w:val="00130F59"/>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A79FD"/>
    <w:rsid w:val="001B15D3"/>
    <w:rsid w:val="001B3443"/>
    <w:rsid w:val="001C0326"/>
    <w:rsid w:val="001C192F"/>
    <w:rsid w:val="001C3C42"/>
    <w:rsid w:val="001D7869"/>
    <w:rsid w:val="001F2F78"/>
    <w:rsid w:val="001F5771"/>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2A01"/>
    <w:rsid w:val="0027330B"/>
    <w:rsid w:val="002803AD"/>
    <w:rsid w:val="00282052"/>
    <w:rsid w:val="0028519E"/>
    <w:rsid w:val="002856A5"/>
    <w:rsid w:val="002872ED"/>
    <w:rsid w:val="002905C2"/>
    <w:rsid w:val="00295AF2"/>
    <w:rsid w:val="00295C91"/>
    <w:rsid w:val="00297151"/>
    <w:rsid w:val="002A0910"/>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C67BB"/>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24107"/>
    <w:rsid w:val="00424CFA"/>
    <w:rsid w:val="0042556C"/>
    <w:rsid w:val="00432378"/>
    <w:rsid w:val="00440D65"/>
    <w:rsid w:val="004435E6"/>
    <w:rsid w:val="004442EE"/>
    <w:rsid w:val="00447E31"/>
    <w:rsid w:val="00453923"/>
    <w:rsid w:val="00454B9B"/>
    <w:rsid w:val="00457858"/>
    <w:rsid w:val="00460B0B"/>
    <w:rsid w:val="00461023"/>
    <w:rsid w:val="00462FAC"/>
    <w:rsid w:val="00464631"/>
    <w:rsid w:val="00464B79"/>
    <w:rsid w:val="00467BBF"/>
    <w:rsid w:val="00485808"/>
    <w:rsid w:val="004867E2"/>
    <w:rsid w:val="0049224A"/>
    <w:rsid w:val="004929A9"/>
    <w:rsid w:val="004C2FEC"/>
    <w:rsid w:val="004C6BCF"/>
    <w:rsid w:val="004D58BF"/>
    <w:rsid w:val="004E4335"/>
    <w:rsid w:val="004E5ACF"/>
    <w:rsid w:val="004F13EE"/>
    <w:rsid w:val="004F2022"/>
    <w:rsid w:val="004F7C05"/>
    <w:rsid w:val="00501C94"/>
    <w:rsid w:val="00506432"/>
    <w:rsid w:val="0051242B"/>
    <w:rsid w:val="00516620"/>
    <w:rsid w:val="0052051D"/>
    <w:rsid w:val="00545EE6"/>
    <w:rsid w:val="005550E7"/>
    <w:rsid w:val="005564FB"/>
    <w:rsid w:val="005572C7"/>
    <w:rsid w:val="005650ED"/>
    <w:rsid w:val="00575754"/>
    <w:rsid w:val="00591E20"/>
    <w:rsid w:val="00595408"/>
    <w:rsid w:val="00595E84"/>
    <w:rsid w:val="00597D79"/>
    <w:rsid w:val="005A0C59"/>
    <w:rsid w:val="005A48EB"/>
    <w:rsid w:val="005A6CFB"/>
    <w:rsid w:val="005C5AEB"/>
    <w:rsid w:val="005D7F5C"/>
    <w:rsid w:val="005E0A3F"/>
    <w:rsid w:val="005E6883"/>
    <w:rsid w:val="005E772F"/>
    <w:rsid w:val="005F4ECA"/>
    <w:rsid w:val="006041BE"/>
    <w:rsid w:val="006043C7"/>
    <w:rsid w:val="00615734"/>
    <w:rsid w:val="00624B52"/>
    <w:rsid w:val="00631DF4"/>
    <w:rsid w:val="00634175"/>
    <w:rsid w:val="006408AC"/>
    <w:rsid w:val="006511B6"/>
    <w:rsid w:val="00652742"/>
    <w:rsid w:val="00657FF8"/>
    <w:rsid w:val="00670D99"/>
    <w:rsid w:val="00670E2B"/>
    <w:rsid w:val="00672743"/>
    <w:rsid w:val="006734BB"/>
    <w:rsid w:val="00681A34"/>
    <w:rsid w:val="006821EB"/>
    <w:rsid w:val="006B2286"/>
    <w:rsid w:val="006B56BB"/>
    <w:rsid w:val="006C77A8"/>
    <w:rsid w:val="006D4098"/>
    <w:rsid w:val="006D7681"/>
    <w:rsid w:val="006D7B2E"/>
    <w:rsid w:val="006E02EA"/>
    <w:rsid w:val="006E0968"/>
    <w:rsid w:val="006E2AF6"/>
    <w:rsid w:val="006F1DFD"/>
    <w:rsid w:val="00701275"/>
    <w:rsid w:val="00707F56"/>
    <w:rsid w:val="00713558"/>
    <w:rsid w:val="00715110"/>
    <w:rsid w:val="00720D08"/>
    <w:rsid w:val="007263B9"/>
    <w:rsid w:val="007334F8"/>
    <w:rsid w:val="007339CD"/>
    <w:rsid w:val="007359D8"/>
    <w:rsid w:val="007362D4"/>
    <w:rsid w:val="00751A23"/>
    <w:rsid w:val="00757AF0"/>
    <w:rsid w:val="0076672A"/>
    <w:rsid w:val="00775E45"/>
    <w:rsid w:val="00776E74"/>
    <w:rsid w:val="00785169"/>
    <w:rsid w:val="007954AB"/>
    <w:rsid w:val="007A14C5"/>
    <w:rsid w:val="007A3E38"/>
    <w:rsid w:val="007A4A10"/>
    <w:rsid w:val="007B1760"/>
    <w:rsid w:val="007B3D03"/>
    <w:rsid w:val="007C27E2"/>
    <w:rsid w:val="007C6D9C"/>
    <w:rsid w:val="007C7DDB"/>
    <w:rsid w:val="007D2CC7"/>
    <w:rsid w:val="007D673D"/>
    <w:rsid w:val="007F2220"/>
    <w:rsid w:val="007F4B3E"/>
    <w:rsid w:val="007F5806"/>
    <w:rsid w:val="007F588A"/>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4368"/>
    <w:rsid w:val="00945E7F"/>
    <w:rsid w:val="009557C1"/>
    <w:rsid w:val="00960D6E"/>
    <w:rsid w:val="00972BC1"/>
    <w:rsid w:val="00974B59"/>
    <w:rsid w:val="00975A58"/>
    <w:rsid w:val="0098340B"/>
    <w:rsid w:val="00986830"/>
    <w:rsid w:val="009924C3"/>
    <w:rsid w:val="00993102"/>
    <w:rsid w:val="009A767E"/>
    <w:rsid w:val="009C4A39"/>
    <w:rsid w:val="009C6F10"/>
    <w:rsid w:val="009D148F"/>
    <w:rsid w:val="009D3D70"/>
    <w:rsid w:val="009E6F7E"/>
    <w:rsid w:val="009E7A57"/>
    <w:rsid w:val="009F4F6A"/>
    <w:rsid w:val="00A04084"/>
    <w:rsid w:val="00A16E36"/>
    <w:rsid w:val="00A24961"/>
    <w:rsid w:val="00A24B10"/>
    <w:rsid w:val="00A24FFE"/>
    <w:rsid w:val="00A30E9B"/>
    <w:rsid w:val="00A4512D"/>
    <w:rsid w:val="00A50244"/>
    <w:rsid w:val="00A56F17"/>
    <w:rsid w:val="00A627D7"/>
    <w:rsid w:val="00A656C7"/>
    <w:rsid w:val="00A67F3A"/>
    <w:rsid w:val="00A705AF"/>
    <w:rsid w:val="00A72454"/>
    <w:rsid w:val="00A74345"/>
    <w:rsid w:val="00A77696"/>
    <w:rsid w:val="00A80557"/>
    <w:rsid w:val="00A81D33"/>
    <w:rsid w:val="00A930AE"/>
    <w:rsid w:val="00AA1A95"/>
    <w:rsid w:val="00AA260F"/>
    <w:rsid w:val="00AB1EE7"/>
    <w:rsid w:val="00AB4B37"/>
    <w:rsid w:val="00AB5762"/>
    <w:rsid w:val="00AB5783"/>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5AC7"/>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BE0E8D"/>
    <w:rsid w:val="00BF7AD7"/>
    <w:rsid w:val="00C00930"/>
    <w:rsid w:val="00C060AD"/>
    <w:rsid w:val="00C0670D"/>
    <w:rsid w:val="00C113BF"/>
    <w:rsid w:val="00C2176E"/>
    <w:rsid w:val="00C23430"/>
    <w:rsid w:val="00C27D67"/>
    <w:rsid w:val="00C34C06"/>
    <w:rsid w:val="00C4631F"/>
    <w:rsid w:val="00C50E16"/>
    <w:rsid w:val="00C55258"/>
    <w:rsid w:val="00C82EEB"/>
    <w:rsid w:val="00C971DC"/>
    <w:rsid w:val="00CA16B7"/>
    <w:rsid w:val="00CA4BE3"/>
    <w:rsid w:val="00CA61BA"/>
    <w:rsid w:val="00CA62AE"/>
    <w:rsid w:val="00CB5B1A"/>
    <w:rsid w:val="00CC220B"/>
    <w:rsid w:val="00CC5C43"/>
    <w:rsid w:val="00CD02AE"/>
    <w:rsid w:val="00CD2A4F"/>
    <w:rsid w:val="00CE03CA"/>
    <w:rsid w:val="00CE22F1"/>
    <w:rsid w:val="00CE50F2"/>
    <w:rsid w:val="00CE6502"/>
    <w:rsid w:val="00CF7D3C"/>
    <w:rsid w:val="00D03933"/>
    <w:rsid w:val="00D147EB"/>
    <w:rsid w:val="00D34667"/>
    <w:rsid w:val="00D401E1"/>
    <w:rsid w:val="00D408B4"/>
    <w:rsid w:val="00D423B1"/>
    <w:rsid w:val="00D45D94"/>
    <w:rsid w:val="00D524C8"/>
    <w:rsid w:val="00D60E25"/>
    <w:rsid w:val="00D70E24"/>
    <w:rsid w:val="00D72B61"/>
    <w:rsid w:val="00DA3D1D"/>
    <w:rsid w:val="00DB0138"/>
    <w:rsid w:val="00DB6286"/>
    <w:rsid w:val="00DB645F"/>
    <w:rsid w:val="00DB76E9"/>
    <w:rsid w:val="00DC0A67"/>
    <w:rsid w:val="00DC1D5E"/>
    <w:rsid w:val="00DC2313"/>
    <w:rsid w:val="00DC5220"/>
    <w:rsid w:val="00DC7910"/>
    <w:rsid w:val="00DD2061"/>
    <w:rsid w:val="00DD6D73"/>
    <w:rsid w:val="00DD7DAB"/>
    <w:rsid w:val="00DE3355"/>
    <w:rsid w:val="00DF486F"/>
    <w:rsid w:val="00DF5B5B"/>
    <w:rsid w:val="00DF7619"/>
    <w:rsid w:val="00E042D8"/>
    <w:rsid w:val="00E07EE7"/>
    <w:rsid w:val="00E1073D"/>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93F08"/>
    <w:rsid w:val="00F94CED"/>
    <w:rsid w:val="00FA2CEE"/>
    <w:rsid w:val="00FA318C"/>
    <w:rsid w:val="00FB6F92"/>
    <w:rsid w:val="00FC026E"/>
    <w:rsid w:val="00FC0566"/>
    <w:rsid w:val="00FC5124"/>
    <w:rsid w:val="00FD4731"/>
    <w:rsid w:val="00FF0AB0"/>
    <w:rsid w:val="00FF28AC"/>
    <w:rsid w:val="00FF7F62"/>
    <w:rsid w:val="0D680BC6"/>
    <w:rsid w:val="63A29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0DE24E5E-CE19-4DF7-8CC5-AF9C1C20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BF7AD7"/>
    <w:rPr>
      <w:rFonts w:ascii="Arial" w:hAnsi="Arial" w:eastAsiaTheme="majorEastAsia"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rsid w:val="00BF7AD7"/>
    <w:rPr>
      <w:rFonts w:ascii="Arial" w:hAnsi="Arial" w:eastAsiaTheme="majorEastAsia"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BF7AD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BF7AD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BF7AD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BF7AD7"/>
    <w:rPr>
      <w:rFonts w:ascii="Arial" w:hAnsi="Arial"/>
      <w:szCs w:val="24"/>
      <w:lang w:eastAsia="en-US"/>
    </w:rPr>
  </w:style>
  <w:style w:type="paragraph" w:styleId="TableHeaderWhite" w:customStyle="1">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pPr>
      <w:spacing w:before="60"/>
    </w:pPr>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styleId="PHNGreyTable" w:customStyle="1">
    <w:name w:val="PHN Grey Table"/>
    <w:basedOn w:val="TableNormal"/>
    <w:uiPriority w:val="99"/>
    <w:rsid w:val="00BF7AD7"/>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BF7AD7"/>
    <w:pPr>
      <w:numPr>
        <w:numId w:val="24"/>
      </w:numPr>
    </w:pPr>
    <w:rPr>
      <w:szCs w:val="20"/>
    </w:rPr>
  </w:style>
  <w:style w:type="paragraph" w:styleId="Tablelistnumber" w:customStyle="1">
    <w:name w:val="Table list number"/>
    <w:basedOn w:val="Tabletextleft"/>
    <w:qFormat/>
    <w:rsid w:val="00BF7AD7"/>
    <w:pPr>
      <w:numPr>
        <w:numId w:val="25"/>
      </w:numPr>
    </w:pPr>
    <w:rPr>
      <w:bCs/>
      <w14:numSpacing w14:val="proportional"/>
    </w:rPr>
  </w:style>
  <w:style w:type="paragraph" w:styleId="TableHeader" w:customStyle="1">
    <w:name w:val="Table Header"/>
    <w:basedOn w:val="Normal"/>
    <w:next w:val="Tabletextleft"/>
    <w:qFormat/>
    <w:rsid w:val="00BF7AD7"/>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styleId="VisionBox" w:customStyle="1">
    <w:name w:val="VisionBox"/>
    <w:basedOn w:val="Normal"/>
    <w:qFormat/>
    <w:rsid w:val="00BF7AD7"/>
    <w:pPr>
      <w:pBdr>
        <w:top w:val="single" w:color="358189" w:sz="4" w:space="15"/>
        <w:bottom w:val="single" w:color="358189" w:sz="4" w:space="10"/>
      </w:pBdr>
      <w:spacing w:before="240" w:after="240" w:line="340" w:lineRule="exact"/>
    </w:pPr>
    <w:rPr>
      <w:rFonts w:eastAsiaTheme="minorHAnsi"/>
      <w:color w:val="358189"/>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BF7AD7"/>
    <w:rPr>
      <w:rFonts w:ascii="Arial" w:hAnsi="Arial"/>
      <w:b/>
      <w:color w:val="000000" w:themeColor="text1"/>
      <w:sz w:val="22"/>
      <w:szCs w:val="24"/>
      <w:lang w:val="en-US" w:eastAsia="en-US"/>
    </w:rPr>
  </w:style>
  <w:style w:type="paragraph" w:styleId="IntroPara" w:customStyle="1">
    <w:name w:val="Intro Para"/>
    <w:basedOn w:val="Normal"/>
    <w:next w:val="Normal"/>
    <w:qFormat/>
    <w:rsid w:val="00BF7AD7"/>
    <w:pPr>
      <w:spacing w:before="480" w:line="400" w:lineRule="exact"/>
    </w:pPr>
    <w:rPr>
      <w:color w:val="358189"/>
      <w:sz w:val="28"/>
    </w:rPr>
  </w:style>
  <w:style w:type="paragraph" w:styleId="TableTextright" w:customStyle="1">
    <w:name w:val="Table Text right"/>
    <w:basedOn w:val="Tabletextleft"/>
    <w:rsid w:val="00BF7AD7"/>
    <w:pPr>
      <w:jc w:val="right"/>
    </w:pPr>
  </w:style>
  <w:style w:type="paragraph" w:styleId="Tabletextright0"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ype"/>
    <w:qFormat/>
    <w:rsid w:val="00BF7AD7"/>
    <w:pPr>
      <w:spacing w:before="240"/>
    </w:pPr>
    <w:rPr>
      <w:rFonts w:cs="Times New Roman"/>
      <w:b/>
      <w:bCs/>
      <w:caps/>
      <w:color w:val="358189"/>
      <w:szCs w:val="20"/>
    </w:rPr>
  </w:style>
  <w:style w:type="paragraph" w:styleId="Boxtype" w:customStyle="1">
    <w:name w:val="Box type"/>
    <w:next w:val="Normal"/>
    <w:qFormat/>
    <w:rsid w:val="00BF7AD7"/>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1F243A" w:themeColor="accent1" w:themeShade="7F"/>
      <w:sz w:val="22"/>
      <w:szCs w:val="24"/>
      <w:lang w:eastAsia="en-US"/>
    </w:rPr>
  </w:style>
  <w:style w:type="paragraph" w:styleId="URL" w:customStyle="1">
    <w:name w:val="URL"/>
    <w:basedOn w:val="Normal"/>
    <w:rsid w:val="00BF7AD7"/>
    <w:pPr>
      <w:spacing w:before="3120"/>
      <w:jc w:val="center"/>
    </w:pPr>
    <w:rPr>
      <w:b/>
      <w:bCs/>
      <w:sz w:val="24"/>
      <w:szCs w:val="20"/>
    </w:rPr>
  </w:style>
  <w:style w:type="paragraph" w:styleId="Paragraphtext" w:customStyle="1">
    <w:name w:val="Paragraph text"/>
    <w:basedOn w:val="Normal"/>
    <w:qFormat/>
    <w:rsid w:val="00AB5783"/>
    <w:pPr>
      <w:spacing w:after="60" w:line="240" w:lineRule="auto"/>
    </w:pPr>
    <w:rPr>
      <w:sz w:val="21"/>
    </w:rPr>
  </w:style>
  <w:style w:type="paragraph" w:styleId="Revision">
    <w:name w:val="Revision"/>
    <w:hidden/>
    <w:uiPriority w:val="99"/>
    <w:semiHidden/>
    <w:rsid w:val="000F702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nsultations.health.gov.au/ndis/nfp-public-consulta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dis.gov.au/providers/pricing-arrangements" TargetMode="External" Id="rId14" /><Relationship Type="http://schemas.openxmlformats.org/officeDocument/2006/relationships/header" Target="header7.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fcfe7c6-fd82-4536-8e95-31510ecf1dc3"/>
    <ds:schemaRef ds:uri="http://purl.org/dc/dcmitype/"/>
    <ds:schemaRef ds:uri="91b40e7f-128e-49f6-a30d-9c137c2f2d67"/>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0EAC09B5-8F96-47CE-9DD6-FCE21F32C9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Department of Health, Disability and Ageing short document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Therapy Supports Discussion Paper</dc:title>
  <dc:subject>NDIS Supports therapies discussion paper</dc:subject>
  <dc:creator>Australian Government Department of Health, Disability and Aged Care</dc:creator>
  <cp:keywords>NDIS supports</cp:keywords>
  <cp:revision>17</cp:revision>
  <cp:lastPrinted>2022-06-22T22:44:00Z</cp:lastPrinted>
  <dcterms:created xsi:type="dcterms:W3CDTF">2026-02-20T01:29:00Z</dcterms:created>
  <dcterms:modified xsi:type="dcterms:W3CDTF">2026-02-20T02:01:51Z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MSIP_Label_7cd3e8b9-ffed-43a8-b7f4-cc2fa0382d36_Enabled">
    <vt:lpwstr>true</vt:lpwstr>
  </property>
  <property fmtid="{D5CDD505-2E9C-101B-9397-08002B2CF9AE}" pid="26" name="MSIP_Label_7cd3e8b9-ffed-43a8-b7f4-cc2fa0382d36_SetDate">
    <vt:lpwstr>2026-02-15T22:50:27Z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7e2c7f6e-ca1c-42d4-b043-4760f4969d28</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ies>
</file>