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09E1" w14:textId="62F30239" w:rsidR="00134C5E" w:rsidRPr="00F37F95" w:rsidRDefault="00134C5E" w:rsidP="00F37F95">
      <w:pPr>
        <w:tabs>
          <w:tab w:val="left" w:pos="6804"/>
        </w:tabs>
      </w:pPr>
      <w:r>
        <w:rPr>
          <w:noProof/>
          <w:lang w:eastAsia="en-AU"/>
        </w:rPr>
        <w:drawing>
          <wp:inline distT="0" distB="0" distL="0" distR="0" wp14:anchorId="7A413A6F" wp14:editId="4E8B2966">
            <wp:extent cx="1583690" cy="654050"/>
            <wp:effectExtent l="0" t="0" r="0" b="0"/>
            <wp:docPr id="771221903" name="Picture 771221903" descr="The logo for the University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1903" name="Picture 771221903" descr="The logo for the University of Queenslan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3690" cy="654050"/>
                    </a:xfrm>
                    <a:prstGeom prst="rect">
                      <a:avLst/>
                    </a:prstGeom>
                  </pic:spPr>
                </pic:pic>
              </a:graphicData>
            </a:graphic>
          </wp:inline>
        </w:drawing>
      </w:r>
      <w:r w:rsidR="00F37F95">
        <w:tab/>
      </w:r>
      <w:r w:rsidR="00F37F95" w:rsidRPr="00D55641">
        <w:rPr>
          <w:noProof/>
        </w:rPr>
        <w:drawing>
          <wp:inline distT="0" distB="0" distL="0" distR="0" wp14:anchorId="1FA92C43" wp14:editId="3813BADE">
            <wp:extent cx="1794510" cy="578485"/>
            <wp:effectExtent l="0" t="0" r="0" b="0"/>
            <wp:docPr id="13197003" name="Picture 1" descr="The logo for the National Ageing Research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003" name="Picture 1" descr="The logo for the National Ageing Research Institute"/>
                    <pic:cNvPicPr/>
                  </pic:nvPicPr>
                  <pic:blipFill>
                    <a:blip r:embed="rId12">
                      <a:extLst>
                        <a:ext uri="{28A0092B-C50C-407E-A947-70E740481C1C}">
                          <a14:useLocalDpi xmlns:a14="http://schemas.microsoft.com/office/drawing/2010/main" val="0"/>
                        </a:ext>
                      </a:extLst>
                    </a:blip>
                    <a:stretch>
                      <a:fillRect/>
                    </a:stretch>
                  </pic:blipFill>
                  <pic:spPr>
                    <a:xfrm>
                      <a:off x="0" y="0"/>
                      <a:ext cx="1794510" cy="578485"/>
                    </a:xfrm>
                    <a:prstGeom prst="rect">
                      <a:avLst/>
                    </a:prstGeom>
                  </pic:spPr>
                </pic:pic>
              </a:graphicData>
            </a:graphic>
          </wp:inline>
        </w:drawing>
      </w:r>
    </w:p>
    <w:p w14:paraId="4406DDFF" w14:textId="45C4B3B0" w:rsidR="00134C5E" w:rsidRPr="00F37F95" w:rsidRDefault="00134C5E" w:rsidP="00F37F95">
      <w:pPr>
        <w:pStyle w:val="Heading1"/>
      </w:pPr>
      <w:r w:rsidRPr="00F37F95">
        <w:t>Aged Care Data and Reporting Review Project: Phase 2 Consultation Paper</w:t>
      </w:r>
    </w:p>
    <w:p w14:paraId="77CB6D06" w14:textId="3ABE23C4" w:rsidR="00EF0F95" w:rsidRPr="00EF0F95" w:rsidRDefault="00134C5E" w:rsidP="00EF0F95">
      <w:r>
        <w:t xml:space="preserve">The Department of Health, Disability and Ageing (the Department) initiated a comprehensive review of data that aged care providers report to the Australian Government in early 2025. The Department engaged </w:t>
      </w:r>
      <w:r w:rsidR="003547DF">
        <w:t>The</w:t>
      </w:r>
      <w:r>
        <w:t xml:space="preserve"> University of Queensland (UQ), in partnership with the National Ageing Research Institute (NARI), to conduct this review.</w:t>
      </w:r>
      <w:r w:rsidR="7CC1DD60">
        <w:t xml:space="preserve"> This project aims to guide improvements in the scope, quality, consistency and utility of aged care data – to enable </w:t>
      </w:r>
      <w:r w:rsidR="221E0BFE">
        <w:t>improved care outcomes, timely monitoring of care</w:t>
      </w:r>
      <w:r w:rsidR="003F69C3">
        <w:t xml:space="preserve"> </w:t>
      </w:r>
      <w:r w:rsidR="221E0BFE">
        <w:t xml:space="preserve">quality, </w:t>
      </w:r>
      <w:r w:rsidR="00DB11BC">
        <w:t>systems i</w:t>
      </w:r>
      <w:r w:rsidR="00DB11BC" w:rsidRPr="00EF0F95">
        <w:t>nteroperability to support continuity of care</w:t>
      </w:r>
      <w:r w:rsidR="00DB11BC">
        <w:t xml:space="preserve">, </w:t>
      </w:r>
      <w:r w:rsidR="221E0BFE">
        <w:t>and streamline reporting to reduce administrativ</w:t>
      </w:r>
      <w:r w:rsidR="7F64FD84">
        <w:t>e burden.</w:t>
      </w:r>
      <w:r w:rsidDel="00134C5E">
        <w:t xml:space="preserve"> </w:t>
      </w:r>
    </w:p>
    <w:p w14:paraId="77866D34" w14:textId="1872F251" w:rsidR="00134C5E" w:rsidRPr="00921CFE" w:rsidRDefault="00134C5E">
      <w:r>
        <w:t>The Royal Commission into Aged Care Quality and Safety noted the importance of data quality and the need for comprehensive data to assess the performance and impact of services provided to older people. This Review contributes to the Department’s response.</w:t>
      </w:r>
    </w:p>
    <w:p w14:paraId="7B1860CB" w14:textId="77777777" w:rsidR="00134C5E" w:rsidRPr="00921CFE" w:rsidRDefault="00134C5E" w:rsidP="00134C5E">
      <w:r w:rsidRPr="00921CFE">
        <w:t>Phase 1 of this project (April to November 2025) reviewed both the financial and workforce</w:t>
      </w:r>
      <w:r w:rsidRPr="00921CFE">
        <w:rPr>
          <w:color w:val="181A6D" w:themeColor="accent1" w:themeShade="BF"/>
        </w:rPr>
        <w:t xml:space="preserve"> </w:t>
      </w:r>
      <w:r w:rsidRPr="00921CFE">
        <w:t xml:space="preserve">data aged care providers report to the Australian Government. Phase 2 (July 2025 to May 2026) is reviewing </w:t>
      </w:r>
      <w:r w:rsidRPr="00921CFE">
        <w:rPr>
          <w:color w:val="181A6D" w:themeColor="accent1" w:themeShade="BF"/>
        </w:rPr>
        <w:t>clinical, care needs, quality, and service delivery</w:t>
      </w:r>
      <w:r w:rsidRPr="00921CFE">
        <w:t xml:space="preserve"> information. </w:t>
      </w:r>
    </w:p>
    <w:p w14:paraId="71464427" w14:textId="77777777" w:rsidR="00134C5E" w:rsidRPr="00A905B3" w:rsidRDefault="00134C5E" w:rsidP="00335DFD">
      <w:pPr>
        <w:pStyle w:val="Heading2"/>
        <w:rPr>
          <w:color w:val="181A6D" w:themeColor="accent1" w:themeShade="BF"/>
        </w:rPr>
      </w:pPr>
      <w:r>
        <w:t>Purpose of consultation</w:t>
      </w:r>
    </w:p>
    <w:p w14:paraId="2FB1887A" w14:textId="5866A34C" w:rsidR="00134C5E" w:rsidRPr="00921CFE" w:rsidRDefault="00134C5E" w:rsidP="00134C5E">
      <w:r w:rsidRPr="00921CFE">
        <w:t xml:space="preserve">The review team </w:t>
      </w:r>
      <w:r w:rsidR="001C2BF1">
        <w:t>has</w:t>
      </w:r>
      <w:r w:rsidRPr="00921CFE">
        <w:t xml:space="preserve"> conducted an environmental scan of the policy, strategic, regulatory and operational imperatives that drive the collection of data in scope for Phase 2. The scan includes a review of international approaches to collection, reporting to government and system-wide use of clinical, care needs</w:t>
      </w:r>
      <w:r w:rsidR="00061E2E">
        <w:t>,</w:t>
      </w:r>
      <w:r w:rsidRPr="00921CFE">
        <w:t xml:space="preserve"> quality and service delivery information in aged care.</w:t>
      </w:r>
      <w:r w:rsidRPr="00921CFE" w:rsidDel="0006637A">
        <w:t xml:space="preserve"> </w:t>
      </w:r>
      <w:r w:rsidRPr="00921CFE">
        <w:t>Insights from the environmental scan have been summarised in this paper and have guided the concepts and questions that will support consultation with providers, vendors and aged care workers through online forums, meetings and written submissions.</w:t>
      </w:r>
    </w:p>
    <w:p w14:paraId="48CD70FC" w14:textId="48018ECD" w:rsidR="00134C5E" w:rsidRDefault="00134C5E" w:rsidP="00134C5E">
      <w:r>
        <w:t xml:space="preserve">The purpose of </w:t>
      </w:r>
      <w:r w:rsidR="00ED1444">
        <w:t>the current</w:t>
      </w:r>
      <w:r>
        <w:t xml:space="preserve"> consultation process is to develop a deeper understanding and to test solutions with key stakeholders about ways to improve the collection and reporting of aged care </w:t>
      </w:r>
      <w:r w:rsidRPr="68BFFFC6">
        <w:rPr>
          <w:color w:val="181A6D" w:themeColor="accent1" w:themeShade="BF"/>
        </w:rPr>
        <w:t>clinical, care needs, quality and service delivery</w:t>
      </w:r>
      <w:r>
        <w:t xml:space="preserve"> information. </w:t>
      </w:r>
    </w:p>
    <w:p w14:paraId="636250CD" w14:textId="77777777" w:rsidR="00134C5E" w:rsidRPr="00921CFE" w:rsidRDefault="00134C5E" w:rsidP="00134C5E">
      <w:r>
        <w:t>Through extensive consultation, w</w:t>
      </w:r>
      <w:r w:rsidRPr="00921CFE">
        <w:t>e aim to:</w:t>
      </w:r>
    </w:p>
    <w:p w14:paraId="4DC2B245" w14:textId="77777777" w:rsidR="00134C5E" w:rsidRPr="00F37F95" w:rsidRDefault="00134C5E" w:rsidP="00F37F95">
      <w:pPr>
        <w:pStyle w:val="ListBullet"/>
      </w:pPr>
      <w:r w:rsidRPr="00F37F95">
        <w:t xml:space="preserve">gain additional insights on the aged care data ecosystem (including governance mechanisms) and validate findings from the environmental scan. </w:t>
      </w:r>
    </w:p>
    <w:p w14:paraId="413DED30" w14:textId="77777777" w:rsidR="00134C5E" w:rsidRPr="00F37F95" w:rsidRDefault="00134C5E" w:rsidP="00F37F95">
      <w:pPr>
        <w:pStyle w:val="ListBullet"/>
      </w:pPr>
      <w:r w:rsidRPr="00F37F95">
        <w:t xml:space="preserve">consolidate current and emerging information needs across stakeholders, aligned to system builds and reforms. </w:t>
      </w:r>
    </w:p>
    <w:p w14:paraId="7FC12865" w14:textId="23B33AEF" w:rsidR="00134C5E" w:rsidRPr="00F37F95" w:rsidRDefault="00134C5E" w:rsidP="00F37F95">
      <w:pPr>
        <w:pStyle w:val="ListBullet"/>
      </w:pPr>
      <w:r w:rsidRPr="00F37F95">
        <w:t>identify and validate opportunities to streamline and standardise data collection, provision and reporting based on the princip</w:t>
      </w:r>
      <w:r w:rsidR="1BAA6E74" w:rsidRPr="00F37F95">
        <w:t>le</w:t>
      </w:r>
      <w:r w:rsidRPr="00F37F95">
        <w:t xml:space="preserve"> of “collect once, use many times.”</w:t>
      </w:r>
    </w:p>
    <w:p w14:paraId="42F3C3E6" w14:textId="77777777" w:rsidR="00AF0AEA" w:rsidRPr="00F37F95" w:rsidRDefault="00AF0AEA" w:rsidP="00F37F95">
      <w:r>
        <w:rPr>
          <w:rFonts w:asciiTheme="majorHAnsi" w:eastAsiaTheme="majorEastAsia" w:hAnsiTheme="majorHAnsi" w:cstheme="majorBidi"/>
          <w:color w:val="181A6D" w:themeColor="accent1" w:themeShade="BF"/>
          <w:sz w:val="32"/>
          <w:szCs w:val="32"/>
        </w:rPr>
        <w:br w:type="page"/>
      </w:r>
    </w:p>
    <w:p w14:paraId="3037A25A" w14:textId="7321F2AB" w:rsidR="00134C5E" w:rsidRPr="001E53FA" w:rsidRDefault="00134C5E" w:rsidP="00335DFD">
      <w:pPr>
        <w:pStyle w:val="Heading2"/>
        <w:rPr>
          <w:color w:val="181A6D" w:themeColor="accent1" w:themeShade="BF"/>
          <w:szCs w:val="22"/>
        </w:rPr>
      </w:pPr>
      <w:r w:rsidRPr="605077E2">
        <w:lastRenderedPageBreak/>
        <w:t>How to have your say</w:t>
      </w:r>
    </w:p>
    <w:p w14:paraId="615C33AE" w14:textId="701F209A" w:rsidR="00134C5E" w:rsidRPr="00F04538" w:rsidRDefault="00134C5E" w:rsidP="00F37F95">
      <w:pPr>
        <w:pStyle w:val="Heading3"/>
        <w:rPr>
          <w:b/>
          <w:i/>
        </w:rPr>
      </w:pPr>
      <w:r w:rsidRPr="00335DFD">
        <w:t>Online forums – open registration</w:t>
      </w:r>
    </w:p>
    <w:p w14:paraId="29378403" w14:textId="4D3A911B" w:rsidR="00134C5E" w:rsidRPr="00921CFE" w:rsidRDefault="00134C5E" w:rsidP="00F75C7F">
      <w:pPr>
        <w:spacing w:after="240"/>
      </w:pPr>
      <w:r w:rsidRPr="00921CFE">
        <w:t>We are hosting consultation forums tailored to different stakeholder groups in March 2026</w:t>
      </w:r>
      <w:r>
        <w:t>, including aged care service providers, software vendors, and health professionals working in aged care</w:t>
      </w:r>
      <w:r w:rsidRPr="00921CFE">
        <w:t>. All forums will be 90 minutes in duration</w:t>
      </w:r>
      <w:r>
        <w:t xml:space="preserve"> and t</w:t>
      </w:r>
      <w:r w:rsidRPr="00921CFE">
        <w:t>he concepts discussed will be consistent throughout the consultation process. More detailed or targeted questions may also be explored with specific audiences.</w:t>
      </w:r>
      <w:r w:rsidR="68FE83AF">
        <w:t xml:space="preserve"> Forums will be particularly relevant for </w:t>
      </w:r>
      <w:r w:rsidR="00CA726B">
        <w:t xml:space="preserve">clinicians, </w:t>
      </w:r>
      <w:r w:rsidR="68FE83AF">
        <w:t xml:space="preserve">clinical managers, quality managers </w:t>
      </w:r>
      <w:r w:rsidR="00CA726B">
        <w:t xml:space="preserve">and </w:t>
      </w:r>
      <w:r w:rsidR="68FE83AF">
        <w:t>business analysts.</w:t>
      </w:r>
    </w:p>
    <w:tbl>
      <w:tblPr>
        <w:tblStyle w:val="TableGrid"/>
        <w:tblW w:w="975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Caption w:val="Online Forums"/>
        <w:tblDescription w:val="This table provides dates, times and links to six online forums. Forums for residential care providers are on 11 March 2026 at 11:30am and 24 March 2026 at 1pm. Forums for in-home care providers are on 12 March 2026 at 2pm and 18 March 2026 at 11:30pm. Forums for software vendors are on 17 March 2026 at 11:30am and 25 March 2026 at 12:30pm. All times are AEDT."/>
      </w:tblPr>
      <w:tblGrid>
        <w:gridCol w:w="1757"/>
        <w:gridCol w:w="3040"/>
        <w:gridCol w:w="1843"/>
        <w:gridCol w:w="3118"/>
      </w:tblGrid>
      <w:tr w:rsidR="00046A64" w:rsidRPr="002C4D19" w14:paraId="7C49D848" w14:textId="77777777" w:rsidTr="00123C79">
        <w:tc>
          <w:tcPr>
            <w:tcW w:w="1757" w:type="dxa"/>
            <w:shd w:val="clear" w:color="auto" w:fill="181A6D" w:themeFill="accent1" w:themeFillShade="BF"/>
          </w:tcPr>
          <w:p w14:paraId="51D02CD9" w14:textId="31892B13" w:rsidR="00134C5E" w:rsidRPr="002C4D19" w:rsidRDefault="005B3A14">
            <w:pPr>
              <w:rPr>
                <w:color w:val="FFFFFF" w:themeColor="background1"/>
                <w:szCs w:val="22"/>
              </w:rPr>
            </w:pPr>
            <w:r w:rsidRPr="002C4D19">
              <w:rPr>
                <w:color w:val="FFFFFF" w:themeColor="background1"/>
                <w:szCs w:val="22"/>
              </w:rPr>
              <w:t>11</w:t>
            </w:r>
            <w:r w:rsidR="00632DF1" w:rsidRPr="002C4D19">
              <w:rPr>
                <w:color w:val="FFFFFF" w:themeColor="background1"/>
                <w:szCs w:val="22"/>
              </w:rPr>
              <w:t xml:space="preserve"> </w:t>
            </w:r>
            <w:r w:rsidR="00134C5E" w:rsidRPr="002C4D19">
              <w:rPr>
                <w:color w:val="FFFFFF" w:themeColor="background1"/>
                <w:szCs w:val="22"/>
              </w:rPr>
              <w:t>Mar 2026</w:t>
            </w:r>
          </w:p>
          <w:p w14:paraId="3A555ECB" w14:textId="0CCE1D68" w:rsidR="00134C5E" w:rsidRPr="002C4D19" w:rsidRDefault="00632DF1">
            <w:pPr>
              <w:rPr>
                <w:color w:val="FFFFFF" w:themeColor="background1"/>
                <w:szCs w:val="22"/>
              </w:rPr>
            </w:pPr>
            <w:r w:rsidRPr="002C4D19">
              <w:rPr>
                <w:color w:val="FFFFFF" w:themeColor="background1"/>
                <w:szCs w:val="22"/>
              </w:rPr>
              <w:t xml:space="preserve">11.30 am </w:t>
            </w:r>
            <w:r w:rsidR="00134C5E" w:rsidRPr="002C4D19">
              <w:rPr>
                <w:color w:val="FFFFFF" w:themeColor="background1"/>
                <w:szCs w:val="22"/>
              </w:rPr>
              <w:t>AEDT</w:t>
            </w:r>
          </w:p>
        </w:tc>
        <w:tc>
          <w:tcPr>
            <w:tcW w:w="3040" w:type="dxa"/>
            <w:shd w:val="clear" w:color="auto" w:fill="C8C9F2" w:themeFill="accent1" w:themeFillTint="33"/>
          </w:tcPr>
          <w:p w14:paraId="7822630A" w14:textId="77777777" w:rsidR="00134C5E" w:rsidRPr="002C4D19" w:rsidRDefault="00134C5E">
            <w:pPr>
              <w:rPr>
                <w:color w:val="181A6D" w:themeColor="accent1" w:themeShade="BF"/>
                <w:szCs w:val="22"/>
              </w:rPr>
            </w:pPr>
            <w:r w:rsidRPr="002C4D19">
              <w:rPr>
                <w:color w:val="181A6D" w:themeColor="accent1" w:themeShade="BF"/>
                <w:szCs w:val="22"/>
              </w:rPr>
              <w:t>Residential aged care provider forum</w:t>
            </w:r>
          </w:p>
          <w:p w14:paraId="5A3E79E8" w14:textId="2960359B" w:rsidR="00134C5E" w:rsidRPr="002C4D19" w:rsidRDefault="00FB292A">
            <w:pPr>
              <w:rPr>
                <w:color w:val="181A6D" w:themeColor="accent1" w:themeShade="BF"/>
                <w:szCs w:val="22"/>
              </w:rPr>
            </w:pPr>
            <w:hyperlink r:id="rId13" w:history="1">
              <w:r w:rsidRPr="004314A0">
                <w:rPr>
                  <w:rStyle w:val="Hyperlink"/>
                  <w:szCs w:val="22"/>
                </w:rPr>
                <w:t>REGISTER HERE</w:t>
              </w:r>
            </w:hyperlink>
          </w:p>
        </w:tc>
        <w:tc>
          <w:tcPr>
            <w:tcW w:w="1843" w:type="dxa"/>
            <w:shd w:val="clear" w:color="auto" w:fill="181A6D" w:themeFill="accent1" w:themeFillShade="BF"/>
          </w:tcPr>
          <w:p w14:paraId="29D79C1D" w14:textId="768716AC" w:rsidR="00134C5E" w:rsidRPr="002C4D19" w:rsidRDefault="002C4D19">
            <w:pPr>
              <w:rPr>
                <w:color w:val="FFFFFF" w:themeColor="background1"/>
                <w:szCs w:val="22"/>
              </w:rPr>
            </w:pPr>
            <w:r>
              <w:rPr>
                <w:color w:val="FFFFFF" w:themeColor="background1"/>
                <w:szCs w:val="22"/>
              </w:rPr>
              <w:t xml:space="preserve">24 </w:t>
            </w:r>
            <w:r w:rsidR="00134C5E" w:rsidRPr="002C4D19">
              <w:rPr>
                <w:color w:val="FFFFFF" w:themeColor="background1"/>
                <w:szCs w:val="22"/>
              </w:rPr>
              <w:t>Mar 2026</w:t>
            </w:r>
          </w:p>
          <w:p w14:paraId="4F8CCE6A" w14:textId="3753D499" w:rsidR="00134C5E" w:rsidRPr="002C4D19" w:rsidRDefault="002C4D19">
            <w:pPr>
              <w:rPr>
                <w:color w:val="FFFFFF" w:themeColor="background1"/>
                <w:szCs w:val="22"/>
              </w:rPr>
            </w:pPr>
            <w:r>
              <w:rPr>
                <w:color w:val="FFFFFF" w:themeColor="background1"/>
                <w:szCs w:val="22"/>
              </w:rPr>
              <w:t xml:space="preserve">1 pm </w:t>
            </w:r>
            <w:r w:rsidR="00134C5E" w:rsidRPr="002C4D19">
              <w:rPr>
                <w:color w:val="FFFFFF" w:themeColor="background1"/>
                <w:szCs w:val="22"/>
              </w:rPr>
              <w:t>AEDT</w:t>
            </w:r>
          </w:p>
        </w:tc>
        <w:tc>
          <w:tcPr>
            <w:tcW w:w="3118" w:type="dxa"/>
            <w:shd w:val="clear" w:color="auto" w:fill="C8C9F2" w:themeFill="accent1" w:themeFillTint="33"/>
          </w:tcPr>
          <w:p w14:paraId="67D79617" w14:textId="77777777" w:rsidR="00134C5E" w:rsidRPr="002C4D19" w:rsidRDefault="00134C5E">
            <w:pPr>
              <w:rPr>
                <w:color w:val="181A6D" w:themeColor="accent1" w:themeShade="BF"/>
                <w:szCs w:val="22"/>
              </w:rPr>
            </w:pPr>
            <w:r w:rsidRPr="002C4D19">
              <w:rPr>
                <w:color w:val="181A6D" w:themeColor="accent1" w:themeShade="BF"/>
                <w:szCs w:val="22"/>
              </w:rPr>
              <w:t>Residential aged care provider forum</w:t>
            </w:r>
          </w:p>
          <w:p w14:paraId="54A5EB89" w14:textId="408A03AB" w:rsidR="00134C5E" w:rsidRPr="002C4D19" w:rsidRDefault="00FB292A">
            <w:pPr>
              <w:rPr>
                <w:color w:val="181A6D" w:themeColor="accent1" w:themeShade="BF"/>
                <w:szCs w:val="22"/>
              </w:rPr>
            </w:pPr>
            <w:hyperlink r:id="rId14" w:history="1">
              <w:r w:rsidRPr="005B6B7B">
                <w:rPr>
                  <w:rStyle w:val="Hyperlink"/>
                  <w:szCs w:val="22"/>
                </w:rPr>
                <w:t>REGISTER HERE</w:t>
              </w:r>
            </w:hyperlink>
          </w:p>
        </w:tc>
      </w:tr>
      <w:tr w:rsidR="00046A64" w:rsidRPr="002C4D19" w14:paraId="7D143938" w14:textId="77777777" w:rsidTr="00123C79">
        <w:tc>
          <w:tcPr>
            <w:tcW w:w="1757" w:type="dxa"/>
            <w:shd w:val="clear" w:color="auto" w:fill="181A6D" w:themeFill="accent1" w:themeFillShade="BF"/>
          </w:tcPr>
          <w:p w14:paraId="37FB497A" w14:textId="0F3E30A1" w:rsidR="00134C5E" w:rsidRPr="002C4D19" w:rsidRDefault="00B53B91">
            <w:pPr>
              <w:rPr>
                <w:color w:val="FFFFFF" w:themeColor="background1"/>
                <w:szCs w:val="22"/>
              </w:rPr>
            </w:pPr>
            <w:r>
              <w:rPr>
                <w:color w:val="FFFFFF" w:themeColor="background1"/>
                <w:szCs w:val="22"/>
              </w:rPr>
              <w:t xml:space="preserve">12 </w:t>
            </w:r>
            <w:r w:rsidR="00134C5E" w:rsidRPr="002C4D19">
              <w:rPr>
                <w:color w:val="FFFFFF" w:themeColor="background1"/>
                <w:szCs w:val="22"/>
              </w:rPr>
              <w:t>Mar 2026</w:t>
            </w:r>
          </w:p>
          <w:p w14:paraId="3E3EA8F5" w14:textId="5241D95D" w:rsidR="00134C5E" w:rsidRPr="002C4D19" w:rsidRDefault="00B53B91">
            <w:pPr>
              <w:rPr>
                <w:color w:val="FFFFFF" w:themeColor="background1"/>
                <w:szCs w:val="22"/>
              </w:rPr>
            </w:pPr>
            <w:r>
              <w:rPr>
                <w:color w:val="FFFFFF" w:themeColor="background1"/>
                <w:szCs w:val="22"/>
              </w:rPr>
              <w:t xml:space="preserve">2 pm </w:t>
            </w:r>
            <w:r w:rsidR="00134C5E" w:rsidRPr="002C4D19">
              <w:rPr>
                <w:color w:val="FFFFFF" w:themeColor="background1"/>
                <w:szCs w:val="22"/>
              </w:rPr>
              <w:t>AEDT</w:t>
            </w:r>
          </w:p>
        </w:tc>
        <w:tc>
          <w:tcPr>
            <w:tcW w:w="3040" w:type="dxa"/>
            <w:shd w:val="clear" w:color="auto" w:fill="C8C9F2" w:themeFill="accent1" w:themeFillTint="33"/>
          </w:tcPr>
          <w:p w14:paraId="04E49E77" w14:textId="77777777" w:rsidR="00134C5E" w:rsidRPr="002C4D19" w:rsidRDefault="00134C5E">
            <w:pPr>
              <w:rPr>
                <w:color w:val="181A6D" w:themeColor="accent1" w:themeShade="BF"/>
                <w:szCs w:val="22"/>
              </w:rPr>
            </w:pPr>
            <w:r w:rsidRPr="002C4D19">
              <w:rPr>
                <w:color w:val="181A6D" w:themeColor="accent1" w:themeShade="BF"/>
                <w:szCs w:val="22"/>
              </w:rPr>
              <w:t>In-home care provider forum</w:t>
            </w:r>
          </w:p>
          <w:p w14:paraId="519FFE71" w14:textId="7131DB3B" w:rsidR="00134C5E" w:rsidRPr="002C4D19" w:rsidRDefault="00FB292A">
            <w:pPr>
              <w:rPr>
                <w:color w:val="181A6D" w:themeColor="accent1" w:themeShade="BF"/>
                <w:szCs w:val="22"/>
              </w:rPr>
            </w:pPr>
            <w:hyperlink r:id="rId15" w:history="1">
              <w:r w:rsidRPr="00220C77">
                <w:rPr>
                  <w:rStyle w:val="Hyperlink"/>
                  <w:szCs w:val="22"/>
                </w:rPr>
                <w:t>REGISTER HERE</w:t>
              </w:r>
            </w:hyperlink>
          </w:p>
        </w:tc>
        <w:tc>
          <w:tcPr>
            <w:tcW w:w="1843" w:type="dxa"/>
            <w:shd w:val="clear" w:color="auto" w:fill="181A6D" w:themeFill="accent1" w:themeFillShade="BF"/>
          </w:tcPr>
          <w:p w14:paraId="01F10C45" w14:textId="0D157F4A" w:rsidR="00134C5E" w:rsidRPr="002C4D19" w:rsidRDefault="00B53B91">
            <w:pPr>
              <w:rPr>
                <w:color w:val="FFFFFF" w:themeColor="background1"/>
                <w:szCs w:val="22"/>
              </w:rPr>
            </w:pPr>
            <w:r>
              <w:rPr>
                <w:color w:val="FFFFFF" w:themeColor="background1"/>
                <w:szCs w:val="22"/>
              </w:rPr>
              <w:t xml:space="preserve">18 </w:t>
            </w:r>
            <w:r w:rsidR="00134C5E" w:rsidRPr="002C4D19">
              <w:rPr>
                <w:color w:val="FFFFFF" w:themeColor="background1"/>
                <w:szCs w:val="22"/>
              </w:rPr>
              <w:t>Mar 2026</w:t>
            </w:r>
          </w:p>
          <w:p w14:paraId="17707707" w14:textId="078B0BB6" w:rsidR="00134C5E" w:rsidRPr="002C4D19" w:rsidRDefault="00B53B91">
            <w:pPr>
              <w:rPr>
                <w:color w:val="FFFFFF" w:themeColor="background1"/>
                <w:szCs w:val="22"/>
              </w:rPr>
            </w:pPr>
            <w:r>
              <w:rPr>
                <w:color w:val="FFFFFF" w:themeColor="background1"/>
                <w:szCs w:val="22"/>
              </w:rPr>
              <w:t>11.30 am</w:t>
            </w:r>
            <w:r w:rsidR="00134C5E" w:rsidRPr="002C4D19">
              <w:rPr>
                <w:color w:val="FFFFFF" w:themeColor="background1"/>
                <w:szCs w:val="22"/>
              </w:rPr>
              <w:t xml:space="preserve"> AEDT</w:t>
            </w:r>
          </w:p>
        </w:tc>
        <w:tc>
          <w:tcPr>
            <w:tcW w:w="3118" w:type="dxa"/>
            <w:shd w:val="clear" w:color="auto" w:fill="C8C9F2" w:themeFill="accent1" w:themeFillTint="33"/>
          </w:tcPr>
          <w:p w14:paraId="509317B8" w14:textId="77777777" w:rsidR="00134C5E" w:rsidRPr="002C4D19" w:rsidRDefault="00134C5E">
            <w:pPr>
              <w:rPr>
                <w:color w:val="181A6D" w:themeColor="accent1" w:themeShade="BF"/>
                <w:szCs w:val="22"/>
              </w:rPr>
            </w:pPr>
            <w:r w:rsidRPr="002C4D19">
              <w:rPr>
                <w:color w:val="181A6D" w:themeColor="accent1" w:themeShade="BF"/>
                <w:szCs w:val="22"/>
              </w:rPr>
              <w:t>In-home care provider forum</w:t>
            </w:r>
          </w:p>
          <w:p w14:paraId="3601C5F6" w14:textId="647C1AA6" w:rsidR="00134C5E" w:rsidRPr="002C4D19" w:rsidRDefault="00FB292A">
            <w:pPr>
              <w:rPr>
                <w:color w:val="181A6D" w:themeColor="accent1" w:themeShade="BF"/>
                <w:szCs w:val="22"/>
              </w:rPr>
            </w:pPr>
            <w:hyperlink r:id="rId16" w:history="1">
              <w:r w:rsidRPr="00897E10">
                <w:rPr>
                  <w:rStyle w:val="Hyperlink"/>
                  <w:szCs w:val="22"/>
                </w:rPr>
                <w:t>REGISTER HERE</w:t>
              </w:r>
            </w:hyperlink>
          </w:p>
        </w:tc>
      </w:tr>
      <w:tr w:rsidR="00046A64" w:rsidRPr="002C4D19" w14:paraId="6D53C052" w14:textId="77777777" w:rsidTr="00123C79">
        <w:tc>
          <w:tcPr>
            <w:tcW w:w="1757" w:type="dxa"/>
            <w:shd w:val="clear" w:color="auto" w:fill="181A6D" w:themeFill="accent1" w:themeFillShade="BF"/>
          </w:tcPr>
          <w:p w14:paraId="0BE404CB" w14:textId="3F84E6B4" w:rsidR="00134C5E" w:rsidRPr="002C4D19" w:rsidRDefault="00B53B91">
            <w:pPr>
              <w:rPr>
                <w:color w:val="FFFFFF" w:themeColor="background1"/>
                <w:szCs w:val="22"/>
              </w:rPr>
            </w:pPr>
            <w:r>
              <w:rPr>
                <w:color w:val="FFFFFF" w:themeColor="background1"/>
                <w:szCs w:val="22"/>
              </w:rPr>
              <w:t xml:space="preserve">17 </w:t>
            </w:r>
            <w:r w:rsidR="00134C5E" w:rsidRPr="002C4D19">
              <w:rPr>
                <w:color w:val="FFFFFF" w:themeColor="background1"/>
                <w:szCs w:val="22"/>
              </w:rPr>
              <w:t>Mar 2026</w:t>
            </w:r>
          </w:p>
          <w:p w14:paraId="4598A581" w14:textId="2138D346" w:rsidR="00134C5E" w:rsidRPr="002C4D19" w:rsidRDefault="005E4F2E">
            <w:pPr>
              <w:rPr>
                <w:color w:val="FFFFFF" w:themeColor="background1"/>
                <w:szCs w:val="22"/>
              </w:rPr>
            </w:pPr>
            <w:r>
              <w:rPr>
                <w:color w:val="FFFFFF" w:themeColor="background1"/>
                <w:szCs w:val="22"/>
              </w:rPr>
              <w:t>11.30 am</w:t>
            </w:r>
            <w:r w:rsidR="00134C5E" w:rsidRPr="002C4D19">
              <w:rPr>
                <w:color w:val="FFFFFF" w:themeColor="background1"/>
                <w:szCs w:val="22"/>
              </w:rPr>
              <w:t xml:space="preserve"> AEDT</w:t>
            </w:r>
          </w:p>
        </w:tc>
        <w:tc>
          <w:tcPr>
            <w:tcW w:w="3040" w:type="dxa"/>
            <w:shd w:val="clear" w:color="auto" w:fill="C8C9F2" w:themeFill="accent1" w:themeFillTint="33"/>
          </w:tcPr>
          <w:p w14:paraId="0C1223D4" w14:textId="77777777" w:rsidR="00134C5E" w:rsidRPr="002C4D19" w:rsidRDefault="00134C5E">
            <w:pPr>
              <w:rPr>
                <w:color w:val="181A6D" w:themeColor="accent1" w:themeShade="BF"/>
                <w:szCs w:val="22"/>
              </w:rPr>
            </w:pPr>
            <w:r w:rsidRPr="002C4D19">
              <w:rPr>
                <w:color w:val="181A6D" w:themeColor="accent1" w:themeShade="BF"/>
                <w:szCs w:val="22"/>
              </w:rPr>
              <w:t>Software vendors forum</w:t>
            </w:r>
          </w:p>
          <w:p w14:paraId="2EF526F3" w14:textId="584D57E9" w:rsidR="00134C5E" w:rsidRPr="002C4D19" w:rsidRDefault="00FB292A">
            <w:pPr>
              <w:rPr>
                <w:color w:val="181A6D" w:themeColor="accent1" w:themeShade="BF"/>
                <w:szCs w:val="22"/>
              </w:rPr>
            </w:pPr>
            <w:hyperlink r:id="rId17" w:history="1">
              <w:r w:rsidRPr="006921A4">
                <w:rPr>
                  <w:rStyle w:val="Hyperlink"/>
                  <w:szCs w:val="22"/>
                </w:rPr>
                <w:t>REGISTER HERE</w:t>
              </w:r>
            </w:hyperlink>
          </w:p>
        </w:tc>
        <w:tc>
          <w:tcPr>
            <w:tcW w:w="1843" w:type="dxa"/>
            <w:shd w:val="clear" w:color="auto" w:fill="181A6D" w:themeFill="accent1" w:themeFillShade="BF"/>
          </w:tcPr>
          <w:p w14:paraId="0DE41531" w14:textId="1AA5ADC9" w:rsidR="00134C5E" w:rsidRPr="002C4D19" w:rsidRDefault="005E4F2E">
            <w:pPr>
              <w:rPr>
                <w:color w:val="FFFFFF" w:themeColor="background1"/>
                <w:szCs w:val="22"/>
              </w:rPr>
            </w:pPr>
            <w:r>
              <w:rPr>
                <w:color w:val="FFFFFF" w:themeColor="background1"/>
                <w:szCs w:val="22"/>
              </w:rPr>
              <w:t xml:space="preserve">25 </w:t>
            </w:r>
            <w:r w:rsidR="00134C5E" w:rsidRPr="002C4D19">
              <w:rPr>
                <w:color w:val="FFFFFF" w:themeColor="background1"/>
                <w:szCs w:val="22"/>
              </w:rPr>
              <w:t>Mar 2026</w:t>
            </w:r>
          </w:p>
          <w:p w14:paraId="020DB546" w14:textId="35E92409" w:rsidR="00134C5E" w:rsidRPr="002C4D19" w:rsidRDefault="005E4F2E" w:rsidP="005E4F2E">
            <w:pPr>
              <w:ind w:right="-29"/>
              <w:rPr>
                <w:color w:val="FFFFFF" w:themeColor="background1"/>
                <w:szCs w:val="22"/>
              </w:rPr>
            </w:pPr>
            <w:r>
              <w:rPr>
                <w:color w:val="FFFFFF" w:themeColor="background1"/>
                <w:szCs w:val="22"/>
              </w:rPr>
              <w:t>12.30</w:t>
            </w:r>
            <w:r w:rsidR="00134C5E" w:rsidRPr="002C4D19">
              <w:rPr>
                <w:color w:val="FFFFFF" w:themeColor="background1"/>
                <w:szCs w:val="22"/>
              </w:rPr>
              <w:t xml:space="preserve"> pm AEDT</w:t>
            </w:r>
          </w:p>
        </w:tc>
        <w:tc>
          <w:tcPr>
            <w:tcW w:w="3118" w:type="dxa"/>
            <w:shd w:val="clear" w:color="auto" w:fill="C8C9F2" w:themeFill="accent1" w:themeFillTint="33"/>
          </w:tcPr>
          <w:p w14:paraId="62EFE1F2" w14:textId="77777777" w:rsidR="00134C5E" w:rsidRPr="002C4D19" w:rsidRDefault="00134C5E">
            <w:pPr>
              <w:rPr>
                <w:color w:val="181A6D" w:themeColor="accent1" w:themeShade="BF"/>
                <w:szCs w:val="22"/>
              </w:rPr>
            </w:pPr>
            <w:r w:rsidRPr="002C4D19">
              <w:rPr>
                <w:color w:val="181A6D" w:themeColor="accent1" w:themeShade="BF"/>
                <w:szCs w:val="22"/>
              </w:rPr>
              <w:t>Software vendors forum</w:t>
            </w:r>
          </w:p>
          <w:p w14:paraId="27BBDE81" w14:textId="4CAC2751" w:rsidR="00134C5E" w:rsidRPr="002C4D19" w:rsidRDefault="00FB292A">
            <w:pPr>
              <w:rPr>
                <w:color w:val="181A6D" w:themeColor="accent1" w:themeShade="BF"/>
                <w:szCs w:val="22"/>
              </w:rPr>
            </w:pPr>
            <w:hyperlink r:id="rId18" w:history="1">
              <w:r w:rsidRPr="00D43BBD">
                <w:rPr>
                  <w:rStyle w:val="Hyperlink"/>
                  <w:szCs w:val="22"/>
                </w:rPr>
                <w:t>REGISTER HERE</w:t>
              </w:r>
            </w:hyperlink>
          </w:p>
        </w:tc>
      </w:tr>
    </w:tbl>
    <w:p w14:paraId="4105F23D" w14:textId="75329713" w:rsidR="00134C5E" w:rsidRPr="00CE4B06" w:rsidRDefault="00134C5E" w:rsidP="00F37F95">
      <w:pPr>
        <w:pStyle w:val="Heading3"/>
        <w:rPr>
          <w:b/>
          <w:i/>
          <w:szCs w:val="26"/>
        </w:rPr>
      </w:pPr>
      <w:r w:rsidRPr="00335DFD">
        <w:t xml:space="preserve">Targeted </w:t>
      </w:r>
      <w:r w:rsidRPr="005B19D2">
        <w:t>meetings</w:t>
      </w:r>
    </w:p>
    <w:p w14:paraId="36498BB5" w14:textId="491DB57E" w:rsidR="00134C5E" w:rsidRDefault="7F37BFEA" w:rsidP="00134C5E">
      <w:r>
        <w:t xml:space="preserve">We will also run targeted forums with key sector organisations. </w:t>
      </w:r>
      <w:r w:rsidR="00134C5E">
        <w:t xml:space="preserve">If your peak or advocacy organisation would like to request a targeted meeting, please contact </w:t>
      </w:r>
      <w:hyperlink r:id="rId19" w:history="1">
        <w:r w:rsidR="007F68F3" w:rsidRPr="00284363">
          <w:rPr>
            <w:rStyle w:val="Hyperlink"/>
          </w:rPr>
          <w:t>acdarr.project@uq.edu.au</w:t>
        </w:r>
      </w:hyperlink>
      <w:r w:rsidR="007F68F3">
        <w:t xml:space="preserve"> </w:t>
      </w:r>
    </w:p>
    <w:p w14:paraId="3E816111" w14:textId="30C860BB" w:rsidR="00134C5E" w:rsidRPr="00CE4B06" w:rsidRDefault="00134C5E" w:rsidP="00F37F95">
      <w:pPr>
        <w:pStyle w:val="Heading3"/>
        <w:rPr>
          <w:b/>
          <w:i/>
          <w:szCs w:val="26"/>
        </w:rPr>
      </w:pPr>
      <w:r w:rsidRPr="00335DFD">
        <w:t>Written submissions</w:t>
      </w:r>
    </w:p>
    <w:p w14:paraId="2E8E928D" w14:textId="6673D0C7" w:rsidR="00134C5E" w:rsidRPr="006067F1" w:rsidRDefault="00134C5E" w:rsidP="00134C5E">
      <w:r>
        <w:t xml:space="preserve">Written submissions are welcome and can be submitted </w:t>
      </w:r>
      <w:r w:rsidR="00B95070">
        <w:t xml:space="preserve">via an online </w:t>
      </w:r>
      <w:r w:rsidR="00EA4911">
        <w:t>survey</w:t>
      </w:r>
      <w:r w:rsidR="00371547">
        <w:t xml:space="preserve"> accessed</w:t>
      </w:r>
      <w:r w:rsidR="006E5739">
        <w:t xml:space="preserve"> </w:t>
      </w:r>
      <w:r>
        <w:t>through the portal</w:t>
      </w:r>
      <w:r w:rsidR="00FB292A">
        <w:t xml:space="preserve"> </w:t>
      </w:r>
      <w:hyperlink r:id="rId20" w:history="1">
        <w:r w:rsidR="00B650D7" w:rsidRPr="000148F9">
          <w:rPr>
            <w:rStyle w:val="Hyperlink"/>
            <w:b/>
            <w:bCs/>
          </w:rPr>
          <w:t>here</w:t>
        </w:r>
        <w:r w:rsidR="002526DE" w:rsidRPr="000148F9">
          <w:rPr>
            <w:rStyle w:val="Hyperlink"/>
          </w:rPr>
          <w:t>.</w:t>
        </w:r>
      </w:hyperlink>
      <w:r w:rsidR="002526DE">
        <w:t xml:space="preserve"> </w:t>
      </w:r>
      <w:r w:rsidRPr="008E7FBE">
        <w:rPr>
          <w:szCs w:val="20"/>
        </w:rPr>
        <w:t xml:space="preserve">Alternatively, please directly email your submission to: </w:t>
      </w:r>
      <w:hyperlink r:id="rId21">
        <w:r w:rsidRPr="008E7FBE">
          <w:rPr>
            <w:rStyle w:val="Hyperlink"/>
            <w:szCs w:val="20"/>
          </w:rPr>
          <w:t>acdarr.project@uq.edu.au</w:t>
        </w:r>
      </w:hyperlink>
      <w:r w:rsidRPr="008E7FBE">
        <w:rPr>
          <w:szCs w:val="20"/>
        </w:rPr>
        <w:t xml:space="preserve">. </w:t>
      </w:r>
    </w:p>
    <w:p w14:paraId="2E98F6E7" w14:textId="77777777" w:rsidR="00134C5E" w:rsidRDefault="00134C5E" w:rsidP="00134C5E">
      <w:r w:rsidRPr="006067F1">
        <w:t>You may wish to reflect on data usage, reporting challenges, opportunities for improvement, or broader system-level considerations. Submissions will be treated as confidential and suitably deidentified prior to being incorporated into project materials.</w:t>
      </w:r>
    </w:p>
    <w:p w14:paraId="32FEAE21" w14:textId="2EAC2629" w:rsidR="00980FE3" w:rsidRDefault="00980FE3" w:rsidP="00134C5E">
      <w:r w:rsidRPr="006067F1">
        <w:t xml:space="preserve">Written submissions will be accepted from </w:t>
      </w:r>
      <w:r>
        <w:rPr>
          <w:b/>
          <w:bCs/>
          <w:color w:val="181A6D" w:themeColor="accent1" w:themeShade="BF"/>
        </w:rPr>
        <w:t>25</w:t>
      </w:r>
      <w:r w:rsidRPr="006067F1">
        <w:rPr>
          <w:b/>
          <w:bCs/>
          <w:color w:val="181A6D" w:themeColor="accent1" w:themeShade="BF"/>
        </w:rPr>
        <w:t xml:space="preserve"> </w:t>
      </w:r>
      <w:r>
        <w:rPr>
          <w:b/>
          <w:bCs/>
          <w:color w:val="181A6D" w:themeColor="accent1" w:themeShade="BF"/>
        </w:rPr>
        <w:t>February</w:t>
      </w:r>
      <w:r w:rsidRPr="006067F1">
        <w:rPr>
          <w:b/>
          <w:bCs/>
          <w:color w:val="181A6D" w:themeColor="accent1" w:themeShade="BF"/>
        </w:rPr>
        <w:t xml:space="preserve"> </w:t>
      </w:r>
      <w:r>
        <w:rPr>
          <w:b/>
          <w:bCs/>
          <w:color w:val="181A6D" w:themeColor="accent1" w:themeShade="BF"/>
        </w:rPr>
        <w:t>to 30</w:t>
      </w:r>
      <w:r w:rsidRPr="006067F1">
        <w:rPr>
          <w:b/>
          <w:bCs/>
          <w:color w:val="181A6D" w:themeColor="accent1" w:themeShade="BF"/>
        </w:rPr>
        <w:t xml:space="preserve"> March 2026</w:t>
      </w:r>
      <w:r w:rsidR="002526DE">
        <w:t>.</w:t>
      </w:r>
    </w:p>
    <w:p w14:paraId="3D44C0ED" w14:textId="0393FE1E" w:rsidR="00134C5E" w:rsidRDefault="00134C5E" w:rsidP="00F37F95">
      <w:pPr>
        <w:pStyle w:val="Heading1"/>
      </w:pPr>
      <w:r>
        <w:t>About the Environmental Scan</w:t>
      </w:r>
    </w:p>
    <w:p w14:paraId="11AA291B" w14:textId="1AE1585E" w:rsidR="00134C5E" w:rsidRDefault="00134C5E" w:rsidP="00134C5E">
      <w:r>
        <w:t xml:space="preserve">An environmental scan was conducted of the Australian policy, strategic and regulatory imperatives that drive </w:t>
      </w:r>
      <w:r w:rsidRPr="0052249A">
        <w:rPr>
          <w:color w:val="181A6D" w:themeColor="accent1" w:themeShade="BF"/>
        </w:rPr>
        <w:t>clinical, care needs, quality and service delivery</w:t>
      </w:r>
      <w:r>
        <w:t xml:space="preserve"> data collection – </w:t>
      </w:r>
      <w:r w:rsidRPr="003A297B">
        <w:rPr>
          <w:b/>
          <w:bCs/>
        </w:rPr>
        <w:t>see Appendix 1</w:t>
      </w:r>
      <w:r>
        <w:t xml:space="preserve"> for a list of the data items in scope for Phase 2. The scan included a review of international approaches, as well as the mechanisms used to capture and transfer data between providers and government, and within government</w:t>
      </w:r>
      <w:r w:rsidR="00653FE8">
        <w:t xml:space="preserve"> (</w:t>
      </w:r>
      <w:r w:rsidR="00042BEB">
        <w:t xml:space="preserve">see </w:t>
      </w:r>
      <w:r w:rsidR="00042BEB" w:rsidRPr="00042BEB">
        <w:rPr>
          <w:b/>
          <w:bCs/>
        </w:rPr>
        <w:t>Appendi</w:t>
      </w:r>
      <w:r w:rsidR="008A44F6">
        <w:rPr>
          <w:b/>
          <w:bCs/>
        </w:rPr>
        <w:t>ces</w:t>
      </w:r>
      <w:r w:rsidR="00042BEB" w:rsidRPr="00042BEB">
        <w:rPr>
          <w:b/>
          <w:bCs/>
        </w:rPr>
        <w:t xml:space="preserve"> 2 and 3</w:t>
      </w:r>
      <w:r w:rsidR="00042BEB">
        <w:t>)</w:t>
      </w:r>
      <w:r>
        <w:t>.</w:t>
      </w:r>
    </w:p>
    <w:p w14:paraId="47F79E97" w14:textId="77777777" w:rsidR="00134C5E" w:rsidRDefault="00134C5E" w:rsidP="00F37F95">
      <w:pPr>
        <w:pStyle w:val="Heading2"/>
      </w:pPr>
      <w:r>
        <w:t>Policy context</w:t>
      </w:r>
    </w:p>
    <w:p w14:paraId="018BE006" w14:textId="4679AE2B" w:rsidR="00134C5E" w:rsidRDefault="00134C5E" w:rsidP="00134C5E">
      <w:r>
        <w:t>A range of legislation, contractual obligations, regulatory requirements, policies and strategic plans determine the clinical, care needs, quality</w:t>
      </w:r>
      <w:r w:rsidR="5695C2E6">
        <w:t>,</w:t>
      </w:r>
      <w:r>
        <w:t xml:space="preserve"> and care delivery data the aged care sector is required to report to government. </w:t>
      </w:r>
    </w:p>
    <w:p w14:paraId="6E1DFF7F" w14:textId="5EAFF441" w:rsidR="00134C5E" w:rsidRDefault="00134C5E" w:rsidP="00134C5E">
      <w:r>
        <w:t xml:space="preserve">The </w:t>
      </w:r>
      <w:r w:rsidR="46BB0F8A">
        <w:t xml:space="preserve">Secretary of the </w:t>
      </w:r>
      <w:r>
        <w:t xml:space="preserve">Department of Health, Disability and Ageing </w:t>
      </w:r>
      <w:r w:rsidR="4F056403">
        <w:t xml:space="preserve">is the </w:t>
      </w:r>
      <w:r w:rsidR="00943533">
        <w:t>S</w:t>
      </w:r>
      <w:r w:rsidR="4F056403">
        <w:t>ystem Governor of</w:t>
      </w:r>
      <w:r>
        <w:t xml:space="preserve"> the aged care sector, but other government departments and agencies also play a key role in administering, funding and regulating aged care, including the Department of Social Services, Services Australia, the Department of Veterans’ Affairs, the National Disability Insurance Agency and the Australian Taxation Office.</w:t>
      </w:r>
    </w:p>
    <w:p w14:paraId="0B80856D" w14:textId="25D8ED74" w:rsidR="00156427" w:rsidRDefault="00156427" w:rsidP="00134C5E">
      <w:r>
        <w:t xml:space="preserve">The </w:t>
      </w:r>
      <w:r w:rsidRPr="0017466F">
        <w:rPr>
          <w:color w:val="212492" w:themeColor="accent1"/>
        </w:rPr>
        <w:t>Aged Care Data</w:t>
      </w:r>
      <w:r w:rsidR="0032145B" w:rsidRPr="0017466F">
        <w:rPr>
          <w:color w:val="212492" w:themeColor="accent1"/>
        </w:rPr>
        <w:t xml:space="preserve"> and Digital</w:t>
      </w:r>
      <w:r w:rsidRPr="0017466F">
        <w:rPr>
          <w:color w:val="212492" w:themeColor="accent1"/>
        </w:rPr>
        <w:t xml:space="preserve"> Strateg</w:t>
      </w:r>
      <w:r w:rsidR="00441C34" w:rsidRPr="0017466F">
        <w:rPr>
          <w:color w:val="212492" w:themeColor="accent1"/>
        </w:rPr>
        <w:t>y 2024-2029</w:t>
      </w:r>
      <w:r w:rsidR="00194185">
        <w:rPr>
          <w:rStyle w:val="FootnoteReference"/>
        </w:rPr>
        <w:footnoteReference w:id="1"/>
      </w:r>
      <w:r>
        <w:t xml:space="preserve"> sets the national direction for how aged care information will be structured, governed and shared across the sector, with a clear shift away from fragmented program-by program reporting toward a coherent national data architecture. Priorities under the strategy are </w:t>
      </w:r>
      <w:bookmarkStart w:id="0" w:name="_Int_05gwQvF3"/>
      <w:r>
        <w:t>directly linked</w:t>
      </w:r>
      <w:bookmarkEnd w:id="0"/>
      <w:r>
        <w:t xml:space="preserve"> to this review, including strengthening care connections, improving security and access control, optimising data collection and utilisation, and building and embedding data and digital maturity.</w:t>
      </w:r>
    </w:p>
    <w:p w14:paraId="0FDFA99F" w14:textId="762A63F4" w:rsidR="00134C5E" w:rsidRDefault="00134C5E" w:rsidP="00134C5E">
      <w:r>
        <w:t xml:space="preserve">The extensive program of reforms following the Royal Commission into Aged Care Quality and Safety has improved the amount of </w:t>
      </w:r>
      <w:r w:rsidR="000D5D12">
        <w:t xml:space="preserve">clinical, care needs, quality and care delivery </w:t>
      </w:r>
      <w:r>
        <w:t xml:space="preserve">information </w:t>
      </w:r>
      <w:r w:rsidR="000D5D12">
        <w:t>reported to government by</w:t>
      </w:r>
      <w:r>
        <w:t xml:space="preserve"> the aged care sector. </w:t>
      </w:r>
      <w:r w:rsidR="3C492F78">
        <w:t xml:space="preserve">Phase 2 of this </w:t>
      </w:r>
      <w:r w:rsidR="00893E19">
        <w:t>r</w:t>
      </w:r>
      <w:r w:rsidR="3C492F78">
        <w:t xml:space="preserve">eview considered </w:t>
      </w:r>
      <w:r w:rsidR="05CA4B16">
        <w:t xml:space="preserve">relevant </w:t>
      </w:r>
      <w:r w:rsidR="3C492F78">
        <w:t xml:space="preserve">data elements </w:t>
      </w:r>
      <w:r w:rsidR="715192B5">
        <w:t>f</w:t>
      </w:r>
      <w:r w:rsidR="01C06FBF">
        <w:t>rom</w:t>
      </w:r>
      <w:r w:rsidR="715192B5">
        <w:t>:</w:t>
      </w:r>
    </w:p>
    <w:p w14:paraId="2279E82C" w14:textId="60ABD819" w:rsidR="715192B5" w:rsidRDefault="002F366B" w:rsidP="00F37F95">
      <w:pPr>
        <w:pStyle w:val="ListBullet"/>
      </w:pPr>
      <w:r>
        <w:t>t</w:t>
      </w:r>
      <w:r w:rsidR="715192B5">
        <w:t>he Serious Incident Response Scheme</w:t>
      </w:r>
      <w:r w:rsidR="002B1D51">
        <w:t>.</w:t>
      </w:r>
    </w:p>
    <w:p w14:paraId="7F7938E4" w14:textId="3B8E1651" w:rsidR="58F32979" w:rsidRDefault="009A3E5E" w:rsidP="00F37F95">
      <w:pPr>
        <w:pStyle w:val="ListBullet"/>
      </w:pPr>
      <w:r>
        <w:t>t</w:t>
      </w:r>
      <w:r w:rsidR="58F32979">
        <w:t>he Integrated Assessment Tool</w:t>
      </w:r>
      <w:r w:rsidR="002B1D51">
        <w:t>.</w:t>
      </w:r>
    </w:p>
    <w:p w14:paraId="3A804C42" w14:textId="54FAF618" w:rsidR="3FC887F0" w:rsidRDefault="715192B5" w:rsidP="00F37F95">
      <w:pPr>
        <w:pStyle w:val="ListBullet"/>
      </w:pPr>
      <w:r>
        <w:t xml:space="preserve">Residential </w:t>
      </w:r>
      <w:r w:rsidR="009A3E5E">
        <w:t>a</w:t>
      </w:r>
      <w:r>
        <w:t xml:space="preserve">ged </w:t>
      </w:r>
      <w:r w:rsidR="009A3E5E">
        <w:t>c</w:t>
      </w:r>
      <w:r>
        <w:t>are funding assessments</w:t>
      </w:r>
      <w:r w:rsidR="002B1D51">
        <w:t>.</w:t>
      </w:r>
    </w:p>
    <w:p w14:paraId="5C9CEDF9" w14:textId="3ABFDA4D" w:rsidR="715192B5" w:rsidRDefault="715192B5" w:rsidP="00F37F95">
      <w:pPr>
        <w:pStyle w:val="ListBullet"/>
      </w:pPr>
      <w:r>
        <w:t>Star Ratings for residential aged care</w:t>
      </w:r>
      <w:r w:rsidR="002B1D51">
        <w:t>.</w:t>
      </w:r>
    </w:p>
    <w:p w14:paraId="094B1C96" w14:textId="6F1D2991" w:rsidR="715192B5" w:rsidRDefault="008E5DA1" w:rsidP="00F37F95">
      <w:pPr>
        <w:pStyle w:val="ListBullet"/>
      </w:pPr>
      <w:r>
        <w:t>t</w:t>
      </w:r>
      <w:r w:rsidR="715192B5">
        <w:t>he National Aged Care Quality Indicator (QI) Program.</w:t>
      </w:r>
    </w:p>
    <w:p w14:paraId="6DC2C35E" w14:textId="316BE257" w:rsidR="715192B5" w:rsidRDefault="715192B5" w:rsidP="32CD21BE">
      <w:r>
        <w:t xml:space="preserve">The </w:t>
      </w:r>
      <w:r w:rsidR="00C008C1">
        <w:t>r</w:t>
      </w:r>
      <w:r>
        <w:t>eview also considered the drivers for collection of data items in the above programs and tools, as well as the planned inclusion of clinical and care</w:t>
      </w:r>
      <w:r w:rsidR="0032145B">
        <w:t xml:space="preserve"> </w:t>
      </w:r>
      <w:r>
        <w:t>needs data items in future versions of the Aged Care National Min</w:t>
      </w:r>
      <w:r w:rsidR="14AC6E60">
        <w:t>i</w:t>
      </w:r>
      <w:r>
        <w:t>mum Data</w:t>
      </w:r>
      <w:r w:rsidR="6B5B8588">
        <w:t xml:space="preserve"> S</w:t>
      </w:r>
      <w:r>
        <w:t xml:space="preserve">et. </w:t>
      </w:r>
    </w:p>
    <w:p w14:paraId="127AE8CB" w14:textId="273138B2" w:rsidR="00134C5E" w:rsidRDefault="00134C5E" w:rsidP="00134C5E">
      <w:r>
        <w:t xml:space="preserve">The </w:t>
      </w:r>
      <w:r w:rsidRPr="64397149">
        <w:rPr>
          <w:i/>
          <w:iCs/>
        </w:rPr>
        <w:t>Aged Care Act 2024</w:t>
      </w:r>
      <w:r>
        <w:t xml:space="preserve"> </w:t>
      </w:r>
      <w:r w:rsidR="00CC5A29">
        <w:t xml:space="preserve">impacted the type and amount of data available to government about the Australian aged care sector. </w:t>
      </w:r>
      <w:r w:rsidR="000F3FCA">
        <w:t xml:space="preserve">Changes to reporting </w:t>
      </w:r>
      <w:r w:rsidR="0032145B">
        <w:t xml:space="preserve">arising from the Act were </w:t>
      </w:r>
      <w:r w:rsidR="000F3FCA">
        <w:t>considered in Phase 2</w:t>
      </w:r>
      <w:r w:rsidR="0032145B">
        <w:t>,</w:t>
      </w:r>
      <w:r w:rsidR="000F3FCA">
        <w:t xml:space="preserve"> includ</w:t>
      </w:r>
      <w:r w:rsidR="0032145B">
        <w:t>ing</w:t>
      </w:r>
      <w:r w:rsidR="000F3FCA">
        <w:t xml:space="preserve"> those related to </w:t>
      </w:r>
      <w:r>
        <w:t>Support at Home</w:t>
      </w:r>
      <w:r w:rsidR="000F3FCA">
        <w:t xml:space="preserve">, </w:t>
      </w:r>
      <w:r>
        <w:t>the strengthened Aged Care Quality Standards</w:t>
      </w:r>
      <w:r w:rsidR="000F3FCA">
        <w:t xml:space="preserve">, changes to provider registration and </w:t>
      </w:r>
      <w:r>
        <w:t xml:space="preserve">accountabilities, </w:t>
      </w:r>
      <w:r w:rsidR="000F3FCA">
        <w:t>and</w:t>
      </w:r>
      <w:r w:rsidR="00D8306A">
        <w:t xml:space="preserve"> </w:t>
      </w:r>
      <w:r>
        <w:t>amendments to the Healthcare Identifiers Act that expand the scope health professionals eligible for a Healthcare Provider Identifier and create Health Administration Entities to support the delivery and monitoring of health services.</w:t>
      </w:r>
    </w:p>
    <w:p w14:paraId="104177C9" w14:textId="370F05A0" w:rsidR="00134C5E" w:rsidRDefault="00134C5E" w:rsidP="00F37F95">
      <w:pPr>
        <w:pStyle w:val="Heading2"/>
      </w:pPr>
      <w:r>
        <w:t>Recent reviews</w:t>
      </w:r>
    </w:p>
    <w:p w14:paraId="443CE850" w14:textId="0088B3F1" w:rsidR="00134C5E" w:rsidRDefault="00134C5E" w:rsidP="00134C5E">
      <w:r>
        <w:t>It is important to acknowledge that clinical</w:t>
      </w:r>
      <w:r w:rsidRPr="5146E752">
        <w:rPr>
          <w:lang w:val="en-US"/>
        </w:rPr>
        <w:t xml:space="preserve">, care needs, quality and care delivery data in aged care has been the focus of several recent reviews and reports in Australia. The </w:t>
      </w:r>
      <w:r w:rsidR="001D60F7" w:rsidRPr="002578DA">
        <w:rPr>
          <w:color w:val="212492" w:themeColor="accent1"/>
        </w:rPr>
        <w:t xml:space="preserve">Australian </w:t>
      </w:r>
      <w:r w:rsidR="00481AEF" w:rsidRPr="002578DA">
        <w:rPr>
          <w:color w:val="212492" w:themeColor="accent1"/>
        </w:rPr>
        <w:t>a</w:t>
      </w:r>
      <w:r w:rsidRPr="002578DA">
        <w:rPr>
          <w:color w:val="212492" w:themeColor="accent1"/>
        </w:rPr>
        <w:t xml:space="preserve">ged </w:t>
      </w:r>
      <w:r w:rsidR="00481AEF" w:rsidRPr="002578DA">
        <w:rPr>
          <w:color w:val="212492" w:themeColor="accent1"/>
        </w:rPr>
        <w:t>c</w:t>
      </w:r>
      <w:r w:rsidRPr="002578DA">
        <w:rPr>
          <w:color w:val="212492" w:themeColor="accent1"/>
        </w:rPr>
        <w:t xml:space="preserve">are </w:t>
      </w:r>
      <w:r w:rsidR="00481AEF" w:rsidRPr="002578DA">
        <w:rPr>
          <w:color w:val="212492" w:themeColor="accent1"/>
        </w:rPr>
        <w:t>d</w:t>
      </w:r>
      <w:r w:rsidRPr="002578DA">
        <w:rPr>
          <w:color w:val="212492" w:themeColor="accent1"/>
        </w:rPr>
        <w:t xml:space="preserve">ata </w:t>
      </w:r>
      <w:r w:rsidR="00481AEF" w:rsidRPr="002578DA">
        <w:rPr>
          <w:color w:val="212492" w:themeColor="accent1"/>
        </w:rPr>
        <w:t>l</w:t>
      </w:r>
      <w:r w:rsidRPr="002578DA">
        <w:rPr>
          <w:color w:val="212492" w:themeColor="accent1"/>
        </w:rPr>
        <w:t>andscape report</w:t>
      </w:r>
      <w:r w:rsidR="00F109F3">
        <w:rPr>
          <w:rStyle w:val="FootnoteReference"/>
          <w:lang w:val="en-US"/>
        </w:rPr>
        <w:footnoteReference w:id="2"/>
      </w:r>
      <w:r w:rsidRPr="5146E752">
        <w:rPr>
          <w:lang w:val="en-US"/>
        </w:rPr>
        <w:t xml:space="preserve">, released by CSIRO and the Digital Health Cooperative Research Centre in </w:t>
      </w:r>
      <w:r w:rsidRPr="25D89EEE">
        <w:rPr>
          <w:lang w:val="en-US"/>
        </w:rPr>
        <w:t>Marc</w:t>
      </w:r>
      <w:r w:rsidR="3DF7DAF0" w:rsidRPr="25D89EEE">
        <w:rPr>
          <w:lang w:val="en-US"/>
        </w:rPr>
        <w:t>h</w:t>
      </w:r>
      <w:r w:rsidRPr="5146E752">
        <w:rPr>
          <w:lang w:val="en-US"/>
        </w:rPr>
        <w:t xml:space="preserve"> 2025, </w:t>
      </w:r>
      <w:r>
        <w:t>included desktop research and interviews with key stakeholders. The report provided a comprehensive summary of data flows in aged care, from point of collection through to submission to government, including data collected outside of aged care settings (e.g. hospitals, primary health care). Key recommendations included promoting common data languages with adequate support for adopting standards, leveraging existing programs, and focusing on interoperability between the aged care and healthcare systems</w:t>
      </w:r>
      <w:r w:rsidR="56B6A212">
        <w:t>.</w:t>
      </w:r>
      <w:r w:rsidR="00B2471B">
        <w:t xml:space="preserve"> </w:t>
      </w:r>
      <w:r w:rsidR="00C02465">
        <w:t xml:space="preserve">The key challenges and opportunities </w:t>
      </w:r>
      <w:r w:rsidR="00BA1B8A">
        <w:t xml:space="preserve">identified regarding </w:t>
      </w:r>
      <w:r w:rsidR="00C02465">
        <w:t xml:space="preserve">data standards and systems interoperability in the aged care sector </w:t>
      </w:r>
      <w:r w:rsidR="00FA325F">
        <w:t xml:space="preserve">informed </w:t>
      </w:r>
      <w:r w:rsidR="00C02465">
        <w:t>this review.</w:t>
      </w:r>
    </w:p>
    <w:p w14:paraId="35B41777" w14:textId="1BE8CCB4" w:rsidR="00134C5E" w:rsidRDefault="00134C5E" w:rsidP="00134C5E">
      <w:r w:rsidRPr="5146E752">
        <w:t xml:space="preserve">A </w:t>
      </w:r>
      <w:r w:rsidRPr="00845375">
        <w:rPr>
          <w:color w:val="212492" w:themeColor="accent1"/>
        </w:rPr>
        <w:t>feasibility assessment for implementing a standardised clinical assessment system in Australia</w:t>
      </w:r>
      <w:r w:rsidR="008241F7">
        <w:rPr>
          <w:rStyle w:val="FootnoteReference"/>
          <w:lang w:val="en-US"/>
        </w:rPr>
        <w:footnoteReference w:id="3"/>
      </w:r>
      <w:r w:rsidR="008241F7">
        <w:rPr>
          <w:lang w:val="en-US"/>
        </w:rPr>
        <w:t xml:space="preserve"> </w:t>
      </w:r>
      <w:r w:rsidRPr="5146E752">
        <w:rPr>
          <w:lang w:val="en-US"/>
        </w:rPr>
        <w:t xml:space="preserve">was completed in March 2025. The assessment identified </w:t>
      </w:r>
      <w:proofErr w:type="gramStart"/>
      <w:r w:rsidRPr="5146E752">
        <w:rPr>
          <w:lang w:val="en-US"/>
        </w:rPr>
        <w:t>a number of</w:t>
      </w:r>
      <w:proofErr w:type="gramEnd"/>
      <w:r w:rsidRPr="5146E752">
        <w:rPr>
          <w:lang w:val="en-US"/>
        </w:rPr>
        <w:t xml:space="preserve"> core factors required for establishing successful data interoperability in aged care in Australia, including integration with existing systems, </w:t>
      </w:r>
      <w:proofErr w:type="spellStart"/>
      <w:r w:rsidRPr="5146E752">
        <w:rPr>
          <w:lang w:val="en-US"/>
        </w:rPr>
        <w:t>centralised</w:t>
      </w:r>
      <w:proofErr w:type="spellEnd"/>
      <w:r w:rsidRPr="5146E752">
        <w:rPr>
          <w:lang w:val="en-US"/>
        </w:rPr>
        <w:t xml:space="preserve"> data storage, training and workforce development, government leadership and stakeholder engagement, emphasis on data reuse, and consumer access and transparency.</w:t>
      </w:r>
    </w:p>
    <w:p w14:paraId="58F50486" w14:textId="7016A863" w:rsidR="00134C5E" w:rsidRDefault="00134C5E" w:rsidP="00134C5E">
      <w:r>
        <w:t xml:space="preserve">CSIRO’s Australian eHealth Research Centre (AEHRC), as part of the Sparked partnership of the Department of Health, Disability and Ageing, the Australian Digital Health Agency (ADHA), and HL7 Australia (HL7 AU) </w:t>
      </w:r>
      <w:r w:rsidR="0E225D2A">
        <w:t xml:space="preserve">promotes </w:t>
      </w:r>
      <w:r>
        <w:t xml:space="preserve">the development, management and ongoing support of the Fast Healthcare Interoperability Resources (FHIR) standards for healthcare data exchange. The </w:t>
      </w:r>
      <w:r w:rsidRPr="00044CEE">
        <w:t xml:space="preserve">Sparked program </w:t>
      </w:r>
      <w:r>
        <w:t>brings together stakeholders across the healthcare ecosystem to drive the development and adoption of nationally prioritised FHIR standards. Over a three-year period, the initiative aims to deliver a core set of FHIR standards for use in Australian healthcare settings.</w:t>
      </w:r>
    </w:p>
    <w:p w14:paraId="4ABB6FC8" w14:textId="70E661D4" w:rsidR="00134C5E" w:rsidRDefault="00134C5E" w:rsidP="00044CEE">
      <w:pPr>
        <w:spacing w:after="240"/>
      </w:pPr>
      <w:r>
        <w:t>The Aged Care Data and Reporting Review Project team is working in close collaboration with the Department, ADHA, AIHW, CSIRO and the Digital Health CRC to draw upon and integrate these programs of work into the findings and recommendations of the project.</w:t>
      </w:r>
    </w:p>
    <w:p w14:paraId="13BC231A" w14:textId="77777777" w:rsidR="00134C5E" w:rsidRPr="00807308" w:rsidRDefault="00134C5E" w:rsidP="00134C5E">
      <w:pPr>
        <w:pStyle w:val="Heading2"/>
      </w:pPr>
      <w:r w:rsidRPr="00807308">
        <w:t>Key findings</w:t>
      </w:r>
    </w:p>
    <w:p w14:paraId="339B4EF3" w14:textId="55A38219" w:rsidR="00134C5E" w:rsidRDefault="00134C5E" w:rsidP="00134C5E">
      <w:r>
        <w:t xml:space="preserve">The </w:t>
      </w:r>
      <w:r w:rsidR="00726DE0">
        <w:t xml:space="preserve">Environmental Scan </w:t>
      </w:r>
      <w:r w:rsidR="005410A4">
        <w:t xml:space="preserve">includes </w:t>
      </w:r>
      <w:r>
        <w:t>5 key findings about the clinical, care needs, quality and care delivery information reported to the Australian Government. Each of these findings led to the identification of opportunities to improve the quality, consistency and interoperability of the aged care data ecosystem. Findings include:</w:t>
      </w:r>
    </w:p>
    <w:p w14:paraId="68308416" w14:textId="03255568" w:rsidR="00134C5E" w:rsidRDefault="1428DB52" w:rsidP="00F37F95">
      <w:pPr>
        <w:pStyle w:val="ListBullet"/>
      </w:pPr>
      <w:r>
        <w:t xml:space="preserve">There are differences between </w:t>
      </w:r>
      <w:r w:rsidR="000F5EE0">
        <w:t xml:space="preserve">aggregate </w:t>
      </w:r>
      <w:r>
        <w:t>Quality Indicator data reported to the Department and person-level clinical data collected and held by residential aged care providers.</w:t>
      </w:r>
    </w:p>
    <w:p w14:paraId="49264D60" w14:textId="38CB97E8" w:rsidR="00B84DFC" w:rsidRDefault="504DAEEC" w:rsidP="00F37F95">
      <w:pPr>
        <w:pStyle w:val="ListBullet"/>
      </w:pPr>
      <w:r>
        <w:t xml:space="preserve">Local quality improvement and clinical governance practices conducted by residential aged care providers may require different </w:t>
      </w:r>
      <w:r w:rsidR="00056684">
        <w:t>and/or additional</w:t>
      </w:r>
      <w:r>
        <w:t xml:space="preserve"> data than</w:t>
      </w:r>
      <w:r w:rsidR="00056684">
        <w:t xml:space="preserve"> that required by</w:t>
      </w:r>
      <w:r>
        <w:t xml:space="preserve"> the Quality Indicator program.</w:t>
      </w:r>
      <w:r w:rsidR="00B84DFC">
        <w:t xml:space="preserve"> </w:t>
      </w:r>
    </w:p>
    <w:p w14:paraId="734A1892" w14:textId="5A244BFD" w:rsidR="00134C5E" w:rsidRDefault="00134C5E" w:rsidP="00F37F95">
      <w:pPr>
        <w:pStyle w:val="ListBullet"/>
      </w:pPr>
      <w:r w:rsidRPr="00EE1E0B">
        <w:t>The IAT and AN-ACC are bespoke assessments not intended as a substitute for clinical assessments</w:t>
      </w:r>
      <w:r w:rsidR="00352197">
        <w:t xml:space="preserve"> undertaken by the provider for the purposes of care planning</w:t>
      </w:r>
      <w:r>
        <w:t>.</w:t>
      </w:r>
    </w:p>
    <w:p w14:paraId="7C9D9292" w14:textId="70D97568" w:rsidR="00134C5E" w:rsidRDefault="00353571" w:rsidP="00F37F95">
      <w:pPr>
        <w:pStyle w:val="ListBullet"/>
      </w:pPr>
      <w:r>
        <w:t>The format of c</w:t>
      </w:r>
      <w:r w:rsidR="00134C5E" w:rsidRPr="00575DEB">
        <w:t xml:space="preserve">linical, care needs, quality and care delivery data for aged care is </w:t>
      </w:r>
      <w:r>
        <w:t xml:space="preserve">generally </w:t>
      </w:r>
      <w:r w:rsidR="00134C5E" w:rsidRPr="00575DEB">
        <w:t>not aligned to other care settings</w:t>
      </w:r>
      <w:r w:rsidR="004E0750">
        <w:t xml:space="preserve"> or international approaches</w:t>
      </w:r>
      <w:r w:rsidR="00134C5E">
        <w:t>.</w:t>
      </w:r>
    </w:p>
    <w:p w14:paraId="440CDCDB" w14:textId="77777777" w:rsidR="00134C5E" w:rsidRDefault="00134C5E" w:rsidP="00F37F95">
      <w:pPr>
        <w:pStyle w:val="ListBullet"/>
      </w:pPr>
      <w:r>
        <w:t>Data governance and data and digital literacy are key enablers of a transition to better use and reuse of data.</w:t>
      </w:r>
    </w:p>
    <w:p w14:paraId="18D2C3EC" w14:textId="77777777" w:rsidR="00335DFD" w:rsidRDefault="00335DFD">
      <w:pPr>
        <w:spacing w:after="160" w:line="259" w:lineRule="auto"/>
        <w:rPr>
          <w:rFonts w:eastAsiaTheme="majorEastAsia" w:cstheme="majorBidi"/>
          <w:i/>
          <w:iCs/>
          <w:color w:val="212492" w:themeColor="accent1"/>
          <w:sz w:val="24"/>
        </w:rPr>
      </w:pPr>
      <w:r>
        <w:br w:type="page"/>
      </w:r>
    </w:p>
    <w:p w14:paraId="3C81941A" w14:textId="77777777" w:rsidR="00134C5E" w:rsidRPr="00211A27" w:rsidRDefault="00134C5E" w:rsidP="00F37F95">
      <w:pPr>
        <w:pStyle w:val="Heading3"/>
      </w:pPr>
      <w:r w:rsidRPr="00211A27">
        <w:t>Person-level clinical data in residential aged care is not aligned to data reported to the QI Program</w:t>
      </w:r>
    </w:p>
    <w:p w14:paraId="521B7B6B" w14:textId="77777777" w:rsidR="00134C5E" w:rsidRDefault="00134C5E" w:rsidP="00134C5E">
      <w:r>
        <w:t xml:space="preserve">Information on the quality of care (e.g. QI Program measures) is reported to the Department by residential aged care services each quarter. Providers review local records and conduct specific assessments to collect the information required for QI Program reporting, with aggregate service-level information reported, i.e. as a percentage of all residents. </w:t>
      </w:r>
    </w:p>
    <w:p w14:paraId="035A86C6" w14:textId="168C9AE5" w:rsidR="00134C5E" w:rsidRDefault="00134C5E" w:rsidP="00134C5E">
      <w:r>
        <w:t xml:space="preserve">The </w:t>
      </w:r>
      <w:r w:rsidR="00A47E86">
        <w:t xml:space="preserve">Environmental Scan </w:t>
      </w:r>
      <w:r>
        <w:t>identified differences in the data items reported for the QI Program and those collected and used by residential aged care homes to identify the current and changing clinical and functional status of individuals, inform care planning, document the care delivered and to monitor the quality of care delivered to older people. Differences include</w:t>
      </w:r>
      <w:r w:rsidR="0082127B">
        <w:t xml:space="preserve"> </w:t>
      </w:r>
      <w:r w:rsidR="00614C92">
        <w:t>those</w:t>
      </w:r>
      <w:r w:rsidR="0082127B">
        <w:t xml:space="preserve"> relating to</w:t>
      </w:r>
      <w:r>
        <w:t xml:space="preserve">: </w:t>
      </w:r>
    </w:p>
    <w:p w14:paraId="42F117AC" w14:textId="551CEDE0" w:rsidR="00134C5E" w:rsidRDefault="00134C5E" w:rsidP="00F37F95">
      <w:pPr>
        <w:pStyle w:val="ListBullet"/>
      </w:pPr>
      <w:r>
        <w:t>the way some items are defined and/or classified (e.g. activities of daily living).</w:t>
      </w:r>
    </w:p>
    <w:p w14:paraId="3625EEBD" w14:textId="6A9C29A3" w:rsidR="00134C5E" w:rsidRDefault="00134C5E" w:rsidP="00F37F95">
      <w:pPr>
        <w:pStyle w:val="ListBullet"/>
      </w:pPr>
      <w:r>
        <w:t>the timing of routine assessments and the measurement periods specified by the QI Program.</w:t>
      </w:r>
    </w:p>
    <w:p w14:paraId="6844868C" w14:textId="522EFA4E" w:rsidR="00134C5E" w:rsidRDefault="00134C5E" w:rsidP="00F37F95">
      <w:pPr>
        <w:pStyle w:val="ListBullet"/>
      </w:pPr>
      <w:r>
        <w:t xml:space="preserve">the granularity of data collected and reported (e.g. individual-level data is used for daily care and to calculate QI data, but QI data is reported at the service level). </w:t>
      </w:r>
    </w:p>
    <w:p w14:paraId="27EAAA6A" w14:textId="1E470F45" w:rsidR="00134C5E" w:rsidRDefault="00134C5E" w:rsidP="00134C5E">
      <w:r>
        <w:t xml:space="preserve">These differences also arise between providers and between care settings (i.e. quality measures are not </w:t>
      </w:r>
      <w:r w:rsidR="00497B48">
        <w:t>currently report</w:t>
      </w:r>
      <w:r w:rsidR="0F54C133">
        <w:t>ed</w:t>
      </w:r>
      <w:r w:rsidR="00497B48">
        <w:t xml:space="preserve"> to the Department by</w:t>
      </w:r>
      <w:r>
        <w:t xml:space="preserve"> providers of in-home care). This lack of consistency limits the utility of this data for quality improvement initiatives, continuity of care as older people </w:t>
      </w:r>
      <w:bookmarkStart w:id="1" w:name="_Int_h11b8gnW"/>
      <w:r w:rsidR="0D43E37E">
        <w:t>move</w:t>
      </w:r>
      <w:bookmarkEnd w:id="1"/>
      <w:r>
        <w:t xml:space="preserve"> between care settings, and analysis and planning by government. </w:t>
      </w:r>
    </w:p>
    <w:p w14:paraId="70985A27" w14:textId="2769B25B" w:rsidR="00134C5E" w:rsidRDefault="00134C5E" w:rsidP="00134C5E">
      <w:r>
        <w:t>The Environmental Scan identified two opportunities to improve clinical data reporting:</w:t>
      </w:r>
    </w:p>
    <w:p w14:paraId="1FC78C78" w14:textId="77777777" w:rsidR="00134C5E" w:rsidRDefault="00134C5E" w:rsidP="0087296C">
      <w:pPr>
        <w:pStyle w:val="ListNumber"/>
      </w:pPr>
      <w:r>
        <w:t xml:space="preserve">Adopt the reporting of </w:t>
      </w:r>
      <w:r w:rsidRPr="4B7D7DDD">
        <w:rPr>
          <w:b/>
          <w:bCs/>
          <w:color w:val="212492" w:themeColor="accent1"/>
        </w:rPr>
        <w:t>person-level data to the QI Program</w:t>
      </w:r>
      <w:r>
        <w:t xml:space="preserve"> to enable reuse for other purposes such as system planning, needs assessment, calculation of additional QIs, tracking progress over time, and data sharing - without contributing to data burden.</w:t>
      </w:r>
    </w:p>
    <w:p w14:paraId="4564ACA3" w14:textId="6C5AA60B" w:rsidR="00134C5E" w:rsidRDefault="00134C5E" w:rsidP="0087296C">
      <w:pPr>
        <w:pStyle w:val="ListNumber"/>
      </w:pPr>
      <w:r>
        <w:t xml:space="preserve">Explore options to reach agreement on a </w:t>
      </w:r>
      <w:r w:rsidRPr="64397149">
        <w:rPr>
          <w:b/>
          <w:bCs/>
          <w:color w:val="212492" w:themeColor="accent1"/>
        </w:rPr>
        <w:t>set of clinical data items</w:t>
      </w:r>
      <w:r>
        <w:t xml:space="preserve"> that should be collected by providers </w:t>
      </w:r>
      <w:r w:rsidRPr="003C4393">
        <w:t>of</w:t>
      </w:r>
      <w:r w:rsidRPr="005B368B">
        <w:rPr>
          <w:b/>
          <w:bCs/>
        </w:rPr>
        <w:t xml:space="preserve"> </w:t>
      </w:r>
      <w:r w:rsidRPr="005B368B">
        <w:rPr>
          <w:b/>
          <w:bCs/>
          <w:color w:val="212492" w:themeColor="accent1"/>
        </w:rPr>
        <w:t>in-home care</w:t>
      </w:r>
      <w:r>
        <w:t>. The Support at Home Program (and the future transition of CHSP) are likely to increase the importance of care-quality visibility for in-home care for consumers and government.</w:t>
      </w:r>
    </w:p>
    <w:tbl>
      <w:tblPr>
        <w:tblStyle w:val="TableGrid"/>
        <w:tblW w:w="0" w:type="auto"/>
        <w:tblLook w:val="04A0" w:firstRow="1" w:lastRow="0" w:firstColumn="1" w:lastColumn="0" w:noHBand="0" w:noVBand="1"/>
        <w:tblCaption w:val="Consultation Questions"/>
        <w:tblDescription w:val="•Should QI Program reporting be adjusted to person-level data? Would this increase or decrease the administrative burden on your organisation?&#10;•What barriers would need to be addressed, and what timeframe would be realistic for your organisation to report person-level data?&#10;•What clinical information do providers of in-home care currently collect and how is it used?&#10;"/>
      </w:tblPr>
      <w:tblGrid>
        <w:gridCol w:w="9628"/>
      </w:tblGrid>
      <w:tr w:rsidR="005B7F4D" w:rsidRPr="00F75C7F" w14:paraId="24195707" w14:textId="77777777" w:rsidTr="00F37F95">
        <w:trPr>
          <w:tblHeader/>
        </w:trPr>
        <w:tc>
          <w:tcPr>
            <w:tcW w:w="9628" w:type="dxa"/>
            <w:tcBorders>
              <w:bottom w:val="nil"/>
            </w:tcBorders>
            <w:shd w:val="clear" w:color="auto" w:fill="212492" w:themeFill="accent1"/>
          </w:tcPr>
          <w:p w14:paraId="423FC946" w14:textId="77777777" w:rsidR="00134C5E" w:rsidRPr="00F75C7F" w:rsidRDefault="00134C5E">
            <w:pPr>
              <w:rPr>
                <w:szCs w:val="22"/>
              </w:rPr>
            </w:pPr>
            <w:r w:rsidRPr="00F75C7F">
              <w:rPr>
                <w:szCs w:val="22"/>
              </w:rPr>
              <w:t>Consultation questions</w:t>
            </w:r>
          </w:p>
        </w:tc>
      </w:tr>
      <w:tr w:rsidR="005B7F4D" w:rsidRPr="00F75C7F" w14:paraId="46D20B32" w14:textId="77777777" w:rsidTr="2D9804A6">
        <w:tc>
          <w:tcPr>
            <w:tcW w:w="9628" w:type="dxa"/>
            <w:tcBorders>
              <w:top w:val="nil"/>
              <w:left w:val="nil"/>
              <w:bottom w:val="nil"/>
              <w:right w:val="nil"/>
            </w:tcBorders>
            <w:shd w:val="clear" w:color="auto" w:fill="C8C9F2" w:themeFill="accent1" w:themeFillTint="33"/>
          </w:tcPr>
          <w:p w14:paraId="7B2C5DCA" w14:textId="77777777" w:rsidR="00134C5E" w:rsidRPr="00F75C7F" w:rsidRDefault="00134C5E" w:rsidP="00134C5E">
            <w:pPr>
              <w:numPr>
                <w:ilvl w:val="0"/>
                <w:numId w:val="4"/>
              </w:numPr>
              <w:spacing w:line="280" w:lineRule="atLeast"/>
              <w:ind w:left="459" w:hanging="357"/>
              <w:rPr>
                <w:szCs w:val="22"/>
              </w:rPr>
            </w:pPr>
            <w:r w:rsidRPr="00F75C7F">
              <w:rPr>
                <w:szCs w:val="22"/>
              </w:rPr>
              <w:t>Should QI Program reporting be adjusted to person-level data? Would this increase or decrease the administrative burden on your organisation?</w:t>
            </w:r>
          </w:p>
          <w:p w14:paraId="7016FBB3" w14:textId="77777777" w:rsidR="00134C5E" w:rsidRPr="00F75C7F" w:rsidRDefault="00134C5E" w:rsidP="00134C5E">
            <w:pPr>
              <w:numPr>
                <w:ilvl w:val="0"/>
                <w:numId w:val="4"/>
              </w:numPr>
              <w:spacing w:line="280" w:lineRule="atLeast"/>
              <w:ind w:left="459" w:hanging="357"/>
              <w:rPr>
                <w:szCs w:val="22"/>
              </w:rPr>
            </w:pPr>
            <w:r w:rsidRPr="00F75C7F">
              <w:rPr>
                <w:szCs w:val="22"/>
              </w:rPr>
              <w:t>What barriers would need to be addressed, and what timeframe would be realistic for your organisation to report person-level data?</w:t>
            </w:r>
          </w:p>
          <w:p w14:paraId="20506226" w14:textId="7B0CA7DF" w:rsidR="00134C5E" w:rsidRPr="00F75C7F" w:rsidRDefault="00134C5E" w:rsidP="00134C5E">
            <w:pPr>
              <w:numPr>
                <w:ilvl w:val="0"/>
                <w:numId w:val="4"/>
              </w:numPr>
              <w:spacing w:line="280" w:lineRule="atLeast"/>
              <w:ind w:left="459" w:hanging="357"/>
            </w:pPr>
            <w:r>
              <w:t xml:space="preserve">What clinical information </w:t>
            </w:r>
            <w:bookmarkStart w:id="2" w:name="_Int_bUy70H4T"/>
            <w:proofErr w:type="gramStart"/>
            <w:r>
              <w:t>do</w:t>
            </w:r>
            <w:bookmarkEnd w:id="2"/>
            <w:proofErr w:type="gramEnd"/>
            <w:r>
              <w:t xml:space="preserve"> providers </w:t>
            </w:r>
            <w:r w:rsidR="34FF77CF">
              <w:t xml:space="preserve">of in-home care </w:t>
            </w:r>
            <w:r>
              <w:t xml:space="preserve">currently collect and </w:t>
            </w:r>
            <w:r w:rsidR="1A5C67C7">
              <w:t>how is it used</w:t>
            </w:r>
            <w:r>
              <w:t>?</w:t>
            </w:r>
          </w:p>
        </w:tc>
      </w:tr>
    </w:tbl>
    <w:p w14:paraId="56A1E905" w14:textId="35C97116" w:rsidR="00134C5E" w:rsidRPr="00211A27" w:rsidRDefault="00F17F2B" w:rsidP="00F37F95">
      <w:pPr>
        <w:pStyle w:val="Heading3"/>
      </w:pPr>
      <w:r>
        <w:t xml:space="preserve">There </w:t>
      </w:r>
      <w:r w:rsidR="00FC4E95">
        <w:t xml:space="preserve">are differences </w:t>
      </w:r>
      <w:r>
        <w:t xml:space="preserve">between </w:t>
      </w:r>
      <w:r w:rsidR="00134C5E" w:rsidRPr="00211A27">
        <w:t xml:space="preserve">QI Program data </w:t>
      </w:r>
      <w:r w:rsidR="600213B3" w:rsidRPr="6540F977">
        <w:t>and</w:t>
      </w:r>
      <w:r w:rsidR="00134C5E" w:rsidRPr="00211A27">
        <w:t xml:space="preserve"> local </w:t>
      </w:r>
      <w:r>
        <w:t xml:space="preserve">provider </w:t>
      </w:r>
      <w:r w:rsidR="00134C5E" w:rsidRPr="00211A27">
        <w:t>quality improvement and clinical governance practices</w:t>
      </w:r>
    </w:p>
    <w:p w14:paraId="5A618B27" w14:textId="7D95F600" w:rsidR="00134C5E" w:rsidRDefault="00134C5E" w:rsidP="64397149">
      <w:r>
        <w:t>The QI program data</w:t>
      </w:r>
      <w:r w:rsidRPr="00044CEE">
        <w:rPr>
          <w:color w:val="FF0000"/>
        </w:rPr>
        <w:t xml:space="preserve"> </w:t>
      </w:r>
      <w:r>
        <w:t xml:space="preserve">differs from the information residential aged care services </w:t>
      </w:r>
      <w:r w:rsidR="00496DA2">
        <w:t>may</w:t>
      </w:r>
      <w:r>
        <w:t xml:space="preserve"> use to monitor the quality of the care they deliver. Providers use information from the assessments they conduct to monitor the indicators of interest or that are of particular concern – some of which differ to those included in the QI Program. QI data is compiled by the Department and published for providers to compare their performance against the rest of the sector, but </w:t>
      </w:r>
      <w:r w:rsidR="003052B5">
        <w:t>local</w:t>
      </w:r>
      <w:r w:rsidR="00470F2C">
        <w:t xml:space="preserve"> </w:t>
      </w:r>
      <w:r w:rsidR="00470F2C" w:rsidRPr="000A50D0">
        <w:rPr>
          <w:b/>
          <w:bCs/>
          <w:color w:val="212492" w:themeColor="accent1"/>
        </w:rPr>
        <w:t>clinical data reporting cycles may differ from QI Program reporting timeframes</w:t>
      </w:r>
      <w:r>
        <w:t xml:space="preserve">, reducing </w:t>
      </w:r>
      <w:r w:rsidR="00470F2C">
        <w:t xml:space="preserve">the </w:t>
      </w:r>
      <w:r>
        <w:t xml:space="preserve">utility </w:t>
      </w:r>
      <w:r w:rsidR="00470F2C">
        <w:t>of the QI</w:t>
      </w:r>
      <w:r w:rsidR="00561D90">
        <w:t xml:space="preserve"> data</w:t>
      </w:r>
      <w:r w:rsidR="00470F2C">
        <w:t xml:space="preserve"> </w:t>
      </w:r>
      <w:r>
        <w:t xml:space="preserve">for continuous improvement efforts. </w:t>
      </w:r>
    </w:p>
    <w:p w14:paraId="6B243114" w14:textId="6A42F966" w:rsidR="00134C5E" w:rsidRDefault="008C2AFE" w:rsidP="00F75C7F">
      <w:pPr>
        <w:spacing w:after="240"/>
      </w:pPr>
      <w:r>
        <w:t>It was also noted during the</w:t>
      </w:r>
      <w:r w:rsidR="00134C5E">
        <w:t xml:space="preserve"> E</w:t>
      </w:r>
      <w:r w:rsidR="33200457">
        <w:t xml:space="preserve">nvironmental </w:t>
      </w:r>
      <w:r w:rsidR="00134C5E">
        <w:t xml:space="preserve">Scan that QIs are reported by residential aged care services each quarter, but </w:t>
      </w:r>
      <w:r w:rsidR="00B139B8">
        <w:t>similar</w:t>
      </w:r>
      <w:r w:rsidR="00134C5E">
        <w:t xml:space="preserve"> information is </w:t>
      </w:r>
      <w:r w:rsidR="00134C5E" w:rsidRPr="00A72512">
        <w:t>not reported by providers of in-home services</w:t>
      </w:r>
      <w:r w:rsidR="00134C5E">
        <w:t xml:space="preserve">. The introduction of the Support at Home Program in November 2025, and the future transition of CHSP, are likely to increase the importance of care-quality visibility in home care for consumers and government.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Description w:val="•If standardising reported clinical data made the reporting process faster, would the benefits be greater than the costs involved?&#10;•Can you share any thoughts about how the data collection and reporting timeframes could be better aligned?&#10;"/>
      </w:tblPr>
      <w:tblGrid>
        <w:gridCol w:w="9628"/>
      </w:tblGrid>
      <w:tr w:rsidR="005B1E8E" w:rsidRPr="003D35A3" w14:paraId="3631EB69" w14:textId="77777777" w:rsidTr="00F37F95">
        <w:trPr>
          <w:tblHeader/>
        </w:trPr>
        <w:tc>
          <w:tcPr>
            <w:tcW w:w="9628" w:type="dxa"/>
            <w:shd w:val="clear" w:color="auto" w:fill="212492" w:themeFill="accent1"/>
          </w:tcPr>
          <w:p w14:paraId="667BCB44" w14:textId="77777777" w:rsidR="00134C5E" w:rsidRPr="00F75C7F" w:rsidRDefault="00134C5E">
            <w:pPr>
              <w:rPr>
                <w:szCs w:val="26"/>
              </w:rPr>
            </w:pPr>
            <w:r w:rsidRPr="00F75C7F">
              <w:rPr>
                <w:szCs w:val="26"/>
              </w:rPr>
              <w:t>Consultation questions</w:t>
            </w:r>
          </w:p>
        </w:tc>
      </w:tr>
      <w:tr w:rsidR="005B1E8E" w:rsidRPr="003D35A3" w14:paraId="3EE95EF7" w14:textId="77777777" w:rsidTr="64397149">
        <w:tc>
          <w:tcPr>
            <w:tcW w:w="9628" w:type="dxa"/>
            <w:shd w:val="clear" w:color="auto" w:fill="C8C9F2" w:themeFill="accent1" w:themeFillTint="33"/>
          </w:tcPr>
          <w:p w14:paraId="7B7B7116" w14:textId="2FB98F67" w:rsidR="006178E8" w:rsidRDefault="12D5D9BB" w:rsidP="001C456F">
            <w:pPr>
              <w:pStyle w:val="ListBullet"/>
            </w:pPr>
            <w:r>
              <w:t xml:space="preserve">If standardising reported clinical data made the reporting process faster, </w:t>
            </w:r>
            <w:r w:rsidR="26D7E5AA">
              <w:t>would the benefits be greater than the costs involved?</w:t>
            </w:r>
          </w:p>
          <w:p w14:paraId="6EBF6096" w14:textId="214D55B7" w:rsidR="00134C5E" w:rsidRPr="003D35A3" w:rsidRDefault="4207B009" w:rsidP="001C456F">
            <w:pPr>
              <w:pStyle w:val="ListBullet"/>
            </w:pPr>
            <w:r>
              <w:t xml:space="preserve">Can you share any thoughts about how the data collection and reporting </w:t>
            </w:r>
            <w:r w:rsidR="00554F15">
              <w:t xml:space="preserve">timeframes could </w:t>
            </w:r>
            <w:r>
              <w:t xml:space="preserve">be </w:t>
            </w:r>
            <w:r w:rsidR="0029139E">
              <w:t>better aligned</w:t>
            </w:r>
            <w:r>
              <w:t>?</w:t>
            </w:r>
          </w:p>
        </w:tc>
      </w:tr>
    </w:tbl>
    <w:p w14:paraId="357DC067" w14:textId="5DFC9590" w:rsidR="00134C5E" w:rsidRDefault="00134C5E" w:rsidP="00F37F95">
      <w:pPr>
        <w:pStyle w:val="Heading3"/>
      </w:pPr>
      <w:r w:rsidRPr="64397149">
        <w:t>The IAT and AN-ACC are bespoke assessment</w:t>
      </w:r>
      <w:r w:rsidR="00B8086B" w:rsidRPr="64397149">
        <w:t xml:space="preserve"> tools and are</w:t>
      </w:r>
      <w:r w:rsidRPr="64397149">
        <w:t xml:space="preserve"> not intended a</w:t>
      </w:r>
      <w:r w:rsidR="00B8086B" w:rsidRPr="64397149">
        <w:t>s</w:t>
      </w:r>
      <w:r w:rsidRPr="64397149">
        <w:t xml:space="preserve"> substitute</w:t>
      </w:r>
      <w:r w:rsidR="00B8086B" w:rsidRPr="64397149">
        <w:t>s</w:t>
      </w:r>
      <w:r w:rsidRPr="64397149">
        <w:t xml:space="preserve"> for clinical assessments</w:t>
      </w:r>
      <w:r w:rsidR="00F17F2B" w:rsidRPr="64397149">
        <w:t xml:space="preserve"> undertaken by the provider for the purposes of care planning</w:t>
      </w:r>
    </w:p>
    <w:p w14:paraId="071A4E0F" w14:textId="39161205" w:rsidR="00245018" w:rsidRPr="00A23C5D" w:rsidRDefault="00866BB0" w:rsidP="64397149">
      <w:pPr>
        <w:rPr>
          <w:sz w:val="20"/>
          <w:szCs w:val="20"/>
        </w:rPr>
      </w:pPr>
      <w:proofErr w:type="gramStart"/>
      <w:r>
        <w:t>The majority of</w:t>
      </w:r>
      <w:proofErr w:type="gramEnd"/>
      <w:r>
        <w:t xml:space="preserve"> information available to the Australian Government about the clinical and care needs of older people is collected by independent assessors at the time of eligibility and funding assessments through the Single Assessment System. The assessment instruments (e.g. Integrated Assessment Tool (IAT) and Australian National Aged Care Classification (AN-ACC)) incorporate clinical tools, some of which are already standardised in digital health systems. This includes the GP-COG in the IAT and the Braden Scale for Predicting Pressure Sore Risk in the AN-ACC.</w:t>
      </w:r>
    </w:p>
    <w:p w14:paraId="70996C72" w14:textId="2D8DF740" w:rsidR="00F75C7F" w:rsidRPr="00044CEE" w:rsidRDefault="00447A63" w:rsidP="00A72512">
      <w:pPr>
        <w:spacing w:after="240"/>
        <w:rPr>
          <w:strike/>
        </w:rPr>
      </w:pPr>
      <w:r w:rsidRPr="64397149">
        <w:rPr>
          <w:lang w:val="en-US"/>
        </w:rPr>
        <w:t xml:space="preserve">It is noted that the IAT and AN-ACC tools </w:t>
      </w:r>
      <w:r w:rsidR="0017370B" w:rsidRPr="64397149">
        <w:rPr>
          <w:lang w:val="en-US"/>
        </w:rPr>
        <w:t>use different d</w:t>
      </w:r>
      <w:r w:rsidR="00134C5E" w:rsidRPr="64397149">
        <w:rPr>
          <w:lang w:val="en-US"/>
        </w:rPr>
        <w:t xml:space="preserve">ata items </w:t>
      </w:r>
      <w:r w:rsidR="003E65A4" w:rsidRPr="64397149">
        <w:rPr>
          <w:lang w:val="en-US"/>
        </w:rPr>
        <w:t xml:space="preserve">to </w:t>
      </w:r>
      <w:proofErr w:type="spellStart"/>
      <w:r w:rsidR="003E65A4" w:rsidRPr="64397149">
        <w:rPr>
          <w:lang w:val="en-US"/>
        </w:rPr>
        <w:t>characteri</w:t>
      </w:r>
      <w:r w:rsidR="00CA70C5">
        <w:rPr>
          <w:lang w:val="en-US"/>
        </w:rPr>
        <w:t>s</w:t>
      </w:r>
      <w:r w:rsidR="003E65A4" w:rsidRPr="64397149">
        <w:rPr>
          <w:lang w:val="en-US"/>
        </w:rPr>
        <w:t>e</w:t>
      </w:r>
      <w:proofErr w:type="spellEnd"/>
      <w:r w:rsidR="003E65A4" w:rsidRPr="64397149">
        <w:rPr>
          <w:lang w:val="en-US"/>
        </w:rPr>
        <w:t xml:space="preserve"> similar concepts</w:t>
      </w:r>
      <w:r w:rsidR="00134C5E" w:rsidRPr="64397149">
        <w:rPr>
          <w:lang w:val="en-US"/>
        </w:rPr>
        <w:t xml:space="preserve">, and assessments are conducted </w:t>
      </w:r>
      <w:r w:rsidR="00866BB0" w:rsidRPr="64397149">
        <w:rPr>
          <w:lang w:val="en-US"/>
        </w:rPr>
        <w:t xml:space="preserve">at the point of entry into aged care or when care needs change triggering a reassessment </w:t>
      </w:r>
      <w:proofErr w:type="gramStart"/>
      <w:r w:rsidR="00866BB0" w:rsidRPr="64397149">
        <w:rPr>
          <w:lang w:val="en-US"/>
        </w:rPr>
        <w:t>for</w:t>
      </w:r>
      <w:proofErr w:type="gramEnd"/>
      <w:r w:rsidR="00866BB0" w:rsidRPr="64397149">
        <w:rPr>
          <w:lang w:val="en-US"/>
        </w:rPr>
        <w:t xml:space="preserve"> services and/or funding. </w:t>
      </w:r>
      <w:r w:rsidR="00A24425">
        <w:t>The data collected in these assessments are not currently reused for any other purpose.</w:t>
      </w:r>
      <w:r w:rsidR="00C72422">
        <w:t xml:space="preserve">  They may also be out of date, unless the provider has requested a re-assessment.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
        <w:tblDescription w:val="•Do you see any opportunities for the Department to reuse any of the clinical data collected through IAT or AN-ACC? "/>
      </w:tblPr>
      <w:tblGrid>
        <w:gridCol w:w="9628"/>
      </w:tblGrid>
      <w:tr w:rsidR="005B1E8E" w:rsidRPr="00F75C7F" w14:paraId="557D8551" w14:textId="77777777" w:rsidTr="00F37F95">
        <w:trPr>
          <w:tblHeader/>
        </w:trPr>
        <w:tc>
          <w:tcPr>
            <w:tcW w:w="9628" w:type="dxa"/>
            <w:shd w:val="clear" w:color="auto" w:fill="212492" w:themeFill="accent1"/>
          </w:tcPr>
          <w:p w14:paraId="04AF55DC" w14:textId="1AA4996F" w:rsidR="00A020CB" w:rsidRPr="00F75C7F" w:rsidRDefault="00A020CB" w:rsidP="002F0253">
            <w:pPr>
              <w:rPr>
                <w:szCs w:val="26"/>
              </w:rPr>
            </w:pPr>
            <w:r w:rsidRPr="00F75C7F">
              <w:rPr>
                <w:szCs w:val="26"/>
              </w:rPr>
              <w:t>Consultation question</w:t>
            </w:r>
          </w:p>
        </w:tc>
      </w:tr>
      <w:tr w:rsidR="005B1E8E" w:rsidRPr="00F75C7F" w14:paraId="158E42A9" w14:textId="77777777" w:rsidTr="64397149">
        <w:tc>
          <w:tcPr>
            <w:tcW w:w="9628" w:type="dxa"/>
            <w:shd w:val="clear" w:color="auto" w:fill="C8C9F2" w:themeFill="accent1" w:themeFillTint="33"/>
          </w:tcPr>
          <w:p w14:paraId="1FB59E7F" w14:textId="2FDB28D8" w:rsidR="00A020CB" w:rsidRPr="00F75C7F" w:rsidRDefault="4E530569" w:rsidP="001C456F">
            <w:pPr>
              <w:pStyle w:val="ListBullet"/>
            </w:pPr>
            <w:r>
              <w:t xml:space="preserve">Do you see any opportunities for the Department to reuse any of the clinical data collected through IAT or AN-ACC? </w:t>
            </w:r>
          </w:p>
        </w:tc>
      </w:tr>
    </w:tbl>
    <w:p w14:paraId="178F0CC7" w14:textId="7CB11449" w:rsidR="00134C5E" w:rsidRPr="00466355" w:rsidRDefault="00EE204A" w:rsidP="00F37F95">
      <w:pPr>
        <w:pStyle w:val="Heading3"/>
      </w:pPr>
      <w:r w:rsidRPr="64397149">
        <w:t>There are opportunities to standardise aged care c</w:t>
      </w:r>
      <w:r w:rsidR="00134C5E" w:rsidRPr="64397149">
        <w:t xml:space="preserve">linical, care needs, quality and care delivery data </w:t>
      </w:r>
      <w:r w:rsidR="00532CDF" w:rsidRPr="64397149">
        <w:t xml:space="preserve">for greater alignment with </w:t>
      </w:r>
      <w:r w:rsidR="00134C5E" w:rsidRPr="64397149">
        <w:t>other care settings</w:t>
      </w:r>
    </w:p>
    <w:p w14:paraId="65E9E896" w14:textId="63DFFBCD" w:rsidR="00134C5E" w:rsidRDefault="00134C5E" w:rsidP="00134C5E">
      <w:r>
        <w:t>Data standards are foundational for seamless data exchange between systems, improving data quality, reducing administrative burden (“collect once, use many times”</w:t>
      </w:r>
      <w:r w:rsidR="00A40456">
        <w:t xml:space="preserve"> principle</w:t>
      </w:r>
      <w:r>
        <w:t xml:space="preserve">) and supporting better decision-making across clinical settings. Data standards development and implementation is less advanced in aged care than in other care settings (e.g. hospitals). Descriptions and examples of data standards are provided </w:t>
      </w:r>
      <w:r w:rsidRPr="6D734222">
        <w:rPr>
          <w:b/>
        </w:rPr>
        <w:t xml:space="preserve">in Appendix </w:t>
      </w:r>
      <w:r w:rsidR="00B34C52">
        <w:rPr>
          <w:b/>
        </w:rPr>
        <w:t>4</w:t>
      </w:r>
      <w:r>
        <w:t>.</w:t>
      </w:r>
    </w:p>
    <w:p w14:paraId="068A1D34" w14:textId="034D2CB0" w:rsidR="00134C5E" w:rsidRPr="00A23C5D" w:rsidDel="00D85980" w:rsidRDefault="00134C5E" w:rsidP="00AB5CE1">
      <w:pPr>
        <w:rPr>
          <w:rFonts w:eastAsiaTheme="majorEastAsia" w:cstheme="majorBidi"/>
        </w:rPr>
      </w:pPr>
      <w:r w:rsidRPr="00A23C5D" w:rsidDel="00D85980">
        <w:rPr>
          <w:rFonts w:eastAsiaTheme="majorEastAsia" w:cstheme="majorBidi"/>
        </w:rPr>
        <w:t>The Royal Commission into Aged Care Quality and Safety highlighted the role quality data can play in understanding and monitoring the sector</w:t>
      </w:r>
      <w:r w:rsidR="004F2239">
        <w:rPr>
          <w:rFonts w:eastAsiaTheme="majorEastAsia" w:cstheme="majorBidi"/>
        </w:rPr>
        <w:t>, and this is reflected in the Aged Care Data and Digital Strategy</w:t>
      </w:r>
      <w:r w:rsidRPr="00A23C5D" w:rsidDel="00D85980">
        <w:rPr>
          <w:rFonts w:eastAsiaTheme="majorEastAsia" w:cstheme="majorBidi"/>
        </w:rPr>
        <w:t>. The anticipated benefits of implementing aged care data standards include:</w:t>
      </w:r>
    </w:p>
    <w:p w14:paraId="0427E59B" w14:textId="77777777" w:rsidR="00134C5E" w:rsidRPr="00A23C5D" w:rsidDel="00D85980" w:rsidRDefault="00134C5E" w:rsidP="00F37F95">
      <w:pPr>
        <w:pStyle w:val="ListBullet"/>
      </w:pPr>
      <w:r w:rsidRPr="00A23C5D" w:rsidDel="00D85980">
        <w:t xml:space="preserve">An increase in </w:t>
      </w:r>
      <w:r w:rsidRPr="00A23C5D" w:rsidDel="00D85980">
        <w:rPr>
          <w:b/>
          <w:color w:val="212492" w:themeColor="accent1"/>
        </w:rPr>
        <w:t>data quality</w:t>
      </w:r>
      <w:r w:rsidRPr="00A23C5D" w:rsidDel="00D85980">
        <w:t>, through agreement of components such as definitions.</w:t>
      </w:r>
    </w:p>
    <w:p w14:paraId="09A00EE7" w14:textId="77777777" w:rsidR="00134C5E" w:rsidRPr="00A23C5D" w:rsidDel="00D85980" w:rsidRDefault="00134C5E" w:rsidP="00F37F95">
      <w:pPr>
        <w:pStyle w:val="ListBullet"/>
      </w:pPr>
      <w:r w:rsidRPr="00A23C5D" w:rsidDel="00D85980">
        <w:t>Agreement to collect and provide</w:t>
      </w:r>
      <w:r w:rsidRPr="00A23C5D" w:rsidDel="00D85980">
        <w:rPr>
          <w:color w:val="212492" w:themeColor="accent1"/>
        </w:rPr>
        <w:t xml:space="preserve"> </w:t>
      </w:r>
      <w:r w:rsidRPr="00A23C5D" w:rsidDel="00D85980">
        <w:rPr>
          <w:b/>
          <w:color w:val="212492" w:themeColor="accent1"/>
        </w:rPr>
        <w:t>standardised data</w:t>
      </w:r>
      <w:r w:rsidRPr="00A23C5D" w:rsidDel="00D85980">
        <w:rPr>
          <w:color w:val="212492" w:themeColor="accent1"/>
        </w:rPr>
        <w:t xml:space="preserve"> </w:t>
      </w:r>
      <w:r w:rsidRPr="00A23C5D" w:rsidDel="00D85980">
        <w:t>across the sector.</w:t>
      </w:r>
    </w:p>
    <w:p w14:paraId="5C68721B" w14:textId="77777777" w:rsidR="00134C5E" w:rsidRPr="00A23C5D" w:rsidDel="00D85980" w:rsidRDefault="00134C5E" w:rsidP="00F37F95">
      <w:pPr>
        <w:pStyle w:val="ListBullet"/>
      </w:pPr>
      <w:r w:rsidRPr="00A23C5D" w:rsidDel="00D85980">
        <w:t>Reduced administrative burden on data suppliers.</w:t>
      </w:r>
    </w:p>
    <w:p w14:paraId="2DEE6CDF" w14:textId="77777777" w:rsidR="00134C5E" w:rsidRPr="00A23C5D" w:rsidDel="00D85980" w:rsidRDefault="00134C5E" w:rsidP="00F37F95">
      <w:pPr>
        <w:pStyle w:val="ListBullet"/>
      </w:pPr>
      <w:r w:rsidRPr="00A23C5D" w:rsidDel="00D85980">
        <w:t>Enabling</w:t>
      </w:r>
      <w:r w:rsidRPr="00A23C5D" w:rsidDel="00D85980">
        <w:rPr>
          <w:color w:val="212492" w:themeColor="accent1"/>
        </w:rPr>
        <w:t xml:space="preserve"> </w:t>
      </w:r>
      <w:r w:rsidRPr="00A23C5D" w:rsidDel="00D85980">
        <w:rPr>
          <w:b/>
          <w:color w:val="212492" w:themeColor="accent1"/>
        </w:rPr>
        <w:t>comparability</w:t>
      </w:r>
      <w:r w:rsidRPr="00A23C5D" w:rsidDel="00D85980">
        <w:rPr>
          <w:b/>
          <w:color w:val="A07201" w:themeColor="accent4" w:themeShade="80"/>
        </w:rPr>
        <w:t xml:space="preserve"> </w:t>
      </w:r>
      <w:r w:rsidRPr="00A23C5D" w:rsidDel="00D85980">
        <w:t>between datasets within aged care.</w:t>
      </w:r>
    </w:p>
    <w:p w14:paraId="2ED3728A" w14:textId="77777777" w:rsidR="00134C5E" w:rsidRPr="00A23C5D" w:rsidDel="00D85980" w:rsidRDefault="00134C5E" w:rsidP="00F37F95">
      <w:pPr>
        <w:pStyle w:val="ListBullet"/>
      </w:pPr>
      <w:r w:rsidRPr="00A23C5D" w:rsidDel="00D85980">
        <w:t xml:space="preserve">Enabling </w:t>
      </w:r>
      <w:r w:rsidRPr="00A23C5D" w:rsidDel="00D85980">
        <w:rPr>
          <w:b/>
          <w:color w:val="212492" w:themeColor="accent1"/>
        </w:rPr>
        <w:t>automation</w:t>
      </w:r>
      <w:r w:rsidRPr="00A23C5D" w:rsidDel="00D85980">
        <w:rPr>
          <w:b/>
          <w:color w:val="A07201" w:themeColor="accent4" w:themeShade="80"/>
        </w:rPr>
        <w:t xml:space="preserve"> </w:t>
      </w:r>
      <w:r w:rsidRPr="00A23C5D" w:rsidDel="00D85980">
        <w:t>of information flows across the sector, resulting in faster information flows.</w:t>
      </w:r>
    </w:p>
    <w:p w14:paraId="00DDF593" w14:textId="77777777" w:rsidR="00134C5E" w:rsidRPr="00A23C5D" w:rsidDel="00D85980" w:rsidRDefault="00134C5E" w:rsidP="00F37F95">
      <w:pPr>
        <w:pStyle w:val="ListBullet"/>
      </w:pPr>
      <w:r w:rsidRPr="00A23C5D" w:rsidDel="00D85980">
        <w:t xml:space="preserve">Enabling </w:t>
      </w:r>
      <w:r w:rsidRPr="00A23C5D" w:rsidDel="00D85980">
        <w:rPr>
          <w:b/>
          <w:color w:val="212492" w:themeColor="accent1"/>
        </w:rPr>
        <w:t>search</w:t>
      </w:r>
      <w:r w:rsidRPr="00A23C5D" w:rsidDel="00D85980">
        <w:rPr>
          <w:b/>
          <w:color w:val="A07201" w:themeColor="accent4" w:themeShade="80"/>
        </w:rPr>
        <w:t xml:space="preserve"> </w:t>
      </w:r>
      <w:r w:rsidRPr="00A23C5D" w:rsidDel="00D85980">
        <w:t>and electronic information templates within systems to order and highlight the most salient information for a given user.</w:t>
      </w:r>
    </w:p>
    <w:p w14:paraId="5E22A8EB" w14:textId="4A1A22C0" w:rsidR="00134C5E" w:rsidRPr="00256F9C" w:rsidRDefault="796FA444" w:rsidP="00134C5E">
      <w:r>
        <w:t>I</w:t>
      </w:r>
      <w:r w:rsidR="003514C5">
        <w:t xml:space="preserve">n other parts of the Australian health system, </w:t>
      </w:r>
      <w:r w:rsidR="00B14E78">
        <w:t xml:space="preserve">providers are required to use specified clinical assessments or systems to support care planning and delivery. This includes </w:t>
      </w:r>
      <w:r w:rsidR="00134C5E">
        <w:t>electronic health records in acute and primary care</w:t>
      </w:r>
      <w:r w:rsidR="00655F3C">
        <w:t>. I</w:t>
      </w:r>
      <w:r w:rsidR="00134C5E">
        <w:t>ntegrated aged care reporting systems</w:t>
      </w:r>
      <w:r w:rsidR="00655F3C">
        <w:t xml:space="preserve"> are</w:t>
      </w:r>
      <w:r w:rsidR="00134C5E">
        <w:t xml:space="preserve"> operating in some comparable international jurisdictions.</w:t>
      </w:r>
    </w:p>
    <w:p w14:paraId="72B73921" w14:textId="4DA948A8" w:rsidR="00134C5E" w:rsidRPr="00A66256" w:rsidRDefault="00134C5E" w:rsidP="00134C5E">
      <w:pPr>
        <w:rPr>
          <w:rFonts w:eastAsiaTheme="minorEastAsia"/>
        </w:rPr>
      </w:pPr>
      <w:r w:rsidRPr="00A66256">
        <w:rPr>
          <w:rFonts w:eastAsiaTheme="minorEastAsia"/>
        </w:rPr>
        <w:t xml:space="preserve">Some clinical assessment systems use standardised data items to build scales and screening tools that interpret data to support clinical or administrative decisions, though these are not widely implemented in Australia. These data items can be mapped to content standards, code systems, and data exchange standards. Internationally, a range of data standards and assessment systems are used to support interoperable reporting and sharing of care data. These include MDS 3.0, LOINC, HL7 FHIR, and </w:t>
      </w:r>
      <w:proofErr w:type="spellStart"/>
      <w:r w:rsidRPr="00A66256">
        <w:rPr>
          <w:rFonts w:eastAsiaTheme="minorEastAsia"/>
        </w:rPr>
        <w:t>interRAI</w:t>
      </w:r>
      <w:proofErr w:type="spellEnd"/>
      <w:r w:rsidRPr="00A66256">
        <w:rPr>
          <w:rFonts w:eastAsiaTheme="minorEastAsia"/>
        </w:rPr>
        <w:t xml:space="preserve"> Assessment Systems (see Appendix </w:t>
      </w:r>
      <w:r w:rsidR="008235B5">
        <w:rPr>
          <w:rFonts w:eastAsiaTheme="minorEastAsia"/>
        </w:rPr>
        <w:t>2</w:t>
      </w:r>
      <w:r w:rsidRPr="00A66256">
        <w:rPr>
          <w:rFonts w:eastAsiaTheme="minorEastAsia"/>
        </w:rPr>
        <w:t>). These standards primarily enable the exchange of clinical, functional, cognitive, and psychosocial data.</w:t>
      </w:r>
    </w:p>
    <w:p w14:paraId="7A1792A8" w14:textId="21895AD5" w:rsidR="00134C5E" w:rsidRPr="00F37F95" w:rsidRDefault="00134C5E" w:rsidP="00F75C7F">
      <w:pPr>
        <w:spacing w:after="240"/>
      </w:pPr>
      <w:r>
        <w:t xml:space="preserve">The Environmental Scan identified the possibility of </w:t>
      </w:r>
      <w:r w:rsidRPr="6139D110">
        <w:rPr>
          <w:b/>
          <w:bCs/>
          <w:color w:val="212492" w:themeColor="accent1"/>
        </w:rPr>
        <w:t>harmonising clinical and care needs assessments and QIs with agreed data standards</w:t>
      </w:r>
      <w:r w:rsidRPr="7E96BF89">
        <w:rPr>
          <w:b/>
          <w:bCs/>
          <w:color w:val="212492" w:themeColor="accent1"/>
        </w:rPr>
        <w:t>:</w:t>
      </w:r>
      <w:r>
        <w:t xml:space="preserve"> clinical standards (e.g. SNOMED-CT, ICF), and interoperability (data exchange) standards (e.g. FHIR).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Description w:val="•Should clinical assessment and care needs data collected in aged care be aligned to clinical code systems and data transfer standards?&#10;•If yes, what impact might this have on reporting clinical data, e.g. quality indicators, to Government?&#10;•To what extent could your organisation align its internally collected and externally reported clinical data with data standards? What barriers would need to be addressed, and what timeframe would be realistic?&#10;"/>
      </w:tblPr>
      <w:tblGrid>
        <w:gridCol w:w="9628"/>
      </w:tblGrid>
      <w:tr w:rsidR="005B1E8E" w:rsidRPr="00F75C7F" w14:paraId="540A8940" w14:textId="77777777" w:rsidTr="00F37F95">
        <w:trPr>
          <w:tblHeader/>
        </w:trPr>
        <w:tc>
          <w:tcPr>
            <w:tcW w:w="9628" w:type="dxa"/>
            <w:shd w:val="clear" w:color="auto" w:fill="212492" w:themeFill="accent1"/>
          </w:tcPr>
          <w:p w14:paraId="756237FB" w14:textId="77777777" w:rsidR="00134C5E" w:rsidRPr="00F75C7F" w:rsidRDefault="00134C5E">
            <w:pPr>
              <w:rPr>
                <w:szCs w:val="26"/>
              </w:rPr>
            </w:pPr>
            <w:r w:rsidRPr="00F75C7F">
              <w:rPr>
                <w:szCs w:val="26"/>
              </w:rPr>
              <w:t>Consultation questions</w:t>
            </w:r>
          </w:p>
        </w:tc>
      </w:tr>
      <w:tr w:rsidR="005B1E8E" w:rsidRPr="00F75C7F" w14:paraId="4E8CEC30" w14:textId="77777777" w:rsidTr="2D9804A6">
        <w:tc>
          <w:tcPr>
            <w:tcW w:w="9628" w:type="dxa"/>
            <w:shd w:val="clear" w:color="auto" w:fill="C8C9F2" w:themeFill="accent1" w:themeFillTint="33"/>
          </w:tcPr>
          <w:p w14:paraId="334039D6" w14:textId="77777777" w:rsidR="00134C5E" w:rsidRPr="00F75C7F" w:rsidRDefault="00134C5E" w:rsidP="001C456F">
            <w:pPr>
              <w:pStyle w:val="ListBullet"/>
            </w:pPr>
            <w:r>
              <w:t xml:space="preserve">Should clinical assessment and care needs data </w:t>
            </w:r>
            <w:bookmarkStart w:id="3" w:name="_Int_WrhHEEE8"/>
            <w:proofErr w:type="gramStart"/>
            <w:r>
              <w:t>collected</w:t>
            </w:r>
            <w:bookmarkEnd w:id="3"/>
            <w:proofErr w:type="gramEnd"/>
            <w:r>
              <w:t xml:space="preserve"> in aged care be aligned to clinical code systems and data transfer standards?</w:t>
            </w:r>
          </w:p>
          <w:p w14:paraId="41F79B90" w14:textId="77777777" w:rsidR="00134C5E" w:rsidRPr="00F75C7F" w:rsidRDefault="00134C5E" w:rsidP="001C456F">
            <w:pPr>
              <w:pStyle w:val="ListBullet"/>
              <w:rPr>
                <w:szCs w:val="26"/>
              </w:rPr>
            </w:pPr>
            <w:r w:rsidRPr="00F75C7F">
              <w:rPr>
                <w:szCs w:val="26"/>
              </w:rPr>
              <w:t>If yes, what impact might this have on reporting clinical data, e.g. quality indicators, to Government?</w:t>
            </w:r>
          </w:p>
          <w:p w14:paraId="5317AE77" w14:textId="77777777" w:rsidR="00134C5E" w:rsidRPr="00F75C7F" w:rsidRDefault="00134C5E" w:rsidP="001C456F">
            <w:pPr>
              <w:pStyle w:val="ListBullet"/>
              <w:rPr>
                <w:rFonts w:eastAsiaTheme="minorEastAsia"/>
                <w:szCs w:val="26"/>
              </w:rPr>
            </w:pPr>
            <w:r w:rsidRPr="00F75C7F">
              <w:rPr>
                <w:rFonts w:eastAsiaTheme="minorEastAsia"/>
                <w:szCs w:val="26"/>
              </w:rPr>
              <w:t>To what extent could your organisation align its internally collected and externally reported clinical data with data standards? What barriers would need to be addressed, and what timeframe would be realistic?</w:t>
            </w:r>
          </w:p>
        </w:tc>
      </w:tr>
    </w:tbl>
    <w:p w14:paraId="3621FD9F" w14:textId="2D6E7173" w:rsidR="00134C5E" w:rsidRDefault="00134C5E" w:rsidP="00504B09">
      <w:pPr>
        <w:spacing w:before="240"/>
      </w:pPr>
      <w:r>
        <w:t>Implementation of data standards (in particular</w:t>
      </w:r>
      <w:r w:rsidR="64BA04E5">
        <w:t>,</w:t>
      </w:r>
      <w:r>
        <w:t xml:space="preserve"> content standards) requires definitions to be consistently applied across care settings. Definitions for aged care data items reported to the Australian Government are currently found in program manuals, instrument-specific data definitions documents, user guides, templates and websites. The disparate locations in which data definitions are published and maintained can lead to misaligned definitions for similar data items among reports. This creates confusion for providers, who may need to re-process data extraction systems to align with the varying definitions.</w:t>
      </w:r>
    </w:p>
    <w:p w14:paraId="510B8837" w14:textId="77777777" w:rsidR="00134C5E" w:rsidRPr="00A40235" w:rsidRDefault="00134C5E" w:rsidP="00134C5E">
      <w:r w:rsidRPr="00A40235">
        <w:t>Further, information provided in definitions is often limited and does not always include sufficient detail</w:t>
      </w:r>
      <w:r>
        <w:t xml:space="preserve"> for reuse.</w:t>
      </w:r>
      <w:r w:rsidDel="002634FA">
        <w:t xml:space="preserve"> </w:t>
      </w:r>
      <w:r w:rsidRPr="00BF52DE">
        <w:t>To remedy the risk of poor data quality through disparate supporting information, an end-to-end data process of collection, processing, edits and outputs is required.</w:t>
      </w:r>
      <w:r w:rsidRPr="00BF52DE" w:rsidDel="002634FA">
        <w:t xml:space="preserve"> </w:t>
      </w:r>
    </w:p>
    <w:p w14:paraId="42757C73" w14:textId="77777777" w:rsidR="00134C5E" w:rsidRDefault="00134C5E" w:rsidP="00F75C7F">
      <w:pPr>
        <w:spacing w:after="240"/>
      </w:pPr>
      <w:r>
        <w:t xml:space="preserve">Phase 1 of this Review recommended </w:t>
      </w:r>
      <w:r w:rsidRPr="00615989">
        <w:rPr>
          <w:b/>
          <w:bCs/>
          <w:color w:val="212492" w:themeColor="accent1"/>
        </w:rPr>
        <w:t>establishing an aged care data dictionary</w:t>
      </w:r>
      <w:r w:rsidRPr="00615989">
        <w:rPr>
          <w:color w:val="212492" w:themeColor="accent1"/>
        </w:rPr>
        <w:t xml:space="preserve"> </w:t>
      </w:r>
      <w:r w:rsidRPr="00D60C53">
        <w:t>that includes a single definition for all data items reported to the Department. Definitions should include supporting information that aids interpretation by providers during data collection, collation and reporting.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Description w:val="•What should an aged care data dictionary consider when including clinical, care needs or quality indicator data items?&#10;•What data sets would you want prioritised for the data dictionary?&#10;"/>
      </w:tblPr>
      <w:tblGrid>
        <w:gridCol w:w="9628"/>
      </w:tblGrid>
      <w:tr w:rsidR="005B1E8E" w:rsidRPr="00F75C7F" w14:paraId="58C155AD" w14:textId="77777777" w:rsidTr="00F37F95">
        <w:trPr>
          <w:tblHeader/>
        </w:trPr>
        <w:tc>
          <w:tcPr>
            <w:tcW w:w="9628" w:type="dxa"/>
            <w:shd w:val="clear" w:color="auto" w:fill="212492" w:themeFill="accent1"/>
          </w:tcPr>
          <w:p w14:paraId="303412C8" w14:textId="6F8D3353" w:rsidR="00134C5E" w:rsidRPr="00F75C7F" w:rsidRDefault="00134C5E">
            <w:pPr>
              <w:rPr>
                <w:szCs w:val="22"/>
              </w:rPr>
            </w:pPr>
            <w:r w:rsidRPr="00F75C7F">
              <w:rPr>
                <w:szCs w:val="22"/>
              </w:rPr>
              <w:t>Consultation question</w:t>
            </w:r>
            <w:r w:rsidR="00720585">
              <w:rPr>
                <w:szCs w:val="22"/>
              </w:rPr>
              <w:t>s</w:t>
            </w:r>
          </w:p>
        </w:tc>
      </w:tr>
      <w:tr w:rsidR="005B1E8E" w:rsidRPr="00F75C7F" w14:paraId="26C3BFA1" w14:textId="77777777">
        <w:tc>
          <w:tcPr>
            <w:tcW w:w="9628" w:type="dxa"/>
            <w:shd w:val="clear" w:color="auto" w:fill="C8C9F2" w:themeFill="accent1" w:themeFillTint="33"/>
          </w:tcPr>
          <w:p w14:paraId="0C00B195" w14:textId="3F8A17FE" w:rsidR="00134C5E" w:rsidRPr="00F75C7F" w:rsidRDefault="00134C5E" w:rsidP="001C456F">
            <w:pPr>
              <w:pStyle w:val="ListBullet"/>
            </w:pPr>
            <w:r w:rsidRPr="00F75C7F">
              <w:t>What should an aged care data dictionary consider when including clinical, care</w:t>
            </w:r>
            <w:r w:rsidR="00F135DD">
              <w:t xml:space="preserve"> </w:t>
            </w:r>
            <w:r w:rsidRPr="00F75C7F">
              <w:t xml:space="preserve">needs or quality </w:t>
            </w:r>
            <w:r w:rsidR="00740021">
              <w:t xml:space="preserve">indicator </w:t>
            </w:r>
            <w:r w:rsidRPr="00F75C7F">
              <w:t>data items?</w:t>
            </w:r>
          </w:p>
          <w:p w14:paraId="11A94B8B" w14:textId="77777777" w:rsidR="00134C5E" w:rsidRPr="00F75C7F" w:rsidRDefault="00134C5E" w:rsidP="001C456F">
            <w:pPr>
              <w:pStyle w:val="ListBullet"/>
            </w:pPr>
            <w:r w:rsidRPr="00F75C7F">
              <w:t>What data sets would you want prioritised for the data dictionary?</w:t>
            </w:r>
          </w:p>
        </w:tc>
      </w:tr>
    </w:tbl>
    <w:p w14:paraId="69441217" w14:textId="77777777" w:rsidR="00134C5E" w:rsidRDefault="00134C5E" w:rsidP="00F37F95">
      <w:pPr>
        <w:pStyle w:val="Heading3"/>
      </w:pPr>
      <w:r>
        <w:t>Enablers for data improvement</w:t>
      </w:r>
    </w:p>
    <w:p w14:paraId="7376F297" w14:textId="77777777" w:rsidR="00134C5E" w:rsidRPr="008B2DCC" w:rsidRDefault="00134C5E" w:rsidP="00134C5E">
      <w:pPr>
        <w:pStyle w:val="Heading4"/>
      </w:pPr>
      <w:r w:rsidRPr="008B2DCC">
        <w:t>Data governance</w:t>
      </w:r>
    </w:p>
    <w:p w14:paraId="35457CD3" w14:textId="77777777" w:rsidR="00134C5E" w:rsidRPr="00C45D4B" w:rsidRDefault="00134C5E" w:rsidP="00134C5E">
      <w:r>
        <w:t xml:space="preserve">The data in scope for Phase 2 is submitted to several government departments through a range of systems and portals. In many cases, data is submitted to support a specific function, such as eligibility for care, monitoring of quality of care, and reimbursement for services delivered. </w:t>
      </w:r>
    </w:p>
    <w:p w14:paraId="45D268C5" w14:textId="77777777" w:rsidR="00134C5E" w:rsidRDefault="00134C5E" w:rsidP="00134C5E">
      <w:r>
        <w:t>Governance and decision-making processes about the data items to be included in aged care reporting instruments are federated, with no single process or body accountable for evaluating the suitability and necessity of data items to be reported. The Department has established data custodianship and governance structures related to the data security. This level of rigour should also be applied to data-collection decisions.</w:t>
      </w:r>
    </w:p>
    <w:p w14:paraId="340A174C" w14:textId="77777777" w:rsidR="00134C5E" w:rsidRDefault="00134C5E" w:rsidP="00F75C7F">
      <w:pPr>
        <w:spacing w:after="240"/>
      </w:pPr>
      <w:r>
        <w:t xml:space="preserve">Phase 1 of the Aged Care Data and Reporting Review Project recommended strengthening a </w:t>
      </w:r>
      <w:r w:rsidRPr="6139D110">
        <w:rPr>
          <w:b/>
          <w:bCs/>
          <w:color w:val="212492" w:themeColor="accent1"/>
        </w:rPr>
        <w:t>formal governance process for aged care reporting requirements</w:t>
      </w:r>
      <w:r>
        <w:t xml:space="preserve"> that supports the long-term vision of data collection and reporting that is standards-based, streamlined, consistent, responsive and reliable.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Description w:val="•How would you expand the recommendation for a formal governance process for aged care reporting in the context of clinical, care needs, quality and service delivery data?&#10;•Should a common set of clinical, care needs, quality and service delivery data items be agreed across the aged care program?&#10;•Would you benefit from having a core set of data items that is collected and agreed to by aged care providers? This core set of items may be amended through mutual agreement to meet sector changes. It could be added to or decreased as a need arises.&#10;"/>
      </w:tblPr>
      <w:tblGrid>
        <w:gridCol w:w="9628"/>
      </w:tblGrid>
      <w:tr w:rsidR="005B1E8E" w:rsidRPr="00F75C7F" w14:paraId="025A570B" w14:textId="77777777" w:rsidTr="00F37F95">
        <w:trPr>
          <w:tblHeader/>
        </w:trPr>
        <w:tc>
          <w:tcPr>
            <w:tcW w:w="9628" w:type="dxa"/>
            <w:shd w:val="clear" w:color="auto" w:fill="212492" w:themeFill="accent1"/>
          </w:tcPr>
          <w:p w14:paraId="022C8E43" w14:textId="16F6F1BD" w:rsidR="00134C5E" w:rsidRPr="00F75C7F" w:rsidRDefault="00134C5E">
            <w:pPr>
              <w:rPr>
                <w:szCs w:val="22"/>
              </w:rPr>
            </w:pPr>
            <w:r w:rsidRPr="00F75C7F">
              <w:rPr>
                <w:szCs w:val="22"/>
              </w:rPr>
              <w:t>Consultation question</w:t>
            </w:r>
            <w:r w:rsidR="00720585">
              <w:rPr>
                <w:szCs w:val="22"/>
              </w:rPr>
              <w:t>s</w:t>
            </w:r>
          </w:p>
        </w:tc>
      </w:tr>
      <w:tr w:rsidR="005B1E8E" w:rsidRPr="00F75C7F" w14:paraId="32FC0C09" w14:textId="77777777" w:rsidTr="64397149">
        <w:tc>
          <w:tcPr>
            <w:tcW w:w="9628" w:type="dxa"/>
            <w:shd w:val="clear" w:color="auto" w:fill="C8C9F2" w:themeFill="accent1" w:themeFillTint="33"/>
          </w:tcPr>
          <w:p w14:paraId="5EC9E50A" w14:textId="4AA26270" w:rsidR="00134C5E" w:rsidRPr="00F75C7F" w:rsidRDefault="00134C5E" w:rsidP="001C456F">
            <w:pPr>
              <w:pStyle w:val="ListBullet"/>
            </w:pPr>
            <w:r w:rsidRPr="00F75C7F">
              <w:t>How would you expand the recommendation for a formal governance process for aged care reporting in the context of clinical, care needs, quality and service delivery data?</w:t>
            </w:r>
          </w:p>
          <w:p w14:paraId="02648946" w14:textId="77777777" w:rsidR="00134C5E" w:rsidRPr="00F75C7F" w:rsidRDefault="00134C5E" w:rsidP="001C456F">
            <w:pPr>
              <w:pStyle w:val="ListBullet"/>
            </w:pPr>
            <w:r w:rsidRPr="00F75C7F">
              <w:t>Should a common set of clinical, care needs, quality and service delivery data items be agreed across the aged care program?</w:t>
            </w:r>
          </w:p>
          <w:p w14:paraId="65F2E9B1" w14:textId="266D64CA" w:rsidR="00134C5E" w:rsidRPr="00F75C7F" w:rsidRDefault="0FD03AA3" w:rsidP="001C456F">
            <w:pPr>
              <w:pStyle w:val="ListBullet"/>
            </w:pPr>
            <w:r>
              <w:t>Would you benefit from having a core set of data items that is collected and agreed to by aged care providers?</w:t>
            </w:r>
            <w:r w:rsidR="6D048B3C">
              <w:t xml:space="preserve"> This core set of items may be amended through mutual agreement to meet sector changes. It could be added to or decreased as a need arises.</w:t>
            </w:r>
          </w:p>
        </w:tc>
      </w:tr>
    </w:tbl>
    <w:p w14:paraId="1C1CB061" w14:textId="77777777" w:rsidR="00134C5E" w:rsidRPr="008B2DCC" w:rsidRDefault="00134C5E" w:rsidP="00A52576">
      <w:pPr>
        <w:pStyle w:val="Heading4"/>
        <w:spacing w:before="240"/>
      </w:pPr>
      <w:r w:rsidRPr="008B2DCC">
        <w:t>Data and digital literacy are key enablers of a transition to better use and reuse of data</w:t>
      </w:r>
    </w:p>
    <w:p w14:paraId="13A74465" w14:textId="698470FB" w:rsidR="00134C5E" w:rsidRDefault="00134C5E" w:rsidP="00F75C7F">
      <w:pPr>
        <w:spacing w:after="240"/>
      </w:pPr>
      <w:r>
        <w:t xml:space="preserve">The Environmental Scan identified varying degrees of data literacy across the sector and that </w:t>
      </w:r>
      <w:proofErr w:type="gramStart"/>
      <w:r>
        <w:t>a number of</w:t>
      </w:r>
      <w:proofErr w:type="gramEnd"/>
      <w:r>
        <w:t xml:space="preserve"> organisations, such as CSIRO’s Sparked Initiative, are providing training to support increased literacy in the health and aged care sectors. Lower levels of data literacy may limit the ability of some providers to leverage technology effectively.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Description w:val="•Do you think there is a need to improve data literacy in the aged care sector? &#10;•If yes, what form of training should this take? Initially and ongoing? Leverage existing training available or consider developing new targeted training?&#10;•What groups would benefit most from training? What options may exist for funding ongoing training?&#10;"/>
      </w:tblPr>
      <w:tblGrid>
        <w:gridCol w:w="9628"/>
      </w:tblGrid>
      <w:tr w:rsidR="005B1E8E" w:rsidRPr="00F75C7F" w14:paraId="3E8D7902" w14:textId="77777777" w:rsidTr="00F37F95">
        <w:trPr>
          <w:tblHeader/>
        </w:trPr>
        <w:tc>
          <w:tcPr>
            <w:tcW w:w="9628" w:type="dxa"/>
            <w:shd w:val="clear" w:color="auto" w:fill="212492" w:themeFill="accent1"/>
          </w:tcPr>
          <w:p w14:paraId="12F7914A" w14:textId="77777777" w:rsidR="00134C5E" w:rsidRPr="00F75C7F" w:rsidRDefault="00134C5E">
            <w:pPr>
              <w:rPr>
                <w:szCs w:val="22"/>
              </w:rPr>
            </w:pPr>
            <w:r w:rsidRPr="00F75C7F">
              <w:rPr>
                <w:szCs w:val="22"/>
              </w:rPr>
              <w:t>Consultation questions</w:t>
            </w:r>
          </w:p>
        </w:tc>
      </w:tr>
      <w:tr w:rsidR="005B1E8E" w:rsidRPr="00F75C7F" w14:paraId="5F4CC51E" w14:textId="77777777">
        <w:tc>
          <w:tcPr>
            <w:tcW w:w="9628" w:type="dxa"/>
            <w:shd w:val="clear" w:color="auto" w:fill="C8C9F2" w:themeFill="accent1" w:themeFillTint="33"/>
          </w:tcPr>
          <w:p w14:paraId="5468133F" w14:textId="77777777" w:rsidR="00134C5E" w:rsidRPr="00F75C7F" w:rsidRDefault="00134C5E" w:rsidP="001C456F">
            <w:pPr>
              <w:pStyle w:val="ListBullet"/>
            </w:pPr>
            <w:r w:rsidRPr="00F75C7F">
              <w:t xml:space="preserve">Do you think there is a need to improve data literacy in the aged care sector? </w:t>
            </w:r>
          </w:p>
          <w:p w14:paraId="37B749B4" w14:textId="77777777" w:rsidR="00134C5E" w:rsidRPr="00F75C7F" w:rsidRDefault="00134C5E" w:rsidP="001C456F">
            <w:pPr>
              <w:pStyle w:val="ListBullet"/>
            </w:pPr>
            <w:r w:rsidRPr="00F75C7F">
              <w:t>If yes, what form of training should this take? Initially and ongoing? Leverage existing training available or consider developing new targeted training?</w:t>
            </w:r>
          </w:p>
          <w:p w14:paraId="682B46EC" w14:textId="3A06AB03" w:rsidR="00134C5E" w:rsidRPr="00F75C7F" w:rsidRDefault="00134C5E" w:rsidP="001C456F">
            <w:pPr>
              <w:pStyle w:val="ListBullet"/>
            </w:pPr>
            <w:r w:rsidRPr="00F75C7F">
              <w:t>What groups would benefit most from training? What options may exist for funding ongoing training?</w:t>
            </w:r>
          </w:p>
        </w:tc>
      </w:tr>
    </w:tbl>
    <w:p w14:paraId="782C6F4D" w14:textId="0E3BBF5F" w:rsidR="634A074D" w:rsidRDefault="634A074D" w:rsidP="00C770FB">
      <w:pPr>
        <w:pStyle w:val="Heading4"/>
        <w:spacing w:before="240"/>
      </w:pPr>
      <w:r w:rsidRPr="6D93242A">
        <w:t xml:space="preserve">Data </w:t>
      </w:r>
      <w:r w:rsidR="00585416">
        <w:t xml:space="preserve">sharing </w:t>
      </w:r>
      <w:r w:rsidR="004A047E">
        <w:t xml:space="preserve">between </w:t>
      </w:r>
      <w:r w:rsidR="0096419D">
        <w:t>Australian</w:t>
      </w:r>
      <w:r w:rsidR="004A047E">
        <w:t xml:space="preserve"> </w:t>
      </w:r>
      <w:r w:rsidR="0096419D">
        <w:t>Government</w:t>
      </w:r>
      <w:r w:rsidR="004A047E">
        <w:t xml:space="preserve"> </w:t>
      </w:r>
      <w:r w:rsidR="0096419D">
        <w:t>departments</w:t>
      </w:r>
    </w:p>
    <w:p w14:paraId="64C9D21F" w14:textId="3ABEA9FB" w:rsidR="634A074D" w:rsidRDefault="634A074D" w:rsidP="00F96C3E">
      <w:pPr>
        <w:spacing w:after="240"/>
      </w:pPr>
      <w:r>
        <w:t>Some clinical data is reported to other programs and government departments outside the aged care program, such as the NDIA.</w:t>
      </w:r>
      <w:r w:rsidRPr="6D93242A">
        <w:rPr>
          <w:color w:val="212492" w:themeColor="accent1"/>
        </w:rPr>
        <w:t xml:space="preserve"> </w:t>
      </w:r>
      <w:r>
        <w:t>The scan identified alignment with the principles in the Aged Care Data and Digital Strategy, specifically to “collect once, use many times” and an opportunity to harmonise data reported to aged care programs with NDIA and the DVA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Description w:val="•Do you consider data sharing capability between different programs and departments to be important in delivering high-quality clinical care?&#10;•Which clinical, care needs, service delivery and quality data items would you consider most essential to improving care delivery for older people in residential and Support at Home?&#10;"/>
      </w:tblPr>
      <w:tblGrid>
        <w:gridCol w:w="9628"/>
      </w:tblGrid>
      <w:tr w:rsidR="005B1E8E" w14:paraId="1A0ABEE3" w14:textId="77777777" w:rsidTr="00F37F95">
        <w:trPr>
          <w:trHeight w:val="300"/>
          <w:tblHeader/>
        </w:trPr>
        <w:tc>
          <w:tcPr>
            <w:tcW w:w="9628" w:type="dxa"/>
            <w:shd w:val="clear" w:color="auto" w:fill="212492" w:themeFill="accent1"/>
          </w:tcPr>
          <w:p w14:paraId="7504CEDF" w14:textId="77777777" w:rsidR="6D93242A" w:rsidRDefault="6D93242A">
            <w:r>
              <w:t>Consultation questions</w:t>
            </w:r>
          </w:p>
        </w:tc>
      </w:tr>
      <w:tr w:rsidR="005B1E8E" w14:paraId="51F0DE0C" w14:textId="77777777" w:rsidTr="6D93242A">
        <w:trPr>
          <w:trHeight w:val="300"/>
        </w:trPr>
        <w:tc>
          <w:tcPr>
            <w:tcW w:w="9628" w:type="dxa"/>
            <w:shd w:val="clear" w:color="auto" w:fill="C8C9F2" w:themeFill="accent1" w:themeFillTint="33"/>
          </w:tcPr>
          <w:p w14:paraId="0BF51B9C" w14:textId="7C2B6B6B" w:rsidR="00134C5E" w:rsidRDefault="6D93242A" w:rsidP="001C456F">
            <w:pPr>
              <w:pStyle w:val="ListBullet"/>
            </w:pPr>
            <w:r>
              <w:t>Do you consider data sharing capability between different programs and departments to be important in delivering high-quality clinical care?</w:t>
            </w:r>
          </w:p>
          <w:p w14:paraId="2B0593EB" w14:textId="3CAA0A4F" w:rsidR="6D93242A" w:rsidRDefault="6D93242A" w:rsidP="001C456F">
            <w:pPr>
              <w:pStyle w:val="ListBullet"/>
            </w:pPr>
            <w:r>
              <w:t>Which clinical, care needs, service delivery and quality data items would you consider most essential to improving care delivery for older people in residential and Support at Home?</w:t>
            </w:r>
          </w:p>
        </w:tc>
      </w:tr>
    </w:tbl>
    <w:p w14:paraId="00B93844" w14:textId="525C47A4" w:rsidR="00134C5E" w:rsidRPr="008B2DCC" w:rsidRDefault="004A2BCE" w:rsidP="00C770FB">
      <w:pPr>
        <w:pStyle w:val="Heading4"/>
        <w:spacing w:before="240"/>
      </w:pPr>
      <w:r>
        <w:t xml:space="preserve">A </w:t>
      </w:r>
      <w:r w:rsidR="003A0610">
        <w:t>d</w:t>
      </w:r>
      <w:r w:rsidR="00134C5E" w:rsidRPr="008B2DCC">
        <w:t>ata model for aged care</w:t>
      </w:r>
    </w:p>
    <w:p w14:paraId="5CB034D6" w14:textId="77777777" w:rsidR="00134C5E" w:rsidRDefault="00134C5E" w:rsidP="001354A9">
      <w:pPr>
        <w:rPr>
          <w:rFonts w:eastAsia="Arial"/>
        </w:rPr>
      </w:pPr>
      <w:r>
        <w:t>Phase 1 of the Aged Care Data and Reporting Review Project identified that multiple government platforms are used by aged care providers to report financial and workforce information to government</w:t>
      </w:r>
      <w:r w:rsidRPr="5303C156">
        <w:rPr>
          <w:rFonts w:eastAsia="Arial"/>
        </w:rPr>
        <w:t>. This is also true for clinical, care-needs, care-quality and care-delivery data. Each system has its own data model, with data objects, entities and items mapped in ways that support system operation. To date, systems’ data models have largely driven the way data items are defined, related and collected</w:t>
      </w:r>
      <w:r>
        <w:t>. There are significant costs involved in managing these complexities in the current data ecosystem. The absence of an overarching framework to guide aged care data collection may limit the Australian Government’s ability to identify and act on opportunities for automation and data reuse over time, consistent with the Aged Care Data and Digital Strategy 2024-29</w:t>
      </w:r>
      <w:r w:rsidRPr="5303C156">
        <w:rPr>
          <w:rFonts w:eastAsia="Arial"/>
        </w:rPr>
        <w:t>.</w:t>
      </w:r>
    </w:p>
    <w:p w14:paraId="6EE7CF0E" w14:textId="40AEBB08" w:rsidR="00134C5E" w:rsidRDefault="00134C5E" w:rsidP="00134C5E">
      <w:pPr>
        <w:spacing w:after="240"/>
      </w:pPr>
      <w:r>
        <w:t xml:space="preserve">A key recommendation from Phase 1 was to </w:t>
      </w:r>
      <w:r w:rsidRPr="6139D110">
        <w:rPr>
          <w:b/>
          <w:bCs/>
          <w:color w:val="212492" w:themeColor="accent1"/>
        </w:rPr>
        <w:t xml:space="preserve">develop a </w:t>
      </w:r>
      <w:r w:rsidRPr="166AF476">
        <w:rPr>
          <w:b/>
          <w:bCs/>
          <w:color w:val="212492" w:themeColor="accent1"/>
        </w:rPr>
        <w:t xml:space="preserve">data </w:t>
      </w:r>
      <w:r w:rsidRPr="6139D110">
        <w:rPr>
          <w:b/>
          <w:bCs/>
          <w:color w:val="212492" w:themeColor="accent1"/>
        </w:rPr>
        <w:t>model for aged care data</w:t>
      </w:r>
      <w:r w:rsidRPr="6139D110">
        <w:rPr>
          <w:color w:val="212492" w:themeColor="accent1"/>
        </w:rPr>
        <w:t xml:space="preserve"> </w:t>
      </w:r>
      <w:r>
        <w:t xml:space="preserve">that is systems-agnostic, business-focused, standardises vocabulary, clarifies entity relationships and is governance-ready. Just </w:t>
      </w:r>
      <w:r w:rsidRPr="006A306A">
        <w:t xml:space="preserve">as the </w:t>
      </w:r>
      <w:hyperlink r:id="rId22">
        <w:r w:rsidRPr="00F75C7F">
          <w:rPr>
            <w:rStyle w:val="Hyperlink"/>
            <w:color w:val="auto"/>
            <w:u w:val="none"/>
          </w:rPr>
          <w:t>GPMS2.0 Conceptual Data Model</w:t>
        </w:r>
      </w:hyperlink>
      <w:r w:rsidRPr="006A306A">
        <w:t xml:space="preserve"> provides a shared, high-level understanding of care data, requirements </w:t>
      </w:r>
      <w:r>
        <w:t>and supports governance for a specific system, a data model for aged care would support consistent data definitions and underpin interoperability across systems. It would also enable streamlined reporting to government by aligning data capture with required metrics (e.g. B2G APIs) while remaining flexible enough to accommodate both residential and home care settings.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
        <w:tblDescription w:val="•What should such a model consider when including clinical, care needs, service delivery and quality data items?"/>
      </w:tblPr>
      <w:tblGrid>
        <w:gridCol w:w="9628"/>
      </w:tblGrid>
      <w:tr w:rsidR="005B1E8E" w14:paraId="550D70D7" w14:textId="77777777" w:rsidTr="00F37F95">
        <w:trPr>
          <w:tblHeader/>
        </w:trPr>
        <w:tc>
          <w:tcPr>
            <w:tcW w:w="9628" w:type="dxa"/>
            <w:shd w:val="clear" w:color="auto" w:fill="212492" w:themeFill="accent1"/>
          </w:tcPr>
          <w:p w14:paraId="4DFF452B" w14:textId="77777777" w:rsidR="00134C5E" w:rsidRDefault="00134C5E">
            <w:r>
              <w:t>Consultation question</w:t>
            </w:r>
          </w:p>
        </w:tc>
      </w:tr>
      <w:tr w:rsidR="005B1E8E" w14:paraId="6F6FC5C8" w14:textId="77777777" w:rsidTr="4B7D7DDD">
        <w:tc>
          <w:tcPr>
            <w:tcW w:w="9628" w:type="dxa"/>
            <w:shd w:val="clear" w:color="auto" w:fill="C8C9F2" w:themeFill="accent1" w:themeFillTint="33"/>
          </w:tcPr>
          <w:p w14:paraId="7FAEC95C" w14:textId="2D91FF58" w:rsidR="00134C5E" w:rsidRDefault="00134C5E" w:rsidP="001C456F">
            <w:pPr>
              <w:pStyle w:val="ListBullet"/>
            </w:pPr>
            <w:r>
              <w:t xml:space="preserve">What should such a model consider when including </w:t>
            </w:r>
            <w:r w:rsidR="00102E0F">
              <w:t xml:space="preserve">clinical, care needs, service delivery and quality </w:t>
            </w:r>
            <w:r>
              <w:t>data items?</w:t>
            </w:r>
          </w:p>
        </w:tc>
      </w:tr>
    </w:tbl>
    <w:p w14:paraId="6C2E9602" w14:textId="77777777" w:rsidR="00134C5E" w:rsidRDefault="00134C5E" w:rsidP="00F37F95">
      <w:pPr>
        <w:pStyle w:val="Heading1"/>
      </w:pPr>
      <w:r>
        <w:t xml:space="preserve">Appendix 1: Scope of Phase 2 data </w:t>
      </w:r>
    </w:p>
    <w:p w14:paraId="523DBA85" w14:textId="77777777" w:rsidR="00134C5E" w:rsidRDefault="00134C5E" w:rsidP="00134C5E">
      <w:r>
        <w:t xml:space="preserve">Phase 2 of the Aged Care Data and Reporting Review Project focuses on clinical, care needs, quality and care delivery information about the aged care sector. </w:t>
      </w:r>
    </w:p>
    <w:p w14:paraId="25295A75" w14:textId="77777777" w:rsidR="00134C5E" w:rsidRDefault="00134C5E" w:rsidP="00134C5E">
      <w:r w:rsidRPr="00F37F95">
        <w:rPr>
          <w:rStyle w:val="Strong"/>
        </w:rPr>
        <w:t>Clinical information</w:t>
      </w:r>
      <w:r>
        <w:t xml:space="preserve"> includes information related to a resident’s and client’s medical history, diagnoses, treatments, medications, and clinical observations on functional and psychosocial status.</w:t>
      </w:r>
    </w:p>
    <w:p w14:paraId="3E8001B0" w14:textId="77777777" w:rsidR="00134C5E" w:rsidRDefault="00134C5E" w:rsidP="00134C5E">
      <w:r w:rsidRPr="00F37F95">
        <w:rPr>
          <w:rStyle w:val="Strong"/>
        </w:rPr>
        <w:t>Care needs</w:t>
      </w:r>
      <w:r>
        <w:t xml:space="preserve"> information includes functional needs (e.g. activities of daily living, cognition), social support and psychosocial needs, including the information self-reported by older people through My Aged Care or collected by independent assessors using the Integrated Assessment Tool or Australian National Aged Care Classification assessment. </w:t>
      </w:r>
    </w:p>
    <w:p w14:paraId="4FCD85D8" w14:textId="58F04B38" w:rsidR="00134C5E" w:rsidRDefault="00134C5E" w:rsidP="00134C5E">
      <w:r w:rsidRPr="00F37F95">
        <w:rPr>
          <w:rStyle w:val="Strong"/>
        </w:rPr>
        <w:t>Quality information</w:t>
      </w:r>
      <w:r>
        <w:t xml:space="preserve"> includes quality indicators reported to government (including the National Aged Care Quality Indicator Program measures). The Environmental Scan did not review information collected as part of routine care, even if it is used to support QI reporting. Note, the </w:t>
      </w:r>
      <w:r w:rsidRPr="00C45D4B">
        <w:rPr>
          <w:lang w:val="en-US"/>
        </w:rPr>
        <w:t>data</w:t>
      </w:r>
      <w:r>
        <w:rPr>
          <w:lang w:val="en-US"/>
        </w:rPr>
        <w:t xml:space="preserve"> cannot always be </w:t>
      </w:r>
      <w:r w:rsidRPr="00C45D4B">
        <w:rPr>
          <w:lang w:val="en-US"/>
        </w:rPr>
        <w:t>derived from local systems, requires manual collection, collation and reporting, and is only available for residential aged care settings.</w:t>
      </w:r>
      <w:r w:rsidRPr="00C45D4B">
        <w:t> </w:t>
      </w:r>
    </w:p>
    <w:p w14:paraId="1A947F32" w14:textId="77777777" w:rsidR="00134C5E" w:rsidRDefault="00134C5E" w:rsidP="00134C5E">
      <w:r w:rsidRPr="00F37F95">
        <w:rPr>
          <w:rStyle w:val="Strong"/>
        </w:rPr>
        <w:t>Care delivery</w:t>
      </w:r>
      <w:r>
        <w:rPr>
          <w:lang w:val="en-US"/>
        </w:rPr>
        <w:t xml:space="preserve"> </w:t>
      </w:r>
      <w:r>
        <w:t>data includes information reported to government about the services delivered to older people, including claims information submitted to Services Australia.</w:t>
      </w:r>
    </w:p>
    <w:p w14:paraId="4DE05ED4" w14:textId="77777777" w:rsidR="00134C5E" w:rsidRPr="00F37F95" w:rsidRDefault="00134C5E" w:rsidP="00F37F95"/>
    <w:p w14:paraId="63977F77" w14:textId="77777777" w:rsidR="00577719" w:rsidRDefault="00577719" w:rsidP="00134C5E">
      <w:pPr>
        <w:pStyle w:val="Heading2"/>
        <w:sectPr w:rsidR="00577719" w:rsidSect="009F3B4F">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09" w:footer="709" w:gutter="0"/>
          <w:cols w:space="708"/>
          <w:docGrid w:linePitch="360"/>
        </w:sectPr>
      </w:pPr>
    </w:p>
    <w:p w14:paraId="020E1413" w14:textId="4C3FFE7B" w:rsidR="00134C5E" w:rsidRDefault="00134C5E" w:rsidP="00F37F95">
      <w:pPr>
        <w:pStyle w:val="Heading1"/>
      </w:pPr>
      <w:r>
        <w:t xml:space="preserve">Appendix 2: International use of data standards </w:t>
      </w:r>
    </w:p>
    <w:p w14:paraId="2C9FE7CF" w14:textId="1F0B43A7" w:rsidR="00134C5E" w:rsidRPr="00AB5CE1" w:rsidDel="009E6FAF" w:rsidRDefault="00134C5E" w:rsidP="00AB5CE1">
      <w:pPr>
        <w:pStyle w:val="Caption"/>
        <w:keepNext/>
        <w:rPr>
          <w:szCs w:val="20"/>
        </w:rPr>
      </w:pPr>
      <w:r w:rsidRPr="00FE31DC">
        <w:rPr>
          <w:szCs w:val="20"/>
        </w:rPr>
        <w:t>Table</w:t>
      </w:r>
      <w:r>
        <w:rPr>
          <w:szCs w:val="20"/>
        </w:rPr>
        <w:t xml:space="preserve"> </w:t>
      </w:r>
      <w:r w:rsidR="00577719">
        <w:rPr>
          <w:szCs w:val="20"/>
        </w:rPr>
        <w:t>1</w:t>
      </w:r>
      <w:r w:rsidR="00335DFD">
        <w:rPr>
          <w:szCs w:val="20"/>
        </w:rPr>
        <w:t>.  S</w:t>
      </w:r>
      <w:r w:rsidRPr="004F2863">
        <w:rPr>
          <w:szCs w:val="20"/>
        </w:rPr>
        <w:t>ummary of data standards, by type, used to support Phase 2 data reporting in selected jurisdictions in home or residential aged care  </w:t>
      </w:r>
    </w:p>
    <w:tbl>
      <w:tblPr>
        <w:tblStyle w:val="TableGrid"/>
        <w:tblW w:w="14726" w:type="dxa"/>
        <w:tblBorders>
          <w:top w:val="none" w:sz="0" w:space="0" w:color="auto"/>
          <w:left w:val="none" w:sz="0" w:space="0" w:color="auto"/>
          <w:bottom w:val="single" w:sz="4" w:space="0" w:color="212492" w:themeColor="accent1"/>
          <w:right w:val="none" w:sz="0" w:space="0" w:color="auto"/>
          <w:insideH w:val="single" w:sz="4" w:space="0" w:color="212492" w:themeColor="accent1"/>
          <w:insideV w:val="none" w:sz="0" w:space="0" w:color="auto"/>
        </w:tblBorders>
        <w:tblLayout w:type="fixed"/>
        <w:tblLook w:val="04A0" w:firstRow="1" w:lastRow="0" w:firstColumn="1" w:lastColumn="0" w:noHBand="0" w:noVBand="1"/>
        <w:tblCaption w:val="International comparison of data standards in aged care"/>
        <w:tblDescription w:val="This table documents the content and terminology standards, structure standards, and exchange and technology standards used in Australia, New Zealand, Canada, Singapore, the USA, the UK and France"/>
      </w:tblPr>
      <w:tblGrid>
        <w:gridCol w:w="2290"/>
        <w:gridCol w:w="1715"/>
        <w:gridCol w:w="1716"/>
        <w:gridCol w:w="1714"/>
        <w:gridCol w:w="1715"/>
        <w:gridCol w:w="1714"/>
        <w:gridCol w:w="1716"/>
        <w:gridCol w:w="2146"/>
      </w:tblGrid>
      <w:tr w:rsidR="009E6FAF" w:rsidRPr="008C0C64" w14:paraId="38E4E232" w14:textId="77777777" w:rsidTr="64397149">
        <w:trPr>
          <w:trHeight w:val="300"/>
          <w:tblHeader/>
        </w:trPr>
        <w:tc>
          <w:tcPr>
            <w:tcW w:w="2290" w:type="dxa"/>
            <w:shd w:val="clear" w:color="auto" w:fill="212492" w:themeFill="accent1"/>
          </w:tcPr>
          <w:p w14:paraId="3C6A0D94" w14:textId="77777777" w:rsidR="009E6FAF" w:rsidRDefault="3EA60B24" w:rsidP="002F0253">
            <w:pPr>
              <w:rPr>
                <w:sz w:val="18"/>
                <w:szCs w:val="18"/>
              </w:rPr>
            </w:pPr>
            <w:r w:rsidRPr="64397149">
              <w:rPr>
                <w:sz w:val="18"/>
                <w:szCs w:val="18"/>
              </w:rPr>
              <w:t>Type</w:t>
            </w:r>
          </w:p>
        </w:tc>
        <w:tc>
          <w:tcPr>
            <w:tcW w:w="1715" w:type="dxa"/>
            <w:shd w:val="clear" w:color="auto" w:fill="212492" w:themeFill="accent1"/>
          </w:tcPr>
          <w:p w14:paraId="4B97B8BD" w14:textId="77777777" w:rsidR="009E6FAF" w:rsidRPr="008C0C64" w:rsidRDefault="3EA60B24" w:rsidP="002F0253">
            <w:pPr>
              <w:rPr>
                <w:sz w:val="18"/>
                <w:szCs w:val="18"/>
              </w:rPr>
            </w:pPr>
            <w:r w:rsidRPr="64397149">
              <w:rPr>
                <w:sz w:val="18"/>
                <w:szCs w:val="18"/>
              </w:rPr>
              <w:t>Australia</w:t>
            </w:r>
          </w:p>
        </w:tc>
        <w:tc>
          <w:tcPr>
            <w:tcW w:w="1716" w:type="dxa"/>
            <w:shd w:val="clear" w:color="auto" w:fill="212492" w:themeFill="accent1"/>
          </w:tcPr>
          <w:p w14:paraId="1696F990" w14:textId="77777777" w:rsidR="009E6FAF" w:rsidRPr="008C0C64" w:rsidRDefault="3EA60B24" w:rsidP="002F0253">
            <w:pPr>
              <w:rPr>
                <w:sz w:val="18"/>
                <w:szCs w:val="18"/>
              </w:rPr>
            </w:pPr>
            <w:r w:rsidRPr="64397149">
              <w:rPr>
                <w:sz w:val="18"/>
                <w:szCs w:val="18"/>
              </w:rPr>
              <w:t>New Zealand</w:t>
            </w:r>
          </w:p>
        </w:tc>
        <w:tc>
          <w:tcPr>
            <w:tcW w:w="1714" w:type="dxa"/>
            <w:shd w:val="clear" w:color="auto" w:fill="212492" w:themeFill="accent1"/>
          </w:tcPr>
          <w:p w14:paraId="38F0C70E" w14:textId="77777777" w:rsidR="009E6FAF" w:rsidRPr="008C0C64" w:rsidRDefault="3EA60B24" w:rsidP="002F0253">
            <w:pPr>
              <w:rPr>
                <w:sz w:val="18"/>
                <w:szCs w:val="18"/>
              </w:rPr>
            </w:pPr>
            <w:r w:rsidRPr="64397149">
              <w:rPr>
                <w:sz w:val="18"/>
                <w:szCs w:val="18"/>
              </w:rPr>
              <w:t>Canada</w:t>
            </w:r>
          </w:p>
        </w:tc>
        <w:tc>
          <w:tcPr>
            <w:tcW w:w="1715" w:type="dxa"/>
            <w:shd w:val="clear" w:color="auto" w:fill="212492" w:themeFill="accent1"/>
          </w:tcPr>
          <w:p w14:paraId="08113157" w14:textId="77777777" w:rsidR="009E6FAF" w:rsidRPr="008C0C64" w:rsidRDefault="3EA60B24" w:rsidP="002F0253">
            <w:pPr>
              <w:rPr>
                <w:sz w:val="18"/>
                <w:szCs w:val="18"/>
              </w:rPr>
            </w:pPr>
            <w:r w:rsidRPr="64397149">
              <w:rPr>
                <w:sz w:val="18"/>
                <w:szCs w:val="18"/>
              </w:rPr>
              <w:t>Singapore</w:t>
            </w:r>
          </w:p>
        </w:tc>
        <w:tc>
          <w:tcPr>
            <w:tcW w:w="1714" w:type="dxa"/>
            <w:shd w:val="clear" w:color="auto" w:fill="212492" w:themeFill="accent1"/>
          </w:tcPr>
          <w:p w14:paraId="169E9480" w14:textId="77777777" w:rsidR="009E6FAF" w:rsidRPr="008C0C64" w:rsidRDefault="3EA60B24" w:rsidP="002F0253">
            <w:pPr>
              <w:rPr>
                <w:sz w:val="18"/>
                <w:szCs w:val="18"/>
              </w:rPr>
            </w:pPr>
            <w:r w:rsidRPr="64397149">
              <w:rPr>
                <w:sz w:val="18"/>
                <w:szCs w:val="18"/>
              </w:rPr>
              <w:t>USA</w:t>
            </w:r>
          </w:p>
        </w:tc>
        <w:tc>
          <w:tcPr>
            <w:tcW w:w="1716" w:type="dxa"/>
            <w:shd w:val="clear" w:color="auto" w:fill="212492" w:themeFill="accent1"/>
          </w:tcPr>
          <w:p w14:paraId="5CB3A753" w14:textId="77777777" w:rsidR="009E6FAF" w:rsidRPr="008C0C64" w:rsidRDefault="3EA60B24" w:rsidP="002F0253">
            <w:pPr>
              <w:rPr>
                <w:sz w:val="18"/>
                <w:szCs w:val="18"/>
              </w:rPr>
            </w:pPr>
            <w:r w:rsidRPr="64397149">
              <w:rPr>
                <w:sz w:val="18"/>
                <w:szCs w:val="18"/>
              </w:rPr>
              <w:t>United Kingdom</w:t>
            </w:r>
          </w:p>
        </w:tc>
        <w:tc>
          <w:tcPr>
            <w:tcW w:w="2146" w:type="dxa"/>
            <w:shd w:val="clear" w:color="auto" w:fill="212492" w:themeFill="accent1"/>
          </w:tcPr>
          <w:p w14:paraId="7326F729" w14:textId="74DB269F" w:rsidR="009E6FAF" w:rsidRDefault="37839366" w:rsidP="002F0253">
            <w:pPr>
              <w:rPr>
                <w:sz w:val="18"/>
                <w:szCs w:val="18"/>
              </w:rPr>
            </w:pPr>
            <w:r w:rsidRPr="64397149">
              <w:rPr>
                <w:sz w:val="18"/>
                <w:szCs w:val="18"/>
              </w:rPr>
              <w:t>France</w:t>
            </w:r>
            <w:r w:rsidR="3EA60B24" w:rsidRPr="64397149">
              <w:rPr>
                <w:sz w:val="18"/>
                <w:szCs w:val="18"/>
              </w:rPr>
              <w:t xml:space="preserve">  </w:t>
            </w:r>
          </w:p>
        </w:tc>
      </w:tr>
      <w:tr w:rsidR="00CA0522" w:rsidRPr="008C0C64" w14:paraId="11EC0A91" w14:textId="77777777" w:rsidTr="402385B2">
        <w:trPr>
          <w:trHeight w:val="300"/>
        </w:trPr>
        <w:tc>
          <w:tcPr>
            <w:tcW w:w="2290" w:type="dxa"/>
            <w:shd w:val="clear" w:color="auto" w:fill="C8C9F2" w:themeFill="accent1" w:themeFillTint="33"/>
          </w:tcPr>
          <w:p w14:paraId="5434BCFF" w14:textId="61B7D625" w:rsidR="00CA0522" w:rsidRPr="64397149" w:rsidRDefault="00CA0522" w:rsidP="64397149">
            <w:pPr>
              <w:spacing w:before="60" w:after="60" w:line="240" w:lineRule="atLeast"/>
              <w:rPr>
                <w:color w:val="212492" w:themeColor="accent1"/>
                <w:sz w:val="18"/>
                <w:szCs w:val="18"/>
              </w:rPr>
            </w:pPr>
            <w:r w:rsidRPr="64397149">
              <w:rPr>
                <w:color w:val="212492" w:themeColor="accent1"/>
                <w:sz w:val="18"/>
                <w:szCs w:val="18"/>
              </w:rPr>
              <w:t>Content and terminology standards</w:t>
            </w:r>
          </w:p>
        </w:tc>
        <w:tc>
          <w:tcPr>
            <w:tcW w:w="1715" w:type="dxa"/>
            <w:shd w:val="clear" w:color="auto" w:fill="C8C9F2" w:themeFill="accent1" w:themeFillTint="33"/>
          </w:tcPr>
          <w:p w14:paraId="06436AB7" w14:textId="77777777" w:rsidR="00CA0522" w:rsidRPr="64397149" w:rsidRDefault="00CA0522" w:rsidP="64397149">
            <w:pPr>
              <w:spacing w:before="60" w:after="60" w:line="240" w:lineRule="atLeast"/>
              <w:rPr>
                <w:sz w:val="18"/>
                <w:szCs w:val="18"/>
              </w:rPr>
            </w:pPr>
          </w:p>
        </w:tc>
        <w:tc>
          <w:tcPr>
            <w:tcW w:w="1716" w:type="dxa"/>
            <w:shd w:val="clear" w:color="auto" w:fill="C8C9F2" w:themeFill="accent1" w:themeFillTint="33"/>
          </w:tcPr>
          <w:p w14:paraId="6361AD6B" w14:textId="77777777" w:rsidR="00CA0522" w:rsidRPr="64397149" w:rsidRDefault="00CA0522" w:rsidP="64397149">
            <w:pPr>
              <w:spacing w:before="60" w:after="60" w:line="240" w:lineRule="atLeast"/>
              <w:rPr>
                <w:sz w:val="18"/>
                <w:szCs w:val="18"/>
              </w:rPr>
            </w:pPr>
          </w:p>
        </w:tc>
        <w:tc>
          <w:tcPr>
            <w:tcW w:w="1714" w:type="dxa"/>
            <w:shd w:val="clear" w:color="auto" w:fill="C8C9F2" w:themeFill="accent1" w:themeFillTint="33"/>
          </w:tcPr>
          <w:p w14:paraId="3546D1E4" w14:textId="77777777" w:rsidR="00CA0522" w:rsidRPr="64397149" w:rsidRDefault="00CA0522" w:rsidP="64397149">
            <w:pPr>
              <w:spacing w:before="60" w:after="60" w:line="240" w:lineRule="atLeast"/>
              <w:rPr>
                <w:sz w:val="18"/>
                <w:szCs w:val="18"/>
              </w:rPr>
            </w:pPr>
          </w:p>
        </w:tc>
        <w:tc>
          <w:tcPr>
            <w:tcW w:w="1715" w:type="dxa"/>
            <w:shd w:val="clear" w:color="auto" w:fill="C8C9F2" w:themeFill="accent1" w:themeFillTint="33"/>
          </w:tcPr>
          <w:p w14:paraId="78EEE081" w14:textId="77777777" w:rsidR="00CA0522" w:rsidRPr="64397149" w:rsidRDefault="00CA0522" w:rsidP="64397149">
            <w:pPr>
              <w:spacing w:before="60" w:after="60" w:line="240" w:lineRule="atLeast"/>
              <w:rPr>
                <w:sz w:val="18"/>
                <w:szCs w:val="18"/>
              </w:rPr>
            </w:pPr>
          </w:p>
        </w:tc>
        <w:tc>
          <w:tcPr>
            <w:tcW w:w="1714" w:type="dxa"/>
            <w:shd w:val="clear" w:color="auto" w:fill="C8C9F2" w:themeFill="accent1" w:themeFillTint="33"/>
          </w:tcPr>
          <w:p w14:paraId="7F27BC68" w14:textId="77777777" w:rsidR="00CA0522" w:rsidRPr="64397149" w:rsidRDefault="00CA0522" w:rsidP="64397149">
            <w:pPr>
              <w:spacing w:before="60" w:after="60" w:line="240" w:lineRule="atLeast"/>
              <w:rPr>
                <w:sz w:val="18"/>
                <w:szCs w:val="18"/>
              </w:rPr>
            </w:pPr>
          </w:p>
        </w:tc>
        <w:tc>
          <w:tcPr>
            <w:tcW w:w="1716" w:type="dxa"/>
            <w:shd w:val="clear" w:color="auto" w:fill="C8C9F2" w:themeFill="accent1" w:themeFillTint="33"/>
          </w:tcPr>
          <w:p w14:paraId="3273D240" w14:textId="77777777" w:rsidR="00CA0522" w:rsidRPr="64397149" w:rsidRDefault="00CA0522" w:rsidP="64397149">
            <w:pPr>
              <w:spacing w:before="60" w:after="60" w:line="240" w:lineRule="atLeast"/>
              <w:rPr>
                <w:sz w:val="18"/>
                <w:szCs w:val="18"/>
              </w:rPr>
            </w:pPr>
          </w:p>
        </w:tc>
        <w:tc>
          <w:tcPr>
            <w:tcW w:w="2146" w:type="dxa"/>
            <w:shd w:val="clear" w:color="auto" w:fill="C8C9F2" w:themeFill="accent1" w:themeFillTint="33"/>
          </w:tcPr>
          <w:p w14:paraId="2055AD74" w14:textId="77777777" w:rsidR="00CA0522" w:rsidRPr="64397149" w:rsidRDefault="00CA0522" w:rsidP="64397149">
            <w:pPr>
              <w:spacing w:before="60" w:after="60" w:line="240" w:lineRule="atLeast"/>
              <w:rPr>
                <w:sz w:val="18"/>
                <w:szCs w:val="18"/>
              </w:rPr>
            </w:pPr>
          </w:p>
        </w:tc>
      </w:tr>
      <w:tr w:rsidR="00402246" w:rsidRPr="008C0C64" w14:paraId="0DB0AE95" w14:textId="77777777" w:rsidTr="64397149">
        <w:trPr>
          <w:trHeight w:val="300"/>
        </w:trPr>
        <w:tc>
          <w:tcPr>
            <w:tcW w:w="2290" w:type="dxa"/>
          </w:tcPr>
          <w:p w14:paraId="47E981EB" w14:textId="77777777" w:rsidR="00402246" w:rsidRPr="00765936" w:rsidRDefault="37839366" w:rsidP="64397149">
            <w:pPr>
              <w:spacing w:before="60" w:after="60" w:line="240" w:lineRule="atLeast"/>
              <w:rPr>
                <w:color w:val="000000" w:themeColor="text1"/>
                <w:sz w:val="18"/>
                <w:szCs w:val="18"/>
              </w:rPr>
            </w:pPr>
            <w:r w:rsidRPr="00765936">
              <w:rPr>
                <w:color w:val="000000" w:themeColor="text1"/>
                <w:sz w:val="18"/>
                <w:szCs w:val="18"/>
              </w:rPr>
              <w:t>Clinical assessment</w:t>
            </w:r>
          </w:p>
        </w:tc>
        <w:tc>
          <w:tcPr>
            <w:tcW w:w="1715" w:type="dxa"/>
          </w:tcPr>
          <w:p w14:paraId="6429F075" w14:textId="77777777" w:rsidR="00402246" w:rsidRPr="00111C06" w:rsidRDefault="37839366" w:rsidP="64397149">
            <w:pPr>
              <w:spacing w:before="60" w:after="60" w:line="240" w:lineRule="atLeast"/>
              <w:rPr>
                <w:sz w:val="18"/>
                <w:szCs w:val="18"/>
              </w:rPr>
            </w:pPr>
            <w:proofErr w:type="spellStart"/>
            <w:r w:rsidRPr="64397149">
              <w:rPr>
                <w:sz w:val="18"/>
                <w:szCs w:val="18"/>
              </w:rPr>
              <w:t>interRAI</w:t>
            </w:r>
            <w:proofErr w:type="spellEnd"/>
            <w:r w:rsidRPr="64397149">
              <w:rPr>
                <w:sz w:val="18"/>
                <w:szCs w:val="18"/>
              </w:rPr>
              <w:t xml:space="preserve"> assessments in limited use in Australia but not mandated</w:t>
            </w:r>
          </w:p>
        </w:tc>
        <w:tc>
          <w:tcPr>
            <w:tcW w:w="1716" w:type="dxa"/>
          </w:tcPr>
          <w:p w14:paraId="37FA9B69" w14:textId="77777777" w:rsidR="00402246" w:rsidRPr="00111C06" w:rsidRDefault="37839366" w:rsidP="64397149">
            <w:pPr>
              <w:spacing w:before="60" w:after="60" w:line="240" w:lineRule="atLeast"/>
              <w:rPr>
                <w:sz w:val="18"/>
                <w:szCs w:val="18"/>
              </w:rPr>
            </w:pPr>
            <w:proofErr w:type="spellStart"/>
            <w:r w:rsidRPr="64397149">
              <w:rPr>
                <w:sz w:val="18"/>
                <w:szCs w:val="18"/>
              </w:rPr>
              <w:t>interRAI</w:t>
            </w:r>
            <w:proofErr w:type="spellEnd"/>
            <w:r w:rsidRPr="64397149">
              <w:rPr>
                <w:sz w:val="18"/>
                <w:szCs w:val="18"/>
              </w:rPr>
              <w:t xml:space="preserve"> Assessment Systems (HC, LTCF, QoL)</w:t>
            </w:r>
          </w:p>
        </w:tc>
        <w:tc>
          <w:tcPr>
            <w:tcW w:w="1714" w:type="dxa"/>
          </w:tcPr>
          <w:p w14:paraId="2428DBFF" w14:textId="77777777" w:rsidR="00402246" w:rsidRPr="00111C06" w:rsidRDefault="37839366" w:rsidP="64397149">
            <w:pPr>
              <w:spacing w:before="60" w:after="60" w:line="240" w:lineRule="atLeast"/>
              <w:rPr>
                <w:sz w:val="18"/>
                <w:szCs w:val="18"/>
              </w:rPr>
            </w:pPr>
            <w:proofErr w:type="spellStart"/>
            <w:r w:rsidRPr="64397149">
              <w:rPr>
                <w:sz w:val="18"/>
                <w:szCs w:val="18"/>
              </w:rPr>
              <w:t>interRAI</w:t>
            </w:r>
            <w:proofErr w:type="spellEnd"/>
            <w:r w:rsidRPr="64397149">
              <w:rPr>
                <w:sz w:val="18"/>
                <w:szCs w:val="18"/>
              </w:rPr>
              <w:t xml:space="preserve"> Assessment Systems (HC, LTCF, MH, QoL) </w:t>
            </w:r>
          </w:p>
        </w:tc>
        <w:tc>
          <w:tcPr>
            <w:tcW w:w="1715" w:type="dxa"/>
          </w:tcPr>
          <w:p w14:paraId="4E8C78BD" w14:textId="77777777" w:rsidR="00402246" w:rsidRPr="00111C06" w:rsidRDefault="37839366" w:rsidP="64397149">
            <w:pPr>
              <w:spacing w:before="60" w:after="60" w:line="240" w:lineRule="atLeast"/>
              <w:rPr>
                <w:sz w:val="18"/>
                <w:szCs w:val="18"/>
              </w:rPr>
            </w:pPr>
            <w:proofErr w:type="spellStart"/>
            <w:r w:rsidRPr="64397149">
              <w:rPr>
                <w:sz w:val="18"/>
                <w:szCs w:val="18"/>
              </w:rPr>
              <w:t>interRAI</w:t>
            </w:r>
            <w:proofErr w:type="spellEnd"/>
            <w:r w:rsidRPr="64397149">
              <w:rPr>
                <w:sz w:val="18"/>
                <w:szCs w:val="18"/>
              </w:rPr>
              <w:t xml:space="preserve"> assessment systems being introduced</w:t>
            </w:r>
          </w:p>
        </w:tc>
        <w:tc>
          <w:tcPr>
            <w:tcW w:w="1714" w:type="dxa"/>
          </w:tcPr>
          <w:p w14:paraId="7E00BFDA" w14:textId="77777777" w:rsidR="00402246" w:rsidRPr="00111C06" w:rsidRDefault="37839366" w:rsidP="64397149">
            <w:pPr>
              <w:spacing w:before="60" w:after="60" w:line="240" w:lineRule="atLeast"/>
              <w:rPr>
                <w:sz w:val="18"/>
                <w:szCs w:val="18"/>
              </w:rPr>
            </w:pPr>
            <w:r w:rsidRPr="64397149">
              <w:rPr>
                <w:sz w:val="18"/>
                <w:szCs w:val="18"/>
              </w:rPr>
              <w:t xml:space="preserve">MDS 3.0 </w:t>
            </w:r>
            <w:r w:rsidR="00402246">
              <w:br/>
            </w:r>
            <w:r w:rsidRPr="64397149">
              <w:rPr>
                <w:sz w:val="18"/>
                <w:szCs w:val="18"/>
              </w:rPr>
              <w:t xml:space="preserve">(incl </w:t>
            </w:r>
            <w:proofErr w:type="spellStart"/>
            <w:r w:rsidRPr="64397149">
              <w:rPr>
                <w:sz w:val="18"/>
                <w:szCs w:val="18"/>
              </w:rPr>
              <w:t>interRAI</w:t>
            </w:r>
            <w:proofErr w:type="spellEnd"/>
            <w:r w:rsidRPr="64397149">
              <w:rPr>
                <w:sz w:val="18"/>
                <w:szCs w:val="18"/>
              </w:rPr>
              <w:t xml:space="preserve"> items)</w:t>
            </w:r>
          </w:p>
        </w:tc>
        <w:tc>
          <w:tcPr>
            <w:tcW w:w="1716" w:type="dxa"/>
          </w:tcPr>
          <w:p w14:paraId="7DCCFC30" w14:textId="77777777" w:rsidR="00402246" w:rsidRPr="00111C06" w:rsidRDefault="37839366" w:rsidP="64397149">
            <w:pPr>
              <w:spacing w:before="60" w:after="60" w:line="240" w:lineRule="atLeast"/>
              <w:rPr>
                <w:sz w:val="18"/>
                <w:szCs w:val="18"/>
              </w:rPr>
            </w:pPr>
            <w:proofErr w:type="spellStart"/>
            <w:r w:rsidRPr="64397149">
              <w:rPr>
                <w:sz w:val="18"/>
                <w:szCs w:val="18"/>
              </w:rPr>
              <w:t>interRAI</w:t>
            </w:r>
            <w:proofErr w:type="spellEnd"/>
            <w:r w:rsidRPr="64397149">
              <w:rPr>
                <w:sz w:val="18"/>
                <w:szCs w:val="18"/>
              </w:rPr>
              <w:t xml:space="preserve"> assessment systems being introduced in Ireland</w:t>
            </w:r>
          </w:p>
        </w:tc>
        <w:tc>
          <w:tcPr>
            <w:tcW w:w="2146" w:type="dxa"/>
          </w:tcPr>
          <w:p w14:paraId="3BF3B027" w14:textId="71A5CD79" w:rsidR="00402246" w:rsidRDefault="37839366" w:rsidP="64397149">
            <w:pPr>
              <w:spacing w:before="60" w:after="60" w:line="240" w:lineRule="atLeast"/>
              <w:rPr>
                <w:sz w:val="18"/>
                <w:szCs w:val="18"/>
              </w:rPr>
            </w:pPr>
            <w:r w:rsidRPr="64397149">
              <w:rPr>
                <w:sz w:val="18"/>
                <w:szCs w:val="18"/>
              </w:rPr>
              <w:t>Not found</w:t>
            </w:r>
          </w:p>
        </w:tc>
      </w:tr>
      <w:tr w:rsidR="00402246" w:rsidRPr="008C0C64" w14:paraId="2367BB8D" w14:textId="77777777" w:rsidTr="64397149">
        <w:trPr>
          <w:trHeight w:val="300"/>
        </w:trPr>
        <w:tc>
          <w:tcPr>
            <w:tcW w:w="2290" w:type="dxa"/>
          </w:tcPr>
          <w:p w14:paraId="0312F232" w14:textId="77777777" w:rsidR="00402246" w:rsidRPr="00765936" w:rsidRDefault="37839366" w:rsidP="64397149">
            <w:pPr>
              <w:spacing w:before="60" w:after="60" w:line="240" w:lineRule="atLeast"/>
              <w:rPr>
                <w:color w:val="000000" w:themeColor="text1"/>
                <w:sz w:val="18"/>
                <w:szCs w:val="18"/>
              </w:rPr>
            </w:pPr>
            <w:r w:rsidRPr="00765936">
              <w:rPr>
                <w:color w:val="000000" w:themeColor="text1"/>
                <w:sz w:val="18"/>
                <w:szCs w:val="18"/>
              </w:rPr>
              <w:t>MDS</w:t>
            </w:r>
          </w:p>
        </w:tc>
        <w:tc>
          <w:tcPr>
            <w:tcW w:w="1715" w:type="dxa"/>
            <w:vAlign w:val="center"/>
          </w:tcPr>
          <w:p w14:paraId="08E21533" w14:textId="77777777" w:rsidR="00402246" w:rsidRDefault="37839366" w:rsidP="64397149">
            <w:pPr>
              <w:spacing w:before="60" w:after="60" w:line="240" w:lineRule="atLeast"/>
              <w:rPr>
                <w:sz w:val="18"/>
                <w:szCs w:val="18"/>
              </w:rPr>
            </w:pPr>
            <w:r w:rsidRPr="64397149">
              <w:rPr>
                <w:sz w:val="18"/>
                <w:szCs w:val="18"/>
              </w:rPr>
              <w:t>Aged Care NMDS</w:t>
            </w:r>
          </w:p>
        </w:tc>
        <w:tc>
          <w:tcPr>
            <w:tcW w:w="1716" w:type="dxa"/>
          </w:tcPr>
          <w:p w14:paraId="6453FF5F" w14:textId="77777777" w:rsidR="00402246" w:rsidRPr="008C0C64" w:rsidRDefault="37839366" w:rsidP="64397149">
            <w:pPr>
              <w:spacing w:before="60" w:after="60" w:line="240" w:lineRule="atLeast"/>
              <w:rPr>
                <w:sz w:val="18"/>
                <w:szCs w:val="18"/>
              </w:rPr>
            </w:pPr>
            <w:r w:rsidRPr="64397149">
              <w:rPr>
                <w:sz w:val="18"/>
                <w:szCs w:val="18"/>
              </w:rPr>
              <w:t>Not found</w:t>
            </w:r>
          </w:p>
        </w:tc>
        <w:tc>
          <w:tcPr>
            <w:tcW w:w="1714" w:type="dxa"/>
          </w:tcPr>
          <w:p w14:paraId="0578D90A" w14:textId="77777777" w:rsidR="00402246" w:rsidRPr="008C0C64" w:rsidRDefault="37839366" w:rsidP="64397149">
            <w:pPr>
              <w:spacing w:before="60" w:after="60" w:line="240" w:lineRule="atLeast"/>
              <w:rPr>
                <w:sz w:val="18"/>
                <w:szCs w:val="18"/>
              </w:rPr>
            </w:pPr>
            <w:r w:rsidRPr="64397149">
              <w:rPr>
                <w:sz w:val="18"/>
                <w:szCs w:val="18"/>
              </w:rPr>
              <w:t>RAI-MDS 2.0</w:t>
            </w:r>
          </w:p>
        </w:tc>
        <w:tc>
          <w:tcPr>
            <w:tcW w:w="1715" w:type="dxa"/>
          </w:tcPr>
          <w:p w14:paraId="082B10A7" w14:textId="77777777" w:rsidR="00402246" w:rsidRPr="00B120FA" w:rsidRDefault="37839366" w:rsidP="64397149">
            <w:pPr>
              <w:spacing w:before="60" w:after="60" w:line="240" w:lineRule="atLeast"/>
              <w:rPr>
                <w:sz w:val="18"/>
                <w:szCs w:val="18"/>
              </w:rPr>
            </w:pPr>
            <w:r w:rsidRPr="64397149">
              <w:rPr>
                <w:sz w:val="18"/>
                <w:szCs w:val="18"/>
              </w:rPr>
              <w:t>Not found</w:t>
            </w:r>
          </w:p>
        </w:tc>
        <w:tc>
          <w:tcPr>
            <w:tcW w:w="1714" w:type="dxa"/>
          </w:tcPr>
          <w:p w14:paraId="772A9D19" w14:textId="77777777" w:rsidR="00402246" w:rsidRDefault="37839366" w:rsidP="64397149">
            <w:pPr>
              <w:spacing w:before="60" w:after="60" w:line="240" w:lineRule="atLeast"/>
              <w:rPr>
                <w:sz w:val="18"/>
                <w:szCs w:val="18"/>
              </w:rPr>
            </w:pPr>
            <w:r w:rsidRPr="64397149">
              <w:rPr>
                <w:sz w:val="18"/>
                <w:szCs w:val="18"/>
              </w:rPr>
              <w:t>MDS 3.0</w:t>
            </w:r>
          </w:p>
        </w:tc>
        <w:tc>
          <w:tcPr>
            <w:tcW w:w="1716" w:type="dxa"/>
          </w:tcPr>
          <w:p w14:paraId="38D9BE65" w14:textId="77777777" w:rsidR="00402246" w:rsidRDefault="37839366" w:rsidP="64397149">
            <w:pPr>
              <w:spacing w:before="60" w:after="60" w:line="240" w:lineRule="atLeast"/>
              <w:rPr>
                <w:sz w:val="18"/>
                <w:szCs w:val="18"/>
              </w:rPr>
            </w:pPr>
            <w:r w:rsidRPr="64397149">
              <w:rPr>
                <w:sz w:val="18"/>
                <w:szCs w:val="18"/>
              </w:rPr>
              <w:t>Not found</w:t>
            </w:r>
          </w:p>
        </w:tc>
        <w:tc>
          <w:tcPr>
            <w:tcW w:w="2146" w:type="dxa"/>
          </w:tcPr>
          <w:p w14:paraId="1469FB57" w14:textId="26ED53FF" w:rsidR="00402246" w:rsidRDefault="37839366" w:rsidP="64397149">
            <w:pPr>
              <w:spacing w:before="60" w:after="60" w:line="240" w:lineRule="atLeast"/>
              <w:rPr>
                <w:sz w:val="18"/>
                <w:szCs w:val="18"/>
              </w:rPr>
            </w:pPr>
            <w:r w:rsidRPr="64397149">
              <w:rPr>
                <w:sz w:val="18"/>
                <w:szCs w:val="18"/>
              </w:rPr>
              <w:t>Not found</w:t>
            </w:r>
          </w:p>
        </w:tc>
      </w:tr>
      <w:tr w:rsidR="00402246" w:rsidRPr="008C0C64" w14:paraId="4C623214" w14:textId="77777777" w:rsidTr="64397149">
        <w:trPr>
          <w:trHeight w:val="300"/>
        </w:trPr>
        <w:tc>
          <w:tcPr>
            <w:tcW w:w="2290" w:type="dxa"/>
          </w:tcPr>
          <w:p w14:paraId="51FF3C27" w14:textId="77777777" w:rsidR="009E6FAF" w:rsidRPr="00765936" w:rsidRDefault="3EA60B24" w:rsidP="64397149">
            <w:pPr>
              <w:spacing w:before="60" w:after="60" w:line="240" w:lineRule="atLeast"/>
              <w:rPr>
                <w:color w:val="000000" w:themeColor="text1"/>
                <w:sz w:val="18"/>
                <w:szCs w:val="18"/>
              </w:rPr>
            </w:pPr>
            <w:r w:rsidRPr="00765936">
              <w:rPr>
                <w:color w:val="000000" w:themeColor="text1"/>
                <w:sz w:val="18"/>
                <w:szCs w:val="18"/>
              </w:rPr>
              <w:t>Clinical terminology</w:t>
            </w:r>
          </w:p>
        </w:tc>
        <w:tc>
          <w:tcPr>
            <w:tcW w:w="1715" w:type="dxa"/>
          </w:tcPr>
          <w:p w14:paraId="47B374CA" w14:textId="77777777" w:rsidR="009E6FAF" w:rsidRDefault="3EA60B24" w:rsidP="64397149">
            <w:pPr>
              <w:spacing w:before="60" w:after="60" w:line="240" w:lineRule="atLeast"/>
              <w:rPr>
                <w:sz w:val="18"/>
                <w:szCs w:val="18"/>
              </w:rPr>
            </w:pPr>
            <w:r w:rsidRPr="64397149">
              <w:rPr>
                <w:sz w:val="18"/>
                <w:szCs w:val="18"/>
              </w:rPr>
              <w:t>Not found</w:t>
            </w:r>
          </w:p>
        </w:tc>
        <w:tc>
          <w:tcPr>
            <w:tcW w:w="1716" w:type="dxa"/>
          </w:tcPr>
          <w:p w14:paraId="4A94544E" w14:textId="77777777" w:rsidR="009E6FAF" w:rsidRDefault="3EA60B24" w:rsidP="64397149">
            <w:pPr>
              <w:spacing w:before="60" w:after="60" w:line="240" w:lineRule="atLeast"/>
              <w:rPr>
                <w:sz w:val="18"/>
                <w:szCs w:val="18"/>
              </w:rPr>
            </w:pPr>
            <w:r w:rsidRPr="64397149">
              <w:rPr>
                <w:sz w:val="18"/>
                <w:szCs w:val="18"/>
              </w:rPr>
              <w:t>Not found</w:t>
            </w:r>
          </w:p>
        </w:tc>
        <w:tc>
          <w:tcPr>
            <w:tcW w:w="1714" w:type="dxa"/>
          </w:tcPr>
          <w:p w14:paraId="377315E5" w14:textId="77777777" w:rsidR="009E6FAF" w:rsidRDefault="3EA60B24" w:rsidP="64397149">
            <w:pPr>
              <w:spacing w:before="60" w:after="60" w:line="240" w:lineRule="atLeast"/>
              <w:rPr>
                <w:sz w:val="18"/>
                <w:szCs w:val="18"/>
              </w:rPr>
            </w:pPr>
            <w:r w:rsidRPr="64397149">
              <w:rPr>
                <w:sz w:val="18"/>
                <w:szCs w:val="18"/>
              </w:rPr>
              <w:t>ICD-10-CA</w:t>
            </w:r>
          </w:p>
        </w:tc>
        <w:tc>
          <w:tcPr>
            <w:tcW w:w="1715" w:type="dxa"/>
          </w:tcPr>
          <w:p w14:paraId="551BB8B3" w14:textId="77777777" w:rsidR="009E6FAF" w:rsidRPr="00B120FA" w:rsidRDefault="3EA60B24" w:rsidP="64397149">
            <w:pPr>
              <w:spacing w:before="60" w:after="60" w:line="240" w:lineRule="atLeast"/>
              <w:rPr>
                <w:sz w:val="18"/>
                <w:szCs w:val="18"/>
              </w:rPr>
            </w:pPr>
            <w:r w:rsidRPr="64397149">
              <w:rPr>
                <w:sz w:val="18"/>
                <w:szCs w:val="18"/>
              </w:rPr>
              <w:t>Not found</w:t>
            </w:r>
          </w:p>
        </w:tc>
        <w:tc>
          <w:tcPr>
            <w:tcW w:w="1714" w:type="dxa"/>
          </w:tcPr>
          <w:p w14:paraId="238981F2" w14:textId="77777777" w:rsidR="009E6FAF" w:rsidRDefault="3EA60B24" w:rsidP="64397149">
            <w:pPr>
              <w:spacing w:before="60" w:after="60" w:line="240" w:lineRule="atLeast"/>
              <w:rPr>
                <w:sz w:val="18"/>
                <w:szCs w:val="18"/>
              </w:rPr>
            </w:pPr>
            <w:r w:rsidRPr="64397149">
              <w:rPr>
                <w:sz w:val="18"/>
                <w:szCs w:val="18"/>
              </w:rPr>
              <w:t>ICD-10</w:t>
            </w:r>
          </w:p>
        </w:tc>
        <w:tc>
          <w:tcPr>
            <w:tcW w:w="1716" w:type="dxa"/>
          </w:tcPr>
          <w:p w14:paraId="6D4AEF5D" w14:textId="77777777" w:rsidR="009E6FAF" w:rsidRDefault="3EA60B24" w:rsidP="64397149">
            <w:pPr>
              <w:spacing w:before="60" w:after="60" w:line="240" w:lineRule="atLeast"/>
              <w:rPr>
                <w:sz w:val="18"/>
                <w:szCs w:val="18"/>
              </w:rPr>
            </w:pPr>
            <w:r w:rsidRPr="64397149">
              <w:rPr>
                <w:sz w:val="18"/>
                <w:szCs w:val="18"/>
              </w:rPr>
              <w:t>Not found</w:t>
            </w:r>
          </w:p>
        </w:tc>
        <w:tc>
          <w:tcPr>
            <w:tcW w:w="2146" w:type="dxa"/>
          </w:tcPr>
          <w:p w14:paraId="6ECDA371" w14:textId="77777777" w:rsidR="009E6FAF" w:rsidRDefault="3EA60B24" w:rsidP="64397149">
            <w:pPr>
              <w:spacing w:before="60" w:after="60" w:line="240" w:lineRule="atLeast"/>
              <w:rPr>
                <w:sz w:val="18"/>
                <w:szCs w:val="18"/>
              </w:rPr>
            </w:pPr>
            <w:r w:rsidRPr="64397149">
              <w:rPr>
                <w:sz w:val="18"/>
                <w:szCs w:val="18"/>
              </w:rPr>
              <w:t>Not found</w:t>
            </w:r>
          </w:p>
        </w:tc>
      </w:tr>
      <w:tr w:rsidR="00402246" w:rsidRPr="008C0C64" w14:paraId="75D5C6B4" w14:textId="77777777" w:rsidTr="64397149">
        <w:trPr>
          <w:trHeight w:val="300"/>
        </w:trPr>
        <w:tc>
          <w:tcPr>
            <w:tcW w:w="2290" w:type="dxa"/>
          </w:tcPr>
          <w:p w14:paraId="50540A5D" w14:textId="77777777" w:rsidR="009E6FAF" w:rsidRPr="00765936" w:rsidRDefault="3EA60B24" w:rsidP="64397149">
            <w:pPr>
              <w:spacing w:before="60" w:after="60" w:line="240" w:lineRule="atLeast"/>
              <w:rPr>
                <w:color w:val="000000" w:themeColor="text1"/>
                <w:sz w:val="18"/>
                <w:szCs w:val="18"/>
              </w:rPr>
            </w:pPr>
            <w:r w:rsidRPr="00765936">
              <w:rPr>
                <w:color w:val="000000" w:themeColor="text1"/>
                <w:sz w:val="18"/>
                <w:szCs w:val="18"/>
              </w:rPr>
              <w:t>Clinical terminology</w:t>
            </w:r>
          </w:p>
        </w:tc>
        <w:tc>
          <w:tcPr>
            <w:tcW w:w="1715" w:type="dxa"/>
          </w:tcPr>
          <w:p w14:paraId="431E80D4" w14:textId="77777777" w:rsidR="009E6FAF" w:rsidRDefault="3EA60B24" w:rsidP="64397149">
            <w:pPr>
              <w:spacing w:before="60" w:after="60" w:line="240" w:lineRule="atLeast"/>
              <w:rPr>
                <w:sz w:val="18"/>
                <w:szCs w:val="18"/>
              </w:rPr>
            </w:pPr>
            <w:r w:rsidRPr="64397149">
              <w:rPr>
                <w:sz w:val="18"/>
                <w:szCs w:val="18"/>
              </w:rPr>
              <w:t>Not found</w:t>
            </w:r>
          </w:p>
        </w:tc>
        <w:tc>
          <w:tcPr>
            <w:tcW w:w="1716" w:type="dxa"/>
          </w:tcPr>
          <w:p w14:paraId="04412634" w14:textId="77777777" w:rsidR="009E6FAF" w:rsidRDefault="3EA60B24" w:rsidP="64397149">
            <w:pPr>
              <w:spacing w:before="60" w:after="60" w:line="240" w:lineRule="atLeast"/>
              <w:rPr>
                <w:sz w:val="18"/>
                <w:szCs w:val="18"/>
              </w:rPr>
            </w:pPr>
            <w:r w:rsidRPr="64397149">
              <w:rPr>
                <w:sz w:val="18"/>
                <w:szCs w:val="18"/>
              </w:rPr>
              <w:t>Not found</w:t>
            </w:r>
          </w:p>
        </w:tc>
        <w:tc>
          <w:tcPr>
            <w:tcW w:w="1714" w:type="dxa"/>
          </w:tcPr>
          <w:p w14:paraId="52633C8E" w14:textId="77777777" w:rsidR="009E6FAF" w:rsidRDefault="3EA60B24" w:rsidP="64397149">
            <w:pPr>
              <w:spacing w:before="60" w:after="60" w:line="240" w:lineRule="atLeast"/>
              <w:rPr>
                <w:sz w:val="18"/>
                <w:szCs w:val="18"/>
              </w:rPr>
            </w:pPr>
            <w:r w:rsidRPr="64397149">
              <w:rPr>
                <w:sz w:val="18"/>
                <w:szCs w:val="18"/>
              </w:rPr>
              <w:t>SNOMED-CT</w:t>
            </w:r>
          </w:p>
        </w:tc>
        <w:tc>
          <w:tcPr>
            <w:tcW w:w="1715" w:type="dxa"/>
          </w:tcPr>
          <w:p w14:paraId="4416FF1C" w14:textId="77777777" w:rsidR="009E6FAF" w:rsidRPr="00B120FA" w:rsidRDefault="3EA60B24" w:rsidP="64397149">
            <w:pPr>
              <w:spacing w:before="60" w:after="60" w:line="240" w:lineRule="atLeast"/>
              <w:rPr>
                <w:sz w:val="18"/>
                <w:szCs w:val="18"/>
              </w:rPr>
            </w:pPr>
            <w:r w:rsidRPr="64397149">
              <w:rPr>
                <w:sz w:val="18"/>
                <w:szCs w:val="18"/>
              </w:rPr>
              <w:t>Not found</w:t>
            </w:r>
          </w:p>
        </w:tc>
        <w:tc>
          <w:tcPr>
            <w:tcW w:w="1714" w:type="dxa"/>
          </w:tcPr>
          <w:p w14:paraId="4145A1C0" w14:textId="77777777" w:rsidR="009E6FAF" w:rsidRDefault="3EA60B24" w:rsidP="64397149">
            <w:pPr>
              <w:spacing w:before="60" w:after="60" w:line="240" w:lineRule="atLeast"/>
              <w:rPr>
                <w:sz w:val="18"/>
                <w:szCs w:val="18"/>
              </w:rPr>
            </w:pPr>
            <w:r w:rsidRPr="64397149">
              <w:rPr>
                <w:sz w:val="18"/>
                <w:szCs w:val="18"/>
              </w:rPr>
              <w:t>SNOMED-CT</w:t>
            </w:r>
          </w:p>
        </w:tc>
        <w:tc>
          <w:tcPr>
            <w:tcW w:w="1716" w:type="dxa"/>
          </w:tcPr>
          <w:p w14:paraId="275B0EA7" w14:textId="77777777" w:rsidR="009E6FAF" w:rsidRDefault="3EA60B24" w:rsidP="64397149">
            <w:pPr>
              <w:spacing w:before="60" w:after="60" w:line="240" w:lineRule="atLeast"/>
              <w:rPr>
                <w:sz w:val="18"/>
                <w:szCs w:val="18"/>
              </w:rPr>
            </w:pPr>
            <w:r w:rsidRPr="64397149">
              <w:rPr>
                <w:sz w:val="18"/>
                <w:szCs w:val="18"/>
              </w:rPr>
              <w:t>Not found</w:t>
            </w:r>
          </w:p>
        </w:tc>
        <w:tc>
          <w:tcPr>
            <w:tcW w:w="2146" w:type="dxa"/>
          </w:tcPr>
          <w:p w14:paraId="6B4DF694" w14:textId="77777777" w:rsidR="009E6FAF" w:rsidRDefault="3EA60B24" w:rsidP="64397149">
            <w:pPr>
              <w:spacing w:before="60" w:after="60" w:line="240" w:lineRule="atLeast"/>
              <w:rPr>
                <w:sz w:val="18"/>
                <w:szCs w:val="18"/>
              </w:rPr>
            </w:pPr>
            <w:r w:rsidRPr="64397149">
              <w:rPr>
                <w:sz w:val="18"/>
                <w:szCs w:val="18"/>
              </w:rPr>
              <w:t>Not found</w:t>
            </w:r>
          </w:p>
        </w:tc>
      </w:tr>
      <w:tr w:rsidR="00402246" w:rsidRPr="008C0C64" w14:paraId="60DEC805" w14:textId="77777777" w:rsidTr="64397149">
        <w:trPr>
          <w:trHeight w:val="300"/>
        </w:trPr>
        <w:tc>
          <w:tcPr>
            <w:tcW w:w="2290" w:type="dxa"/>
          </w:tcPr>
          <w:p w14:paraId="084D7CEA" w14:textId="77777777" w:rsidR="009E6FAF" w:rsidRPr="00765936" w:rsidRDefault="3EA60B24" w:rsidP="64397149">
            <w:pPr>
              <w:spacing w:before="60" w:after="60" w:line="240" w:lineRule="atLeast"/>
              <w:rPr>
                <w:color w:val="000000" w:themeColor="text1"/>
                <w:sz w:val="18"/>
                <w:szCs w:val="18"/>
              </w:rPr>
            </w:pPr>
            <w:r w:rsidRPr="00765936">
              <w:rPr>
                <w:color w:val="000000" w:themeColor="text1"/>
                <w:sz w:val="18"/>
                <w:szCs w:val="18"/>
              </w:rPr>
              <w:t>Clinical terminology</w:t>
            </w:r>
          </w:p>
        </w:tc>
        <w:tc>
          <w:tcPr>
            <w:tcW w:w="1715" w:type="dxa"/>
          </w:tcPr>
          <w:p w14:paraId="1FBDCC37" w14:textId="77777777" w:rsidR="009E6FAF" w:rsidRDefault="3EA60B24" w:rsidP="64397149">
            <w:pPr>
              <w:spacing w:before="60" w:after="60" w:line="240" w:lineRule="atLeast"/>
              <w:rPr>
                <w:sz w:val="18"/>
                <w:szCs w:val="18"/>
              </w:rPr>
            </w:pPr>
            <w:r w:rsidRPr="64397149">
              <w:rPr>
                <w:sz w:val="18"/>
                <w:szCs w:val="18"/>
              </w:rPr>
              <w:t>Not found</w:t>
            </w:r>
          </w:p>
        </w:tc>
        <w:tc>
          <w:tcPr>
            <w:tcW w:w="1716" w:type="dxa"/>
          </w:tcPr>
          <w:p w14:paraId="4F501E17" w14:textId="77777777" w:rsidR="009E6FAF" w:rsidRDefault="3EA60B24" w:rsidP="64397149">
            <w:pPr>
              <w:spacing w:before="60" w:after="60" w:line="240" w:lineRule="atLeast"/>
              <w:rPr>
                <w:sz w:val="18"/>
                <w:szCs w:val="18"/>
              </w:rPr>
            </w:pPr>
            <w:r w:rsidRPr="64397149">
              <w:rPr>
                <w:sz w:val="18"/>
                <w:szCs w:val="18"/>
              </w:rPr>
              <w:t>Not found</w:t>
            </w:r>
          </w:p>
        </w:tc>
        <w:tc>
          <w:tcPr>
            <w:tcW w:w="1714" w:type="dxa"/>
          </w:tcPr>
          <w:p w14:paraId="4F9F3677" w14:textId="77777777" w:rsidR="009E6FAF" w:rsidRDefault="3EA60B24" w:rsidP="64397149">
            <w:pPr>
              <w:spacing w:before="60" w:after="60" w:line="240" w:lineRule="atLeast"/>
              <w:rPr>
                <w:sz w:val="18"/>
                <w:szCs w:val="18"/>
              </w:rPr>
            </w:pPr>
            <w:r w:rsidRPr="64397149">
              <w:rPr>
                <w:sz w:val="18"/>
                <w:szCs w:val="18"/>
              </w:rPr>
              <w:t>LOINC and UCUM</w:t>
            </w:r>
          </w:p>
        </w:tc>
        <w:tc>
          <w:tcPr>
            <w:tcW w:w="1715" w:type="dxa"/>
          </w:tcPr>
          <w:p w14:paraId="29F95277" w14:textId="77777777" w:rsidR="009E6FAF" w:rsidRDefault="3EA60B24" w:rsidP="64397149">
            <w:pPr>
              <w:spacing w:before="60" w:after="60" w:line="240" w:lineRule="atLeast"/>
              <w:rPr>
                <w:sz w:val="18"/>
                <w:szCs w:val="18"/>
              </w:rPr>
            </w:pPr>
            <w:r w:rsidRPr="64397149">
              <w:rPr>
                <w:sz w:val="18"/>
                <w:szCs w:val="18"/>
              </w:rPr>
              <w:t>Not found</w:t>
            </w:r>
          </w:p>
        </w:tc>
        <w:tc>
          <w:tcPr>
            <w:tcW w:w="1714" w:type="dxa"/>
          </w:tcPr>
          <w:p w14:paraId="5CDD73E6" w14:textId="77777777" w:rsidR="009E6FAF" w:rsidRDefault="3EA60B24" w:rsidP="64397149">
            <w:pPr>
              <w:spacing w:before="60" w:after="60" w:line="240" w:lineRule="atLeast"/>
              <w:rPr>
                <w:sz w:val="18"/>
                <w:szCs w:val="18"/>
              </w:rPr>
            </w:pPr>
            <w:r w:rsidRPr="64397149">
              <w:rPr>
                <w:sz w:val="18"/>
                <w:szCs w:val="18"/>
              </w:rPr>
              <w:t>Not found</w:t>
            </w:r>
          </w:p>
        </w:tc>
        <w:tc>
          <w:tcPr>
            <w:tcW w:w="1716" w:type="dxa"/>
          </w:tcPr>
          <w:p w14:paraId="36B42223" w14:textId="77777777" w:rsidR="009E6FAF" w:rsidRDefault="3EA60B24" w:rsidP="64397149">
            <w:pPr>
              <w:spacing w:before="60" w:after="60" w:line="240" w:lineRule="atLeast"/>
              <w:rPr>
                <w:sz w:val="18"/>
                <w:szCs w:val="18"/>
              </w:rPr>
            </w:pPr>
            <w:r w:rsidRPr="64397149">
              <w:rPr>
                <w:sz w:val="18"/>
                <w:szCs w:val="18"/>
              </w:rPr>
              <w:t>Not found</w:t>
            </w:r>
          </w:p>
        </w:tc>
        <w:tc>
          <w:tcPr>
            <w:tcW w:w="2146" w:type="dxa"/>
          </w:tcPr>
          <w:p w14:paraId="378E5B8D" w14:textId="77777777" w:rsidR="009E6FAF" w:rsidRDefault="3EA60B24" w:rsidP="64397149">
            <w:pPr>
              <w:spacing w:before="60" w:after="60" w:line="240" w:lineRule="atLeast"/>
              <w:rPr>
                <w:sz w:val="18"/>
                <w:szCs w:val="18"/>
              </w:rPr>
            </w:pPr>
            <w:r w:rsidRPr="64397149">
              <w:rPr>
                <w:sz w:val="18"/>
                <w:szCs w:val="18"/>
              </w:rPr>
              <w:t>Not found</w:t>
            </w:r>
          </w:p>
        </w:tc>
      </w:tr>
      <w:tr w:rsidR="00CA0522" w:rsidRPr="008C0C64" w14:paraId="746324C3" w14:textId="77777777" w:rsidTr="402385B2">
        <w:trPr>
          <w:trHeight w:val="300"/>
        </w:trPr>
        <w:tc>
          <w:tcPr>
            <w:tcW w:w="2290" w:type="dxa"/>
            <w:shd w:val="clear" w:color="auto" w:fill="C8C9F2" w:themeFill="accent1" w:themeFillTint="33"/>
          </w:tcPr>
          <w:p w14:paraId="442E6D6F" w14:textId="011796BA" w:rsidR="00CA0522" w:rsidRPr="64397149" w:rsidRDefault="00CA0522" w:rsidP="64397149">
            <w:pPr>
              <w:spacing w:before="60" w:after="60" w:line="240" w:lineRule="atLeast"/>
              <w:rPr>
                <w:sz w:val="18"/>
                <w:szCs w:val="18"/>
              </w:rPr>
            </w:pPr>
            <w:r w:rsidRPr="64397149">
              <w:rPr>
                <w:color w:val="212492" w:themeColor="accent1"/>
                <w:sz w:val="18"/>
                <w:szCs w:val="18"/>
              </w:rPr>
              <w:t>Structure standards</w:t>
            </w:r>
          </w:p>
        </w:tc>
        <w:tc>
          <w:tcPr>
            <w:tcW w:w="1715" w:type="dxa"/>
            <w:shd w:val="clear" w:color="auto" w:fill="C8C9F2" w:themeFill="accent1" w:themeFillTint="33"/>
          </w:tcPr>
          <w:p w14:paraId="4429214D" w14:textId="77777777" w:rsidR="00CA0522" w:rsidRPr="64397149" w:rsidRDefault="00CA0522" w:rsidP="64397149">
            <w:pPr>
              <w:spacing w:before="60" w:after="60" w:line="240" w:lineRule="atLeast"/>
              <w:rPr>
                <w:sz w:val="18"/>
                <w:szCs w:val="18"/>
              </w:rPr>
            </w:pPr>
          </w:p>
        </w:tc>
        <w:tc>
          <w:tcPr>
            <w:tcW w:w="1716" w:type="dxa"/>
            <w:shd w:val="clear" w:color="auto" w:fill="C8C9F2" w:themeFill="accent1" w:themeFillTint="33"/>
          </w:tcPr>
          <w:p w14:paraId="78EF68FA" w14:textId="77777777" w:rsidR="00CA0522" w:rsidRPr="64397149" w:rsidRDefault="00CA0522" w:rsidP="64397149">
            <w:pPr>
              <w:spacing w:before="60" w:after="60" w:line="240" w:lineRule="atLeast"/>
              <w:rPr>
                <w:sz w:val="18"/>
                <w:szCs w:val="18"/>
              </w:rPr>
            </w:pPr>
          </w:p>
        </w:tc>
        <w:tc>
          <w:tcPr>
            <w:tcW w:w="1714" w:type="dxa"/>
            <w:shd w:val="clear" w:color="auto" w:fill="C8C9F2" w:themeFill="accent1" w:themeFillTint="33"/>
          </w:tcPr>
          <w:p w14:paraId="139B2F24" w14:textId="77777777" w:rsidR="00CA0522" w:rsidRPr="64397149" w:rsidRDefault="00CA0522" w:rsidP="64397149">
            <w:pPr>
              <w:spacing w:before="60" w:after="60" w:line="240" w:lineRule="atLeast"/>
              <w:rPr>
                <w:sz w:val="18"/>
                <w:szCs w:val="18"/>
              </w:rPr>
            </w:pPr>
          </w:p>
        </w:tc>
        <w:tc>
          <w:tcPr>
            <w:tcW w:w="1715" w:type="dxa"/>
            <w:shd w:val="clear" w:color="auto" w:fill="C8C9F2" w:themeFill="accent1" w:themeFillTint="33"/>
          </w:tcPr>
          <w:p w14:paraId="436C3658" w14:textId="77777777" w:rsidR="00CA0522" w:rsidRPr="64397149" w:rsidRDefault="00CA0522" w:rsidP="64397149">
            <w:pPr>
              <w:spacing w:before="60" w:after="60" w:line="240" w:lineRule="atLeast"/>
              <w:rPr>
                <w:sz w:val="18"/>
                <w:szCs w:val="18"/>
              </w:rPr>
            </w:pPr>
          </w:p>
        </w:tc>
        <w:tc>
          <w:tcPr>
            <w:tcW w:w="1714" w:type="dxa"/>
            <w:shd w:val="clear" w:color="auto" w:fill="C8C9F2" w:themeFill="accent1" w:themeFillTint="33"/>
          </w:tcPr>
          <w:p w14:paraId="296DA5A3" w14:textId="77777777" w:rsidR="00CA0522" w:rsidRPr="64397149" w:rsidRDefault="00CA0522" w:rsidP="64397149">
            <w:pPr>
              <w:spacing w:before="60" w:after="60" w:line="240" w:lineRule="atLeast"/>
              <w:rPr>
                <w:sz w:val="18"/>
                <w:szCs w:val="18"/>
              </w:rPr>
            </w:pPr>
          </w:p>
        </w:tc>
        <w:tc>
          <w:tcPr>
            <w:tcW w:w="1716" w:type="dxa"/>
            <w:shd w:val="clear" w:color="auto" w:fill="C8C9F2" w:themeFill="accent1" w:themeFillTint="33"/>
          </w:tcPr>
          <w:p w14:paraId="6E78259E" w14:textId="77777777" w:rsidR="00CA0522" w:rsidRPr="64397149" w:rsidRDefault="00CA0522" w:rsidP="64397149">
            <w:pPr>
              <w:spacing w:before="60" w:after="60" w:line="240" w:lineRule="atLeast"/>
              <w:rPr>
                <w:sz w:val="18"/>
                <w:szCs w:val="18"/>
              </w:rPr>
            </w:pPr>
          </w:p>
        </w:tc>
        <w:tc>
          <w:tcPr>
            <w:tcW w:w="2146" w:type="dxa"/>
            <w:shd w:val="clear" w:color="auto" w:fill="C8C9F2" w:themeFill="accent1" w:themeFillTint="33"/>
          </w:tcPr>
          <w:p w14:paraId="12482293" w14:textId="77777777" w:rsidR="00CA0522" w:rsidRPr="64397149" w:rsidRDefault="00CA0522" w:rsidP="64397149">
            <w:pPr>
              <w:spacing w:before="60" w:after="60" w:line="240" w:lineRule="atLeast"/>
              <w:rPr>
                <w:sz w:val="18"/>
                <w:szCs w:val="18"/>
              </w:rPr>
            </w:pPr>
          </w:p>
        </w:tc>
      </w:tr>
      <w:tr w:rsidR="00402246" w:rsidRPr="008C0C64" w14:paraId="2D1B96DF" w14:textId="77777777" w:rsidTr="64397149">
        <w:trPr>
          <w:trHeight w:val="300"/>
        </w:trPr>
        <w:tc>
          <w:tcPr>
            <w:tcW w:w="2290" w:type="dxa"/>
          </w:tcPr>
          <w:p w14:paraId="64F1F7E0" w14:textId="77777777" w:rsidR="009E6FAF" w:rsidRPr="00765936" w:rsidRDefault="3EA60B24" w:rsidP="64397149">
            <w:pPr>
              <w:spacing w:before="60" w:after="60" w:line="240" w:lineRule="atLeast"/>
              <w:rPr>
                <w:color w:val="000000" w:themeColor="text1"/>
                <w:sz w:val="18"/>
                <w:szCs w:val="18"/>
              </w:rPr>
            </w:pPr>
            <w:r w:rsidRPr="00765936">
              <w:rPr>
                <w:color w:val="000000" w:themeColor="text1"/>
                <w:sz w:val="18"/>
                <w:szCs w:val="18"/>
              </w:rPr>
              <w:t>Metadata standards</w:t>
            </w:r>
          </w:p>
        </w:tc>
        <w:tc>
          <w:tcPr>
            <w:tcW w:w="1715" w:type="dxa"/>
          </w:tcPr>
          <w:p w14:paraId="31BF2D09" w14:textId="77777777" w:rsidR="009E6FAF" w:rsidRPr="008C0C64" w:rsidRDefault="3EA60B24" w:rsidP="64397149">
            <w:pPr>
              <w:spacing w:before="60" w:after="60" w:line="240" w:lineRule="atLeast"/>
              <w:rPr>
                <w:sz w:val="18"/>
                <w:szCs w:val="18"/>
              </w:rPr>
            </w:pPr>
            <w:r w:rsidRPr="64397149">
              <w:rPr>
                <w:sz w:val="18"/>
                <w:szCs w:val="18"/>
              </w:rPr>
              <w:t>METEOR (based on ISO/IEC 11179)</w:t>
            </w:r>
          </w:p>
        </w:tc>
        <w:tc>
          <w:tcPr>
            <w:tcW w:w="1716" w:type="dxa"/>
          </w:tcPr>
          <w:p w14:paraId="0E2F71E3" w14:textId="77777777" w:rsidR="009E6FAF" w:rsidRPr="008C0C64" w:rsidRDefault="3EA60B24" w:rsidP="64397149">
            <w:pPr>
              <w:spacing w:before="60" w:after="60" w:line="240" w:lineRule="atLeast"/>
              <w:rPr>
                <w:sz w:val="18"/>
                <w:szCs w:val="18"/>
              </w:rPr>
            </w:pPr>
            <w:r w:rsidRPr="64397149">
              <w:rPr>
                <w:sz w:val="18"/>
                <w:szCs w:val="18"/>
              </w:rPr>
              <w:t>Not found</w:t>
            </w:r>
          </w:p>
        </w:tc>
        <w:tc>
          <w:tcPr>
            <w:tcW w:w="1714" w:type="dxa"/>
          </w:tcPr>
          <w:p w14:paraId="4D30CD1B" w14:textId="77777777" w:rsidR="009E6FAF" w:rsidRPr="008C0C64" w:rsidRDefault="3EA60B24" w:rsidP="64397149">
            <w:pPr>
              <w:spacing w:before="60" w:after="60" w:line="240" w:lineRule="atLeast"/>
              <w:rPr>
                <w:sz w:val="18"/>
                <w:szCs w:val="18"/>
              </w:rPr>
            </w:pPr>
            <w:r w:rsidRPr="64397149">
              <w:rPr>
                <w:sz w:val="18"/>
                <w:szCs w:val="18"/>
              </w:rPr>
              <w:t>Not found</w:t>
            </w:r>
          </w:p>
        </w:tc>
        <w:tc>
          <w:tcPr>
            <w:tcW w:w="1715" w:type="dxa"/>
          </w:tcPr>
          <w:p w14:paraId="64397520" w14:textId="77777777" w:rsidR="009E6FAF" w:rsidRPr="008C0C64" w:rsidRDefault="3EA60B24" w:rsidP="64397149">
            <w:pPr>
              <w:spacing w:before="60" w:after="60" w:line="240" w:lineRule="atLeast"/>
              <w:rPr>
                <w:sz w:val="18"/>
                <w:szCs w:val="18"/>
              </w:rPr>
            </w:pPr>
            <w:r w:rsidRPr="64397149">
              <w:rPr>
                <w:sz w:val="18"/>
                <w:szCs w:val="18"/>
              </w:rPr>
              <w:t>METEOR (based on ISO/IEC 11179)</w:t>
            </w:r>
          </w:p>
        </w:tc>
        <w:tc>
          <w:tcPr>
            <w:tcW w:w="1714" w:type="dxa"/>
          </w:tcPr>
          <w:p w14:paraId="0B4F312F" w14:textId="77777777" w:rsidR="009E6FAF" w:rsidRPr="008C0C64" w:rsidRDefault="3EA60B24" w:rsidP="64397149">
            <w:pPr>
              <w:spacing w:before="60" w:after="60" w:line="240" w:lineRule="atLeast"/>
              <w:rPr>
                <w:sz w:val="18"/>
                <w:szCs w:val="18"/>
              </w:rPr>
            </w:pPr>
            <w:r w:rsidRPr="64397149">
              <w:rPr>
                <w:sz w:val="18"/>
                <w:szCs w:val="18"/>
              </w:rPr>
              <w:t>Not found</w:t>
            </w:r>
          </w:p>
        </w:tc>
        <w:tc>
          <w:tcPr>
            <w:tcW w:w="1716" w:type="dxa"/>
          </w:tcPr>
          <w:p w14:paraId="781E8268" w14:textId="77777777" w:rsidR="009E6FAF" w:rsidRPr="008C0C64" w:rsidRDefault="3EA60B24" w:rsidP="64397149">
            <w:pPr>
              <w:spacing w:before="60" w:after="60" w:line="240" w:lineRule="atLeast"/>
              <w:rPr>
                <w:sz w:val="18"/>
                <w:szCs w:val="18"/>
              </w:rPr>
            </w:pPr>
            <w:r w:rsidRPr="64397149">
              <w:rPr>
                <w:sz w:val="18"/>
                <w:szCs w:val="18"/>
              </w:rPr>
              <w:t>Not found</w:t>
            </w:r>
          </w:p>
        </w:tc>
        <w:tc>
          <w:tcPr>
            <w:tcW w:w="2146" w:type="dxa"/>
          </w:tcPr>
          <w:p w14:paraId="457DC1AC" w14:textId="77777777" w:rsidR="009E6FAF" w:rsidRDefault="3EA60B24" w:rsidP="64397149">
            <w:pPr>
              <w:spacing w:before="60" w:after="60" w:line="240" w:lineRule="atLeast"/>
              <w:rPr>
                <w:sz w:val="18"/>
                <w:szCs w:val="18"/>
              </w:rPr>
            </w:pPr>
            <w:r w:rsidRPr="64397149">
              <w:rPr>
                <w:sz w:val="18"/>
                <w:szCs w:val="18"/>
              </w:rPr>
              <w:t>Not found</w:t>
            </w:r>
          </w:p>
        </w:tc>
      </w:tr>
      <w:tr w:rsidR="00CA0522" w:rsidRPr="008C0C64" w14:paraId="19112FB8" w14:textId="77777777" w:rsidTr="402385B2">
        <w:trPr>
          <w:trHeight w:val="300"/>
        </w:trPr>
        <w:tc>
          <w:tcPr>
            <w:tcW w:w="2290" w:type="dxa"/>
            <w:shd w:val="clear" w:color="auto" w:fill="C8C9F2" w:themeFill="accent1" w:themeFillTint="33"/>
          </w:tcPr>
          <w:p w14:paraId="394B9C55" w14:textId="00E1B968" w:rsidR="00CA0522" w:rsidRPr="64397149" w:rsidRDefault="00CA0522" w:rsidP="00044CEE">
            <w:pPr>
              <w:spacing w:before="60" w:after="60" w:line="240" w:lineRule="atLeast"/>
              <w:rPr>
                <w:color w:val="212492" w:themeColor="accent1"/>
                <w:sz w:val="18"/>
                <w:szCs w:val="18"/>
              </w:rPr>
            </w:pPr>
            <w:r w:rsidRPr="64397149">
              <w:rPr>
                <w:color w:val="212492" w:themeColor="accent1"/>
                <w:sz w:val="18"/>
                <w:szCs w:val="18"/>
              </w:rPr>
              <w:t>Exchange and technology standards</w:t>
            </w:r>
          </w:p>
        </w:tc>
        <w:tc>
          <w:tcPr>
            <w:tcW w:w="1715" w:type="dxa"/>
            <w:shd w:val="clear" w:color="auto" w:fill="C8C9F2" w:themeFill="accent1" w:themeFillTint="33"/>
          </w:tcPr>
          <w:p w14:paraId="24B944D1" w14:textId="77777777" w:rsidR="00CA0522" w:rsidRPr="64397149" w:rsidRDefault="00CA0522" w:rsidP="00044CEE">
            <w:pPr>
              <w:spacing w:before="60" w:after="60" w:line="240" w:lineRule="atLeast"/>
              <w:rPr>
                <w:sz w:val="18"/>
                <w:szCs w:val="18"/>
              </w:rPr>
            </w:pPr>
          </w:p>
        </w:tc>
        <w:tc>
          <w:tcPr>
            <w:tcW w:w="1716" w:type="dxa"/>
            <w:shd w:val="clear" w:color="auto" w:fill="C8C9F2" w:themeFill="accent1" w:themeFillTint="33"/>
          </w:tcPr>
          <w:p w14:paraId="7291DAE4" w14:textId="77777777" w:rsidR="00CA0522" w:rsidRPr="64397149" w:rsidRDefault="00CA0522" w:rsidP="00044CEE">
            <w:pPr>
              <w:spacing w:before="60" w:after="60" w:line="240" w:lineRule="atLeast"/>
              <w:rPr>
                <w:sz w:val="18"/>
                <w:szCs w:val="18"/>
              </w:rPr>
            </w:pPr>
          </w:p>
        </w:tc>
        <w:tc>
          <w:tcPr>
            <w:tcW w:w="1714" w:type="dxa"/>
            <w:shd w:val="clear" w:color="auto" w:fill="C8C9F2" w:themeFill="accent1" w:themeFillTint="33"/>
          </w:tcPr>
          <w:p w14:paraId="60875C48" w14:textId="77777777" w:rsidR="00CA0522" w:rsidRPr="64397149" w:rsidRDefault="00CA0522" w:rsidP="00044CEE">
            <w:pPr>
              <w:spacing w:before="60" w:after="60" w:line="240" w:lineRule="atLeast"/>
              <w:rPr>
                <w:sz w:val="18"/>
                <w:szCs w:val="18"/>
              </w:rPr>
            </w:pPr>
          </w:p>
        </w:tc>
        <w:tc>
          <w:tcPr>
            <w:tcW w:w="1715" w:type="dxa"/>
            <w:shd w:val="clear" w:color="auto" w:fill="C8C9F2" w:themeFill="accent1" w:themeFillTint="33"/>
          </w:tcPr>
          <w:p w14:paraId="43EC0EF2" w14:textId="77777777" w:rsidR="00CA0522" w:rsidRPr="64397149" w:rsidRDefault="00CA0522" w:rsidP="00044CEE">
            <w:pPr>
              <w:spacing w:before="60" w:after="60" w:line="240" w:lineRule="atLeast"/>
              <w:rPr>
                <w:sz w:val="18"/>
                <w:szCs w:val="18"/>
              </w:rPr>
            </w:pPr>
          </w:p>
        </w:tc>
        <w:tc>
          <w:tcPr>
            <w:tcW w:w="1714" w:type="dxa"/>
            <w:shd w:val="clear" w:color="auto" w:fill="C8C9F2" w:themeFill="accent1" w:themeFillTint="33"/>
          </w:tcPr>
          <w:p w14:paraId="52063D1E" w14:textId="77777777" w:rsidR="00CA0522" w:rsidRPr="64397149" w:rsidRDefault="00CA0522" w:rsidP="00044CEE">
            <w:pPr>
              <w:spacing w:before="60" w:after="60" w:line="240" w:lineRule="atLeast"/>
              <w:rPr>
                <w:sz w:val="18"/>
                <w:szCs w:val="18"/>
              </w:rPr>
            </w:pPr>
          </w:p>
        </w:tc>
        <w:tc>
          <w:tcPr>
            <w:tcW w:w="1716" w:type="dxa"/>
            <w:shd w:val="clear" w:color="auto" w:fill="C8C9F2" w:themeFill="accent1" w:themeFillTint="33"/>
          </w:tcPr>
          <w:p w14:paraId="5463949E" w14:textId="77777777" w:rsidR="00CA0522" w:rsidRPr="64397149" w:rsidRDefault="00CA0522" w:rsidP="00044CEE">
            <w:pPr>
              <w:spacing w:before="60" w:after="60" w:line="240" w:lineRule="atLeast"/>
              <w:rPr>
                <w:sz w:val="18"/>
                <w:szCs w:val="18"/>
              </w:rPr>
            </w:pPr>
          </w:p>
        </w:tc>
        <w:tc>
          <w:tcPr>
            <w:tcW w:w="2146" w:type="dxa"/>
            <w:shd w:val="clear" w:color="auto" w:fill="C8C9F2" w:themeFill="accent1" w:themeFillTint="33"/>
          </w:tcPr>
          <w:p w14:paraId="0B4960BF" w14:textId="77777777" w:rsidR="00CA0522" w:rsidRPr="64397149" w:rsidRDefault="00CA0522" w:rsidP="00044CEE">
            <w:pPr>
              <w:spacing w:before="60" w:after="60" w:line="240" w:lineRule="atLeast"/>
              <w:rPr>
                <w:sz w:val="18"/>
                <w:szCs w:val="18"/>
              </w:rPr>
            </w:pPr>
          </w:p>
        </w:tc>
      </w:tr>
      <w:tr w:rsidR="00402246" w:rsidRPr="008C0C64" w14:paraId="31B3F644" w14:textId="77777777" w:rsidTr="64397149">
        <w:trPr>
          <w:trHeight w:val="300"/>
        </w:trPr>
        <w:tc>
          <w:tcPr>
            <w:tcW w:w="2290" w:type="dxa"/>
          </w:tcPr>
          <w:p w14:paraId="39BEFCEA" w14:textId="77777777" w:rsidR="009E6FAF" w:rsidRPr="00765936" w:rsidRDefault="3EA60B24" w:rsidP="00044CEE">
            <w:pPr>
              <w:spacing w:before="60" w:after="60" w:line="240" w:lineRule="atLeast"/>
              <w:rPr>
                <w:color w:val="000000" w:themeColor="text1"/>
                <w:sz w:val="18"/>
                <w:szCs w:val="18"/>
              </w:rPr>
            </w:pPr>
            <w:r w:rsidRPr="00765936">
              <w:rPr>
                <w:color w:val="000000" w:themeColor="text1"/>
                <w:sz w:val="18"/>
                <w:szCs w:val="18"/>
              </w:rPr>
              <w:t>FHIR</w:t>
            </w:r>
          </w:p>
        </w:tc>
        <w:tc>
          <w:tcPr>
            <w:tcW w:w="1715" w:type="dxa"/>
          </w:tcPr>
          <w:p w14:paraId="6EF97E43" w14:textId="77777777" w:rsidR="009E6FAF" w:rsidRPr="008C0C64" w:rsidRDefault="3EA60B24" w:rsidP="00044CEE">
            <w:pPr>
              <w:spacing w:before="60" w:after="60" w:line="240" w:lineRule="atLeast"/>
              <w:rPr>
                <w:sz w:val="18"/>
                <w:szCs w:val="18"/>
              </w:rPr>
            </w:pPr>
            <w:r w:rsidRPr="64397149">
              <w:rPr>
                <w:sz w:val="18"/>
                <w:szCs w:val="18"/>
              </w:rPr>
              <w:t xml:space="preserve">HL7 FHIR </w:t>
            </w:r>
          </w:p>
        </w:tc>
        <w:tc>
          <w:tcPr>
            <w:tcW w:w="1716" w:type="dxa"/>
          </w:tcPr>
          <w:p w14:paraId="746DC7B3"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4" w:type="dxa"/>
          </w:tcPr>
          <w:p w14:paraId="32930581" w14:textId="77777777" w:rsidR="009E6FAF" w:rsidRPr="008C0C64" w:rsidRDefault="3EA60B24" w:rsidP="00044CEE">
            <w:pPr>
              <w:spacing w:before="60" w:after="60" w:line="240" w:lineRule="atLeast"/>
              <w:rPr>
                <w:sz w:val="18"/>
                <w:szCs w:val="18"/>
              </w:rPr>
            </w:pPr>
            <w:r w:rsidRPr="64397149">
              <w:rPr>
                <w:sz w:val="18"/>
                <w:szCs w:val="18"/>
              </w:rPr>
              <w:t>HL7 FHIR</w:t>
            </w:r>
          </w:p>
        </w:tc>
        <w:tc>
          <w:tcPr>
            <w:tcW w:w="1715" w:type="dxa"/>
          </w:tcPr>
          <w:p w14:paraId="4D46F9DB"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4" w:type="dxa"/>
          </w:tcPr>
          <w:p w14:paraId="36EC3827"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6" w:type="dxa"/>
          </w:tcPr>
          <w:p w14:paraId="1F32F1BC"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2146" w:type="dxa"/>
          </w:tcPr>
          <w:p w14:paraId="00706A4E" w14:textId="77777777" w:rsidR="009E6FAF" w:rsidRDefault="3EA60B24" w:rsidP="00044CEE">
            <w:pPr>
              <w:spacing w:before="60" w:after="60" w:line="240" w:lineRule="atLeast"/>
              <w:rPr>
                <w:sz w:val="18"/>
                <w:szCs w:val="18"/>
              </w:rPr>
            </w:pPr>
            <w:r w:rsidRPr="64397149">
              <w:rPr>
                <w:sz w:val="18"/>
                <w:szCs w:val="18"/>
              </w:rPr>
              <w:t>Not found</w:t>
            </w:r>
          </w:p>
        </w:tc>
      </w:tr>
      <w:tr w:rsidR="00402246" w:rsidRPr="008C0C64" w14:paraId="0656BDF1" w14:textId="77777777" w:rsidTr="64397149">
        <w:trPr>
          <w:trHeight w:val="300"/>
        </w:trPr>
        <w:tc>
          <w:tcPr>
            <w:tcW w:w="2290" w:type="dxa"/>
          </w:tcPr>
          <w:p w14:paraId="7D0E7BF1" w14:textId="77777777" w:rsidR="009E6FAF" w:rsidRPr="00765936" w:rsidRDefault="3EA60B24" w:rsidP="00044CEE">
            <w:pPr>
              <w:spacing w:before="60" w:after="60" w:line="240" w:lineRule="atLeast"/>
              <w:rPr>
                <w:color w:val="000000" w:themeColor="text1"/>
                <w:sz w:val="18"/>
                <w:szCs w:val="18"/>
              </w:rPr>
            </w:pPr>
            <w:r w:rsidRPr="00765936">
              <w:rPr>
                <w:color w:val="000000" w:themeColor="text1"/>
                <w:sz w:val="18"/>
                <w:szCs w:val="18"/>
              </w:rPr>
              <w:t>API</w:t>
            </w:r>
          </w:p>
        </w:tc>
        <w:tc>
          <w:tcPr>
            <w:tcW w:w="1715" w:type="dxa"/>
          </w:tcPr>
          <w:p w14:paraId="2FB5C051" w14:textId="77777777" w:rsidR="009E6FAF" w:rsidRPr="00B5203F" w:rsidRDefault="3EA60B24" w:rsidP="00044CEE">
            <w:pPr>
              <w:spacing w:before="60" w:after="60" w:line="240" w:lineRule="atLeast"/>
              <w:rPr>
                <w:sz w:val="18"/>
                <w:szCs w:val="18"/>
              </w:rPr>
            </w:pPr>
            <w:r w:rsidRPr="64397149">
              <w:rPr>
                <w:sz w:val="18"/>
                <w:szCs w:val="18"/>
              </w:rPr>
              <w:t>B2G APIs</w:t>
            </w:r>
          </w:p>
        </w:tc>
        <w:tc>
          <w:tcPr>
            <w:tcW w:w="1716" w:type="dxa"/>
          </w:tcPr>
          <w:p w14:paraId="6A9FAF53"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4" w:type="dxa"/>
          </w:tcPr>
          <w:p w14:paraId="0B16036F" w14:textId="77777777" w:rsidR="009E6FAF" w:rsidRPr="008C0C64" w:rsidRDefault="3EA60B24" w:rsidP="00044CEE">
            <w:pPr>
              <w:spacing w:before="60" w:after="60" w:line="240" w:lineRule="atLeast"/>
              <w:rPr>
                <w:sz w:val="18"/>
                <w:szCs w:val="18"/>
              </w:rPr>
            </w:pPr>
            <w:r w:rsidRPr="64397149">
              <w:rPr>
                <w:sz w:val="18"/>
                <w:szCs w:val="18"/>
              </w:rPr>
              <w:t>REST APIs</w:t>
            </w:r>
          </w:p>
        </w:tc>
        <w:tc>
          <w:tcPr>
            <w:tcW w:w="1715" w:type="dxa"/>
          </w:tcPr>
          <w:p w14:paraId="668E6B99"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4" w:type="dxa"/>
          </w:tcPr>
          <w:p w14:paraId="00C2C838"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6" w:type="dxa"/>
          </w:tcPr>
          <w:p w14:paraId="4B87B494"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2146" w:type="dxa"/>
          </w:tcPr>
          <w:p w14:paraId="3027805D" w14:textId="77777777" w:rsidR="009E6FAF" w:rsidRPr="008C0C64" w:rsidRDefault="3EA60B24" w:rsidP="00044CEE">
            <w:pPr>
              <w:spacing w:before="60" w:after="60" w:line="240" w:lineRule="atLeast"/>
              <w:rPr>
                <w:sz w:val="18"/>
                <w:szCs w:val="18"/>
              </w:rPr>
            </w:pPr>
            <w:r w:rsidRPr="64397149">
              <w:rPr>
                <w:sz w:val="18"/>
                <w:szCs w:val="18"/>
              </w:rPr>
              <w:t>Not found</w:t>
            </w:r>
          </w:p>
        </w:tc>
      </w:tr>
      <w:tr w:rsidR="00402246" w:rsidRPr="008C0C64" w14:paraId="5BE2889C" w14:textId="77777777" w:rsidTr="64397149">
        <w:trPr>
          <w:trHeight w:val="300"/>
        </w:trPr>
        <w:tc>
          <w:tcPr>
            <w:tcW w:w="2290" w:type="dxa"/>
          </w:tcPr>
          <w:p w14:paraId="62C6D880" w14:textId="77777777" w:rsidR="009E6FAF" w:rsidRPr="00765936" w:rsidRDefault="3EA60B24" w:rsidP="00044CEE">
            <w:pPr>
              <w:spacing w:before="60" w:after="60" w:line="240" w:lineRule="atLeast"/>
              <w:rPr>
                <w:color w:val="000000" w:themeColor="text1"/>
                <w:sz w:val="18"/>
                <w:szCs w:val="18"/>
              </w:rPr>
            </w:pPr>
            <w:r w:rsidRPr="00765936">
              <w:rPr>
                <w:color w:val="000000" w:themeColor="text1"/>
                <w:sz w:val="18"/>
                <w:szCs w:val="18"/>
              </w:rPr>
              <w:t xml:space="preserve">Other </w:t>
            </w:r>
          </w:p>
        </w:tc>
        <w:tc>
          <w:tcPr>
            <w:tcW w:w="1715" w:type="dxa"/>
          </w:tcPr>
          <w:p w14:paraId="016C7F25" w14:textId="77777777" w:rsidR="009E6FAF" w:rsidRPr="00B5203F" w:rsidRDefault="3EA60B24" w:rsidP="00044CEE">
            <w:pPr>
              <w:spacing w:before="60" w:after="60" w:line="240" w:lineRule="atLeast"/>
              <w:rPr>
                <w:sz w:val="18"/>
                <w:szCs w:val="18"/>
              </w:rPr>
            </w:pPr>
            <w:r w:rsidRPr="64397149">
              <w:rPr>
                <w:sz w:val="18"/>
                <w:szCs w:val="18"/>
              </w:rPr>
              <w:t>Aged Care Clinical Information Standards</w:t>
            </w:r>
          </w:p>
        </w:tc>
        <w:tc>
          <w:tcPr>
            <w:tcW w:w="1716" w:type="dxa"/>
          </w:tcPr>
          <w:p w14:paraId="3A565D59"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4" w:type="dxa"/>
          </w:tcPr>
          <w:p w14:paraId="1E47EDEF"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5" w:type="dxa"/>
          </w:tcPr>
          <w:p w14:paraId="487FBD85"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1714" w:type="dxa"/>
          </w:tcPr>
          <w:p w14:paraId="67966D08" w14:textId="77777777" w:rsidR="009E6FAF" w:rsidRPr="008C0C64" w:rsidRDefault="3EA60B24" w:rsidP="00044CEE">
            <w:pPr>
              <w:spacing w:before="60" w:after="60" w:line="240" w:lineRule="atLeast"/>
              <w:rPr>
                <w:sz w:val="18"/>
                <w:szCs w:val="18"/>
              </w:rPr>
            </w:pPr>
            <w:r w:rsidRPr="64397149">
              <w:rPr>
                <w:sz w:val="18"/>
                <w:szCs w:val="18"/>
              </w:rPr>
              <w:t>PDPM Grouper JAR Packages</w:t>
            </w:r>
          </w:p>
        </w:tc>
        <w:tc>
          <w:tcPr>
            <w:tcW w:w="1716" w:type="dxa"/>
          </w:tcPr>
          <w:p w14:paraId="10E1C452" w14:textId="77777777" w:rsidR="009E6FAF" w:rsidRPr="008C0C64" w:rsidRDefault="3EA60B24" w:rsidP="00044CEE">
            <w:pPr>
              <w:spacing w:before="60" w:after="60" w:line="240" w:lineRule="atLeast"/>
              <w:rPr>
                <w:sz w:val="18"/>
                <w:szCs w:val="18"/>
              </w:rPr>
            </w:pPr>
            <w:r w:rsidRPr="64397149">
              <w:rPr>
                <w:sz w:val="18"/>
                <w:szCs w:val="18"/>
              </w:rPr>
              <w:t>Not found</w:t>
            </w:r>
          </w:p>
        </w:tc>
        <w:tc>
          <w:tcPr>
            <w:tcW w:w="2146" w:type="dxa"/>
          </w:tcPr>
          <w:p w14:paraId="40352D4B" w14:textId="77777777" w:rsidR="009E6FAF" w:rsidRPr="008C0C64" w:rsidRDefault="3EA60B24" w:rsidP="00044CEE">
            <w:pPr>
              <w:spacing w:before="60" w:after="60" w:line="240" w:lineRule="atLeast"/>
              <w:rPr>
                <w:sz w:val="18"/>
                <w:szCs w:val="18"/>
              </w:rPr>
            </w:pPr>
            <w:r w:rsidRPr="64397149">
              <w:rPr>
                <w:sz w:val="18"/>
                <w:szCs w:val="18"/>
              </w:rPr>
              <w:t>Not found</w:t>
            </w:r>
          </w:p>
        </w:tc>
      </w:tr>
    </w:tbl>
    <w:p w14:paraId="6D40F287" w14:textId="4D368CB2" w:rsidR="00134C5E" w:rsidRPr="008D6FD4" w:rsidRDefault="004254C8" w:rsidP="008D6FD4">
      <w:pPr>
        <w:pStyle w:val="FootnoteText"/>
      </w:pPr>
      <w:r>
        <w:t>N</w:t>
      </w:r>
      <w:r w:rsidRPr="00616286">
        <w:t>ot found = no evidence of widespread use in aged care was identified during the review</w:t>
      </w:r>
      <w:r>
        <w:t xml:space="preserve">, </w:t>
      </w:r>
      <w:r w:rsidR="00134C5E" w:rsidRPr="004F2863">
        <w:t>ACCIS = Aged Care Clinical Information Standards; CHA = </w:t>
      </w:r>
      <w:proofErr w:type="spellStart"/>
      <w:r w:rsidR="00134C5E" w:rsidRPr="004F2863">
        <w:t>interRAI</w:t>
      </w:r>
      <w:proofErr w:type="spellEnd"/>
      <w:r w:rsidR="00134C5E" w:rsidRPr="004F2863">
        <w:t> Community Health Assessment; FHIR = Fast Healthcare Interoperability Resources; HC = </w:t>
      </w:r>
      <w:proofErr w:type="spellStart"/>
      <w:r w:rsidR="00134C5E" w:rsidRPr="004F2863">
        <w:t>interRAI</w:t>
      </w:r>
      <w:proofErr w:type="spellEnd"/>
      <w:r w:rsidR="00134C5E" w:rsidRPr="004F2863">
        <w:t> Home Care; LOINC = Logical Observation Identifiers Names and Codes; LTCF = </w:t>
      </w:r>
      <w:proofErr w:type="spellStart"/>
      <w:r w:rsidR="00134C5E" w:rsidRPr="004F2863">
        <w:t>interRAI</w:t>
      </w:r>
      <w:proofErr w:type="spellEnd"/>
      <w:r w:rsidR="00134C5E" w:rsidRPr="004F2863">
        <w:t> Long Term Care Facilities; MH = </w:t>
      </w:r>
      <w:proofErr w:type="spellStart"/>
      <w:r w:rsidR="00134C5E" w:rsidRPr="004F2863">
        <w:t>interRAI</w:t>
      </w:r>
      <w:proofErr w:type="spellEnd"/>
      <w:r w:rsidR="00134C5E" w:rsidRPr="004F2863">
        <w:t> Mental Health; METEOR = Metadata Online Registry; NMDS = National Minimum Data Set; QoL = </w:t>
      </w:r>
      <w:proofErr w:type="spellStart"/>
      <w:r w:rsidR="00134C5E" w:rsidRPr="004F2863">
        <w:t>interRAI</w:t>
      </w:r>
      <w:proofErr w:type="spellEnd"/>
      <w:r w:rsidR="00134C5E" w:rsidRPr="004F2863">
        <w:t> Quality of Life; ROSA = Registry of Senior Australians; SNOMED CT = Systematized Nomenclature of Medicine – Clinical Terms; UCUM = Unified Code for Units of Measure. </w:t>
      </w:r>
      <w:r w:rsidR="00134C5E" w:rsidRPr="008D6FD4">
        <w:br w:type="page"/>
      </w:r>
    </w:p>
    <w:p w14:paraId="6FA50C11" w14:textId="2930B8E2" w:rsidR="00134C5E" w:rsidRPr="00D27BF5" w:rsidRDefault="00134C5E" w:rsidP="00F37F95">
      <w:pPr>
        <w:pStyle w:val="Heading1"/>
      </w:pPr>
      <w:r w:rsidRPr="00D27BF5">
        <w:t xml:space="preserve">Appendix </w:t>
      </w:r>
      <w:r w:rsidR="00D0733B">
        <w:t>3</w:t>
      </w:r>
      <w:r w:rsidR="00456F64">
        <w:t>:</w:t>
      </w:r>
      <w:r w:rsidRPr="00D27BF5">
        <w:t xml:space="preserve"> Reporting summary</w:t>
      </w:r>
    </w:p>
    <w:p w14:paraId="29CCDF17" w14:textId="49413206" w:rsidR="00134C5E" w:rsidRPr="00D75A5E" w:rsidRDefault="00134C5E" w:rsidP="00134C5E">
      <w:r w:rsidRPr="00D75A5E">
        <w:t xml:space="preserve">Table </w:t>
      </w:r>
      <w:r w:rsidR="00AF7D05">
        <w:t>2</w:t>
      </w:r>
      <w:r w:rsidRPr="00D75A5E">
        <w:t xml:space="preserve"> presents a summary </w:t>
      </w:r>
      <w:r>
        <w:t>of data transfers between DHDA and other government departments</w:t>
      </w:r>
      <w:r w:rsidRPr="00D75A5E">
        <w:t xml:space="preserve">. It is intended to offer a broad overview of the reporting landscape and does not capture every possible reporting pathway or variation. An overarching purpose of government reporting requirements is to support transparency and accountability with both the care services delivered to older people and the taxpayer funds used to deliver them. The table highlights the functional alignment between reporting objectives and the platforms used and illustrates the complexity that providers navigate in meeting regulatory and operational requirements. </w:t>
      </w:r>
    </w:p>
    <w:p w14:paraId="33973306" w14:textId="3E4A0EC5" w:rsidR="00134C5E" w:rsidRPr="006C205D" w:rsidRDefault="00134C5E" w:rsidP="00134C5E">
      <w:pPr>
        <w:pStyle w:val="Caption"/>
        <w:keepNext/>
        <w:rPr>
          <w:szCs w:val="20"/>
        </w:rPr>
      </w:pPr>
      <w:r w:rsidRPr="001261C4">
        <w:rPr>
          <w:szCs w:val="20"/>
        </w:rPr>
        <w:t>Table</w:t>
      </w:r>
      <w:r>
        <w:rPr>
          <w:szCs w:val="20"/>
        </w:rPr>
        <w:t xml:space="preserve"> </w:t>
      </w:r>
      <w:r w:rsidR="00577719">
        <w:rPr>
          <w:szCs w:val="20"/>
        </w:rPr>
        <w:t>2</w:t>
      </w:r>
      <w:r w:rsidR="00335DFD">
        <w:rPr>
          <w:szCs w:val="20"/>
        </w:rPr>
        <w:t xml:space="preserve">. </w:t>
      </w:r>
      <w:r w:rsidRPr="006C205D">
        <w:rPr>
          <w:szCs w:val="20"/>
        </w:rPr>
        <w:t xml:space="preserve"> </w:t>
      </w:r>
      <w:r>
        <w:t>Summary of data transfers between DHDA and other government departments</w:t>
      </w:r>
    </w:p>
    <w:tbl>
      <w:tblPr>
        <w:tblStyle w:val="PlainTable2"/>
        <w:tblW w:w="14570" w:type="dxa"/>
        <w:tblBorders>
          <w:insideH w:val="single" w:sz="4" w:space="0" w:color="212492" w:themeColor="accent1"/>
        </w:tblBorders>
        <w:tblLayout w:type="fixed"/>
        <w:tblLook w:val="04A0" w:firstRow="1" w:lastRow="0" w:firstColumn="1" w:lastColumn="0" w:noHBand="0" w:noVBand="1"/>
        <w:tblCaption w:val="Summary of Government Data Transfers"/>
        <w:tblDescription w:val="This table summarises data transfered between the Department of Health, Disability and Ageing, and other Government Departments and Agencies."/>
      </w:tblPr>
      <w:tblGrid>
        <w:gridCol w:w="1843"/>
        <w:gridCol w:w="1985"/>
        <w:gridCol w:w="1842"/>
        <w:gridCol w:w="1063"/>
        <w:gridCol w:w="1489"/>
        <w:gridCol w:w="992"/>
        <w:gridCol w:w="1418"/>
        <w:gridCol w:w="1134"/>
        <w:gridCol w:w="2804"/>
      </w:tblGrid>
      <w:tr w:rsidR="00134C5E" w:rsidRPr="00940031" w14:paraId="58F91EC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212492" w:themeFill="accent1"/>
          </w:tcPr>
          <w:p w14:paraId="4A8D3376" w14:textId="77777777" w:rsidR="00134C5E" w:rsidRPr="00044CEE" w:rsidRDefault="00134C5E" w:rsidP="00044CEE">
            <w:pPr>
              <w:spacing w:after="0" w:line="240" w:lineRule="atLeast"/>
              <w:ind w:left="6" w:right="6"/>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Data type</w:t>
            </w:r>
          </w:p>
        </w:tc>
        <w:tc>
          <w:tcPr>
            <w:tcW w:w="1985" w:type="dxa"/>
            <w:vMerge w:val="restart"/>
            <w:shd w:val="clear" w:color="auto" w:fill="212492" w:themeFill="accent1"/>
          </w:tcPr>
          <w:p w14:paraId="25FC1E3F"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 xml:space="preserve">Data types </w:t>
            </w:r>
          </w:p>
        </w:tc>
        <w:tc>
          <w:tcPr>
            <w:tcW w:w="2905" w:type="dxa"/>
            <w:gridSpan w:val="2"/>
            <w:tcBorders>
              <w:top w:val="single" w:sz="4" w:space="0" w:color="7F7F7F" w:themeColor="text1" w:themeTint="80"/>
              <w:bottom w:val="single" w:sz="4" w:space="0" w:color="FFFFFF" w:themeColor="background1"/>
              <w:right w:val="single" w:sz="4" w:space="0" w:color="FFFFFF" w:themeColor="background1"/>
            </w:tcBorders>
            <w:shd w:val="clear" w:color="auto" w:fill="212492" w:themeFill="accent1"/>
          </w:tcPr>
          <w:p w14:paraId="54210B56" w14:textId="77777777" w:rsidR="00134C5E" w:rsidRPr="00044CEE" w:rsidRDefault="00134C5E" w:rsidP="00044CEE">
            <w:pPr>
              <w:spacing w:after="0" w:line="240" w:lineRule="atLeast"/>
              <w:ind w:left="6" w:right="6"/>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From</w:t>
            </w:r>
          </w:p>
        </w:tc>
        <w:tc>
          <w:tcPr>
            <w:tcW w:w="2481" w:type="dxa"/>
            <w:gridSpan w:val="2"/>
            <w:tcBorders>
              <w:top w:val="single" w:sz="4" w:space="0" w:color="7F7F7F" w:themeColor="text1" w:themeTint="80"/>
              <w:left w:val="single" w:sz="4" w:space="0" w:color="FFFFFF" w:themeColor="background1"/>
              <w:bottom w:val="single" w:sz="4" w:space="0" w:color="FFFFFF" w:themeColor="background1"/>
            </w:tcBorders>
            <w:shd w:val="clear" w:color="auto" w:fill="212492" w:themeFill="accent1"/>
          </w:tcPr>
          <w:p w14:paraId="12BCC1C7" w14:textId="77777777" w:rsidR="00134C5E" w:rsidRPr="00044CEE" w:rsidRDefault="00134C5E" w:rsidP="00044CEE">
            <w:pPr>
              <w:spacing w:after="0" w:line="240" w:lineRule="atLeast"/>
              <w:ind w:left="6" w:right="6"/>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To*</w:t>
            </w:r>
          </w:p>
        </w:tc>
        <w:tc>
          <w:tcPr>
            <w:tcW w:w="1418" w:type="dxa"/>
            <w:vMerge w:val="restart"/>
            <w:shd w:val="clear" w:color="auto" w:fill="212492" w:themeFill="accent1"/>
          </w:tcPr>
          <w:p w14:paraId="6E62B978" w14:textId="77777777" w:rsidR="00134C5E" w:rsidRPr="00044CEE" w:rsidRDefault="00134C5E" w:rsidP="00044CEE">
            <w:pPr>
              <w:spacing w:after="0" w:line="240" w:lineRule="atLeast"/>
              <w:ind w:left="6" w:right="6"/>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Mechanism</w:t>
            </w:r>
          </w:p>
        </w:tc>
        <w:tc>
          <w:tcPr>
            <w:tcW w:w="1134" w:type="dxa"/>
            <w:vMerge w:val="restart"/>
            <w:shd w:val="clear" w:color="auto" w:fill="212492" w:themeFill="accent1"/>
          </w:tcPr>
          <w:p w14:paraId="5C722A0D" w14:textId="77777777" w:rsidR="00134C5E" w:rsidRPr="00044CEE" w:rsidRDefault="00134C5E" w:rsidP="00044CEE">
            <w:pPr>
              <w:spacing w:after="0" w:line="240" w:lineRule="atLeast"/>
              <w:ind w:left="6" w:right="-111"/>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 xml:space="preserve">Frequency </w:t>
            </w:r>
          </w:p>
        </w:tc>
        <w:tc>
          <w:tcPr>
            <w:tcW w:w="2804" w:type="dxa"/>
            <w:vMerge w:val="restart"/>
            <w:shd w:val="clear" w:color="auto" w:fill="212492" w:themeFill="accent1"/>
          </w:tcPr>
          <w:p w14:paraId="22C41F7F"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Purpose</w:t>
            </w:r>
          </w:p>
        </w:tc>
      </w:tr>
      <w:tr w:rsidR="00134C5E" w:rsidRPr="00940031" w14:paraId="4DB6E7D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hideMark/>
          </w:tcPr>
          <w:p w14:paraId="681DC739" w14:textId="77777777" w:rsidR="00134C5E" w:rsidRPr="00044CEE" w:rsidRDefault="00134C5E" w:rsidP="00044CEE">
            <w:pPr>
              <w:spacing w:after="0" w:line="240" w:lineRule="atLeast"/>
              <w:ind w:left="6" w:right="6"/>
              <w:rPr>
                <w:rFonts w:ascii="Arial" w:hAnsi="Arial" w:cs="Arial"/>
                <w:color w:val="FFFFFF" w:themeColor="background1"/>
                <w:sz w:val="18"/>
                <w:szCs w:val="18"/>
                <w:lang w:eastAsia="en-AU"/>
              </w:rPr>
            </w:pPr>
          </w:p>
        </w:tc>
        <w:tc>
          <w:tcPr>
            <w:tcW w:w="1985" w:type="dxa"/>
            <w:vMerge/>
          </w:tcPr>
          <w:p w14:paraId="5970D23D"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p>
        </w:tc>
        <w:tc>
          <w:tcPr>
            <w:tcW w:w="1842" w:type="dxa"/>
            <w:tcBorders>
              <w:top w:val="single" w:sz="4" w:space="0" w:color="FFFFFF" w:themeColor="background1"/>
            </w:tcBorders>
            <w:shd w:val="clear" w:color="auto" w:fill="212492" w:themeFill="accent1"/>
          </w:tcPr>
          <w:p w14:paraId="583E43A7"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System</w:t>
            </w:r>
          </w:p>
        </w:tc>
        <w:tc>
          <w:tcPr>
            <w:tcW w:w="1063" w:type="dxa"/>
            <w:tcBorders>
              <w:top w:val="single" w:sz="4" w:space="0" w:color="FFFFFF" w:themeColor="background1"/>
            </w:tcBorders>
            <w:shd w:val="clear" w:color="auto" w:fill="212492" w:themeFill="accent1"/>
          </w:tcPr>
          <w:p w14:paraId="67B6412C"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Dept</w:t>
            </w:r>
          </w:p>
        </w:tc>
        <w:tc>
          <w:tcPr>
            <w:tcW w:w="1489" w:type="dxa"/>
            <w:tcBorders>
              <w:top w:val="single" w:sz="4" w:space="0" w:color="FFFFFF" w:themeColor="background1"/>
            </w:tcBorders>
            <w:shd w:val="clear" w:color="auto" w:fill="212492" w:themeFill="accent1"/>
            <w:hideMark/>
          </w:tcPr>
          <w:p w14:paraId="55EF1737"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AU"/>
              </w:rPr>
            </w:pPr>
            <w:r w:rsidRPr="00044CEE">
              <w:rPr>
                <w:rFonts w:ascii="Arial" w:hAnsi="Arial" w:cs="Arial"/>
                <w:color w:val="FFFFFF" w:themeColor="background1"/>
                <w:sz w:val="18"/>
                <w:szCs w:val="18"/>
                <w:bdr w:val="none" w:sz="0" w:space="0" w:color="auto" w:frame="1"/>
                <w:lang w:eastAsia="en-AU"/>
              </w:rPr>
              <w:t>System</w:t>
            </w:r>
          </w:p>
        </w:tc>
        <w:tc>
          <w:tcPr>
            <w:tcW w:w="992" w:type="dxa"/>
            <w:tcBorders>
              <w:top w:val="single" w:sz="4" w:space="0" w:color="FFFFFF" w:themeColor="background1"/>
            </w:tcBorders>
            <w:shd w:val="clear" w:color="auto" w:fill="212492" w:themeFill="accent1"/>
          </w:tcPr>
          <w:p w14:paraId="505A77D7" w14:textId="77777777" w:rsidR="00134C5E" w:rsidRPr="00044CEE" w:rsidRDefault="00134C5E" w:rsidP="00044CEE">
            <w:pPr>
              <w:spacing w:after="0" w:line="240" w:lineRule="atLeast"/>
              <w:ind w:left="6" w:right="6"/>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r w:rsidRPr="00044CEE">
              <w:rPr>
                <w:rFonts w:ascii="Arial" w:hAnsi="Arial" w:cs="Arial"/>
                <w:color w:val="FFFFFF" w:themeColor="background1"/>
                <w:sz w:val="18"/>
                <w:szCs w:val="18"/>
                <w:bdr w:val="none" w:sz="0" w:space="0" w:color="auto" w:frame="1"/>
                <w:lang w:eastAsia="en-AU"/>
              </w:rPr>
              <w:t>Dept</w:t>
            </w:r>
          </w:p>
        </w:tc>
        <w:tc>
          <w:tcPr>
            <w:tcW w:w="1418" w:type="dxa"/>
            <w:vMerge/>
          </w:tcPr>
          <w:p w14:paraId="39B44B4C" w14:textId="77777777" w:rsidR="00134C5E" w:rsidRPr="00044CEE" w:rsidRDefault="00134C5E" w:rsidP="00044CEE">
            <w:pPr>
              <w:spacing w:after="0" w:line="240" w:lineRule="atLeast"/>
              <w:ind w:left="6" w:right="6"/>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bdr w:val="none" w:sz="0" w:space="0" w:color="auto" w:frame="1"/>
                <w:lang w:eastAsia="en-AU"/>
              </w:rPr>
            </w:pPr>
          </w:p>
        </w:tc>
        <w:tc>
          <w:tcPr>
            <w:tcW w:w="1134" w:type="dxa"/>
            <w:vMerge/>
          </w:tcPr>
          <w:p w14:paraId="54B9746E"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AU"/>
              </w:rPr>
            </w:pPr>
          </w:p>
        </w:tc>
        <w:tc>
          <w:tcPr>
            <w:tcW w:w="2804" w:type="dxa"/>
            <w:vMerge/>
            <w:hideMark/>
          </w:tcPr>
          <w:p w14:paraId="69B48749" w14:textId="77777777" w:rsidR="00134C5E" w:rsidRPr="00044CEE" w:rsidRDefault="00134C5E" w:rsidP="00044CEE">
            <w:pPr>
              <w:spacing w:after="0" w:line="240" w:lineRule="atLeast"/>
              <w:ind w:left="6" w:right="6"/>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AU"/>
              </w:rPr>
            </w:pPr>
          </w:p>
        </w:tc>
      </w:tr>
      <w:tr w:rsidR="00134C5E" w:rsidRPr="00940031" w14:paraId="442F62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CE9FC26"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Client personal details</w:t>
            </w:r>
          </w:p>
        </w:tc>
        <w:tc>
          <w:tcPr>
            <w:tcW w:w="1985" w:type="dxa"/>
          </w:tcPr>
          <w:p w14:paraId="377B291A"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Medicare number, demographics.</w:t>
            </w:r>
          </w:p>
        </w:tc>
        <w:tc>
          <w:tcPr>
            <w:tcW w:w="1842" w:type="dxa"/>
          </w:tcPr>
          <w:p w14:paraId="0AE4A87C"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Online Account</w:t>
            </w:r>
          </w:p>
          <w:p w14:paraId="4F819911" w14:textId="37F53EF4"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Online Account</w:t>
            </w:r>
          </w:p>
        </w:tc>
        <w:tc>
          <w:tcPr>
            <w:tcW w:w="1063" w:type="dxa"/>
          </w:tcPr>
          <w:p w14:paraId="3A2E0FBC" w14:textId="77777777" w:rsidR="008D6FD4"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DHDA</w:t>
            </w:r>
          </w:p>
          <w:p w14:paraId="7BE6F56C" w14:textId="7B710732"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Services Australia</w:t>
            </w:r>
          </w:p>
        </w:tc>
        <w:tc>
          <w:tcPr>
            <w:tcW w:w="1489" w:type="dxa"/>
          </w:tcPr>
          <w:p w14:paraId="7A482462" w14:textId="77777777" w:rsidR="008D6FD4"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ACG</w:t>
            </w:r>
            <w:r w:rsidR="008D6FD4">
              <w:rPr>
                <w:rFonts w:ascii="Arial" w:hAnsi="Arial" w:cs="Arial"/>
                <w:sz w:val="18"/>
                <w:szCs w:val="18"/>
                <w:lang w:eastAsia="en-AU"/>
              </w:rPr>
              <w:t xml:space="preserve"> </w:t>
            </w:r>
          </w:p>
          <w:p w14:paraId="5C2EB55E" w14:textId="1E67417D"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ACG</w:t>
            </w:r>
          </w:p>
        </w:tc>
        <w:tc>
          <w:tcPr>
            <w:tcW w:w="992" w:type="dxa"/>
          </w:tcPr>
          <w:p w14:paraId="7CBE9F61" w14:textId="77777777" w:rsidR="008D6FD4"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p w14:paraId="5F8E145C" w14:textId="66343ABF"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68AFEBD4"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Online Account .NET</w:t>
            </w:r>
          </w:p>
          <w:p w14:paraId="3FF71F20"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Contact Centre Portal</w:t>
            </w:r>
          </w:p>
        </w:tc>
        <w:tc>
          <w:tcPr>
            <w:tcW w:w="1134" w:type="dxa"/>
          </w:tcPr>
          <w:p w14:paraId="0671D2D0"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tcPr>
          <w:p w14:paraId="57B13447"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Generate MAC ID, register for care</w:t>
            </w:r>
          </w:p>
        </w:tc>
      </w:tr>
      <w:tr w:rsidR="00134C5E" w:rsidRPr="00940031" w14:paraId="1FBD5189" w14:textId="77777777">
        <w:tc>
          <w:tcPr>
            <w:cnfStyle w:val="001000000000" w:firstRow="0" w:lastRow="0" w:firstColumn="1" w:lastColumn="0" w:oddVBand="0" w:evenVBand="0" w:oddHBand="0" w:evenHBand="0" w:firstRowFirstColumn="0" w:firstRowLastColumn="0" w:lastRowFirstColumn="0" w:lastRowLastColumn="0"/>
            <w:tcW w:w="1843" w:type="dxa"/>
          </w:tcPr>
          <w:p w14:paraId="68F23353"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Client Identifier (My Aged Care ID)</w:t>
            </w:r>
          </w:p>
        </w:tc>
        <w:tc>
          <w:tcPr>
            <w:tcW w:w="1985" w:type="dxa"/>
          </w:tcPr>
          <w:p w14:paraId="2EA7D736"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Name, date of birth, address, MAC client ID</w:t>
            </w:r>
          </w:p>
        </w:tc>
        <w:tc>
          <w:tcPr>
            <w:tcW w:w="1842" w:type="dxa"/>
          </w:tcPr>
          <w:p w14:paraId="77F80735"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(Client)</w:t>
            </w:r>
          </w:p>
        </w:tc>
        <w:tc>
          <w:tcPr>
            <w:tcW w:w="1063" w:type="dxa"/>
          </w:tcPr>
          <w:p w14:paraId="01397F3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bdr w:val="none" w:sz="0" w:space="0" w:color="auto" w:frame="1"/>
                <w:lang w:eastAsia="en-AU"/>
              </w:rPr>
              <w:t>DHDA</w:t>
            </w:r>
          </w:p>
        </w:tc>
        <w:tc>
          <w:tcPr>
            <w:tcW w:w="1489" w:type="dxa"/>
          </w:tcPr>
          <w:p w14:paraId="15D2C165"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bdr w:val="none" w:sz="0" w:space="0" w:color="auto" w:frame="1"/>
                <w:lang w:eastAsia="en-AU"/>
              </w:rPr>
              <w:t>ACMPS</w:t>
            </w:r>
          </w:p>
        </w:tc>
        <w:tc>
          <w:tcPr>
            <w:tcW w:w="992" w:type="dxa"/>
          </w:tcPr>
          <w:p w14:paraId="5151F3B1"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Services Australia</w:t>
            </w:r>
          </w:p>
        </w:tc>
        <w:tc>
          <w:tcPr>
            <w:tcW w:w="1418" w:type="dxa"/>
          </w:tcPr>
          <w:p w14:paraId="4FFEB4E3"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Client Registration Service</w:t>
            </w:r>
          </w:p>
        </w:tc>
        <w:tc>
          <w:tcPr>
            <w:tcW w:w="1134" w:type="dxa"/>
          </w:tcPr>
          <w:p w14:paraId="796E5A0E"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At least daily </w:t>
            </w:r>
          </w:p>
        </w:tc>
        <w:tc>
          <w:tcPr>
            <w:tcW w:w="2804" w:type="dxa"/>
          </w:tcPr>
          <w:p w14:paraId="1981B30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allow Services Australia to link individuals across systems and enable data sharing.</w:t>
            </w:r>
          </w:p>
        </w:tc>
      </w:tr>
      <w:tr w:rsidR="00134C5E" w:rsidRPr="00940031" w14:paraId="28DA81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CEDA746"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Means test outcome / funding decision</w:t>
            </w:r>
          </w:p>
        </w:tc>
        <w:tc>
          <w:tcPr>
            <w:tcW w:w="1985" w:type="dxa"/>
          </w:tcPr>
          <w:p w14:paraId="0436EC3E"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Outcome of income &amp; assets assessment, identifying information.</w:t>
            </w:r>
          </w:p>
        </w:tc>
        <w:tc>
          <w:tcPr>
            <w:tcW w:w="1842" w:type="dxa"/>
          </w:tcPr>
          <w:p w14:paraId="4A11C8C2"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Centrelink to ACMPS</w:t>
            </w:r>
          </w:p>
        </w:tc>
        <w:tc>
          <w:tcPr>
            <w:tcW w:w="1063" w:type="dxa"/>
          </w:tcPr>
          <w:p w14:paraId="274FAA32"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Services Australia</w:t>
            </w:r>
          </w:p>
        </w:tc>
        <w:tc>
          <w:tcPr>
            <w:tcW w:w="1489" w:type="dxa"/>
          </w:tcPr>
          <w:p w14:paraId="36411356"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lang w:eastAsia="en-AU"/>
              </w:rPr>
              <w:t>MAC</w:t>
            </w:r>
          </w:p>
        </w:tc>
        <w:tc>
          <w:tcPr>
            <w:tcW w:w="992" w:type="dxa"/>
          </w:tcPr>
          <w:p w14:paraId="798F958B"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1468E465"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Interface</w:t>
            </w:r>
          </w:p>
        </w:tc>
        <w:tc>
          <w:tcPr>
            <w:tcW w:w="1134" w:type="dxa"/>
          </w:tcPr>
          <w:p w14:paraId="170EA394"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tcPr>
          <w:p w14:paraId="27A610AD"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confirm individual eligibility for government-subsidised care.</w:t>
            </w:r>
          </w:p>
        </w:tc>
      </w:tr>
      <w:tr w:rsidR="00134C5E" w:rsidRPr="00940031" w14:paraId="11EC89C8" w14:textId="77777777">
        <w:tc>
          <w:tcPr>
            <w:cnfStyle w:val="001000000000" w:firstRow="0" w:lastRow="0" w:firstColumn="1" w:lastColumn="0" w:oddVBand="0" w:evenVBand="0" w:oddHBand="0" w:evenHBand="0" w:firstRowFirstColumn="0" w:firstRowLastColumn="0" w:lastRowFirstColumn="0" w:lastRowLastColumn="0"/>
            <w:tcW w:w="1843" w:type="dxa"/>
          </w:tcPr>
          <w:p w14:paraId="619D9498"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IAT and AN-ACC data items</w:t>
            </w:r>
          </w:p>
        </w:tc>
        <w:tc>
          <w:tcPr>
            <w:tcW w:w="1985" w:type="dxa"/>
          </w:tcPr>
          <w:p w14:paraId="755A805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Responses to assessment items</w:t>
            </w:r>
          </w:p>
        </w:tc>
        <w:tc>
          <w:tcPr>
            <w:tcW w:w="1842" w:type="dxa"/>
          </w:tcPr>
          <w:p w14:paraId="2BFA130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Aged Care Assessor app</w:t>
            </w:r>
          </w:p>
        </w:tc>
        <w:tc>
          <w:tcPr>
            <w:tcW w:w="1063" w:type="dxa"/>
          </w:tcPr>
          <w:p w14:paraId="33B98901"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DHDA</w:t>
            </w:r>
          </w:p>
        </w:tc>
        <w:tc>
          <w:tcPr>
            <w:tcW w:w="1489" w:type="dxa"/>
          </w:tcPr>
          <w:p w14:paraId="6FC9B670"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ACG</w:t>
            </w:r>
          </w:p>
        </w:tc>
        <w:tc>
          <w:tcPr>
            <w:tcW w:w="992" w:type="dxa"/>
          </w:tcPr>
          <w:p w14:paraId="2868E70B"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5B744A51"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Interface </w:t>
            </w:r>
          </w:p>
        </w:tc>
        <w:tc>
          <w:tcPr>
            <w:tcW w:w="1134" w:type="dxa"/>
          </w:tcPr>
          <w:p w14:paraId="1753DD8B" w14:textId="12696385"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r w:rsidR="6C967983" w:rsidRPr="00940031">
              <w:rPr>
                <w:rFonts w:ascii="Arial" w:hAnsi="Arial" w:cs="Arial"/>
                <w:sz w:val="18"/>
                <w:szCs w:val="18"/>
                <w:bdr w:val="none" w:sz="0" w:space="0" w:color="auto" w:frame="1"/>
                <w:lang w:eastAsia="en-AU"/>
              </w:rPr>
              <w:t>*</w:t>
            </w:r>
          </w:p>
        </w:tc>
        <w:tc>
          <w:tcPr>
            <w:tcW w:w="2804" w:type="dxa"/>
          </w:tcPr>
          <w:p w14:paraId="0766E85A"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Communicate care needs of older person based on assessment</w:t>
            </w:r>
          </w:p>
        </w:tc>
      </w:tr>
      <w:tr w:rsidR="00134C5E" w:rsidRPr="00940031" w14:paraId="704EA7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A6E8344"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IAT and AN-ACC outcomes</w:t>
            </w:r>
          </w:p>
        </w:tc>
        <w:tc>
          <w:tcPr>
            <w:tcW w:w="1985" w:type="dxa"/>
          </w:tcPr>
          <w:p w14:paraId="3CAE97BA"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Approved package level and referral codes</w:t>
            </w:r>
          </w:p>
        </w:tc>
        <w:tc>
          <w:tcPr>
            <w:tcW w:w="1842" w:type="dxa"/>
          </w:tcPr>
          <w:p w14:paraId="10FF941D"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ACG</w:t>
            </w:r>
          </w:p>
        </w:tc>
        <w:tc>
          <w:tcPr>
            <w:tcW w:w="1063" w:type="dxa"/>
          </w:tcPr>
          <w:p w14:paraId="37E1D256"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DHDA</w:t>
            </w:r>
          </w:p>
        </w:tc>
        <w:tc>
          <w:tcPr>
            <w:tcW w:w="1489" w:type="dxa"/>
          </w:tcPr>
          <w:p w14:paraId="29357BAC" w14:textId="77777777" w:rsidR="008D6FD4"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MAC Website</w:t>
            </w:r>
          </w:p>
          <w:p w14:paraId="31BA6A96" w14:textId="71677662"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ACMPS</w:t>
            </w:r>
          </w:p>
        </w:tc>
        <w:tc>
          <w:tcPr>
            <w:tcW w:w="992" w:type="dxa"/>
          </w:tcPr>
          <w:p w14:paraId="320D1B45" w14:textId="141B26DC"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r w:rsidR="008D6FD4">
              <w:rPr>
                <w:rFonts w:ascii="Arial" w:hAnsi="Arial" w:cs="Arial"/>
                <w:sz w:val="18"/>
                <w:szCs w:val="18"/>
                <w:bdr w:val="none" w:sz="0" w:space="0" w:color="auto" w:frame="1"/>
                <w:lang w:eastAsia="en-AU"/>
              </w:rPr>
              <w:t xml:space="preserve"> </w:t>
            </w:r>
            <w:r w:rsidRPr="00044CEE">
              <w:rPr>
                <w:rFonts w:ascii="Arial" w:hAnsi="Arial" w:cs="Arial"/>
                <w:sz w:val="18"/>
                <w:szCs w:val="18"/>
                <w:bdr w:val="none" w:sz="0" w:space="0" w:color="auto" w:frame="1"/>
                <w:lang w:eastAsia="en-AU"/>
              </w:rPr>
              <w:t>Services Australia</w:t>
            </w:r>
          </w:p>
        </w:tc>
        <w:tc>
          <w:tcPr>
            <w:tcW w:w="1418" w:type="dxa"/>
          </w:tcPr>
          <w:p w14:paraId="3BDBF21F"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OA and MAC SSP .NET</w:t>
            </w:r>
          </w:p>
          <w:p w14:paraId="7FE450BF"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Interface </w:t>
            </w:r>
          </w:p>
        </w:tc>
        <w:tc>
          <w:tcPr>
            <w:tcW w:w="1134" w:type="dxa"/>
          </w:tcPr>
          <w:p w14:paraId="74FAA625"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tcPr>
          <w:p w14:paraId="4EC4D5E6"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Communicate outcome of assessment to inform provider selection and funding allocation</w:t>
            </w:r>
          </w:p>
        </w:tc>
      </w:tr>
      <w:tr w:rsidR="00134C5E" w:rsidRPr="00940031" w14:paraId="06251B12" w14:textId="77777777">
        <w:tc>
          <w:tcPr>
            <w:cnfStyle w:val="001000000000" w:firstRow="0" w:lastRow="0" w:firstColumn="1" w:lastColumn="0" w:oddVBand="0" w:evenVBand="0" w:oddHBand="0" w:evenHBand="0" w:firstRowFirstColumn="0" w:firstRowLastColumn="0" w:lastRowFirstColumn="0" w:lastRowLastColumn="0"/>
            <w:tcW w:w="1843" w:type="dxa"/>
            <w:hideMark/>
          </w:tcPr>
          <w:p w14:paraId="146F71C4" w14:textId="77777777" w:rsidR="00134C5E" w:rsidRPr="00765936" w:rsidRDefault="00134C5E" w:rsidP="00044CEE">
            <w:pPr>
              <w:spacing w:after="0" w:line="240" w:lineRule="atLeast"/>
              <w:ind w:left="6" w:right="6"/>
              <w:rPr>
                <w:rFonts w:ascii="Arial" w:hAnsi="Arial" w:cs="Arial"/>
                <w:b w:val="0"/>
                <w:bCs w:val="0"/>
                <w:sz w:val="18"/>
                <w:szCs w:val="18"/>
                <w:lang w:eastAsia="en-AU"/>
              </w:rPr>
            </w:pPr>
            <w:r w:rsidRPr="00765936">
              <w:rPr>
                <w:rFonts w:ascii="Arial" w:hAnsi="Arial" w:cs="Arial"/>
                <w:b w:val="0"/>
                <w:bCs w:val="0"/>
                <w:sz w:val="18"/>
                <w:szCs w:val="18"/>
                <w:bdr w:val="none" w:sz="0" w:space="0" w:color="auto" w:frame="1"/>
                <w:lang w:eastAsia="en-AU"/>
              </w:rPr>
              <w:t>Provider registration data</w:t>
            </w:r>
          </w:p>
        </w:tc>
        <w:tc>
          <w:tcPr>
            <w:tcW w:w="1985" w:type="dxa"/>
          </w:tcPr>
          <w:p w14:paraId="126C239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Provider name, MAC Provider ID, address, services offered, accreditation status.</w:t>
            </w:r>
          </w:p>
        </w:tc>
        <w:tc>
          <w:tcPr>
            <w:tcW w:w="1842" w:type="dxa"/>
          </w:tcPr>
          <w:p w14:paraId="0F3C64CF" w14:textId="011BAECA" w:rsidR="00134C5E" w:rsidRPr="00044CEE" w:rsidRDefault="00134C5E" w:rsidP="008D6FD4">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MACSSP (ACG)</w:t>
            </w:r>
          </w:p>
        </w:tc>
        <w:tc>
          <w:tcPr>
            <w:tcW w:w="1063" w:type="dxa"/>
          </w:tcPr>
          <w:p w14:paraId="1AF4148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DHDA</w:t>
            </w:r>
          </w:p>
        </w:tc>
        <w:tc>
          <w:tcPr>
            <w:tcW w:w="1489" w:type="dxa"/>
            <w:hideMark/>
          </w:tcPr>
          <w:p w14:paraId="20C4ECF1"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GPMS</w:t>
            </w:r>
          </w:p>
          <w:p w14:paraId="6FBC8844" w14:textId="53EE8972" w:rsidR="008D6FD4" w:rsidRPr="00044CEE" w:rsidRDefault="00134C5E" w:rsidP="008D6FD4">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ACMPS</w:t>
            </w:r>
          </w:p>
        </w:tc>
        <w:tc>
          <w:tcPr>
            <w:tcW w:w="992" w:type="dxa"/>
          </w:tcPr>
          <w:p w14:paraId="2EC498AF"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p w14:paraId="47222E57"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Services Australia</w:t>
            </w:r>
          </w:p>
        </w:tc>
        <w:tc>
          <w:tcPr>
            <w:tcW w:w="1418" w:type="dxa"/>
          </w:tcPr>
          <w:p w14:paraId="0558A55D"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Interface</w:t>
            </w:r>
          </w:p>
        </w:tc>
        <w:tc>
          <w:tcPr>
            <w:tcW w:w="1134" w:type="dxa"/>
          </w:tcPr>
          <w:p w14:paraId="34CC8786" w14:textId="77777777" w:rsidR="00134C5E" w:rsidRPr="00044CEE" w:rsidRDefault="00134C5E" w:rsidP="00044CEE">
            <w:pPr>
              <w:spacing w:after="0" w:line="240" w:lineRule="atLeast"/>
              <w:ind w:left="6" w:right="-111"/>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hideMark/>
          </w:tcPr>
          <w:p w14:paraId="2577F600"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bdr w:val="none" w:sz="0" w:space="0" w:color="auto" w:frame="1"/>
                <w:lang w:eastAsia="en-AU"/>
              </w:rPr>
              <w:t xml:space="preserve">Advise Services Australia that a provider is eligible to receive payment for </w:t>
            </w:r>
            <w:proofErr w:type="gramStart"/>
            <w:r w:rsidRPr="00044CEE">
              <w:rPr>
                <w:rFonts w:ascii="Arial" w:hAnsi="Arial" w:cs="Arial"/>
                <w:sz w:val="18"/>
                <w:szCs w:val="18"/>
                <w:bdr w:val="none" w:sz="0" w:space="0" w:color="auto" w:frame="1"/>
                <w:lang w:eastAsia="en-AU"/>
              </w:rPr>
              <w:t>particular services</w:t>
            </w:r>
            <w:proofErr w:type="gramEnd"/>
            <w:r w:rsidRPr="00044CEE">
              <w:rPr>
                <w:rFonts w:ascii="Arial" w:hAnsi="Arial" w:cs="Arial"/>
                <w:sz w:val="18"/>
                <w:szCs w:val="18"/>
                <w:bdr w:val="none" w:sz="0" w:space="0" w:color="auto" w:frame="1"/>
                <w:lang w:eastAsia="en-AU"/>
              </w:rPr>
              <w:t>.</w:t>
            </w:r>
          </w:p>
        </w:tc>
      </w:tr>
      <w:tr w:rsidR="00134C5E" w:rsidRPr="00940031" w14:paraId="499751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88C3670"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Entry to care</w:t>
            </w:r>
          </w:p>
        </w:tc>
        <w:tc>
          <w:tcPr>
            <w:tcW w:w="1985" w:type="dxa"/>
          </w:tcPr>
          <w:p w14:paraId="161149AC"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Provider ID, Client ID, services registered</w:t>
            </w:r>
          </w:p>
        </w:tc>
        <w:tc>
          <w:tcPr>
            <w:tcW w:w="1842" w:type="dxa"/>
          </w:tcPr>
          <w:p w14:paraId="3043FCF0"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MACSSP (ACG)</w:t>
            </w:r>
          </w:p>
        </w:tc>
        <w:tc>
          <w:tcPr>
            <w:tcW w:w="1063" w:type="dxa"/>
          </w:tcPr>
          <w:p w14:paraId="3B4B5888"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89" w:type="dxa"/>
          </w:tcPr>
          <w:p w14:paraId="54902EF9"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GPMS</w:t>
            </w:r>
          </w:p>
          <w:p w14:paraId="3A66F0EE"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ACMPS</w:t>
            </w:r>
          </w:p>
        </w:tc>
        <w:tc>
          <w:tcPr>
            <w:tcW w:w="992" w:type="dxa"/>
          </w:tcPr>
          <w:p w14:paraId="1A35B893"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p w14:paraId="19F69847"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Services Australia</w:t>
            </w:r>
          </w:p>
        </w:tc>
        <w:tc>
          <w:tcPr>
            <w:tcW w:w="1418" w:type="dxa"/>
          </w:tcPr>
          <w:p w14:paraId="243C8A1A"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Entry/Exit interface</w:t>
            </w:r>
          </w:p>
        </w:tc>
        <w:tc>
          <w:tcPr>
            <w:tcW w:w="1134" w:type="dxa"/>
          </w:tcPr>
          <w:p w14:paraId="418AC4A9"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tcPr>
          <w:p w14:paraId="03A77099"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associate a care recipient with a provider</w:t>
            </w:r>
          </w:p>
        </w:tc>
      </w:tr>
      <w:tr w:rsidR="00134C5E" w:rsidRPr="00940031" w14:paraId="1306E5A3" w14:textId="77777777">
        <w:tc>
          <w:tcPr>
            <w:cnfStyle w:val="001000000000" w:firstRow="0" w:lastRow="0" w:firstColumn="1" w:lastColumn="0" w:oddVBand="0" w:evenVBand="0" w:oddHBand="0" w:evenHBand="0" w:firstRowFirstColumn="0" w:firstRowLastColumn="0" w:lastRowFirstColumn="0" w:lastRowLastColumn="0"/>
            <w:tcW w:w="1843" w:type="dxa"/>
          </w:tcPr>
          <w:p w14:paraId="4D2FFC92"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Exit from care</w:t>
            </w:r>
          </w:p>
        </w:tc>
        <w:tc>
          <w:tcPr>
            <w:tcW w:w="1985" w:type="dxa"/>
          </w:tcPr>
          <w:p w14:paraId="44F93B57"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Provider ID, Client ID, reason for exit</w:t>
            </w:r>
          </w:p>
        </w:tc>
        <w:tc>
          <w:tcPr>
            <w:tcW w:w="1842" w:type="dxa"/>
          </w:tcPr>
          <w:p w14:paraId="28664B5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MACSSP (ACG)</w:t>
            </w:r>
          </w:p>
        </w:tc>
        <w:tc>
          <w:tcPr>
            <w:tcW w:w="1063" w:type="dxa"/>
          </w:tcPr>
          <w:p w14:paraId="77649D5E"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89" w:type="dxa"/>
          </w:tcPr>
          <w:p w14:paraId="69F626C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GPMS</w:t>
            </w:r>
          </w:p>
          <w:p w14:paraId="233A24B7"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ACMPS</w:t>
            </w:r>
          </w:p>
        </w:tc>
        <w:tc>
          <w:tcPr>
            <w:tcW w:w="992" w:type="dxa"/>
          </w:tcPr>
          <w:p w14:paraId="089F4F75"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p w14:paraId="62B80036"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Services Australia</w:t>
            </w:r>
          </w:p>
        </w:tc>
        <w:tc>
          <w:tcPr>
            <w:tcW w:w="1418" w:type="dxa"/>
          </w:tcPr>
          <w:p w14:paraId="47ED071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Entry/Exit interface</w:t>
            </w:r>
          </w:p>
        </w:tc>
        <w:tc>
          <w:tcPr>
            <w:tcW w:w="1134" w:type="dxa"/>
          </w:tcPr>
          <w:p w14:paraId="6B36A1C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tcPr>
          <w:p w14:paraId="29EA0D2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disconnect a care recipient and provider.</w:t>
            </w:r>
          </w:p>
        </w:tc>
      </w:tr>
      <w:tr w:rsidR="00134C5E" w:rsidRPr="00940031" w14:paraId="7C1C5F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AA4639A" w14:textId="77777777" w:rsidR="00134C5E" w:rsidRPr="00765936" w:rsidRDefault="00134C5E" w:rsidP="00044CEE">
            <w:pPr>
              <w:spacing w:after="0" w:line="240" w:lineRule="atLeast"/>
              <w:ind w:left="6" w:right="6"/>
              <w:rPr>
                <w:rFonts w:ascii="Arial" w:hAnsi="Arial" w:cs="Arial"/>
                <w:b w:val="0"/>
                <w:bCs w:val="0"/>
                <w:sz w:val="18"/>
                <w:szCs w:val="18"/>
                <w:lang w:eastAsia="en-AU"/>
              </w:rPr>
            </w:pPr>
            <w:r w:rsidRPr="00765936">
              <w:rPr>
                <w:rFonts w:ascii="Arial" w:hAnsi="Arial" w:cs="Arial"/>
                <w:b w:val="0"/>
                <w:bCs w:val="0"/>
                <w:sz w:val="18"/>
                <w:szCs w:val="18"/>
                <w:bdr w:val="none" w:sz="0" w:space="0" w:color="auto" w:frame="1"/>
                <w:lang w:eastAsia="en-AU"/>
              </w:rPr>
              <w:t xml:space="preserve">Detail of services provided – residential and Support at Home </w:t>
            </w:r>
          </w:p>
        </w:tc>
        <w:tc>
          <w:tcPr>
            <w:tcW w:w="1985" w:type="dxa"/>
          </w:tcPr>
          <w:p w14:paraId="5F8DC610"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Provider ID, Client ID, service type ID, date.</w:t>
            </w:r>
          </w:p>
        </w:tc>
        <w:tc>
          <w:tcPr>
            <w:tcW w:w="1842" w:type="dxa"/>
          </w:tcPr>
          <w:p w14:paraId="5CF439B7"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ACMPS (ACPP)</w:t>
            </w:r>
          </w:p>
        </w:tc>
        <w:tc>
          <w:tcPr>
            <w:tcW w:w="1063" w:type="dxa"/>
          </w:tcPr>
          <w:p w14:paraId="2056FC85"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Services Australia</w:t>
            </w:r>
          </w:p>
        </w:tc>
        <w:tc>
          <w:tcPr>
            <w:tcW w:w="1489" w:type="dxa"/>
            <w:hideMark/>
          </w:tcPr>
          <w:p w14:paraId="72400881" w14:textId="1E0D1CBA"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ACDW</w:t>
            </w:r>
          </w:p>
        </w:tc>
        <w:tc>
          <w:tcPr>
            <w:tcW w:w="992" w:type="dxa"/>
          </w:tcPr>
          <w:p w14:paraId="1D933773"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5893066C" w14:textId="7813DEE3" w:rsidR="00134C5E" w:rsidRPr="00044CEE" w:rsidRDefault="00134C5E" w:rsidP="008D6FD4">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Interface </w:t>
            </w:r>
          </w:p>
        </w:tc>
        <w:tc>
          <w:tcPr>
            <w:tcW w:w="1134" w:type="dxa"/>
          </w:tcPr>
          <w:p w14:paraId="1B6A35BA"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hideMark/>
          </w:tcPr>
          <w:p w14:paraId="549BE7E7"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bdr w:val="none" w:sz="0" w:space="0" w:color="auto" w:frame="1"/>
                <w:lang w:eastAsia="en-AU"/>
              </w:rPr>
              <w:t>To claim subsidy payments from the government.</w:t>
            </w:r>
          </w:p>
        </w:tc>
      </w:tr>
      <w:tr w:rsidR="00134C5E" w:rsidRPr="00940031" w14:paraId="0E135638" w14:textId="77777777">
        <w:tc>
          <w:tcPr>
            <w:cnfStyle w:val="001000000000" w:firstRow="0" w:lastRow="0" w:firstColumn="1" w:lastColumn="0" w:oddVBand="0" w:evenVBand="0" w:oddHBand="0" w:evenHBand="0" w:firstRowFirstColumn="0" w:firstRowLastColumn="0" w:lastRowFirstColumn="0" w:lastRowLastColumn="0"/>
            <w:tcW w:w="1843" w:type="dxa"/>
          </w:tcPr>
          <w:p w14:paraId="67928352"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 xml:space="preserve">Details of services provided – CHSP </w:t>
            </w:r>
          </w:p>
        </w:tc>
        <w:tc>
          <w:tcPr>
            <w:tcW w:w="1985" w:type="dxa"/>
          </w:tcPr>
          <w:p w14:paraId="7AC4C5B7"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Provider ID, Client ID, service type ID, date.</w:t>
            </w:r>
          </w:p>
        </w:tc>
        <w:tc>
          <w:tcPr>
            <w:tcW w:w="1842" w:type="dxa"/>
          </w:tcPr>
          <w:p w14:paraId="69E1F105"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GPS (CHSP only)</w:t>
            </w:r>
          </w:p>
        </w:tc>
        <w:tc>
          <w:tcPr>
            <w:tcW w:w="1063" w:type="dxa"/>
          </w:tcPr>
          <w:p w14:paraId="1BE82A41"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DSS</w:t>
            </w:r>
          </w:p>
        </w:tc>
        <w:tc>
          <w:tcPr>
            <w:tcW w:w="1489" w:type="dxa"/>
          </w:tcPr>
          <w:p w14:paraId="34A9C67F"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ACDW</w:t>
            </w:r>
          </w:p>
        </w:tc>
        <w:tc>
          <w:tcPr>
            <w:tcW w:w="992" w:type="dxa"/>
          </w:tcPr>
          <w:p w14:paraId="7030C987"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1AB0469E"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DEX </w:t>
            </w:r>
          </w:p>
        </w:tc>
        <w:tc>
          <w:tcPr>
            <w:tcW w:w="1134" w:type="dxa"/>
          </w:tcPr>
          <w:p w14:paraId="7791D790"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Daily </w:t>
            </w:r>
          </w:p>
        </w:tc>
        <w:tc>
          <w:tcPr>
            <w:tcW w:w="2804" w:type="dxa"/>
          </w:tcPr>
          <w:p w14:paraId="3107AA0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claim subsidy payments from the government.</w:t>
            </w:r>
          </w:p>
        </w:tc>
      </w:tr>
      <w:tr w:rsidR="00134C5E" w:rsidRPr="00940031" w14:paraId="6A0C42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DF5D3D"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 xml:space="preserve">Details of clients and services provided – MPS </w:t>
            </w:r>
          </w:p>
        </w:tc>
        <w:tc>
          <w:tcPr>
            <w:tcW w:w="1985" w:type="dxa"/>
          </w:tcPr>
          <w:p w14:paraId="1208BE29"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Demographics, dementia status, date of commencement, waitlist, service types, count of clients</w:t>
            </w:r>
          </w:p>
        </w:tc>
        <w:tc>
          <w:tcPr>
            <w:tcW w:w="1842" w:type="dxa"/>
          </w:tcPr>
          <w:p w14:paraId="7473EBEE"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Qualtrics survey</w:t>
            </w:r>
          </w:p>
        </w:tc>
        <w:tc>
          <w:tcPr>
            <w:tcW w:w="1063" w:type="dxa"/>
          </w:tcPr>
          <w:p w14:paraId="1E2EFCC7"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89" w:type="dxa"/>
          </w:tcPr>
          <w:p w14:paraId="0BA426C1"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w:t>
            </w:r>
          </w:p>
        </w:tc>
        <w:tc>
          <w:tcPr>
            <w:tcW w:w="992" w:type="dxa"/>
          </w:tcPr>
          <w:p w14:paraId="336F6007"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w:t>
            </w:r>
          </w:p>
        </w:tc>
        <w:tc>
          <w:tcPr>
            <w:tcW w:w="1418" w:type="dxa"/>
          </w:tcPr>
          <w:p w14:paraId="52C3C2EF"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p>
        </w:tc>
        <w:tc>
          <w:tcPr>
            <w:tcW w:w="1134" w:type="dxa"/>
          </w:tcPr>
          <w:p w14:paraId="3B1A3539"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Annually </w:t>
            </w:r>
          </w:p>
        </w:tc>
        <w:tc>
          <w:tcPr>
            <w:tcW w:w="2804" w:type="dxa"/>
          </w:tcPr>
          <w:p w14:paraId="7778A2D8"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satisfy reporting requirements and support care planning</w:t>
            </w:r>
          </w:p>
        </w:tc>
      </w:tr>
      <w:tr w:rsidR="00134C5E" w:rsidRPr="00940031" w14:paraId="42AF39BD" w14:textId="77777777">
        <w:tc>
          <w:tcPr>
            <w:cnfStyle w:val="001000000000" w:firstRow="0" w:lastRow="0" w:firstColumn="1" w:lastColumn="0" w:oddVBand="0" w:evenVBand="0" w:oddHBand="0" w:evenHBand="0" w:firstRowFirstColumn="0" w:firstRowLastColumn="0" w:lastRowFirstColumn="0" w:lastRowLastColumn="0"/>
            <w:tcW w:w="1843" w:type="dxa"/>
          </w:tcPr>
          <w:p w14:paraId="7353FFE1"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Details of services provided – NATSIFAC</w:t>
            </w:r>
          </w:p>
        </w:tc>
        <w:tc>
          <w:tcPr>
            <w:tcW w:w="1985" w:type="dxa"/>
          </w:tcPr>
          <w:p w14:paraId="788C4FC6"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Client numbers, cultural events, allied health visits</w:t>
            </w:r>
          </w:p>
        </w:tc>
        <w:tc>
          <w:tcPr>
            <w:tcW w:w="1842" w:type="dxa"/>
          </w:tcPr>
          <w:p w14:paraId="39DD54A5"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Grants Management System</w:t>
            </w:r>
          </w:p>
        </w:tc>
        <w:tc>
          <w:tcPr>
            <w:tcW w:w="1063" w:type="dxa"/>
          </w:tcPr>
          <w:p w14:paraId="09BF4FC0" w14:textId="2D5AB592" w:rsidR="00134C5E" w:rsidRPr="008D6FD4" w:rsidRDefault="00134C5E" w:rsidP="008D6FD4">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DSS</w:t>
            </w:r>
          </w:p>
        </w:tc>
        <w:tc>
          <w:tcPr>
            <w:tcW w:w="1489" w:type="dxa"/>
          </w:tcPr>
          <w:p w14:paraId="0B6334E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ACDW</w:t>
            </w:r>
          </w:p>
        </w:tc>
        <w:tc>
          <w:tcPr>
            <w:tcW w:w="992" w:type="dxa"/>
          </w:tcPr>
          <w:p w14:paraId="77F1EFBD"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178713BC"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DEX</w:t>
            </w:r>
          </w:p>
        </w:tc>
        <w:tc>
          <w:tcPr>
            <w:tcW w:w="1134" w:type="dxa"/>
          </w:tcPr>
          <w:p w14:paraId="340CC054" w14:textId="77777777" w:rsidR="00134C5E" w:rsidRPr="00044CEE" w:rsidRDefault="00134C5E" w:rsidP="00044CEE">
            <w:pPr>
              <w:spacing w:after="0" w:line="240" w:lineRule="atLeast"/>
              <w:ind w:left="6" w:right="-154"/>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Bi-annually </w:t>
            </w:r>
          </w:p>
        </w:tc>
        <w:tc>
          <w:tcPr>
            <w:tcW w:w="2804" w:type="dxa"/>
          </w:tcPr>
          <w:p w14:paraId="683B36B9"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satisfy reporting requirements and support care planning</w:t>
            </w:r>
          </w:p>
        </w:tc>
      </w:tr>
      <w:tr w:rsidR="00134C5E" w:rsidRPr="00940031" w14:paraId="477004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746DC07"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Quality indicator data</w:t>
            </w:r>
          </w:p>
        </w:tc>
        <w:tc>
          <w:tcPr>
            <w:tcW w:w="1985" w:type="dxa"/>
          </w:tcPr>
          <w:p w14:paraId="5473E69D"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QI Program indicator data</w:t>
            </w:r>
          </w:p>
        </w:tc>
        <w:tc>
          <w:tcPr>
            <w:tcW w:w="1842" w:type="dxa"/>
          </w:tcPr>
          <w:p w14:paraId="7D62E85A"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GPMS</w:t>
            </w:r>
          </w:p>
        </w:tc>
        <w:tc>
          <w:tcPr>
            <w:tcW w:w="1063" w:type="dxa"/>
          </w:tcPr>
          <w:p w14:paraId="5678C44C"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89" w:type="dxa"/>
          </w:tcPr>
          <w:p w14:paraId="17346ADB" w14:textId="77777777" w:rsidR="00134C5E" w:rsidRDefault="00134C5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RBTIS</w:t>
            </w:r>
          </w:p>
          <w:p w14:paraId="720F7E55" w14:textId="517455D6" w:rsidR="00891B5D" w:rsidRPr="00044CEE" w:rsidRDefault="00891B5D"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Pr>
                <w:rFonts w:ascii="Arial" w:hAnsi="Arial" w:cs="Arial"/>
                <w:sz w:val="18"/>
                <w:szCs w:val="18"/>
                <w:lang w:eastAsia="en-AU"/>
              </w:rPr>
              <w:t>HDP</w:t>
            </w:r>
          </w:p>
        </w:tc>
        <w:tc>
          <w:tcPr>
            <w:tcW w:w="992" w:type="dxa"/>
          </w:tcPr>
          <w:p w14:paraId="11F68167" w14:textId="77777777" w:rsidR="00134C5E" w:rsidRDefault="00134C5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ACQSC</w:t>
            </w:r>
          </w:p>
          <w:p w14:paraId="576E8434" w14:textId="5B6E182B" w:rsidR="00F30198" w:rsidRPr="00044CEE" w:rsidRDefault="00F30198"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Pr>
                <w:rFonts w:ascii="Arial" w:hAnsi="Arial" w:cs="Arial"/>
                <w:sz w:val="18"/>
                <w:szCs w:val="18"/>
                <w:bdr w:val="none" w:sz="0" w:space="0" w:color="auto" w:frame="1"/>
                <w:lang w:eastAsia="en-AU"/>
              </w:rPr>
              <w:t>AIHW</w:t>
            </w:r>
          </w:p>
        </w:tc>
        <w:tc>
          <w:tcPr>
            <w:tcW w:w="1418" w:type="dxa"/>
          </w:tcPr>
          <w:p w14:paraId="56878B97" w14:textId="77777777" w:rsidR="00134C5E" w:rsidRDefault="00134C5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Qlik app</w:t>
            </w:r>
          </w:p>
          <w:p w14:paraId="45D2AC83" w14:textId="0FD4B5AC" w:rsidR="00F30198" w:rsidRPr="00044CEE" w:rsidRDefault="0076708A" w:rsidP="00044CEE">
            <w:pPr>
              <w:spacing w:after="0" w:line="240" w:lineRule="atLeast"/>
              <w:ind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Pr>
                <w:rFonts w:ascii="Arial" w:hAnsi="Arial" w:cs="Arial"/>
                <w:sz w:val="18"/>
                <w:szCs w:val="18"/>
                <w:bdr w:val="none" w:sz="0" w:space="0" w:color="auto" w:frame="1"/>
                <w:lang w:eastAsia="en-AU"/>
              </w:rPr>
              <w:t>Transfer of data</w:t>
            </w:r>
          </w:p>
        </w:tc>
        <w:tc>
          <w:tcPr>
            <w:tcW w:w="1134" w:type="dxa"/>
          </w:tcPr>
          <w:p w14:paraId="3E30ED77" w14:textId="579AA6F0" w:rsidR="00134C5E" w:rsidRPr="00044CEE" w:rsidRDefault="0076708A"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Pr>
                <w:rFonts w:ascii="Arial" w:hAnsi="Arial" w:cs="Arial"/>
                <w:sz w:val="18"/>
                <w:szCs w:val="18"/>
                <w:bdr w:val="none" w:sz="0" w:space="0" w:color="auto" w:frame="1"/>
                <w:lang w:eastAsia="en-AU"/>
              </w:rPr>
              <w:t>Quarterly</w:t>
            </w:r>
          </w:p>
        </w:tc>
        <w:tc>
          <w:tcPr>
            <w:tcW w:w="2804" w:type="dxa"/>
          </w:tcPr>
          <w:p w14:paraId="7612B9D5"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satisfy reporting requirements and support monitoring of care quality</w:t>
            </w:r>
            <w:r w:rsidRPr="00044CEE">
              <w:rPr>
                <w:rFonts w:ascii="Arial" w:hAnsi="Arial" w:cs="Arial"/>
                <w:sz w:val="18"/>
                <w:szCs w:val="18"/>
                <w:lang w:eastAsia="en-AU"/>
              </w:rPr>
              <w:t xml:space="preserve">, and for providing data to AIHW for the purposes of public reporting </w:t>
            </w:r>
          </w:p>
        </w:tc>
      </w:tr>
      <w:tr w:rsidR="00134C5E" w:rsidRPr="00940031" w14:paraId="249C19AC" w14:textId="77777777">
        <w:tc>
          <w:tcPr>
            <w:cnfStyle w:val="001000000000" w:firstRow="0" w:lastRow="0" w:firstColumn="1" w:lastColumn="0" w:oddVBand="0" w:evenVBand="0" w:oddHBand="0" w:evenHBand="0" w:firstRowFirstColumn="0" w:firstRowLastColumn="0" w:lastRowFirstColumn="0" w:lastRowLastColumn="0"/>
            <w:tcW w:w="1843" w:type="dxa"/>
          </w:tcPr>
          <w:p w14:paraId="2F7455C8"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Serious incidents and responses</w:t>
            </w:r>
          </w:p>
        </w:tc>
        <w:tc>
          <w:tcPr>
            <w:tcW w:w="1985" w:type="dxa"/>
          </w:tcPr>
          <w:p w14:paraId="1D0BAD6E"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Details of priority 1 and priority 2 incidents and the provider’s response.</w:t>
            </w:r>
          </w:p>
        </w:tc>
        <w:tc>
          <w:tcPr>
            <w:tcW w:w="1842" w:type="dxa"/>
          </w:tcPr>
          <w:p w14:paraId="64090B48"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MAC SSP</w:t>
            </w:r>
          </w:p>
        </w:tc>
        <w:tc>
          <w:tcPr>
            <w:tcW w:w="1063" w:type="dxa"/>
          </w:tcPr>
          <w:p w14:paraId="4A02BD72"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89" w:type="dxa"/>
          </w:tcPr>
          <w:p w14:paraId="662A94A8"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ACRES</w:t>
            </w:r>
          </w:p>
        </w:tc>
        <w:tc>
          <w:tcPr>
            <w:tcW w:w="992" w:type="dxa"/>
          </w:tcPr>
          <w:p w14:paraId="0A95CD7F"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ACQSC</w:t>
            </w:r>
          </w:p>
        </w:tc>
        <w:tc>
          <w:tcPr>
            <w:tcW w:w="1418" w:type="dxa"/>
          </w:tcPr>
          <w:p w14:paraId="2FF93A29"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SIRS portal</w:t>
            </w:r>
          </w:p>
        </w:tc>
        <w:tc>
          <w:tcPr>
            <w:tcW w:w="1134" w:type="dxa"/>
          </w:tcPr>
          <w:p w14:paraId="0738F324"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At least daily</w:t>
            </w:r>
          </w:p>
        </w:tc>
        <w:tc>
          <w:tcPr>
            <w:tcW w:w="2804" w:type="dxa"/>
          </w:tcPr>
          <w:p w14:paraId="2ED4610E" w14:textId="77777777" w:rsidR="00134C5E" w:rsidRPr="00044CEE" w:rsidRDefault="00134C5E" w:rsidP="00044CEE">
            <w:pPr>
              <w:spacing w:after="0" w:line="240" w:lineRule="atLeast"/>
              <w:ind w:left="6" w:right="6"/>
              <w:cnfStyle w:val="000000000000" w:firstRow="0" w:lastRow="0" w:firstColumn="0" w:lastColumn="0" w:oddVBand="0" w:evenVBand="0" w:oddHBand="0"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notify ACQSC of reported serious incidents.</w:t>
            </w:r>
          </w:p>
        </w:tc>
      </w:tr>
      <w:tr w:rsidR="00134C5E" w:rsidRPr="00940031" w14:paraId="2259F0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391AF2F" w14:textId="77777777" w:rsidR="00134C5E" w:rsidRPr="00765936" w:rsidRDefault="00134C5E" w:rsidP="00044CEE">
            <w:pPr>
              <w:spacing w:after="0" w:line="240" w:lineRule="atLeast"/>
              <w:ind w:left="6" w:right="6"/>
              <w:rPr>
                <w:rFonts w:ascii="Arial" w:hAnsi="Arial" w:cs="Arial"/>
                <w:b w:val="0"/>
                <w:bCs w:val="0"/>
                <w:sz w:val="18"/>
                <w:szCs w:val="18"/>
                <w:bdr w:val="none" w:sz="0" w:space="0" w:color="auto" w:frame="1"/>
                <w:lang w:eastAsia="en-AU"/>
              </w:rPr>
            </w:pPr>
            <w:r w:rsidRPr="00765936">
              <w:rPr>
                <w:rFonts w:ascii="Arial" w:hAnsi="Arial" w:cs="Arial"/>
                <w:b w:val="0"/>
                <w:bCs w:val="0"/>
                <w:sz w:val="18"/>
                <w:szCs w:val="18"/>
                <w:bdr w:val="none" w:sz="0" w:space="0" w:color="auto" w:frame="1"/>
                <w:lang w:eastAsia="en-AU"/>
              </w:rPr>
              <w:t>Clinical and business practices and processes</w:t>
            </w:r>
          </w:p>
        </w:tc>
        <w:tc>
          <w:tcPr>
            <w:tcW w:w="1985" w:type="dxa"/>
          </w:tcPr>
          <w:p w14:paraId="56FA4D6E"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Compliance with Aged Care Quality Standards</w:t>
            </w:r>
          </w:p>
        </w:tc>
        <w:tc>
          <w:tcPr>
            <w:tcW w:w="1842" w:type="dxa"/>
          </w:tcPr>
          <w:p w14:paraId="5B794702"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Digital Audit Tool</w:t>
            </w:r>
          </w:p>
          <w:p w14:paraId="56A5ED98"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ACRES</w:t>
            </w:r>
          </w:p>
        </w:tc>
        <w:tc>
          <w:tcPr>
            <w:tcW w:w="1063" w:type="dxa"/>
          </w:tcPr>
          <w:p w14:paraId="3698C034"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ACQSC</w:t>
            </w:r>
          </w:p>
        </w:tc>
        <w:tc>
          <w:tcPr>
            <w:tcW w:w="1489" w:type="dxa"/>
          </w:tcPr>
          <w:p w14:paraId="1D125885"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AU"/>
              </w:rPr>
            </w:pPr>
            <w:r w:rsidRPr="00044CEE">
              <w:rPr>
                <w:rFonts w:ascii="Arial" w:hAnsi="Arial" w:cs="Arial"/>
                <w:sz w:val="18"/>
                <w:szCs w:val="18"/>
                <w:lang w:eastAsia="en-AU"/>
              </w:rPr>
              <w:t>ACDW (compliance data only)</w:t>
            </w:r>
          </w:p>
        </w:tc>
        <w:tc>
          <w:tcPr>
            <w:tcW w:w="992" w:type="dxa"/>
          </w:tcPr>
          <w:p w14:paraId="63DAA0AF"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DHDA</w:t>
            </w:r>
          </w:p>
        </w:tc>
        <w:tc>
          <w:tcPr>
            <w:tcW w:w="1418" w:type="dxa"/>
          </w:tcPr>
          <w:p w14:paraId="55534685"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 xml:space="preserve">Interface </w:t>
            </w:r>
          </w:p>
        </w:tc>
        <w:tc>
          <w:tcPr>
            <w:tcW w:w="1134" w:type="dxa"/>
          </w:tcPr>
          <w:p w14:paraId="76C53A33"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tbc</w:t>
            </w:r>
          </w:p>
        </w:tc>
        <w:tc>
          <w:tcPr>
            <w:tcW w:w="2804" w:type="dxa"/>
          </w:tcPr>
          <w:p w14:paraId="0756A739" w14:textId="77777777" w:rsidR="00134C5E" w:rsidRPr="00044CEE" w:rsidRDefault="00134C5E" w:rsidP="00044CEE">
            <w:pPr>
              <w:spacing w:after="0" w:line="240" w:lineRule="atLeast"/>
              <w:ind w:left="6" w:right="6"/>
              <w:cnfStyle w:val="000000100000" w:firstRow="0" w:lastRow="0" w:firstColumn="0" w:lastColumn="0" w:oddVBand="0" w:evenVBand="0" w:oddHBand="1" w:evenHBand="0" w:firstRowFirstColumn="0" w:firstRowLastColumn="0" w:lastRowFirstColumn="0" w:lastRowLastColumn="0"/>
              <w:rPr>
                <w:rFonts w:ascii="Arial" w:hAnsi="Arial" w:cs="Arial"/>
                <w:sz w:val="18"/>
                <w:szCs w:val="18"/>
                <w:bdr w:val="none" w:sz="0" w:space="0" w:color="auto" w:frame="1"/>
                <w:lang w:eastAsia="en-AU"/>
              </w:rPr>
            </w:pPr>
            <w:r w:rsidRPr="00044CEE">
              <w:rPr>
                <w:rFonts w:ascii="Arial" w:hAnsi="Arial" w:cs="Arial"/>
                <w:sz w:val="18"/>
                <w:szCs w:val="18"/>
                <w:bdr w:val="none" w:sz="0" w:space="0" w:color="auto" w:frame="1"/>
                <w:lang w:eastAsia="en-AU"/>
              </w:rPr>
              <w:t>To inform calculation of the Compliance rating and advise DHDA of non-compliant providers</w:t>
            </w:r>
          </w:p>
        </w:tc>
      </w:tr>
    </w:tbl>
    <w:p w14:paraId="0764152D" w14:textId="77777777" w:rsidR="00577719" w:rsidRDefault="5C98ECA8" w:rsidP="00577719">
      <w:pPr>
        <w:tabs>
          <w:tab w:val="left" w:pos="2385"/>
        </w:tabs>
        <w:rPr>
          <w:sz w:val="18"/>
          <w:szCs w:val="18"/>
        </w:rPr>
        <w:sectPr w:rsidR="00577719" w:rsidSect="00577719">
          <w:pgSz w:w="16838" w:h="11906" w:orient="landscape"/>
          <w:pgMar w:top="1134" w:right="1134" w:bottom="1134" w:left="1134" w:header="709" w:footer="709" w:gutter="0"/>
          <w:cols w:space="708"/>
          <w:docGrid w:linePitch="360"/>
        </w:sectPr>
      </w:pPr>
      <w:r w:rsidRPr="6D93242A">
        <w:rPr>
          <w:sz w:val="18"/>
          <w:szCs w:val="18"/>
        </w:rPr>
        <w:t xml:space="preserve">* </w:t>
      </w:r>
      <w:r w:rsidR="00914718" w:rsidRPr="6D93242A">
        <w:rPr>
          <w:sz w:val="18"/>
          <w:szCs w:val="18"/>
        </w:rPr>
        <w:t>While</w:t>
      </w:r>
      <w:r w:rsidR="4483BDDB" w:rsidRPr="6D93242A">
        <w:rPr>
          <w:sz w:val="18"/>
          <w:szCs w:val="18"/>
        </w:rPr>
        <w:t xml:space="preserve"> the Department receives some data </w:t>
      </w:r>
      <w:proofErr w:type="gramStart"/>
      <w:r w:rsidR="4483BDDB" w:rsidRPr="6D93242A">
        <w:rPr>
          <w:sz w:val="18"/>
          <w:szCs w:val="18"/>
        </w:rPr>
        <w:t>on a daily basis</w:t>
      </w:r>
      <w:proofErr w:type="gramEnd"/>
      <w:r w:rsidR="4483BDDB" w:rsidRPr="6D93242A">
        <w:rPr>
          <w:sz w:val="18"/>
          <w:szCs w:val="18"/>
        </w:rPr>
        <w:t>, it may only become available for reporting or potential reuse at longer intervals, such as on a biweekly basis</w:t>
      </w:r>
    </w:p>
    <w:p w14:paraId="702F804F" w14:textId="2AFE275E" w:rsidR="009F3B4F" w:rsidRDefault="009F3B4F" w:rsidP="00F37F95">
      <w:pPr>
        <w:pStyle w:val="Heading1"/>
      </w:pPr>
      <w:r>
        <w:t xml:space="preserve">Appendix </w:t>
      </w:r>
      <w:r w:rsidR="00D0733B">
        <w:t>4</w:t>
      </w:r>
      <w:r>
        <w:t>: Data standards and examples</w:t>
      </w:r>
    </w:p>
    <w:p w14:paraId="695A393B" w14:textId="6D4A97A0" w:rsidR="009F3B4F" w:rsidRPr="00AB5CE1" w:rsidRDefault="009F3B4F" w:rsidP="009F3B4F">
      <w:pPr>
        <w:pStyle w:val="Caption"/>
      </w:pPr>
      <w:r>
        <w:t xml:space="preserve">Table </w:t>
      </w:r>
      <w:r w:rsidR="00AF7D05">
        <w:t>3</w:t>
      </w:r>
      <w:r>
        <w:t>.  Data standards, usage and examples</w:t>
      </w:r>
    </w:p>
    <w:tbl>
      <w:tblPr>
        <w:tblW w:w="9498" w:type="dxa"/>
        <w:tblBorders>
          <w:bottom w:val="single" w:sz="4" w:space="0" w:color="212492" w:themeColor="accent1"/>
          <w:insideH w:val="single" w:sz="4" w:space="0" w:color="212492" w:themeColor="accent1"/>
        </w:tblBorders>
        <w:tblCellMar>
          <w:top w:w="15" w:type="dxa"/>
          <w:left w:w="15" w:type="dxa"/>
          <w:bottom w:w="15" w:type="dxa"/>
          <w:right w:w="15" w:type="dxa"/>
        </w:tblCellMar>
        <w:tblLook w:val="04A0" w:firstRow="1" w:lastRow="0" w:firstColumn="1" w:lastColumn="0" w:noHBand="0" w:noVBand="1"/>
        <w:tblCaption w:val="Data Standards and examples"/>
        <w:tblDescription w:val="This table divides data standards into the following categories: content standards, code systems, information standards, data exchange standards, and privacy and security standards"/>
      </w:tblPr>
      <w:tblGrid>
        <w:gridCol w:w="1134"/>
        <w:gridCol w:w="1328"/>
        <w:gridCol w:w="3634"/>
        <w:gridCol w:w="3402"/>
      </w:tblGrid>
      <w:tr w:rsidR="009F3B4F" w:rsidRPr="00701FCD" w14:paraId="6A84D430" w14:textId="77777777">
        <w:trPr>
          <w:tblHeader/>
        </w:trPr>
        <w:tc>
          <w:tcPr>
            <w:tcW w:w="1134" w:type="dxa"/>
            <w:shd w:val="clear" w:color="auto" w:fill="212492" w:themeFill="accent1"/>
            <w:vAlign w:val="bottom"/>
            <w:hideMark/>
          </w:tcPr>
          <w:p w14:paraId="455277CE" w14:textId="77777777" w:rsidR="009F3B4F" w:rsidRPr="00701FCD" w:rsidRDefault="009F3B4F">
            <w:pPr>
              <w:rPr>
                <w:sz w:val="18"/>
                <w:szCs w:val="22"/>
              </w:rPr>
            </w:pPr>
            <w:r w:rsidRPr="00701FCD">
              <w:rPr>
                <w:sz w:val="18"/>
                <w:szCs w:val="22"/>
              </w:rPr>
              <w:t>Type</w:t>
            </w:r>
          </w:p>
        </w:tc>
        <w:tc>
          <w:tcPr>
            <w:tcW w:w="1328" w:type="dxa"/>
            <w:shd w:val="clear" w:color="auto" w:fill="212492" w:themeFill="accent1"/>
            <w:vAlign w:val="bottom"/>
            <w:hideMark/>
          </w:tcPr>
          <w:p w14:paraId="07CAFED8" w14:textId="77777777" w:rsidR="009F3B4F" w:rsidRPr="00701FCD" w:rsidRDefault="009F3B4F">
            <w:pPr>
              <w:rPr>
                <w:sz w:val="18"/>
                <w:szCs w:val="22"/>
              </w:rPr>
            </w:pPr>
            <w:r w:rsidRPr="00701FCD">
              <w:rPr>
                <w:sz w:val="18"/>
                <w:szCs w:val="22"/>
              </w:rPr>
              <w:t>Use</w:t>
            </w:r>
          </w:p>
        </w:tc>
        <w:tc>
          <w:tcPr>
            <w:tcW w:w="3634" w:type="dxa"/>
            <w:shd w:val="clear" w:color="auto" w:fill="212492" w:themeFill="accent1"/>
            <w:vAlign w:val="bottom"/>
            <w:hideMark/>
          </w:tcPr>
          <w:p w14:paraId="119F5241" w14:textId="77777777" w:rsidR="009F3B4F" w:rsidRPr="00701FCD" w:rsidRDefault="009F3B4F">
            <w:pPr>
              <w:ind w:right="123"/>
              <w:rPr>
                <w:sz w:val="18"/>
                <w:szCs w:val="22"/>
              </w:rPr>
            </w:pPr>
            <w:r w:rsidRPr="00701FCD">
              <w:rPr>
                <w:sz w:val="18"/>
                <w:szCs w:val="22"/>
              </w:rPr>
              <w:t>Details</w:t>
            </w:r>
          </w:p>
        </w:tc>
        <w:tc>
          <w:tcPr>
            <w:tcW w:w="3402" w:type="dxa"/>
            <w:shd w:val="clear" w:color="auto" w:fill="212492" w:themeFill="accent1"/>
            <w:vAlign w:val="bottom"/>
            <w:hideMark/>
          </w:tcPr>
          <w:p w14:paraId="28233A6B" w14:textId="77777777" w:rsidR="009F3B4F" w:rsidRPr="00701FCD" w:rsidRDefault="009F3B4F">
            <w:pPr>
              <w:rPr>
                <w:sz w:val="18"/>
                <w:szCs w:val="22"/>
              </w:rPr>
            </w:pPr>
            <w:r w:rsidRPr="00701FCD">
              <w:rPr>
                <w:sz w:val="18"/>
                <w:szCs w:val="22"/>
              </w:rPr>
              <w:t>Examples</w:t>
            </w:r>
          </w:p>
        </w:tc>
      </w:tr>
      <w:tr w:rsidR="009F3B4F" w:rsidRPr="00701FCD" w14:paraId="70A81295" w14:textId="77777777">
        <w:tc>
          <w:tcPr>
            <w:tcW w:w="1134" w:type="dxa"/>
            <w:hideMark/>
          </w:tcPr>
          <w:p w14:paraId="04CD33EC" w14:textId="77777777" w:rsidR="009F3B4F" w:rsidRPr="00575731" w:rsidRDefault="009F3B4F">
            <w:pPr>
              <w:rPr>
                <w:color w:val="212492" w:themeColor="accent1"/>
                <w:sz w:val="18"/>
                <w:szCs w:val="22"/>
              </w:rPr>
            </w:pPr>
            <w:r w:rsidRPr="00575731">
              <w:rPr>
                <w:color w:val="212492" w:themeColor="accent1"/>
                <w:sz w:val="18"/>
                <w:szCs w:val="22"/>
              </w:rPr>
              <w:t>Content standards</w:t>
            </w:r>
          </w:p>
        </w:tc>
        <w:tc>
          <w:tcPr>
            <w:tcW w:w="1328" w:type="dxa"/>
            <w:hideMark/>
          </w:tcPr>
          <w:p w14:paraId="4F4D8939" w14:textId="77777777" w:rsidR="009F3B4F" w:rsidRPr="00701FCD" w:rsidRDefault="009F3B4F">
            <w:pPr>
              <w:rPr>
                <w:sz w:val="18"/>
                <w:szCs w:val="22"/>
              </w:rPr>
            </w:pPr>
            <w:r w:rsidRPr="00701FCD">
              <w:rPr>
                <w:sz w:val="18"/>
                <w:szCs w:val="22"/>
              </w:rPr>
              <w:t>Data creation</w:t>
            </w:r>
          </w:p>
        </w:tc>
        <w:tc>
          <w:tcPr>
            <w:tcW w:w="3634" w:type="dxa"/>
            <w:hideMark/>
          </w:tcPr>
          <w:p w14:paraId="141454C9" w14:textId="77777777" w:rsidR="008D6FD4" w:rsidRDefault="009F3B4F">
            <w:pPr>
              <w:ind w:right="123"/>
              <w:rPr>
                <w:sz w:val="18"/>
                <w:szCs w:val="22"/>
              </w:rPr>
            </w:pPr>
            <w:r w:rsidRPr="00701FCD">
              <w:rPr>
                <w:sz w:val="18"/>
                <w:szCs w:val="22"/>
              </w:rPr>
              <w:t>Set out an agreed-upon and documented way of defining a health-related concept. They should contain precise information about how to collect data elements such that they are computable, replicable, reusable and interoperable.</w:t>
            </w:r>
          </w:p>
          <w:p w14:paraId="6C963B27" w14:textId="0AEBD342" w:rsidR="009F3B4F" w:rsidRPr="00701FCD" w:rsidRDefault="009F3B4F">
            <w:pPr>
              <w:ind w:right="123"/>
              <w:rPr>
                <w:sz w:val="18"/>
                <w:szCs w:val="22"/>
              </w:rPr>
            </w:pPr>
            <w:r w:rsidRPr="00701FCD">
              <w:rPr>
                <w:sz w:val="18"/>
                <w:szCs w:val="22"/>
              </w:rPr>
              <w:t>Content standards are foundational to the health data system. They must be applied to allow for the creation of usable data, or none of the uses and actions below are possible. </w:t>
            </w:r>
          </w:p>
        </w:tc>
        <w:tc>
          <w:tcPr>
            <w:tcW w:w="3402" w:type="dxa"/>
            <w:hideMark/>
          </w:tcPr>
          <w:p w14:paraId="5A683323" w14:textId="77777777" w:rsidR="009F3B4F" w:rsidRPr="00701FCD" w:rsidRDefault="009F3B4F">
            <w:pPr>
              <w:rPr>
                <w:sz w:val="18"/>
                <w:szCs w:val="22"/>
              </w:rPr>
            </w:pPr>
            <w:r w:rsidRPr="00701FCD">
              <w:rPr>
                <w:sz w:val="18"/>
                <w:szCs w:val="22"/>
              </w:rPr>
              <w:t>Clinical care and administrative data (e.g. admission date, diagnosis, workload)</w:t>
            </w:r>
            <w:r>
              <w:rPr>
                <w:sz w:val="18"/>
                <w:szCs w:val="22"/>
              </w:rPr>
              <w:t>.</w:t>
            </w:r>
          </w:p>
          <w:p w14:paraId="6A7EBC2D" w14:textId="77777777" w:rsidR="009F3B4F" w:rsidRPr="00701FCD" w:rsidRDefault="009F3B4F">
            <w:pPr>
              <w:rPr>
                <w:sz w:val="18"/>
                <w:szCs w:val="22"/>
              </w:rPr>
            </w:pPr>
            <w:r w:rsidRPr="00701FCD">
              <w:rPr>
                <w:sz w:val="18"/>
                <w:szCs w:val="22"/>
              </w:rPr>
              <w:t>Population data for socio-demographic indicators (e.g. sex, gender)</w:t>
            </w:r>
            <w:r>
              <w:rPr>
                <w:sz w:val="18"/>
                <w:szCs w:val="22"/>
              </w:rPr>
              <w:t>.</w:t>
            </w:r>
          </w:p>
          <w:p w14:paraId="1B05EADC" w14:textId="77777777" w:rsidR="009F3B4F" w:rsidRPr="00701FCD" w:rsidRDefault="009F3B4F">
            <w:pPr>
              <w:rPr>
                <w:sz w:val="18"/>
                <w:szCs w:val="22"/>
              </w:rPr>
            </w:pPr>
            <w:r w:rsidRPr="00701FCD">
              <w:rPr>
                <w:sz w:val="18"/>
                <w:szCs w:val="22"/>
              </w:rPr>
              <w:t>Population health (e.g. self-perceived health status, access to care)</w:t>
            </w:r>
            <w:r>
              <w:rPr>
                <w:sz w:val="18"/>
                <w:szCs w:val="22"/>
              </w:rPr>
              <w:t>.</w:t>
            </w:r>
          </w:p>
          <w:p w14:paraId="4D0FAB99" w14:textId="77777777" w:rsidR="009F3B4F" w:rsidRPr="00701FCD" w:rsidRDefault="009F3B4F">
            <w:pPr>
              <w:rPr>
                <w:sz w:val="18"/>
                <w:szCs w:val="22"/>
              </w:rPr>
            </w:pPr>
            <w:r w:rsidRPr="00701FCD">
              <w:rPr>
                <w:sz w:val="18"/>
                <w:szCs w:val="22"/>
              </w:rPr>
              <w:t>Determinants of health (e.g. income, housing)</w:t>
            </w:r>
            <w:r>
              <w:rPr>
                <w:sz w:val="18"/>
                <w:szCs w:val="22"/>
              </w:rPr>
              <w:t>.</w:t>
            </w:r>
          </w:p>
          <w:p w14:paraId="6D36F6D4" w14:textId="77777777" w:rsidR="009F3B4F" w:rsidRPr="00701FCD" w:rsidRDefault="009F3B4F">
            <w:pPr>
              <w:rPr>
                <w:sz w:val="18"/>
                <w:szCs w:val="22"/>
              </w:rPr>
            </w:pPr>
            <w:r w:rsidRPr="00701FCD">
              <w:rPr>
                <w:sz w:val="18"/>
                <w:szCs w:val="22"/>
              </w:rPr>
              <w:t>Data quality</w:t>
            </w:r>
            <w:r>
              <w:rPr>
                <w:sz w:val="18"/>
                <w:szCs w:val="22"/>
              </w:rPr>
              <w:t>.</w:t>
            </w:r>
          </w:p>
        </w:tc>
      </w:tr>
      <w:tr w:rsidR="009F3B4F" w:rsidRPr="00701FCD" w14:paraId="411D3EA7" w14:textId="77777777">
        <w:tc>
          <w:tcPr>
            <w:tcW w:w="1134" w:type="dxa"/>
            <w:hideMark/>
          </w:tcPr>
          <w:p w14:paraId="7ADDC9CC" w14:textId="77777777" w:rsidR="009F3B4F" w:rsidRPr="00575731" w:rsidRDefault="009F3B4F">
            <w:pPr>
              <w:rPr>
                <w:color w:val="212492" w:themeColor="accent1"/>
                <w:sz w:val="18"/>
                <w:szCs w:val="22"/>
              </w:rPr>
            </w:pPr>
            <w:r w:rsidRPr="00575731">
              <w:rPr>
                <w:color w:val="212492" w:themeColor="accent1"/>
                <w:sz w:val="18"/>
                <w:szCs w:val="22"/>
              </w:rPr>
              <w:t>Code systems</w:t>
            </w:r>
          </w:p>
        </w:tc>
        <w:tc>
          <w:tcPr>
            <w:tcW w:w="1328" w:type="dxa"/>
            <w:hideMark/>
          </w:tcPr>
          <w:p w14:paraId="29939810" w14:textId="77777777" w:rsidR="009F3B4F" w:rsidRPr="00701FCD" w:rsidRDefault="009F3B4F">
            <w:pPr>
              <w:rPr>
                <w:sz w:val="18"/>
                <w:szCs w:val="22"/>
              </w:rPr>
            </w:pPr>
            <w:r w:rsidRPr="00701FCD">
              <w:rPr>
                <w:sz w:val="18"/>
                <w:szCs w:val="22"/>
              </w:rPr>
              <w:t>Data formatting</w:t>
            </w:r>
          </w:p>
        </w:tc>
        <w:tc>
          <w:tcPr>
            <w:tcW w:w="3634" w:type="dxa"/>
            <w:hideMark/>
          </w:tcPr>
          <w:p w14:paraId="1E3D6885" w14:textId="585C22A6" w:rsidR="009F3B4F" w:rsidRPr="00701FCD" w:rsidRDefault="009F3B4F">
            <w:pPr>
              <w:ind w:right="123"/>
              <w:rPr>
                <w:sz w:val="18"/>
                <w:szCs w:val="22"/>
              </w:rPr>
            </w:pPr>
            <w:r w:rsidRPr="00701FCD">
              <w:rPr>
                <w:sz w:val="18"/>
                <w:szCs w:val="22"/>
              </w:rPr>
              <w:t xml:space="preserve">Represent related concepts; the code sets and/or formats </w:t>
            </w:r>
            <w:r w:rsidR="000E497D">
              <w:rPr>
                <w:sz w:val="18"/>
                <w:szCs w:val="22"/>
              </w:rPr>
              <w:t xml:space="preserve">to which </w:t>
            </w:r>
            <w:r w:rsidRPr="00701FCD">
              <w:rPr>
                <w:sz w:val="18"/>
                <w:szCs w:val="22"/>
              </w:rPr>
              <w:t>the data must adhere</w:t>
            </w:r>
            <w:r>
              <w:rPr>
                <w:sz w:val="18"/>
                <w:szCs w:val="22"/>
              </w:rPr>
              <w:t>.</w:t>
            </w:r>
          </w:p>
        </w:tc>
        <w:tc>
          <w:tcPr>
            <w:tcW w:w="3402" w:type="dxa"/>
            <w:hideMark/>
          </w:tcPr>
          <w:p w14:paraId="34DF6D77" w14:textId="77777777" w:rsidR="009F3B4F" w:rsidRPr="00701FCD" w:rsidRDefault="009F3B4F">
            <w:pPr>
              <w:rPr>
                <w:sz w:val="18"/>
                <w:szCs w:val="22"/>
              </w:rPr>
            </w:pPr>
            <w:r w:rsidRPr="00701FCD">
              <w:rPr>
                <w:sz w:val="18"/>
                <w:szCs w:val="22"/>
              </w:rPr>
              <w:t>Classification systems, clinical reference terminologies and value sets</w:t>
            </w:r>
            <w:r>
              <w:rPr>
                <w:sz w:val="18"/>
                <w:szCs w:val="22"/>
              </w:rPr>
              <w:t xml:space="preserve"> </w:t>
            </w:r>
            <w:r>
              <w:rPr>
                <w:sz w:val="18"/>
                <w:szCs w:val="22"/>
              </w:rPr>
              <w:br/>
              <w:t xml:space="preserve">(e.g. </w:t>
            </w:r>
            <w:r w:rsidRPr="00701FCD">
              <w:rPr>
                <w:sz w:val="18"/>
                <w:szCs w:val="22"/>
              </w:rPr>
              <w:t>ICD-10-CA, CCI, SNOMED CT, Health Utilities Index Mark 3 (HUI3), Low Income Measure (LIM) Thresholds</w:t>
            </w:r>
            <w:r>
              <w:rPr>
                <w:sz w:val="18"/>
                <w:szCs w:val="22"/>
              </w:rPr>
              <w:t>).</w:t>
            </w:r>
          </w:p>
          <w:p w14:paraId="7A773C14" w14:textId="77777777" w:rsidR="009F3B4F" w:rsidRPr="00701FCD" w:rsidRDefault="009F3B4F">
            <w:pPr>
              <w:rPr>
                <w:sz w:val="18"/>
                <w:szCs w:val="22"/>
              </w:rPr>
            </w:pPr>
            <w:r w:rsidRPr="00701FCD">
              <w:rPr>
                <w:sz w:val="18"/>
                <w:szCs w:val="22"/>
              </w:rPr>
              <w:t>Clinical documentation standards</w:t>
            </w:r>
            <w:r>
              <w:rPr>
                <w:sz w:val="18"/>
                <w:szCs w:val="22"/>
              </w:rPr>
              <w:t>.</w:t>
            </w:r>
          </w:p>
          <w:p w14:paraId="4B48C0E7" w14:textId="77777777" w:rsidR="009F3B4F" w:rsidRPr="00701FCD" w:rsidRDefault="009F3B4F">
            <w:pPr>
              <w:rPr>
                <w:sz w:val="18"/>
                <w:szCs w:val="22"/>
              </w:rPr>
            </w:pPr>
            <w:r w:rsidRPr="00701FCD">
              <w:rPr>
                <w:sz w:val="18"/>
                <w:szCs w:val="22"/>
              </w:rPr>
              <w:t>International standards (e.g. DSM-5, Dietary Reference Intakes)</w:t>
            </w:r>
            <w:r>
              <w:rPr>
                <w:sz w:val="18"/>
                <w:szCs w:val="22"/>
              </w:rPr>
              <w:t>.</w:t>
            </w:r>
          </w:p>
        </w:tc>
      </w:tr>
      <w:tr w:rsidR="009F3B4F" w:rsidRPr="00701FCD" w14:paraId="223282FD" w14:textId="77777777">
        <w:tc>
          <w:tcPr>
            <w:tcW w:w="1134" w:type="dxa"/>
            <w:hideMark/>
          </w:tcPr>
          <w:p w14:paraId="19F95341" w14:textId="77777777" w:rsidR="009F3B4F" w:rsidRPr="00284C21" w:rsidRDefault="009F3B4F">
            <w:pPr>
              <w:rPr>
                <w:color w:val="212492" w:themeColor="accent1"/>
                <w:sz w:val="18"/>
                <w:szCs w:val="22"/>
              </w:rPr>
            </w:pPr>
            <w:r w:rsidRPr="00284C21">
              <w:rPr>
                <w:color w:val="212492" w:themeColor="accent1"/>
                <w:sz w:val="18"/>
                <w:szCs w:val="22"/>
              </w:rPr>
              <w:t>Information standards</w:t>
            </w:r>
          </w:p>
        </w:tc>
        <w:tc>
          <w:tcPr>
            <w:tcW w:w="1328" w:type="dxa"/>
            <w:hideMark/>
          </w:tcPr>
          <w:p w14:paraId="0CFB9C23" w14:textId="77777777" w:rsidR="009F3B4F" w:rsidRPr="00701FCD" w:rsidRDefault="009F3B4F">
            <w:pPr>
              <w:rPr>
                <w:sz w:val="18"/>
                <w:szCs w:val="22"/>
              </w:rPr>
            </w:pPr>
            <w:r w:rsidRPr="00701FCD">
              <w:rPr>
                <w:sz w:val="18"/>
                <w:szCs w:val="22"/>
              </w:rPr>
              <w:t>Data analysis</w:t>
            </w:r>
          </w:p>
        </w:tc>
        <w:tc>
          <w:tcPr>
            <w:tcW w:w="3634" w:type="dxa"/>
            <w:hideMark/>
          </w:tcPr>
          <w:p w14:paraId="2BA1B50C" w14:textId="77777777" w:rsidR="009F3B4F" w:rsidRPr="00701FCD" w:rsidRDefault="009F3B4F">
            <w:pPr>
              <w:ind w:right="123"/>
              <w:rPr>
                <w:sz w:val="18"/>
                <w:szCs w:val="22"/>
              </w:rPr>
            </w:pPr>
            <w:r w:rsidRPr="00701FCD">
              <w:rPr>
                <w:sz w:val="18"/>
                <w:szCs w:val="22"/>
              </w:rPr>
              <w:t>Turn data into the information that the health system requires (standards for indicators, methodologies for reporting purposes)</w:t>
            </w:r>
            <w:r>
              <w:rPr>
                <w:sz w:val="18"/>
                <w:szCs w:val="22"/>
              </w:rPr>
              <w:t>.</w:t>
            </w:r>
          </w:p>
        </w:tc>
        <w:tc>
          <w:tcPr>
            <w:tcW w:w="3402" w:type="dxa"/>
            <w:hideMark/>
          </w:tcPr>
          <w:p w14:paraId="75AB4806" w14:textId="77777777" w:rsidR="009F3B4F" w:rsidRPr="00701FCD" w:rsidRDefault="009F3B4F">
            <w:pPr>
              <w:rPr>
                <w:sz w:val="18"/>
                <w:szCs w:val="22"/>
              </w:rPr>
            </w:pPr>
            <w:r w:rsidRPr="00701FCD">
              <w:rPr>
                <w:sz w:val="18"/>
                <w:szCs w:val="22"/>
              </w:rPr>
              <w:t>Quality, safety and access</w:t>
            </w:r>
            <w:r>
              <w:rPr>
                <w:sz w:val="18"/>
                <w:szCs w:val="22"/>
              </w:rPr>
              <w:t>.</w:t>
            </w:r>
          </w:p>
          <w:p w14:paraId="46F71700" w14:textId="77777777" w:rsidR="009F3B4F" w:rsidRPr="00701FCD" w:rsidRDefault="009F3B4F">
            <w:pPr>
              <w:rPr>
                <w:sz w:val="18"/>
                <w:szCs w:val="22"/>
              </w:rPr>
            </w:pPr>
            <w:r w:rsidRPr="00701FCD">
              <w:rPr>
                <w:sz w:val="18"/>
                <w:szCs w:val="22"/>
              </w:rPr>
              <w:t>Population health and patient experiences</w:t>
            </w:r>
            <w:r>
              <w:rPr>
                <w:sz w:val="18"/>
                <w:szCs w:val="22"/>
              </w:rPr>
              <w:t>.</w:t>
            </w:r>
          </w:p>
          <w:p w14:paraId="103A288E" w14:textId="77777777" w:rsidR="009F3B4F" w:rsidRPr="00701FCD" w:rsidRDefault="009F3B4F">
            <w:pPr>
              <w:rPr>
                <w:sz w:val="18"/>
                <w:szCs w:val="22"/>
              </w:rPr>
            </w:pPr>
            <w:r w:rsidRPr="00701FCD">
              <w:rPr>
                <w:sz w:val="18"/>
                <w:szCs w:val="22"/>
              </w:rPr>
              <w:t>Case-mix grouping methodologies</w:t>
            </w:r>
            <w:r>
              <w:rPr>
                <w:sz w:val="18"/>
                <w:szCs w:val="22"/>
              </w:rPr>
              <w:t>.</w:t>
            </w:r>
          </w:p>
        </w:tc>
      </w:tr>
      <w:tr w:rsidR="009F3B4F" w:rsidRPr="00701FCD" w14:paraId="0B7730CC" w14:textId="77777777">
        <w:tc>
          <w:tcPr>
            <w:tcW w:w="1134" w:type="dxa"/>
            <w:hideMark/>
          </w:tcPr>
          <w:p w14:paraId="06D7EE9E" w14:textId="77777777" w:rsidR="009F3B4F" w:rsidRPr="00284C21" w:rsidRDefault="009F3B4F">
            <w:pPr>
              <w:rPr>
                <w:color w:val="212492" w:themeColor="accent1"/>
                <w:sz w:val="18"/>
                <w:szCs w:val="22"/>
              </w:rPr>
            </w:pPr>
            <w:r w:rsidRPr="00284C21">
              <w:rPr>
                <w:color w:val="212492" w:themeColor="accent1"/>
                <w:sz w:val="18"/>
                <w:szCs w:val="22"/>
              </w:rPr>
              <w:t>Data exchange standards</w:t>
            </w:r>
          </w:p>
        </w:tc>
        <w:tc>
          <w:tcPr>
            <w:tcW w:w="1328" w:type="dxa"/>
            <w:hideMark/>
          </w:tcPr>
          <w:p w14:paraId="24E9DA8C" w14:textId="77777777" w:rsidR="009F3B4F" w:rsidRPr="00701FCD" w:rsidRDefault="009F3B4F">
            <w:pPr>
              <w:rPr>
                <w:sz w:val="18"/>
                <w:szCs w:val="22"/>
              </w:rPr>
            </w:pPr>
            <w:r w:rsidRPr="00701FCD">
              <w:rPr>
                <w:sz w:val="18"/>
                <w:szCs w:val="22"/>
              </w:rPr>
              <w:t>Data flow</w:t>
            </w:r>
          </w:p>
        </w:tc>
        <w:tc>
          <w:tcPr>
            <w:tcW w:w="3634" w:type="dxa"/>
            <w:hideMark/>
          </w:tcPr>
          <w:p w14:paraId="3A71FAB6" w14:textId="77777777" w:rsidR="009F3B4F" w:rsidRPr="00701FCD" w:rsidRDefault="009F3B4F">
            <w:pPr>
              <w:ind w:right="123"/>
              <w:rPr>
                <w:sz w:val="18"/>
                <w:szCs w:val="22"/>
              </w:rPr>
            </w:pPr>
            <w:r w:rsidRPr="00701FCD">
              <w:rPr>
                <w:sz w:val="18"/>
                <w:szCs w:val="22"/>
              </w:rPr>
              <w:t>Allow information to be submitted and transmitted, and to move seamlessly between systems and devices</w:t>
            </w:r>
            <w:r>
              <w:rPr>
                <w:sz w:val="18"/>
                <w:szCs w:val="22"/>
              </w:rPr>
              <w:t>.</w:t>
            </w:r>
          </w:p>
        </w:tc>
        <w:tc>
          <w:tcPr>
            <w:tcW w:w="3402" w:type="dxa"/>
            <w:hideMark/>
          </w:tcPr>
          <w:p w14:paraId="41ABE764" w14:textId="77777777" w:rsidR="009F3B4F" w:rsidRPr="00701FCD" w:rsidRDefault="009F3B4F">
            <w:pPr>
              <w:rPr>
                <w:sz w:val="18"/>
                <w:szCs w:val="22"/>
              </w:rPr>
            </w:pPr>
            <w:r w:rsidRPr="00701FCD">
              <w:rPr>
                <w:sz w:val="18"/>
                <w:szCs w:val="22"/>
              </w:rPr>
              <w:t>HL7</w:t>
            </w:r>
            <w:r>
              <w:rPr>
                <w:sz w:val="18"/>
                <w:szCs w:val="22"/>
              </w:rPr>
              <w:t>.</w:t>
            </w:r>
            <w:r w:rsidRPr="00701FCD">
              <w:rPr>
                <w:sz w:val="18"/>
                <w:szCs w:val="22"/>
              </w:rPr>
              <w:t xml:space="preserve"> </w:t>
            </w:r>
          </w:p>
          <w:p w14:paraId="7AD8C7E8" w14:textId="77777777" w:rsidR="009F3B4F" w:rsidRPr="00701FCD" w:rsidRDefault="009F3B4F">
            <w:pPr>
              <w:rPr>
                <w:sz w:val="18"/>
                <w:szCs w:val="22"/>
              </w:rPr>
            </w:pPr>
            <w:r w:rsidRPr="00701FCD">
              <w:rPr>
                <w:sz w:val="18"/>
                <w:szCs w:val="22"/>
              </w:rPr>
              <w:t>FHIR</w:t>
            </w:r>
            <w:r>
              <w:rPr>
                <w:sz w:val="18"/>
                <w:szCs w:val="22"/>
              </w:rPr>
              <w:t>.</w:t>
            </w:r>
          </w:p>
          <w:p w14:paraId="697A14A7" w14:textId="77777777" w:rsidR="009F3B4F" w:rsidRPr="00701FCD" w:rsidRDefault="009F3B4F">
            <w:pPr>
              <w:rPr>
                <w:sz w:val="18"/>
                <w:szCs w:val="22"/>
              </w:rPr>
            </w:pPr>
            <w:r w:rsidRPr="00701FCD">
              <w:rPr>
                <w:sz w:val="18"/>
                <w:szCs w:val="22"/>
              </w:rPr>
              <w:t>DDI, SDMX, JSON, xml</w:t>
            </w:r>
            <w:r>
              <w:rPr>
                <w:sz w:val="18"/>
                <w:szCs w:val="22"/>
              </w:rPr>
              <w:t>.</w:t>
            </w:r>
          </w:p>
        </w:tc>
      </w:tr>
      <w:tr w:rsidR="009F3B4F" w:rsidRPr="00701FCD" w14:paraId="0440A27B" w14:textId="77777777">
        <w:tc>
          <w:tcPr>
            <w:tcW w:w="1134" w:type="dxa"/>
            <w:hideMark/>
          </w:tcPr>
          <w:p w14:paraId="7697CBB0" w14:textId="77777777" w:rsidR="009F3B4F" w:rsidRPr="00284C21" w:rsidRDefault="009F3B4F">
            <w:pPr>
              <w:rPr>
                <w:color w:val="212492" w:themeColor="accent1"/>
                <w:sz w:val="18"/>
                <w:szCs w:val="22"/>
              </w:rPr>
            </w:pPr>
            <w:r w:rsidRPr="00284C21">
              <w:rPr>
                <w:color w:val="212492" w:themeColor="accent1"/>
                <w:sz w:val="18"/>
                <w:szCs w:val="22"/>
              </w:rPr>
              <w:t>Privacy and</w:t>
            </w:r>
            <w:r w:rsidRPr="00284C21">
              <w:rPr>
                <w:color w:val="212492" w:themeColor="accent1"/>
                <w:sz w:val="18"/>
                <w:szCs w:val="22"/>
              </w:rPr>
              <w:br/>
              <w:t>security standards</w:t>
            </w:r>
          </w:p>
        </w:tc>
        <w:tc>
          <w:tcPr>
            <w:tcW w:w="1328" w:type="dxa"/>
            <w:hideMark/>
          </w:tcPr>
          <w:p w14:paraId="386E0704" w14:textId="77777777" w:rsidR="009F3B4F" w:rsidRPr="00701FCD" w:rsidRDefault="009F3B4F">
            <w:pPr>
              <w:rPr>
                <w:sz w:val="18"/>
                <w:szCs w:val="22"/>
              </w:rPr>
            </w:pPr>
            <w:r w:rsidRPr="00701FCD">
              <w:rPr>
                <w:sz w:val="18"/>
                <w:szCs w:val="22"/>
              </w:rPr>
              <w:t>Data protection</w:t>
            </w:r>
          </w:p>
        </w:tc>
        <w:tc>
          <w:tcPr>
            <w:tcW w:w="3634" w:type="dxa"/>
            <w:hideMark/>
          </w:tcPr>
          <w:p w14:paraId="700FE377" w14:textId="77777777" w:rsidR="009F3B4F" w:rsidRPr="00701FCD" w:rsidRDefault="009F3B4F">
            <w:pPr>
              <w:ind w:right="123"/>
              <w:rPr>
                <w:sz w:val="18"/>
                <w:szCs w:val="22"/>
              </w:rPr>
            </w:pPr>
            <w:r w:rsidRPr="00701FCD">
              <w:rPr>
                <w:sz w:val="18"/>
                <w:szCs w:val="22"/>
              </w:rPr>
              <w:t>Protect the collection, use, disclosure and retention of personal information and de-identified data</w:t>
            </w:r>
            <w:r>
              <w:rPr>
                <w:sz w:val="18"/>
                <w:szCs w:val="22"/>
              </w:rPr>
              <w:t>.</w:t>
            </w:r>
          </w:p>
        </w:tc>
        <w:tc>
          <w:tcPr>
            <w:tcW w:w="3402" w:type="dxa"/>
            <w:hideMark/>
          </w:tcPr>
          <w:p w14:paraId="2C964338" w14:textId="77777777" w:rsidR="009F3B4F" w:rsidRPr="00701FCD" w:rsidRDefault="009F3B4F">
            <w:pPr>
              <w:rPr>
                <w:sz w:val="18"/>
                <w:szCs w:val="22"/>
              </w:rPr>
            </w:pPr>
            <w:r w:rsidRPr="00701FCD">
              <w:rPr>
                <w:sz w:val="18"/>
                <w:szCs w:val="22"/>
              </w:rPr>
              <w:t>ISO 27001</w:t>
            </w:r>
            <w:r>
              <w:rPr>
                <w:sz w:val="18"/>
                <w:szCs w:val="22"/>
              </w:rPr>
              <w:t>.</w:t>
            </w:r>
          </w:p>
          <w:p w14:paraId="1B9D7FE8" w14:textId="77777777" w:rsidR="009F3B4F" w:rsidRPr="00701FCD" w:rsidRDefault="009F3B4F">
            <w:pPr>
              <w:rPr>
                <w:sz w:val="18"/>
                <w:szCs w:val="22"/>
              </w:rPr>
            </w:pPr>
            <w:r w:rsidRPr="00701FCD">
              <w:rPr>
                <w:sz w:val="18"/>
                <w:szCs w:val="22"/>
              </w:rPr>
              <w:t>IPC/ON Manual for the Review and Approval of Prescribed Entities (PHIPA)</w:t>
            </w:r>
            <w:r>
              <w:rPr>
                <w:sz w:val="18"/>
                <w:szCs w:val="22"/>
              </w:rPr>
              <w:t>.</w:t>
            </w:r>
          </w:p>
        </w:tc>
      </w:tr>
    </w:tbl>
    <w:p w14:paraId="3EA5E8D4" w14:textId="77777777" w:rsidR="009F3B4F" w:rsidRPr="00E7341D" w:rsidRDefault="009F3B4F" w:rsidP="008D6FD4">
      <w:pPr>
        <w:pStyle w:val="FootnoteText"/>
      </w:pPr>
      <w:r w:rsidRPr="00E7341D">
        <w:t>ICD-10-CA = International Classification of Diseases – 10</w:t>
      </w:r>
      <w:r w:rsidRPr="00E7341D">
        <w:rPr>
          <w:vertAlign w:val="superscript"/>
        </w:rPr>
        <w:t>th</w:t>
      </w:r>
      <w:r w:rsidRPr="00E7341D">
        <w:t xml:space="preserve"> edition – Canadian; CCI = ; SNOME</w:t>
      </w:r>
      <w:r>
        <w:t>D</w:t>
      </w:r>
      <w:r w:rsidRPr="00E7341D">
        <w:t xml:space="preserve"> CT = Systematized Nomenclature of Medicine Clinical Terms; </w:t>
      </w:r>
      <w:r w:rsidRPr="000C2F7D">
        <w:t>DSM-5 =</w:t>
      </w:r>
      <w:r w:rsidRPr="00E7341D">
        <w:t xml:space="preserve"> </w:t>
      </w:r>
      <w:r>
        <w:t>Diagnostic and Statistical Manual of Mental Disorders, 5</w:t>
      </w:r>
      <w:r w:rsidRPr="000C2F7D">
        <w:rPr>
          <w:vertAlign w:val="superscript"/>
        </w:rPr>
        <w:t>th</w:t>
      </w:r>
      <w:r>
        <w:t xml:space="preserve"> Edition</w:t>
      </w:r>
      <w:r w:rsidRPr="00E7341D">
        <w:t xml:space="preserve">; HL7 = Health Level Seven; FHIR = Fast Health Fast Healthcare Interoperability Resources; </w:t>
      </w:r>
      <w:r w:rsidRPr="00564060">
        <w:t>DDI</w:t>
      </w:r>
      <w:r w:rsidRPr="00E7341D">
        <w:t xml:space="preserve"> = </w:t>
      </w:r>
      <w:r>
        <w:t>Data Documentation Initiative</w:t>
      </w:r>
      <w:r w:rsidRPr="00E7341D">
        <w:t xml:space="preserve">; </w:t>
      </w:r>
      <w:r w:rsidRPr="00F83541">
        <w:t>SDMX</w:t>
      </w:r>
      <w:r w:rsidRPr="00E7341D">
        <w:t xml:space="preserve"> = </w:t>
      </w:r>
      <w:r w:rsidRPr="00F83541">
        <w:t xml:space="preserve">Statistical Data and Metadata </w:t>
      </w:r>
      <w:proofErr w:type="spellStart"/>
      <w:r w:rsidRPr="00F83541">
        <w:t>eXchange</w:t>
      </w:r>
      <w:proofErr w:type="spellEnd"/>
      <w:r w:rsidRPr="00E7341D">
        <w:t xml:space="preserve">; </w:t>
      </w:r>
      <w:r w:rsidRPr="00043298">
        <w:t>JSON</w:t>
      </w:r>
      <w:r w:rsidRPr="00E7341D">
        <w:t xml:space="preserve"> = </w:t>
      </w:r>
      <w:r>
        <w:t>JavaScript Object Notation</w:t>
      </w:r>
      <w:r w:rsidRPr="00E7341D">
        <w:t xml:space="preserve">; </w:t>
      </w:r>
      <w:r w:rsidRPr="00043298">
        <w:t>xml</w:t>
      </w:r>
      <w:r w:rsidRPr="00E7341D">
        <w:t xml:space="preserve"> =</w:t>
      </w:r>
      <w:r>
        <w:t xml:space="preserve"> extensible markup language</w:t>
      </w:r>
      <w:r w:rsidRPr="00E7341D">
        <w:t xml:space="preserve">; ISO = </w:t>
      </w:r>
      <w:r w:rsidRPr="00560833">
        <w:t>International Organization for Standardization</w:t>
      </w:r>
      <w:r w:rsidRPr="00E7341D">
        <w:t>.</w:t>
      </w:r>
    </w:p>
    <w:sectPr w:rsidR="009F3B4F" w:rsidRPr="00E7341D" w:rsidSect="000E497D">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1902" w14:textId="77777777" w:rsidR="00AB1971" w:rsidRDefault="00AB1971" w:rsidP="00134C5E">
      <w:pPr>
        <w:spacing w:after="0" w:line="240" w:lineRule="auto"/>
      </w:pPr>
      <w:r>
        <w:separator/>
      </w:r>
    </w:p>
  </w:endnote>
  <w:endnote w:type="continuationSeparator" w:id="0">
    <w:p w14:paraId="7B2306C8" w14:textId="77777777" w:rsidR="00AB1971" w:rsidRDefault="00AB1971" w:rsidP="0013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ECD4" w14:textId="28152009" w:rsidR="009F3B4F" w:rsidRDefault="009F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53C3" w14:textId="29077771" w:rsidR="009F3B4F" w:rsidRDefault="00000000">
    <w:pPr>
      <w:pStyle w:val="Footer"/>
      <w:jc w:val="right"/>
    </w:pPr>
    <w:sdt>
      <w:sdtPr>
        <w:id w:val="1554118032"/>
        <w:docPartObj>
          <w:docPartGallery w:val="Page Numbers (Bottom of Page)"/>
          <w:docPartUnique/>
        </w:docPartObj>
      </w:sdtPr>
      <w:sdtEndPr>
        <w:rPr>
          <w:noProof/>
        </w:rPr>
      </w:sdtEndPr>
      <w:sdtContent>
        <w:r w:rsidR="009F3B4F" w:rsidRPr="00A74067">
          <w:fldChar w:fldCharType="begin"/>
        </w:r>
        <w:r w:rsidR="009F3B4F">
          <w:instrText xml:space="preserve"> PAGE   \* MERGEFORMAT </w:instrText>
        </w:r>
        <w:r w:rsidR="009F3B4F" w:rsidRPr="00A74067">
          <w:fldChar w:fldCharType="separate"/>
        </w:r>
        <w:r w:rsidR="009F3B4F" w:rsidRPr="00A74067">
          <w:t>2</w:t>
        </w:r>
        <w:r w:rsidR="009F3B4F" w:rsidRPr="00A7406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1058" w14:textId="0F396645" w:rsidR="009F3B4F" w:rsidRDefault="009F3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E72B" w14:textId="1BE7306C" w:rsidR="00134C5E" w:rsidRDefault="00134C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6B5D" w14:textId="5C3013FC" w:rsidR="00134C5E" w:rsidRDefault="00000000">
    <w:pPr>
      <w:pStyle w:val="Footer"/>
      <w:jc w:val="right"/>
    </w:pPr>
    <w:sdt>
      <w:sdtPr>
        <w:id w:val="-1257815680"/>
        <w:docPartObj>
          <w:docPartGallery w:val="Page Numbers (Bottom of Page)"/>
          <w:docPartUnique/>
        </w:docPartObj>
      </w:sdtPr>
      <w:sdtEndPr>
        <w:rPr>
          <w:noProof/>
        </w:rPr>
      </w:sdtEndPr>
      <w:sdtContent>
        <w:r w:rsidR="00134C5E" w:rsidRPr="00A74067">
          <w:fldChar w:fldCharType="begin"/>
        </w:r>
        <w:r w:rsidR="00134C5E">
          <w:instrText xml:space="preserve"> PAGE   \* MERGEFORMAT </w:instrText>
        </w:r>
        <w:r w:rsidR="00134C5E" w:rsidRPr="00A74067">
          <w:fldChar w:fldCharType="separate"/>
        </w:r>
        <w:r w:rsidR="00134C5E" w:rsidRPr="00A74067">
          <w:t>2</w:t>
        </w:r>
        <w:r w:rsidR="00134C5E" w:rsidRPr="00A74067">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F700" w14:textId="3464D90A" w:rsidR="00134C5E" w:rsidRDefault="0013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F2AC" w14:textId="77777777" w:rsidR="00AB1971" w:rsidRDefault="00AB1971" w:rsidP="00134C5E">
      <w:pPr>
        <w:spacing w:after="0" w:line="240" w:lineRule="auto"/>
      </w:pPr>
      <w:r>
        <w:separator/>
      </w:r>
    </w:p>
  </w:footnote>
  <w:footnote w:type="continuationSeparator" w:id="0">
    <w:p w14:paraId="05581719" w14:textId="77777777" w:rsidR="00AB1971" w:rsidRDefault="00AB1971" w:rsidP="00134C5E">
      <w:pPr>
        <w:spacing w:after="0" w:line="240" w:lineRule="auto"/>
      </w:pPr>
      <w:r>
        <w:continuationSeparator/>
      </w:r>
    </w:p>
  </w:footnote>
  <w:footnote w:id="1">
    <w:p w14:paraId="70845BA9" w14:textId="441FC012" w:rsidR="00194185" w:rsidRDefault="00194185">
      <w:pPr>
        <w:pStyle w:val="FootnoteText"/>
      </w:pPr>
      <w:r>
        <w:rPr>
          <w:rStyle w:val="FootnoteReference"/>
        </w:rPr>
        <w:footnoteRef/>
      </w:r>
      <w:r>
        <w:t xml:space="preserve"> </w:t>
      </w:r>
      <w:hyperlink r:id="rId1" w:history="1">
        <w:r w:rsidRPr="003F51AE">
          <w:rPr>
            <w:rStyle w:val="Hyperlink"/>
          </w:rPr>
          <w:t xml:space="preserve">Aged </w:t>
        </w:r>
        <w:r w:rsidR="00277A8E">
          <w:rPr>
            <w:rStyle w:val="Hyperlink"/>
          </w:rPr>
          <w:t>C</w:t>
        </w:r>
        <w:r w:rsidRPr="003F51AE">
          <w:rPr>
            <w:rStyle w:val="Hyperlink"/>
          </w:rPr>
          <w:t xml:space="preserve">are </w:t>
        </w:r>
        <w:r w:rsidR="00277A8E">
          <w:rPr>
            <w:rStyle w:val="Hyperlink"/>
          </w:rPr>
          <w:t>D</w:t>
        </w:r>
        <w:r w:rsidRPr="003F51AE">
          <w:rPr>
            <w:rStyle w:val="Hyperlink"/>
          </w:rPr>
          <w:t xml:space="preserve">ata and </w:t>
        </w:r>
        <w:r w:rsidR="00277A8E">
          <w:rPr>
            <w:rStyle w:val="Hyperlink"/>
          </w:rPr>
          <w:t>D</w:t>
        </w:r>
        <w:r w:rsidRPr="003F51AE">
          <w:rPr>
            <w:rStyle w:val="Hyperlink"/>
          </w:rPr>
          <w:t xml:space="preserve">igital </w:t>
        </w:r>
        <w:r w:rsidR="00277A8E">
          <w:rPr>
            <w:rStyle w:val="Hyperlink"/>
          </w:rPr>
          <w:t>S</w:t>
        </w:r>
        <w:r w:rsidRPr="003F51AE">
          <w:rPr>
            <w:rStyle w:val="Hyperlink"/>
          </w:rPr>
          <w:t>trateg</w:t>
        </w:r>
        <w:r w:rsidR="003F51AE">
          <w:rPr>
            <w:rStyle w:val="Hyperlink"/>
          </w:rPr>
          <w:t>y 2024-2029</w:t>
        </w:r>
      </w:hyperlink>
    </w:p>
  </w:footnote>
  <w:footnote w:id="2">
    <w:p w14:paraId="50D3A3A1" w14:textId="5CDF9F71" w:rsidR="00F109F3" w:rsidRDefault="00F109F3">
      <w:pPr>
        <w:pStyle w:val="FootnoteText"/>
      </w:pPr>
      <w:r>
        <w:rPr>
          <w:rStyle w:val="FootnoteReference"/>
        </w:rPr>
        <w:footnoteRef/>
      </w:r>
      <w:r>
        <w:t xml:space="preserve"> </w:t>
      </w:r>
      <w:hyperlink r:id="rId2" w:history="1">
        <w:r w:rsidR="00CA6AB2" w:rsidRPr="00CA6AB2">
          <w:rPr>
            <w:rStyle w:val="Hyperlink"/>
          </w:rPr>
          <w:t>The Australian a</w:t>
        </w:r>
        <w:r w:rsidR="008241F7" w:rsidRPr="00CA6AB2">
          <w:rPr>
            <w:rStyle w:val="Hyperlink"/>
          </w:rPr>
          <w:t xml:space="preserve">ged </w:t>
        </w:r>
        <w:r w:rsidR="00CA6AB2" w:rsidRPr="00CA6AB2">
          <w:rPr>
            <w:rStyle w:val="Hyperlink"/>
          </w:rPr>
          <w:t>c</w:t>
        </w:r>
        <w:r w:rsidR="008241F7" w:rsidRPr="00CA6AB2">
          <w:rPr>
            <w:rStyle w:val="Hyperlink"/>
          </w:rPr>
          <w:t xml:space="preserve">are </w:t>
        </w:r>
        <w:r w:rsidR="00CA6AB2" w:rsidRPr="00CA6AB2">
          <w:rPr>
            <w:rStyle w:val="Hyperlink"/>
          </w:rPr>
          <w:t>d</w:t>
        </w:r>
        <w:r w:rsidR="008241F7" w:rsidRPr="00CA6AB2">
          <w:rPr>
            <w:rStyle w:val="Hyperlink"/>
          </w:rPr>
          <w:t xml:space="preserve">ata </w:t>
        </w:r>
        <w:r w:rsidR="00CA6AB2" w:rsidRPr="00CA6AB2">
          <w:rPr>
            <w:rStyle w:val="Hyperlink"/>
          </w:rPr>
          <w:t>l</w:t>
        </w:r>
        <w:r w:rsidR="008241F7" w:rsidRPr="00CA6AB2">
          <w:rPr>
            <w:rStyle w:val="Hyperlink"/>
          </w:rPr>
          <w:t xml:space="preserve">andscape </w:t>
        </w:r>
        <w:r w:rsidR="00CA6AB2" w:rsidRPr="00CA6AB2">
          <w:rPr>
            <w:rStyle w:val="Hyperlink"/>
          </w:rPr>
          <w:t>r</w:t>
        </w:r>
        <w:r w:rsidR="008241F7" w:rsidRPr="00CA6AB2">
          <w:rPr>
            <w:rStyle w:val="Hyperlink"/>
          </w:rPr>
          <w:t>epor</w:t>
        </w:r>
        <w:r w:rsidR="00277A8E">
          <w:rPr>
            <w:rStyle w:val="Hyperlink"/>
          </w:rPr>
          <w:t>t</w:t>
        </w:r>
        <w:r w:rsidR="00ED0467">
          <w:rPr>
            <w:rStyle w:val="Hyperlink"/>
          </w:rPr>
          <w:t>: G</w:t>
        </w:r>
        <w:r w:rsidR="00F16236">
          <w:rPr>
            <w:rStyle w:val="Hyperlink"/>
          </w:rPr>
          <w:t xml:space="preserve">aps, opportunities and future directions </w:t>
        </w:r>
      </w:hyperlink>
    </w:p>
  </w:footnote>
  <w:footnote w:id="3">
    <w:p w14:paraId="7CBC1061" w14:textId="0F5ADA6A" w:rsidR="008241F7" w:rsidRDefault="008241F7">
      <w:pPr>
        <w:pStyle w:val="FootnoteText"/>
      </w:pPr>
      <w:r>
        <w:rPr>
          <w:rStyle w:val="FootnoteReference"/>
        </w:rPr>
        <w:footnoteRef/>
      </w:r>
      <w:r>
        <w:t xml:space="preserve"> </w:t>
      </w:r>
      <w:hyperlink r:id="rId3" w:history="1">
        <w:r w:rsidR="00053C2B">
          <w:rPr>
            <w:rStyle w:val="Hyperlink"/>
          </w:rPr>
          <w:t>Digital Health CRC</w:t>
        </w:r>
        <w:r w:rsidR="00065516">
          <w:rPr>
            <w:rStyle w:val="Hyperlink"/>
          </w:rPr>
          <w:t>:</w:t>
        </w:r>
        <w:r w:rsidR="00053C2B">
          <w:rPr>
            <w:rStyle w:val="Hyperlink"/>
          </w:rPr>
          <w:t xml:space="preserve"> </w:t>
        </w:r>
        <w:r w:rsidR="009B3EDA">
          <w:rPr>
            <w:rStyle w:val="Hyperlink"/>
          </w:rPr>
          <w:t>i</w:t>
        </w:r>
        <w:r w:rsidR="00053C2B">
          <w:rPr>
            <w:rStyle w:val="Hyperlink"/>
          </w:rPr>
          <w:t>nterRAI Implementation F</w:t>
        </w:r>
        <w:r w:rsidR="00F43C6F" w:rsidRPr="0043402B">
          <w:rPr>
            <w:rStyle w:val="Hyperlink"/>
          </w:rPr>
          <w:t>easibilit</w:t>
        </w:r>
        <w:r w:rsidR="003B6BEC">
          <w:rPr>
            <w:rStyle w:val="Hyperlink"/>
          </w:rPr>
          <w:t>y Analysi</w:t>
        </w:r>
        <w:r w:rsidR="00277A8E">
          <w:rPr>
            <w:rStyle w:val="Hyperlink"/>
          </w:rPr>
          <w:t xml:space="preserve">s </w:t>
        </w:r>
      </w:hyperlink>
      <w:r w:rsidR="00F43C6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7DD7" w14:textId="754D5FE5" w:rsidR="009F3B4F" w:rsidRDefault="009F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EAD3" w14:textId="77777777" w:rsidR="00ED144E" w:rsidRDefault="00ED1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D75E" w14:textId="7A890337" w:rsidR="009F3B4F" w:rsidRDefault="009F3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8F34" w14:textId="00168215" w:rsidR="00134C5E" w:rsidRDefault="00134C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903E" w14:textId="0614849C" w:rsidR="00134C5E" w:rsidRDefault="00134C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09A1" w14:textId="0737BB3B" w:rsidR="00134C5E" w:rsidRDefault="00134C5E">
    <w:pPr>
      <w:pStyle w:val="Header"/>
    </w:pPr>
  </w:p>
</w:hdr>
</file>

<file path=word/intelligence2.xml><?xml version="1.0" encoding="utf-8"?>
<int2:intelligence xmlns:int2="http://schemas.microsoft.com/office/intelligence/2020/intelligence" xmlns:oel="http://schemas.microsoft.com/office/2019/extlst">
  <int2:observations>
    <int2:textHash int2:hashCode="iK4d+mCTY2GoYQ" int2:id="0N3DTa35">
      <int2:state int2:value="Rejected" int2:type="spell"/>
    </int2:textHash>
    <int2:textHash int2:hashCode="txjRWg1HFZEnl8" int2:id="B7npZXW8">
      <int2:state int2:value="Rejected" int2:type="spell"/>
    </int2:textHash>
    <int2:textHash int2:hashCode="o0l/PkWxk4PTn6" int2:id="D23OyMIJ">
      <int2:state int2:value="Rejected" int2:type="spell"/>
    </int2:textHash>
    <int2:textHash int2:hashCode="doycEd9dSooA39" int2:id="tpMdNF32">
      <int2:state int2:value="Rejected" int2:type="spell"/>
    </int2:textHash>
    <int2:bookmark int2:bookmarkName="_Int_WrhHEEE8" int2:invalidationBookmarkName="" int2:hashCode="5e505za/aYWKQT" int2:id="Px6SsuKS">
      <int2:state int2:value="Rejected" int2:type="gram"/>
    </int2:bookmark>
    <int2:bookmark int2:bookmarkName="_Int_h11b8gnW" int2:invalidationBookmarkName="" int2:hashCode="N51s6ZqKlacJar" int2:id="acBzhr9u">
      <int2:state int2:value="Rejected" int2:type="gram"/>
    </int2:bookmark>
    <int2:bookmark int2:bookmarkName="_Int_bUy70H4T" int2:invalidationBookmarkName="" int2:hashCode="6tzZvSoJx1rvBJ" int2:id="ofso22R9">
      <int2:state int2:value="Rejected" int2:type="gram"/>
    </int2:bookmark>
    <int2:bookmark int2:bookmarkName="_Int_05gwQvF3" int2:invalidationBookmarkName="" int2:hashCode="tVGxx0XZ13s94E" int2:id="wm42X7Y7">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1E02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9CC0A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E011E"/>
    <w:multiLevelType w:val="hybridMultilevel"/>
    <w:tmpl w:val="FEDC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52E93"/>
    <w:multiLevelType w:val="hybridMultilevel"/>
    <w:tmpl w:val="E61A1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E8462C"/>
    <w:multiLevelType w:val="hybridMultilevel"/>
    <w:tmpl w:val="9DA67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39A60E"/>
    <w:multiLevelType w:val="hybridMultilevel"/>
    <w:tmpl w:val="FFFFFFFF"/>
    <w:lvl w:ilvl="0" w:tplc="DED8B5BA">
      <w:start w:val="1"/>
      <w:numFmt w:val="bullet"/>
      <w:lvlText w:val=""/>
      <w:lvlJc w:val="left"/>
      <w:pPr>
        <w:ind w:left="720" w:hanging="360"/>
      </w:pPr>
      <w:rPr>
        <w:rFonts w:ascii="Symbol" w:hAnsi="Symbol" w:hint="default"/>
      </w:rPr>
    </w:lvl>
    <w:lvl w:ilvl="1" w:tplc="45EA8DEA">
      <w:start w:val="1"/>
      <w:numFmt w:val="bullet"/>
      <w:lvlText w:val="o"/>
      <w:lvlJc w:val="left"/>
      <w:pPr>
        <w:ind w:left="1440" w:hanging="360"/>
      </w:pPr>
      <w:rPr>
        <w:rFonts w:ascii="Courier New" w:hAnsi="Courier New" w:hint="default"/>
      </w:rPr>
    </w:lvl>
    <w:lvl w:ilvl="2" w:tplc="DC8EDB1A">
      <w:start w:val="1"/>
      <w:numFmt w:val="bullet"/>
      <w:lvlText w:val=""/>
      <w:lvlJc w:val="left"/>
      <w:pPr>
        <w:ind w:left="2160" w:hanging="360"/>
      </w:pPr>
      <w:rPr>
        <w:rFonts w:ascii="Wingdings" w:hAnsi="Wingdings" w:hint="default"/>
      </w:rPr>
    </w:lvl>
    <w:lvl w:ilvl="3" w:tplc="12CC81B6">
      <w:start w:val="1"/>
      <w:numFmt w:val="bullet"/>
      <w:lvlText w:val=""/>
      <w:lvlJc w:val="left"/>
      <w:pPr>
        <w:ind w:left="2880" w:hanging="360"/>
      </w:pPr>
      <w:rPr>
        <w:rFonts w:ascii="Symbol" w:hAnsi="Symbol" w:hint="default"/>
      </w:rPr>
    </w:lvl>
    <w:lvl w:ilvl="4" w:tplc="C1C8A882">
      <w:start w:val="1"/>
      <w:numFmt w:val="bullet"/>
      <w:lvlText w:val="o"/>
      <w:lvlJc w:val="left"/>
      <w:pPr>
        <w:ind w:left="3600" w:hanging="360"/>
      </w:pPr>
      <w:rPr>
        <w:rFonts w:ascii="Courier New" w:hAnsi="Courier New" w:hint="default"/>
      </w:rPr>
    </w:lvl>
    <w:lvl w:ilvl="5" w:tplc="2708D768">
      <w:start w:val="1"/>
      <w:numFmt w:val="bullet"/>
      <w:lvlText w:val=""/>
      <w:lvlJc w:val="left"/>
      <w:pPr>
        <w:ind w:left="4320" w:hanging="360"/>
      </w:pPr>
      <w:rPr>
        <w:rFonts w:ascii="Wingdings" w:hAnsi="Wingdings" w:hint="default"/>
      </w:rPr>
    </w:lvl>
    <w:lvl w:ilvl="6" w:tplc="3714885E">
      <w:start w:val="1"/>
      <w:numFmt w:val="bullet"/>
      <w:lvlText w:val=""/>
      <w:lvlJc w:val="left"/>
      <w:pPr>
        <w:ind w:left="5040" w:hanging="360"/>
      </w:pPr>
      <w:rPr>
        <w:rFonts w:ascii="Symbol" w:hAnsi="Symbol" w:hint="default"/>
      </w:rPr>
    </w:lvl>
    <w:lvl w:ilvl="7" w:tplc="20F244B4">
      <w:start w:val="1"/>
      <w:numFmt w:val="bullet"/>
      <w:lvlText w:val="o"/>
      <w:lvlJc w:val="left"/>
      <w:pPr>
        <w:ind w:left="5760" w:hanging="360"/>
      </w:pPr>
      <w:rPr>
        <w:rFonts w:ascii="Courier New" w:hAnsi="Courier New" w:hint="default"/>
      </w:rPr>
    </w:lvl>
    <w:lvl w:ilvl="8" w:tplc="0A3621D8">
      <w:start w:val="1"/>
      <w:numFmt w:val="bullet"/>
      <w:lvlText w:val=""/>
      <w:lvlJc w:val="left"/>
      <w:pPr>
        <w:ind w:left="6480" w:hanging="360"/>
      </w:pPr>
      <w:rPr>
        <w:rFonts w:ascii="Wingdings" w:hAnsi="Wingdings" w:hint="default"/>
      </w:rPr>
    </w:lvl>
  </w:abstractNum>
  <w:abstractNum w:abstractNumId="6" w15:restartNumberingAfterBreak="0">
    <w:nsid w:val="33EA64CD"/>
    <w:multiLevelType w:val="hybridMultilevel"/>
    <w:tmpl w:val="A014C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79C20E"/>
    <w:multiLevelType w:val="hybridMultilevel"/>
    <w:tmpl w:val="FFFFFFFF"/>
    <w:lvl w:ilvl="0" w:tplc="69C62946">
      <w:start w:val="1"/>
      <w:numFmt w:val="bullet"/>
      <w:lvlText w:val=""/>
      <w:lvlJc w:val="left"/>
      <w:pPr>
        <w:ind w:left="720" w:hanging="360"/>
      </w:pPr>
      <w:rPr>
        <w:rFonts w:ascii="Symbol" w:hAnsi="Symbol" w:hint="default"/>
      </w:rPr>
    </w:lvl>
    <w:lvl w:ilvl="1" w:tplc="B3C61FB2">
      <w:start w:val="1"/>
      <w:numFmt w:val="bullet"/>
      <w:lvlText w:val="o"/>
      <w:lvlJc w:val="left"/>
      <w:pPr>
        <w:ind w:left="1440" w:hanging="360"/>
      </w:pPr>
      <w:rPr>
        <w:rFonts w:ascii="Courier New" w:hAnsi="Courier New" w:hint="default"/>
      </w:rPr>
    </w:lvl>
    <w:lvl w:ilvl="2" w:tplc="36108354">
      <w:start w:val="1"/>
      <w:numFmt w:val="bullet"/>
      <w:lvlText w:val=""/>
      <w:lvlJc w:val="left"/>
      <w:pPr>
        <w:ind w:left="2160" w:hanging="360"/>
      </w:pPr>
      <w:rPr>
        <w:rFonts w:ascii="Wingdings" w:hAnsi="Wingdings" w:hint="default"/>
      </w:rPr>
    </w:lvl>
    <w:lvl w:ilvl="3" w:tplc="9640C1EE">
      <w:start w:val="1"/>
      <w:numFmt w:val="bullet"/>
      <w:lvlText w:val=""/>
      <w:lvlJc w:val="left"/>
      <w:pPr>
        <w:ind w:left="2880" w:hanging="360"/>
      </w:pPr>
      <w:rPr>
        <w:rFonts w:ascii="Symbol" w:hAnsi="Symbol" w:hint="default"/>
      </w:rPr>
    </w:lvl>
    <w:lvl w:ilvl="4" w:tplc="7BBC40C8">
      <w:start w:val="1"/>
      <w:numFmt w:val="bullet"/>
      <w:lvlText w:val="o"/>
      <w:lvlJc w:val="left"/>
      <w:pPr>
        <w:ind w:left="3600" w:hanging="360"/>
      </w:pPr>
      <w:rPr>
        <w:rFonts w:ascii="Courier New" w:hAnsi="Courier New" w:hint="default"/>
      </w:rPr>
    </w:lvl>
    <w:lvl w:ilvl="5" w:tplc="896C5878">
      <w:start w:val="1"/>
      <w:numFmt w:val="bullet"/>
      <w:lvlText w:val=""/>
      <w:lvlJc w:val="left"/>
      <w:pPr>
        <w:ind w:left="4320" w:hanging="360"/>
      </w:pPr>
      <w:rPr>
        <w:rFonts w:ascii="Wingdings" w:hAnsi="Wingdings" w:hint="default"/>
      </w:rPr>
    </w:lvl>
    <w:lvl w:ilvl="6" w:tplc="803AC074">
      <w:start w:val="1"/>
      <w:numFmt w:val="bullet"/>
      <w:lvlText w:val=""/>
      <w:lvlJc w:val="left"/>
      <w:pPr>
        <w:ind w:left="5040" w:hanging="360"/>
      </w:pPr>
      <w:rPr>
        <w:rFonts w:ascii="Symbol" w:hAnsi="Symbol" w:hint="default"/>
      </w:rPr>
    </w:lvl>
    <w:lvl w:ilvl="7" w:tplc="D362F97E">
      <w:start w:val="1"/>
      <w:numFmt w:val="bullet"/>
      <w:lvlText w:val="o"/>
      <w:lvlJc w:val="left"/>
      <w:pPr>
        <w:ind w:left="5760" w:hanging="360"/>
      </w:pPr>
      <w:rPr>
        <w:rFonts w:ascii="Courier New" w:hAnsi="Courier New" w:hint="default"/>
      </w:rPr>
    </w:lvl>
    <w:lvl w:ilvl="8" w:tplc="1ED0887E">
      <w:start w:val="1"/>
      <w:numFmt w:val="bullet"/>
      <w:lvlText w:val=""/>
      <w:lvlJc w:val="left"/>
      <w:pPr>
        <w:ind w:left="6480" w:hanging="360"/>
      </w:pPr>
      <w:rPr>
        <w:rFonts w:ascii="Wingdings" w:hAnsi="Wingdings" w:hint="default"/>
      </w:rPr>
    </w:lvl>
  </w:abstractNum>
  <w:abstractNum w:abstractNumId="8" w15:restartNumberingAfterBreak="0">
    <w:nsid w:val="3BCD692B"/>
    <w:multiLevelType w:val="hybridMultilevel"/>
    <w:tmpl w:val="C9AC7F2C"/>
    <w:lvl w:ilvl="0" w:tplc="5AD40BD0">
      <w:numFmt w:val="bullet"/>
      <w:pStyle w:val="List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6F1E9C"/>
    <w:multiLevelType w:val="hybridMultilevel"/>
    <w:tmpl w:val="E0187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453669">
    <w:abstractNumId w:val="3"/>
  </w:num>
  <w:num w:numId="2" w16cid:durableId="1865435717">
    <w:abstractNumId w:val="5"/>
  </w:num>
  <w:num w:numId="3" w16cid:durableId="947856491">
    <w:abstractNumId w:val="8"/>
  </w:num>
  <w:num w:numId="4" w16cid:durableId="647050613">
    <w:abstractNumId w:val="2"/>
  </w:num>
  <w:num w:numId="5" w16cid:durableId="560212862">
    <w:abstractNumId w:val="4"/>
  </w:num>
  <w:num w:numId="6" w16cid:durableId="713581032">
    <w:abstractNumId w:val="9"/>
  </w:num>
  <w:num w:numId="7" w16cid:durableId="2097481325">
    <w:abstractNumId w:val="6"/>
  </w:num>
  <w:num w:numId="8" w16cid:durableId="144392579">
    <w:abstractNumId w:val="7"/>
  </w:num>
  <w:num w:numId="9" w16cid:durableId="1955280849">
    <w:abstractNumId w:val="1"/>
  </w:num>
  <w:num w:numId="10" w16cid:durableId="195856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5E"/>
    <w:rsid w:val="00002CA0"/>
    <w:rsid w:val="000076E6"/>
    <w:rsid w:val="00007848"/>
    <w:rsid w:val="00012061"/>
    <w:rsid w:val="000125E3"/>
    <w:rsid w:val="000137CB"/>
    <w:rsid w:val="000148F9"/>
    <w:rsid w:val="00015A74"/>
    <w:rsid w:val="00016055"/>
    <w:rsid w:val="00022AE0"/>
    <w:rsid w:val="00023541"/>
    <w:rsid w:val="00024D0C"/>
    <w:rsid w:val="0002749F"/>
    <w:rsid w:val="00027B63"/>
    <w:rsid w:val="0003198B"/>
    <w:rsid w:val="00032D00"/>
    <w:rsid w:val="00034956"/>
    <w:rsid w:val="00036737"/>
    <w:rsid w:val="00041B23"/>
    <w:rsid w:val="0004213C"/>
    <w:rsid w:val="0004272B"/>
    <w:rsid w:val="00042BEB"/>
    <w:rsid w:val="00043E29"/>
    <w:rsid w:val="00044CEE"/>
    <w:rsid w:val="000451E3"/>
    <w:rsid w:val="000459C7"/>
    <w:rsid w:val="00046A64"/>
    <w:rsid w:val="000530E1"/>
    <w:rsid w:val="00053C2B"/>
    <w:rsid w:val="00054DBF"/>
    <w:rsid w:val="000563D3"/>
    <w:rsid w:val="000564B1"/>
    <w:rsid w:val="00056684"/>
    <w:rsid w:val="00061E2E"/>
    <w:rsid w:val="00062911"/>
    <w:rsid w:val="00062D66"/>
    <w:rsid w:val="00063996"/>
    <w:rsid w:val="000649F3"/>
    <w:rsid w:val="00065516"/>
    <w:rsid w:val="00070900"/>
    <w:rsid w:val="0007173B"/>
    <w:rsid w:val="000718B0"/>
    <w:rsid w:val="00073F7D"/>
    <w:rsid w:val="00074193"/>
    <w:rsid w:val="0008315B"/>
    <w:rsid w:val="000843C5"/>
    <w:rsid w:val="000848CE"/>
    <w:rsid w:val="00084DFB"/>
    <w:rsid w:val="000860E7"/>
    <w:rsid w:val="000868A1"/>
    <w:rsid w:val="0008715C"/>
    <w:rsid w:val="00090863"/>
    <w:rsid w:val="000914E6"/>
    <w:rsid w:val="00092514"/>
    <w:rsid w:val="00092F03"/>
    <w:rsid w:val="00094E45"/>
    <w:rsid w:val="00094E6B"/>
    <w:rsid w:val="000953FB"/>
    <w:rsid w:val="000978BE"/>
    <w:rsid w:val="000A027E"/>
    <w:rsid w:val="000A4EA0"/>
    <w:rsid w:val="000A50D0"/>
    <w:rsid w:val="000A68B9"/>
    <w:rsid w:val="000A6ADB"/>
    <w:rsid w:val="000B06C1"/>
    <w:rsid w:val="000B3E5F"/>
    <w:rsid w:val="000B4412"/>
    <w:rsid w:val="000B4B00"/>
    <w:rsid w:val="000B4D8F"/>
    <w:rsid w:val="000B5932"/>
    <w:rsid w:val="000B5E6F"/>
    <w:rsid w:val="000C041E"/>
    <w:rsid w:val="000C1098"/>
    <w:rsid w:val="000C1B83"/>
    <w:rsid w:val="000C25D2"/>
    <w:rsid w:val="000C3093"/>
    <w:rsid w:val="000C3EE2"/>
    <w:rsid w:val="000C4462"/>
    <w:rsid w:val="000C726B"/>
    <w:rsid w:val="000C7447"/>
    <w:rsid w:val="000D18DC"/>
    <w:rsid w:val="000D1A35"/>
    <w:rsid w:val="000D48CF"/>
    <w:rsid w:val="000D4E5D"/>
    <w:rsid w:val="000D5D12"/>
    <w:rsid w:val="000D786C"/>
    <w:rsid w:val="000E1305"/>
    <w:rsid w:val="000E3B48"/>
    <w:rsid w:val="000E4221"/>
    <w:rsid w:val="000E497D"/>
    <w:rsid w:val="000E505A"/>
    <w:rsid w:val="000E58EA"/>
    <w:rsid w:val="000E7C79"/>
    <w:rsid w:val="000F0971"/>
    <w:rsid w:val="000F1C97"/>
    <w:rsid w:val="000F3FCA"/>
    <w:rsid w:val="000F5EE0"/>
    <w:rsid w:val="000F6855"/>
    <w:rsid w:val="00100473"/>
    <w:rsid w:val="001024C7"/>
    <w:rsid w:val="00102E0F"/>
    <w:rsid w:val="00102E54"/>
    <w:rsid w:val="001034B9"/>
    <w:rsid w:val="00104328"/>
    <w:rsid w:val="001076E0"/>
    <w:rsid w:val="00111045"/>
    <w:rsid w:val="00111C06"/>
    <w:rsid w:val="00112DC5"/>
    <w:rsid w:val="0011428C"/>
    <w:rsid w:val="00114E3C"/>
    <w:rsid w:val="0011505E"/>
    <w:rsid w:val="00115099"/>
    <w:rsid w:val="00120292"/>
    <w:rsid w:val="00120493"/>
    <w:rsid w:val="0012131B"/>
    <w:rsid w:val="00121EB9"/>
    <w:rsid w:val="001232D1"/>
    <w:rsid w:val="001239DF"/>
    <w:rsid w:val="00123C79"/>
    <w:rsid w:val="001250A3"/>
    <w:rsid w:val="001255F4"/>
    <w:rsid w:val="00127C95"/>
    <w:rsid w:val="00131127"/>
    <w:rsid w:val="00131949"/>
    <w:rsid w:val="00131B5D"/>
    <w:rsid w:val="00131C25"/>
    <w:rsid w:val="00131D39"/>
    <w:rsid w:val="00132EBF"/>
    <w:rsid w:val="00133AED"/>
    <w:rsid w:val="00134C5E"/>
    <w:rsid w:val="001354A9"/>
    <w:rsid w:val="0013712B"/>
    <w:rsid w:val="00141D5C"/>
    <w:rsid w:val="0014281F"/>
    <w:rsid w:val="00142D96"/>
    <w:rsid w:val="00147C12"/>
    <w:rsid w:val="00150C48"/>
    <w:rsid w:val="00151833"/>
    <w:rsid w:val="00152507"/>
    <w:rsid w:val="00152A20"/>
    <w:rsid w:val="001539B1"/>
    <w:rsid w:val="00156427"/>
    <w:rsid w:val="00156891"/>
    <w:rsid w:val="001576A3"/>
    <w:rsid w:val="00161A5F"/>
    <w:rsid w:val="0016239D"/>
    <w:rsid w:val="00163D1B"/>
    <w:rsid w:val="00163D20"/>
    <w:rsid w:val="00163F0E"/>
    <w:rsid w:val="00164FFF"/>
    <w:rsid w:val="001659B3"/>
    <w:rsid w:val="00165CB5"/>
    <w:rsid w:val="001667D7"/>
    <w:rsid w:val="00166EA8"/>
    <w:rsid w:val="00167002"/>
    <w:rsid w:val="00167528"/>
    <w:rsid w:val="001677C6"/>
    <w:rsid w:val="00170A69"/>
    <w:rsid w:val="00171465"/>
    <w:rsid w:val="001715BE"/>
    <w:rsid w:val="00171824"/>
    <w:rsid w:val="001736D3"/>
    <w:rsid w:val="0017370B"/>
    <w:rsid w:val="00173EAC"/>
    <w:rsid w:val="0017466F"/>
    <w:rsid w:val="00174E5E"/>
    <w:rsid w:val="00176278"/>
    <w:rsid w:val="00177071"/>
    <w:rsid w:val="0017717C"/>
    <w:rsid w:val="00177580"/>
    <w:rsid w:val="001777B1"/>
    <w:rsid w:val="001815B4"/>
    <w:rsid w:val="00182CF7"/>
    <w:rsid w:val="00186DC6"/>
    <w:rsid w:val="00186FE5"/>
    <w:rsid w:val="0018743E"/>
    <w:rsid w:val="00191278"/>
    <w:rsid w:val="00194185"/>
    <w:rsid w:val="0019424C"/>
    <w:rsid w:val="001972BA"/>
    <w:rsid w:val="001976FA"/>
    <w:rsid w:val="00197769"/>
    <w:rsid w:val="001A0DCC"/>
    <w:rsid w:val="001A28A1"/>
    <w:rsid w:val="001A5233"/>
    <w:rsid w:val="001A53B6"/>
    <w:rsid w:val="001A5FBE"/>
    <w:rsid w:val="001A7D45"/>
    <w:rsid w:val="001A7E3C"/>
    <w:rsid w:val="001B24DF"/>
    <w:rsid w:val="001B3A6B"/>
    <w:rsid w:val="001B6511"/>
    <w:rsid w:val="001B78DF"/>
    <w:rsid w:val="001C0AF0"/>
    <w:rsid w:val="001C16F7"/>
    <w:rsid w:val="001C2BF1"/>
    <w:rsid w:val="001C456F"/>
    <w:rsid w:val="001C488C"/>
    <w:rsid w:val="001C4FC8"/>
    <w:rsid w:val="001C668E"/>
    <w:rsid w:val="001D4E5B"/>
    <w:rsid w:val="001D60F7"/>
    <w:rsid w:val="001D73DE"/>
    <w:rsid w:val="001D7ED3"/>
    <w:rsid w:val="001E1296"/>
    <w:rsid w:val="001E23FD"/>
    <w:rsid w:val="001E300A"/>
    <w:rsid w:val="001E3AF0"/>
    <w:rsid w:val="001E3EB9"/>
    <w:rsid w:val="001E4F82"/>
    <w:rsid w:val="001E5571"/>
    <w:rsid w:val="001F046B"/>
    <w:rsid w:val="001F07B4"/>
    <w:rsid w:val="001F233D"/>
    <w:rsid w:val="001F2B3C"/>
    <w:rsid w:val="001F3C8C"/>
    <w:rsid w:val="001F4E11"/>
    <w:rsid w:val="001F6D1D"/>
    <w:rsid w:val="001F7367"/>
    <w:rsid w:val="001F73C9"/>
    <w:rsid w:val="00202F21"/>
    <w:rsid w:val="00205480"/>
    <w:rsid w:val="00210288"/>
    <w:rsid w:val="0021104F"/>
    <w:rsid w:val="00211B29"/>
    <w:rsid w:val="002122B4"/>
    <w:rsid w:val="00213C7F"/>
    <w:rsid w:val="0021736C"/>
    <w:rsid w:val="00217C72"/>
    <w:rsid w:val="00220C77"/>
    <w:rsid w:val="002255D2"/>
    <w:rsid w:val="00226626"/>
    <w:rsid w:val="002272A4"/>
    <w:rsid w:val="00227CED"/>
    <w:rsid w:val="002330E5"/>
    <w:rsid w:val="0023330D"/>
    <w:rsid w:val="00233AAC"/>
    <w:rsid w:val="00235437"/>
    <w:rsid w:val="00235681"/>
    <w:rsid w:val="00235E3A"/>
    <w:rsid w:val="00240801"/>
    <w:rsid w:val="002437AF"/>
    <w:rsid w:val="00245018"/>
    <w:rsid w:val="00245804"/>
    <w:rsid w:val="0024583E"/>
    <w:rsid w:val="002458AF"/>
    <w:rsid w:val="00250234"/>
    <w:rsid w:val="002526DE"/>
    <w:rsid w:val="00252AEB"/>
    <w:rsid w:val="0025441D"/>
    <w:rsid w:val="00254728"/>
    <w:rsid w:val="0025481D"/>
    <w:rsid w:val="00256666"/>
    <w:rsid w:val="002578DA"/>
    <w:rsid w:val="0026215B"/>
    <w:rsid w:val="00264B10"/>
    <w:rsid w:val="00264FDB"/>
    <w:rsid w:val="0027069B"/>
    <w:rsid w:val="002723E4"/>
    <w:rsid w:val="00275D0D"/>
    <w:rsid w:val="00277A8E"/>
    <w:rsid w:val="00277F9A"/>
    <w:rsid w:val="00280050"/>
    <w:rsid w:val="00282019"/>
    <w:rsid w:val="002828DD"/>
    <w:rsid w:val="00284447"/>
    <w:rsid w:val="00285D98"/>
    <w:rsid w:val="002879A0"/>
    <w:rsid w:val="00287AFB"/>
    <w:rsid w:val="00290889"/>
    <w:rsid w:val="0029139E"/>
    <w:rsid w:val="00292B00"/>
    <w:rsid w:val="00292B67"/>
    <w:rsid w:val="00292D22"/>
    <w:rsid w:val="002932AB"/>
    <w:rsid w:val="0029381A"/>
    <w:rsid w:val="002A0235"/>
    <w:rsid w:val="002A0D9F"/>
    <w:rsid w:val="002A31F0"/>
    <w:rsid w:val="002A5580"/>
    <w:rsid w:val="002A5B92"/>
    <w:rsid w:val="002A60A4"/>
    <w:rsid w:val="002B1025"/>
    <w:rsid w:val="002B1D51"/>
    <w:rsid w:val="002B3055"/>
    <w:rsid w:val="002B5A43"/>
    <w:rsid w:val="002B7FEA"/>
    <w:rsid w:val="002C0F2A"/>
    <w:rsid w:val="002C15A7"/>
    <w:rsid w:val="002C188D"/>
    <w:rsid w:val="002C1DA5"/>
    <w:rsid w:val="002C2257"/>
    <w:rsid w:val="002C4D19"/>
    <w:rsid w:val="002C59C0"/>
    <w:rsid w:val="002C62C0"/>
    <w:rsid w:val="002C7515"/>
    <w:rsid w:val="002C7AE2"/>
    <w:rsid w:val="002D3BBB"/>
    <w:rsid w:val="002D759B"/>
    <w:rsid w:val="002D76D7"/>
    <w:rsid w:val="002E0952"/>
    <w:rsid w:val="002E180E"/>
    <w:rsid w:val="002E241F"/>
    <w:rsid w:val="002E45F6"/>
    <w:rsid w:val="002E5E7E"/>
    <w:rsid w:val="002E712B"/>
    <w:rsid w:val="002F0253"/>
    <w:rsid w:val="002F02B8"/>
    <w:rsid w:val="002F07F9"/>
    <w:rsid w:val="002F2EBB"/>
    <w:rsid w:val="002F366B"/>
    <w:rsid w:val="002F73F9"/>
    <w:rsid w:val="002F7DDD"/>
    <w:rsid w:val="003002F7"/>
    <w:rsid w:val="003003B8"/>
    <w:rsid w:val="003015FC"/>
    <w:rsid w:val="00301762"/>
    <w:rsid w:val="0030519A"/>
    <w:rsid w:val="003052B5"/>
    <w:rsid w:val="00307C9E"/>
    <w:rsid w:val="00312C14"/>
    <w:rsid w:val="003133A8"/>
    <w:rsid w:val="0032145B"/>
    <w:rsid w:val="00321894"/>
    <w:rsid w:val="00321FDC"/>
    <w:rsid w:val="00322B73"/>
    <w:rsid w:val="003230E2"/>
    <w:rsid w:val="003232B3"/>
    <w:rsid w:val="00326A75"/>
    <w:rsid w:val="003306D5"/>
    <w:rsid w:val="003334C8"/>
    <w:rsid w:val="00334BC9"/>
    <w:rsid w:val="00335839"/>
    <w:rsid w:val="00335AD0"/>
    <w:rsid w:val="00335DFD"/>
    <w:rsid w:val="00335E61"/>
    <w:rsid w:val="0033641F"/>
    <w:rsid w:val="0033682E"/>
    <w:rsid w:val="003415BD"/>
    <w:rsid w:val="003423E0"/>
    <w:rsid w:val="00343022"/>
    <w:rsid w:val="00345258"/>
    <w:rsid w:val="00345D48"/>
    <w:rsid w:val="0034659C"/>
    <w:rsid w:val="00346B86"/>
    <w:rsid w:val="00350358"/>
    <w:rsid w:val="003514C5"/>
    <w:rsid w:val="00351EBD"/>
    <w:rsid w:val="003520BD"/>
    <w:rsid w:val="00352197"/>
    <w:rsid w:val="00352D29"/>
    <w:rsid w:val="00353571"/>
    <w:rsid w:val="003547DF"/>
    <w:rsid w:val="003559B3"/>
    <w:rsid w:val="00355A69"/>
    <w:rsid w:val="00356465"/>
    <w:rsid w:val="00360139"/>
    <w:rsid w:val="00360ADD"/>
    <w:rsid w:val="00361551"/>
    <w:rsid w:val="00364121"/>
    <w:rsid w:val="00366B6B"/>
    <w:rsid w:val="00367ED3"/>
    <w:rsid w:val="00370112"/>
    <w:rsid w:val="00371547"/>
    <w:rsid w:val="003731F1"/>
    <w:rsid w:val="00374A31"/>
    <w:rsid w:val="00375892"/>
    <w:rsid w:val="00375C47"/>
    <w:rsid w:val="00381C4F"/>
    <w:rsid w:val="00382831"/>
    <w:rsid w:val="00382E76"/>
    <w:rsid w:val="003850FD"/>
    <w:rsid w:val="00385959"/>
    <w:rsid w:val="00385FE2"/>
    <w:rsid w:val="00386C01"/>
    <w:rsid w:val="00386C3A"/>
    <w:rsid w:val="0039328D"/>
    <w:rsid w:val="00393931"/>
    <w:rsid w:val="00393BE6"/>
    <w:rsid w:val="00395451"/>
    <w:rsid w:val="00395812"/>
    <w:rsid w:val="00397558"/>
    <w:rsid w:val="00397B75"/>
    <w:rsid w:val="003A0610"/>
    <w:rsid w:val="003A0EA5"/>
    <w:rsid w:val="003A162A"/>
    <w:rsid w:val="003A2570"/>
    <w:rsid w:val="003A5252"/>
    <w:rsid w:val="003A6C99"/>
    <w:rsid w:val="003B113B"/>
    <w:rsid w:val="003B14EA"/>
    <w:rsid w:val="003B1C9B"/>
    <w:rsid w:val="003B6BEC"/>
    <w:rsid w:val="003B7595"/>
    <w:rsid w:val="003B7B1D"/>
    <w:rsid w:val="003C04C8"/>
    <w:rsid w:val="003C40E4"/>
    <w:rsid w:val="003C4393"/>
    <w:rsid w:val="003C4B7B"/>
    <w:rsid w:val="003C4BEE"/>
    <w:rsid w:val="003C5FCD"/>
    <w:rsid w:val="003C6170"/>
    <w:rsid w:val="003D0279"/>
    <w:rsid w:val="003D0F39"/>
    <w:rsid w:val="003D12F1"/>
    <w:rsid w:val="003D1868"/>
    <w:rsid w:val="003D35A3"/>
    <w:rsid w:val="003D3DCC"/>
    <w:rsid w:val="003D4400"/>
    <w:rsid w:val="003D5380"/>
    <w:rsid w:val="003D64EF"/>
    <w:rsid w:val="003D68B1"/>
    <w:rsid w:val="003E1C50"/>
    <w:rsid w:val="003E3260"/>
    <w:rsid w:val="003E3EA7"/>
    <w:rsid w:val="003E5ACA"/>
    <w:rsid w:val="003E65A4"/>
    <w:rsid w:val="003E6D12"/>
    <w:rsid w:val="003F10B9"/>
    <w:rsid w:val="003F2A96"/>
    <w:rsid w:val="003F366A"/>
    <w:rsid w:val="003F3C39"/>
    <w:rsid w:val="003F43B4"/>
    <w:rsid w:val="003F47FC"/>
    <w:rsid w:val="003F51AE"/>
    <w:rsid w:val="003F6515"/>
    <w:rsid w:val="003F69C3"/>
    <w:rsid w:val="003F6EA5"/>
    <w:rsid w:val="00402246"/>
    <w:rsid w:val="004029C2"/>
    <w:rsid w:val="00404340"/>
    <w:rsid w:val="00405401"/>
    <w:rsid w:val="00405E93"/>
    <w:rsid w:val="004110F3"/>
    <w:rsid w:val="00411B27"/>
    <w:rsid w:val="00413E91"/>
    <w:rsid w:val="0041423A"/>
    <w:rsid w:val="00414B70"/>
    <w:rsid w:val="00415902"/>
    <w:rsid w:val="004161B5"/>
    <w:rsid w:val="00416F40"/>
    <w:rsid w:val="00417BC5"/>
    <w:rsid w:val="00422375"/>
    <w:rsid w:val="00422F7B"/>
    <w:rsid w:val="004254C8"/>
    <w:rsid w:val="004302D8"/>
    <w:rsid w:val="0043080F"/>
    <w:rsid w:val="004314A0"/>
    <w:rsid w:val="004314DD"/>
    <w:rsid w:val="004320ED"/>
    <w:rsid w:val="00432AC4"/>
    <w:rsid w:val="0043402B"/>
    <w:rsid w:val="00440650"/>
    <w:rsid w:val="00441C34"/>
    <w:rsid w:val="004425EC"/>
    <w:rsid w:val="00445CAA"/>
    <w:rsid w:val="00447A63"/>
    <w:rsid w:val="00447E35"/>
    <w:rsid w:val="0045240A"/>
    <w:rsid w:val="00452499"/>
    <w:rsid w:val="00453A38"/>
    <w:rsid w:val="00455C13"/>
    <w:rsid w:val="0045636F"/>
    <w:rsid w:val="00456D72"/>
    <w:rsid w:val="00456F64"/>
    <w:rsid w:val="004645DD"/>
    <w:rsid w:val="00470F2C"/>
    <w:rsid w:val="004759E8"/>
    <w:rsid w:val="00481AEF"/>
    <w:rsid w:val="00481DAC"/>
    <w:rsid w:val="004823BB"/>
    <w:rsid w:val="0048316E"/>
    <w:rsid w:val="00483A6F"/>
    <w:rsid w:val="00484C96"/>
    <w:rsid w:val="00486659"/>
    <w:rsid w:val="004944E6"/>
    <w:rsid w:val="00494E7E"/>
    <w:rsid w:val="00495295"/>
    <w:rsid w:val="004967ED"/>
    <w:rsid w:val="00496DA2"/>
    <w:rsid w:val="00497B48"/>
    <w:rsid w:val="004A00FD"/>
    <w:rsid w:val="004A047E"/>
    <w:rsid w:val="004A2BCE"/>
    <w:rsid w:val="004A3791"/>
    <w:rsid w:val="004A4ABB"/>
    <w:rsid w:val="004A7CC6"/>
    <w:rsid w:val="004B110C"/>
    <w:rsid w:val="004B28BD"/>
    <w:rsid w:val="004B530C"/>
    <w:rsid w:val="004B56F8"/>
    <w:rsid w:val="004B7107"/>
    <w:rsid w:val="004B7888"/>
    <w:rsid w:val="004B78DF"/>
    <w:rsid w:val="004C0D73"/>
    <w:rsid w:val="004C1EC0"/>
    <w:rsid w:val="004C2BC8"/>
    <w:rsid w:val="004D1527"/>
    <w:rsid w:val="004D26E4"/>
    <w:rsid w:val="004D7735"/>
    <w:rsid w:val="004E0750"/>
    <w:rsid w:val="004E0BCD"/>
    <w:rsid w:val="004E10EE"/>
    <w:rsid w:val="004E1438"/>
    <w:rsid w:val="004E2298"/>
    <w:rsid w:val="004F06B4"/>
    <w:rsid w:val="004F10AE"/>
    <w:rsid w:val="004F1C55"/>
    <w:rsid w:val="004F2239"/>
    <w:rsid w:val="004F3440"/>
    <w:rsid w:val="004F63EE"/>
    <w:rsid w:val="004F6863"/>
    <w:rsid w:val="00500D4B"/>
    <w:rsid w:val="005014F9"/>
    <w:rsid w:val="0050169E"/>
    <w:rsid w:val="00502BBB"/>
    <w:rsid w:val="00502F31"/>
    <w:rsid w:val="0050461E"/>
    <w:rsid w:val="00504B09"/>
    <w:rsid w:val="005060A3"/>
    <w:rsid w:val="00506F4B"/>
    <w:rsid w:val="005070C5"/>
    <w:rsid w:val="005111D2"/>
    <w:rsid w:val="00511E77"/>
    <w:rsid w:val="00512F1F"/>
    <w:rsid w:val="0051347A"/>
    <w:rsid w:val="0051385C"/>
    <w:rsid w:val="00515DBE"/>
    <w:rsid w:val="00516592"/>
    <w:rsid w:val="00517AC6"/>
    <w:rsid w:val="005254EE"/>
    <w:rsid w:val="00525FA6"/>
    <w:rsid w:val="005272C4"/>
    <w:rsid w:val="00530E22"/>
    <w:rsid w:val="0053264D"/>
    <w:rsid w:val="00532CDF"/>
    <w:rsid w:val="00532FC4"/>
    <w:rsid w:val="005410A4"/>
    <w:rsid w:val="00541F1F"/>
    <w:rsid w:val="005440FB"/>
    <w:rsid w:val="0054434A"/>
    <w:rsid w:val="00545CE2"/>
    <w:rsid w:val="005507BA"/>
    <w:rsid w:val="005514B8"/>
    <w:rsid w:val="00552C4E"/>
    <w:rsid w:val="00554F15"/>
    <w:rsid w:val="00555931"/>
    <w:rsid w:val="00557E38"/>
    <w:rsid w:val="00557EB3"/>
    <w:rsid w:val="00560AFA"/>
    <w:rsid w:val="00561D90"/>
    <w:rsid w:val="00564F1B"/>
    <w:rsid w:val="00566935"/>
    <w:rsid w:val="00566B11"/>
    <w:rsid w:val="00566D25"/>
    <w:rsid w:val="00572541"/>
    <w:rsid w:val="00577719"/>
    <w:rsid w:val="00577E4E"/>
    <w:rsid w:val="00580579"/>
    <w:rsid w:val="005811ED"/>
    <w:rsid w:val="005815F6"/>
    <w:rsid w:val="00581831"/>
    <w:rsid w:val="005821DE"/>
    <w:rsid w:val="005832AA"/>
    <w:rsid w:val="00584184"/>
    <w:rsid w:val="00585416"/>
    <w:rsid w:val="00585F8F"/>
    <w:rsid w:val="0058702D"/>
    <w:rsid w:val="00587598"/>
    <w:rsid w:val="00587606"/>
    <w:rsid w:val="00591C35"/>
    <w:rsid w:val="005A2582"/>
    <w:rsid w:val="005A6792"/>
    <w:rsid w:val="005A6E9C"/>
    <w:rsid w:val="005A7E3D"/>
    <w:rsid w:val="005B0FB4"/>
    <w:rsid w:val="005B19D2"/>
    <w:rsid w:val="005B1E8E"/>
    <w:rsid w:val="005B1F83"/>
    <w:rsid w:val="005B21B9"/>
    <w:rsid w:val="005B368B"/>
    <w:rsid w:val="005B3A14"/>
    <w:rsid w:val="005B634A"/>
    <w:rsid w:val="005B648E"/>
    <w:rsid w:val="005B6B7B"/>
    <w:rsid w:val="005B7F4D"/>
    <w:rsid w:val="005C189F"/>
    <w:rsid w:val="005C39BE"/>
    <w:rsid w:val="005C5EE4"/>
    <w:rsid w:val="005C6876"/>
    <w:rsid w:val="005C717A"/>
    <w:rsid w:val="005D40E2"/>
    <w:rsid w:val="005D5936"/>
    <w:rsid w:val="005E0AFF"/>
    <w:rsid w:val="005E2272"/>
    <w:rsid w:val="005E4F2E"/>
    <w:rsid w:val="005E7AC3"/>
    <w:rsid w:val="005E7AC5"/>
    <w:rsid w:val="005F1AA9"/>
    <w:rsid w:val="005F234B"/>
    <w:rsid w:val="005F2FCE"/>
    <w:rsid w:val="005F36B1"/>
    <w:rsid w:val="005F3D5E"/>
    <w:rsid w:val="005F583C"/>
    <w:rsid w:val="00600EF7"/>
    <w:rsid w:val="00602C5D"/>
    <w:rsid w:val="0060466F"/>
    <w:rsid w:val="00607828"/>
    <w:rsid w:val="006126AF"/>
    <w:rsid w:val="00614C92"/>
    <w:rsid w:val="00616286"/>
    <w:rsid w:val="0061654D"/>
    <w:rsid w:val="006178E8"/>
    <w:rsid w:val="0062083A"/>
    <w:rsid w:val="006225D3"/>
    <w:rsid w:val="00623EE5"/>
    <w:rsid w:val="00623EF0"/>
    <w:rsid w:val="0062418F"/>
    <w:rsid w:val="00624F3D"/>
    <w:rsid w:val="0062601A"/>
    <w:rsid w:val="00627B34"/>
    <w:rsid w:val="00627BC7"/>
    <w:rsid w:val="00630770"/>
    <w:rsid w:val="006310F0"/>
    <w:rsid w:val="006320A2"/>
    <w:rsid w:val="00632DF1"/>
    <w:rsid w:val="00633EC8"/>
    <w:rsid w:val="006410D3"/>
    <w:rsid w:val="006418EF"/>
    <w:rsid w:val="00641E1A"/>
    <w:rsid w:val="0064255D"/>
    <w:rsid w:val="006427DD"/>
    <w:rsid w:val="006468A4"/>
    <w:rsid w:val="00646CFA"/>
    <w:rsid w:val="00647C91"/>
    <w:rsid w:val="00647DB9"/>
    <w:rsid w:val="00647F14"/>
    <w:rsid w:val="00652007"/>
    <w:rsid w:val="00652B7F"/>
    <w:rsid w:val="006533CF"/>
    <w:rsid w:val="00653FE8"/>
    <w:rsid w:val="00654A44"/>
    <w:rsid w:val="00654F5C"/>
    <w:rsid w:val="00655F3C"/>
    <w:rsid w:val="00657CA5"/>
    <w:rsid w:val="00663F57"/>
    <w:rsid w:val="00664191"/>
    <w:rsid w:val="00664485"/>
    <w:rsid w:val="006647F9"/>
    <w:rsid w:val="0066531A"/>
    <w:rsid w:val="00666355"/>
    <w:rsid w:val="00671BAB"/>
    <w:rsid w:val="00672486"/>
    <w:rsid w:val="006735DB"/>
    <w:rsid w:val="00673B40"/>
    <w:rsid w:val="00675E94"/>
    <w:rsid w:val="0068035D"/>
    <w:rsid w:val="0068123D"/>
    <w:rsid w:val="006857D4"/>
    <w:rsid w:val="00686ABB"/>
    <w:rsid w:val="006908B7"/>
    <w:rsid w:val="006921A4"/>
    <w:rsid w:val="00697691"/>
    <w:rsid w:val="006A2890"/>
    <w:rsid w:val="006A306A"/>
    <w:rsid w:val="006A3DE8"/>
    <w:rsid w:val="006A62B5"/>
    <w:rsid w:val="006A6A9E"/>
    <w:rsid w:val="006A6E4F"/>
    <w:rsid w:val="006A6E72"/>
    <w:rsid w:val="006A7465"/>
    <w:rsid w:val="006A7B6A"/>
    <w:rsid w:val="006B14FA"/>
    <w:rsid w:val="006B16AA"/>
    <w:rsid w:val="006B41F3"/>
    <w:rsid w:val="006B4ADF"/>
    <w:rsid w:val="006B7887"/>
    <w:rsid w:val="006C17F5"/>
    <w:rsid w:val="006C35EA"/>
    <w:rsid w:val="006C3FF8"/>
    <w:rsid w:val="006C4A94"/>
    <w:rsid w:val="006C5B73"/>
    <w:rsid w:val="006C627C"/>
    <w:rsid w:val="006C6B87"/>
    <w:rsid w:val="006C6DB8"/>
    <w:rsid w:val="006D07FC"/>
    <w:rsid w:val="006D0D16"/>
    <w:rsid w:val="006D1412"/>
    <w:rsid w:val="006D3CFF"/>
    <w:rsid w:val="006D46C7"/>
    <w:rsid w:val="006D570F"/>
    <w:rsid w:val="006D5B1D"/>
    <w:rsid w:val="006D5B4E"/>
    <w:rsid w:val="006E05BD"/>
    <w:rsid w:val="006E0D6C"/>
    <w:rsid w:val="006E1B5B"/>
    <w:rsid w:val="006E4CE6"/>
    <w:rsid w:val="006E5739"/>
    <w:rsid w:val="006E5E52"/>
    <w:rsid w:val="006E6DC9"/>
    <w:rsid w:val="006F0194"/>
    <w:rsid w:val="006F24D3"/>
    <w:rsid w:val="006F4302"/>
    <w:rsid w:val="006F4C04"/>
    <w:rsid w:val="006F5128"/>
    <w:rsid w:val="006F518E"/>
    <w:rsid w:val="006F553E"/>
    <w:rsid w:val="007018C2"/>
    <w:rsid w:val="007040D2"/>
    <w:rsid w:val="00710C67"/>
    <w:rsid w:val="007119B1"/>
    <w:rsid w:val="00711B14"/>
    <w:rsid w:val="00711BE7"/>
    <w:rsid w:val="00712129"/>
    <w:rsid w:val="00713F9C"/>
    <w:rsid w:val="00715CC7"/>
    <w:rsid w:val="00720585"/>
    <w:rsid w:val="007228EB"/>
    <w:rsid w:val="00726DE0"/>
    <w:rsid w:val="00727A80"/>
    <w:rsid w:val="00730D54"/>
    <w:rsid w:val="007321F6"/>
    <w:rsid w:val="0073371D"/>
    <w:rsid w:val="0073430D"/>
    <w:rsid w:val="007378ED"/>
    <w:rsid w:val="0073791C"/>
    <w:rsid w:val="00740021"/>
    <w:rsid w:val="00741AA6"/>
    <w:rsid w:val="007462A2"/>
    <w:rsid w:val="00746A2C"/>
    <w:rsid w:val="00751097"/>
    <w:rsid w:val="0075147F"/>
    <w:rsid w:val="00751F11"/>
    <w:rsid w:val="007529D5"/>
    <w:rsid w:val="00754378"/>
    <w:rsid w:val="0075451B"/>
    <w:rsid w:val="00755489"/>
    <w:rsid w:val="0075673A"/>
    <w:rsid w:val="0075712A"/>
    <w:rsid w:val="007614D7"/>
    <w:rsid w:val="007653B6"/>
    <w:rsid w:val="00765936"/>
    <w:rsid w:val="00766304"/>
    <w:rsid w:val="0076657C"/>
    <w:rsid w:val="007668FC"/>
    <w:rsid w:val="0076708A"/>
    <w:rsid w:val="00771682"/>
    <w:rsid w:val="0077224D"/>
    <w:rsid w:val="007723AA"/>
    <w:rsid w:val="0077474D"/>
    <w:rsid w:val="00775597"/>
    <w:rsid w:val="0077656D"/>
    <w:rsid w:val="00777A6E"/>
    <w:rsid w:val="0078187B"/>
    <w:rsid w:val="00781880"/>
    <w:rsid w:val="007820A1"/>
    <w:rsid w:val="00784145"/>
    <w:rsid w:val="0078429D"/>
    <w:rsid w:val="00784330"/>
    <w:rsid w:val="007846C8"/>
    <w:rsid w:val="007848F3"/>
    <w:rsid w:val="00786C30"/>
    <w:rsid w:val="007900B8"/>
    <w:rsid w:val="00790E1F"/>
    <w:rsid w:val="007917BE"/>
    <w:rsid w:val="0079590F"/>
    <w:rsid w:val="00797CDA"/>
    <w:rsid w:val="007A1F4C"/>
    <w:rsid w:val="007A2321"/>
    <w:rsid w:val="007A4552"/>
    <w:rsid w:val="007A72DC"/>
    <w:rsid w:val="007A7395"/>
    <w:rsid w:val="007A7EBE"/>
    <w:rsid w:val="007B03E3"/>
    <w:rsid w:val="007B07CE"/>
    <w:rsid w:val="007B1952"/>
    <w:rsid w:val="007B36C6"/>
    <w:rsid w:val="007B41B5"/>
    <w:rsid w:val="007B79DE"/>
    <w:rsid w:val="007C0293"/>
    <w:rsid w:val="007C14E1"/>
    <w:rsid w:val="007C1986"/>
    <w:rsid w:val="007C57F5"/>
    <w:rsid w:val="007C6C67"/>
    <w:rsid w:val="007D14EA"/>
    <w:rsid w:val="007D24C0"/>
    <w:rsid w:val="007D305F"/>
    <w:rsid w:val="007D31D5"/>
    <w:rsid w:val="007D33F5"/>
    <w:rsid w:val="007D49DB"/>
    <w:rsid w:val="007D4C6C"/>
    <w:rsid w:val="007D4CAA"/>
    <w:rsid w:val="007D4F96"/>
    <w:rsid w:val="007D74D2"/>
    <w:rsid w:val="007E09A3"/>
    <w:rsid w:val="007E1723"/>
    <w:rsid w:val="007E2081"/>
    <w:rsid w:val="007E549D"/>
    <w:rsid w:val="007E5630"/>
    <w:rsid w:val="007E671D"/>
    <w:rsid w:val="007F0DE9"/>
    <w:rsid w:val="007F52D5"/>
    <w:rsid w:val="007F6349"/>
    <w:rsid w:val="007F68F3"/>
    <w:rsid w:val="00800311"/>
    <w:rsid w:val="00801CD2"/>
    <w:rsid w:val="00801F5E"/>
    <w:rsid w:val="00803D42"/>
    <w:rsid w:val="0080538A"/>
    <w:rsid w:val="00805C94"/>
    <w:rsid w:val="00805EFF"/>
    <w:rsid w:val="008061EA"/>
    <w:rsid w:val="00807308"/>
    <w:rsid w:val="00811CBE"/>
    <w:rsid w:val="008131AF"/>
    <w:rsid w:val="00814013"/>
    <w:rsid w:val="00815833"/>
    <w:rsid w:val="00816CB7"/>
    <w:rsid w:val="0082022F"/>
    <w:rsid w:val="00820324"/>
    <w:rsid w:val="0082127B"/>
    <w:rsid w:val="008217D9"/>
    <w:rsid w:val="008222A3"/>
    <w:rsid w:val="008235B5"/>
    <w:rsid w:val="008241F7"/>
    <w:rsid w:val="008265B3"/>
    <w:rsid w:val="00827770"/>
    <w:rsid w:val="008300FD"/>
    <w:rsid w:val="008333E5"/>
    <w:rsid w:val="00833BEF"/>
    <w:rsid w:val="00833D03"/>
    <w:rsid w:val="00836086"/>
    <w:rsid w:val="00836DE7"/>
    <w:rsid w:val="00837268"/>
    <w:rsid w:val="00837C42"/>
    <w:rsid w:val="00837D83"/>
    <w:rsid w:val="008402E1"/>
    <w:rsid w:val="00844325"/>
    <w:rsid w:val="00844D6C"/>
    <w:rsid w:val="00845375"/>
    <w:rsid w:val="008459A3"/>
    <w:rsid w:val="0084746C"/>
    <w:rsid w:val="008500E7"/>
    <w:rsid w:val="008535EB"/>
    <w:rsid w:val="00853818"/>
    <w:rsid w:val="00855223"/>
    <w:rsid w:val="00855ACA"/>
    <w:rsid w:val="0085686D"/>
    <w:rsid w:val="008614D0"/>
    <w:rsid w:val="00861ACA"/>
    <w:rsid w:val="00861CE5"/>
    <w:rsid w:val="00863653"/>
    <w:rsid w:val="008637F2"/>
    <w:rsid w:val="00863CB4"/>
    <w:rsid w:val="00865EE2"/>
    <w:rsid w:val="00866BB0"/>
    <w:rsid w:val="0087080B"/>
    <w:rsid w:val="008728C9"/>
    <w:rsid w:val="0087296C"/>
    <w:rsid w:val="00874528"/>
    <w:rsid w:val="00876365"/>
    <w:rsid w:val="00880D30"/>
    <w:rsid w:val="00880F44"/>
    <w:rsid w:val="00881EC4"/>
    <w:rsid w:val="00883856"/>
    <w:rsid w:val="008848FA"/>
    <w:rsid w:val="008859D7"/>
    <w:rsid w:val="008861A0"/>
    <w:rsid w:val="00886EBC"/>
    <w:rsid w:val="00887D4E"/>
    <w:rsid w:val="008901BB"/>
    <w:rsid w:val="008911BF"/>
    <w:rsid w:val="0089128B"/>
    <w:rsid w:val="00891296"/>
    <w:rsid w:val="00891A2C"/>
    <w:rsid w:val="00891B5D"/>
    <w:rsid w:val="00891F4D"/>
    <w:rsid w:val="00892191"/>
    <w:rsid w:val="00893E19"/>
    <w:rsid w:val="008953D6"/>
    <w:rsid w:val="0089713C"/>
    <w:rsid w:val="00897E10"/>
    <w:rsid w:val="008A32C3"/>
    <w:rsid w:val="008A44F6"/>
    <w:rsid w:val="008A5865"/>
    <w:rsid w:val="008A7749"/>
    <w:rsid w:val="008A77C7"/>
    <w:rsid w:val="008B2DA4"/>
    <w:rsid w:val="008B3125"/>
    <w:rsid w:val="008B332A"/>
    <w:rsid w:val="008B4AA8"/>
    <w:rsid w:val="008B6790"/>
    <w:rsid w:val="008B6B2E"/>
    <w:rsid w:val="008B6B73"/>
    <w:rsid w:val="008B7535"/>
    <w:rsid w:val="008B79EE"/>
    <w:rsid w:val="008C02C7"/>
    <w:rsid w:val="008C1E69"/>
    <w:rsid w:val="008C29BC"/>
    <w:rsid w:val="008C2AFE"/>
    <w:rsid w:val="008C3D25"/>
    <w:rsid w:val="008C4B19"/>
    <w:rsid w:val="008C702D"/>
    <w:rsid w:val="008C7A33"/>
    <w:rsid w:val="008D0075"/>
    <w:rsid w:val="008D0C38"/>
    <w:rsid w:val="008D2F25"/>
    <w:rsid w:val="008D6DB9"/>
    <w:rsid w:val="008D6FD4"/>
    <w:rsid w:val="008E147E"/>
    <w:rsid w:val="008E1699"/>
    <w:rsid w:val="008E31F0"/>
    <w:rsid w:val="008E334C"/>
    <w:rsid w:val="008E53C1"/>
    <w:rsid w:val="008E5A02"/>
    <w:rsid w:val="008E5DA1"/>
    <w:rsid w:val="008E6681"/>
    <w:rsid w:val="008F1A8F"/>
    <w:rsid w:val="008F3F47"/>
    <w:rsid w:val="008F41D0"/>
    <w:rsid w:val="008F476A"/>
    <w:rsid w:val="0090052E"/>
    <w:rsid w:val="009014D5"/>
    <w:rsid w:val="00902F2F"/>
    <w:rsid w:val="0090358A"/>
    <w:rsid w:val="009059C9"/>
    <w:rsid w:val="009064CB"/>
    <w:rsid w:val="009115E7"/>
    <w:rsid w:val="00912D23"/>
    <w:rsid w:val="00914718"/>
    <w:rsid w:val="00917F7A"/>
    <w:rsid w:val="00920878"/>
    <w:rsid w:val="0092185A"/>
    <w:rsid w:val="009241EC"/>
    <w:rsid w:val="00925FB9"/>
    <w:rsid w:val="00926160"/>
    <w:rsid w:val="009279F5"/>
    <w:rsid w:val="0093082D"/>
    <w:rsid w:val="00930FF1"/>
    <w:rsid w:val="00932952"/>
    <w:rsid w:val="00932F58"/>
    <w:rsid w:val="00933273"/>
    <w:rsid w:val="00935854"/>
    <w:rsid w:val="00935BFD"/>
    <w:rsid w:val="00940031"/>
    <w:rsid w:val="009404A6"/>
    <w:rsid w:val="009410B4"/>
    <w:rsid w:val="00941480"/>
    <w:rsid w:val="00942579"/>
    <w:rsid w:val="00943533"/>
    <w:rsid w:val="00943752"/>
    <w:rsid w:val="0094543F"/>
    <w:rsid w:val="00947600"/>
    <w:rsid w:val="009507CA"/>
    <w:rsid w:val="00950A5B"/>
    <w:rsid w:val="009517E3"/>
    <w:rsid w:val="009539D9"/>
    <w:rsid w:val="00953EA0"/>
    <w:rsid w:val="00954BB6"/>
    <w:rsid w:val="00955D55"/>
    <w:rsid w:val="009565D4"/>
    <w:rsid w:val="00956C8B"/>
    <w:rsid w:val="00957C4D"/>
    <w:rsid w:val="009606ED"/>
    <w:rsid w:val="00960E29"/>
    <w:rsid w:val="00963A23"/>
    <w:rsid w:val="0096419D"/>
    <w:rsid w:val="009660AA"/>
    <w:rsid w:val="00966229"/>
    <w:rsid w:val="00975F93"/>
    <w:rsid w:val="00975FAF"/>
    <w:rsid w:val="009762CF"/>
    <w:rsid w:val="00976446"/>
    <w:rsid w:val="00976BAA"/>
    <w:rsid w:val="00980452"/>
    <w:rsid w:val="00980FE3"/>
    <w:rsid w:val="009820C5"/>
    <w:rsid w:val="00983B96"/>
    <w:rsid w:val="0098453E"/>
    <w:rsid w:val="00985318"/>
    <w:rsid w:val="0099281C"/>
    <w:rsid w:val="00993E7D"/>
    <w:rsid w:val="0099509D"/>
    <w:rsid w:val="00997ABE"/>
    <w:rsid w:val="009A13BB"/>
    <w:rsid w:val="009A14D0"/>
    <w:rsid w:val="009A180B"/>
    <w:rsid w:val="009A2163"/>
    <w:rsid w:val="009A3874"/>
    <w:rsid w:val="009A3E5E"/>
    <w:rsid w:val="009A4962"/>
    <w:rsid w:val="009A541C"/>
    <w:rsid w:val="009A5DC2"/>
    <w:rsid w:val="009A6EED"/>
    <w:rsid w:val="009A7161"/>
    <w:rsid w:val="009A7A1D"/>
    <w:rsid w:val="009B3022"/>
    <w:rsid w:val="009B3EDA"/>
    <w:rsid w:val="009B46FA"/>
    <w:rsid w:val="009B4BFF"/>
    <w:rsid w:val="009B5B0C"/>
    <w:rsid w:val="009C2559"/>
    <w:rsid w:val="009C4837"/>
    <w:rsid w:val="009C51B2"/>
    <w:rsid w:val="009C5A6E"/>
    <w:rsid w:val="009D2901"/>
    <w:rsid w:val="009D4781"/>
    <w:rsid w:val="009D49FD"/>
    <w:rsid w:val="009D5627"/>
    <w:rsid w:val="009D78C2"/>
    <w:rsid w:val="009E1593"/>
    <w:rsid w:val="009E35EE"/>
    <w:rsid w:val="009E3664"/>
    <w:rsid w:val="009E5529"/>
    <w:rsid w:val="009E5ACD"/>
    <w:rsid w:val="009E6FAF"/>
    <w:rsid w:val="009E7464"/>
    <w:rsid w:val="009E7A26"/>
    <w:rsid w:val="009F06F2"/>
    <w:rsid w:val="009F1A04"/>
    <w:rsid w:val="009F26AA"/>
    <w:rsid w:val="009F2881"/>
    <w:rsid w:val="009F3243"/>
    <w:rsid w:val="009F3B4F"/>
    <w:rsid w:val="009F76FC"/>
    <w:rsid w:val="00A0024A"/>
    <w:rsid w:val="00A01119"/>
    <w:rsid w:val="00A01260"/>
    <w:rsid w:val="00A020CB"/>
    <w:rsid w:val="00A02BAD"/>
    <w:rsid w:val="00A03117"/>
    <w:rsid w:val="00A0409D"/>
    <w:rsid w:val="00A04935"/>
    <w:rsid w:val="00A04D3A"/>
    <w:rsid w:val="00A0611B"/>
    <w:rsid w:val="00A10717"/>
    <w:rsid w:val="00A11424"/>
    <w:rsid w:val="00A132FD"/>
    <w:rsid w:val="00A14FAF"/>
    <w:rsid w:val="00A20A4C"/>
    <w:rsid w:val="00A21158"/>
    <w:rsid w:val="00A21768"/>
    <w:rsid w:val="00A21A52"/>
    <w:rsid w:val="00A23375"/>
    <w:rsid w:val="00A23C5D"/>
    <w:rsid w:val="00A243FC"/>
    <w:rsid w:val="00A24425"/>
    <w:rsid w:val="00A34C17"/>
    <w:rsid w:val="00A360C8"/>
    <w:rsid w:val="00A40456"/>
    <w:rsid w:val="00A41022"/>
    <w:rsid w:val="00A41CDE"/>
    <w:rsid w:val="00A4652A"/>
    <w:rsid w:val="00A46A55"/>
    <w:rsid w:val="00A47E86"/>
    <w:rsid w:val="00A519A4"/>
    <w:rsid w:val="00A51FD6"/>
    <w:rsid w:val="00A52576"/>
    <w:rsid w:val="00A52B54"/>
    <w:rsid w:val="00A52D1F"/>
    <w:rsid w:val="00A54CBC"/>
    <w:rsid w:val="00A55433"/>
    <w:rsid w:val="00A55D3C"/>
    <w:rsid w:val="00A56D8B"/>
    <w:rsid w:val="00A57813"/>
    <w:rsid w:val="00A62ED3"/>
    <w:rsid w:val="00A640AC"/>
    <w:rsid w:val="00A64AF6"/>
    <w:rsid w:val="00A64E56"/>
    <w:rsid w:val="00A65EE3"/>
    <w:rsid w:val="00A66256"/>
    <w:rsid w:val="00A66CA1"/>
    <w:rsid w:val="00A7031B"/>
    <w:rsid w:val="00A70EDF"/>
    <w:rsid w:val="00A72512"/>
    <w:rsid w:val="00A76AC3"/>
    <w:rsid w:val="00A77953"/>
    <w:rsid w:val="00A77B12"/>
    <w:rsid w:val="00A8016D"/>
    <w:rsid w:val="00A845A7"/>
    <w:rsid w:val="00A877AC"/>
    <w:rsid w:val="00A901AF"/>
    <w:rsid w:val="00A90267"/>
    <w:rsid w:val="00A90AD6"/>
    <w:rsid w:val="00A9411C"/>
    <w:rsid w:val="00A95A5E"/>
    <w:rsid w:val="00A96C49"/>
    <w:rsid w:val="00A9760D"/>
    <w:rsid w:val="00AA0F2A"/>
    <w:rsid w:val="00AA19E2"/>
    <w:rsid w:val="00AA1B87"/>
    <w:rsid w:val="00AA4D40"/>
    <w:rsid w:val="00AA66E5"/>
    <w:rsid w:val="00AA6959"/>
    <w:rsid w:val="00AB1971"/>
    <w:rsid w:val="00AB1F53"/>
    <w:rsid w:val="00AB3FE7"/>
    <w:rsid w:val="00AB5A74"/>
    <w:rsid w:val="00AB5A8C"/>
    <w:rsid w:val="00AB5CE1"/>
    <w:rsid w:val="00AB6F2E"/>
    <w:rsid w:val="00AC002E"/>
    <w:rsid w:val="00AC0BFE"/>
    <w:rsid w:val="00AC2F51"/>
    <w:rsid w:val="00AC5B49"/>
    <w:rsid w:val="00AC6206"/>
    <w:rsid w:val="00AC6286"/>
    <w:rsid w:val="00AC63F8"/>
    <w:rsid w:val="00AD0667"/>
    <w:rsid w:val="00AD0B7E"/>
    <w:rsid w:val="00AD36BD"/>
    <w:rsid w:val="00AD6766"/>
    <w:rsid w:val="00AD7D9D"/>
    <w:rsid w:val="00AE1D92"/>
    <w:rsid w:val="00AE2418"/>
    <w:rsid w:val="00AE542B"/>
    <w:rsid w:val="00AE61DA"/>
    <w:rsid w:val="00AF0AEA"/>
    <w:rsid w:val="00AF25EF"/>
    <w:rsid w:val="00AF28C3"/>
    <w:rsid w:val="00AF2F1C"/>
    <w:rsid w:val="00AF62C1"/>
    <w:rsid w:val="00AF6F7F"/>
    <w:rsid w:val="00AF7D05"/>
    <w:rsid w:val="00B00016"/>
    <w:rsid w:val="00B01AC4"/>
    <w:rsid w:val="00B0207F"/>
    <w:rsid w:val="00B02307"/>
    <w:rsid w:val="00B03A90"/>
    <w:rsid w:val="00B04245"/>
    <w:rsid w:val="00B06FD0"/>
    <w:rsid w:val="00B11B37"/>
    <w:rsid w:val="00B139B8"/>
    <w:rsid w:val="00B14DAA"/>
    <w:rsid w:val="00B14E78"/>
    <w:rsid w:val="00B15687"/>
    <w:rsid w:val="00B15D93"/>
    <w:rsid w:val="00B214D1"/>
    <w:rsid w:val="00B21C28"/>
    <w:rsid w:val="00B22F9A"/>
    <w:rsid w:val="00B23957"/>
    <w:rsid w:val="00B2471B"/>
    <w:rsid w:val="00B31123"/>
    <w:rsid w:val="00B3140A"/>
    <w:rsid w:val="00B3352A"/>
    <w:rsid w:val="00B34C52"/>
    <w:rsid w:val="00B3554E"/>
    <w:rsid w:val="00B37932"/>
    <w:rsid w:val="00B40260"/>
    <w:rsid w:val="00B40C86"/>
    <w:rsid w:val="00B445D9"/>
    <w:rsid w:val="00B44C2D"/>
    <w:rsid w:val="00B45E1F"/>
    <w:rsid w:val="00B47171"/>
    <w:rsid w:val="00B47543"/>
    <w:rsid w:val="00B50935"/>
    <w:rsid w:val="00B53B91"/>
    <w:rsid w:val="00B53CC7"/>
    <w:rsid w:val="00B53F13"/>
    <w:rsid w:val="00B60972"/>
    <w:rsid w:val="00B622AA"/>
    <w:rsid w:val="00B62A37"/>
    <w:rsid w:val="00B650D7"/>
    <w:rsid w:val="00B67857"/>
    <w:rsid w:val="00B7147D"/>
    <w:rsid w:val="00B71681"/>
    <w:rsid w:val="00B737B0"/>
    <w:rsid w:val="00B75D97"/>
    <w:rsid w:val="00B7612D"/>
    <w:rsid w:val="00B8086B"/>
    <w:rsid w:val="00B8202A"/>
    <w:rsid w:val="00B8252A"/>
    <w:rsid w:val="00B82DB0"/>
    <w:rsid w:val="00B84DC0"/>
    <w:rsid w:val="00B84DD0"/>
    <w:rsid w:val="00B84DFC"/>
    <w:rsid w:val="00B857B0"/>
    <w:rsid w:val="00B864EC"/>
    <w:rsid w:val="00B906A5"/>
    <w:rsid w:val="00B911B4"/>
    <w:rsid w:val="00B93985"/>
    <w:rsid w:val="00B93B8C"/>
    <w:rsid w:val="00B93F02"/>
    <w:rsid w:val="00B95070"/>
    <w:rsid w:val="00BA01FA"/>
    <w:rsid w:val="00BA1B8A"/>
    <w:rsid w:val="00BA1C3E"/>
    <w:rsid w:val="00BA3BB1"/>
    <w:rsid w:val="00BA3DF1"/>
    <w:rsid w:val="00BA78DC"/>
    <w:rsid w:val="00BB1697"/>
    <w:rsid w:val="00BB5C86"/>
    <w:rsid w:val="00BB6372"/>
    <w:rsid w:val="00BC0ED4"/>
    <w:rsid w:val="00BC31B2"/>
    <w:rsid w:val="00BC5076"/>
    <w:rsid w:val="00BC59B8"/>
    <w:rsid w:val="00BD0922"/>
    <w:rsid w:val="00BD3986"/>
    <w:rsid w:val="00BD6B11"/>
    <w:rsid w:val="00BE1482"/>
    <w:rsid w:val="00BE1C11"/>
    <w:rsid w:val="00BE1EE8"/>
    <w:rsid w:val="00BE32C5"/>
    <w:rsid w:val="00BE488D"/>
    <w:rsid w:val="00BE5C97"/>
    <w:rsid w:val="00BE6857"/>
    <w:rsid w:val="00BE7170"/>
    <w:rsid w:val="00BF0CEE"/>
    <w:rsid w:val="00BF426A"/>
    <w:rsid w:val="00BF4D0D"/>
    <w:rsid w:val="00BF6673"/>
    <w:rsid w:val="00BF7C47"/>
    <w:rsid w:val="00C008C1"/>
    <w:rsid w:val="00C00DB4"/>
    <w:rsid w:val="00C01A26"/>
    <w:rsid w:val="00C02465"/>
    <w:rsid w:val="00C02536"/>
    <w:rsid w:val="00C0297A"/>
    <w:rsid w:val="00C065B2"/>
    <w:rsid w:val="00C07FF1"/>
    <w:rsid w:val="00C1258C"/>
    <w:rsid w:val="00C14E0F"/>
    <w:rsid w:val="00C1518B"/>
    <w:rsid w:val="00C155DB"/>
    <w:rsid w:val="00C15F37"/>
    <w:rsid w:val="00C16ABE"/>
    <w:rsid w:val="00C2073C"/>
    <w:rsid w:val="00C21A7A"/>
    <w:rsid w:val="00C21BCD"/>
    <w:rsid w:val="00C21C66"/>
    <w:rsid w:val="00C2273E"/>
    <w:rsid w:val="00C22E78"/>
    <w:rsid w:val="00C23ED6"/>
    <w:rsid w:val="00C24812"/>
    <w:rsid w:val="00C2526A"/>
    <w:rsid w:val="00C253E7"/>
    <w:rsid w:val="00C2586B"/>
    <w:rsid w:val="00C271AE"/>
    <w:rsid w:val="00C336ED"/>
    <w:rsid w:val="00C33CC0"/>
    <w:rsid w:val="00C34F41"/>
    <w:rsid w:val="00C36FA6"/>
    <w:rsid w:val="00C37FFB"/>
    <w:rsid w:val="00C40A65"/>
    <w:rsid w:val="00C40D82"/>
    <w:rsid w:val="00C444C4"/>
    <w:rsid w:val="00C4508C"/>
    <w:rsid w:val="00C50E85"/>
    <w:rsid w:val="00C55994"/>
    <w:rsid w:val="00C55CFA"/>
    <w:rsid w:val="00C5625C"/>
    <w:rsid w:val="00C56562"/>
    <w:rsid w:val="00C60095"/>
    <w:rsid w:val="00C61506"/>
    <w:rsid w:val="00C643E2"/>
    <w:rsid w:val="00C64667"/>
    <w:rsid w:val="00C651EB"/>
    <w:rsid w:val="00C70AF5"/>
    <w:rsid w:val="00C71752"/>
    <w:rsid w:val="00C72422"/>
    <w:rsid w:val="00C74ABA"/>
    <w:rsid w:val="00C74C1B"/>
    <w:rsid w:val="00C7594F"/>
    <w:rsid w:val="00C76D3B"/>
    <w:rsid w:val="00C770FB"/>
    <w:rsid w:val="00C81700"/>
    <w:rsid w:val="00C8186E"/>
    <w:rsid w:val="00C83DDC"/>
    <w:rsid w:val="00C84CEC"/>
    <w:rsid w:val="00C851C3"/>
    <w:rsid w:val="00C86100"/>
    <w:rsid w:val="00C865E0"/>
    <w:rsid w:val="00C86A03"/>
    <w:rsid w:val="00C910AD"/>
    <w:rsid w:val="00C91122"/>
    <w:rsid w:val="00C92119"/>
    <w:rsid w:val="00C942D3"/>
    <w:rsid w:val="00C94496"/>
    <w:rsid w:val="00C946DA"/>
    <w:rsid w:val="00C97860"/>
    <w:rsid w:val="00CA0522"/>
    <w:rsid w:val="00CA0CC1"/>
    <w:rsid w:val="00CA0D17"/>
    <w:rsid w:val="00CA1A6E"/>
    <w:rsid w:val="00CA1C90"/>
    <w:rsid w:val="00CA1D37"/>
    <w:rsid w:val="00CA2417"/>
    <w:rsid w:val="00CA6970"/>
    <w:rsid w:val="00CA6AB2"/>
    <w:rsid w:val="00CA6D69"/>
    <w:rsid w:val="00CA6F4D"/>
    <w:rsid w:val="00CA6F59"/>
    <w:rsid w:val="00CA70C5"/>
    <w:rsid w:val="00CA726B"/>
    <w:rsid w:val="00CB1827"/>
    <w:rsid w:val="00CB18DB"/>
    <w:rsid w:val="00CB5927"/>
    <w:rsid w:val="00CB6422"/>
    <w:rsid w:val="00CB731A"/>
    <w:rsid w:val="00CC0431"/>
    <w:rsid w:val="00CC0CE2"/>
    <w:rsid w:val="00CC133D"/>
    <w:rsid w:val="00CC1496"/>
    <w:rsid w:val="00CC5A29"/>
    <w:rsid w:val="00CD1161"/>
    <w:rsid w:val="00CD125F"/>
    <w:rsid w:val="00CD2BD7"/>
    <w:rsid w:val="00CD6E9D"/>
    <w:rsid w:val="00CD7673"/>
    <w:rsid w:val="00CE12E7"/>
    <w:rsid w:val="00CE2B7E"/>
    <w:rsid w:val="00CE6768"/>
    <w:rsid w:val="00CE72E4"/>
    <w:rsid w:val="00CE7CCE"/>
    <w:rsid w:val="00CF045A"/>
    <w:rsid w:val="00CF310F"/>
    <w:rsid w:val="00CF3562"/>
    <w:rsid w:val="00CF42BA"/>
    <w:rsid w:val="00D01426"/>
    <w:rsid w:val="00D01D9E"/>
    <w:rsid w:val="00D029D0"/>
    <w:rsid w:val="00D02C9A"/>
    <w:rsid w:val="00D02D13"/>
    <w:rsid w:val="00D02F36"/>
    <w:rsid w:val="00D044EA"/>
    <w:rsid w:val="00D06630"/>
    <w:rsid w:val="00D0733B"/>
    <w:rsid w:val="00D10ACA"/>
    <w:rsid w:val="00D10DC3"/>
    <w:rsid w:val="00D1612B"/>
    <w:rsid w:val="00D2117A"/>
    <w:rsid w:val="00D21243"/>
    <w:rsid w:val="00D2220E"/>
    <w:rsid w:val="00D245B2"/>
    <w:rsid w:val="00D24C54"/>
    <w:rsid w:val="00D25DC6"/>
    <w:rsid w:val="00D26ED0"/>
    <w:rsid w:val="00D27711"/>
    <w:rsid w:val="00D31092"/>
    <w:rsid w:val="00D3124A"/>
    <w:rsid w:val="00D36259"/>
    <w:rsid w:val="00D4200B"/>
    <w:rsid w:val="00D43BBD"/>
    <w:rsid w:val="00D457B0"/>
    <w:rsid w:val="00D45D76"/>
    <w:rsid w:val="00D460A1"/>
    <w:rsid w:val="00D47682"/>
    <w:rsid w:val="00D47AF7"/>
    <w:rsid w:val="00D516DD"/>
    <w:rsid w:val="00D51B17"/>
    <w:rsid w:val="00D51BAE"/>
    <w:rsid w:val="00D52696"/>
    <w:rsid w:val="00D530FA"/>
    <w:rsid w:val="00D54DB7"/>
    <w:rsid w:val="00D55010"/>
    <w:rsid w:val="00D57A26"/>
    <w:rsid w:val="00D60FCA"/>
    <w:rsid w:val="00D61931"/>
    <w:rsid w:val="00D629EC"/>
    <w:rsid w:val="00D65CEB"/>
    <w:rsid w:val="00D668A1"/>
    <w:rsid w:val="00D66C56"/>
    <w:rsid w:val="00D715BB"/>
    <w:rsid w:val="00D73836"/>
    <w:rsid w:val="00D74D86"/>
    <w:rsid w:val="00D81439"/>
    <w:rsid w:val="00D81ADB"/>
    <w:rsid w:val="00D8306A"/>
    <w:rsid w:val="00D83ABB"/>
    <w:rsid w:val="00D85DAE"/>
    <w:rsid w:val="00D86F68"/>
    <w:rsid w:val="00D87B78"/>
    <w:rsid w:val="00D91B64"/>
    <w:rsid w:val="00D92692"/>
    <w:rsid w:val="00D92F7F"/>
    <w:rsid w:val="00D941A9"/>
    <w:rsid w:val="00D9473C"/>
    <w:rsid w:val="00D97B02"/>
    <w:rsid w:val="00D97E10"/>
    <w:rsid w:val="00DA08D4"/>
    <w:rsid w:val="00DA36C6"/>
    <w:rsid w:val="00DA47D2"/>
    <w:rsid w:val="00DA4CD8"/>
    <w:rsid w:val="00DA6871"/>
    <w:rsid w:val="00DA79DC"/>
    <w:rsid w:val="00DA7CE4"/>
    <w:rsid w:val="00DB11BC"/>
    <w:rsid w:val="00DB45BA"/>
    <w:rsid w:val="00DB6249"/>
    <w:rsid w:val="00DB7C5C"/>
    <w:rsid w:val="00DC1EDD"/>
    <w:rsid w:val="00DD1215"/>
    <w:rsid w:val="00DD1A93"/>
    <w:rsid w:val="00DD306D"/>
    <w:rsid w:val="00DD53E0"/>
    <w:rsid w:val="00DE01EC"/>
    <w:rsid w:val="00DE051D"/>
    <w:rsid w:val="00DE0580"/>
    <w:rsid w:val="00DE1278"/>
    <w:rsid w:val="00DE2177"/>
    <w:rsid w:val="00DE6ED1"/>
    <w:rsid w:val="00DE70C9"/>
    <w:rsid w:val="00DE7A15"/>
    <w:rsid w:val="00DE86E5"/>
    <w:rsid w:val="00DF2799"/>
    <w:rsid w:val="00DF2B46"/>
    <w:rsid w:val="00DF3F4D"/>
    <w:rsid w:val="00DF54B7"/>
    <w:rsid w:val="00DF6288"/>
    <w:rsid w:val="00E01FE8"/>
    <w:rsid w:val="00E02012"/>
    <w:rsid w:val="00E02446"/>
    <w:rsid w:val="00E04857"/>
    <w:rsid w:val="00E05A0A"/>
    <w:rsid w:val="00E060BA"/>
    <w:rsid w:val="00E063AB"/>
    <w:rsid w:val="00E0665A"/>
    <w:rsid w:val="00E1036E"/>
    <w:rsid w:val="00E10F34"/>
    <w:rsid w:val="00E1112F"/>
    <w:rsid w:val="00E1268F"/>
    <w:rsid w:val="00E132F8"/>
    <w:rsid w:val="00E137A5"/>
    <w:rsid w:val="00E14A87"/>
    <w:rsid w:val="00E17E61"/>
    <w:rsid w:val="00E20385"/>
    <w:rsid w:val="00E205C9"/>
    <w:rsid w:val="00E2109C"/>
    <w:rsid w:val="00E21531"/>
    <w:rsid w:val="00E21B6F"/>
    <w:rsid w:val="00E21CAE"/>
    <w:rsid w:val="00E22A65"/>
    <w:rsid w:val="00E22F4B"/>
    <w:rsid w:val="00E24D9D"/>
    <w:rsid w:val="00E264F2"/>
    <w:rsid w:val="00E2668E"/>
    <w:rsid w:val="00E30835"/>
    <w:rsid w:val="00E3093F"/>
    <w:rsid w:val="00E31166"/>
    <w:rsid w:val="00E317A3"/>
    <w:rsid w:val="00E32243"/>
    <w:rsid w:val="00E326A8"/>
    <w:rsid w:val="00E35950"/>
    <w:rsid w:val="00E40D05"/>
    <w:rsid w:val="00E42810"/>
    <w:rsid w:val="00E43C3F"/>
    <w:rsid w:val="00E44467"/>
    <w:rsid w:val="00E45F94"/>
    <w:rsid w:val="00E461E2"/>
    <w:rsid w:val="00E5014D"/>
    <w:rsid w:val="00E50520"/>
    <w:rsid w:val="00E50791"/>
    <w:rsid w:val="00E526F3"/>
    <w:rsid w:val="00E537C2"/>
    <w:rsid w:val="00E57696"/>
    <w:rsid w:val="00E576A9"/>
    <w:rsid w:val="00E61348"/>
    <w:rsid w:val="00E65220"/>
    <w:rsid w:val="00E67372"/>
    <w:rsid w:val="00E6786C"/>
    <w:rsid w:val="00E74A94"/>
    <w:rsid w:val="00E75320"/>
    <w:rsid w:val="00E76818"/>
    <w:rsid w:val="00E775F1"/>
    <w:rsid w:val="00E80322"/>
    <w:rsid w:val="00E80F50"/>
    <w:rsid w:val="00E84B5F"/>
    <w:rsid w:val="00E8565C"/>
    <w:rsid w:val="00E86F2F"/>
    <w:rsid w:val="00E87248"/>
    <w:rsid w:val="00E877D6"/>
    <w:rsid w:val="00E93172"/>
    <w:rsid w:val="00E9482C"/>
    <w:rsid w:val="00E95B54"/>
    <w:rsid w:val="00E95B86"/>
    <w:rsid w:val="00E96677"/>
    <w:rsid w:val="00EA2090"/>
    <w:rsid w:val="00EA20F3"/>
    <w:rsid w:val="00EA23A7"/>
    <w:rsid w:val="00EA2604"/>
    <w:rsid w:val="00EA477B"/>
    <w:rsid w:val="00EA4911"/>
    <w:rsid w:val="00EA5378"/>
    <w:rsid w:val="00EA594E"/>
    <w:rsid w:val="00EA7540"/>
    <w:rsid w:val="00EA7A0E"/>
    <w:rsid w:val="00EB2191"/>
    <w:rsid w:val="00EB347A"/>
    <w:rsid w:val="00EC27C2"/>
    <w:rsid w:val="00EC5788"/>
    <w:rsid w:val="00EC6B0D"/>
    <w:rsid w:val="00EC6B25"/>
    <w:rsid w:val="00ED0467"/>
    <w:rsid w:val="00ED0CCD"/>
    <w:rsid w:val="00ED1444"/>
    <w:rsid w:val="00ED144E"/>
    <w:rsid w:val="00ED4393"/>
    <w:rsid w:val="00ED5292"/>
    <w:rsid w:val="00ED633E"/>
    <w:rsid w:val="00EE1A17"/>
    <w:rsid w:val="00EE204A"/>
    <w:rsid w:val="00EE2930"/>
    <w:rsid w:val="00EE2E2E"/>
    <w:rsid w:val="00EE356F"/>
    <w:rsid w:val="00EE3AB7"/>
    <w:rsid w:val="00EE5E0F"/>
    <w:rsid w:val="00EE6BBF"/>
    <w:rsid w:val="00EF0F95"/>
    <w:rsid w:val="00EF3656"/>
    <w:rsid w:val="00EF480A"/>
    <w:rsid w:val="00EF49D2"/>
    <w:rsid w:val="00EF4C3D"/>
    <w:rsid w:val="00EF4E14"/>
    <w:rsid w:val="00EF5331"/>
    <w:rsid w:val="00EF5355"/>
    <w:rsid w:val="00EF618B"/>
    <w:rsid w:val="00EF7E07"/>
    <w:rsid w:val="00F013A4"/>
    <w:rsid w:val="00F0396D"/>
    <w:rsid w:val="00F03F93"/>
    <w:rsid w:val="00F057B3"/>
    <w:rsid w:val="00F06344"/>
    <w:rsid w:val="00F06988"/>
    <w:rsid w:val="00F06C37"/>
    <w:rsid w:val="00F1027D"/>
    <w:rsid w:val="00F109F3"/>
    <w:rsid w:val="00F12CA3"/>
    <w:rsid w:val="00F135DD"/>
    <w:rsid w:val="00F14D6C"/>
    <w:rsid w:val="00F15EB6"/>
    <w:rsid w:val="00F16236"/>
    <w:rsid w:val="00F17CDA"/>
    <w:rsid w:val="00F17D7A"/>
    <w:rsid w:val="00F17F2B"/>
    <w:rsid w:val="00F200D3"/>
    <w:rsid w:val="00F25499"/>
    <w:rsid w:val="00F256D5"/>
    <w:rsid w:val="00F25985"/>
    <w:rsid w:val="00F25A98"/>
    <w:rsid w:val="00F30198"/>
    <w:rsid w:val="00F32134"/>
    <w:rsid w:val="00F35910"/>
    <w:rsid w:val="00F37F95"/>
    <w:rsid w:val="00F40560"/>
    <w:rsid w:val="00F40838"/>
    <w:rsid w:val="00F4134D"/>
    <w:rsid w:val="00F41FBA"/>
    <w:rsid w:val="00F43C6F"/>
    <w:rsid w:val="00F4580C"/>
    <w:rsid w:val="00F467C4"/>
    <w:rsid w:val="00F4693B"/>
    <w:rsid w:val="00F47173"/>
    <w:rsid w:val="00F503D0"/>
    <w:rsid w:val="00F50CD8"/>
    <w:rsid w:val="00F523F5"/>
    <w:rsid w:val="00F53F13"/>
    <w:rsid w:val="00F5481D"/>
    <w:rsid w:val="00F54AC1"/>
    <w:rsid w:val="00F559C9"/>
    <w:rsid w:val="00F55A15"/>
    <w:rsid w:val="00F57B24"/>
    <w:rsid w:val="00F6047D"/>
    <w:rsid w:val="00F64DE2"/>
    <w:rsid w:val="00F65F9E"/>
    <w:rsid w:val="00F66ECF"/>
    <w:rsid w:val="00F70C3B"/>
    <w:rsid w:val="00F7165A"/>
    <w:rsid w:val="00F71C33"/>
    <w:rsid w:val="00F72109"/>
    <w:rsid w:val="00F72555"/>
    <w:rsid w:val="00F746C0"/>
    <w:rsid w:val="00F75C7F"/>
    <w:rsid w:val="00F76953"/>
    <w:rsid w:val="00F813F0"/>
    <w:rsid w:val="00F813F8"/>
    <w:rsid w:val="00F824EC"/>
    <w:rsid w:val="00F84FCA"/>
    <w:rsid w:val="00F8693D"/>
    <w:rsid w:val="00F9437A"/>
    <w:rsid w:val="00F951F3"/>
    <w:rsid w:val="00F96C3E"/>
    <w:rsid w:val="00FA0E01"/>
    <w:rsid w:val="00FA325F"/>
    <w:rsid w:val="00FA71F9"/>
    <w:rsid w:val="00FA7FDB"/>
    <w:rsid w:val="00FB0C93"/>
    <w:rsid w:val="00FB0CD7"/>
    <w:rsid w:val="00FB16B2"/>
    <w:rsid w:val="00FB292A"/>
    <w:rsid w:val="00FB52BA"/>
    <w:rsid w:val="00FB5C5B"/>
    <w:rsid w:val="00FB60D2"/>
    <w:rsid w:val="00FB715F"/>
    <w:rsid w:val="00FB7A51"/>
    <w:rsid w:val="00FB7AFC"/>
    <w:rsid w:val="00FC30BE"/>
    <w:rsid w:val="00FC47CF"/>
    <w:rsid w:val="00FC4E95"/>
    <w:rsid w:val="00FC58B5"/>
    <w:rsid w:val="00FC5C7C"/>
    <w:rsid w:val="00FC6A0E"/>
    <w:rsid w:val="00FC6F5B"/>
    <w:rsid w:val="00FD010C"/>
    <w:rsid w:val="00FD08D7"/>
    <w:rsid w:val="00FD1503"/>
    <w:rsid w:val="00FD2947"/>
    <w:rsid w:val="00FD2B45"/>
    <w:rsid w:val="00FD4780"/>
    <w:rsid w:val="00FD6A80"/>
    <w:rsid w:val="00FE1FE7"/>
    <w:rsid w:val="00FE7FCA"/>
    <w:rsid w:val="00FF149B"/>
    <w:rsid w:val="00FF26B6"/>
    <w:rsid w:val="00FF3A12"/>
    <w:rsid w:val="00FF3E14"/>
    <w:rsid w:val="00FF594A"/>
    <w:rsid w:val="00FF6292"/>
    <w:rsid w:val="01C06FBF"/>
    <w:rsid w:val="01C80AFA"/>
    <w:rsid w:val="01D6F0A7"/>
    <w:rsid w:val="02610EB5"/>
    <w:rsid w:val="02A52420"/>
    <w:rsid w:val="0360F582"/>
    <w:rsid w:val="03D4345E"/>
    <w:rsid w:val="03D455EF"/>
    <w:rsid w:val="046AA97B"/>
    <w:rsid w:val="04D9800F"/>
    <w:rsid w:val="057C040D"/>
    <w:rsid w:val="05CA4B16"/>
    <w:rsid w:val="069CA24B"/>
    <w:rsid w:val="07043A04"/>
    <w:rsid w:val="0924C797"/>
    <w:rsid w:val="0973B693"/>
    <w:rsid w:val="099B52ED"/>
    <w:rsid w:val="09EFF869"/>
    <w:rsid w:val="0BF1EF13"/>
    <w:rsid w:val="0CEEEB61"/>
    <w:rsid w:val="0D04A2ED"/>
    <w:rsid w:val="0D43E37E"/>
    <w:rsid w:val="0D6C072B"/>
    <w:rsid w:val="0E225D2A"/>
    <w:rsid w:val="0E235B0D"/>
    <w:rsid w:val="0E474E6F"/>
    <w:rsid w:val="0E7FE0D1"/>
    <w:rsid w:val="0F19D654"/>
    <w:rsid w:val="0F209053"/>
    <w:rsid w:val="0F2CE55C"/>
    <w:rsid w:val="0F54C133"/>
    <w:rsid w:val="0F831EB6"/>
    <w:rsid w:val="0F8A59B6"/>
    <w:rsid w:val="0FD03AA3"/>
    <w:rsid w:val="0FD95D30"/>
    <w:rsid w:val="105431C3"/>
    <w:rsid w:val="10756A54"/>
    <w:rsid w:val="116A1C71"/>
    <w:rsid w:val="1176D54F"/>
    <w:rsid w:val="11B0AC0A"/>
    <w:rsid w:val="120346D5"/>
    <w:rsid w:val="12287720"/>
    <w:rsid w:val="12D5D9BB"/>
    <w:rsid w:val="12F0DCE6"/>
    <w:rsid w:val="1422DAA0"/>
    <w:rsid w:val="1428DB52"/>
    <w:rsid w:val="14AC6E60"/>
    <w:rsid w:val="14DED31E"/>
    <w:rsid w:val="153331D4"/>
    <w:rsid w:val="15464A78"/>
    <w:rsid w:val="157E9943"/>
    <w:rsid w:val="16FDA8BB"/>
    <w:rsid w:val="17609CEA"/>
    <w:rsid w:val="17614C0D"/>
    <w:rsid w:val="177EA25E"/>
    <w:rsid w:val="1856A11A"/>
    <w:rsid w:val="18FBF7C7"/>
    <w:rsid w:val="193E8D5A"/>
    <w:rsid w:val="195C86A0"/>
    <w:rsid w:val="19A9DF2E"/>
    <w:rsid w:val="1A3AC654"/>
    <w:rsid w:val="1A4F1205"/>
    <w:rsid w:val="1A5C67C7"/>
    <w:rsid w:val="1BA07037"/>
    <w:rsid w:val="1BA5B274"/>
    <w:rsid w:val="1BAA6E74"/>
    <w:rsid w:val="1C944E67"/>
    <w:rsid w:val="1DEF2B57"/>
    <w:rsid w:val="1DF4CDFF"/>
    <w:rsid w:val="1E1ADB32"/>
    <w:rsid w:val="1E7AB7C8"/>
    <w:rsid w:val="1F6BEAE7"/>
    <w:rsid w:val="21F698A4"/>
    <w:rsid w:val="221E0BFE"/>
    <w:rsid w:val="226A94D9"/>
    <w:rsid w:val="248C691A"/>
    <w:rsid w:val="24CB0289"/>
    <w:rsid w:val="24DADA31"/>
    <w:rsid w:val="25D89EEE"/>
    <w:rsid w:val="269DE8F5"/>
    <w:rsid w:val="26C4E7C5"/>
    <w:rsid w:val="26D7E5AA"/>
    <w:rsid w:val="27214CDC"/>
    <w:rsid w:val="27D7E277"/>
    <w:rsid w:val="290DF6A5"/>
    <w:rsid w:val="29575EA3"/>
    <w:rsid w:val="29BD20E1"/>
    <w:rsid w:val="29CF3DF3"/>
    <w:rsid w:val="2A0CD455"/>
    <w:rsid w:val="2B2CC094"/>
    <w:rsid w:val="2D3526B7"/>
    <w:rsid w:val="2D9804A6"/>
    <w:rsid w:val="2F893704"/>
    <w:rsid w:val="304F0934"/>
    <w:rsid w:val="306BD847"/>
    <w:rsid w:val="31618A4A"/>
    <w:rsid w:val="31989BCD"/>
    <w:rsid w:val="322A426E"/>
    <w:rsid w:val="328845E7"/>
    <w:rsid w:val="32CD21BE"/>
    <w:rsid w:val="331C21FF"/>
    <w:rsid w:val="33200457"/>
    <w:rsid w:val="33B13128"/>
    <w:rsid w:val="33B545DB"/>
    <w:rsid w:val="33B92033"/>
    <w:rsid w:val="33C1FC50"/>
    <w:rsid w:val="33DC2E5A"/>
    <w:rsid w:val="34129103"/>
    <w:rsid w:val="34214DED"/>
    <w:rsid w:val="34347E61"/>
    <w:rsid w:val="34FF77CF"/>
    <w:rsid w:val="352C5BE3"/>
    <w:rsid w:val="357B8192"/>
    <w:rsid w:val="3604E55D"/>
    <w:rsid w:val="36115FDA"/>
    <w:rsid w:val="3724E9F9"/>
    <w:rsid w:val="372CFA4E"/>
    <w:rsid w:val="37839366"/>
    <w:rsid w:val="37AD43C9"/>
    <w:rsid w:val="37CD8992"/>
    <w:rsid w:val="37CDA3D7"/>
    <w:rsid w:val="37FACFB1"/>
    <w:rsid w:val="38CAFA86"/>
    <w:rsid w:val="396D156B"/>
    <w:rsid w:val="39A5B126"/>
    <w:rsid w:val="3A8266F0"/>
    <w:rsid w:val="3C2AA731"/>
    <w:rsid w:val="3C492F78"/>
    <w:rsid w:val="3C97C027"/>
    <w:rsid w:val="3D61F998"/>
    <w:rsid w:val="3D6FD5A0"/>
    <w:rsid w:val="3DF7DAF0"/>
    <w:rsid w:val="3EA60B24"/>
    <w:rsid w:val="3F15D41D"/>
    <w:rsid w:val="3F32C7FC"/>
    <w:rsid w:val="3F4A906D"/>
    <w:rsid w:val="3F6597C6"/>
    <w:rsid w:val="3FC887F0"/>
    <w:rsid w:val="402385B2"/>
    <w:rsid w:val="406D4B9F"/>
    <w:rsid w:val="4207B009"/>
    <w:rsid w:val="4237392C"/>
    <w:rsid w:val="437A61D9"/>
    <w:rsid w:val="43A6FC75"/>
    <w:rsid w:val="4483BDDB"/>
    <w:rsid w:val="4578A8B3"/>
    <w:rsid w:val="46869BE2"/>
    <w:rsid w:val="46BB0F8A"/>
    <w:rsid w:val="47B8193D"/>
    <w:rsid w:val="486C5433"/>
    <w:rsid w:val="49529976"/>
    <w:rsid w:val="49C0E972"/>
    <w:rsid w:val="4A6E25C6"/>
    <w:rsid w:val="4B7D7DDD"/>
    <w:rsid w:val="4C7AE3B7"/>
    <w:rsid w:val="4CD7963C"/>
    <w:rsid w:val="4D7A5EFA"/>
    <w:rsid w:val="4E530569"/>
    <w:rsid w:val="4F056403"/>
    <w:rsid w:val="4F233533"/>
    <w:rsid w:val="4F51257A"/>
    <w:rsid w:val="4F68254C"/>
    <w:rsid w:val="4FC8EB4B"/>
    <w:rsid w:val="5036267D"/>
    <w:rsid w:val="504DAEEC"/>
    <w:rsid w:val="5146E10D"/>
    <w:rsid w:val="5146E752"/>
    <w:rsid w:val="51481005"/>
    <w:rsid w:val="51721FF5"/>
    <w:rsid w:val="5176B3AA"/>
    <w:rsid w:val="51FF6D02"/>
    <w:rsid w:val="5303A00F"/>
    <w:rsid w:val="532E6F5C"/>
    <w:rsid w:val="53DFF7B0"/>
    <w:rsid w:val="53F328A1"/>
    <w:rsid w:val="54E605E1"/>
    <w:rsid w:val="563B6013"/>
    <w:rsid w:val="5695C2E6"/>
    <w:rsid w:val="56B6A212"/>
    <w:rsid w:val="57416972"/>
    <w:rsid w:val="58F32979"/>
    <w:rsid w:val="593798C4"/>
    <w:rsid w:val="5A562E76"/>
    <w:rsid w:val="5A6F836F"/>
    <w:rsid w:val="5AB394EC"/>
    <w:rsid w:val="5B386D97"/>
    <w:rsid w:val="5B60477F"/>
    <w:rsid w:val="5B8A5CD0"/>
    <w:rsid w:val="5BF58275"/>
    <w:rsid w:val="5C8D3081"/>
    <w:rsid w:val="5C98ECA8"/>
    <w:rsid w:val="5CD1E310"/>
    <w:rsid w:val="5EAB81B5"/>
    <w:rsid w:val="5ED1F6D1"/>
    <w:rsid w:val="5F05ACEF"/>
    <w:rsid w:val="5F13F59E"/>
    <w:rsid w:val="600213B3"/>
    <w:rsid w:val="60BFF611"/>
    <w:rsid w:val="61B60A33"/>
    <w:rsid w:val="62877A8A"/>
    <w:rsid w:val="62F80540"/>
    <w:rsid w:val="63437A06"/>
    <w:rsid w:val="634A074D"/>
    <w:rsid w:val="64397149"/>
    <w:rsid w:val="6476F336"/>
    <w:rsid w:val="64BA04E5"/>
    <w:rsid w:val="64F5BF85"/>
    <w:rsid w:val="6540F977"/>
    <w:rsid w:val="665F46DA"/>
    <w:rsid w:val="67696733"/>
    <w:rsid w:val="67AE6075"/>
    <w:rsid w:val="67C51BBA"/>
    <w:rsid w:val="68FE83AF"/>
    <w:rsid w:val="69101D4C"/>
    <w:rsid w:val="69439816"/>
    <w:rsid w:val="697B2626"/>
    <w:rsid w:val="69A7A93E"/>
    <w:rsid w:val="6AC2F5C2"/>
    <w:rsid w:val="6B5B8588"/>
    <w:rsid w:val="6B97032E"/>
    <w:rsid w:val="6C967983"/>
    <w:rsid w:val="6C9D8511"/>
    <w:rsid w:val="6D00A0A2"/>
    <w:rsid w:val="6D048B3C"/>
    <w:rsid w:val="6D93242A"/>
    <w:rsid w:val="6E3F1A4B"/>
    <w:rsid w:val="6EBC2397"/>
    <w:rsid w:val="6ED0C4F4"/>
    <w:rsid w:val="6FDB0658"/>
    <w:rsid w:val="703663E2"/>
    <w:rsid w:val="715192B5"/>
    <w:rsid w:val="715A1982"/>
    <w:rsid w:val="7250A89D"/>
    <w:rsid w:val="73579310"/>
    <w:rsid w:val="73B90DE6"/>
    <w:rsid w:val="75026D65"/>
    <w:rsid w:val="75396909"/>
    <w:rsid w:val="75B67A32"/>
    <w:rsid w:val="75FE5D3D"/>
    <w:rsid w:val="76C68AD5"/>
    <w:rsid w:val="787210D3"/>
    <w:rsid w:val="7903BC55"/>
    <w:rsid w:val="792A4E8A"/>
    <w:rsid w:val="79402FFB"/>
    <w:rsid w:val="796FA444"/>
    <w:rsid w:val="79AB39F3"/>
    <w:rsid w:val="79EA8429"/>
    <w:rsid w:val="7A491B3F"/>
    <w:rsid w:val="7A8E33D8"/>
    <w:rsid w:val="7AB3853B"/>
    <w:rsid w:val="7B386674"/>
    <w:rsid w:val="7B8562A1"/>
    <w:rsid w:val="7BF019F2"/>
    <w:rsid w:val="7C527798"/>
    <w:rsid w:val="7C9D9515"/>
    <w:rsid w:val="7CC1DD60"/>
    <w:rsid w:val="7CC7BDAC"/>
    <w:rsid w:val="7D2C9359"/>
    <w:rsid w:val="7DC9E0D4"/>
    <w:rsid w:val="7E921486"/>
    <w:rsid w:val="7E955167"/>
    <w:rsid w:val="7F37BFEA"/>
    <w:rsid w:val="7F64FD84"/>
    <w:rsid w:val="7F66C7D7"/>
    <w:rsid w:val="7F8E0D0C"/>
    <w:rsid w:val="7FB873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70850"/>
  <w15:chartTrackingRefBased/>
  <w15:docId w15:val="{5116F0A7-1727-4620-829A-E71A6D9B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D4"/>
    <w:pPr>
      <w:spacing w:after="120" w:line="320" w:lineRule="atLeast"/>
    </w:pPr>
    <w:rPr>
      <w:rFonts w:asciiTheme="minorHAnsi" w:hAnsiTheme="minorHAnsi" w:cstheme="minorBidi"/>
      <w:sz w:val="22"/>
    </w:rPr>
  </w:style>
  <w:style w:type="paragraph" w:styleId="Heading1">
    <w:name w:val="heading 1"/>
    <w:basedOn w:val="Normal"/>
    <w:next w:val="Normal"/>
    <w:link w:val="Heading1Char"/>
    <w:uiPriority w:val="9"/>
    <w:qFormat/>
    <w:rsid w:val="00935BFD"/>
    <w:pPr>
      <w:spacing w:before="360" w:line="280" w:lineRule="atLeast"/>
      <w:ind w:right="284"/>
      <w:outlineLvl w:val="0"/>
    </w:pPr>
    <w:rPr>
      <w:color w:val="212492" w:themeColor="accent1"/>
      <w:sz w:val="40"/>
      <w:szCs w:val="40"/>
    </w:rPr>
  </w:style>
  <w:style w:type="paragraph" w:styleId="Heading2">
    <w:name w:val="heading 2"/>
    <w:basedOn w:val="Normal"/>
    <w:next w:val="Normal"/>
    <w:link w:val="Heading2Char"/>
    <w:uiPriority w:val="9"/>
    <w:unhideWhenUsed/>
    <w:qFormat/>
    <w:rsid w:val="00335DFD"/>
    <w:pPr>
      <w:keepNext/>
      <w:keepLines/>
      <w:spacing w:before="160" w:after="80"/>
      <w:outlineLvl w:val="1"/>
    </w:pPr>
    <w:rPr>
      <w:rFonts w:asciiTheme="majorHAnsi" w:eastAsiaTheme="majorEastAsia" w:hAnsiTheme="majorHAnsi" w:cstheme="majorBidi"/>
      <w:color w:val="212492" w:themeColor="accent1"/>
      <w:sz w:val="32"/>
      <w:szCs w:val="32"/>
    </w:rPr>
  </w:style>
  <w:style w:type="paragraph" w:styleId="Heading3">
    <w:name w:val="heading 3"/>
    <w:basedOn w:val="Normal"/>
    <w:next w:val="Normal"/>
    <w:link w:val="Heading3Char"/>
    <w:uiPriority w:val="9"/>
    <w:unhideWhenUsed/>
    <w:qFormat/>
    <w:rsid w:val="00F37F95"/>
    <w:pPr>
      <w:keepNext/>
      <w:keepLines/>
      <w:spacing w:before="240"/>
      <w:outlineLvl w:val="2"/>
    </w:pPr>
    <w:rPr>
      <w:rFonts w:eastAsiaTheme="majorEastAsia" w:cstheme="majorBidi"/>
      <w:color w:val="212492" w:themeColor="accent1"/>
      <w:sz w:val="28"/>
      <w:szCs w:val="28"/>
    </w:rPr>
  </w:style>
  <w:style w:type="paragraph" w:styleId="Heading4">
    <w:name w:val="heading 4"/>
    <w:basedOn w:val="Normal"/>
    <w:next w:val="Normal"/>
    <w:link w:val="Heading4Char"/>
    <w:uiPriority w:val="9"/>
    <w:unhideWhenUsed/>
    <w:qFormat/>
    <w:rsid w:val="00F37F95"/>
    <w:pPr>
      <w:keepNext/>
      <w:keepLines/>
      <w:spacing w:before="80" w:after="40"/>
      <w:outlineLvl w:val="3"/>
    </w:pPr>
    <w:rPr>
      <w:rFonts w:eastAsiaTheme="majorEastAsia" w:cstheme="majorBidi"/>
      <w:iCs/>
      <w:color w:val="212492" w:themeColor="accent1"/>
      <w:sz w:val="24"/>
    </w:rPr>
  </w:style>
  <w:style w:type="paragraph" w:styleId="Heading5">
    <w:name w:val="heading 5"/>
    <w:basedOn w:val="Normal"/>
    <w:next w:val="Normal"/>
    <w:link w:val="Heading5Char"/>
    <w:uiPriority w:val="9"/>
    <w:semiHidden/>
    <w:unhideWhenUsed/>
    <w:qFormat/>
    <w:rsid w:val="00134C5E"/>
    <w:pPr>
      <w:keepNext/>
      <w:keepLines/>
      <w:spacing w:before="80" w:after="40"/>
      <w:outlineLvl w:val="4"/>
    </w:pPr>
    <w:rPr>
      <w:rFonts w:eastAsiaTheme="majorEastAsia" w:cstheme="majorBidi"/>
      <w:color w:val="181A6D" w:themeColor="accent1" w:themeShade="BF"/>
    </w:rPr>
  </w:style>
  <w:style w:type="paragraph" w:styleId="Heading6">
    <w:name w:val="heading 6"/>
    <w:basedOn w:val="Normal"/>
    <w:next w:val="Normal"/>
    <w:link w:val="Heading6Char"/>
    <w:uiPriority w:val="9"/>
    <w:semiHidden/>
    <w:unhideWhenUsed/>
    <w:qFormat/>
    <w:rsid w:val="0013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BFD"/>
    <w:rPr>
      <w:rFonts w:asciiTheme="minorHAnsi" w:hAnsiTheme="minorHAnsi" w:cstheme="minorBidi"/>
      <w:color w:val="212492" w:themeColor="accent1"/>
      <w:sz w:val="40"/>
      <w:szCs w:val="40"/>
    </w:rPr>
  </w:style>
  <w:style w:type="character" w:customStyle="1" w:styleId="Heading2Char">
    <w:name w:val="Heading 2 Char"/>
    <w:basedOn w:val="DefaultParagraphFont"/>
    <w:link w:val="Heading2"/>
    <w:uiPriority w:val="9"/>
    <w:rsid w:val="00335DFD"/>
    <w:rPr>
      <w:rFonts w:asciiTheme="majorHAnsi" w:eastAsiaTheme="majorEastAsia" w:hAnsiTheme="majorHAnsi" w:cstheme="majorBidi"/>
      <w:color w:val="212492" w:themeColor="accent1"/>
      <w:sz w:val="32"/>
      <w:szCs w:val="32"/>
    </w:rPr>
  </w:style>
  <w:style w:type="character" w:customStyle="1" w:styleId="Heading3Char">
    <w:name w:val="Heading 3 Char"/>
    <w:basedOn w:val="DefaultParagraphFont"/>
    <w:link w:val="Heading3"/>
    <w:uiPriority w:val="9"/>
    <w:rsid w:val="00F37F95"/>
    <w:rPr>
      <w:rFonts w:asciiTheme="minorHAnsi" w:eastAsiaTheme="majorEastAsia" w:hAnsiTheme="minorHAnsi" w:cstheme="majorBidi"/>
      <w:color w:val="212492" w:themeColor="accent1"/>
      <w:sz w:val="28"/>
      <w:szCs w:val="28"/>
    </w:rPr>
  </w:style>
  <w:style w:type="character" w:customStyle="1" w:styleId="Heading4Char">
    <w:name w:val="Heading 4 Char"/>
    <w:basedOn w:val="DefaultParagraphFont"/>
    <w:link w:val="Heading4"/>
    <w:uiPriority w:val="9"/>
    <w:rsid w:val="00F37F95"/>
    <w:rPr>
      <w:rFonts w:asciiTheme="minorHAnsi" w:eastAsiaTheme="majorEastAsia" w:hAnsiTheme="minorHAnsi" w:cstheme="majorBidi"/>
      <w:iCs/>
      <w:color w:val="212492" w:themeColor="accent1"/>
      <w:sz w:val="24"/>
    </w:rPr>
  </w:style>
  <w:style w:type="character" w:customStyle="1" w:styleId="Heading5Char">
    <w:name w:val="Heading 5 Char"/>
    <w:basedOn w:val="DefaultParagraphFont"/>
    <w:link w:val="Heading5"/>
    <w:uiPriority w:val="9"/>
    <w:semiHidden/>
    <w:rsid w:val="00134C5E"/>
    <w:rPr>
      <w:rFonts w:asciiTheme="minorHAnsi" w:eastAsiaTheme="majorEastAsia" w:hAnsiTheme="minorHAnsi" w:cstheme="majorBidi"/>
      <w:color w:val="181A6D" w:themeColor="accent1" w:themeShade="BF"/>
    </w:rPr>
  </w:style>
  <w:style w:type="character" w:customStyle="1" w:styleId="Heading6Char">
    <w:name w:val="Heading 6 Char"/>
    <w:basedOn w:val="DefaultParagraphFont"/>
    <w:link w:val="Heading6"/>
    <w:uiPriority w:val="9"/>
    <w:semiHidden/>
    <w:rsid w:val="00134C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4C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4C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4C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C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4C5E"/>
    <w:pPr>
      <w:spacing w:before="160"/>
      <w:jc w:val="center"/>
    </w:pPr>
    <w:rPr>
      <w:i/>
      <w:iCs/>
      <w:color w:val="404040" w:themeColor="text1" w:themeTint="BF"/>
    </w:rPr>
  </w:style>
  <w:style w:type="character" w:customStyle="1" w:styleId="QuoteChar">
    <w:name w:val="Quote Char"/>
    <w:basedOn w:val="DefaultParagraphFont"/>
    <w:link w:val="Quote"/>
    <w:uiPriority w:val="29"/>
    <w:rsid w:val="00134C5E"/>
    <w:rPr>
      <w:i/>
      <w:iCs/>
      <w:color w:val="404040" w:themeColor="text1" w:themeTint="BF"/>
    </w:rPr>
  </w:style>
  <w:style w:type="paragraph" w:styleId="ListParagraph">
    <w:name w:val="List Paragraph"/>
    <w:aliases w:val="CAB - List Bullet,LP,List Bullet Cab,List Paragraph1,List1,Normal paragraph text,cS List Paragraph,SEP List Paragraph,Recommendation,Bullet point,Bullets,CV text,Dot pt,F5 List Paragraph,FooterText,L,List Paragraph11,List Paragraph111,列,l"/>
    <w:basedOn w:val="Normal"/>
    <w:link w:val="ListParagraphChar"/>
    <w:uiPriority w:val="34"/>
    <w:qFormat/>
    <w:rsid w:val="00134C5E"/>
    <w:pPr>
      <w:ind w:left="720"/>
      <w:contextualSpacing/>
    </w:pPr>
  </w:style>
  <w:style w:type="character" w:styleId="IntenseEmphasis">
    <w:name w:val="Intense Emphasis"/>
    <w:basedOn w:val="DefaultParagraphFont"/>
    <w:uiPriority w:val="21"/>
    <w:qFormat/>
    <w:rsid w:val="00134C5E"/>
    <w:rPr>
      <w:i/>
      <w:iCs/>
      <w:color w:val="181A6D" w:themeColor="accent1" w:themeShade="BF"/>
    </w:rPr>
  </w:style>
  <w:style w:type="paragraph" w:styleId="IntenseQuote">
    <w:name w:val="Intense Quote"/>
    <w:basedOn w:val="Normal"/>
    <w:next w:val="Normal"/>
    <w:link w:val="IntenseQuoteChar"/>
    <w:uiPriority w:val="30"/>
    <w:qFormat/>
    <w:rsid w:val="00134C5E"/>
    <w:pPr>
      <w:pBdr>
        <w:top w:val="single" w:sz="4" w:space="10" w:color="181A6D" w:themeColor="accent1" w:themeShade="BF"/>
        <w:bottom w:val="single" w:sz="4" w:space="10" w:color="181A6D" w:themeColor="accent1" w:themeShade="BF"/>
      </w:pBdr>
      <w:spacing w:before="360" w:after="360"/>
      <w:ind w:left="864" w:right="864"/>
      <w:jc w:val="center"/>
    </w:pPr>
    <w:rPr>
      <w:i/>
      <w:iCs/>
      <w:color w:val="181A6D" w:themeColor="accent1" w:themeShade="BF"/>
    </w:rPr>
  </w:style>
  <w:style w:type="character" w:customStyle="1" w:styleId="IntenseQuoteChar">
    <w:name w:val="Intense Quote Char"/>
    <w:basedOn w:val="DefaultParagraphFont"/>
    <w:link w:val="IntenseQuote"/>
    <w:uiPriority w:val="30"/>
    <w:rsid w:val="00134C5E"/>
    <w:rPr>
      <w:i/>
      <w:iCs/>
      <w:color w:val="181A6D" w:themeColor="accent1" w:themeShade="BF"/>
    </w:rPr>
  </w:style>
  <w:style w:type="character" w:styleId="IntenseReference">
    <w:name w:val="Intense Reference"/>
    <w:basedOn w:val="DefaultParagraphFont"/>
    <w:uiPriority w:val="32"/>
    <w:qFormat/>
    <w:rsid w:val="00134C5E"/>
    <w:rPr>
      <w:b/>
      <w:bCs/>
      <w:smallCaps/>
      <w:color w:val="181A6D" w:themeColor="accent1" w:themeShade="BF"/>
      <w:spacing w:val="5"/>
    </w:rPr>
  </w:style>
  <w:style w:type="character" w:customStyle="1" w:styleId="ListParagraphChar">
    <w:name w:val="List Paragraph Char"/>
    <w:aliases w:val="CAB - List Bullet Char,LP Char,List Bullet Cab Char,List Paragraph1 Char,List1 Char,Normal paragraph text Char,cS List Paragraph Char,SEP List Paragraph Char,Recommendation Char,Bullet point Char,Bullets Char,CV text Char,Dot pt Char"/>
    <w:link w:val="ListParagraph"/>
    <w:uiPriority w:val="34"/>
    <w:qFormat/>
    <w:rsid w:val="00134C5E"/>
  </w:style>
  <w:style w:type="table" w:styleId="TableGrid">
    <w:name w:val="Table Grid"/>
    <w:aliases w:val="Table No Border"/>
    <w:basedOn w:val="TableNormal"/>
    <w:uiPriority w:val="39"/>
    <w:rsid w:val="00134C5E"/>
    <w:pPr>
      <w:spacing w:after="0" w:line="240" w:lineRule="auto"/>
    </w:pPr>
    <w:rPr>
      <w:rFonts w:asciiTheme="minorHAnsi" w:hAnsi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134C5E"/>
    <w:rPr>
      <w:color w:val="212492" w:themeColor="hyperlink"/>
      <w:u w:val="single"/>
    </w:rPr>
  </w:style>
  <w:style w:type="character" w:styleId="CommentReference">
    <w:name w:val="annotation reference"/>
    <w:basedOn w:val="DefaultParagraphFont"/>
    <w:uiPriority w:val="99"/>
    <w:semiHidden/>
    <w:unhideWhenUsed/>
    <w:rsid w:val="00134C5E"/>
    <w:rPr>
      <w:sz w:val="16"/>
      <w:szCs w:val="16"/>
    </w:rPr>
  </w:style>
  <w:style w:type="paragraph" w:styleId="CommentText">
    <w:name w:val="annotation text"/>
    <w:basedOn w:val="Normal"/>
    <w:link w:val="CommentTextChar"/>
    <w:uiPriority w:val="99"/>
    <w:unhideWhenUsed/>
    <w:rsid w:val="00134C5E"/>
    <w:pPr>
      <w:spacing w:line="240" w:lineRule="auto"/>
    </w:pPr>
    <w:rPr>
      <w:szCs w:val="20"/>
    </w:rPr>
  </w:style>
  <w:style w:type="character" w:customStyle="1" w:styleId="CommentTextChar">
    <w:name w:val="Comment Text Char"/>
    <w:basedOn w:val="DefaultParagraphFont"/>
    <w:link w:val="CommentText"/>
    <w:uiPriority w:val="99"/>
    <w:rsid w:val="00134C5E"/>
    <w:rPr>
      <w:rFonts w:asciiTheme="minorHAnsi" w:hAnsiTheme="minorHAnsi" w:cstheme="minorBidi"/>
      <w:szCs w:val="20"/>
    </w:rPr>
  </w:style>
  <w:style w:type="paragraph" w:styleId="Caption">
    <w:name w:val="caption"/>
    <w:basedOn w:val="Normal"/>
    <w:next w:val="Normal"/>
    <w:uiPriority w:val="35"/>
    <w:unhideWhenUsed/>
    <w:qFormat/>
    <w:rsid w:val="00335DFD"/>
    <w:pPr>
      <w:tabs>
        <w:tab w:val="left" w:pos="1134"/>
      </w:tabs>
      <w:spacing w:before="240" w:after="200" w:line="240" w:lineRule="auto"/>
    </w:pPr>
    <w:rPr>
      <w:i/>
      <w:iCs/>
      <w:color w:val="212492" w:themeColor="accent1"/>
      <w:szCs w:val="18"/>
    </w:rPr>
  </w:style>
  <w:style w:type="paragraph" w:styleId="Header">
    <w:name w:val="header"/>
    <w:basedOn w:val="Normal"/>
    <w:link w:val="HeaderChar"/>
    <w:uiPriority w:val="99"/>
    <w:unhideWhenUsed/>
    <w:rsid w:val="00134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C5E"/>
    <w:rPr>
      <w:rFonts w:asciiTheme="minorHAnsi" w:hAnsiTheme="minorHAnsi" w:cstheme="minorBidi"/>
    </w:rPr>
  </w:style>
  <w:style w:type="paragraph" w:styleId="Footer">
    <w:name w:val="footer"/>
    <w:basedOn w:val="Normal"/>
    <w:link w:val="FooterChar"/>
    <w:uiPriority w:val="99"/>
    <w:unhideWhenUsed/>
    <w:rsid w:val="00134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C5E"/>
    <w:rPr>
      <w:rFonts w:asciiTheme="minorHAnsi" w:hAnsiTheme="minorHAnsi" w:cstheme="minorBidi"/>
    </w:rPr>
  </w:style>
  <w:style w:type="table" w:styleId="PlainTable2">
    <w:name w:val="Plain Table 2"/>
    <w:basedOn w:val="TableNormal"/>
    <w:uiPriority w:val="42"/>
    <w:rsid w:val="00134C5E"/>
    <w:pPr>
      <w:spacing w:after="0" w:line="240" w:lineRule="auto"/>
    </w:pPr>
    <w:rPr>
      <w:rFonts w:asciiTheme="minorHAnsi" w:hAnsiTheme="minorHAnsi" w:cstheme="minorBidi"/>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252AEB"/>
    <w:rPr>
      <w:b/>
      <w:bCs/>
    </w:rPr>
  </w:style>
  <w:style w:type="character" w:customStyle="1" w:styleId="CommentSubjectChar">
    <w:name w:val="Comment Subject Char"/>
    <w:basedOn w:val="CommentTextChar"/>
    <w:link w:val="CommentSubject"/>
    <w:uiPriority w:val="99"/>
    <w:semiHidden/>
    <w:rsid w:val="00252AEB"/>
    <w:rPr>
      <w:rFonts w:asciiTheme="minorHAnsi" w:hAnsiTheme="minorHAnsi" w:cstheme="minorBidi"/>
      <w:b/>
      <w:bCs/>
      <w:szCs w:val="20"/>
    </w:rPr>
  </w:style>
  <w:style w:type="paragraph" w:styleId="Revision">
    <w:name w:val="Revision"/>
    <w:hidden/>
    <w:uiPriority w:val="99"/>
    <w:semiHidden/>
    <w:rsid w:val="00352197"/>
    <w:pPr>
      <w:spacing w:after="0" w:line="240" w:lineRule="auto"/>
    </w:pPr>
    <w:rPr>
      <w:rFonts w:asciiTheme="minorHAnsi" w:hAnsiTheme="minorHAnsi" w:cstheme="minorBidi"/>
    </w:rPr>
  </w:style>
  <w:style w:type="character" w:styleId="Mention">
    <w:name w:val="Mention"/>
    <w:basedOn w:val="DefaultParagraphFont"/>
    <w:uiPriority w:val="99"/>
    <w:unhideWhenUsed/>
    <w:rsid w:val="009C4837"/>
    <w:rPr>
      <w:color w:val="2B579A"/>
      <w:shd w:val="clear" w:color="auto" w:fill="E1DFDD"/>
    </w:rPr>
  </w:style>
  <w:style w:type="character" w:styleId="UnresolvedMention">
    <w:name w:val="Unresolved Mention"/>
    <w:basedOn w:val="DefaultParagraphFont"/>
    <w:uiPriority w:val="99"/>
    <w:semiHidden/>
    <w:unhideWhenUsed/>
    <w:rsid w:val="007F68F3"/>
    <w:rPr>
      <w:color w:val="605E5C"/>
      <w:shd w:val="clear" w:color="auto" w:fill="E1DFDD"/>
    </w:rPr>
  </w:style>
  <w:style w:type="paragraph" w:styleId="FootnoteText">
    <w:name w:val="footnote text"/>
    <w:basedOn w:val="Normal"/>
    <w:link w:val="FootnoteTextChar"/>
    <w:uiPriority w:val="99"/>
    <w:unhideWhenUsed/>
    <w:rsid w:val="00F109F3"/>
    <w:pPr>
      <w:spacing w:after="0" w:line="240" w:lineRule="auto"/>
    </w:pPr>
    <w:rPr>
      <w:sz w:val="20"/>
      <w:szCs w:val="20"/>
    </w:rPr>
  </w:style>
  <w:style w:type="character" w:customStyle="1" w:styleId="FootnoteTextChar">
    <w:name w:val="Footnote Text Char"/>
    <w:basedOn w:val="DefaultParagraphFont"/>
    <w:link w:val="FootnoteText"/>
    <w:uiPriority w:val="99"/>
    <w:rsid w:val="00F109F3"/>
    <w:rPr>
      <w:rFonts w:asciiTheme="minorHAnsi" w:hAnsiTheme="minorHAnsi" w:cstheme="minorBidi"/>
      <w:szCs w:val="20"/>
    </w:rPr>
  </w:style>
  <w:style w:type="character" w:styleId="FootnoteReference">
    <w:name w:val="footnote reference"/>
    <w:basedOn w:val="DefaultParagraphFont"/>
    <w:uiPriority w:val="99"/>
    <w:semiHidden/>
    <w:unhideWhenUsed/>
    <w:rsid w:val="00F109F3"/>
    <w:rPr>
      <w:vertAlign w:val="superscript"/>
    </w:rPr>
  </w:style>
  <w:style w:type="character" w:styleId="FollowedHyperlink">
    <w:name w:val="FollowedHyperlink"/>
    <w:basedOn w:val="DefaultParagraphFont"/>
    <w:uiPriority w:val="99"/>
    <w:semiHidden/>
    <w:unhideWhenUsed/>
    <w:rsid w:val="004E10EE"/>
    <w:rPr>
      <w:color w:val="212492" w:themeColor="followedHyperlink"/>
      <w:u w:val="single"/>
    </w:rPr>
  </w:style>
  <w:style w:type="paragraph" w:styleId="ListBullet">
    <w:name w:val="List Bullet"/>
    <w:basedOn w:val="ListParagraph"/>
    <w:uiPriority w:val="99"/>
    <w:unhideWhenUsed/>
    <w:rsid w:val="00F37F95"/>
    <w:pPr>
      <w:numPr>
        <w:numId w:val="3"/>
      </w:numPr>
      <w:ind w:left="714" w:hanging="357"/>
    </w:pPr>
  </w:style>
  <w:style w:type="paragraph" w:styleId="ListNumber">
    <w:name w:val="List Number"/>
    <w:basedOn w:val="Normal"/>
    <w:uiPriority w:val="99"/>
    <w:unhideWhenUsed/>
    <w:rsid w:val="00935BFD"/>
    <w:pPr>
      <w:numPr>
        <w:numId w:val="10"/>
      </w:numPr>
      <w:tabs>
        <w:tab w:val="clear" w:pos="360"/>
      </w:tabs>
      <w:spacing w:before="240" w:after="240"/>
      <w:ind w:left="584" w:hanging="357"/>
      <w:contextualSpacing/>
    </w:pPr>
  </w:style>
  <w:style w:type="character" w:styleId="Strong">
    <w:name w:val="Strong"/>
    <w:basedOn w:val="DefaultParagraphFont"/>
    <w:uiPriority w:val="22"/>
    <w:qFormat/>
    <w:rsid w:val="00F37F95"/>
    <w:rPr>
      <w:b/>
      <w:bCs/>
      <w:color w:val="21249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teams.microsoft.com/event/499048e1-6a4c-4262-b28b-e0691d78646d@b6e377cf-9db3-46cb-91a2-fad9605bb15c" TargetMode="External"/><Relationship Id="rId18" Type="http://schemas.openxmlformats.org/officeDocument/2006/relationships/hyperlink" Target="https://events.teams.microsoft.com/event/793fd59a-c65a-4ed5-b874-a2ab0fad976b@b6e377cf-9db3-46cb-91a2-fad9605bb15c" TargetMode="External"/><Relationship Id="rId26" Type="http://schemas.openxmlformats.org/officeDocument/2006/relationships/footer" Target="footer2.xml"/><Relationship Id="rId21" Type="http://schemas.openxmlformats.org/officeDocument/2006/relationships/hyperlink" Target="mailto:acdarr.project@uq.edu.au"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vents.teams.microsoft.com/event/566013c0-f1eb-45bb-89cb-345aa6cfa844@b6e377cf-9db3-46cb-91a2-fad9605bb15c"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events.teams.microsoft.com/event/45942f76-c2d9-4019-b3b8-88685c27a391@b6e377cf-9db3-46cb-91a2-fad9605bb15c" TargetMode="External"/><Relationship Id="rId20" Type="http://schemas.openxmlformats.org/officeDocument/2006/relationships/hyperlink" Target="https://uniofqueensland.syd1.qualtrics.com/jfe/form/SV_em1DpeM7IhOJ0qO"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oter" Target="footer5.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vents.teams.microsoft.com/event/0dc9026e-d2d8-41b2-80c8-21f8c644372f@b6e377cf-9db3-46cb-91a2-fad9605bb15c"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darr.project@uq.edu.a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teams.microsoft.com/event/96517c79-62e1-4006-b892-3ff16be7047e@b6e377cf-9db3-46cb-91a2-fad9605bb15c" TargetMode="External"/><Relationship Id="rId22" Type="http://schemas.openxmlformats.org/officeDocument/2006/relationships/hyperlink" Target="https://www.health.gov.au/sites/default/files/2025-09/gpms-conceptual-data-model.pdf"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digitalhealthcrc.com/wp-content/uploads/2025/03/DHCRC-interRAI-Implementation-Feasibility-Analysis-Final.pdf" TargetMode="External"/><Relationship Id="rId2" Type="http://schemas.openxmlformats.org/officeDocument/2006/relationships/hyperlink" Target="https://digitalhealthcrc.com/wp-content/uploads/2025/03/AgedCareDataLandscape_DHCRC-CSIRO-Report.pdf" TargetMode="External"/><Relationship Id="rId1" Type="http://schemas.openxmlformats.org/officeDocument/2006/relationships/hyperlink" Target="https://www.health.gov.au/resources/collections/aged-care-data-and-digital-strategy-2024-2029" TargetMode="External"/></Relationships>
</file>

<file path=word/theme/theme1.xml><?xml version="1.0" encoding="utf-8"?>
<a:theme xmlns:a="http://schemas.openxmlformats.org/drawingml/2006/main" name="Office Theme">
  <a:themeElements>
    <a:clrScheme name="NARI template">
      <a:dk1>
        <a:sysClr val="windowText" lastClr="000000"/>
      </a:dk1>
      <a:lt1>
        <a:sysClr val="window" lastClr="FFFFFF"/>
      </a:lt1>
      <a:dk2>
        <a:srgbClr val="1F497D"/>
      </a:dk2>
      <a:lt2>
        <a:srgbClr val="EEECE1"/>
      </a:lt2>
      <a:accent1>
        <a:srgbClr val="212492"/>
      </a:accent1>
      <a:accent2>
        <a:srgbClr val="00693C"/>
      </a:accent2>
      <a:accent3>
        <a:srgbClr val="006FBA"/>
      </a:accent3>
      <a:accent4>
        <a:srgbClr val="FDC846"/>
      </a:accent4>
      <a:accent5>
        <a:srgbClr val="F58220"/>
      </a:accent5>
      <a:accent6>
        <a:srgbClr val="69BE28"/>
      </a:accent6>
      <a:hlink>
        <a:srgbClr val="212492"/>
      </a:hlink>
      <a:folHlink>
        <a:srgbClr val="2124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1EBA04380B44684F10F16CAFB81B5" ma:contentTypeVersion="12" ma:contentTypeDescription="Create a new document." ma:contentTypeScope="" ma:versionID="75826d53bbe0b567c88e86c0211a84bb">
  <xsd:schema xmlns:xsd="http://www.w3.org/2001/XMLSchema" xmlns:xs="http://www.w3.org/2001/XMLSchema" xmlns:p="http://schemas.microsoft.com/office/2006/metadata/properties" xmlns:ns2="dea6e6b1-95cb-4f28-9640-71299452abf3" xmlns:ns3="138ac273-8506-4894-9cc5-43d30705a94b" targetNamespace="http://schemas.microsoft.com/office/2006/metadata/properties" ma:root="true" ma:fieldsID="573dfcd40da567ea6b46cf4dd91e3d1d" ns2:_="" ns3:_="">
    <xsd:import namespace="dea6e6b1-95cb-4f28-9640-71299452abf3"/>
    <xsd:import namespace="138ac273-8506-4894-9cc5-43d30705a9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6e6b1-95cb-4f28-9640-71299452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s" ma:index="15" nillable="true" ma:displayName="Notes" ma:format="Dropdown" ma:internalName="Note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ac273-8506-4894-9cc5-43d30705a9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220ec5-fefe-49ee-a0da-6fbb84a8ea29}" ma:internalName="TaxCatchAll" ma:showField="CatchAllData" ma:web="138ac273-8506-4894-9cc5-43d30705a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8ac273-8506-4894-9cc5-43d30705a94b" xsi:nil="true"/>
    <lcf76f155ced4ddcb4097134ff3c332f xmlns="dea6e6b1-95cb-4f28-9640-71299452abf3">
      <Terms xmlns="http://schemas.microsoft.com/office/infopath/2007/PartnerControls"/>
    </lcf76f155ced4ddcb4097134ff3c332f>
    <Notes xmlns="dea6e6b1-95cb-4f28-9640-71299452ab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CB27E-3591-4F00-ACE2-99EC3C88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6e6b1-95cb-4f28-9640-71299452abf3"/>
    <ds:schemaRef ds:uri="138ac273-8506-4894-9cc5-43d30705a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A1FEA-24EB-4971-812C-B38055B4642C}">
  <ds:schemaRefs>
    <ds:schemaRef ds:uri="http://schemas.microsoft.com/sharepoint/v3/contenttype/forms"/>
  </ds:schemaRefs>
</ds:datastoreItem>
</file>

<file path=customXml/itemProps3.xml><?xml version="1.0" encoding="utf-8"?>
<ds:datastoreItem xmlns:ds="http://schemas.openxmlformats.org/officeDocument/2006/customXml" ds:itemID="{7AAEFCAB-384F-48F4-8BA4-AA2304B399D3}">
  <ds:schemaRefs>
    <ds:schemaRef ds:uri="http://schemas.microsoft.com/office/2006/metadata/properties"/>
    <ds:schemaRef ds:uri="http://schemas.microsoft.com/office/infopath/2007/PartnerControls"/>
    <ds:schemaRef ds:uri="138ac273-8506-4894-9cc5-43d30705a94b"/>
    <ds:schemaRef ds:uri="dea6e6b1-95cb-4f28-9640-71299452abf3"/>
  </ds:schemaRefs>
</ds:datastoreItem>
</file>

<file path=customXml/itemProps4.xml><?xml version="1.0" encoding="utf-8"?>
<ds:datastoreItem xmlns:ds="http://schemas.openxmlformats.org/officeDocument/2006/customXml" ds:itemID="{D6ED988C-60E3-4C7A-A2E4-121296A0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5452</Words>
  <Characters>31407</Characters>
  <Application>Microsoft Office Word</Application>
  <DocSecurity>0</DocSecurity>
  <Lines>923</Lines>
  <Paragraphs>526</Paragraphs>
  <ScaleCrop>false</ScaleCrop>
  <HeadingPairs>
    <vt:vector size="2" baseType="variant">
      <vt:variant>
        <vt:lpstr>Title</vt:lpstr>
      </vt:variant>
      <vt:variant>
        <vt:i4>1</vt:i4>
      </vt:variant>
    </vt:vector>
  </HeadingPairs>
  <TitlesOfParts>
    <vt:vector size="1" baseType="lpstr">
      <vt:lpstr>Aged Care Data and Reporting Review Project: Phase 2 Consultation Paper</vt:lpstr>
    </vt:vector>
  </TitlesOfParts>
  <Company>Department of Health, Disability and Ageing</Company>
  <LinksUpToDate>false</LinksUpToDate>
  <CharactersWithSpaces>36333</CharactersWithSpaces>
  <SharedDoc>false</SharedDoc>
  <HLinks>
    <vt:vector size="78" baseType="variant">
      <vt:variant>
        <vt:i4>720898</vt:i4>
      </vt:variant>
      <vt:variant>
        <vt:i4>27</vt:i4>
      </vt:variant>
      <vt:variant>
        <vt:i4>0</vt:i4>
      </vt:variant>
      <vt:variant>
        <vt:i4>5</vt:i4>
      </vt:variant>
      <vt:variant>
        <vt:lpwstr>https://www.health.gov.au/sites/default/files/2025-09/gpms-conceptual-data-model.pdf</vt:lpwstr>
      </vt:variant>
      <vt:variant>
        <vt:lpwstr/>
      </vt:variant>
      <vt:variant>
        <vt:i4>37</vt:i4>
      </vt:variant>
      <vt:variant>
        <vt:i4>24</vt:i4>
      </vt:variant>
      <vt:variant>
        <vt:i4>0</vt:i4>
      </vt:variant>
      <vt:variant>
        <vt:i4>5</vt:i4>
      </vt:variant>
      <vt:variant>
        <vt:lpwstr>mailto:acdarr.project@uq.edu.au</vt:lpwstr>
      </vt:variant>
      <vt:variant>
        <vt:lpwstr/>
      </vt:variant>
      <vt:variant>
        <vt:i4>2883660</vt:i4>
      </vt:variant>
      <vt:variant>
        <vt:i4>21</vt:i4>
      </vt:variant>
      <vt:variant>
        <vt:i4>0</vt:i4>
      </vt:variant>
      <vt:variant>
        <vt:i4>5</vt:i4>
      </vt:variant>
      <vt:variant>
        <vt:lpwstr>https://uniofqueensland.syd1.qualtrics.com/jfe/form/SV_em1DpeM7IhOJ0qO</vt:lpwstr>
      </vt:variant>
      <vt:variant>
        <vt:lpwstr/>
      </vt:variant>
      <vt:variant>
        <vt:i4>37</vt:i4>
      </vt:variant>
      <vt:variant>
        <vt:i4>18</vt:i4>
      </vt:variant>
      <vt:variant>
        <vt:i4>0</vt:i4>
      </vt:variant>
      <vt:variant>
        <vt:i4>5</vt:i4>
      </vt:variant>
      <vt:variant>
        <vt:lpwstr>mailto:acdarr.project@uq.edu.au</vt:lpwstr>
      </vt:variant>
      <vt:variant>
        <vt:lpwstr/>
      </vt:variant>
      <vt:variant>
        <vt:i4>720946</vt:i4>
      </vt:variant>
      <vt:variant>
        <vt:i4>15</vt:i4>
      </vt:variant>
      <vt:variant>
        <vt:i4>0</vt:i4>
      </vt:variant>
      <vt:variant>
        <vt:i4>5</vt:i4>
      </vt:variant>
      <vt:variant>
        <vt:lpwstr>https://events.teams.microsoft.com/event/793fd59a-c65a-4ed5-b874-a2ab0fad976b@b6e377cf-9db3-46cb-91a2-fad9605bb15c</vt:lpwstr>
      </vt:variant>
      <vt:variant>
        <vt:lpwstr/>
      </vt:variant>
      <vt:variant>
        <vt:i4>5832814</vt:i4>
      </vt:variant>
      <vt:variant>
        <vt:i4>12</vt:i4>
      </vt:variant>
      <vt:variant>
        <vt:i4>0</vt:i4>
      </vt:variant>
      <vt:variant>
        <vt:i4>5</vt:i4>
      </vt:variant>
      <vt:variant>
        <vt:lpwstr>https://events.teams.microsoft.com/event/566013c0-f1eb-45bb-89cb-345aa6cfa844@b6e377cf-9db3-46cb-91a2-fad9605bb15c</vt:lpwstr>
      </vt:variant>
      <vt:variant>
        <vt:lpwstr/>
      </vt:variant>
      <vt:variant>
        <vt:i4>5963876</vt:i4>
      </vt:variant>
      <vt:variant>
        <vt:i4>9</vt:i4>
      </vt:variant>
      <vt:variant>
        <vt:i4>0</vt:i4>
      </vt:variant>
      <vt:variant>
        <vt:i4>5</vt:i4>
      </vt:variant>
      <vt:variant>
        <vt:lpwstr>https://events.teams.microsoft.com/event/45942f76-c2d9-4019-b3b8-88685c27a391@b6e377cf-9db3-46cb-91a2-fad9605bb15c</vt:lpwstr>
      </vt:variant>
      <vt:variant>
        <vt:lpwstr/>
      </vt:variant>
      <vt:variant>
        <vt:i4>262245</vt:i4>
      </vt:variant>
      <vt:variant>
        <vt:i4>6</vt:i4>
      </vt:variant>
      <vt:variant>
        <vt:i4>0</vt:i4>
      </vt:variant>
      <vt:variant>
        <vt:i4>5</vt:i4>
      </vt:variant>
      <vt:variant>
        <vt:lpwstr>https://events.teams.microsoft.com/event/0dc9026e-d2d8-41b2-80c8-21f8c644372f@b6e377cf-9db3-46cb-91a2-fad9605bb15c</vt:lpwstr>
      </vt:variant>
      <vt:variant>
        <vt:lpwstr/>
      </vt:variant>
      <vt:variant>
        <vt:i4>458861</vt:i4>
      </vt:variant>
      <vt:variant>
        <vt:i4>3</vt:i4>
      </vt:variant>
      <vt:variant>
        <vt:i4>0</vt:i4>
      </vt:variant>
      <vt:variant>
        <vt:i4>5</vt:i4>
      </vt:variant>
      <vt:variant>
        <vt:lpwstr>https://events.teams.microsoft.com/event/96517c79-62e1-4006-b892-3ff16be7047e@b6e377cf-9db3-46cb-91a2-fad9605bb15c</vt:lpwstr>
      </vt:variant>
      <vt:variant>
        <vt:lpwstr/>
      </vt:variant>
      <vt:variant>
        <vt:i4>6160432</vt:i4>
      </vt:variant>
      <vt:variant>
        <vt:i4>0</vt:i4>
      </vt:variant>
      <vt:variant>
        <vt:i4>0</vt:i4>
      </vt:variant>
      <vt:variant>
        <vt:i4>5</vt:i4>
      </vt:variant>
      <vt:variant>
        <vt:lpwstr>https://events.teams.microsoft.com/event/499048e1-6a4c-4262-b28b-e0691d78646d@b6e377cf-9db3-46cb-91a2-fad9605bb15c</vt:lpwstr>
      </vt:variant>
      <vt:variant>
        <vt:lpwstr/>
      </vt:variant>
      <vt:variant>
        <vt:i4>22</vt:i4>
      </vt:variant>
      <vt:variant>
        <vt:i4>6</vt:i4>
      </vt:variant>
      <vt:variant>
        <vt:i4>0</vt:i4>
      </vt:variant>
      <vt:variant>
        <vt:i4>5</vt:i4>
      </vt:variant>
      <vt:variant>
        <vt:lpwstr>https://digitalhealthcrc.com/wp-content/uploads/2025/03/DHCRC-interRAI-Implementation-Feasibility-Analysis-Final.pdf</vt:lpwstr>
      </vt:variant>
      <vt:variant>
        <vt:lpwstr/>
      </vt:variant>
      <vt:variant>
        <vt:i4>7340054</vt:i4>
      </vt:variant>
      <vt:variant>
        <vt:i4>3</vt:i4>
      </vt:variant>
      <vt:variant>
        <vt:i4>0</vt:i4>
      </vt:variant>
      <vt:variant>
        <vt:i4>5</vt:i4>
      </vt:variant>
      <vt:variant>
        <vt:lpwstr>https://digitalhealthcrc.com/wp-content/uploads/2025/03/AgedCareDataLandscape_DHCRC-CSIRO-Report.pdf</vt:lpwstr>
      </vt:variant>
      <vt:variant>
        <vt:lpwstr/>
      </vt:variant>
      <vt:variant>
        <vt:i4>1441866</vt:i4>
      </vt:variant>
      <vt:variant>
        <vt:i4>0</vt:i4>
      </vt:variant>
      <vt:variant>
        <vt:i4>0</vt:i4>
      </vt:variant>
      <vt:variant>
        <vt:i4>5</vt:i4>
      </vt:variant>
      <vt:variant>
        <vt:lpwstr>https://www.health.gov.au/resources/collections/aged-care-data-and-digital-strategy-2024-2029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Data and Reporting Review Project: Phase 2 Consultation Paper</dc:title>
  <dc:subject>Aged Care</dc:subject>
  <dc:creator>Australian Government Department of Health, Disability and Ageing</dc:creator>
  <cp:keywords>Aged care</cp:keywords>
  <dc:description/>
  <cp:lastModifiedBy>MASCHKE, Elvia</cp:lastModifiedBy>
  <cp:revision>5</cp:revision>
  <dcterms:created xsi:type="dcterms:W3CDTF">2026-02-19T00:43:00Z</dcterms:created>
  <dcterms:modified xsi:type="dcterms:W3CDTF">2026-02-19T00:47:00Z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373b9ebb,784a87d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627d607a,79b972b7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2026-02-18T04:12:57Z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0fb5f7a0-8297-4a05-99aa-bd44320de85c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0x010100AC11EBA04380B44684F10F16CAFB81B5</vt:lpwstr>
  </property>
  <property fmtid="{D5CDD505-2E9C-101B-9397-08002B2CF9AE}" pid="17" name="MediaServiceImageTags">
    <vt:lpwstr/>
  </property>
  <property fmtid="{D5CDD505-2E9C-101B-9397-08002B2CF9AE}" pid="18" name="MSIP_Label_0f488380-630a-4f55-a077-a19445e3f360_Enabled">
    <vt:lpwstr>true</vt:lpwstr>
  </property>
  <property fmtid="{D5CDD505-2E9C-101B-9397-08002B2CF9AE}" pid="19" name="MSIP_Label_0f488380-630a-4f55-a077-a19445e3f360_SetDate">
    <vt:lpwstr>2026-02-18T04:51:15Z</vt:lpwstr>
  </property>
  <property fmtid="{D5CDD505-2E9C-101B-9397-08002B2CF9AE}" pid="20" name="MSIP_Label_0f488380-630a-4f55-a077-a19445e3f360_Method">
    <vt:lpwstr>Standard</vt:lpwstr>
  </property>
  <property fmtid="{D5CDD505-2E9C-101B-9397-08002B2CF9AE}" pid="21" name="MSIP_Label_0f488380-630a-4f55-a077-a19445e3f360_Name">
    <vt:lpwstr>OFFICIAL - INTERNAL</vt:lpwstr>
  </property>
  <property fmtid="{D5CDD505-2E9C-101B-9397-08002B2CF9AE}" pid="22" name="MSIP_Label_0f488380-630a-4f55-a077-a19445e3f360_SiteId">
    <vt:lpwstr>b6e377cf-9db3-46cb-91a2-fad9605bb15c</vt:lpwstr>
  </property>
  <property fmtid="{D5CDD505-2E9C-101B-9397-08002B2CF9AE}" pid="23" name="MSIP_Label_0f488380-630a-4f55-a077-a19445e3f360_ActionId">
    <vt:lpwstr>7a7cf7a5-4d4f-4541-be50-d2692e46aeb6</vt:lpwstr>
  </property>
  <property fmtid="{D5CDD505-2E9C-101B-9397-08002B2CF9AE}" pid="24" name="MSIP_Label_0f488380-630a-4f55-a077-a19445e3f360_ContentBits">
    <vt:lpwstr>0</vt:lpwstr>
  </property>
  <property fmtid="{D5CDD505-2E9C-101B-9397-08002B2CF9AE}" pid="25" name="MSIP_Label_0f488380-630a-4f55-a077-a19445e3f360_Tag">
    <vt:lpwstr>10, 3, 0, 2</vt:lpwstr>
  </property>
</Properties>
</file>