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0817130"/>
    <w:p w14:paraId="448D97F8" w14:textId="167EB94B" w:rsidR="009E30CD" w:rsidRPr="003748EA" w:rsidRDefault="00667B87" w:rsidP="003748EA">
      <w:pPr>
        <w:pStyle w:val="Title"/>
      </w:pPr>
      <w:sdt>
        <w:sdtPr>
          <w:alias w:val="Title"/>
          <w:tag w:val=""/>
          <w:id w:val="-992257587"/>
          <w:placeholder>
            <w:docPart w:val="F71169D5C2A3DC4497ABEA1DD5312E77"/>
          </w:placeholder>
          <w:dataBinding w:prefixMappings="xmlns:ns0='http://purl.org/dc/elements/1.1/' xmlns:ns1='http://schemas.openxmlformats.org/package/2006/metadata/core-properties' " w:xpath="/ns1:coreProperties[1]/ns0:title[1]" w:storeItemID="{6C3C8BC8-F283-45AE-878A-BAB7291924A1}"/>
          <w:text/>
        </w:sdtPr>
        <w:sdtEndPr/>
        <w:sdtContent>
          <w:r w:rsidR="21D815E6">
            <w:t>MyMedicare Program Guidelines</w:t>
          </w:r>
        </w:sdtContent>
      </w:sdt>
      <w:bookmarkEnd w:id="0"/>
    </w:p>
    <w:p w14:paraId="52464F49" w14:textId="72181FDA" w:rsidR="00E6495A" w:rsidRDefault="1EE02B4B" w:rsidP="009E30CD">
      <w:r>
        <w:t xml:space="preserve">Effective – </w:t>
      </w:r>
      <w:r w:rsidR="00772ECC">
        <w:t>December</w:t>
      </w:r>
      <w:r w:rsidR="00B63470">
        <w:t xml:space="preserve"> 2025</w:t>
      </w:r>
    </w:p>
    <w:p w14:paraId="04573A6D" w14:textId="20FA8135" w:rsidR="00D431BF" w:rsidRDefault="00D431BF">
      <w:pPr>
        <w:spacing w:before="160" w:after="80" w:line="280" w:lineRule="atLeast"/>
      </w:pPr>
      <w:r>
        <w:br w:type="page"/>
      </w:r>
    </w:p>
    <w:sdt>
      <w:sdtPr>
        <w:rPr>
          <w:rFonts w:eastAsiaTheme="minorEastAsia" w:cstheme="minorBidi"/>
          <w:b w:val="0"/>
          <w:sz w:val="22"/>
          <w:szCs w:val="20"/>
        </w:rPr>
        <w:id w:val="9670437"/>
        <w:docPartObj>
          <w:docPartGallery w:val="Table of Contents"/>
          <w:docPartUnique/>
        </w:docPartObj>
      </w:sdtPr>
      <w:sdtEndPr/>
      <w:sdtContent>
        <w:p w14:paraId="5E6C315E" w14:textId="7563F143" w:rsidR="009E30CD" w:rsidRDefault="009E30CD" w:rsidP="004E6190">
          <w:pPr>
            <w:pStyle w:val="TOCHeading"/>
            <w:spacing w:before="0"/>
          </w:pPr>
          <w:r>
            <w:t>Contents</w:t>
          </w:r>
        </w:p>
        <w:p w14:paraId="0773613A" w14:textId="421A1797" w:rsidR="005468BA" w:rsidRDefault="4A455F35">
          <w:pPr>
            <w:pStyle w:val="TOC1"/>
            <w:tabs>
              <w:tab w:val="left" w:pos="480"/>
              <w:tab w:val="right" w:leader="dot" w:pos="9854"/>
            </w:tabs>
            <w:rPr>
              <w:rFonts w:asciiTheme="minorHAnsi" w:hAnsiTheme="minorHAnsi"/>
              <w:b w:val="0"/>
              <w:bCs w:val="0"/>
              <w:noProof/>
              <w:color w:val="auto"/>
              <w:kern w:val="2"/>
              <w:sz w:val="24"/>
              <w:szCs w:val="24"/>
              <w:u w:val="none"/>
              <w:lang w:eastAsia="en-AU"/>
              <w14:ligatures w14:val="standardContextual"/>
            </w:rPr>
          </w:pPr>
          <w:r>
            <w:fldChar w:fldCharType="begin"/>
          </w:r>
          <w:r w:rsidR="003E482A">
            <w:instrText>TOC \o "1-4" \z \u \h</w:instrText>
          </w:r>
          <w:r>
            <w:fldChar w:fldCharType="separate"/>
          </w:r>
          <w:hyperlink w:anchor="_Toc216708082" w:history="1">
            <w:r w:rsidR="005468BA" w:rsidRPr="00515896">
              <w:rPr>
                <w:rStyle w:val="Hyperlink"/>
                <w:noProof/>
              </w:rPr>
              <w:t>1</w:t>
            </w:r>
            <w:r w:rsidR="005468BA">
              <w:rPr>
                <w:rFonts w:asciiTheme="minorHAnsi" w:hAnsiTheme="minorHAnsi"/>
                <w:b w:val="0"/>
                <w:bCs w:val="0"/>
                <w:noProof/>
                <w:color w:val="auto"/>
                <w:kern w:val="2"/>
                <w:sz w:val="24"/>
                <w:szCs w:val="24"/>
                <w:u w:val="none"/>
                <w:lang w:eastAsia="en-AU"/>
                <w14:ligatures w14:val="standardContextual"/>
              </w:rPr>
              <w:tab/>
            </w:r>
            <w:r w:rsidR="005468BA" w:rsidRPr="00515896">
              <w:rPr>
                <w:rStyle w:val="Hyperlink"/>
                <w:noProof/>
              </w:rPr>
              <w:t>Introduction</w:t>
            </w:r>
            <w:r w:rsidR="005468BA">
              <w:rPr>
                <w:noProof/>
                <w:webHidden/>
              </w:rPr>
              <w:tab/>
            </w:r>
            <w:r w:rsidR="005468BA">
              <w:rPr>
                <w:noProof/>
                <w:webHidden/>
              </w:rPr>
              <w:fldChar w:fldCharType="begin"/>
            </w:r>
            <w:r w:rsidR="005468BA">
              <w:rPr>
                <w:noProof/>
                <w:webHidden/>
              </w:rPr>
              <w:instrText xml:space="preserve"> PAGEREF _Toc216708082 \h </w:instrText>
            </w:r>
            <w:r w:rsidR="005468BA">
              <w:rPr>
                <w:noProof/>
                <w:webHidden/>
              </w:rPr>
            </w:r>
            <w:r w:rsidR="005468BA">
              <w:rPr>
                <w:noProof/>
                <w:webHidden/>
              </w:rPr>
              <w:fldChar w:fldCharType="separate"/>
            </w:r>
            <w:r w:rsidR="005468BA">
              <w:rPr>
                <w:noProof/>
                <w:webHidden/>
              </w:rPr>
              <w:t>6</w:t>
            </w:r>
            <w:r w:rsidR="005468BA">
              <w:rPr>
                <w:noProof/>
                <w:webHidden/>
              </w:rPr>
              <w:fldChar w:fldCharType="end"/>
            </w:r>
          </w:hyperlink>
        </w:p>
        <w:p w14:paraId="7065AFEE" w14:textId="0D7B60E4"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083" w:history="1">
            <w:r w:rsidRPr="00515896">
              <w:rPr>
                <w:rStyle w:val="Hyperlink"/>
                <w:noProof/>
              </w:rPr>
              <w:t>1.1</w:t>
            </w:r>
            <w:r>
              <w:rPr>
                <w:rFonts w:asciiTheme="minorHAnsi" w:hAnsiTheme="minorHAnsi"/>
                <w:noProof/>
                <w:color w:val="auto"/>
                <w:kern w:val="2"/>
                <w:sz w:val="24"/>
                <w:szCs w:val="24"/>
                <w:lang w:eastAsia="en-AU"/>
                <w14:ligatures w14:val="standardContextual"/>
              </w:rPr>
              <w:tab/>
            </w:r>
            <w:r w:rsidRPr="00515896">
              <w:rPr>
                <w:rStyle w:val="Hyperlink"/>
                <w:noProof/>
              </w:rPr>
              <w:t>Purpose</w:t>
            </w:r>
            <w:r>
              <w:rPr>
                <w:noProof/>
                <w:webHidden/>
              </w:rPr>
              <w:tab/>
            </w:r>
            <w:r>
              <w:rPr>
                <w:noProof/>
                <w:webHidden/>
              </w:rPr>
              <w:fldChar w:fldCharType="begin"/>
            </w:r>
            <w:r>
              <w:rPr>
                <w:noProof/>
                <w:webHidden/>
              </w:rPr>
              <w:instrText xml:space="preserve"> PAGEREF _Toc216708083 \h </w:instrText>
            </w:r>
            <w:r>
              <w:rPr>
                <w:noProof/>
                <w:webHidden/>
              </w:rPr>
            </w:r>
            <w:r>
              <w:rPr>
                <w:noProof/>
                <w:webHidden/>
              </w:rPr>
              <w:fldChar w:fldCharType="separate"/>
            </w:r>
            <w:r>
              <w:rPr>
                <w:noProof/>
                <w:webHidden/>
              </w:rPr>
              <w:t>6</w:t>
            </w:r>
            <w:r>
              <w:rPr>
                <w:noProof/>
                <w:webHidden/>
              </w:rPr>
              <w:fldChar w:fldCharType="end"/>
            </w:r>
          </w:hyperlink>
        </w:p>
        <w:p w14:paraId="081B30B4" w14:textId="3D6F7563"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084" w:history="1">
            <w:r w:rsidRPr="00515896">
              <w:rPr>
                <w:rStyle w:val="Hyperlink"/>
                <w:noProof/>
              </w:rPr>
              <w:t>1.2</w:t>
            </w:r>
            <w:r>
              <w:rPr>
                <w:rFonts w:asciiTheme="minorHAnsi" w:hAnsiTheme="minorHAnsi"/>
                <w:noProof/>
                <w:color w:val="auto"/>
                <w:kern w:val="2"/>
                <w:sz w:val="24"/>
                <w:szCs w:val="24"/>
                <w:lang w:eastAsia="en-AU"/>
                <w14:ligatures w14:val="standardContextual"/>
              </w:rPr>
              <w:tab/>
            </w:r>
            <w:r w:rsidRPr="00515896">
              <w:rPr>
                <w:rStyle w:val="Hyperlink"/>
                <w:noProof/>
              </w:rPr>
              <w:t>Background</w:t>
            </w:r>
            <w:r>
              <w:rPr>
                <w:noProof/>
                <w:webHidden/>
              </w:rPr>
              <w:tab/>
            </w:r>
            <w:r>
              <w:rPr>
                <w:noProof/>
                <w:webHidden/>
              </w:rPr>
              <w:fldChar w:fldCharType="begin"/>
            </w:r>
            <w:r>
              <w:rPr>
                <w:noProof/>
                <w:webHidden/>
              </w:rPr>
              <w:instrText xml:space="preserve"> PAGEREF _Toc216708084 \h </w:instrText>
            </w:r>
            <w:r>
              <w:rPr>
                <w:noProof/>
                <w:webHidden/>
              </w:rPr>
            </w:r>
            <w:r>
              <w:rPr>
                <w:noProof/>
                <w:webHidden/>
              </w:rPr>
              <w:fldChar w:fldCharType="separate"/>
            </w:r>
            <w:r>
              <w:rPr>
                <w:noProof/>
                <w:webHidden/>
              </w:rPr>
              <w:t>6</w:t>
            </w:r>
            <w:r>
              <w:rPr>
                <w:noProof/>
                <w:webHidden/>
              </w:rPr>
              <w:fldChar w:fldCharType="end"/>
            </w:r>
          </w:hyperlink>
        </w:p>
        <w:p w14:paraId="16282AF5" w14:textId="5E550052"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085" w:history="1">
            <w:r w:rsidRPr="00515896">
              <w:rPr>
                <w:rStyle w:val="Hyperlink"/>
                <w:noProof/>
              </w:rPr>
              <w:t>1.3</w:t>
            </w:r>
            <w:r>
              <w:rPr>
                <w:rFonts w:asciiTheme="minorHAnsi" w:hAnsiTheme="minorHAnsi"/>
                <w:noProof/>
                <w:color w:val="auto"/>
                <w:kern w:val="2"/>
                <w:sz w:val="24"/>
                <w:szCs w:val="24"/>
                <w:lang w:eastAsia="en-AU"/>
                <w14:ligatures w14:val="standardContextual"/>
              </w:rPr>
              <w:tab/>
            </w:r>
            <w:r w:rsidRPr="00515896">
              <w:rPr>
                <w:rStyle w:val="Hyperlink"/>
                <w:noProof/>
              </w:rPr>
              <w:t>MyMedicare</w:t>
            </w:r>
            <w:r>
              <w:rPr>
                <w:noProof/>
                <w:webHidden/>
              </w:rPr>
              <w:tab/>
            </w:r>
            <w:r>
              <w:rPr>
                <w:noProof/>
                <w:webHidden/>
              </w:rPr>
              <w:fldChar w:fldCharType="begin"/>
            </w:r>
            <w:r>
              <w:rPr>
                <w:noProof/>
                <w:webHidden/>
              </w:rPr>
              <w:instrText xml:space="preserve"> PAGEREF _Toc216708085 \h </w:instrText>
            </w:r>
            <w:r>
              <w:rPr>
                <w:noProof/>
                <w:webHidden/>
              </w:rPr>
            </w:r>
            <w:r>
              <w:rPr>
                <w:noProof/>
                <w:webHidden/>
              </w:rPr>
              <w:fldChar w:fldCharType="separate"/>
            </w:r>
            <w:r>
              <w:rPr>
                <w:noProof/>
                <w:webHidden/>
              </w:rPr>
              <w:t>6</w:t>
            </w:r>
            <w:r>
              <w:rPr>
                <w:noProof/>
                <w:webHidden/>
              </w:rPr>
              <w:fldChar w:fldCharType="end"/>
            </w:r>
          </w:hyperlink>
        </w:p>
        <w:p w14:paraId="1E04AA02" w14:textId="02970DBF" w:rsidR="005468BA" w:rsidRDefault="005468BA">
          <w:pPr>
            <w:pStyle w:val="TOC3"/>
            <w:tabs>
              <w:tab w:val="left" w:pos="1200"/>
              <w:tab w:val="right" w:leader="dot" w:pos="9854"/>
            </w:tabs>
            <w:rPr>
              <w:rFonts w:eastAsiaTheme="minorEastAsia" w:cstheme="minorBidi"/>
              <w:i w:val="0"/>
              <w:iCs w:val="0"/>
              <w:noProof/>
              <w:sz w:val="24"/>
              <w:szCs w:val="24"/>
              <w:lang w:eastAsia="en-AU"/>
            </w:rPr>
          </w:pPr>
          <w:hyperlink w:anchor="_Toc216708086" w:history="1">
            <w:r w:rsidRPr="00515896">
              <w:rPr>
                <w:rStyle w:val="Hyperlink"/>
                <w:noProof/>
              </w:rPr>
              <w:t>1.3.1</w:t>
            </w:r>
            <w:r>
              <w:rPr>
                <w:rFonts w:eastAsiaTheme="minorEastAsia" w:cstheme="minorBidi"/>
                <w:i w:val="0"/>
                <w:iCs w:val="0"/>
                <w:noProof/>
                <w:sz w:val="24"/>
                <w:szCs w:val="24"/>
                <w:lang w:eastAsia="en-AU"/>
              </w:rPr>
              <w:tab/>
            </w:r>
            <w:r w:rsidRPr="00515896">
              <w:rPr>
                <w:rStyle w:val="Hyperlink"/>
                <w:noProof/>
              </w:rPr>
              <w:t>Benefits for patients</w:t>
            </w:r>
            <w:r>
              <w:rPr>
                <w:noProof/>
                <w:webHidden/>
              </w:rPr>
              <w:tab/>
            </w:r>
            <w:r>
              <w:rPr>
                <w:noProof/>
                <w:webHidden/>
              </w:rPr>
              <w:fldChar w:fldCharType="begin"/>
            </w:r>
            <w:r>
              <w:rPr>
                <w:noProof/>
                <w:webHidden/>
              </w:rPr>
              <w:instrText xml:space="preserve"> PAGEREF _Toc216708086 \h </w:instrText>
            </w:r>
            <w:r>
              <w:rPr>
                <w:noProof/>
                <w:webHidden/>
              </w:rPr>
            </w:r>
            <w:r>
              <w:rPr>
                <w:noProof/>
                <w:webHidden/>
              </w:rPr>
              <w:fldChar w:fldCharType="separate"/>
            </w:r>
            <w:r>
              <w:rPr>
                <w:noProof/>
                <w:webHidden/>
              </w:rPr>
              <w:t>6</w:t>
            </w:r>
            <w:r>
              <w:rPr>
                <w:noProof/>
                <w:webHidden/>
              </w:rPr>
              <w:fldChar w:fldCharType="end"/>
            </w:r>
          </w:hyperlink>
        </w:p>
        <w:p w14:paraId="33FAE0A0" w14:textId="5CD0E079" w:rsidR="005468BA" w:rsidRDefault="005468BA">
          <w:pPr>
            <w:pStyle w:val="TOC3"/>
            <w:tabs>
              <w:tab w:val="left" w:pos="1200"/>
              <w:tab w:val="right" w:leader="dot" w:pos="9854"/>
            </w:tabs>
            <w:rPr>
              <w:rFonts w:eastAsiaTheme="minorEastAsia" w:cstheme="minorBidi"/>
              <w:i w:val="0"/>
              <w:iCs w:val="0"/>
              <w:noProof/>
              <w:sz w:val="24"/>
              <w:szCs w:val="24"/>
              <w:lang w:eastAsia="en-AU"/>
            </w:rPr>
          </w:pPr>
          <w:hyperlink w:anchor="_Toc216708087" w:history="1">
            <w:r w:rsidRPr="00515896">
              <w:rPr>
                <w:rStyle w:val="Hyperlink"/>
                <w:noProof/>
              </w:rPr>
              <w:t>1.3.2</w:t>
            </w:r>
            <w:r>
              <w:rPr>
                <w:rFonts w:eastAsiaTheme="minorEastAsia" w:cstheme="minorBidi"/>
                <w:i w:val="0"/>
                <w:iCs w:val="0"/>
                <w:noProof/>
                <w:sz w:val="24"/>
                <w:szCs w:val="24"/>
                <w:lang w:eastAsia="en-AU"/>
              </w:rPr>
              <w:tab/>
            </w:r>
            <w:r w:rsidRPr="00515896">
              <w:rPr>
                <w:rStyle w:val="Hyperlink"/>
                <w:noProof/>
              </w:rPr>
              <w:t>Benefits for providers and practices</w:t>
            </w:r>
            <w:r>
              <w:rPr>
                <w:noProof/>
                <w:webHidden/>
              </w:rPr>
              <w:tab/>
            </w:r>
            <w:r>
              <w:rPr>
                <w:noProof/>
                <w:webHidden/>
              </w:rPr>
              <w:fldChar w:fldCharType="begin"/>
            </w:r>
            <w:r>
              <w:rPr>
                <w:noProof/>
                <w:webHidden/>
              </w:rPr>
              <w:instrText xml:space="preserve"> PAGEREF _Toc216708087 \h </w:instrText>
            </w:r>
            <w:r>
              <w:rPr>
                <w:noProof/>
                <w:webHidden/>
              </w:rPr>
            </w:r>
            <w:r>
              <w:rPr>
                <w:noProof/>
                <w:webHidden/>
              </w:rPr>
              <w:fldChar w:fldCharType="separate"/>
            </w:r>
            <w:r>
              <w:rPr>
                <w:noProof/>
                <w:webHidden/>
              </w:rPr>
              <w:t>7</w:t>
            </w:r>
            <w:r>
              <w:rPr>
                <w:noProof/>
                <w:webHidden/>
              </w:rPr>
              <w:fldChar w:fldCharType="end"/>
            </w:r>
          </w:hyperlink>
        </w:p>
        <w:p w14:paraId="3A88220F" w14:textId="47448DCB"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088" w:history="1">
            <w:r w:rsidRPr="00515896">
              <w:rPr>
                <w:rStyle w:val="Hyperlink"/>
                <w:noProof/>
              </w:rPr>
              <w:t>1.4</w:t>
            </w:r>
            <w:r>
              <w:rPr>
                <w:rFonts w:asciiTheme="minorHAnsi" w:hAnsiTheme="minorHAnsi"/>
                <w:noProof/>
                <w:color w:val="auto"/>
                <w:kern w:val="2"/>
                <w:sz w:val="24"/>
                <w:szCs w:val="24"/>
                <w:lang w:eastAsia="en-AU"/>
                <w14:ligatures w14:val="standardContextual"/>
              </w:rPr>
              <w:tab/>
            </w:r>
            <w:r w:rsidRPr="00515896">
              <w:rPr>
                <w:rStyle w:val="Hyperlink"/>
                <w:noProof/>
              </w:rPr>
              <w:t>The Organisation Register</w:t>
            </w:r>
            <w:r>
              <w:rPr>
                <w:noProof/>
                <w:webHidden/>
              </w:rPr>
              <w:tab/>
            </w:r>
            <w:r>
              <w:rPr>
                <w:noProof/>
                <w:webHidden/>
              </w:rPr>
              <w:fldChar w:fldCharType="begin"/>
            </w:r>
            <w:r>
              <w:rPr>
                <w:noProof/>
                <w:webHidden/>
              </w:rPr>
              <w:instrText xml:space="preserve"> PAGEREF _Toc216708088 \h </w:instrText>
            </w:r>
            <w:r>
              <w:rPr>
                <w:noProof/>
                <w:webHidden/>
              </w:rPr>
            </w:r>
            <w:r>
              <w:rPr>
                <w:noProof/>
                <w:webHidden/>
              </w:rPr>
              <w:fldChar w:fldCharType="separate"/>
            </w:r>
            <w:r>
              <w:rPr>
                <w:noProof/>
                <w:webHidden/>
              </w:rPr>
              <w:t>7</w:t>
            </w:r>
            <w:r>
              <w:rPr>
                <w:noProof/>
                <w:webHidden/>
              </w:rPr>
              <w:fldChar w:fldCharType="end"/>
            </w:r>
          </w:hyperlink>
        </w:p>
        <w:p w14:paraId="138F5B50" w14:textId="2B8C0094"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089" w:history="1">
            <w:r w:rsidRPr="00515896">
              <w:rPr>
                <w:rStyle w:val="Hyperlink"/>
                <w:noProof/>
              </w:rPr>
              <w:t>1.5</w:t>
            </w:r>
            <w:r>
              <w:rPr>
                <w:rFonts w:asciiTheme="minorHAnsi" w:hAnsiTheme="minorHAnsi"/>
                <w:noProof/>
                <w:color w:val="auto"/>
                <w:kern w:val="2"/>
                <w:sz w:val="24"/>
                <w:szCs w:val="24"/>
                <w:lang w:eastAsia="en-AU"/>
                <w14:ligatures w14:val="standardContextual"/>
              </w:rPr>
              <w:tab/>
            </w:r>
            <w:r w:rsidRPr="00515896">
              <w:rPr>
                <w:rStyle w:val="Hyperlink"/>
                <w:noProof/>
              </w:rPr>
              <w:t>Organisational Payment Capability</w:t>
            </w:r>
            <w:r>
              <w:rPr>
                <w:noProof/>
                <w:webHidden/>
              </w:rPr>
              <w:tab/>
            </w:r>
            <w:r>
              <w:rPr>
                <w:noProof/>
                <w:webHidden/>
              </w:rPr>
              <w:fldChar w:fldCharType="begin"/>
            </w:r>
            <w:r>
              <w:rPr>
                <w:noProof/>
                <w:webHidden/>
              </w:rPr>
              <w:instrText xml:space="preserve"> PAGEREF _Toc216708089 \h </w:instrText>
            </w:r>
            <w:r>
              <w:rPr>
                <w:noProof/>
                <w:webHidden/>
              </w:rPr>
            </w:r>
            <w:r>
              <w:rPr>
                <w:noProof/>
                <w:webHidden/>
              </w:rPr>
              <w:fldChar w:fldCharType="separate"/>
            </w:r>
            <w:r>
              <w:rPr>
                <w:noProof/>
                <w:webHidden/>
              </w:rPr>
              <w:t>7</w:t>
            </w:r>
            <w:r>
              <w:rPr>
                <w:noProof/>
                <w:webHidden/>
              </w:rPr>
              <w:fldChar w:fldCharType="end"/>
            </w:r>
          </w:hyperlink>
        </w:p>
        <w:p w14:paraId="7DAED8EF" w14:textId="3341801B"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090" w:history="1">
            <w:r w:rsidRPr="00515896">
              <w:rPr>
                <w:rStyle w:val="Hyperlink"/>
                <w:noProof/>
              </w:rPr>
              <w:t>1.6</w:t>
            </w:r>
            <w:r>
              <w:rPr>
                <w:rFonts w:asciiTheme="minorHAnsi" w:hAnsiTheme="minorHAnsi"/>
                <w:noProof/>
                <w:color w:val="auto"/>
                <w:kern w:val="2"/>
                <w:sz w:val="24"/>
                <w:szCs w:val="24"/>
                <w:lang w:eastAsia="en-AU"/>
                <w14:ligatures w14:val="standardContextual"/>
              </w:rPr>
              <w:tab/>
            </w:r>
            <w:r w:rsidRPr="00515896">
              <w:rPr>
                <w:rStyle w:val="Hyperlink"/>
                <w:noProof/>
              </w:rPr>
              <w:t>Remoteness classification</w:t>
            </w:r>
            <w:r>
              <w:rPr>
                <w:noProof/>
                <w:webHidden/>
              </w:rPr>
              <w:tab/>
            </w:r>
            <w:r>
              <w:rPr>
                <w:noProof/>
                <w:webHidden/>
              </w:rPr>
              <w:fldChar w:fldCharType="begin"/>
            </w:r>
            <w:r>
              <w:rPr>
                <w:noProof/>
                <w:webHidden/>
              </w:rPr>
              <w:instrText xml:space="preserve"> PAGEREF _Toc216708090 \h </w:instrText>
            </w:r>
            <w:r>
              <w:rPr>
                <w:noProof/>
                <w:webHidden/>
              </w:rPr>
            </w:r>
            <w:r>
              <w:rPr>
                <w:noProof/>
                <w:webHidden/>
              </w:rPr>
              <w:fldChar w:fldCharType="separate"/>
            </w:r>
            <w:r>
              <w:rPr>
                <w:noProof/>
                <w:webHidden/>
              </w:rPr>
              <w:t>8</w:t>
            </w:r>
            <w:r>
              <w:rPr>
                <w:noProof/>
                <w:webHidden/>
              </w:rPr>
              <w:fldChar w:fldCharType="end"/>
            </w:r>
          </w:hyperlink>
        </w:p>
        <w:p w14:paraId="37C556F7" w14:textId="0D0ED927"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091" w:history="1">
            <w:r w:rsidRPr="00515896">
              <w:rPr>
                <w:rStyle w:val="Hyperlink"/>
                <w:noProof/>
              </w:rPr>
              <w:t>1.7</w:t>
            </w:r>
            <w:r>
              <w:rPr>
                <w:rFonts w:asciiTheme="minorHAnsi" w:hAnsiTheme="minorHAnsi"/>
                <w:noProof/>
                <w:color w:val="auto"/>
                <w:kern w:val="2"/>
                <w:sz w:val="24"/>
                <w:szCs w:val="24"/>
                <w:lang w:eastAsia="en-AU"/>
                <w14:ligatures w14:val="standardContextual"/>
              </w:rPr>
              <w:tab/>
            </w:r>
            <w:r w:rsidRPr="00515896">
              <w:rPr>
                <w:rStyle w:val="Hyperlink"/>
                <w:noProof/>
              </w:rPr>
              <w:t>Practice Type</w:t>
            </w:r>
            <w:r>
              <w:rPr>
                <w:noProof/>
                <w:webHidden/>
              </w:rPr>
              <w:tab/>
            </w:r>
            <w:r>
              <w:rPr>
                <w:noProof/>
                <w:webHidden/>
              </w:rPr>
              <w:fldChar w:fldCharType="begin"/>
            </w:r>
            <w:r>
              <w:rPr>
                <w:noProof/>
                <w:webHidden/>
              </w:rPr>
              <w:instrText xml:space="preserve"> PAGEREF _Toc216708091 \h </w:instrText>
            </w:r>
            <w:r>
              <w:rPr>
                <w:noProof/>
                <w:webHidden/>
              </w:rPr>
            </w:r>
            <w:r>
              <w:rPr>
                <w:noProof/>
                <w:webHidden/>
              </w:rPr>
              <w:fldChar w:fldCharType="separate"/>
            </w:r>
            <w:r>
              <w:rPr>
                <w:noProof/>
                <w:webHidden/>
              </w:rPr>
              <w:t>8</w:t>
            </w:r>
            <w:r>
              <w:rPr>
                <w:noProof/>
                <w:webHidden/>
              </w:rPr>
              <w:fldChar w:fldCharType="end"/>
            </w:r>
          </w:hyperlink>
        </w:p>
        <w:p w14:paraId="28A60B3D" w14:textId="4E6476FE" w:rsidR="005468BA" w:rsidRDefault="005468BA">
          <w:pPr>
            <w:pStyle w:val="TOC3"/>
            <w:tabs>
              <w:tab w:val="left" w:pos="1200"/>
              <w:tab w:val="right" w:leader="dot" w:pos="9854"/>
            </w:tabs>
            <w:rPr>
              <w:rFonts w:eastAsiaTheme="minorEastAsia" w:cstheme="minorBidi"/>
              <w:i w:val="0"/>
              <w:iCs w:val="0"/>
              <w:noProof/>
              <w:sz w:val="24"/>
              <w:szCs w:val="24"/>
              <w:lang w:eastAsia="en-AU"/>
            </w:rPr>
          </w:pPr>
          <w:hyperlink w:anchor="_Toc216708092" w:history="1">
            <w:r w:rsidRPr="00515896">
              <w:rPr>
                <w:rStyle w:val="Hyperlink"/>
                <w:noProof/>
              </w:rPr>
              <w:t>1.7.1</w:t>
            </w:r>
            <w:r>
              <w:rPr>
                <w:rFonts w:eastAsiaTheme="minorEastAsia" w:cstheme="minorBidi"/>
                <w:i w:val="0"/>
                <w:iCs w:val="0"/>
                <w:noProof/>
                <w:sz w:val="24"/>
                <w:szCs w:val="24"/>
                <w:lang w:eastAsia="en-AU"/>
              </w:rPr>
              <w:tab/>
            </w:r>
            <w:r w:rsidRPr="00515896">
              <w:rPr>
                <w:rStyle w:val="Hyperlink"/>
                <w:noProof/>
              </w:rPr>
              <w:t>General Practice</w:t>
            </w:r>
            <w:r>
              <w:rPr>
                <w:noProof/>
                <w:webHidden/>
              </w:rPr>
              <w:tab/>
            </w:r>
            <w:r>
              <w:rPr>
                <w:noProof/>
                <w:webHidden/>
              </w:rPr>
              <w:fldChar w:fldCharType="begin"/>
            </w:r>
            <w:r>
              <w:rPr>
                <w:noProof/>
                <w:webHidden/>
              </w:rPr>
              <w:instrText xml:space="preserve"> PAGEREF _Toc216708092 \h </w:instrText>
            </w:r>
            <w:r>
              <w:rPr>
                <w:noProof/>
                <w:webHidden/>
              </w:rPr>
            </w:r>
            <w:r>
              <w:rPr>
                <w:noProof/>
                <w:webHidden/>
              </w:rPr>
              <w:fldChar w:fldCharType="separate"/>
            </w:r>
            <w:r>
              <w:rPr>
                <w:noProof/>
                <w:webHidden/>
              </w:rPr>
              <w:t>8</w:t>
            </w:r>
            <w:r>
              <w:rPr>
                <w:noProof/>
                <w:webHidden/>
              </w:rPr>
              <w:fldChar w:fldCharType="end"/>
            </w:r>
          </w:hyperlink>
        </w:p>
        <w:p w14:paraId="0509DDE8" w14:textId="4FD474FB" w:rsidR="005468BA" w:rsidRDefault="005468BA">
          <w:pPr>
            <w:pStyle w:val="TOC3"/>
            <w:tabs>
              <w:tab w:val="left" w:pos="1200"/>
              <w:tab w:val="right" w:leader="dot" w:pos="9854"/>
            </w:tabs>
            <w:rPr>
              <w:rFonts w:eastAsiaTheme="minorEastAsia" w:cstheme="minorBidi"/>
              <w:i w:val="0"/>
              <w:iCs w:val="0"/>
              <w:noProof/>
              <w:sz w:val="24"/>
              <w:szCs w:val="24"/>
              <w:lang w:eastAsia="en-AU"/>
            </w:rPr>
          </w:pPr>
          <w:hyperlink w:anchor="_Toc216708093" w:history="1">
            <w:r w:rsidRPr="00515896">
              <w:rPr>
                <w:rStyle w:val="Hyperlink"/>
                <w:noProof/>
              </w:rPr>
              <w:t>1.7.2</w:t>
            </w:r>
            <w:r>
              <w:rPr>
                <w:rFonts w:eastAsiaTheme="minorEastAsia" w:cstheme="minorBidi"/>
                <w:i w:val="0"/>
                <w:iCs w:val="0"/>
                <w:noProof/>
                <w:sz w:val="24"/>
                <w:szCs w:val="24"/>
                <w:lang w:eastAsia="en-AU"/>
              </w:rPr>
              <w:tab/>
            </w:r>
            <w:r w:rsidRPr="00515896">
              <w:rPr>
                <w:rStyle w:val="Hyperlink"/>
                <w:noProof/>
              </w:rPr>
              <w:t>Aboriginal Community Controlled Healthcare Service (ACCHS)</w:t>
            </w:r>
            <w:r>
              <w:rPr>
                <w:noProof/>
                <w:webHidden/>
              </w:rPr>
              <w:tab/>
            </w:r>
            <w:r>
              <w:rPr>
                <w:noProof/>
                <w:webHidden/>
              </w:rPr>
              <w:fldChar w:fldCharType="begin"/>
            </w:r>
            <w:r>
              <w:rPr>
                <w:noProof/>
                <w:webHidden/>
              </w:rPr>
              <w:instrText xml:space="preserve"> PAGEREF _Toc216708093 \h </w:instrText>
            </w:r>
            <w:r>
              <w:rPr>
                <w:noProof/>
                <w:webHidden/>
              </w:rPr>
            </w:r>
            <w:r>
              <w:rPr>
                <w:noProof/>
                <w:webHidden/>
              </w:rPr>
              <w:fldChar w:fldCharType="separate"/>
            </w:r>
            <w:r>
              <w:rPr>
                <w:noProof/>
                <w:webHidden/>
              </w:rPr>
              <w:t>8</w:t>
            </w:r>
            <w:r>
              <w:rPr>
                <w:noProof/>
                <w:webHidden/>
              </w:rPr>
              <w:fldChar w:fldCharType="end"/>
            </w:r>
          </w:hyperlink>
        </w:p>
        <w:p w14:paraId="6692D057" w14:textId="0BD699FF" w:rsidR="005468BA" w:rsidRDefault="005468BA">
          <w:pPr>
            <w:pStyle w:val="TOC3"/>
            <w:tabs>
              <w:tab w:val="left" w:pos="1200"/>
              <w:tab w:val="right" w:leader="dot" w:pos="9854"/>
            </w:tabs>
            <w:rPr>
              <w:rFonts w:eastAsiaTheme="minorEastAsia" w:cstheme="minorBidi"/>
              <w:i w:val="0"/>
              <w:iCs w:val="0"/>
              <w:noProof/>
              <w:sz w:val="24"/>
              <w:szCs w:val="24"/>
              <w:lang w:eastAsia="en-AU"/>
            </w:rPr>
          </w:pPr>
          <w:hyperlink w:anchor="_Toc216708094" w:history="1">
            <w:r w:rsidRPr="00515896">
              <w:rPr>
                <w:rStyle w:val="Hyperlink"/>
                <w:noProof/>
              </w:rPr>
              <w:t>1.7.3</w:t>
            </w:r>
            <w:r>
              <w:rPr>
                <w:rFonts w:eastAsiaTheme="minorEastAsia" w:cstheme="minorBidi"/>
                <w:i w:val="0"/>
                <w:iCs w:val="0"/>
                <w:noProof/>
                <w:sz w:val="24"/>
                <w:szCs w:val="24"/>
                <w:lang w:eastAsia="en-AU"/>
              </w:rPr>
              <w:tab/>
            </w:r>
            <w:r w:rsidRPr="00515896">
              <w:rPr>
                <w:rStyle w:val="Hyperlink"/>
                <w:noProof/>
              </w:rPr>
              <w:t>Aboriginal Medical Service (AMS)</w:t>
            </w:r>
            <w:r>
              <w:rPr>
                <w:noProof/>
                <w:webHidden/>
              </w:rPr>
              <w:tab/>
            </w:r>
            <w:r>
              <w:rPr>
                <w:noProof/>
                <w:webHidden/>
              </w:rPr>
              <w:fldChar w:fldCharType="begin"/>
            </w:r>
            <w:r>
              <w:rPr>
                <w:noProof/>
                <w:webHidden/>
              </w:rPr>
              <w:instrText xml:space="preserve"> PAGEREF _Toc216708094 \h </w:instrText>
            </w:r>
            <w:r>
              <w:rPr>
                <w:noProof/>
                <w:webHidden/>
              </w:rPr>
            </w:r>
            <w:r>
              <w:rPr>
                <w:noProof/>
                <w:webHidden/>
              </w:rPr>
              <w:fldChar w:fldCharType="separate"/>
            </w:r>
            <w:r>
              <w:rPr>
                <w:noProof/>
                <w:webHidden/>
              </w:rPr>
              <w:t>8</w:t>
            </w:r>
            <w:r>
              <w:rPr>
                <w:noProof/>
                <w:webHidden/>
              </w:rPr>
              <w:fldChar w:fldCharType="end"/>
            </w:r>
          </w:hyperlink>
        </w:p>
        <w:p w14:paraId="294F8940" w14:textId="6C1894B5" w:rsidR="005468BA" w:rsidRDefault="005468BA">
          <w:pPr>
            <w:pStyle w:val="TOC3"/>
            <w:tabs>
              <w:tab w:val="left" w:pos="1200"/>
              <w:tab w:val="right" w:leader="dot" w:pos="9854"/>
            </w:tabs>
            <w:rPr>
              <w:rFonts w:eastAsiaTheme="minorEastAsia" w:cstheme="minorBidi"/>
              <w:i w:val="0"/>
              <w:iCs w:val="0"/>
              <w:noProof/>
              <w:sz w:val="24"/>
              <w:szCs w:val="24"/>
              <w:lang w:eastAsia="en-AU"/>
            </w:rPr>
          </w:pPr>
          <w:hyperlink w:anchor="_Toc216708095" w:history="1">
            <w:r w:rsidRPr="00515896">
              <w:rPr>
                <w:rStyle w:val="Hyperlink"/>
                <w:noProof/>
              </w:rPr>
              <w:t>1.7.4</w:t>
            </w:r>
            <w:r>
              <w:rPr>
                <w:rFonts w:eastAsiaTheme="minorEastAsia" w:cstheme="minorBidi"/>
                <w:i w:val="0"/>
                <w:iCs w:val="0"/>
                <w:noProof/>
                <w:sz w:val="24"/>
                <w:szCs w:val="24"/>
                <w:lang w:eastAsia="en-AU"/>
              </w:rPr>
              <w:tab/>
            </w:r>
            <w:r w:rsidRPr="00515896">
              <w:rPr>
                <w:rStyle w:val="Hyperlink"/>
                <w:noProof/>
              </w:rPr>
              <w:t>Mobile Practice</w:t>
            </w:r>
            <w:r>
              <w:rPr>
                <w:noProof/>
                <w:webHidden/>
              </w:rPr>
              <w:tab/>
            </w:r>
            <w:r>
              <w:rPr>
                <w:noProof/>
                <w:webHidden/>
              </w:rPr>
              <w:fldChar w:fldCharType="begin"/>
            </w:r>
            <w:r>
              <w:rPr>
                <w:noProof/>
                <w:webHidden/>
              </w:rPr>
              <w:instrText xml:space="preserve"> PAGEREF _Toc216708095 \h </w:instrText>
            </w:r>
            <w:r>
              <w:rPr>
                <w:noProof/>
                <w:webHidden/>
              </w:rPr>
            </w:r>
            <w:r>
              <w:rPr>
                <w:noProof/>
                <w:webHidden/>
              </w:rPr>
              <w:fldChar w:fldCharType="separate"/>
            </w:r>
            <w:r>
              <w:rPr>
                <w:noProof/>
                <w:webHidden/>
              </w:rPr>
              <w:t>8</w:t>
            </w:r>
            <w:r>
              <w:rPr>
                <w:noProof/>
                <w:webHidden/>
              </w:rPr>
              <w:fldChar w:fldCharType="end"/>
            </w:r>
          </w:hyperlink>
        </w:p>
        <w:p w14:paraId="6B512873" w14:textId="5971337B" w:rsidR="005468BA" w:rsidRDefault="005468BA">
          <w:pPr>
            <w:pStyle w:val="TOC3"/>
            <w:tabs>
              <w:tab w:val="left" w:pos="1200"/>
              <w:tab w:val="right" w:leader="dot" w:pos="9854"/>
            </w:tabs>
            <w:rPr>
              <w:rFonts w:eastAsiaTheme="minorEastAsia" w:cstheme="minorBidi"/>
              <w:i w:val="0"/>
              <w:iCs w:val="0"/>
              <w:noProof/>
              <w:sz w:val="24"/>
              <w:szCs w:val="24"/>
              <w:lang w:eastAsia="en-AU"/>
            </w:rPr>
          </w:pPr>
          <w:hyperlink w:anchor="_Toc216708096" w:history="1">
            <w:r w:rsidRPr="00515896">
              <w:rPr>
                <w:rStyle w:val="Hyperlink"/>
                <w:noProof/>
              </w:rPr>
              <w:t>1.7.5</w:t>
            </w:r>
            <w:r>
              <w:rPr>
                <w:rFonts w:eastAsiaTheme="minorEastAsia" w:cstheme="minorBidi"/>
                <w:i w:val="0"/>
                <w:iCs w:val="0"/>
                <w:noProof/>
                <w:sz w:val="24"/>
                <w:szCs w:val="24"/>
                <w:lang w:eastAsia="en-AU"/>
              </w:rPr>
              <w:tab/>
            </w:r>
            <w:r w:rsidRPr="00515896">
              <w:rPr>
                <w:rStyle w:val="Hyperlink"/>
                <w:noProof/>
              </w:rPr>
              <w:t>Outreach Practice</w:t>
            </w:r>
            <w:r>
              <w:rPr>
                <w:noProof/>
                <w:webHidden/>
              </w:rPr>
              <w:tab/>
            </w:r>
            <w:r>
              <w:rPr>
                <w:noProof/>
                <w:webHidden/>
              </w:rPr>
              <w:fldChar w:fldCharType="begin"/>
            </w:r>
            <w:r>
              <w:rPr>
                <w:noProof/>
                <w:webHidden/>
              </w:rPr>
              <w:instrText xml:space="preserve"> PAGEREF _Toc216708096 \h </w:instrText>
            </w:r>
            <w:r>
              <w:rPr>
                <w:noProof/>
                <w:webHidden/>
              </w:rPr>
            </w:r>
            <w:r>
              <w:rPr>
                <w:noProof/>
                <w:webHidden/>
              </w:rPr>
              <w:fldChar w:fldCharType="separate"/>
            </w:r>
            <w:r>
              <w:rPr>
                <w:noProof/>
                <w:webHidden/>
              </w:rPr>
              <w:t>8</w:t>
            </w:r>
            <w:r>
              <w:rPr>
                <w:noProof/>
                <w:webHidden/>
              </w:rPr>
              <w:fldChar w:fldCharType="end"/>
            </w:r>
          </w:hyperlink>
        </w:p>
        <w:p w14:paraId="2389B991" w14:textId="7482302B" w:rsidR="005468BA" w:rsidRDefault="005468BA">
          <w:pPr>
            <w:pStyle w:val="TOC3"/>
            <w:tabs>
              <w:tab w:val="left" w:pos="1200"/>
              <w:tab w:val="right" w:leader="dot" w:pos="9854"/>
            </w:tabs>
            <w:rPr>
              <w:rFonts w:eastAsiaTheme="minorEastAsia" w:cstheme="minorBidi"/>
              <w:i w:val="0"/>
              <w:iCs w:val="0"/>
              <w:noProof/>
              <w:sz w:val="24"/>
              <w:szCs w:val="24"/>
              <w:lang w:eastAsia="en-AU"/>
            </w:rPr>
          </w:pPr>
          <w:hyperlink w:anchor="_Toc216708097" w:history="1">
            <w:r w:rsidRPr="00515896">
              <w:rPr>
                <w:rStyle w:val="Hyperlink"/>
                <w:noProof/>
              </w:rPr>
              <w:t>1.7.6</w:t>
            </w:r>
            <w:r>
              <w:rPr>
                <w:rFonts w:eastAsiaTheme="minorEastAsia" w:cstheme="minorBidi"/>
                <w:i w:val="0"/>
                <w:iCs w:val="0"/>
                <w:noProof/>
                <w:sz w:val="24"/>
                <w:szCs w:val="24"/>
                <w:lang w:eastAsia="en-AU"/>
              </w:rPr>
              <w:tab/>
            </w:r>
            <w:r w:rsidRPr="00515896">
              <w:rPr>
                <w:rStyle w:val="Hyperlink"/>
                <w:noProof/>
              </w:rPr>
              <w:t>Sole Provider Practice</w:t>
            </w:r>
            <w:r>
              <w:rPr>
                <w:noProof/>
                <w:webHidden/>
              </w:rPr>
              <w:tab/>
            </w:r>
            <w:r>
              <w:rPr>
                <w:noProof/>
                <w:webHidden/>
              </w:rPr>
              <w:fldChar w:fldCharType="begin"/>
            </w:r>
            <w:r>
              <w:rPr>
                <w:noProof/>
                <w:webHidden/>
              </w:rPr>
              <w:instrText xml:space="preserve"> PAGEREF _Toc216708097 \h </w:instrText>
            </w:r>
            <w:r>
              <w:rPr>
                <w:noProof/>
                <w:webHidden/>
              </w:rPr>
            </w:r>
            <w:r>
              <w:rPr>
                <w:noProof/>
                <w:webHidden/>
              </w:rPr>
              <w:fldChar w:fldCharType="separate"/>
            </w:r>
            <w:r>
              <w:rPr>
                <w:noProof/>
                <w:webHidden/>
              </w:rPr>
              <w:t>8</w:t>
            </w:r>
            <w:r>
              <w:rPr>
                <w:noProof/>
                <w:webHidden/>
              </w:rPr>
              <w:fldChar w:fldCharType="end"/>
            </w:r>
          </w:hyperlink>
        </w:p>
        <w:p w14:paraId="75A0B7D4" w14:textId="37FE379D" w:rsidR="005468BA" w:rsidRDefault="005468BA">
          <w:pPr>
            <w:pStyle w:val="TOC3"/>
            <w:tabs>
              <w:tab w:val="left" w:pos="1200"/>
              <w:tab w:val="right" w:leader="dot" w:pos="9854"/>
            </w:tabs>
            <w:rPr>
              <w:rFonts w:eastAsiaTheme="minorEastAsia" w:cstheme="minorBidi"/>
              <w:i w:val="0"/>
              <w:iCs w:val="0"/>
              <w:noProof/>
              <w:sz w:val="24"/>
              <w:szCs w:val="24"/>
              <w:lang w:eastAsia="en-AU"/>
            </w:rPr>
          </w:pPr>
          <w:hyperlink w:anchor="_Toc216708098" w:history="1">
            <w:r w:rsidRPr="00515896">
              <w:rPr>
                <w:rStyle w:val="Hyperlink"/>
                <w:noProof/>
              </w:rPr>
              <w:t>1.7.7</w:t>
            </w:r>
            <w:r>
              <w:rPr>
                <w:rFonts w:eastAsiaTheme="minorEastAsia" w:cstheme="minorBidi"/>
                <w:i w:val="0"/>
                <w:iCs w:val="0"/>
                <w:noProof/>
                <w:sz w:val="24"/>
                <w:szCs w:val="24"/>
                <w:lang w:eastAsia="en-AU"/>
              </w:rPr>
              <w:tab/>
            </w:r>
            <w:r w:rsidRPr="00515896">
              <w:rPr>
                <w:rStyle w:val="Hyperlink"/>
                <w:noProof/>
              </w:rPr>
              <w:t>Nurse Practitioner within GP-led team</w:t>
            </w:r>
            <w:r>
              <w:rPr>
                <w:noProof/>
                <w:webHidden/>
              </w:rPr>
              <w:tab/>
            </w:r>
            <w:r>
              <w:rPr>
                <w:noProof/>
                <w:webHidden/>
              </w:rPr>
              <w:fldChar w:fldCharType="begin"/>
            </w:r>
            <w:r>
              <w:rPr>
                <w:noProof/>
                <w:webHidden/>
              </w:rPr>
              <w:instrText xml:space="preserve"> PAGEREF _Toc216708098 \h </w:instrText>
            </w:r>
            <w:r>
              <w:rPr>
                <w:noProof/>
                <w:webHidden/>
              </w:rPr>
            </w:r>
            <w:r>
              <w:rPr>
                <w:noProof/>
                <w:webHidden/>
              </w:rPr>
              <w:fldChar w:fldCharType="separate"/>
            </w:r>
            <w:r>
              <w:rPr>
                <w:noProof/>
                <w:webHidden/>
              </w:rPr>
              <w:t>9</w:t>
            </w:r>
            <w:r>
              <w:rPr>
                <w:noProof/>
                <w:webHidden/>
              </w:rPr>
              <w:fldChar w:fldCharType="end"/>
            </w:r>
          </w:hyperlink>
        </w:p>
        <w:p w14:paraId="31B93D26" w14:textId="0C830A6C" w:rsidR="005468BA" w:rsidRDefault="005468BA">
          <w:pPr>
            <w:pStyle w:val="TOC1"/>
            <w:tabs>
              <w:tab w:val="left" w:pos="48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16708099" w:history="1">
            <w:r w:rsidRPr="00515896">
              <w:rPr>
                <w:rStyle w:val="Hyperlink"/>
                <w:noProof/>
              </w:rPr>
              <w:t>2</w:t>
            </w:r>
            <w:r>
              <w:rPr>
                <w:rFonts w:asciiTheme="minorHAnsi" w:hAnsiTheme="minorHAnsi"/>
                <w:b w:val="0"/>
                <w:bCs w:val="0"/>
                <w:noProof/>
                <w:color w:val="auto"/>
                <w:kern w:val="2"/>
                <w:sz w:val="24"/>
                <w:szCs w:val="24"/>
                <w:u w:val="none"/>
                <w:lang w:eastAsia="en-AU"/>
                <w14:ligatures w14:val="standardContextual"/>
              </w:rPr>
              <w:tab/>
            </w:r>
            <w:r w:rsidRPr="00515896">
              <w:rPr>
                <w:rStyle w:val="Hyperlink"/>
                <w:noProof/>
              </w:rPr>
              <w:t>Eligibility to participate in MyMedicare</w:t>
            </w:r>
            <w:r>
              <w:rPr>
                <w:noProof/>
                <w:webHidden/>
              </w:rPr>
              <w:tab/>
            </w:r>
            <w:r>
              <w:rPr>
                <w:noProof/>
                <w:webHidden/>
              </w:rPr>
              <w:fldChar w:fldCharType="begin"/>
            </w:r>
            <w:r>
              <w:rPr>
                <w:noProof/>
                <w:webHidden/>
              </w:rPr>
              <w:instrText xml:space="preserve"> PAGEREF _Toc216708099 \h </w:instrText>
            </w:r>
            <w:r>
              <w:rPr>
                <w:noProof/>
                <w:webHidden/>
              </w:rPr>
            </w:r>
            <w:r>
              <w:rPr>
                <w:noProof/>
                <w:webHidden/>
              </w:rPr>
              <w:fldChar w:fldCharType="separate"/>
            </w:r>
            <w:r>
              <w:rPr>
                <w:noProof/>
                <w:webHidden/>
              </w:rPr>
              <w:t>9</w:t>
            </w:r>
            <w:r>
              <w:rPr>
                <w:noProof/>
                <w:webHidden/>
              </w:rPr>
              <w:fldChar w:fldCharType="end"/>
            </w:r>
          </w:hyperlink>
        </w:p>
        <w:p w14:paraId="2A6B9B78" w14:textId="437482F0"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00" w:history="1">
            <w:r w:rsidRPr="00515896">
              <w:rPr>
                <w:rStyle w:val="Hyperlink"/>
                <w:noProof/>
              </w:rPr>
              <w:t>2.1</w:t>
            </w:r>
            <w:r>
              <w:rPr>
                <w:rFonts w:asciiTheme="minorHAnsi" w:hAnsiTheme="minorHAnsi"/>
                <w:noProof/>
                <w:color w:val="auto"/>
                <w:kern w:val="2"/>
                <w:sz w:val="24"/>
                <w:szCs w:val="24"/>
                <w:lang w:eastAsia="en-AU"/>
                <w14:ligatures w14:val="standardContextual"/>
              </w:rPr>
              <w:tab/>
            </w:r>
            <w:r w:rsidRPr="00515896">
              <w:rPr>
                <w:rStyle w:val="Hyperlink"/>
                <w:noProof/>
              </w:rPr>
              <w:t>Practice eligibility</w:t>
            </w:r>
            <w:r>
              <w:rPr>
                <w:noProof/>
                <w:webHidden/>
              </w:rPr>
              <w:tab/>
            </w:r>
            <w:r>
              <w:rPr>
                <w:noProof/>
                <w:webHidden/>
              </w:rPr>
              <w:fldChar w:fldCharType="begin"/>
            </w:r>
            <w:r>
              <w:rPr>
                <w:noProof/>
                <w:webHidden/>
              </w:rPr>
              <w:instrText xml:space="preserve"> PAGEREF _Toc216708100 \h </w:instrText>
            </w:r>
            <w:r>
              <w:rPr>
                <w:noProof/>
                <w:webHidden/>
              </w:rPr>
            </w:r>
            <w:r>
              <w:rPr>
                <w:noProof/>
                <w:webHidden/>
              </w:rPr>
              <w:fldChar w:fldCharType="separate"/>
            </w:r>
            <w:r>
              <w:rPr>
                <w:noProof/>
                <w:webHidden/>
              </w:rPr>
              <w:t>9</w:t>
            </w:r>
            <w:r>
              <w:rPr>
                <w:noProof/>
                <w:webHidden/>
              </w:rPr>
              <w:fldChar w:fldCharType="end"/>
            </w:r>
          </w:hyperlink>
        </w:p>
        <w:p w14:paraId="7D381B10" w14:textId="3482EEDC" w:rsidR="005468BA" w:rsidRDefault="005468BA">
          <w:pPr>
            <w:pStyle w:val="TOC1"/>
            <w:tabs>
              <w:tab w:val="left" w:pos="48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16708101" w:history="1">
            <w:r w:rsidRPr="00515896">
              <w:rPr>
                <w:rStyle w:val="Hyperlink"/>
                <w:noProof/>
              </w:rPr>
              <w:t>3</w:t>
            </w:r>
            <w:r>
              <w:rPr>
                <w:rFonts w:asciiTheme="minorHAnsi" w:hAnsiTheme="minorHAnsi"/>
                <w:b w:val="0"/>
                <w:bCs w:val="0"/>
                <w:noProof/>
                <w:color w:val="auto"/>
                <w:kern w:val="2"/>
                <w:sz w:val="24"/>
                <w:szCs w:val="24"/>
                <w:u w:val="none"/>
                <w:lang w:eastAsia="en-AU"/>
                <w14:ligatures w14:val="standardContextual"/>
              </w:rPr>
              <w:tab/>
            </w:r>
            <w:r w:rsidRPr="00515896">
              <w:rPr>
                <w:rStyle w:val="Hyperlink"/>
                <w:noProof/>
              </w:rPr>
              <w:t>Hub and Spoke model</w:t>
            </w:r>
            <w:r>
              <w:rPr>
                <w:noProof/>
                <w:webHidden/>
              </w:rPr>
              <w:tab/>
            </w:r>
            <w:r>
              <w:rPr>
                <w:noProof/>
                <w:webHidden/>
              </w:rPr>
              <w:fldChar w:fldCharType="begin"/>
            </w:r>
            <w:r>
              <w:rPr>
                <w:noProof/>
                <w:webHidden/>
              </w:rPr>
              <w:instrText xml:space="preserve"> PAGEREF _Toc216708101 \h </w:instrText>
            </w:r>
            <w:r>
              <w:rPr>
                <w:noProof/>
                <w:webHidden/>
              </w:rPr>
            </w:r>
            <w:r>
              <w:rPr>
                <w:noProof/>
                <w:webHidden/>
              </w:rPr>
              <w:fldChar w:fldCharType="separate"/>
            </w:r>
            <w:r>
              <w:rPr>
                <w:noProof/>
                <w:webHidden/>
              </w:rPr>
              <w:t>9</w:t>
            </w:r>
            <w:r>
              <w:rPr>
                <w:noProof/>
                <w:webHidden/>
              </w:rPr>
              <w:fldChar w:fldCharType="end"/>
            </w:r>
          </w:hyperlink>
        </w:p>
        <w:p w14:paraId="6C733829" w14:textId="3EB6B13F" w:rsidR="005468BA" w:rsidRDefault="005468BA">
          <w:pPr>
            <w:pStyle w:val="TOC1"/>
            <w:tabs>
              <w:tab w:val="left" w:pos="48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16708102" w:history="1">
            <w:r w:rsidRPr="00515896">
              <w:rPr>
                <w:rStyle w:val="Hyperlink"/>
                <w:rFonts w:eastAsia="Arial" w:cs="Arial"/>
                <w:noProof/>
              </w:rPr>
              <w:t>4</w:t>
            </w:r>
            <w:r>
              <w:rPr>
                <w:rFonts w:asciiTheme="minorHAnsi" w:hAnsiTheme="minorHAnsi"/>
                <w:b w:val="0"/>
                <w:bCs w:val="0"/>
                <w:noProof/>
                <w:color w:val="auto"/>
                <w:kern w:val="2"/>
                <w:sz w:val="24"/>
                <w:szCs w:val="24"/>
                <w:u w:val="none"/>
                <w:lang w:eastAsia="en-AU"/>
                <w14:ligatures w14:val="standardContextual"/>
              </w:rPr>
              <w:tab/>
            </w:r>
            <w:r w:rsidRPr="00515896">
              <w:rPr>
                <w:rStyle w:val="Hyperlink"/>
                <w:rFonts w:eastAsia="Arial" w:cs="Arial"/>
                <w:noProof/>
              </w:rPr>
              <w:t>Organisational Change</w:t>
            </w:r>
            <w:r>
              <w:rPr>
                <w:noProof/>
                <w:webHidden/>
              </w:rPr>
              <w:tab/>
            </w:r>
            <w:r>
              <w:rPr>
                <w:noProof/>
                <w:webHidden/>
              </w:rPr>
              <w:fldChar w:fldCharType="begin"/>
            </w:r>
            <w:r>
              <w:rPr>
                <w:noProof/>
                <w:webHidden/>
              </w:rPr>
              <w:instrText xml:space="preserve"> PAGEREF _Toc216708102 \h </w:instrText>
            </w:r>
            <w:r>
              <w:rPr>
                <w:noProof/>
                <w:webHidden/>
              </w:rPr>
            </w:r>
            <w:r>
              <w:rPr>
                <w:noProof/>
                <w:webHidden/>
              </w:rPr>
              <w:fldChar w:fldCharType="separate"/>
            </w:r>
            <w:r>
              <w:rPr>
                <w:noProof/>
                <w:webHidden/>
              </w:rPr>
              <w:t>10</w:t>
            </w:r>
            <w:r>
              <w:rPr>
                <w:noProof/>
                <w:webHidden/>
              </w:rPr>
              <w:fldChar w:fldCharType="end"/>
            </w:r>
          </w:hyperlink>
        </w:p>
        <w:p w14:paraId="1B3E66C5" w14:textId="6B285119"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03" w:history="1">
            <w:r w:rsidRPr="00515896">
              <w:rPr>
                <w:rStyle w:val="Hyperlink"/>
                <w:rFonts w:eastAsia="Arial" w:cs="Arial"/>
                <w:noProof/>
              </w:rPr>
              <w:t>4.1</w:t>
            </w:r>
            <w:r>
              <w:rPr>
                <w:rFonts w:asciiTheme="minorHAnsi" w:hAnsiTheme="minorHAnsi"/>
                <w:noProof/>
                <w:color w:val="auto"/>
                <w:kern w:val="2"/>
                <w:sz w:val="24"/>
                <w:szCs w:val="24"/>
                <w:lang w:eastAsia="en-AU"/>
                <w14:ligatures w14:val="standardContextual"/>
              </w:rPr>
              <w:tab/>
            </w:r>
            <w:r w:rsidRPr="00515896">
              <w:rPr>
                <w:rStyle w:val="Hyperlink"/>
                <w:rFonts w:eastAsia="Arial" w:cs="Arial"/>
                <w:noProof/>
              </w:rPr>
              <w:t>Permanent relocation</w:t>
            </w:r>
            <w:r>
              <w:rPr>
                <w:noProof/>
                <w:webHidden/>
              </w:rPr>
              <w:tab/>
            </w:r>
            <w:r>
              <w:rPr>
                <w:noProof/>
                <w:webHidden/>
              </w:rPr>
              <w:fldChar w:fldCharType="begin"/>
            </w:r>
            <w:r>
              <w:rPr>
                <w:noProof/>
                <w:webHidden/>
              </w:rPr>
              <w:instrText xml:space="preserve"> PAGEREF _Toc216708103 \h </w:instrText>
            </w:r>
            <w:r>
              <w:rPr>
                <w:noProof/>
                <w:webHidden/>
              </w:rPr>
            </w:r>
            <w:r>
              <w:rPr>
                <w:noProof/>
                <w:webHidden/>
              </w:rPr>
              <w:fldChar w:fldCharType="separate"/>
            </w:r>
            <w:r>
              <w:rPr>
                <w:noProof/>
                <w:webHidden/>
              </w:rPr>
              <w:t>10</w:t>
            </w:r>
            <w:r>
              <w:rPr>
                <w:noProof/>
                <w:webHidden/>
              </w:rPr>
              <w:fldChar w:fldCharType="end"/>
            </w:r>
          </w:hyperlink>
        </w:p>
        <w:p w14:paraId="43F9605E" w14:textId="3FB44F86" w:rsidR="005468BA" w:rsidRDefault="005468BA">
          <w:pPr>
            <w:pStyle w:val="TOC3"/>
            <w:tabs>
              <w:tab w:val="right" w:leader="dot" w:pos="9854"/>
            </w:tabs>
            <w:rPr>
              <w:rFonts w:eastAsiaTheme="minorEastAsia" w:cstheme="minorBidi"/>
              <w:i w:val="0"/>
              <w:iCs w:val="0"/>
              <w:noProof/>
              <w:sz w:val="24"/>
              <w:szCs w:val="24"/>
              <w:lang w:eastAsia="en-AU"/>
            </w:rPr>
          </w:pPr>
          <w:hyperlink w:anchor="_Toc216708104" w:history="1">
            <w:r w:rsidRPr="00515896">
              <w:rPr>
                <w:rStyle w:val="Hyperlink"/>
                <w:rFonts w:eastAsia="Arial" w:cs="Arial"/>
                <w:noProof/>
              </w:rPr>
              <w:t>4.2 Change of Ownership</w:t>
            </w:r>
            <w:r w:rsidRPr="00515896">
              <w:rPr>
                <w:rStyle w:val="Hyperlink"/>
                <w:noProof/>
              </w:rPr>
              <w:t xml:space="preserve">  </w:t>
            </w:r>
            <w:r w:rsidRPr="00515896">
              <w:rPr>
                <w:rStyle w:val="Hyperlink"/>
                <w:rFonts w:eastAsia="Arial" w:cs="Arial"/>
                <w:noProof/>
              </w:rPr>
              <w:t>4.2.1 Sale of practice</w:t>
            </w:r>
            <w:r>
              <w:rPr>
                <w:noProof/>
                <w:webHidden/>
              </w:rPr>
              <w:tab/>
            </w:r>
            <w:r>
              <w:rPr>
                <w:noProof/>
                <w:webHidden/>
              </w:rPr>
              <w:fldChar w:fldCharType="begin"/>
            </w:r>
            <w:r>
              <w:rPr>
                <w:noProof/>
                <w:webHidden/>
              </w:rPr>
              <w:instrText xml:space="preserve"> PAGEREF _Toc216708104 \h </w:instrText>
            </w:r>
            <w:r>
              <w:rPr>
                <w:noProof/>
                <w:webHidden/>
              </w:rPr>
            </w:r>
            <w:r>
              <w:rPr>
                <w:noProof/>
                <w:webHidden/>
              </w:rPr>
              <w:fldChar w:fldCharType="separate"/>
            </w:r>
            <w:r>
              <w:rPr>
                <w:noProof/>
                <w:webHidden/>
              </w:rPr>
              <w:t>11</w:t>
            </w:r>
            <w:r>
              <w:rPr>
                <w:noProof/>
                <w:webHidden/>
              </w:rPr>
              <w:fldChar w:fldCharType="end"/>
            </w:r>
          </w:hyperlink>
        </w:p>
        <w:p w14:paraId="50F2D6F5" w14:textId="6BD1EE30" w:rsidR="005468BA" w:rsidRDefault="005468BA">
          <w:pPr>
            <w:pStyle w:val="TOC3"/>
            <w:tabs>
              <w:tab w:val="right" w:leader="dot" w:pos="9854"/>
            </w:tabs>
            <w:rPr>
              <w:rFonts w:eastAsiaTheme="minorEastAsia" w:cstheme="minorBidi"/>
              <w:i w:val="0"/>
              <w:iCs w:val="0"/>
              <w:noProof/>
              <w:sz w:val="24"/>
              <w:szCs w:val="24"/>
              <w:lang w:eastAsia="en-AU"/>
            </w:rPr>
          </w:pPr>
          <w:hyperlink w:anchor="_Toc216708105" w:history="1">
            <w:r w:rsidRPr="00515896">
              <w:rPr>
                <w:rStyle w:val="Hyperlink"/>
                <w:rFonts w:eastAsia="Arial" w:cs="Arial"/>
                <w:bCs/>
                <w:noProof/>
              </w:rPr>
              <w:t>4.2.2 Mergers (including amalgamations)</w:t>
            </w:r>
            <w:r>
              <w:rPr>
                <w:noProof/>
                <w:webHidden/>
              </w:rPr>
              <w:tab/>
            </w:r>
            <w:r>
              <w:rPr>
                <w:noProof/>
                <w:webHidden/>
              </w:rPr>
              <w:fldChar w:fldCharType="begin"/>
            </w:r>
            <w:r>
              <w:rPr>
                <w:noProof/>
                <w:webHidden/>
              </w:rPr>
              <w:instrText xml:space="preserve"> PAGEREF _Toc216708105 \h </w:instrText>
            </w:r>
            <w:r>
              <w:rPr>
                <w:noProof/>
                <w:webHidden/>
              </w:rPr>
            </w:r>
            <w:r>
              <w:rPr>
                <w:noProof/>
                <w:webHidden/>
              </w:rPr>
              <w:fldChar w:fldCharType="separate"/>
            </w:r>
            <w:r>
              <w:rPr>
                <w:noProof/>
                <w:webHidden/>
              </w:rPr>
              <w:t>11</w:t>
            </w:r>
            <w:r>
              <w:rPr>
                <w:noProof/>
                <w:webHidden/>
              </w:rPr>
              <w:fldChar w:fldCharType="end"/>
            </w:r>
          </w:hyperlink>
        </w:p>
        <w:p w14:paraId="0F2D428F" w14:textId="2320A03B" w:rsidR="005468BA" w:rsidRDefault="005468BA">
          <w:pPr>
            <w:pStyle w:val="TOC3"/>
            <w:tabs>
              <w:tab w:val="right" w:leader="dot" w:pos="9854"/>
            </w:tabs>
            <w:rPr>
              <w:rFonts w:eastAsiaTheme="minorEastAsia" w:cstheme="minorBidi"/>
              <w:i w:val="0"/>
              <w:iCs w:val="0"/>
              <w:noProof/>
              <w:sz w:val="24"/>
              <w:szCs w:val="24"/>
              <w:lang w:eastAsia="en-AU"/>
            </w:rPr>
          </w:pPr>
          <w:hyperlink w:anchor="_Toc216708106" w:history="1">
            <w:r w:rsidRPr="00515896">
              <w:rPr>
                <w:rStyle w:val="Hyperlink"/>
                <w:rFonts w:eastAsia="Arial" w:cs="Arial"/>
                <w:bCs/>
                <w:noProof/>
              </w:rPr>
              <w:t>4.2.3 Separation of Practice</w:t>
            </w:r>
            <w:r>
              <w:rPr>
                <w:noProof/>
                <w:webHidden/>
              </w:rPr>
              <w:tab/>
            </w:r>
            <w:r>
              <w:rPr>
                <w:noProof/>
                <w:webHidden/>
              </w:rPr>
              <w:fldChar w:fldCharType="begin"/>
            </w:r>
            <w:r>
              <w:rPr>
                <w:noProof/>
                <w:webHidden/>
              </w:rPr>
              <w:instrText xml:space="preserve"> PAGEREF _Toc216708106 \h </w:instrText>
            </w:r>
            <w:r>
              <w:rPr>
                <w:noProof/>
                <w:webHidden/>
              </w:rPr>
            </w:r>
            <w:r>
              <w:rPr>
                <w:noProof/>
                <w:webHidden/>
              </w:rPr>
              <w:fldChar w:fldCharType="separate"/>
            </w:r>
            <w:r>
              <w:rPr>
                <w:noProof/>
                <w:webHidden/>
              </w:rPr>
              <w:t>12</w:t>
            </w:r>
            <w:r>
              <w:rPr>
                <w:noProof/>
                <w:webHidden/>
              </w:rPr>
              <w:fldChar w:fldCharType="end"/>
            </w:r>
          </w:hyperlink>
        </w:p>
        <w:p w14:paraId="565F1B59" w14:textId="34164673" w:rsidR="005468BA" w:rsidRDefault="005468BA">
          <w:pPr>
            <w:pStyle w:val="TOC2"/>
            <w:tabs>
              <w:tab w:val="right" w:leader="dot" w:pos="9854"/>
            </w:tabs>
            <w:rPr>
              <w:rFonts w:asciiTheme="minorHAnsi" w:hAnsiTheme="minorHAnsi"/>
              <w:noProof/>
              <w:color w:val="auto"/>
              <w:kern w:val="2"/>
              <w:sz w:val="24"/>
              <w:szCs w:val="24"/>
              <w:lang w:eastAsia="en-AU"/>
              <w14:ligatures w14:val="standardContextual"/>
            </w:rPr>
          </w:pPr>
          <w:hyperlink w:anchor="_Toc216708107" w:history="1">
            <w:r w:rsidRPr="00515896">
              <w:rPr>
                <w:rStyle w:val="Hyperlink"/>
                <w:rFonts w:eastAsia="Arial" w:cs="Arial"/>
                <w:noProof/>
              </w:rPr>
              <w:t>4.2.4 Internal change in business structure (no change in ownership, including ABN Changes)</w:t>
            </w:r>
            <w:r>
              <w:rPr>
                <w:noProof/>
                <w:webHidden/>
              </w:rPr>
              <w:tab/>
            </w:r>
            <w:r>
              <w:rPr>
                <w:noProof/>
                <w:webHidden/>
              </w:rPr>
              <w:fldChar w:fldCharType="begin"/>
            </w:r>
            <w:r>
              <w:rPr>
                <w:noProof/>
                <w:webHidden/>
              </w:rPr>
              <w:instrText xml:space="preserve"> PAGEREF _Toc216708107 \h </w:instrText>
            </w:r>
            <w:r>
              <w:rPr>
                <w:noProof/>
                <w:webHidden/>
              </w:rPr>
            </w:r>
            <w:r>
              <w:rPr>
                <w:noProof/>
                <w:webHidden/>
              </w:rPr>
              <w:fldChar w:fldCharType="separate"/>
            </w:r>
            <w:r>
              <w:rPr>
                <w:noProof/>
                <w:webHidden/>
              </w:rPr>
              <w:t>12</w:t>
            </w:r>
            <w:r>
              <w:rPr>
                <w:noProof/>
                <w:webHidden/>
              </w:rPr>
              <w:fldChar w:fldCharType="end"/>
            </w:r>
          </w:hyperlink>
        </w:p>
        <w:p w14:paraId="19A91667" w14:textId="7AF3F1BE" w:rsidR="005468BA" w:rsidRDefault="005468BA">
          <w:pPr>
            <w:pStyle w:val="TOC2"/>
            <w:tabs>
              <w:tab w:val="right" w:leader="dot" w:pos="9854"/>
            </w:tabs>
            <w:rPr>
              <w:rFonts w:asciiTheme="minorHAnsi" w:hAnsiTheme="minorHAnsi"/>
              <w:noProof/>
              <w:color w:val="auto"/>
              <w:kern w:val="2"/>
              <w:sz w:val="24"/>
              <w:szCs w:val="24"/>
              <w:lang w:eastAsia="en-AU"/>
              <w14:ligatures w14:val="standardContextual"/>
            </w:rPr>
          </w:pPr>
          <w:hyperlink w:anchor="_Toc216708108" w:history="1">
            <w:r w:rsidRPr="00515896">
              <w:rPr>
                <w:rStyle w:val="Hyperlink"/>
                <w:rFonts w:eastAsia="Arial" w:cs="Arial"/>
                <w:noProof/>
              </w:rPr>
              <w:t>4.2.5 Deceased estates</w:t>
            </w:r>
            <w:r>
              <w:rPr>
                <w:noProof/>
                <w:webHidden/>
              </w:rPr>
              <w:tab/>
            </w:r>
            <w:r>
              <w:rPr>
                <w:noProof/>
                <w:webHidden/>
              </w:rPr>
              <w:fldChar w:fldCharType="begin"/>
            </w:r>
            <w:r>
              <w:rPr>
                <w:noProof/>
                <w:webHidden/>
              </w:rPr>
              <w:instrText xml:space="preserve"> PAGEREF _Toc216708108 \h </w:instrText>
            </w:r>
            <w:r>
              <w:rPr>
                <w:noProof/>
                <w:webHidden/>
              </w:rPr>
            </w:r>
            <w:r>
              <w:rPr>
                <w:noProof/>
                <w:webHidden/>
              </w:rPr>
              <w:fldChar w:fldCharType="separate"/>
            </w:r>
            <w:r>
              <w:rPr>
                <w:noProof/>
                <w:webHidden/>
              </w:rPr>
              <w:t>12</w:t>
            </w:r>
            <w:r>
              <w:rPr>
                <w:noProof/>
                <w:webHidden/>
              </w:rPr>
              <w:fldChar w:fldCharType="end"/>
            </w:r>
          </w:hyperlink>
        </w:p>
        <w:p w14:paraId="06CD2492" w14:textId="126F325F" w:rsidR="005468BA" w:rsidRDefault="005468BA">
          <w:pPr>
            <w:pStyle w:val="TOC2"/>
            <w:tabs>
              <w:tab w:val="right" w:leader="dot" w:pos="9854"/>
            </w:tabs>
            <w:rPr>
              <w:rFonts w:asciiTheme="minorHAnsi" w:hAnsiTheme="minorHAnsi"/>
              <w:noProof/>
              <w:color w:val="auto"/>
              <w:kern w:val="2"/>
              <w:sz w:val="24"/>
              <w:szCs w:val="24"/>
              <w:lang w:eastAsia="en-AU"/>
              <w14:ligatures w14:val="standardContextual"/>
            </w:rPr>
          </w:pPr>
          <w:hyperlink w:anchor="_Toc216708109" w:history="1">
            <w:r w:rsidRPr="00515896">
              <w:rPr>
                <w:rStyle w:val="Hyperlink"/>
                <w:rFonts w:eastAsia="Arial" w:cs="Arial"/>
                <w:noProof/>
              </w:rPr>
              <w:t>4.3 Payment arrangements following a change of ownership</w:t>
            </w:r>
            <w:r>
              <w:rPr>
                <w:noProof/>
                <w:webHidden/>
              </w:rPr>
              <w:tab/>
            </w:r>
            <w:r>
              <w:rPr>
                <w:noProof/>
                <w:webHidden/>
              </w:rPr>
              <w:fldChar w:fldCharType="begin"/>
            </w:r>
            <w:r>
              <w:rPr>
                <w:noProof/>
                <w:webHidden/>
              </w:rPr>
              <w:instrText xml:space="preserve"> PAGEREF _Toc216708109 \h </w:instrText>
            </w:r>
            <w:r>
              <w:rPr>
                <w:noProof/>
                <w:webHidden/>
              </w:rPr>
            </w:r>
            <w:r>
              <w:rPr>
                <w:noProof/>
                <w:webHidden/>
              </w:rPr>
              <w:fldChar w:fldCharType="separate"/>
            </w:r>
            <w:r>
              <w:rPr>
                <w:noProof/>
                <w:webHidden/>
              </w:rPr>
              <w:t>12</w:t>
            </w:r>
            <w:r>
              <w:rPr>
                <w:noProof/>
                <w:webHidden/>
              </w:rPr>
              <w:fldChar w:fldCharType="end"/>
            </w:r>
          </w:hyperlink>
        </w:p>
        <w:p w14:paraId="07009C88" w14:textId="5554320F" w:rsidR="005468BA" w:rsidRDefault="005468BA">
          <w:pPr>
            <w:pStyle w:val="TOC2"/>
            <w:tabs>
              <w:tab w:val="right" w:leader="dot" w:pos="9854"/>
            </w:tabs>
            <w:rPr>
              <w:rFonts w:asciiTheme="minorHAnsi" w:hAnsiTheme="minorHAnsi"/>
              <w:noProof/>
              <w:color w:val="auto"/>
              <w:kern w:val="2"/>
              <w:sz w:val="24"/>
              <w:szCs w:val="24"/>
              <w:lang w:eastAsia="en-AU"/>
              <w14:ligatures w14:val="standardContextual"/>
            </w:rPr>
          </w:pPr>
          <w:hyperlink w:anchor="_Toc216708110" w:history="1">
            <w:r w:rsidRPr="00515896">
              <w:rPr>
                <w:rStyle w:val="Hyperlink"/>
                <w:rFonts w:eastAsia="Arial" w:cs="Arial"/>
                <w:noProof/>
              </w:rPr>
              <w:t>4.4 Accreditation following an organisational change</w:t>
            </w:r>
            <w:r>
              <w:rPr>
                <w:noProof/>
                <w:webHidden/>
              </w:rPr>
              <w:tab/>
            </w:r>
            <w:r>
              <w:rPr>
                <w:noProof/>
                <w:webHidden/>
              </w:rPr>
              <w:fldChar w:fldCharType="begin"/>
            </w:r>
            <w:r>
              <w:rPr>
                <w:noProof/>
                <w:webHidden/>
              </w:rPr>
              <w:instrText xml:space="preserve"> PAGEREF _Toc216708110 \h </w:instrText>
            </w:r>
            <w:r>
              <w:rPr>
                <w:noProof/>
                <w:webHidden/>
              </w:rPr>
            </w:r>
            <w:r>
              <w:rPr>
                <w:noProof/>
                <w:webHidden/>
              </w:rPr>
              <w:fldChar w:fldCharType="separate"/>
            </w:r>
            <w:r>
              <w:rPr>
                <w:noProof/>
                <w:webHidden/>
              </w:rPr>
              <w:t>13</w:t>
            </w:r>
            <w:r>
              <w:rPr>
                <w:noProof/>
                <w:webHidden/>
              </w:rPr>
              <w:fldChar w:fldCharType="end"/>
            </w:r>
          </w:hyperlink>
        </w:p>
        <w:p w14:paraId="3D81B651" w14:textId="26F85565" w:rsidR="005468BA" w:rsidRDefault="005468BA">
          <w:pPr>
            <w:pStyle w:val="TOC2"/>
            <w:tabs>
              <w:tab w:val="right" w:leader="dot" w:pos="9854"/>
            </w:tabs>
            <w:rPr>
              <w:rFonts w:asciiTheme="minorHAnsi" w:hAnsiTheme="minorHAnsi"/>
              <w:noProof/>
              <w:color w:val="auto"/>
              <w:kern w:val="2"/>
              <w:sz w:val="24"/>
              <w:szCs w:val="24"/>
              <w:lang w:eastAsia="en-AU"/>
              <w14:ligatures w14:val="standardContextual"/>
            </w:rPr>
          </w:pPr>
          <w:hyperlink w:anchor="_Toc216708111" w:history="1">
            <w:r w:rsidRPr="00515896">
              <w:rPr>
                <w:rStyle w:val="Hyperlink"/>
                <w:rFonts w:eastAsia="Arial" w:cs="Arial"/>
                <w:noProof/>
              </w:rPr>
              <w:t>4.5 Same Local Area</w:t>
            </w:r>
            <w:r>
              <w:rPr>
                <w:noProof/>
                <w:webHidden/>
              </w:rPr>
              <w:tab/>
            </w:r>
            <w:r>
              <w:rPr>
                <w:noProof/>
                <w:webHidden/>
              </w:rPr>
              <w:fldChar w:fldCharType="begin"/>
            </w:r>
            <w:r>
              <w:rPr>
                <w:noProof/>
                <w:webHidden/>
              </w:rPr>
              <w:instrText xml:space="preserve"> PAGEREF _Toc216708111 \h </w:instrText>
            </w:r>
            <w:r>
              <w:rPr>
                <w:noProof/>
                <w:webHidden/>
              </w:rPr>
            </w:r>
            <w:r>
              <w:rPr>
                <w:noProof/>
                <w:webHidden/>
              </w:rPr>
              <w:fldChar w:fldCharType="separate"/>
            </w:r>
            <w:r>
              <w:rPr>
                <w:noProof/>
                <w:webHidden/>
              </w:rPr>
              <w:t>13</w:t>
            </w:r>
            <w:r>
              <w:rPr>
                <w:noProof/>
                <w:webHidden/>
              </w:rPr>
              <w:fldChar w:fldCharType="end"/>
            </w:r>
          </w:hyperlink>
        </w:p>
        <w:p w14:paraId="343C2202" w14:textId="76417E25" w:rsidR="005468BA" w:rsidRDefault="005468BA">
          <w:pPr>
            <w:pStyle w:val="TOC2"/>
            <w:tabs>
              <w:tab w:val="right" w:leader="dot" w:pos="9854"/>
            </w:tabs>
            <w:rPr>
              <w:rFonts w:asciiTheme="minorHAnsi" w:hAnsiTheme="minorHAnsi"/>
              <w:noProof/>
              <w:color w:val="auto"/>
              <w:kern w:val="2"/>
              <w:sz w:val="24"/>
              <w:szCs w:val="24"/>
              <w:lang w:eastAsia="en-AU"/>
              <w14:ligatures w14:val="standardContextual"/>
            </w:rPr>
          </w:pPr>
          <w:hyperlink w:anchor="_Toc216708112" w:history="1">
            <w:r w:rsidRPr="00515896">
              <w:rPr>
                <w:rStyle w:val="Hyperlink"/>
                <w:rFonts w:eastAsia="Arial" w:cs="Arial"/>
                <w:noProof/>
              </w:rPr>
              <w:t>4.6 Organisational change notification requirements</w:t>
            </w:r>
            <w:r>
              <w:rPr>
                <w:noProof/>
                <w:webHidden/>
              </w:rPr>
              <w:tab/>
            </w:r>
            <w:r>
              <w:rPr>
                <w:noProof/>
                <w:webHidden/>
              </w:rPr>
              <w:fldChar w:fldCharType="begin"/>
            </w:r>
            <w:r>
              <w:rPr>
                <w:noProof/>
                <w:webHidden/>
              </w:rPr>
              <w:instrText xml:space="preserve"> PAGEREF _Toc216708112 \h </w:instrText>
            </w:r>
            <w:r>
              <w:rPr>
                <w:noProof/>
                <w:webHidden/>
              </w:rPr>
            </w:r>
            <w:r>
              <w:rPr>
                <w:noProof/>
                <w:webHidden/>
              </w:rPr>
              <w:fldChar w:fldCharType="separate"/>
            </w:r>
            <w:r>
              <w:rPr>
                <w:noProof/>
                <w:webHidden/>
              </w:rPr>
              <w:t>13</w:t>
            </w:r>
            <w:r>
              <w:rPr>
                <w:noProof/>
                <w:webHidden/>
              </w:rPr>
              <w:fldChar w:fldCharType="end"/>
            </w:r>
          </w:hyperlink>
        </w:p>
        <w:p w14:paraId="01F185BD" w14:textId="6546CC16" w:rsidR="005468BA" w:rsidRDefault="005468BA">
          <w:pPr>
            <w:pStyle w:val="TOC1"/>
            <w:tabs>
              <w:tab w:val="left" w:pos="48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16708113" w:history="1">
            <w:r w:rsidRPr="00515896">
              <w:rPr>
                <w:rStyle w:val="Hyperlink"/>
                <w:rFonts w:eastAsia="Times New Roman" w:cs="Arial"/>
                <w:noProof/>
                <w:lang w:eastAsia="en-AU"/>
              </w:rPr>
              <w:t>5</w:t>
            </w:r>
            <w:r>
              <w:rPr>
                <w:rFonts w:asciiTheme="minorHAnsi" w:hAnsiTheme="minorHAnsi"/>
                <w:b w:val="0"/>
                <w:bCs w:val="0"/>
                <w:noProof/>
                <w:color w:val="auto"/>
                <w:kern w:val="2"/>
                <w:sz w:val="24"/>
                <w:szCs w:val="24"/>
                <w:u w:val="none"/>
                <w:lang w:eastAsia="en-AU"/>
                <w14:ligatures w14:val="standardContextual"/>
              </w:rPr>
              <w:tab/>
            </w:r>
            <w:r w:rsidRPr="00515896">
              <w:rPr>
                <w:rStyle w:val="Hyperlink"/>
                <w:noProof/>
              </w:rPr>
              <w:t>Practice accreditation</w:t>
            </w:r>
            <w:r>
              <w:rPr>
                <w:noProof/>
                <w:webHidden/>
              </w:rPr>
              <w:tab/>
            </w:r>
            <w:r>
              <w:rPr>
                <w:noProof/>
                <w:webHidden/>
              </w:rPr>
              <w:fldChar w:fldCharType="begin"/>
            </w:r>
            <w:r>
              <w:rPr>
                <w:noProof/>
                <w:webHidden/>
              </w:rPr>
              <w:instrText xml:space="preserve"> PAGEREF _Toc216708113 \h </w:instrText>
            </w:r>
            <w:r>
              <w:rPr>
                <w:noProof/>
                <w:webHidden/>
              </w:rPr>
            </w:r>
            <w:r>
              <w:rPr>
                <w:noProof/>
                <w:webHidden/>
              </w:rPr>
              <w:fldChar w:fldCharType="separate"/>
            </w:r>
            <w:r>
              <w:rPr>
                <w:noProof/>
                <w:webHidden/>
              </w:rPr>
              <w:t>14</w:t>
            </w:r>
            <w:r>
              <w:rPr>
                <w:noProof/>
                <w:webHidden/>
              </w:rPr>
              <w:fldChar w:fldCharType="end"/>
            </w:r>
          </w:hyperlink>
        </w:p>
        <w:p w14:paraId="29A4636D" w14:textId="545B274C"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14" w:history="1">
            <w:r w:rsidRPr="00515896">
              <w:rPr>
                <w:rStyle w:val="Hyperlink"/>
                <w:noProof/>
              </w:rPr>
              <w:t>5.1</w:t>
            </w:r>
            <w:r>
              <w:rPr>
                <w:rFonts w:asciiTheme="minorHAnsi" w:hAnsiTheme="minorHAnsi"/>
                <w:noProof/>
                <w:color w:val="auto"/>
                <w:kern w:val="2"/>
                <w:sz w:val="24"/>
                <w:szCs w:val="24"/>
                <w:lang w:eastAsia="en-AU"/>
                <w14:ligatures w14:val="standardContextual"/>
              </w:rPr>
              <w:tab/>
            </w:r>
            <w:r w:rsidRPr="00515896">
              <w:rPr>
                <w:rStyle w:val="Hyperlink"/>
                <w:noProof/>
              </w:rPr>
              <w:t>Non-accredited practices</w:t>
            </w:r>
            <w:r>
              <w:rPr>
                <w:noProof/>
                <w:webHidden/>
              </w:rPr>
              <w:tab/>
            </w:r>
            <w:r>
              <w:rPr>
                <w:noProof/>
                <w:webHidden/>
              </w:rPr>
              <w:fldChar w:fldCharType="begin"/>
            </w:r>
            <w:r>
              <w:rPr>
                <w:noProof/>
                <w:webHidden/>
              </w:rPr>
              <w:instrText xml:space="preserve"> PAGEREF _Toc216708114 \h </w:instrText>
            </w:r>
            <w:r>
              <w:rPr>
                <w:noProof/>
                <w:webHidden/>
              </w:rPr>
            </w:r>
            <w:r>
              <w:rPr>
                <w:noProof/>
                <w:webHidden/>
              </w:rPr>
              <w:fldChar w:fldCharType="separate"/>
            </w:r>
            <w:r>
              <w:rPr>
                <w:noProof/>
                <w:webHidden/>
              </w:rPr>
              <w:t>14</w:t>
            </w:r>
            <w:r>
              <w:rPr>
                <w:noProof/>
                <w:webHidden/>
              </w:rPr>
              <w:fldChar w:fldCharType="end"/>
            </w:r>
          </w:hyperlink>
        </w:p>
        <w:p w14:paraId="2287162F" w14:textId="2EB55A2A" w:rsidR="005468BA" w:rsidRDefault="005468BA">
          <w:pPr>
            <w:pStyle w:val="TOC3"/>
            <w:tabs>
              <w:tab w:val="left" w:pos="1200"/>
              <w:tab w:val="right" w:leader="dot" w:pos="9854"/>
            </w:tabs>
            <w:rPr>
              <w:rFonts w:eastAsiaTheme="minorEastAsia" w:cstheme="minorBidi"/>
              <w:i w:val="0"/>
              <w:iCs w:val="0"/>
              <w:noProof/>
              <w:sz w:val="24"/>
              <w:szCs w:val="24"/>
              <w:lang w:eastAsia="en-AU"/>
            </w:rPr>
          </w:pPr>
          <w:hyperlink w:anchor="_Toc216708115" w:history="1">
            <w:r w:rsidRPr="00515896">
              <w:rPr>
                <w:rStyle w:val="Hyperlink"/>
                <w:noProof/>
              </w:rPr>
              <w:t>5.1.1</w:t>
            </w:r>
            <w:r>
              <w:rPr>
                <w:rFonts w:eastAsiaTheme="minorEastAsia" w:cstheme="minorBidi"/>
                <w:i w:val="0"/>
                <w:iCs w:val="0"/>
                <w:noProof/>
                <w:sz w:val="24"/>
                <w:szCs w:val="24"/>
                <w:lang w:eastAsia="en-AU"/>
              </w:rPr>
              <w:tab/>
            </w:r>
            <w:r w:rsidRPr="00515896">
              <w:rPr>
                <w:rStyle w:val="Hyperlink"/>
                <w:noProof/>
              </w:rPr>
              <w:t>Accreditation extension and appeals requests – Australian Commission on Safety and Quality in Healthcare (the Commission)</w:t>
            </w:r>
            <w:r>
              <w:rPr>
                <w:noProof/>
                <w:webHidden/>
              </w:rPr>
              <w:tab/>
            </w:r>
            <w:r>
              <w:rPr>
                <w:noProof/>
                <w:webHidden/>
              </w:rPr>
              <w:fldChar w:fldCharType="begin"/>
            </w:r>
            <w:r>
              <w:rPr>
                <w:noProof/>
                <w:webHidden/>
              </w:rPr>
              <w:instrText xml:space="preserve"> PAGEREF _Toc216708115 \h </w:instrText>
            </w:r>
            <w:r>
              <w:rPr>
                <w:noProof/>
                <w:webHidden/>
              </w:rPr>
            </w:r>
            <w:r>
              <w:rPr>
                <w:noProof/>
                <w:webHidden/>
              </w:rPr>
              <w:fldChar w:fldCharType="separate"/>
            </w:r>
            <w:r>
              <w:rPr>
                <w:noProof/>
                <w:webHidden/>
              </w:rPr>
              <w:t>14</w:t>
            </w:r>
            <w:r>
              <w:rPr>
                <w:noProof/>
                <w:webHidden/>
              </w:rPr>
              <w:fldChar w:fldCharType="end"/>
            </w:r>
          </w:hyperlink>
        </w:p>
        <w:p w14:paraId="336ABB6D" w14:textId="7A7338A0" w:rsidR="005468BA" w:rsidRDefault="005468BA">
          <w:pPr>
            <w:pStyle w:val="TOC3"/>
            <w:tabs>
              <w:tab w:val="left" w:pos="1200"/>
              <w:tab w:val="right" w:leader="dot" w:pos="9854"/>
            </w:tabs>
            <w:rPr>
              <w:rFonts w:eastAsiaTheme="minorEastAsia" w:cstheme="minorBidi"/>
              <w:i w:val="0"/>
              <w:iCs w:val="0"/>
              <w:noProof/>
              <w:sz w:val="24"/>
              <w:szCs w:val="24"/>
              <w:lang w:eastAsia="en-AU"/>
            </w:rPr>
          </w:pPr>
          <w:hyperlink w:anchor="_Toc216708116" w:history="1">
            <w:r w:rsidRPr="00515896">
              <w:rPr>
                <w:rStyle w:val="Hyperlink"/>
                <w:noProof/>
              </w:rPr>
              <w:t>5.1.2</w:t>
            </w:r>
            <w:r>
              <w:rPr>
                <w:rFonts w:eastAsiaTheme="minorEastAsia" w:cstheme="minorBidi"/>
                <w:i w:val="0"/>
                <w:iCs w:val="0"/>
                <w:noProof/>
                <w:sz w:val="24"/>
                <w:szCs w:val="24"/>
                <w:lang w:eastAsia="en-AU"/>
              </w:rPr>
              <w:tab/>
            </w:r>
            <w:r w:rsidRPr="00515896">
              <w:rPr>
                <w:rStyle w:val="Hyperlink"/>
                <w:noProof/>
              </w:rPr>
              <w:t>Temporary exemption to the MyMedicare accreditation requirement</w:t>
            </w:r>
            <w:r>
              <w:rPr>
                <w:noProof/>
                <w:webHidden/>
              </w:rPr>
              <w:tab/>
            </w:r>
            <w:r>
              <w:rPr>
                <w:noProof/>
                <w:webHidden/>
              </w:rPr>
              <w:fldChar w:fldCharType="begin"/>
            </w:r>
            <w:r>
              <w:rPr>
                <w:noProof/>
                <w:webHidden/>
              </w:rPr>
              <w:instrText xml:space="preserve"> PAGEREF _Toc216708116 \h </w:instrText>
            </w:r>
            <w:r>
              <w:rPr>
                <w:noProof/>
                <w:webHidden/>
              </w:rPr>
            </w:r>
            <w:r>
              <w:rPr>
                <w:noProof/>
                <w:webHidden/>
              </w:rPr>
              <w:fldChar w:fldCharType="separate"/>
            </w:r>
            <w:r>
              <w:rPr>
                <w:noProof/>
                <w:webHidden/>
              </w:rPr>
              <w:t>14</w:t>
            </w:r>
            <w:r>
              <w:rPr>
                <w:noProof/>
                <w:webHidden/>
              </w:rPr>
              <w:fldChar w:fldCharType="end"/>
            </w:r>
          </w:hyperlink>
        </w:p>
        <w:p w14:paraId="20A520D6" w14:textId="72FA20AC"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17" w:history="1">
            <w:r w:rsidRPr="00515896">
              <w:rPr>
                <w:rStyle w:val="Hyperlink"/>
                <w:noProof/>
              </w:rPr>
              <w:t>5.2</w:t>
            </w:r>
            <w:r>
              <w:rPr>
                <w:rFonts w:asciiTheme="minorHAnsi" w:hAnsiTheme="minorHAnsi"/>
                <w:noProof/>
                <w:color w:val="auto"/>
                <w:kern w:val="2"/>
                <w:sz w:val="24"/>
                <w:szCs w:val="24"/>
                <w:lang w:eastAsia="en-AU"/>
                <w14:ligatures w14:val="standardContextual"/>
              </w:rPr>
              <w:tab/>
            </w:r>
            <w:r w:rsidRPr="00515896">
              <w:rPr>
                <w:rStyle w:val="Hyperlink"/>
                <w:noProof/>
              </w:rPr>
              <w:t>Temporary accreditation exemption – non-traditional practice models</w:t>
            </w:r>
            <w:r>
              <w:rPr>
                <w:noProof/>
                <w:webHidden/>
              </w:rPr>
              <w:tab/>
            </w:r>
            <w:r>
              <w:rPr>
                <w:noProof/>
                <w:webHidden/>
              </w:rPr>
              <w:fldChar w:fldCharType="begin"/>
            </w:r>
            <w:r>
              <w:rPr>
                <w:noProof/>
                <w:webHidden/>
              </w:rPr>
              <w:instrText xml:space="preserve"> PAGEREF _Toc216708117 \h </w:instrText>
            </w:r>
            <w:r>
              <w:rPr>
                <w:noProof/>
                <w:webHidden/>
              </w:rPr>
            </w:r>
            <w:r>
              <w:rPr>
                <w:noProof/>
                <w:webHidden/>
              </w:rPr>
              <w:fldChar w:fldCharType="separate"/>
            </w:r>
            <w:r>
              <w:rPr>
                <w:noProof/>
                <w:webHidden/>
              </w:rPr>
              <w:t>15</w:t>
            </w:r>
            <w:r>
              <w:rPr>
                <w:noProof/>
                <w:webHidden/>
              </w:rPr>
              <w:fldChar w:fldCharType="end"/>
            </w:r>
          </w:hyperlink>
        </w:p>
        <w:p w14:paraId="79E97C38" w14:textId="071D7CDC"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18" w:history="1">
            <w:r w:rsidRPr="00515896">
              <w:rPr>
                <w:rStyle w:val="Hyperlink"/>
                <w:noProof/>
              </w:rPr>
              <w:t>5.3</w:t>
            </w:r>
            <w:r>
              <w:rPr>
                <w:rFonts w:asciiTheme="minorHAnsi" w:hAnsiTheme="minorHAnsi"/>
                <w:noProof/>
                <w:color w:val="auto"/>
                <w:kern w:val="2"/>
                <w:sz w:val="24"/>
                <w:szCs w:val="24"/>
                <w:lang w:eastAsia="en-AU"/>
                <w14:ligatures w14:val="standardContextual"/>
              </w:rPr>
              <w:tab/>
            </w:r>
            <w:r w:rsidRPr="00515896">
              <w:rPr>
                <w:rStyle w:val="Hyperlink"/>
                <w:noProof/>
              </w:rPr>
              <w:t>Accreditation exemption – Bulk Billing Practice Incentive Program</w:t>
            </w:r>
            <w:r>
              <w:rPr>
                <w:noProof/>
                <w:webHidden/>
              </w:rPr>
              <w:tab/>
            </w:r>
            <w:r>
              <w:rPr>
                <w:noProof/>
                <w:webHidden/>
              </w:rPr>
              <w:fldChar w:fldCharType="begin"/>
            </w:r>
            <w:r>
              <w:rPr>
                <w:noProof/>
                <w:webHidden/>
              </w:rPr>
              <w:instrText xml:space="preserve"> PAGEREF _Toc216708118 \h </w:instrText>
            </w:r>
            <w:r>
              <w:rPr>
                <w:noProof/>
                <w:webHidden/>
              </w:rPr>
            </w:r>
            <w:r>
              <w:rPr>
                <w:noProof/>
                <w:webHidden/>
              </w:rPr>
              <w:fldChar w:fldCharType="separate"/>
            </w:r>
            <w:r>
              <w:rPr>
                <w:noProof/>
                <w:webHidden/>
              </w:rPr>
              <w:t>15</w:t>
            </w:r>
            <w:r>
              <w:rPr>
                <w:noProof/>
                <w:webHidden/>
              </w:rPr>
              <w:fldChar w:fldCharType="end"/>
            </w:r>
          </w:hyperlink>
        </w:p>
        <w:p w14:paraId="0D4F5F51" w14:textId="23C71EB3" w:rsidR="005468BA" w:rsidRDefault="005468BA">
          <w:pPr>
            <w:pStyle w:val="TOC2"/>
            <w:tabs>
              <w:tab w:val="right" w:leader="dot" w:pos="9854"/>
            </w:tabs>
            <w:rPr>
              <w:rFonts w:asciiTheme="minorHAnsi" w:hAnsiTheme="minorHAnsi"/>
              <w:noProof/>
              <w:color w:val="auto"/>
              <w:kern w:val="2"/>
              <w:sz w:val="24"/>
              <w:szCs w:val="24"/>
              <w:lang w:eastAsia="en-AU"/>
              <w14:ligatures w14:val="standardContextual"/>
            </w:rPr>
          </w:pPr>
          <w:hyperlink w:anchor="_Toc216708119" w:history="1">
            <w:r w:rsidRPr="00515896">
              <w:rPr>
                <w:rStyle w:val="Hyperlink"/>
                <w:rFonts w:cs="Arial"/>
                <w:noProof/>
              </w:rPr>
              <w:t>Withdrawal of Accreditation</w:t>
            </w:r>
            <w:r>
              <w:rPr>
                <w:noProof/>
                <w:webHidden/>
              </w:rPr>
              <w:tab/>
            </w:r>
            <w:r>
              <w:rPr>
                <w:noProof/>
                <w:webHidden/>
              </w:rPr>
              <w:fldChar w:fldCharType="begin"/>
            </w:r>
            <w:r>
              <w:rPr>
                <w:noProof/>
                <w:webHidden/>
              </w:rPr>
              <w:instrText xml:space="preserve"> PAGEREF _Toc216708119 \h </w:instrText>
            </w:r>
            <w:r>
              <w:rPr>
                <w:noProof/>
                <w:webHidden/>
              </w:rPr>
            </w:r>
            <w:r>
              <w:rPr>
                <w:noProof/>
                <w:webHidden/>
              </w:rPr>
              <w:fldChar w:fldCharType="separate"/>
            </w:r>
            <w:r>
              <w:rPr>
                <w:noProof/>
                <w:webHidden/>
              </w:rPr>
              <w:t>16</w:t>
            </w:r>
            <w:r>
              <w:rPr>
                <w:noProof/>
                <w:webHidden/>
              </w:rPr>
              <w:fldChar w:fldCharType="end"/>
            </w:r>
          </w:hyperlink>
        </w:p>
        <w:p w14:paraId="39085A5A" w14:textId="54D1A4F2" w:rsidR="005468BA" w:rsidRDefault="005468BA">
          <w:pPr>
            <w:pStyle w:val="TOC1"/>
            <w:tabs>
              <w:tab w:val="left" w:pos="48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16708120" w:history="1">
            <w:r w:rsidRPr="00515896">
              <w:rPr>
                <w:rStyle w:val="Hyperlink"/>
                <w:noProof/>
              </w:rPr>
              <w:t>6</w:t>
            </w:r>
            <w:r>
              <w:rPr>
                <w:rFonts w:asciiTheme="minorHAnsi" w:hAnsiTheme="minorHAnsi"/>
                <w:b w:val="0"/>
                <w:bCs w:val="0"/>
                <w:noProof/>
                <w:color w:val="auto"/>
                <w:kern w:val="2"/>
                <w:sz w:val="24"/>
                <w:szCs w:val="24"/>
                <w:u w:val="none"/>
                <w:lang w:eastAsia="en-AU"/>
                <w14:ligatures w14:val="standardContextual"/>
              </w:rPr>
              <w:tab/>
            </w:r>
            <w:r w:rsidRPr="00515896">
              <w:rPr>
                <w:rStyle w:val="Hyperlink"/>
                <w:noProof/>
              </w:rPr>
              <w:t>Provider registration</w:t>
            </w:r>
            <w:r w:rsidRPr="00515896">
              <w:rPr>
                <w:rStyle w:val="Hyperlink"/>
                <w:rFonts w:cs="Times New Roman"/>
                <w:noProof/>
                <w:lang w:eastAsia="en-US"/>
              </w:rPr>
              <w:t xml:space="preserve"> </w:t>
            </w:r>
            <w:r w:rsidRPr="00515896">
              <w:rPr>
                <w:rStyle w:val="Hyperlink"/>
                <w:noProof/>
              </w:rPr>
              <w:t>requirements</w:t>
            </w:r>
            <w:r>
              <w:rPr>
                <w:noProof/>
                <w:webHidden/>
              </w:rPr>
              <w:tab/>
            </w:r>
            <w:r>
              <w:rPr>
                <w:noProof/>
                <w:webHidden/>
              </w:rPr>
              <w:fldChar w:fldCharType="begin"/>
            </w:r>
            <w:r>
              <w:rPr>
                <w:noProof/>
                <w:webHidden/>
              </w:rPr>
              <w:instrText xml:space="preserve"> PAGEREF _Toc216708120 \h </w:instrText>
            </w:r>
            <w:r>
              <w:rPr>
                <w:noProof/>
                <w:webHidden/>
              </w:rPr>
            </w:r>
            <w:r>
              <w:rPr>
                <w:noProof/>
                <w:webHidden/>
              </w:rPr>
              <w:fldChar w:fldCharType="separate"/>
            </w:r>
            <w:r>
              <w:rPr>
                <w:noProof/>
                <w:webHidden/>
              </w:rPr>
              <w:t>16</w:t>
            </w:r>
            <w:r>
              <w:rPr>
                <w:noProof/>
                <w:webHidden/>
              </w:rPr>
              <w:fldChar w:fldCharType="end"/>
            </w:r>
          </w:hyperlink>
        </w:p>
        <w:p w14:paraId="107F03D1" w14:textId="04909190"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21" w:history="1">
            <w:r w:rsidRPr="00515896">
              <w:rPr>
                <w:rStyle w:val="Hyperlink"/>
                <w:noProof/>
              </w:rPr>
              <w:t>6.1</w:t>
            </w:r>
            <w:r>
              <w:rPr>
                <w:rFonts w:asciiTheme="minorHAnsi" w:hAnsiTheme="minorHAnsi"/>
                <w:noProof/>
                <w:color w:val="auto"/>
                <w:kern w:val="2"/>
                <w:sz w:val="24"/>
                <w:szCs w:val="24"/>
                <w:lang w:eastAsia="en-AU"/>
                <w14:ligatures w14:val="standardContextual"/>
              </w:rPr>
              <w:tab/>
            </w:r>
            <w:r w:rsidRPr="00515896">
              <w:rPr>
                <w:rStyle w:val="Hyperlink"/>
                <w:noProof/>
              </w:rPr>
              <w:t>Provider requirements</w:t>
            </w:r>
            <w:r>
              <w:rPr>
                <w:noProof/>
                <w:webHidden/>
              </w:rPr>
              <w:tab/>
            </w:r>
            <w:r>
              <w:rPr>
                <w:noProof/>
                <w:webHidden/>
              </w:rPr>
              <w:fldChar w:fldCharType="begin"/>
            </w:r>
            <w:r>
              <w:rPr>
                <w:noProof/>
                <w:webHidden/>
              </w:rPr>
              <w:instrText xml:space="preserve"> PAGEREF _Toc216708121 \h </w:instrText>
            </w:r>
            <w:r>
              <w:rPr>
                <w:noProof/>
                <w:webHidden/>
              </w:rPr>
            </w:r>
            <w:r>
              <w:rPr>
                <w:noProof/>
                <w:webHidden/>
              </w:rPr>
              <w:fldChar w:fldCharType="separate"/>
            </w:r>
            <w:r>
              <w:rPr>
                <w:noProof/>
                <w:webHidden/>
              </w:rPr>
              <w:t>16</w:t>
            </w:r>
            <w:r>
              <w:rPr>
                <w:noProof/>
                <w:webHidden/>
              </w:rPr>
              <w:fldChar w:fldCharType="end"/>
            </w:r>
          </w:hyperlink>
        </w:p>
        <w:p w14:paraId="73C22996" w14:textId="0AE61002"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22" w:history="1">
            <w:r w:rsidRPr="00515896">
              <w:rPr>
                <w:rStyle w:val="Hyperlink"/>
                <w:noProof/>
              </w:rPr>
              <w:t>6.2</w:t>
            </w:r>
            <w:r>
              <w:rPr>
                <w:rFonts w:asciiTheme="minorHAnsi" w:hAnsiTheme="minorHAnsi"/>
                <w:noProof/>
                <w:color w:val="auto"/>
                <w:kern w:val="2"/>
                <w:sz w:val="24"/>
                <w:szCs w:val="24"/>
                <w:lang w:eastAsia="en-AU"/>
                <w14:ligatures w14:val="standardContextual"/>
              </w:rPr>
              <w:tab/>
            </w:r>
            <w:r w:rsidRPr="00515896">
              <w:rPr>
                <w:rStyle w:val="Hyperlink"/>
                <w:noProof/>
              </w:rPr>
              <w:t>Patient registration requirements</w:t>
            </w:r>
            <w:r>
              <w:rPr>
                <w:noProof/>
                <w:webHidden/>
              </w:rPr>
              <w:tab/>
            </w:r>
            <w:r>
              <w:rPr>
                <w:noProof/>
                <w:webHidden/>
              </w:rPr>
              <w:fldChar w:fldCharType="begin"/>
            </w:r>
            <w:r>
              <w:rPr>
                <w:noProof/>
                <w:webHidden/>
              </w:rPr>
              <w:instrText xml:space="preserve"> PAGEREF _Toc216708122 \h </w:instrText>
            </w:r>
            <w:r>
              <w:rPr>
                <w:noProof/>
                <w:webHidden/>
              </w:rPr>
            </w:r>
            <w:r>
              <w:rPr>
                <w:noProof/>
                <w:webHidden/>
              </w:rPr>
              <w:fldChar w:fldCharType="separate"/>
            </w:r>
            <w:r>
              <w:rPr>
                <w:noProof/>
                <w:webHidden/>
              </w:rPr>
              <w:t>16</w:t>
            </w:r>
            <w:r>
              <w:rPr>
                <w:noProof/>
                <w:webHidden/>
              </w:rPr>
              <w:fldChar w:fldCharType="end"/>
            </w:r>
          </w:hyperlink>
        </w:p>
        <w:p w14:paraId="7AC25653" w14:textId="377F12B3"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23" w:history="1">
            <w:r w:rsidRPr="00515896">
              <w:rPr>
                <w:rStyle w:val="Hyperlink"/>
                <w:noProof/>
              </w:rPr>
              <w:t>6.3</w:t>
            </w:r>
            <w:r>
              <w:rPr>
                <w:rFonts w:asciiTheme="minorHAnsi" w:hAnsiTheme="minorHAnsi"/>
                <w:noProof/>
                <w:color w:val="auto"/>
                <w:kern w:val="2"/>
                <w:sz w:val="24"/>
                <w:szCs w:val="24"/>
                <w:lang w:eastAsia="en-AU"/>
                <w14:ligatures w14:val="standardContextual"/>
              </w:rPr>
              <w:tab/>
            </w:r>
            <w:r w:rsidRPr="00515896">
              <w:rPr>
                <w:rStyle w:val="Hyperlink"/>
                <w:noProof/>
              </w:rPr>
              <w:t>Patient registrations</w:t>
            </w:r>
            <w:r>
              <w:rPr>
                <w:noProof/>
                <w:webHidden/>
              </w:rPr>
              <w:tab/>
            </w:r>
            <w:r>
              <w:rPr>
                <w:noProof/>
                <w:webHidden/>
              </w:rPr>
              <w:fldChar w:fldCharType="begin"/>
            </w:r>
            <w:r>
              <w:rPr>
                <w:noProof/>
                <w:webHidden/>
              </w:rPr>
              <w:instrText xml:space="preserve"> PAGEREF _Toc216708123 \h </w:instrText>
            </w:r>
            <w:r>
              <w:rPr>
                <w:noProof/>
                <w:webHidden/>
              </w:rPr>
            </w:r>
            <w:r>
              <w:rPr>
                <w:noProof/>
                <w:webHidden/>
              </w:rPr>
              <w:fldChar w:fldCharType="separate"/>
            </w:r>
            <w:r>
              <w:rPr>
                <w:noProof/>
                <w:webHidden/>
              </w:rPr>
              <w:t>16</w:t>
            </w:r>
            <w:r>
              <w:rPr>
                <w:noProof/>
                <w:webHidden/>
              </w:rPr>
              <w:fldChar w:fldCharType="end"/>
            </w:r>
          </w:hyperlink>
        </w:p>
        <w:p w14:paraId="0C76B1A8" w14:textId="2A54952C" w:rsidR="005468BA" w:rsidRDefault="005468BA">
          <w:pPr>
            <w:pStyle w:val="TOC3"/>
            <w:tabs>
              <w:tab w:val="right" w:leader="dot" w:pos="9854"/>
            </w:tabs>
            <w:rPr>
              <w:rFonts w:eastAsiaTheme="minorEastAsia" w:cstheme="minorBidi"/>
              <w:i w:val="0"/>
              <w:iCs w:val="0"/>
              <w:noProof/>
              <w:sz w:val="24"/>
              <w:szCs w:val="24"/>
              <w:lang w:eastAsia="en-AU"/>
            </w:rPr>
          </w:pPr>
          <w:hyperlink w:anchor="_Toc216708124" w:history="1">
            <w:r w:rsidRPr="00515896">
              <w:rPr>
                <w:rStyle w:val="Hyperlink"/>
                <w:noProof/>
                <w:lang w:eastAsia="en-AU"/>
              </w:rPr>
              <w:t>6.2.1 Online registration</w:t>
            </w:r>
            <w:r>
              <w:rPr>
                <w:noProof/>
                <w:webHidden/>
              </w:rPr>
              <w:tab/>
            </w:r>
            <w:r>
              <w:rPr>
                <w:noProof/>
                <w:webHidden/>
              </w:rPr>
              <w:fldChar w:fldCharType="begin"/>
            </w:r>
            <w:r>
              <w:rPr>
                <w:noProof/>
                <w:webHidden/>
              </w:rPr>
              <w:instrText xml:space="preserve"> PAGEREF _Toc216708124 \h </w:instrText>
            </w:r>
            <w:r>
              <w:rPr>
                <w:noProof/>
                <w:webHidden/>
              </w:rPr>
            </w:r>
            <w:r>
              <w:rPr>
                <w:noProof/>
                <w:webHidden/>
              </w:rPr>
              <w:fldChar w:fldCharType="separate"/>
            </w:r>
            <w:r>
              <w:rPr>
                <w:noProof/>
                <w:webHidden/>
              </w:rPr>
              <w:t>16</w:t>
            </w:r>
            <w:r>
              <w:rPr>
                <w:noProof/>
                <w:webHidden/>
              </w:rPr>
              <w:fldChar w:fldCharType="end"/>
            </w:r>
          </w:hyperlink>
        </w:p>
        <w:p w14:paraId="408A251E" w14:textId="293F2A6F" w:rsidR="005468BA" w:rsidRDefault="005468BA">
          <w:pPr>
            <w:pStyle w:val="TOC3"/>
            <w:tabs>
              <w:tab w:val="right" w:leader="dot" w:pos="9854"/>
            </w:tabs>
            <w:rPr>
              <w:rFonts w:eastAsiaTheme="minorEastAsia" w:cstheme="minorBidi"/>
              <w:i w:val="0"/>
              <w:iCs w:val="0"/>
              <w:noProof/>
              <w:sz w:val="24"/>
              <w:szCs w:val="24"/>
              <w:lang w:eastAsia="en-AU"/>
            </w:rPr>
          </w:pPr>
          <w:hyperlink w:anchor="_Toc216708125" w:history="1">
            <w:r w:rsidRPr="00515896">
              <w:rPr>
                <w:rStyle w:val="Hyperlink"/>
                <w:noProof/>
                <w:lang w:eastAsia="en-AU"/>
              </w:rPr>
              <w:t>6.2.2 In-person registrations</w:t>
            </w:r>
            <w:r>
              <w:rPr>
                <w:noProof/>
                <w:webHidden/>
              </w:rPr>
              <w:tab/>
            </w:r>
            <w:r>
              <w:rPr>
                <w:noProof/>
                <w:webHidden/>
              </w:rPr>
              <w:fldChar w:fldCharType="begin"/>
            </w:r>
            <w:r>
              <w:rPr>
                <w:noProof/>
                <w:webHidden/>
              </w:rPr>
              <w:instrText xml:space="preserve"> PAGEREF _Toc216708125 \h </w:instrText>
            </w:r>
            <w:r>
              <w:rPr>
                <w:noProof/>
                <w:webHidden/>
              </w:rPr>
            </w:r>
            <w:r>
              <w:rPr>
                <w:noProof/>
                <w:webHidden/>
              </w:rPr>
              <w:fldChar w:fldCharType="separate"/>
            </w:r>
            <w:r>
              <w:rPr>
                <w:noProof/>
                <w:webHidden/>
              </w:rPr>
              <w:t>16</w:t>
            </w:r>
            <w:r>
              <w:rPr>
                <w:noProof/>
                <w:webHidden/>
              </w:rPr>
              <w:fldChar w:fldCharType="end"/>
            </w:r>
          </w:hyperlink>
        </w:p>
        <w:p w14:paraId="0EBEB463" w14:textId="2F80664B" w:rsidR="005468BA" w:rsidRDefault="005468BA">
          <w:pPr>
            <w:pStyle w:val="TOC3"/>
            <w:tabs>
              <w:tab w:val="right" w:leader="dot" w:pos="9854"/>
            </w:tabs>
            <w:rPr>
              <w:rFonts w:eastAsiaTheme="minorEastAsia" w:cstheme="minorBidi"/>
              <w:i w:val="0"/>
              <w:iCs w:val="0"/>
              <w:noProof/>
              <w:sz w:val="24"/>
              <w:szCs w:val="24"/>
              <w:lang w:eastAsia="en-AU"/>
            </w:rPr>
          </w:pPr>
          <w:hyperlink w:anchor="_Toc216708126" w:history="1">
            <w:r w:rsidRPr="00515896">
              <w:rPr>
                <w:rStyle w:val="Hyperlink"/>
                <w:noProof/>
                <w:lang w:eastAsia="en-AU"/>
              </w:rPr>
              <w:t>6.2.3 Accepting patient-initiated registration</w:t>
            </w:r>
            <w:r>
              <w:rPr>
                <w:noProof/>
                <w:webHidden/>
              </w:rPr>
              <w:tab/>
            </w:r>
            <w:r>
              <w:rPr>
                <w:noProof/>
                <w:webHidden/>
              </w:rPr>
              <w:fldChar w:fldCharType="begin"/>
            </w:r>
            <w:r>
              <w:rPr>
                <w:noProof/>
                <w:webHidden/>
              </w:rPr>
              <w:instrText xml:space="preserve"> PAGEREF _Toc216708126 \h </w:instrText>
            </w:r>
            <w:r>
              <w:rPr>
                <w:noProof/>
                <w:webHidden/>
              </w:rPr>
            </w:r>
            <w:r>
              <w:rPr>
                <w:noProof/>
                <w:webHidden/>
              </w:rPr>
              <w:fldChar w:fldCharType="separate"/>
            </w:r>
            <w:r>
              <w:rPr>
                <w:noProof/>
                <w:webHidden/>
              </w:rPr>
              <w:t>17</w:t>
            </w:r>
            <w:r>
              <w:rPr>
                <w:noProof/>
                <w:webHidden/>
              </w:rPr>
              <w:fldChar w:fldCharType="end"/>
            </w:r>
          </w:hyperlink>
        </w:p>
        <w:p w14:paraId="451AEE31" w14:textId="36169D26"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27" w:history="1">
            <w:r w:rsidRPr="00515896">
              <w:rPr>
                <w:rStyle w:val="Hyperlink"/>
                <w:noProof/>
              </w:rPr>
              <w:t>6.4</w:t>
            </w:r>
            <w:r>
              <w:rPr>
                <w:rFonts w:asciiTheme="minorHAnsi" w:hAnsiTheme="minorHAnsi"/>
                <w:noProof/>
                <w:color w:val="auto"/>
                <w:kern w:val="2"/>
                <w:sz w:val="24"/>
                <w:szCs w:val="24"/>
                <w:lang w:eastAsia="en-AU"/>
                <w14:ligatures w14:val="standardContextual"/>
              </w:rPr>
              <w:tab/>
            </w:r>
            <w:r w:rsidRPr="00515896">
              <w:rPr>
                <w:rStyle w:val="Hyperlink"/>
                <w:noProof/>
              </w:rPr>
              <w:t>Patient eligibility requirements</w:t>
            </w:r>
            <w:r>
              <w:rPr>
                <w:noProof/>
                <w:webHidden/>
              </w:rPr>
              <w:tab/>
            </w:r>
            <w:r>
              <w:rPr>
                <w:noProof/>
                <w:webHidden/>
              </w:rPr>
              <w:fldChar w:fldCharType="begin"/>
            </w:r>
            <w:r>
              <w:rPr>
                <w:noProof/>
                <w:webHidden/>
              </w:rPr>
              <w:instrText xml:space="preserve"> PAGEREF _Toc216708127 \h </w:instrText>
            </w:r>
            <w:r>
              <w:rPr>
                <w:noProof/>
                <w:webHidden/>
              </w:rPr>
            </w:r>
            <w:r>
              <w:rPr>
                <w:noProof/>
                <w:webHidden/>
              </w:rPr>
              <w:fldChar w:fldCharType="separate"/>
            </w:r>
            <w:r>
              <w:rPr>
                <w:noProof/>
                <w:webHidden/>
              </w:rPr>
              <w:t>17</w:t>
            </w:r>
            <w:r>
              <w:rPr>
                <w:noProof/>
                <w:webHidden/>
              </w:rPr>
              <w:fldChar w:fldCharType="end"/>
            </w:r>
          </w:hyperlink>
        </w:p>
        <w:p w14:paraId="3530986E" w14:textId="7E50CE0F"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28" w:history="1">
            <w:r w:rsidRPr="00515896">
              <w:rPr>
                <w:rStyle w:val="Hyperlink"/>
                <w:noProof/>
              </w:rPr>
              <w:t>6.5</w:t>
            </w:r>
            <w:r>
              <w:rPr>
                <w:rFonts w:asciiTheme="minorHAnsi" w:hAnsiTheme="minorHAnsi"/>
                <w:noProof/>
                <w:color w:val="auto"/>
                <w:kern w:val="2"/>
                <w:sz w:val="24"/>
                <w:szCs w:val="24"/>
                <w:lang w:eastAsia="en-AU"/>
                <w14:ligatures w14:val="standardContextual"/>
              </w:rPr>
              <w:tab/>
            </w:r>
            <w:r w:rsidRPr="00515896">
              <w:rPr>
                <w:rStyle w:val="Hyperlink"/>
                <w:noProof/>
              </w:rPr>
              <w:t>Exemption to patient eligibility requirements</w:t>
            </w:r>
            <w:r>
              <w:rPr>
                <w:noProof/>
                <w:webHidden/>
              </w:rPr>
              <w:tab/>
            </w:r>
            <w:r>
              <w:rPr>
                <w:noProof/>
                <w:webHidden/>
              </w:rPr>
              <w:fldChar w:fldCharType="begin"/>
            </w:r>
            <w:r>
              <w:rPr>
                <w:noProof/>
                <w:webHidden/>
              </w:rPr>
              <w:instrText xml:space="preserve"> PAGEREF _Toc216708128 \h </w:instrText>
            </w:r>
            <w:r>
              <w:rPr>
                <w:noProof/>
                <w:webHidden/>
              </w:rPr>
            </w:r>
            <w:r>
              <w:rPr>
                <w:noProof/>
                <w:webHidden/>
              </w:rPr>
              <w:fldChar w:fldCharType="separate"/>
            </w:r>
            <w:r>
              <w:rPr>
                <w:noProof/>
                <w:webHidden/>
              </w:rPr>
              <w:t>17</w:t>
            </w:r>
            <w:r>
              <w:rPr>
                <w:noProof/>
                <w:webHidden/>
              </w:rPr>
              <w:fldChar w:fldCharType="end"/>
            </w:r>
          </w:hyperlink>
        </w:p>
        <w:p w14:paraId="24548A81" w14:textId="38D6CD55" w:rsidR="005468BA" w:rsidRDefault="005468BA">
          <w:pPr>
            <w:pStyle w:val="TOC3"/>
            <w:tabs>
              <w:tab w:val="left" w:pos="1200"/>
              <w:tab w:val="right" w:leader="dot" w:pos="9854"/>
            </w:tabs>
            <w:rPr>
              <w:rFonts w:eastAsiaTheme="minorEastAsia" w:cstheme="minorBidi"/>
              <w:i w:val="0"/>
              <w:iCs w:val="0"/>
              <w:noProof/>
              <w:sz w:val="24"/>
              <w:szCs w:val="24"/>
              <w:lang w:eastAsia="en-AU"/>
            </w:rPr>
          </w:pPr>
          <w:hyperlink w:anchor="_Toc216708129" w:history="1">
            <w:r w:rsidRPr="00515896">
              <w:rPr>
                <w:rStyle w:val="Hyperlink"/>
                <w:noProof/>
              </w:rPr>
              <w:t>6.5.1</w:t>
            </w:r>
            <w:r>
              <w:rPr>
                <w:rFonts w:eastAsiaTheme="minorEastAsia" w:cstheme="minorBidi"/>
                <w:i w:val="0"/>
                <w:iCs w:val="0"/>
                <w:noProof/>
                <w:sz w:val="24"/>
                <w:szCs w:val="24"/>
                <w:lang w:eastAsia="en-AU"/>
              </w:rPr>
              <w:tab/>
            </w:r>
            <w:r w:rsidRPr="00515896">
              <w:rPr>
                <w:rStyle w:val="Hyperlink"/>
                <w:noProof/>
              </w:rPr>
              <w:t>General exemptions</w:t>
            </w:r>
            <w:r>
              <w:rPr>
                <w:noProof/>
                <w:webHidden/>
              </w:rPr>
              <w:tab/>
            </w:r>
            <w:r>
              <w:rPr>
                <w:noProof/>
                <w:webHidden/>
              </w:rPr>
              <w:fldChar w:fldCharType="begin"/>
            </w:r>
            <w:r>
              <w:rPr>
                <w:noProof/>
                <w:webHidden/>
              </w:rPr>
              <w:instrText xml:space="preserve"> PAGEREF _Toc216708129 \h </w:instrText>
            </w:r>
            <w:r>
              <w:rPr>
                <w:noProof/>
                <w:webHidden/>
              </w:rPr>
            </w:r>
            <w:r>
              <w:rPr>
                <w:noProof/>
                <w:webHidden/>
              </w:rPr>
              <w:fldChar w:fldCharType="separate"/>
            </w:r>
            <w:r>
              <w:rPr>
                <w:noProof/>
                <w:webHidden/>
              </w:rPr>
              <w:t>18</w:t>
            </w:r>
            <w:r>
              <w:rPr>
                <w:noProof/>
                <w:webHidden/>
              </w:rPr>
              <w:fldChar w:fldCharType="end"/>
            </w:r>
          </w:hyperlink>
        </w:p>
        <w:p w14:paraId="5A5248D5" w14:textId="67142A65" w:rsidR="005468BA" w:rsidRDefault="005468BA">
          <w:pPr>
            <w:pStyle w:val="TOC3"/>
            <w:tabs>
              <w:tab w:val="left" w:pos="1200"/>
              <w:tab w:val="right" w:leader="dot" w:pos="9854"/>
            </w:tabs>
            <w:rPr>
              <w:rFonts w:eastAsiaTheme="minorEastAsia" w:cstheme="minorBidi"/>
              <w:i w:val="0"/>
              <w:iCs w:val="0"/>
              <w:noProof/>
              <w:sz w:val="24"/>
              <w:szCs w:val="24"/>
              <w:lang w:eastAsia="en-AU"/>
            </w:rPr>
          </w:pPr>
          <w:hyperlink w:anchor="_Toc216708130" w:history="1">
            <w:r w:rsidRPr="00515896">
              <w:rPr>
                <w:rStyle w:val="Hyperlink"/>
                <w:noProof/>
              </w:rPr>
              <w:t>6.5.2</w:t>
            </w:r>
            <w:r>
              <w:rPr>
                <w:rFonts w:eastAsiaTheme="minorEastAsia" w:cstheme="minorBidi"/>
                <w:i w:val="0"/>
                <w:iCs w:val="0"/>
                <w:noProof/>
                <w:sz w:val="24"/>
                <w:szCs w:val="24"/>
                <w:lang w:eastAsia="en-AU"/>
              </w:rPr>
              <w:tab/>
            </w:r>
            <w:r w:rsidRPr="00515896">
              <w:rPr>
                <w:rStyle w:val="Hyperlink"/>
                <w:noProof/>
              </w:rPr>
              <w:t>Exemptions for extenuating or unforeseen circumstances</w:t>
            </w:r>
            <w:r>
              <w:rPr>
                <w:noProof/>
                <w:webHidden/>
              </w:rPr>
              <w:tab/>
            </w:r>
            <w:r>
              <w:rPr>
                <w:noProof/>
                <w:webHidden/>
              </w:rPr>
              <w:fldChar w:fldCharType="begin"/>
            </w:r>
            <w:r>
              <w:rPr>
                <w:noProof/>
                <w:webHidden/>
              </w:rPr>
              <w:instrText xml:space="preserve"> PAGEREF _Toc216708130 \h </w:instrText>
            </w:r>
            <w:r>
              <w:rPr>
                <w:noProof/>
                <w:webHidden/>
              </w:rPr>
            </w:r>
            <w:r>
              <w:rPr>
                <w:noProof/>
                <w:webHidden/>
              </w:rPr>
              <w:fldChar w:fldCharType="separate"/>
            </w:r>
            <w:r>
              <w:rPr>
                <w:noProof/>
                <w:webHidden/>
              </w:rPr>
              <w:t>18</w:t>
            </w:r>
            <w:r>
              <w:rPr>
                <w:noProof/>
                <w:webHidden/>
              </w:rPr>
              <w:fldChar w:fldCharType="end"/>
            </w:r>
          </w:hyperlink>
        </w:p>
        <w:p w14:paraId="21C108A5" w14:textId="47678C97"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31" w:history="1">
            <w:r w:rsidRPr="00515896">
              <w:rPr>
                <w:rStyle w:val="Hyperlink"/>
                <w:noProof/>
              </w:rPr>
              <w:t>6.6</w:t>
            </w:r>
            <w:r>
              <w:rPr>
                <w:rFonts w:asciiTheme="minorHAnsi" w:hAnsiTheme="minorHAnsi"/>
                <w:noProof/>
                <w:color w:val="auto"/>
                <w:kern w:val="2"/>
                <w:sz w:val="24"/>
                <w:szCs w:val="24"/>
                <w:lang w:eastAsia="en-AU"/>
                <w14:ligatures w14:val="standardContextual"/>
              </w:rPr>
              <w:tab/>
            </w:r>
            <w:r w:rsidRPr="00515896">
              <w:rPr>
                <w:rStyle w:val="Hyperlink"/>
                <w:noProof/>
              </w:rPr>
              <w:t>‘About You’ questions (demographics)</w:t>
            </w:r>
            <w:r>
              <w:rPr>
                <w:noProof/>
                <w:webHidden/>
              </w:rPr>
              <w:tab/>
            </w:r>
            <w:r>
              <w:rPr>
                <w:noProof/>
                <w:webHidden/>
              </w:rPr>
              <w:fldChar w:fldCharType="begin"/>
            </w:r>
            <w:r>
              <w:rPr>
                <w:noProof/>
                <w:webHidden/>
              </w:rPr>
              <w:instrText xml:space="preserve"> PAGEREF _Toc216708131 \h </w:instrText>
            </w:r>
            <w:r>
              <w:rPr>
                <w:noProof/>
                <w:webHidden/>
              </w:rPr>
            </w:r>
            <w:r>
              <w:rPr>
                <w:noProof/>
                <w:webHidden/>
              </w:rPr>
              <w:fldChar w:fldCharType="separate"/>
            </w:r>
            <w:r>
              <w:rPr>
                <w:noProof/>
                <w:webHidden/>
              </w:rPr>
              <w:t>18</w:t>
            </w:r>
            <w:r>
              <w:rPr>
                <w:noProof/>
                <w:webHidden/>
              </w:rPr>
              <w:fldChar w:fldCharType="end"/>
            </w:r>
          </w:hyperlink>
        </w:p>
        <w:p w14:paraId="05755FB0" w14:textId="32037A02"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32" w:history="1">
            <w:r w:rsidRPr="00515896">
              <w:rPr>
                <w:rStyle w:val="Hyperlink"/>
                <w:noProof/>
              </w:rPr>
              <w:t>6.7</w:t>
            </w:r>
            <w:r>
              <w:rPr>
                <w:rFonts w:asciiTheme="minorHAnsi" w:hAnsiTheme="minorHAnsi"/>
                <w:noProof/>
                <w:color w:val="auto"/>
                <w:kern w:val="2"/>
                <w:sz w:val="24"/>
                <w:szCs w:val="24"/>
                <w:lang w:eastAsia="en-AU"/>
                <w14:ligatures w14:val="standardContextual"/>
              </w:rPr>
              <w:tab/>
            </w:r>
            <w:r w:rsidRPr="00515896">
              <w:rPr>
                <w:rStyle w:val="Hyperlink"/>
                <w:noProof/>
              </w:rPr>
              <w:t>Reduced MBS service eligibility requirements</w:t>
            </w:r>
            <w:r>
              <w:rPr>
                <w:noProof/>
                <w:webHidden/>
              </w:rPr>
              <w:tab/>
            </w:r>
            <w:r>
              <w:rPr>
                <w:noProof/>
                <w:webHidden/>
              </w:rPr>
              <w:fldChar w:fldCharType="begin"/>
            </w:r>
            <w:r>
              <w:rPr>
                <w:noProof/>
                <w:webHidden/>
              </w:rPr>
              <w:instrText xml:space="preserve"> PAGEREF _Toc216708132 \h </w:instrText>
            </w:r>
            <w:r>
              <w:rPr>
                <w:noProof/>
                <w:webHidden/>
              </w:rPr>
            </w:r>
            <w:r>
              <w:rPr>
                <w:noProof/>
                <w:webHidden/>
              </w:rPr>
              <w:fldChar w:fldCharType="separate"/>
            </w:r>
            <w:r>
              <w:rPr>
                <w:noProof/>
                <w:webHidden/>
              </w:rPr>
              <w:t>19</w:t>
            </w:r>
            <w:r>
              <w:rPr>
                <w:noProof/>
                <w:webHidden/>
              </w:rPr>
              <w:fldChar w:fldCharType="end"/>
            </w:r>
          </w:hyperlink>
        </w:p>
        <w:p w14:paraId="02E489D4" w14:textId="3EAAA0BA"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33" w:history="1">
            <w:r w:rsidRPr="00515896">
              <w:rPr>
                <w:rStyle w:val="Hyperlink"/>
                <w:noProof/>
                <w:lang w:eastAsia="en-AU"/>
              </w:rPr>
              <w:t>6.8</w:t>
            </w:r>
            <w:r>
              <w:rPr>
                <w:rFonts w:asciiTheme="minorHAnsi" w:hAnsiTheme="minorHAnsi"/>
                <w:noProof/>
                <w:color w:val="auto"/>
                <w:kern w:val="2"/>
                <w:sz w:val="24"/>
                <w:szCs w:val="24"/>
                <w:lang w:eastAsia="en-AU"/>
                <w14:ligatures w14:val="standardContextual"/>
              </w:rPr>
              <w:tab/>
            </w:r>
            <w:r w:rsidRPr="00515896">
              <w:rPr>
                <w:rStyle w:val="Hyperlink"/>
                <w:noProof/>
                <w:lang w:eastAsia="en-AU"/>
              </w:rPr>
              <w:t>Changing the preferred GP</w:t>
            </w:r>
            <w:r>
              <w:rPr>
                <w:noProof/>
                <w:webHidden/>
              </w:rPr>
              <w:tab/>
            </w:r>
            <w:r>
              <w:rPr>
                <w:noProof/>
                <w:webHidden/>
              </w:rPr>
              <w:fldChar w:fldCharType="begin"/>
            </w:r>
            <w:r>
              <w:rPr>
                <w:noProof/>
                <w:webHidden/>
              </w:rPr>
              <w:instrText xml:space="preserve"> PAGEREF _Toc216708133 \h </w:instrText>
            </w:r>
            <w:r>
              <w:rPr>
                <w:noProof/>
                <w:webHidden/>
              </w:rPr>
            </w:r>
            <w:r>
              <w:rPr>
                <w:noProof/>
                <w:webHidden/>
              </w:rPr>
              <w:fldChar w:fldCharType="separate"/>
            </w:r>
            <w:r>
              <w:rPr>
                <w:noProof/>
                <w:webHidden/>
              </w:rPr>
              <w:t>19</w:t>
            </w:r>
            <w:r>
              <w:rPr>
                <w:noProof/>
                <w:webHidden/>
              </w:rPr>
              <w:fldChar w:fldCharType="end"/>
            </w:r>
          </w:hyperlink>
        </w:p>
        <w:p w14:paraId="148847E9" w14:textId="1058A41D" w:rsidR="005468BA" w:rsidRDefault="005468BA">
          <w:pPr>
            <w:pStyle w:val="TOC1"/>
            <w:tabs>
              <w:tab w:val="left" w:pos="48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16708134" w:history="1">
            <w:r w:rsidRPr="00515896">
              <w:rPr>
                <w:rStyle w:val="Hyperlink"/>
                <w:noProof/>
                <w:lang w:eastAsia="en-AU"/>
              </w:rPr>
              <w:t>7</w:t>
            </w:r>
            <w:r>
              <w:rPr>
                <w:rFonts w:asciiTheme="minorHAnsi" w:hAnsiTheme="minorHAnsi"/>
                <w:b w:val="0"/>
                <w:bCs w:val="0"/>
                <w:noProof/>
                <w:color w:val="auto"/>
                <w:kern w:val="2"/>
                <w:sz w:val="24"/>
                <w:szCs w:val="24"/>
                <w:u w:val="none"/>
                <w:lang w:eastAsia="en-AU"/>
                <w14:ligatures w14:val="standardContextual"/>
              </w:rPr>
              <w:tab/>
            </w:r>
            <w:r w:rsidRPr="00515896">
              <w:rPr>
                <w:rStyle w:val="Hyperlink"/>
                <w:noProof/>
                <w:lang w:eastAsia="en-AU"/>
              </w:rPr>
              <w:t>Consent</w:t>
            </w:r>
            <w:r>
              <w:rPr>
                <w:noProof/>
                <w:webHidden/>
              </w:rPr>
              <w:tab/>
            </w:r>
            <w:r>
              <w:rPr>
                <w:noProof/>
                <w:webHidden/>
              </w:rPr>
              <w:fldChar w:fldCharType="begin"/>
            </w:r>
            <w:r>
              <w:rPr>
                <w:noProof/>
                <w:webHidden/>
              </w:rPr>
              <w:instrText xml:space="preserve"> PAGEREF _Toc216708134 \h </w:instrText>
            </w:r>
            <w:r>
              <w:rPr>
                <w:noProof/>
                <w:webHidden/>
              </w:rPr>
            </w:r>
            <w:r>
              <w:rPr>
                <w:noProof/>
                <w:webHidden/>
              </w:rPr>
              <w:fldChar w:fldCharType="separate"/>
            </w:r>
            <w:r>
              <w:rPr>
                <w:noProof/>
                <w:webHidden/>
              </w:rPr>
              <w:t>19</w:t>
            </w:r>
            <w:r>
              <w:rPr>
                <w:noProof/>
                <w:webHidden/>
              </w:rPr>
              <w:fldChar w:fldCharType="end"/>
            </w:r>
          </w:hyperlink>
        </w:p>
        <w:p w14:paraId="4B3B6A79" w14:textId="1B0F60A0"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35" w:history="1">
            <w:r w:rsidRPr="00515896">
              <w:rPr>
                <w:rStyle w:val="Hyperlink"/>
                <w:noProof/>
                <w:lang w:eastAsia="en-AU"/>
              </w:rPr>
              <w:t>7.1</w:t>
            </w:r>
            <w:r>
              <w:rPr>
                <w:rFonts w:asciiTheme="minorHAnsi" w:hAnsiTheme="minorHAnsi"/>
                <w:noProof/>
                <w:color w:val="auto"/>
                <w:kern w:val="2"/>
                <w:sz w:val="24"/>
                <w:szCs w:val="24"/>
                <w:lang w:eastAsia="en-AU"/>
                <w14:ligatures w14:val="standardContextual"/>
              </w:rPr>
              <w:tab/>
            </w:r>
            <w:r w:rsidRPr="00515896">
              <w:rPr>
                <w:rStyle w:val="Hyperlink"/>
                <w:noProof/>
                <w:lang w:eastAsia="en-AU"/>
              </w:rPr>
              <w:t>Adult patients</w:t>
            </w:r>
            <w:r>
              <w:rPr>
                <w:noProof/>
                <w:webHidden/>
              </w:rPr>
              <w:tab/>
            </w:r>
            <w:r>
              <w:rPr>
                <w:noProof/>
                <w:webHidden/>
              </w:rPr>
              <w:fldChar w:fldCharType="begin"/>
            </w:r>
            <w:r>
              <w:rPr>
                <w:noProof/>
                <w:webHidden/>
              </w:rPr>
              <w:instrText xml:space="preserve"> PAGEREF _Toc216708135 \h </w:instrText>
            </w:r>
            <w:r>
              <w:rPr>
                <w:noProof/>
                <w:webHidden/>
              </w:rPr>
            </w:r>
            <w:r>
              <w:rPr>
                <w:noProof/>
                <w:webHidden/>
              </w:rPr>
              <w:fldChar w:fldCharType="separate"/>
            </w:r>
            <w:r>
              <w:rPr>
                <w:noProof/>
                <w:webHidden/>
              </w:rPr>
              <w:t>19</w:t>
            </w:r>
            <w:r>
              <w:rPr>
                <w:noProof/>
                <w:webHidden/>
              </w:rPr>
              <w:fldChar w:fldCharType="end"/>
            </w:r>
          </w:hyperlink>
        </w:p>
        <w:p w14:paraId="4170709C" w14:textId="2541BA26"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36" w:history="1">
            <w:r w:rsidRPr="00515896">
              <w:rPr>
                <w:rStyle w:val="Hyperlink"/>
                <w:noProof/>
                <w:lang w:eastAsia="en-AU"/>
              </w:rPr>
              <w:t>7.2</w:t>
            </w:r>
            <w:r>
              <w:rPr>
                <w:rFonts w:asciiTheme="minorHAnsi" w:hAnsiTheme="minorHAnsi"/>
                <w:noProof/>
                <w:color w:val="auto"/>
                <w:kern w:val="2"/>
                <w:sz w:val="24"/>
                <w:szCs w:val="24"/>
                <w:lang w:eastAsia="en-AU"/>
                <w14:ligatures w14:val="standardContextual"/>
              </w:rPr>
              <w:tab/>
            </w:r>
            <w:r w:rsidRPr="00515896">
              <w:rPr>
                <w:rStyle w:val="Hyperlink"/>
                <w:noProof/>
                <w:lang w:eastAsia="en-AU"/>
              </w:rPr>
              <w:t>Young person patient</w:t>
            </w:r>
            <w:r>
              <w:rPr>
                <w:noProof/>
                <w:webHidden/>
              </w:rPr>
              <w:tab/>
            </w:r>
            <w:r>
              <w:rPr>
                <w:noProof/>
                <w:webHidden/>
              </w:rPr>
              <w:fldChar w:fldCharType="begin"/>
            </w:r>
            <w:r>
              <w:rPr>
                <w:noProof/>
                <w:webHidden/>
              </w:rPr>
              <w:instrText xml:space="preserve"> PAGEREF _Toc216708136 \h </w:instrText>
            </w:r>
            <w:r>
              <w:rPr>
                <w:noProof/>
                <w:webHidden/>
              </w:rPr>
            </w:r>
            <w:r>
              <w:rPr>
                <w:noProof/>
                <w:webHidden/>
              </w:rPr>
              <w:fldChar w:fldCharType="separate"/>
            </w:r>
            <w:r>
              <w:rPr>
                <w:noProof/>
                <w:webHidden/>
              </w:rPr>
              <w:t>19</w:t>
            </w:r>
            <w:r>
              <w:rPr>
                <w:noProof/>
                <w:webHidden/>
              </w:rPr>
              <w:fldChar w:fldCharType="end"/>
            </w:r>
          </w:hyperlink>
        </w:p>
        <w:p w14:paraId="119CE38C" w14:textId="3CB0A8CA"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37" w:history="1">
            <w:r w:rsidRPr="00515896">
              <w:rPr>
                <w:rStyle w:val="Hyperlink"/>
                <w:noProof/>
                <w:lang w:eastAsia="en-AU"/>
              </w:rPr>
              <w:t>7.3</w:t>
            </w:r>
            <w:r>
              <w:rPr>
                <w:rFonts w:asciiTheme="minorHAnsi" w:hAnsiTheme="minorHAnsi"/>
                <w:noProof/>
                <w:color w:val="auto"/>
                <w:kern w:val="2"/>
                <w:sz w:val="24"/>
                <w:szCs w:val="24"/>
                <w:lang w:eastAsia="en-AU"/>
                <w14:ligatures w14:val="standardContextual"/>
              </w:rPr>
              <w:tab/>
            </w:r>
            <w:r w:rsidRPr="00515896">
              <w:rPr>
                <w:rStyle w:val="Hyperlink"/>
                <w:noProof/>
                <w:lang w:eastAsia="en-AU"/>
              </w:rPr>
              <w:t>Under 14 years of age patient</w:t>
            </w:r>
            <w:r>
              <w:rPr>
                <w:noProof/>
                <w:webHidden/>
              </w:rPr>
              <w:tab/>
            </w:r>
            <w:r>
              <w:rPr>
                <w:noProof/>
                <w:webHidden/>
              </w:rPr>
              <w:fldChar w:fldCharType="begin"/>
            </w:r>
            <w:r>
              <w:rPr>
                <w:noProof/>
                <w:webHidden/>
              </w:rPr>
              <w:instrText xml:space="preserve"> PAGEREF _Toc216708137 \h </w:instrText>
            </w:r>
            <w:r>
              <w:rPr>
                <w:noProof/>
                <w:webHidden/>
              </w:rPr>
            </w:r>
            <w:r>
              <w:rPr>
                <w:noProof/>
                <w:webHidden/>
              </w:rPr>
              <w:fldChar w:fldCharType="separate"/>
            </w:r>
            <w:r>
              <w:rPr>
                <w:noProof/>
                <w:webHidden/>
              </w:rPr>
              <w:t>20</w:t>
            </w:r>
            <w:r>
              <w:rPr>
                <w:noProof/>
                <w:webHidden/>
              </w:rPr>
              <w:fldChar w:fldCharType="end"/>
            </w:r>
          </w:hyperlink>
        </w:p>
        <w:p w14:paraId="4AD2214A" w14:textId="499FD831"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38" w:history="1">
            <w:r w:rsidRPr="00515896">
              <w:rPr>
                <w:rStyle w:val="Hyperlink"/>
                <w:noProof/>
                <w:lang w:eastAsia="en-AU"/>
              </w:rPr>
              <w:t>7.4</w:t>
            </w:r>
            <w:r>
              <w:rPr>
                <w:rFonts w:asciiTheme="minorHAnsi" w:hAnsiTheme="minorHAnsi"/>
                <w:noProof/>
                <w:color w:val="auto"/>
                <w:kern w:val="2"/>
                <w:sz w:val="24"/>
                <w:szCs w:val="24"/>
                <w:lang w:eastAsia="en-AU"/>
                <w14:ligatures w14:val="standardContextual"/>
              </w:rPr>
              <w:tab/>
            </w:r>
            <w:r w:rsidRPr="00515896">
              <w:rPr>
                <w:rStyle w:val="Hyperlink"/>
                <w:noProof/>
                <w:lang w:eastAsia="en-AU"/>
              </w:rPr>
              <w:t>Lack of capacity to consent in MyMedicare</w:t>
            </w:r>
            <w:r>
              <w:rPr>
                <w:noProof/>
                <w:webHidden/>
              </w:rPr>
              <w:tab/>
            </w:r>
            <w:r>
              <w:rPr>
                <w:noProof/>
                <w:webHidden/>
              </w:rPr>
              <w:fldChar w:fldCharType="begin"/>
            </w:r>
            <w:r>
              <w:rPr>
                <w:noProof/>
                <w:webHidden/>
              </w:rPr>
              <w:instrText xml:space="preserve"> PAGEREF _Toc216708138 \h </w:instrText>
            </w:r>
            <w:r>
              <w:rPr>
                <w:noProof/>
                <w:webHidden/>
              </w:rPr>
            </w:r>
            <w:r>
              <w:rPr>
                <w:noProof/>
                <w:webHidden/>
              </w:rPr>
              <w:fldChar w:fldCharType="separate"/>
            </w:r>
            <w:r>
              <w:rPr>
                <w:noProof/>
                <w:webHidden/>
              </w:rPr>
              <w:t>20</w:t>
            </w:r>
            <w:r>
              <w:rPr>
                <w:noProof/>
                <w:webHidden/>
              </w:rPr>
              <w:fldChar w:fldCharType="end"/>
            </w:r>
          </w:hyperlink>
        </w:p>
        <w:p w14:paraId="7A53ECE5" w14:textId="6974CD5A" w:rsidR="005468BA" w:rsidRDefault="005468BA">
          <w:pPr>
            <w:pStyle w:val="TOC1"/>
            <w:tabs>
              <w:tab w:val="left" w:pos="48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16708139" w:history="1">
            <w:r w:rsidRPr="00515896">
              <w:rPr>
                <w:rStyle w:val="Hyperlink"/>
                <w:noProof/>
                <w:lang w:eastAsia="en-AU"/>
              </w:rPr>
              <w:t>8</w:t>
            </w:r>
            <w:r>
              <w:rPr>
                <w:rFonts w:asciiTheme="minorHAnsi" w:hAnsiTheme="minorHAnsi"/>
                <w:b w:val="0"/>
                <w:bCs w:val="0"/>
                <w:noProof/>
                <w:color w:val="auto"/>
                <w:kern w:val="2"/>
                <w:sz w:val="24"/>
                <w:szCs w:val="24"/>
                <w:u w:val="none"/>
                <w:lang w:eastAsia="en-AU"/>
                <w14:ligatures w14:val="standardContextual"/>
              </w:rPr>
              <w:tab/>
            </w:r>
            <w:r w:rsidRPr="00515896">
              <w:rPr>
                <w:rStyle w:val="Hyperlink"/>
                <w:noProof/>
                <w:lang w:eastAsia="en-AU"/>
              </w:rPr>
              <w:t>Withdrawing from MyMedicare</w:t>
            </w:r>
            <w:r>
              <w:rPr>
                <w:noProof/>
                <w:webHidden/>
              </w:rPr>
              <w:tab/>
            </w:r>
            <w:r>
              <w:rPr>
                <w:noProof/>
                <w:webHidden/>
              </w:rPr>
              <w:fldChar w:fldCharType="begin"/>
            </w:r>
            <w:r>
              <w:rPr>
                <w:noProof/>
                <w:webHidden/>
              </w:rPr>
              <w:instrText xml:space="preserve"> PAGEREF _Toc216708139 \h </w:instrText>
            </w:r>
            <w:r>
              <w:rPr>
                <w:noProof/>
                <w:webHidden/>
              </w:rPr>
            </w:r>
            <w:r>
              <w:rPr>
                <w:noProof/>
                <w:webHidden/>
              </w:rPr>
              <w:fldChar w:fldCharType="separate"/>
            </w:r>
            <w:r>
              <w:rPr>
                <w:noProof/>
                <w:webHidden/>
              </w:rPr>
              <w:t>20</w:t>
            </w:r>
            <w:r>
              <w:rPr>
                <w:noProof/>
                <w:webHidden/>
              </w:rPr>
              <w:fldChar w:fldCharType="end"/>
            </w:r>
          </w:hyperlink>
        </w:p>
        <w:p w14:paraId="00B4054E" w14:textId="5AC626F0" w:rsidR="005468BA" w:rsidRDefault="005468BA">
          <w:pPr>
            <w:pStyle w:val="TOC1"/>
            <w:tabs>
              <w:tab w:val="left" w:pos="48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16708140" w:history="1">
            <w:r w:rsidRPr="00515896">
              <w:rPr>
                <w:rStyle w:val="Hyperlink"/>
                <w:noProof/>
              </w:rPr>
              <w:t>9</w:t>
            </w:r>
            <w:r>
              <w:rPr>
                <w:rFonts w:asciiTheme="minorHAnsi" w:hAnsiTheme="minorHAnsi"/>
                <w:b w:val="0"/>
                <w:bCs w:val="0"/>
                <w:noProof/>
                <w:color w:val="auto"/>
                <w:kern w:val="2"/>
                <w:sz w:val="24"/>
                <w:szCs w:val="24"/>
                <w:u w:val="none"/>
                <w:lang w:eastAsia="en-AU"/>
                <w14:ligatures w14:val="standardContextual"/>
              </w:rPr>
              <w:tab/>
            </w:r>
            <w:r w:rsidRPr="00515896">
              <w:rPr>
                <w:rStyle w:val="Hyperlink"/>
                <w:noProof/>
              </w:rPr>
              <w:t>MBS items linked to MyMedicare</w:t>
            </w:r>
            <w:r>
              <w:rPr>
                <w:noProof/>
                <w:webHidden/>
              </w:rPr>
              <w:tab/>
            </w:r>
            <w:r>
              <w:rPr>
                <w:noProof/>
                <w:webHidden/>
              </w:rPr>
              <w:fldChar w:fldCharType="begin"/>
            </w:r>
            <w:r>
              <w:rPr>
                <w:noProof/>
                <w:webHidden/>
              </w:rPr>
              <w:instrText xml:space="preserve"> PAGEREF _Toc216708140 \h </w:instrText>
            </w:r>
            <w:r>
              <w:rPr>
                <w:noProof/>
                <w:webHidden/>
              </w:rPr>
            </w:r>
            <w:r>
              <w:rPr>
                <w:noProof/>
                <w:webHidden/>
              </w:rPr>
              <w:fldChar w:fldCharType="separate"/>
            </w:r>
            <w:r>
              <w:rPr>
                <w:noProof/>
                <w:webHidden/>
              </w:rPr>
              <w:t>21</w:t>
            </w:r>
            <w:r>
              <w:rPr>
                <w:noProof/>
                <w:webHidden/>
              </w:rPr>
              <w:fldChar w:fldCharType="end"/>
            </w:r>
          </w:hyperlink>
        </w:p>
        <w:p w14:paraId="153C3B69" w14:textId="23802C15"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41" w:history="1">
            <w:r w:rsidRPr="00515896">
              <w:rPr>
                <w:rStyle w:val="Hyperlink"/>
                <w:noProof/>
              </w:rPr>
              <w:t>9.1</w:t>
            </w:r>
            <w:r>
              <w:rPr>
                <w:rFonts w:asciiTheme="minorHAnsi" w:hAnsiTheme="minorHAnsi"/>
                <w:noProof/>
                <w:color w:val="auto"/>
                <w:kern w:val="2"/>
                <w:sz w:val="24"/>
                <w:szCs w:val="24"/>
                <w:lang w:eastAsia="en-AU"/>
                <w14:ligatures w14:val="standardContextual"/>
              </w:rPr>
              <w:tab/>
            </w:r>
            <w:r w:rsidRPr="00515896">
              <w:rPr>
                <w:rStyle w:val="Hyperlink"/>
                <w:noProof/>
              </w:rPr>
              <w:t>Longer MBS funded telehealth consultations</w:t>
            </w:r>
            <w:r>
              <w:rPr>
                <w:noProof/>
                <w:webHidden/>
              </w:rPr>
              <w:tab/>
            </w:r>
            <w:r>
              <w:rPr>
                <w:noProof/>
                <w:webHidden/>
              </w:rPr>
              <w:fldChar w:fldCharType="begin"/>
            </w:r>
            <w:r>
              <w:rPr>
                <w:noProof/>
                <w:webHidden/>
              </w:rPr>
              <w:instrText xml:space="preserve"> PAGEREF _Toc216708141 \h </w:instrText>
            </w:r>
            <w:r>
              <w:rPr>
                <w:noProof/>
                <w:webHidden/>
              </w:rPr>
            </w:r>
            <w:r>
              <w:rPr>
                <w:noProof/>
                <w:webHidden/>
              </w:rPr>
              <w:fldChar w:fldCharType="separate"/>
            </w:r>
            <w:r>
              <w:rPr>
                <w:noProof/>
                <w:webHidden/>
              </w:rPr>
              <w:t>21</w:t>
            </w:r>
            <w:r>
              <w:rPr>
                <w:noProof/>
                <w:webHidden/>
              </w:rPr>
              <w:fldChar w:fldCharType="end"/>
            </w:r>
          </w:hyperlink>
        </w:p>
        <w:p w14:paraId="42BFD5DB" w14:textId="1E3E3D73"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42" w:history="1">
            <w:r w:rsidRPr="00515896">
              <w:rPr>
                <w:rStyle w:val="Hyperlink"/>
                <w:noProof/>
              </w:rPr>
              <w:t>9.2</w:t>
            </w:r>
            <w:r>
              <w:rPr>
                <w:rFonts w:asciiTheme="minorHAnsi" w:hAnsiTheme="minorHAnsi"/>
                <w:noProof/>
                <w:color w:val="auto"/>
                <w:kern w:val="2"/>
                <w:sz w:val="24"/>
                <w:szCs w:val="24"/>
                <w:lang w:eastAsia="en-AU"/>
                <w14:ligatures w14:val="standardContextual"/>
              </w:rPr>
              <w:tab/>
            </w:r>
            <w:r w:rsidRPr="00515896">
              <w:rPr>
                <w:rStyle w:val="Hyperlink"/>
                <w:noProof/>
              </w:rPr>
              <w:t>Triple bulk billing incentive for MBS funded long telehealth</w:t>
            </w:r>
            <w:r>
              <w:rPr>
                <w:noProof/>
                <w:webHidden/>
              </w:rPr>
              <w:tab/>
            </w:r>
            <w:r>
              <w:rPr>
                <w:noProof/>
                <w:webHidden/>
              </w:rPr>
              <w:fldChar w:fldCharType="begin"/>
            </w:r>
            <w:r>
              <w:rPr>
                <w:noProof/>
                <w:webHidden/>
              </w:rPr>
              <w:instrText xml:space="preserve"> PAGEREF _Toc216708142 \h </w:instrText>
            </w:r>
            <w:r>
              <w:rPr>
                <w:noProof/>
                <w:webHidden/>
              </w:rPr>
            </w:r>
            <w:r>
              <w:rPr>
                <w:noProof/>
                <w:webHidden/>
              </w:rPr>
              <w:fldChar w:fldCharType="separate"/>
            </w:r>
            <w:r>
              <w:rPr>
                <w:noProof/>
                <w:webHidden/>
              </w:rPr>
              <w:t>21</w:t>
            </w:r>
            <w:r>
              <w:rPr>
                <w:noProof/>
                <w:webHidden/>
              </w:rPr>
              <w:fldChar w:fldCharType="end"/>
            </w:r>
          </w:hyperlink>
        </w:p>
        <w:p w14:paraId="547C0611" w14:textId="1C14FEC1" w:rsidR="005468BA" w:rsidRDefault="005468BA">
          <w:pPr>
            <w:pStyle w:val="TOC1"/>
            <w:tabs>
              <w:tab w:val="left" w:pos="72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16708143" w:history="1">
            <w:r w:rsidRPr="00515896">
              <w:rPr>
                <w:rStyle w:val="Hyperlink"/>
                <w:noProof/>
              </w:rPr>
              <w:t>10</w:t>
            </w:r>
            <w:r>
              <w:rPr>
                <w:rFonts w:asciiTheme="minorHAnsi" w:hAnsiTheme="minorHAnsi"/>
                <w:b w:val="0"/>
                <w:bCs w:val="0"/>
                <w:noProof/>
                <w:color w:val="auto"/>
                <w:kern w:val="2"/>
                <w:sz w:val="24"/>
                <w:szCs w:val="24"/>
                <w:u w:val="none"/>
                <w:lang w:eastAsia="en-AU"/>
                <w14:ligatures w14:val="standardContextual"/>
              </w:rPr>
              <w:tab/>
            </w:r>
            <w:r w:rsidRPr="00515896">
              <w:rPr>
                <w:rStyle w:val="Hyperlink"/>
                <w:noProof/>
              </w:rPr>
              <w:t>Linked incentive programs</w:t>
            </w:r>
            <w:r>
              <w:rPr>
                <w:noProof/>
                <w:webHidden/>
              </w:rPr>
              <w:tab/>
            </w:r>
            <w:r>
              <w:rPr>
                <w:noProof/>
                <w:webHidden/>
              </w:rPr>
              <w:fldChar w:fldCharType="begin"/>
            </w:r>
            <w:r>
              <w:rPr>
                <w:noProof/>
                <w:webHidden/>
              </w:rPr>
              <w:instrText xml:space="preserve"> PAGEREF _Toc216708143 \h </w:instrText>
            </w:r>
            <w:r>
              <w:rPr>
                <w:noProof/>
                <w:webHidden/>
              </w:rPr>
            </w:r>
            <w:r>
              <w:rPr>
                <w:noProof/>
                <w:webHidden/>
              </w:rPr>
              <w:fldChar w:fldCharType="separate"/>
            </w:r>
            <w:r>
              <w:rPr>
                <w:noProof/>
                <w:webHidden/>
              </w:rPr>
              <w:t>22</w:t>
            </w:r>
            <w:r>
              <w:rPr>
                <w:noProof/>
                <w:webHidden/>
              </w:rPr>
              <w:fldChar w:fldCharType="end"/>
            </w:r>
          </w:hyperlink>
        </w:p>
        <w:p w14:paraId="350191B1" w14:textId="34482A41"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44" w:history="1">
            <w:r w:rsidRPr="00515896">
              <w:rPr>
                <w:rStyle w:val="Hyperlink"/>
                <w:noProof/>
                <w:lang w:eastAsia="en-AU"/>
              </w:rPr>
              <w:t>10.1</w:t>
            </w:r>
            <w:r>
              <w:rPr>
                <w:rFonts w:asciiTheme="minorHAnsi" w:hAnsiTheme="minorHAnsi"/>
                <w:noProof/>
                <w:color w:val="auto"/>
                <w:kern w:val="2"/>
                <w:sz w:val="24"/>
                <w:szCs w:val="24"/>
                <w:lang w:eastAsia="en-AU"/>
                <w14:ligatures w14:val="standardContextual"/>
              </w:rPr>
              <w:tab/>
            </w:r>
            <w:r w:rsidRPr="00515896">
              <w:rPr>
                <w:rStyle w:val="Hyperlink"/>
                <w:noProof/>
                <w:lang w:eastAsia="en-AU"/>
              </w:rPr>
              <w:t>General Practice in Aged Care Incentive</w:t>
            </w:r>
            <w:r>
              <w:rPr>
                <w:noProof/>
                <w:webHidden/>
              </w:rPr>
              <w:tab/>
            </w:r>
            <w:r>
              <w:rPr>
                <w:noProof/>
                <w:webHidden/>
              </w:rPr>
              <w:fldChar w:fldCharType="begin"/>
            </w:r>
            <w:r>
              <w:rPr>
                <w:noProof/>
                <w:webHidden/>
              </w:rPr>
              <w:instrText xml:space="preserve"> PAGEREF _Toc216708144 \h </w:instrText>
            </w:r>
            <w:r>
              <w:rPr>
                <w:noProof/>
                <w:webHidden/>
              </w:rPr>
            </w:r>
            <w:r>
              <w:rPr>
                <w:noProof/>
                <w:webHidden/>
              </w:rPr>
              <w:fldChar w:fldCharType="separate"/>
            </w:r>
            <w:r>
              <w:rPr>
                <w:noProof/>
                <w:webHidden/>
              </w:rPr>
              <w:t>22</w:t>
            </w:r>
            <w:r>
              <w:rPr>
                <w:noProof/>
                <w:webHidden/>
              </w:rPr>
              <w:fldChar w:fldCharType="end"/>
            </w:r>
          </w:hyperlink>
        </w:p>
        <w:p w14:paraId="183F1323" w14:textId="73FB24BE" w:rsidR="005468BA" w:rsidRDefault="005468BA">
          <w:pPr>
            <w:pStyle w:val="TOC1"/>
            <w:tabs>
              <w:tab w:val="left" w:pos="72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16708145" w:history="1">
            <w:r w:rsidRPr="00515896">
              <w:rPr>
                <w:rStyle w:val="Hyperlink"/>
                <w:noProof/>
              </w:rPr>
              <w:t>11</w:t>
            </w:r>
            <w:r>
              <w:rPr>
                <w:rFonts w:asciiTheme="minorHAnsi" w:hAnsiTheme="minorHAnsi"/>
                <w:b w:val="0"/>
                <w:bCs w:val="0"/>
                <w:noProof/>
                <w:color w:val="auto"/>
                <w:kern w:val="2"/>
                <w:sz w:val="24"/>
                <w:szCs w:val="24"/>
                <w:u w:val="none"/>
                <w:lang w:eastAsia="en-AU"/>
                <w14:ligatures w14:val="standardContextual"/>
              </w:rPr>
              <w:tab/>
            </w:r>
            <w:r w:rsidRPr="00515896">
              <w:rPr>
                <w:rStyle w:val="Hyperlink"/>
                <w:noProof/>
              </w:rPr>
              <w:t>MyMedicare and My Health Record</w:t>
            </w:r>
            <w:r>
              <w:rPr>
                <w:noProof/>
                <w:webHidden/>
              </w:rPr>
              <w:tab/>
            </w:r>
            <w:r>
              <w:rPr>
                <w:noProof/>
                <w:webHidden/>
              </w:rPr>
              <w:fldChar w:fldCharType="begin"/>
            </w:r>
            <w:r>
              <w:rPr>
                <w:noProof/>
                <w:webHidden/>
              </w:rPr>
              <w:instrText xml:space="preserve"> PAGEREF _Toc216708145 \h </w:instrText>
            </w:r>
            <w:r>
              <w:rPr>
                <w:noProof/>
                <w:webHidden/>
              </w:rPr>
            </w:r>
            <w:r>
              <w:rPr>
                <w:noProof/>
                <w:webHidden/>
              </w:rPr>
              <w:fldChar w:fldCharType="separate"/>
            </w:r>
            <w:r>
              <w:rPr>
                <w:noProof/>
                <w:webHidden/>
              </w:rPr>
              <w:t>22</w:t>
            </w:r>
            <w:r>
              <w:rPr>
                <w:noProof/>
                <w:webHidden/>
              </w:rPr>
              <w:fldChar w:fldCharType="end"/>
            </w:r>
          </w:hyperlink>
        </w:p>
        <w:p w14:paraId="46CDE567" w14:textId="77F96F24" w:rsidR="005468BA" w:rsidRDefault="005468BA">
          <w:pPr>
            <w:pStyle w:val="TOC1"/>
            <w:tabs>
              <w:tab w:val="left" w:pos="72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16708146" w:history="1">
            <w:r w:rsidRPr="00515896">
              <w:rPr>
                <w:rStyle w:val="Hyperlink"/>
                <w:noProof/>
              </w:rPr>
              <w:t>12</w:t>
            </w:r>
            <w:r>
              <w:rPr>
                <w:rFonts w:asciiTheme="minorHAnsi" w:hAnsiTheme="minorHAnsi"/>
                <w:b w:val="0"/>
                <w:bCs w:val="0"/>
                <w:noProof/>
                <w:color w:val="auto"/>
                <w:kern w:val="2"/>
                <w:sz w:val="24"/>
                <w:szCs w:val="24"/>
                <w:u w:val="none"/>
                <w:lang w:eastAsia="en-AU"/>
                <w14:ligatures w14:val="standardContextual"/>
              </w:rPr>
              <w:tab/>
            </w:r>
            <w:r w:rsidRPr="00515896">
              <w:rPr>
                <w:rStyle w:val="Hyperlink"/>
                <w:noProof/>
              </w:rPr>
              <w:t>Additional MyMedicare program information</w:t>
            </w:r>
            <w:r>
              <w:rPr>
                <w:noProof/>
                <w:webHidden/>
              </w:rPr>
              <w:tab/>
            </w:r>
            <w:r>
              <w:rPr>
                <w:noProof/>
                <w:webHidden/>
              </w:rPr>
              <w:fldChar w:fldCharType="begin"/>
            </w:r>
            <w:r>
              <w:rPr>
                <w:noProof/>
                <w:webHidden/>
              </w:rPr>
              <w:instrText xml:space="preserve"> PAGEREF _Toc216708146 \h </w:instrText>
            </w:r>
            <w:r>
              <w:rPr>
                <w:noProof/>
                <w:webHidden/>
              </w:rPr>
            </w:r>
            <w:r>
              <w:rPr>
                <w:noProof/>
                <w:webHidden/>
              </w:rPr>
              <w:fldChar w:fldCharType="separate"/>
            </w:r>
            <w:r>
              <w:rPr>
                <w:noProof/>
                <w:webHidden/>
              </w:rPr>
              <w:t>22</w:t>
            </w:r>
            <w:r>
              <w:rPr>
                <w:noProof/>
                <w:webHidden/>
              </w:rPr>
              <w:fldChar w:fldCharType="end"/>
            </w:r>
          </w:hyperlink>
        </w:p>
        <w:p w14:paraId="63E68964" w14:textId="54816B7E"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47" w:history="1">
            <w:r w:rsidRPr="00515896">
              <w:rPr>
                <w:rStyle w:val="Hyperlink"/>
                <w:noProof/>
              </w:rPr>
              <w:t>12.1</w:t>
            </w:r>
            <w:r>
              <w:rPr>
                <w:rFonts w:asciiTheme="minorHAnsi" w:hAnsiTheme="minorHAnsi"/>
                <w:noProof/>
                <w:color w:val="auto"/>
                <w:kern w:val="2"/>
                <w:sz w:val="24"/>
                <w:szCs w:val="24"/>
                <w:lang w:eastAsia="en-AU"/>
                <w14:ligatures w14:val="standardContextual"/>
              </w:rPr>
              <w:tab/>
            </w:r>
            <w:r w:rsidRPr="00515896">
              <w:rPr>
                <w:rStyle w:val="Hyperlink"/>
                <w:noProof/>
              </w:rPr>
              <w:t>Medicare Benefit Scheme and Department of Veterans’ Affairs requirements</w:t>
            </w:r>
            <w:r>
              <w:rPr>
                <w:noProof/>
                <w:webHidden/>
              </w:rPr>
              <w:tab/>
            </w:r>
            <w:r>
              <w:rPr>
                <w:noProof/>
                <w:webHidden/>
              </w:rPr>
              <w:fldChar w:fldCharType="begin"/>
            </w:r>
            <w:r>
              <w:rPr>
                <w:noProof/>
                <w:webHidden/>
              </w:rPr>
              <w:instrText xml:space="preserve"> PAGEREF _Toc216708147 \h </w:instrText>
            </w:r>
            <w:r>
              <w:rPr>
                <w:noProof/>
                <w:webHidden/>
              </w:rPr>
            </w:r>
            <w:r>
              <w:rPr>
                <w:noProof/>
                <w:webHidden/>
              </w:rPr>
              <w:fldChar w:fldCharType="separate"/>
            </w:r>
            <w:r>
              <w:rPr>
                <w:noProof/>
                <w:webHidden/>
              </w:rPr>
              <w:t>22</w:t>
            </w:r>
            <w:r>
              <w:rPr>
                <w:noProof/>
                <w:webHidden/>
              </w:rPr>
              <w:fldChar w:fldCharType="end"/>
            </w:r>
          </w:hyperlink>
        </w:p>
        <w:p w14:paraId="1E31AD87" w14:textId="69C0BFE6"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48" w:history="1">
            <w:r w:rsidRPr="00515896">
              <w:rPr>
                <w:rStyle w:val="Hyperlink"/>
                <w:noProof/>
              </w:rPr>
              <w:t>12.2</w:t>
            </w:r>
            <w:r>
              <w:rPr>
                <w:rFonts w:asciiTheme="minorHAnsi" w:hAnsiTheme="minorHAnsi"/>
                <w:noProof/>
                <w:color w:val="auto"/>
                <w:kern w:val="2"/>
                <w:sz w:val="24"/>
                <w:szCs w:val="24"/>
                <w:lang w:eastAsia="en-AU"/>
                <w14:ligatures w14:val="standardContextual"/>
              </w:rPr>
              <w:tab/>
            </w:r>
            <w:r w:rsidRPr="00515896">
              <w:rPr>
                <w:rStyle w:val="Hyperlink"/>
                <w:noProof/>
              </w:rPr>
              <w:t>Legislative requirements</w:t>
            </w:r>
            <w:r>
              <w:rPr>
                <w:noProof/>
                <w:webHidden/>
              </w:rPr>
              <w:tab/>
            </w:r>
            <w:r>
              <w:rPr>
                <w:noProof/>
                <w:webHidden/>
              </w:rPr>
              <w:fldChar w:fldCharType="begin"/>
            </w:r>
            <w:r>
              <w:rPr>
                <w:noProof/>
                <w:webHidden/>
              </w:rPr>
              <w:instrText xml:space="preserve"> PAGEREF _Toc216708148 \h </w:instrText>
            </w:r>
            <w:r>
              <w:rPr>
                <w:noProof/>
                <w:webHidden/>
              </w:rPr>
            </w:r>
            <w:r>
              <w:rPr>
                <w:noProof/>
                <w:webHidden/>
              </w:rPr>
              <w:fldChar w:fldCharType="separate"/>
            </w:r>
            <w:r>
              <w:rPr>
                <w:noProof/>
                <w:webHidden/>
              </w:rPr>
              <w:t>22</w:t>
            </w:r>
            <w:r>
              <w:rPr>
                <w:noProof/>
                <w:webHidden/>
              </w:rPr>
              <w:fldChar w:fldCharType="end"/>
            </w:r>
          </w:hyperlink>
        </w:p>
        <w:p w14:paraId="72DAD29B" w14:textId="5A269BC8" w:rsidR="005468BA" w:rsidRDefault="005468BA">
          <w:pPr>
            <w:pStyle w:val="TOC1"/>
            <w:tabs>
              <w:tab w:val="left" w:pos="72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16708149" w:history="1">
            <w:r w:rsidRPr="00515896">
              <w:rPr>
                <w:rStyle w:val="Hyperlink"/>
                <w:noProof/>
              </w:rPr>
              <w:t>13</w:t>
            </w:r>
            <w:r>
              <w:rPr>
                <w:rFonts w:asciiTheme="minorHAnsi" w:hAnsiTheme="minorHAnsi"/>
                <w:b w:val="0"/>
                <w:bCs w:val="0"/>
                <w:noProof/>
                <w:color w:val="auto"/>
                <w:kern w:val="2"/>
                <w:sz w:val="24"/>
                <w:szCs w:val="24"/>
                <w:u w:val="none"/>
                <w:lang w:eastAsia="en-AU"/>
                <w14:ligatures w14:val="standardContextual"/>
              </w:rPr>
              <w:tab/>
            </w:r>
            <w:r w:rsidRPr="00515896">
              <w:rPr>
                <w:rStyle w:val="Hyperlink"/>
                <w:noProof/>
              </w:rPr>
              <w:t>Review of decision</w:t>
            </w:r>
            <w:r>
              <w:rPr>
                <w:noProof/>
                <w:webHidden/>
              </w:rPr>
              <w:tab/>
            </w:r>
            <w:r>
              <w:rPr>
                <w:noProof/>
                <w:webHidden/>
              </w:rPr>
              <w:fldChar w:fldCharType="begin"/>
            </w:r>
            <w:r>
              <w:rPr>
                <w:noProof/>
                <w:webHidden/>
              </w:rPr>
              <w:instrText xml:space="preserve"> PAGEREF _Toc216708149 \h </w:instrText>
            </w:r>
            <w:r>
              <w:rPr>
                <w:noProof/>
                <w:webHidden/>
              </w:rPr>
            </w:r>
            <w:r>
              <w:rPr>
                <w:noProof/>
                <w:webHidden/>
              </w:rPr>
              <w:fldChar w:fldCharType="separate"/>
            </w:r>
            <w:r>
              <w:rPr>
                <w:noProof/>
                <w:webHidden/>
              </w:rPr>
              <w:t>23</w:t>
            </w:r>
            <w:r>
              <w:rPr>
                <w:noProof/>
                <w:webHidden/>
              </w:rPr>
              <w:fldChar w:fldCharType="end"/>
            </w:r>
          </w:hyperlink>
        </w:p>
        <w:p w14:paraId="4FCE77D9" w14:textId="4405E662"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50" w:history="1">
            <w:r w:rsidRPr="00515896">
              <w:rPr>
                <w:rStyle w:val="Hyperlink"/>
                <w:noProof/>
              </w:rPr>
              <w:t>13.1</w:t>
            </w:r>
            <w:r>
              <w:rPr>
                <w:rFonts w:asciiTheme="minorHAnsi" w:hAnsiTheme="minorHAnsi"/>
                <w:noProof/>
                <w:color w:val="auto"/>
                <w:kern w:val="2"/>
                <w:sz w:val="24"/>
                <w:szCs w:val="24"/>
                <w:lang w:eastAsia="en-AU"/>
                <w14:ligatures w14:val="standardContextual"/>
              </w:rPr>
              <w:tab/>
            </w:r>
            <w:r w:rsidRPr="00515896">
              <w:rPr>
                <w:rStyle w:val="Hyperlink"/>
                <w:noProof/>
              </w:rPr>
              <w:t>Privacy and data collection</w:t>
            </w:r>
            <w:r>
              <w:rPr>
                <w:noProof/>
                <w:webHidden/>
              </w:rPr>
              <w:tab/>
            </w:r>
            <w:r>
              <w:rPr>
                <w:noProof/>
                <w:webHidden/>
              </w:rPr>
              <w:fldChar w:fldCharType="begin"/>
            </w:r>
            <w:r>
              <w:rPr>
                <w:noProof/>
                <w:webHidden/>
              </w:rPr>
              <w:instrText xml:space="preserve"> PAGEREF _Toc216708150 \h </w:instrText>
            </w:r>
            <w:r>
              <w:rPr>
                <w:noProof/>
                <w:webHidden/>
              </w:rPr>
            </w:r>
            <w:r>
              <w:rPr>
                <w:noProof/>
                <w:webHidden/>
              </w:rPr>
              <w:fldChar w:fldCharType="separate"/>
            </w:r>
            <w:r>
              <w:rPr>
                <w:noProof/>
                <w:webHidden/>
              </w:rPr>
              <w:t>23</w:t>
            </w:r>
            <w:r>
              <w:rPr>
                <w:noProof/>
                <w:webHidden/>
              </w:rPr>
              <w:fldChar w:fldCharType="end"/>
            </w:r>
          </w:hyperlink>
        </w:p>
        <w:p w14:paraId="3ED89D45" w14:textId="69E0E4D4" w:rsidR="005468BA" w:rsidRDefault="005468BA">
          <w:pPr>
            <w:pStyle w:val="TOC1"/>
            <w:tabs>
              <w:tab w:val="left" w:pos="72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16708151" w:history="1">
            <w:r w:rsidRPr="00515896">
              <w:rPr>
                <w:rStyle w:val="Hyperlink"/>
                <w:noProof/>
              </w:rPr>
              <w:t>14</w:t>
            </w:r>
            <w:r>
              <w:rPr>
                <w:rFonts w:asciiTheme="minorHAnsi" w:hAnsiTheme="minorHAnsi"/>
                <w:b w:val="0"/>
                <w:bCs w:val="0"/>
                <w:noProof/>
                <w:color w:val="auto"/>
                <w:kern w:val="2"/>
                <w:sz w:val="24"/>
                <w:szCs w:val="24"/>
                <w:u w:val="none"/>
                <w:lang w:eastAsia="en-AU"/>
                <w14:ligatures w14:val="standardContextual"/>
              </w:rPr>
              <w:tab/>
            </w:r>
            <w:r w:rsidRPr="00515896">
              <w:rPr>
                <w:rStyle w:val="Hyperlink"/>
                <w:noProof/>
              </w:rPr>
              <w:t>Useful links</w:t>
            </w:r>
            <w:r>
              <w:rPr>
                <w:noProof/>
                <w:webHidden/>
              </w:rPr>
              <w:tab/>
            </w:r>
            <w:r>
              <w:rPr>
                <w:noProof/>
                <w:webHidden/>
              </w:rPr>
              <w:fldChar w:fldCharType="begin"/>
            </w:r>
            <w:r>
              <w:rPr>
                <w:noProof/>
                <w:webHidden/>
              </w:rPr>
              <w:instrText xml:space="preserve"> PAGEREF _Toc216708151 \h </w:instrText>
            </w:r>
            <w:r>
              <w:rPr>
                <w:noProof/>
                <w:webHidden/>
              </w:rPr>
            </w:r>
            <w:r>
              <w:rPr>
                <w:noProof/>
                <w:webHidden/>
              </w:rPr>
              <w:fldChar w:fldCharType="separate"/>
            </w:r>
            <w:r>
              <w:rPr>
                <w:noProof/>
                <w:webHidden/>
              </w:rPr>
              <w:t>24</w:t>
            </w:r>
            <w:r>
              <w:rPr>
                <w:noProof/>
                <w:webHidden/>
              </w:rPr>
              <w:fldChar w:fldCharType="end"/>
            </w:r>
          </w:hyperlink>
        </w:p>
        <w:p w14:paraId="171626F4" w14:textId="65586CB2" w:rsidR="005468BA" w:rsidRDefault="005468BA">
          <w:pPr>
            <w:pStyle w:val="TOC1"/>
            <w:tabs>
              <w:tab w:val="left" w:pos="72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16708152" w:history="1">
            <w:r w:rsidRPr="00515896">
              <w:rPr>
                <w:rStyle w:val="Hyperlink"/>
                <w:noProof/>
              </w:rPr>
              <w:t>15</w:t>
            </w:r>
            <w:r>
              <w:rPr>
                <w:rFonts w:asciiTheme="minorHAnsi" w:hAnsiTheme="minorHAnsi"/>
                <w:b w:val="0"/>
                <w:bCs w:val="0"/>
                <w:noProof/>
                <w:color w:val="auto"/>
                <w:kern w:val="2"/>
                <w:sz w:val="24"/>
                <w:szCs w:val="24"/>
                <w:u w:val="none"/>
                <w:lang w:eastAsia="en-AU"/>
                <w14:ligatures w14:val="standardContextual"/>
              </w:rPr>
              <w:tab/>
            </w:r>
            <w:r w:rsidRPr="00515896">
              <w:rPr>
                <w:rStyle w:val="Hyperlink"/>
                <w:noProof/>
              </w:rPr>
              <w:t>Appendix</w:t>
            </w:r>
            <w:r>
              <w:rPr>
                <w:noProof/>
                <w:webHidden/>
              </w:rPr>
              <w:tab/>
            </w:r>
            <w:r>
              <w:rPr>
                <w:noProof/>
                <w:webHidden/>
              </w:rPr>
              <w:fldChar w:fldCharType="begin"/>
            </w:r>
            <w:r>
              <w:rPr>
                <w:noProof/>
                <w:webHidden/>
              </w:rPr>
              <w:instrText xml:space="preserve"> PAGEREF _Toc216708152 \h </w:instrText>
            </w:r>
            <w:r>
              <w:rPr>
                <w:noProof/>
                <w:webHidden/>
              </w:rPr>
            </w:r>
            <w:r>
              <w:rPr>
                <w:noProof/>
                <w:webHidden/>
              </w:rPr>
              <w:fldChar w:fldCharType="separate"/>
            </w:r>
            <w:r>
              <w:rPr>
                <w:noProof/>
                <w:webHidden/>
              </w:rPr>
              <w:t>25</w:t>
            </w:r>
            <w:r>
              <w:rPr>
                <w:noProof/>
                <w:webHidden/>
              </w:rPr>
              <w:fldChar w:fldCharType="end"/>
            </w:r>
          </w:hyperlink>
        </w:p>
        <w:p w14:paraId="47E10BAC" w14:textId="46C1C6EE"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53" w:history="1">
            <w:r w:rsidRPr="00515896">
              <w:rPr>
                <w:rStyle w:val="Hyperlink"/>
                <w:noProof/>
              </w:rPr>
              <w:t>15.1</w:t>
            </w:r>
            <w:r>
              <w:rPr>
                <w:rFonts w:asciiTheme="minorHAnsi" w:hAnsiTheme="minorHAnsi"/>
                <w:noProof/>
                <w:color w:val="auto"/>
                <w:kern w:val="2"/>
                <w:sz w:val="24"/>
                <w:szCs w:val="24"/>
                <w:lang w:eastAsia="en-AU"/>
                <w14:ligatures w14:val="standardContextual"/>
              </w:rPr>
              <w:tab/>
            </w:r>
            <w:r w:rsidRPr="00515896">
              <w:rPr>
                <w:rStyle w:val="Hyperlink"/>
                <w:noProof/>
              </w:rPr>
              <w:t>Glossary of terms</w:t>
            </w:r>
            <w:r>
              <w:rPr>
                <w:noProof/>
                <w:webHidden/>
              </w:rPr>
              <w:tab/>
            </w:r>
            <w:r>
              <w:rPr>
                <w:noProof/>
                <w:webHidden/>
              </w:rPr>
              <w:fldChar w:fldCharType="begin"/>
            </w:r>
            <w:r>
              <w:rPr>
                <w:noProof/>
                <w:webHidden/>
              </w:rPr>
              <w:instrText xml:space="preserve"> PAGEREF _Toc216708153 \h </w:instrText>
            </w:r>
            <w:r>
              <w:rPr>
                <w:noProof/>
                <w:webHidden/>
              </w:rPr>
            </w:r>
            <w:r>
              <w:rPr>
                <w:noProof/>
                <w:webHidden/>
              </w:rPr>
              <w:fldChar w:fldCharType="separate"/>
            </w:r>
            <w:r>
              <w:rPr>
                <w:noProof/>
                <w:webHidden/>
              </w:rPr>
              <w:t>25</w:t>
            </w:r>
            <w:r>
              <w:rPr>
                <w:noProof/>
                <w:webHidden/>
              </w:rPr>
              <w:fldChar w:fldCharType="end"/>
            </w:r>
          </w:hyperlink>
        </w:p>
        <w:p w14:paraId="1F89A5B2" w14:textId="0504D845" w:rsidR="005468BA" w:rsidRDefault="005468BA">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16708154" w:history="1">
            <w:r w:rsidRPr="00515896">
              <w:rPr>
                <w:rStyle w:val="Hyperlink"/>
                <w:noProof/>
              </w:rPr>
              <w:t>15.2</w:t>
            </w:r>
            <w:r>
              <w:rPr>
                <w:rFonts w:asciiTheme="minorHAnsi" w:hAnsiTheme="minorHAnsi"/>
                <w:noProof/>
                <w:color w:val="auto"/>
                <w:kern w:val="2"/>
                <w:sz w:val="24"/>
                <w:szCs w:val="24"/>
                <w:lang w:eastAsia="en-AU"/>
                <w14:ligatures w14:val="standardContextual"/>
              </w:rPr>
              <w:tab/>
            </w:r>
            <w:r w:rsidRPr="00515896">
              <w:rPr>
                <w:rStyle w:val="Hyperlink"/>
                <w:noProof/>
              </w:rPr>
              <w:t>MyMedicare eligible provider specialty codes</w:t>
            </w:r>
            <w:r>
              <w:rPr>
                <w:noProof/>
                <w:webHidden/>
              </w:rPr>
              <w:tab/>
            </w:r>
            <w:r>
              <w:rPr>
                <w:noProof/>
                <w:webHidden/>
              </w:rPr>
              <w:fldChar w:fldCharType="begin"/>
            </w:r>
            <w:r>
              <w:rPr>
                <w:noProof/>
                <w:webHidden/>
              </w:rPr>
              <w:instrText xml:space="preserve"> PAGEREF _Toc216708154 \h </w:instrText>
            </w:r>
            <w:r>
              <w:rPr>
                <w:noProof/>
                <w:webHidden/>
              </w:rPr>
            </w:r>
            <w:r>
              <w:rPr>
                <w:noProof/>
                <w:webHidden/>
              </w:rPr>
              <w:fldChar w:fldCharType="separate"/>
            </w:r>
            <w:r>
              <w:rPr>
                <w:noProof/>
                <w:webHidden/>
              </w:rPr>
              <w:t>29</w:t>
            </w:r>
            <w:r>
              <w:rPr>
                <w:noProof/>
                <w:webHidden/>
              </w:rPr>
              <w:fldChar w:fldCharType="end"/>
            </w:r>
          </w:hyperlink>
        </w:p>
        <w:p w14:paraId="7FFBD6F5" w14:textId="7EA659D4" w:rsidR="4A455F35" w:rsidRDefault="4A455F35" w:rsidP="4A455F35">
          <w:pPr>
            <w:pStyle w:val="TOC2"/>
            <w:tabs>
              <w:tab w:val="left" w:pos="660"/>
              <w:tab w:val="right" w:leader="dot" w:pos="9840"/>
            </w:tabs>
            <w:rPr>
              <w:rStyle w:val="Hyperlink"/>
            </w:rPr>
          </w:pPr>
          <w:r>
            <w:fldChar w:fldCharType="end"/>
          </w:r>
        </w:p>
      </w:sdtContent>
    </w:sdt>
    <w:p w14:paraId="4769FAFB" w14:textId="3B91F5FD" w:rsidR="69E59A3B" w:rsidRDefault="69E59A3B" w:rsidP="69E59A3B">
      <w:pPr>
        <w:pStyle w:val="TOC2"/>
        <w:tabs>
          <w:tab w:val="left" w:pos="660"/>
          <w:tab w:val="right" w:leader="dot" w:pos="9855"/>
        </w:tabs>
        <w:rPr>
          <w:rStyle w:val="Hyperlink"/>
        </w:rPr>
      </w:pPr>
    </w:p>
    <w:p w14:paraId="3C17912D" w14:textId="7EA01407" w:rsidR="1C1019EF" w:rsidRDefault="1C1019EF" w:rsidP="0737F48A">
      <w:pPr>
        <w:pStyle w:val="TOC2"/>
        <w:tabs>
          <w:tab w:val="left" w:pos="660"/>
          <w:tab w:val="right" w:leader="dot" w:pos="9855"/>
        </w:tabs>
        <w:rPr>
          <w:rStyle w:val="Hyperlink"/>
        </w:rPr>
      </w:pPr>
    </w:p>
    <w:p w14:paraId="63EC50E7" w14:textId="6BB9E5B8" w:rsidR="00FB2642" w:rsidRDefault="00FB2642" w:rsidP="00FB2642"/>
    <w:p w14:paraId="5C3D95EB" w14:textId="77777777" w:rsidR="00A83D81" w:rsidRDefault="00A83D81" w:rsidP="00FB2642"/>
    <w:p w14:paraId="64A38653" w14:textId="07103041" w:rsidR="00A83D81" w:rsidRDefault="00A83D81">
      <w:r>
        <w:br w:type="page"/>
      </w:r>
    </w:p>
    <w:p w14:paraId="330DA243" w14:textId="77777777" w:rsidR="00AB0EA4" w:rsidRPr="00520BB8" w:rsidRDefault="00A83D81" w:rsidP="00520BB8">
      <w:pPr>
        <w:spacing w:before="320" w:after="160" w:line="420" w:lineRule="atLeast"/>
        <w:rPr>
          <w:b/>
          <w:sz w:val="32"/>
          <w:szCs w:val="32"/>
        </w:rPr>
      </w:pPr>
      <w:r w:rsidRPr="00520BB8">
        <w:rPr>
          <w:b/>
          <w:sz w:val="32"/>
          <w:szCs w:val="32"/>
        </w:rPr>
        <w:lastRenderedPageBreak/>
        <w:t>Acknowledgement</w:t>
      </w:r>
    </w:p>
    <w:p w14:paraId="4B2266F1" w14:textId="475AAFBA" w:rsidR="00AB0EA4" w:rsidRDefault="00A83D81" w:rsidP="00520BB8">
      <w:r>
        <w:t>© Commonwealth of Australia 20</w:t>
      </w:r>
      <w:r w:rsidR="00AB0EA4">
        <w:t>2</w:t>
      </w:r>
      <w:r w:rsidR="00507147">
        <w:t>5</w:t>
      </w:r>
      <w:r>
        <w:t xml:space="preserve"> </w:t>
      </w:r>
    </w:p>
    <w:p w14:paraId="24419FC3" w14:textId="6E1823EC" w:rsidR="008877F7" w:rsidRDefault="00A83D81" w:rsidP="00520BB8">
      <w:r>
        <w:t>This work is copyright.</w:t>
      </w:r>
      <w:r w:rsidR="00F91A01">
        <w:t xml:space="preserve"> </w:t>
      </w:r>
      <w:r>
        <w:t xml:space="preserve">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520BB8">
        <w:rPr>
          <w:i/>
        </w:rPr>
        <w:t>Copyright Act 1968</w:t>
      </w:r>
      <w:r>
        <w:t xml:space="preserve"> or allowed by this copyright notice, all other rights are </w:t>
      </w:r>
      <w:r w:rsidR="007E3516">
        <w:t>reserved,</w:t>
      </w:r>
      <w: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Communication Branch, Department of Health</w:t>
      </w:r>
      <w:r w:rsidR="00315974">
        <w:t xml:space="preserve"> and Aged Care</w:t>
      </w:r>
      <w:r>
        <w:t xml:space="preserve">, GPO Box 9848, Canberra ACT 2601, or via email to </w:t>
      </w:r>
      <w:hyperlink r:id="rId11" w:history="1">
        <w:r w:rsidR="008877F7" w:rsidRPr="00DA185C">
          <w:rPr>
            <w:rStyle w:val="Hyperlink"/>
          </w:rPr>
          <w:t>copyright@health.gov.au</w:t>
        </w:r>
      </w:hyperlink>
      <w:r>
        <w:t>.</w:t>
      </w:r>
    </w:p>
    <w:p w14:paraId="3354C774" w14:textId="10F6D46B" w:rsidR="003834E3" w:rsidRDefault="00A83D81" w:rsidP="00877366">
      <w:r>
        <w:t>Preferred citation: Department of Health</w:t>
      </w:r>
      <w:r w:rsidR="00315974">
        <w:t xml:space="preserve"> and Aged Care</w:t>
      </w:r>
      <w:r>
        <w:t xml:space="preserve">. Author. </w:t>
      </w:r>
      <w:r w:rsidR="006B30F8">
        <w:t xml:space="preserve">MyMedicare </w:t>
      </w:r>
      <w:r>
        <w:t>Program Guidelines Canberra: Australian Government Department of Health</w:t>
      </w:r>
      <w:r w:rsidR="2AF9A9DD">
        <w:t>, Disability and Ageing</w:t>
      </w:r>
      <w:r>
        <w:t xml:space="preserve"> 20</w:t>
      </w:r>
      <w:r w:rsidR="00315974">
        <w:t>2</w:t>
      </w:r>
      <w:r w:rsidR="31A23E10">
        <w:t>5</w:t>
      </w:r>
      <w:r>
        <w:t>.</w:t>
      </w:r>
    </w:p>
    <w:p w14:paraId="14F52360" w14:textId="724F5A92" w:rsidR="003834E3" w:rsidRPr="00520BB8" w:rsidRDefault="00A83D81" w:rsidP="00B05BA5">
      <w:pPr>
        <w:spacing w:before="320" w:after="160" w:line="420" w:lineRule="atLeast"/>
        <w:rPr>
          <w:b/>
          <w:sz w:val="32"/>
          <w:szCs w:val="32"/>
        </w:rPr>
      </w:pPr>
      <w:r w:rsidRPr="00520BB8">
        <w:rPr>
          <w:b/>
          <w:sz w:val="32"/>
          <w:szCs w:val="32"/>
        </w:rPr>
        <w:t>Disclaimer</w:t>
      </w:r>
    </w:p>
    <w:p w14:paraId="5927FA01" w14:textId="09A06D82" w:rsidR="00A83D81" w:rsidRPr="00877366" w:rsidRDefault="00A83D81" w:rsidP="00877366">
      <w:pPr>
        <w:rPr>
          <w:rFonts w:eastAsia="Arial" w:cs="Arial"/>
          <w:lang w:eastAsia="en-US"/>
        </w:rPr>
      </w:pPr>
      <w:r w:rsidRPr="61716D05">
        <w:rPr>
          <w:rFonts w:eastAsia="Arial" w:cs="Arial"/>
          <w:lang w:eastAsia="en-US"/>
        </w:rPr>
        <w:t xml:space="preserve">These guidelines are for information purposes and provide the basis </w:t>
      </w:r>
      <w:r w:rsidR="004D05A2" w:rsidRPr="61716D05">
        <w:rPr>
          <w:rFonts w:eastAsia="Arial" w:cs="Arial"/>
          <w:lang w:eastAsia="en-US"/>
        </w:rPr>
        <w:t>of participation in MyMedicare</w:t>
      </w:r>
      <w:r w:rsidRPr="61716D05">
        <w:rPr>
          <w:rFonts w:eastAsia="Arial" w:cs="Arial"/>
          <w:lang w:eastAsia="en-US"/>
        </w:rPr>
        <w:t xml:space="preserve">. The government may alter arrangements for </w:t>
      </w:r>
      <w:r w:rsidR="004F31E9" w:rsidRPr="61716D05">
        <w:rPr>
          <w:rFonts w:eastAsia="Arial" w:cs="Arial"/>
          <w:lang w:eastAsia="en-US"/>
        </w:rPr>
        <w:t>MyMedicare</w:t>
      </w:r>
      <w:r w:rsidRPr="61716D05">
        <w:rPr>
          <w:rFonts w:eastAsia="Arial" w:cs="Arial"/>
          <w:lang w:eastAsia="en-US"/>
        </w:rPr>
        <w:t xml:space="preserve"> at any time and without notice. The Government does not accept any legal liability or responsibility for any injury, loss or damage incurred by the use of, reliance on, or interpretation of the information provided in these guidelines.</w:t>
      </w:r>
    </w:p>
    <w:p w14:paraId="136E55E9" w14:textId="64DEF9F4" w:rsidR="009E30CD" w:rsidRPr="0004758E" w:rsidRDefault="009E30CD" w:rsidP="00520BB8">
      <w:r>
        <w:br w:type="page"/>
      </w:r>
    </w:p>
    <w:p w14:paraId="286FF2CC" w14:textId="7D3C7556" w:rsidR="00817CB4" w:rsidRPr="001F7637" w:rsidRDefault="00817CB4" w:rsidP="00F02715">
      <w:pPr>
        <w:pStyle w:val="Heading1"/>
        <w:ind w:left="431" w:hanging="431"/>
      </w:pPr>
      <w:bookmarkStart w:id="1" w:name="_Toc178175321"/>
      <w:bookmarkStart w:id="2" w:name="_Toc178175483"/>
      <w:bookmarkStart w:id="3" w:name="_Toc178175618"/>
      <w:bookmarkStart w:id="4" w:name="_Toc170817131"/>
      <w:bookmarkStart w:id="5" w:name="_Ref178318110"/>
      <w:bookmarkStart w:id="6" w:name="_Toc214050992"/>
      <w:bookmarkStart w:id="7" w:name="_Toc216708082"/>
      <w:bookmarkEnd w:id="1"/>
      <w:bookmarkEnd w:id="2"/>
      <w:bookmarkEnd w:id="3"/>
      <w:r w:rsidRPr="001F7637">
        <w:lastRenderedPageBreak/>
        <w:t>Introduction</w:t>
      </w:r>
      <w:bookmarkEnd w:id="4"/>
      <w:bookmarkEnd w:id="5"/>
      <w:bookmarkEnd w:id="6"/>
      <w:bookmarkEnd w:id="7"/>
    </w:p>
    <w:p w14:paraId="7D8F7480" w14:textId="52E66B1B" w:rsidR="00817CB4" w:rsidRPr="001F7637" w:rsidRDefault="00817CB4" w:rsidP="00F02715">
      <w:pPr>
        <w:pStyle w:val="Heading2"/>
        <w:ind w:left="578" w:hanging="578"/>
      </w:pPr>
      <w:bookmarkStart w:id="8" w:name="_Toc167109426"/>
      <w:bookmarkStart w:id="9" w:name="_Toc170119990"/>
      <w:bookmarkStart w:id="10" w:name="_Toc170817132"/>
      <w:bookmarkStart w:id="11" w:name="_Toc214050993"/>
      <w:bookmarkStart w:id="12" w:name="_Toc216708083"/>
      <w:r w:rsidRPr="001F7637">
        <w:t>Purpose</w:t>
      </w:r>
      <w:bookmarkEnd w:id="8"/>
      <w:bookmarkEnd w:id="9"/>
      <w:bookmarkEnd w:id="10"/>
      <w:bookmarkEnd w:id="11"/>
      <w:bookmarkEnd w:id="12"/>
    </w:p>
    <w:p w14:paraId="2451DE6F" w14:textId="38291783" w:rsidR="00455A4A" w:rsidRPr="00877366" w:rsidRDefault="00455A4A" w:rsidP="00877366">
      <w:r w:rsidRPr="00877366">
        <w:t>The MyMedicare Program Guidelines (the guidelines) provide clear guidance for practices, General Practitioners (GPs) and patients who wish to voluntarily register with the MyMedicare Program</w:t>
      </w:r>
      <w:r>
        <w:t>.</w:t>
      </w:r>
      <w:r w:rsidRPr="00877366">
        <w:t xml:space="preserve"> The guidelines also set out </w:t>
      </w:r>
      <w:proofErr w:type="spellStart"/>
      <w:r w:rsidR="00990A9E">
        <w:t>MyMedicare</w:t>
      </w:r>
      <w:r>
        <w:t>’s</w:t>
      </w:r>
      <w:proofErr w:type="spellEnd"/>
      <w:r w:rsidRPr="00877366">
        <w:t xml:space="preserve"> requirements, benefits and dispute processes. </w:t>
      </w:r>
    </w:p>
    <w:p w14:paraId="213C4E7D" w14:textId="593006B9" w:rsidR="00817CB4" w:rsidRPr="001F7637" w:rsidRDefault="0A463290" w:rsidP="00F02715">
      <w:pPr>
        <w:pStyle w:val="Heading2"/>
        <w:ind w:left="431" w:hanging="431"/>
      </w:pPr>
      <w:bookmarkStart w:id="13" w:name="_Toc214050994"/>
      <w:bookmarkStart w:id="14" w:name="_Toc216708084"/>
      <w:r>
        <w:t>Background</w:t>
      </w:r>
      <w:bookmarkEnd w:id="13"/>
      <w:bookmarkEnd w:id="14"/>
    </w:p>
    <w:p w14:paraId="2A43744C" w14:textId="1D216EB0" w:rsidR="00817CB4" w:rsidRPr="00615E1F" w:rsidRDefault="00817CB4" w:rsidP="00485C11">
      <w:r>
        <w:t xml:space="preserve">In </w:t>
      </w:r>
      <w:r w:rsidR="304F54F5">
        <w:t>March 2022</w:t>
      </w:r>
      <w:r>
        <w:t>,</w:t>
      </w:r>
      <w:r w:rsidR="0F0ABEB9">
        <w:t xml:space="preserve"> the Australian Government (the government) released </w:t>
      </w:r>
      <w:hyperlink r:id="rId12" w:history="1">
        <w:r w:rsidR="00D76B56">
          <w:rPr>
            <w:rStyle w:val="Hyperlink"/>
          </w:rPr>
          <w:t>Australia’s Primary Health Care 10 Year Plan 2022–2032</w:t>
        </w:r>
      </w:hyperlink>
      <w:r w:rsidR="00D76B56">
        <w:t xml:space="preserve"> (</w:t>
      </w:r>
      <w:r w:rsidR="0F0ABEB9" w:rsidRPr="5381A5DD">
        <w:rPr>
          <w:rFonts w:eastAsia="Arial" w:cs="Arial"/>
        </w:rPr>
        <w:t>the plan). The plan focuses on strengthening primary health as part of the health system and provides an agenda for primary healthcare reform over a decade. The plan proposes a system of voluntary patient registration as a platform for reforming general practice funding to incentivise quality person-centred primary healthcare.</w:t>
      </w:r>
    </w:p>
    <w:p w14:paraId="4D1FFE26" w14:textId="267DECEA" w:rsidR="0F0ABEB9" w:rsidRDefault="0F0ABEB9" w:rsidP="00485C11">
      <w:r w:rsidRPr="61716D05">
        <w:t xml:space="preserve">Following the release of the plan, the government established the Strengthening Medicare Taskforce (the taskforce). The taskforce was established to identify the highest priority reforms in primary care. In December 2022, the government released the </w:t>
      </w:r>
      <w:hyperlink r:id="rId13">
        <w:r w:rsidR="008766DA" w:rsidRPr="61716D05">
          <w:rPr>
            <w:rStyle w:val="Hyperlink"/>
            <w:rFonts w:eastAsia="Arial" w:cs="Arial"/>
          </w:rPr>
          <w:t>Strengthening Medicare Taskforce Report</w:t>
        </w:r>
      </w:hyperlink>
      <w:r w:rsidRPr="61716D05">
        <w:t>, which outlined the vision for Australia’s primary care system. The taskforce made a number of recommendations to the government to progress implementation of the plan.</w:t>
      </w:r>
    </w:p>
    <w:p w14:paraId="36661A05" w14:textId="77777777" w:rsidR="00817CB4" w:rsidRPr="001F7637" w:rsidRDefault="00817CB4" w:rsidP="00902BC6">
      <w:pPr>
        <w:pStyle w:val="Heading2"/>
        <w:ind w:left="578" w:hanging="578"/>
      </w:pPr>
      <w:bookmarkStart w:id="15" w:name="_Toc167109428"/>
      <w:bookmarkStart w:id="16" w:name="_Toc170119992"/>
      <w:bookmarkStart w:id="17" w:name="_Toc170817134"/>
      <w:bookmarkStart w:id="18" w:name="_Toc214050995"/>
      <w:bookmarkStart w:id="19" w:name="_Toc216708085"/>
      <w:r w:rsidRPr="001F7637">
        <w:t>MyMedicare</w:t>
      </w:r>
      <w:bookmarkEnd w:id="15"/>
      <w:bookmarkEnd w:id="16"/>
      <w:bookmarkEnd w:id="17"/>
      <w:bookmarkEnd w:id="18"/>
      <w:bookmarkEnd w:id="19"/>
    </w:p>
    <w:p w14:paraId="060104EA" w14:textId="0A9DCAC9" w:rsidR="00817CB4" w:rsidRPr="00902BC6" w:rsidRDefault="00817CB4" w:rsidP="00817CB4">
      <w:pPr>
        <w:rPr>
          <w:rFonts w:eastAsia="Times New Roman" w:cs="Arial"/>
        </w:rPr>
      </w:pPr>
      <w:r w:rsidRPr="008F627F">
        <w:rPr>
          <w:rFonts w:eastAsia="Times New Roman" w:cs="Arial"/>
        </w:rPr>
        <w:t xml:space="preserve">MyMedicare is a voluntary patient registration </w:t>
      </w:r>
      <w:r w:rsidR="00BD1C0E" w:rsidRPr="008F627F">
        <w:rPr>
          <w:rFonts w:eastAsia="Times New Roman" w:cs="Arial"/>
        </w:rPr>
        <w:t xml:space="preserve">model </w:t>
      </w:r>
      <w:r w:rsidRPr="008F627F">
        <w:rPr>
          <w:rFonts w:eastAsia="Times New Roman" w:cs="Arial"/>
        </w:rPr>
        <w:t xml:space="preserve">available to all patients, practices and primary care providers who meet eligibility requirements. </w:t>
      </w:r>
      <w:r w:rsidR="00A14608" w:rsidRPr="008F627F">
        <w:rPr>
          <w:rFonts w:eastAsia="Times New Roman" w:cs="Arial"/>
        </w:rPr>
        <w:t>(Refer Section 2 for eligibility requirements</w:t>
      </w:r>
      <w:r w:rsidR="002A7176" w:rsidRPr="008F627F">
        <w:rPr>
          <w:rFonts w:eastAsia="Times New Roman" w:cs="Arial"/>
        </w:rPr>
        <w:t>.</w:t>
      </w:r>
      <w:r w:rsidR="00A14608" w:rsidRPr="008F627F">
        <w:rPr>
          <w:rFonts w:eastAsia="Times New Roman" w:cs="Arial"/>
        </w:rPr>
        <w:t>)</w:t>
      </w:r>
    </w:p>
    <w:p w14:paraId="70264957" w14:textId="71871E93" w:rsidR="00817CB4" w:rsidRPr="00902BC6" w:rsidRDefault="00817CB4" w:rsidP="00817CB4">
      <w:pPr>
        <w:rPr>
          <w:rFonts w:eastAsia="Times New Roman" w:cs="Arial"/>
          <w:szCs w:val="22"/>
        </w:rPr>
      </w:pPr>
      <w:r w:rsidRPr="00902BC6">
        <w:rPr>
          <w:rFonts w:eastAsia="Times New Roman" w:cs="Arial"/>
          <w:szCs w:val="22"/>
        </w:rPr>
        <w:t xml:space="preserve">It is the government’s response to the </w:t>
      </w:r>
      <w:r w:rsidR="00593B24" w:rsidRPr="00902BC6">
        <w:rPr>
          <w:rFonts w:eastAsia="Times New Roman" w:cs="Arial"/>
          <w:szCs w:val="22"/>
        </w:rPr>
        <w:t>t</w:t>
      </w:r>
      <w:r w:rsidRPr="00902BC6">
        <w:rPr>
          <w:rFonts w:eastAsia="Times New Roman" w:cs="Arial"/>
          <w:szCs w:val="22"/>
        </w:rPr>
        <w:t>askforce recommendation to support better continuity of care, a strengthened relationship between the patient and their care team, and more integrated, person-centred care through</w:t>
      </w:r>
      <w:r w:rsidR="00D574E2" w:rsidRPr="00902BC6">
        <w:rPr>
          <w:rFonts w:eastAsia="Times New Roman" w:cs="Arial"/>
          <w:szCs w:val="22"/>
        </w:rPr>
        <w:t xml:space="preserve"> the</w:t>
      </w:r>
      <w:r w:rsidRPr="00902BC6">
        <w:rPr>
          <w:rFonts w:eastAsia="Times New Roman" w:cs="Arial"/>
          <w:szCs w:val="22"/>
        </w:rPr>
        <w:t xml:space="preserve"> introduction of voluntary patient registration.</w:t>
      </w:r>
    </w:p>
    <w:p w14:paraId="07D881A0" w14:textId="1CFE5E3F" w:rsidR="00817CB4" w:rsidRPr="00902BC6" w:rsidRDefault="00817CB4" w:rsidP="00817CB4">
      <w:pPr>
        <w:rPr>
          <w:rFonts w:eastAsia="Times New Roman" w:cs="Arial"/>
        </w:rPr>
      </w:pPr>
      <w:r w:rsidRPr="008F627F">
        <w:rPr>
          <w:rFonts w:eastAsia="Times New Roman" w:cs="Arial"/>
        </w:rPr>
        <w:t xml:space="preserve">MyMedicare is the foundation upon which a stronger, more personalised Medicare </w:t>
      </w:r>
      <w:r w:rsidR="00CD54B4" w:rsidRPr="008F627F">
        <w:rPr>
          <w:rFonts w:eastAsia="Times New Roman" w:cs="Arial"/>
        </w:rPr>
        <w:t>is being</w:t>
      </w:r>
      <w:r w:rsidRPr="008F627F">
        <w:rPr>
          <w:rFonts w:eastAsia="Times New Roman" w:cs="Arial"/>
        </w:rPr>
        <w:t xml:space="preserve"> built. </w:t>
      </w:r>
      <w:r w:rsidR="00CD54B4" w:rsidRPr="008F627F">
        <w:rPr>
          <w:rFonts w:eastAsia="Times New Roman" w:cs="Arial"/>
        </w:rPr>
        <w:t xml:space="preserve">Through MyMedicare </w:t>
      </w:r>
      <w:r w:rsidR="00CD54B4" w:rsidRPr="71CB847D">
        <w:rPr>
          <w:rFonts w:eastAsia="Times New Roman" w:cs="Arial"/>
        </w:rPr>
        <w:t>p</w:t>
      </w:r>
      <w:r w:rsidRPr="71CB847D">
        <w:rPr>
          <w:rFonts w:eastAsia="Times New Roman" w:cs="Arial"/>
        </w:rPr>
        <w:t>atients</w:t>
      </w:r>
      <w:r w:rsidRPr="008F627F" w:rsidDel="00CD54B4">
        <w:rPr>
          <w:rFonts w:eastAsia="Times New Roman" w:cs="Arial"/>
        </w:rPr>
        <w:t xml:space="preserve"> </w:t>
      </w:r>
      <w:r w:rsidR="00CD54B4" w:rsidRPr="008F627F">
        <w:rPr>
          <w:rFonts w:eastAsia="Times New Roman" w:cs="Arial"/>
        </w:rPr>
        <w:t xml:space="preserve">can </w:t>
      </w:r>
      <w:r w:rsidRPr="008F627F">
        <w:rPr>
          <w:rFonts w:eastAsia="Times New Roman" w:cs="Arial"/>
        </w:rPr>
        <w:t>receive more tailored</w:t>
      </w:r>
      <w:r w:rsidR="46910DFA" w:rsidRPr="008F627F">
        <w:rPr>
          <w:rFonts w:eastAsia="Times New Roman" w:cs="Arial"/>
        </w:rPr>
        <w:t>,</w:t>
      </w:r>
      <w:r w:rsidRPr="008F627F">
        <w:rPr>
          <w:rFonts w:eastAsia="Times New Roman" w:cs="Arial"/>
        </w:rPr>
        <w:t xml:space="preserve"> quality care from their regular general practice and primary care team.</w:t>
      </w:r>
    </w:p>
    <w:p w14:paraId="14D8919A" w14:textId="5A9D5669" w:rsidR="006B1F50" w:rsidRPr="00902BC6" w:rsidRDefault="006B1F50" w:rsidP="00817CB4">
      <w:pPr>
        <w:rPr>
          <w:rFonts w:eastAsia="Times New Roman" w:cs="Arial"/>
        </w:rPr>
      </w:pPr>
      <w:r w:rsidRPr="71CB847D">
        <w:rPr>
          <w:rFonts w:eastAsia="Times New Roman" w:cs="Arial"/>
        </w:rPr>
        <w:t xml:space="preserve">MyMedicare is a registration </w:t>
      </w:r>
      <w:r w:rsidR="00A105EB" w:rsidRPr="71CB847D">
        <w:rPr>
          <w:rFonts w:eastAsia="Times New Roman" w:cs="Arial"/>
        </w:rPr>
        <w:t xml:space="preserve">model </w:t>
      </w:r>
      <w:r w:rsidRPr="71CB847D">
        <w:rPr>
          <w:rFonts w:eastAsia="Times New Roman" w:cs="Arial"/>
        </w:rPr>
        <w:t>and w</w:t>
      </w:r>
      <w:r w:rsidR="00EB7216" w:rsidRPr="71CB847D">
        <w:rPr>
          <w:rFonts w:eastAsia="Times New Roman" w:cs="Arial"/>
        </w:rPr>
        <w:t xml:space="preserve">ill not </w:t>
      </w:r>
      <w:r w:rsidRPr="71CB847D">
        <w:rPr>
          <w:rFonts w:eastAsia="Times New Roman" w:cs="Arial"/>
        </w:rPr>
        <w:t xml:space="preserve">hold any clinical health information. Clinical health information will continue to be stored in </w:t>
      </w:r>
      <w:r w:rsidR="00EB7216" w:rsidRPr="71CB847D">
        <w:rPr>
          <w:rFonts w:eastAsia="Times New Roman" w:cs="Arial"/>
        </w:rPr>
        <w:t xml:space="preserve">a </w:t>
      </w:r>
      <w:r w:rsidRPr="71CB847D">
        <w:rPr>
          <w:rFonts w:eastAsia="Times New Roman" w:cs="Arial"/>
        </w:rPr>
        <w:t>patient</w:t>
      </w:r>
      <w:r w:rsidR="00EB7216" w:rsidRPr="71CB847D">
        <w:rPr>
          <w:rFonts w:eastAsia="Times New Roman" w:cs="Arial"/>
        </w:rPr>
        <w:t>’</w:t>
      </w:r>
      <w:r w:rsidRPr="71CB847D">
        <w:rPr>
          <w:rFonts w:eastAsia="Times New Roman" w:cs="Arial"/>
        </w:rPr>
        <w:t>s</w:t>
      </w:r>
      <w:r w:rsidR="00A573BC" w:rsidRPr="71CB847D">
        <w:rPr>
          <w:rFonts w:eastAsia="Times New Roman" w:cs="Arial"/>
        </w:rPr>
        <w:t xml:space="preserve"> My Health Record</w:t>
      </w:r>
      <w:r w:rsidR="00B006FE" w:rsidRPr="71CB847D">
        <w:rPr>
          <w:rFonts w:eastAsia="Times New Roman" w:cs="Arial"/>
        </w:rPr>
        <w:t xml:space="preserve"> (</w:t>
      </w:r>
      <w:r w:rsidR="00A573BC" w:rsidRPr="71CB847D">
        <w:rPr>
          <w:rFonts w:eastAsia="Times New Roman" w:cs="Arial"/>
        </w:rPr>
        <w:t>if they have one</w:t>
      </w:r>
      <w:r w:rsidR="00B006FE" w:rsidRPr="71CB847D">
        <w:rPr>
          <w:rFonts w:eastAsia="Times New Roman" w:cs="Arial"/>
        </w:rPr>
        <w:t>)</w:t>
      </w:r>
      <w:r w:rsidR="00A573BC" w:rsidRPr="71CB847D">
        <w:rPr>
          <w:rFonts w:eastAsia="Times New Roman" w:cs="Arial"/>
        </w:rPr>
        <w:t>.</w:t>
      </w:r>
    </w:p>
    <w:p w14:paraId="535499D1" w14:textId="77777777" w:rsidR="00932197" w:rsidRPr="00407AD1" w:rsidRDefault="00932197" w:rsidP="00932197">
      <w:pPr>
        <w:pStyle w:val="Heading3"/>
      </w:pPr>
      <w:bookmarkStart w:id="20" w:name="_Toc216708086"/>
      <w:r w:rsidRPr="00407AD1">
        <w:t xml:space="preserve">Benefits for </w:t>
      </w:r>
      <w:r>
        <w:t>patients</w:t>
      </w:r>
      <w:bookmarkEnd w:id="20"/>
    </w:p>
    <w:p w14:paraId="6F9DCD33" w14:textId="4D2E57D8" w:rsidR="00932197" w:rsidRPr="000A585C" w:rsidRDefault="00932197" w:rsidP="61716D05">
      <w:pPr>
        <w:rPr>
          <w:rFonts w:eastAsia="Times New Roman" w:cs="Arial"/>
        </w:rPr>
      </w:pPr>
      <w:r w:rsidRPr="61716D05">
        <w:rPr>
          <w:rFonts w:eastAsia="Times New Roman" w:cs="Arial"/>
        </w:rPr>
        <w:t xml:space="preserve">Patients </w:t>
      </w:r>
      <w:r w:rsidR="00AB3133" w:rsidRPr="61716D05">
        <w:rPr>
          <w:rFonts w:eastAsia="Times New Roman" w:cs="Arial"/>
        </w:rPr>
        <w:t>registering</w:t>
      </w:r>
      <w:r w:rsidRPr="61716D05">
        <w:rPr>
          <w:rFonts w:eastAsia="Times New Roman" w:cs="Arial"/>
        </w:rPr>
        <w:t xml:space="preserve"> in MyMedicare benefit from:</w:t>
      </w:r>
    </w:p>
    <w:p w14:paraId="1F2304FA" w14:textId="4E946595" w:rsidR="0075128F" w:rsidRPr="0075128F" w:rsidRDefault="00932197" w:rsidP="004245FA">
      <w:pPr>
        <w:pStyle w:val="ListBullet"/>
        <w:tabs>
          <w:tab w:val="clear" w:pos="360"/>
          <w:tab w:val="num" w:pos="1788"/>
        </w:tabs>
        <w:ind w:left="714" w:hanging="357"/>
        <w:contextualSpacing w:val="0"/>
        <w:rPr>
          <w:rFonts w:cs="Arial"/>
        </w:rPr>
      </w:pPr>
      <w:r w:rsidRPr="165438EC">
        <w:rPr>
          <w:rFonts w:cs="Arial"/>
        </w:rPr>
        <w:t>greater continuing of care with their registered practice, improving health outcomes</w:t>
      </w:r>
    </w:p>
    <w:p w14:paraId="17E6449E" w14:textId="27FC8FBD" w:rsidR="00932197" w:rsidRPr="0075128F" w:rsidRDefault="00932197" w:rsidP="004245FA">
      <w:pPr>
        <w:pStyle w:val="ListBullet"/>
        <w:tabs>
          <w:tab w:val="clear" w:pos="360"/>
          <w:tab w:val="num" w:pos="1788"/>
        </w:tabs>
        <w:ind w:left="714" w:hanging="357"/>
        <w:contextualSpacing w:val="0"/>
        <w:rPr>
          <w:rFonts w:cs="Arial"/>
        </w:rPr>
      </w:pPr>
      <w:r w:rsidRPr="165438EC">
        <w:rPr>
          <w:rFonts w:cs="Arial"/>
        </w:rPr>
        <w:t>longer Medicare Benefit Schedule (MBS) funded telehealth consultations with their GP</w:t>
      </w:r>
    </w:p>
    <w:p w14:paraId="77E32116" w14:textId="01A6F9BE" w:rsidR="00932197" w:rsidRDefault="00932197" w:rsidP="004245FA">
      <w:pPr>
        <w:pStyle w:val="ListBullet"/>
        <w:tabs>
          <w:tab w:val="clear" w:pos="360"/>
          <w:tab w:val="num" w:pos="1431"/>
        </w:tabs>
        <w:ind w:left="714" w:hanging="357"/>
        <w:contextualSpacing w:val="0"/>
        <w:rPr>
          <w:rFonts w:cs="Arial"/>
        </w:rPr>
      </w:pPr>
      <w:r w:rsidRPr="4452CF4B">
        <w:rPr>
          <w:rFonts w:cs="Arial"/>
        </w:rPr>
        <w:t>more regular visits from a responsible GP and better care planning for people living in a residential aged care home</w:t>
      </w:r>
      <w:bookmarkStart w:id="21" w:name="_Ref177726705"/>
      <w:r w:rsidRPr="4452CF4B">
        <w:rPr>
          <w:rStyle w:val="FootnoteReference"/>
          <w:rFonts w:cs="Arial"/>
        </w:rPr>
        <w:footnoteReference w:id="2"/>
      </w:r>
      <w:bookmarkEnd w:id="21"/>
      <w:r w:rsidRPr="4452CF4B">
        <w:rPr>
          <w:rFonts w:cs="Arial"/>
        </w:rPr>
        <w:t>.</w:t>
      </w:r>
    </w:p>
    <w:p w14:paraId="2C9081C7" w14:textId="48318B30" w:rsidR="009921CD" w:rsidRPr="000A585C" w:rsidRDefault="00AC2B86" w:rsidP="71CB847D">
      <w:pPr>
        <w:pStyle w:val="ListBullet"/>
        <w:numPr>
          <w:ilvl w:val="0"/>
          <w:numId w:val="0"/>
        </w:numPr>
        <w:contextualSpacing w:val="0"/>
        <w:rPr>
          <w:rFonts w:cs="Arial"/>
        </w:rPr>
      </w:pPr>
      <w:r w:rsidRPr="4452CF4B">
        <w:rPr>
          <w:rFonts w:cs="Arial"/>
        </w:rPr>
        <w:lastRenderedPageBreak/>
        <w:t xml:space="preserve">Benefits for patients will </w:t>
      </w:r>
      <w:r w:rsidR="004244D4" w:rsidRPr="4452CF4B">
        <w:rPr>
          <w:rFonts w:cs="Arial"/>
        </w:rPr>
        <w:t xml:space="preserve">continue to </w:t>
      </w:r>
      <w:r w:rsidR="00303968" w:rsidRPr="4452CF4B">
        <w:rPr>
          <w:rFonts w:cs="Arial"/>
        </w:rPr>
        <w:t xml:space="preserve">evolve as </w:t>
      </w:r>
      <w:r w:rsidR="00F70D27" w:rsidRPr="4452CF4B">
        <w:rPr>
          <w:rFonts w:cs="Arial"/>
        </w:rPr>
        <w:t>Government implement</w:t>
      </w:r>
      <w:r w:rsidR="004244D4" w:rsidRPr="4452CF4B">
        <w:rPr>
          <w:rFonts w:cs="Arial"/>
        </w:rPr>
        <w:t>s</w:t>
      </w:r>
      <w:r w:rsidR="00F70D27" w:rsidRPr="4452CF4B">
        <w:rPr>
          <w:rFonts w:cs="Arial"/>
        </w:rPr>
        <w:t xml:space="preserve"> reforms that contribute to Australia’s Primary Health Care 10 Year Plan. </w:t>
      </w:r>
      <w:r w:rsidR="00303968" w:rsidRPr="4452CF4B">
        <w:rPr>
          <w:rFonts w:cs="Arial"/>
        </w:rPr>
        <w:t xml:space="preserve"> </w:t>
      </w:r>
    </w:p>
    <w:p w14:paraId="5F7931F7" w14:textId="77777777" w:rsidR="00932197" w:rsidRPr="00407AD1" w:rsidRDefault="00932197" w:rsidP="00932197">
      <w:pPr>
        <w:pStyle w:val="Heading3"/>
      </w:pPr>
      <w:bookmarkStart w:id="22" w:name="_Toc216708087"/>
      <w:r w:rsidRPr="00407AD1">
        <w:t>Benefits for providers and practices</w:t>
      </w:r>
      <w:bookmarkEnd w:id="22"/>
    </w:p>
    <w:p w14:paraId="477EBD00" w14:textId="2367E480" w:rsidR="00932197" w:rsidRPr="004F722F" w:rsidRDefault="00932197" w:rsidP="004245FA">
      <w:pPr>
        <w:rPr>
          <w:rFonts w:eastAsia="Times New Roman"/>
        </w:rPr>
      </w:pPr>
      <w:r w:rsidRPr="4C05EBAE">
        <w:rPr>
          <w:rFonts w:eastAsia="Times New Roman"/>
        </w:rPr>
        <w:t xml:space="preserve">Benefits to </w:t>
      </w:r>
      <w:r w:rsidR="004307C8">
        <w:rPr>
          <w:rFonts w:eastAsia="Times New Roman"/>
        </w:rPr>
        <w:t xml:space="preserve">providers and </w:t>
      </w:r>
      <w:r w:rsidRPr="4C05EBAE">
        <w:rPr>
          <w:rFonts w:eastAsia="Times New Roman"/>
        </w:rPr>
        <w:t>practices include:</w:t>
      </w:r>
    </w:p>
    <w:p w14:paraId="642594E5" w14:textId="7D10B2C8" w:rsidR="00932197" w:rsidRPr="00EA5F41" w:rsidRDefault="00932197" w:rsidP="004245FA">
      <w:pPr>
        <w:pStyle w:val="ListBullet"/>
        <w:tabs>
          <w:tab w:val="clear" w:pos="360"/>
          <w:tab w:val="num" w:pos="1077"/>
        </w:tabs>
        <w:ind w:left="720"/>
        <w:contextualSpacing w:val="0"/>
      </w:pPr>
      <w:r>
        <w:t>incentive for longer MBS telehealth consultations for patients under 16, pensioners, and concessional card holders</w:t>
      </w:r>
    </w:p>
    <w:p w14:paraId="10CE049D" w14:textId="57E1AC8A" w:rsidR="00932197" w:rsidRPr="00EA5F41" w:rsidRDefault="00932197" w:rsidP="004245FA">
      <w:pPr>
        <w:pStyle w:val="ListBullet"/>
        <w:tabs>
          <w:tab w:val="clear" w:pos="360"/>
          <w:tab w:val="num" w:pos="1077"/>
        </w:tabs>
        <w:ind w:left="720"/>
        <w:contextualSpacing w:val="0"/>
      </w:pPr>
      <w:r>
        <w:t>payments for visiting patients in an aged care home, rather than at the practice</w:t>
      </w:r>
    </w:p>
    <w:p w14:paraId="4A93B255" w14:textId="0F943A19" w:rsidR="00932197" w:rsidRPr="00EA5F41" w:rsidRDefault="00932197" w:rsidP="004245FA">
      <w:pPr>
        <w:pStyle w:val="ListBullet"/>
        <w:tabs>
          <w:tab w:val="clear" w:pos="360"/>
          <w:tab w:val="num" w:pos="1077"/>
        </w:tabs>
        <w:ind w:left="720"/>
        <w:contextualSpacing w:val="0"/>
      </w:pPr>
      <w:r>
        <w:t xml:space="preserve">funding to </w:t>
      </w:r>
      <w:r w:rsidR="004307C8">
        <w:t xml:space="preserve">practices </w:t>
      </w:r>
      <w:r w:rsidR="00526E95">
        <w:t>managing</w:t>
      </w:r>
      <w:r>
        <w:t xml:space="preserve"> care for registered patients living in an aged care </w:t>
      </w:r>
      <w:r w:rsidR="000B6A0E">
        <w:t>facility</w:t>
      </w:r>
    </w:p>
    <w:p w14:paraId="1F2D42AB" w14:textId="6F281E0B" w:rsidR="00932197" w:rsidRDefault="00932197" w:rsidP="004245FA">
      <w:pPr>
        <w:pStyle w:val="ListBullet"/>
        <w:tabs>
          <w:tab w:val="clear" w:pos="360"/>
          <w:tab w:val="num" w:pos="1077"/>
        </w:tabs>
        <w:ind w:left="717" w:hanging="357"/>
        <w:contextualSpacing w:val="0"/>
      </w:pPr>
      <w:r>
        <w:t>support</w:t>
      </w:r>
      <w:r w:rsidR="004307C8">
        <w:t>ing</w:t>
      </w:r>
      <w:r>
        <w:t xml:space="preserve"> continuity of care for people with chronic and complex conditions</w:t>
      </w:r>
    </w:p>
    <w:p w14:paraId="57E6EF4D" w14:textId="21BE1E06" w:rsidR="00562F4D" w:rsidRPr="00EA5F41" w:rsidRDefault="00562F4D" w:rsidP="004245FA">
      <w:pPr>
        <w:pStyle w:val="ListBullet"/>
        <w:tabs>
          <w:tab w:val="clear" w:pos="360"/>
          <w:tab w:val="num" w:pos="1077"/>
        </w:tabs>
        <w:ind w:left="717" w:hanging="357"/>
        <w:contextualSpacing w:val="0"/>
      </w:pPr>
      <w:r>
        <w:t>incentive payments for practices that bulk bill all eligible patients</w:t>
      </w:r>
    </w:p>
    <w:p w14:paraId="26636128" w14:textId="77777777" w:rsidR="00932197" w:rsidRPr="00EA5F41" w:rsidRDefault="00932197" w:rsidP="004245FA">
      <w:pPr>
        <w:pStyle w:val="ListBullet"/>
        <w:tabs>
          <w:tab w:val="clear" w:pos="360"/>
          <w:tab w:val="num" w:pos="1077"/>
        </w:tabs>
        <w:ind w:left="717" w:hanging="357"/>
        <w:contextualSpacing w:val="0"/>
      </w:pPr>
      <w:r w:rsidRPr="00EA5F41">
        <w:t>strengthening and formalising relationships between patient, GP, practice, and other members of a patient’s care team.</w:t>
      </w:r>
    </w:p>
    <w:p w14:paraId="7F265395" w14:textId="3B36794B" w:rsidR="007B78B5" w:rsidRDefault="00620BC3" w:rsidP="001346AB">
      <w:pPr>
        <w:pStyle w:val="Heading2"/>
        <w:ind w:left="578" w:hanging="578"/>
      </w:pPr>
      <w:bookmarkStart w:id="23" w:name="_Toc214050996"/>
      <w:bookmarkStart w:id="24" w:name="_Toc216708088"/>
      <w:r>
        <w:t>The Organisation Register</w:t>
      </w:r>
      <w:bookmarkEnd w:id="23"/>
      <w:bookmarkEnd w:id="24"/>
    </w:p>
    <w:p w14:paraId="17F183B6" w14:textId="175C2F6B" w:rsidR="00817CB4" w:rsidRPr="00032FD0" w:rsidRDefault="00817CB4" w:rsidP="001346AB">
      <w:pPr>
        <w:rPr>
          <w:rFonts w:eastAsia="Times New Roman" w:cs="Arial"/>
          <w:szCs w:val="22"/>
        </w:rPr>
      </w:pPr>
      <w:r w:rsidRPr="00032FD0">
        <w:rPr>
          <w:rFonts w:eastAsia="Times New Roman" w:cs="Arial"/>
          <w:szCs w:val="22"/>
        </w:rPr>
        <w:t xml:space="preserve">The </w:t>
      </w:r>
      <w:hyperlink r:id="rId14">
        <w:r w:rsidRPr="00032FD0">
          <w:rPr>
            <w:rStyle w:val="Hyperlink"/>
            <w:rFonts w:eastAsia="Times New Roman" w:cs="Arial"/>
            <w:szCs w:val="22"/>
          </w:rPr>
          <w:t>Organisation Register</w:t>
        </w:r>
      </w:hyperlink>
      <w:r w:rsidRPr="00032FD0">
        <w:rPr>
          <w:rFonts w:eastAsia="Times New Roman" w:cs="Arial"/>
          <w:szCs w:val="22"/>
        </w:rPr>
        <w:t xml:space="preserve"> is a streamlined practice registration tool connecting a general practice, GPs, patients, MBS claiming and incentives in the one central system. </w:t>
      </w:r>
    </w:p>
    <w:p w14:paraId="6064470D" w14:textId="7EF5E31D" w:rsidR="000A4424" w:rsidRPr="00032FD0" w:rsidRDefault="00817CB4" w:rsidP="61716D05">
      <w:pPr>
        <w:rPr>
          <w:rFonts w:eastAsia="Times New Roman" w:cs="Arial"/>
        </w:rPr>
      </w:pPr>
      <w:r w:rsidRPr="61716D05">
        <w:rPr>
          <w:rFonts w:eastAsia="Times New Roman" w:cs="Arial"/>
        </w:rPr>
        <w:t xml:space="preserve">The Organisation Register </w:t>
      </w:r>
      <w:r w:rsidR="00F031F7" w:rsidRPr="61716D05">
        <w:rPr>
          <w:rFonts w:eastAsia="Times New Roman" w:cs="Arial"/>
        </w:rPr>
        <w:t>supports new</w:t>
      </w:r>
      <w:r w:rsidR="009E5D55" w:rsidRPr="61716D05">
        <w:rPr>
          <w:rFonts w:eastAsia="Times New Roman" w:cs="Arial"/>
        </w:rPr>
        <w:t>,</w:t>
      </w:r>
      <w:r w:rsidR="00F031F7" w:rsidRPr="61716D05">
        <w:rPr>
          <w:rFonts w:eastAsia="Times New Roman" w:cs="Arial"/>
        </w:rPr>
        <w:t xml:space="preserve"> existing </w:t>
      </w:r>
      <w:r w:rsidR="009E5D55" w:rsidRPr="61716D05">
        <w:rPr>
          <w:rFonts w:eastAsia="Times New Roman" w:cs="Arial"/>
        </w:rPr>
        <w:t>and future</w:t>
      </w:r>
      <w:r w:rsidR="00F031F7" w:rsidRPr="61716D05">
        <w:rPr>
          <w:rFonts w:eastAsia="Times New Roman" w:cs="Arial"/>
        </w:rPr>
        <w:t xml:space="preserve"> health programs to move towards a single view for practices, providers, patients and other health professionals for health programs.</w:t>
      </w:r>
    </w:p>
    <w:p w14:paraId="15913F59" w14:textId="280375C4" w:rsidR="002D6C7D" w:rsidRPr="00DC743F" w:rsidRDefault="002D6C7D" w:rsidP="61716D05">
      <w:pPr>
        <w:rPr>
          <w:rFonts w:eastAsia="Times New Roman" w:cs="Arial"/>
        </w:rPr>
      </w:pPr>
      <w:r w:rsidRPr="61716D05">
        <w:rPr>
          <w:rFonts w:eastAsia="Times New Roman" w:cs="Arial"/>
        </w:rPr>
        <w:t xml:space="preserve">It allows an organisation to enter their details, and for this information to be used </w:t>
      </w:r>
      <w:r w:rsidR="00C41CD8" w:rsidRPr="61716D05">
        <w:rPr>
          <w:rFonts w:eastAsia="Times New Roman" w:cs="Arial"/>
        </w:rPr>
        <w:t>acr</w:t>
      </w:r>
      <w:r w:rsidR="00C35CAD" w:rsidRPr="61716D05">
        <w:rPr>
          <w:rFonts w:eastAsia="Times New Roman" w:cs="Arial"/>
        </w:rPr>
        <w:t>oss</w:t>
      </w:r>
      <w:r w:rsidR="00C41CD8" w:rsidRPr="61716D05">
        <w:rPr>
          <w:rFonts w:eastAsia="Times New Roman" w:cs="Arial"/>
        </w:rPr>
        <w:t xml:space="preserve"> </w:t>
      </w:r>
      <w:r w:rsidRPr="61716D05">
        <w:rPr>
          <w:rFonts w:eastAsia="Times New Roman" w:cs="Arial"/>
        </w:rPr>
        <w:t>multiple health programs. Through these systems, a practice will be able to register in the Organisation Register, participate in MyMedicare and register patients, identify preferred providers, and be able to access linked items and incentives.</w:t>
      </w:r>
    </w:p>
    <w:p w14:paraId="27569384" w14:textId="33C4540F" w:rsidR="00817CB4" w:rsidRPr="00DC743F" w:rsidRDefault="000A4424" w:rsidP="00DC743F">
      <w:pPr>
        <w:rPr>
          <w:rFonts w:eastAsia="Times New Roman" w:cs="Arial"/>
        </w:rPr>
      </w:pPr>
      <w:r w:rsidRPr="4452CF4B">
        <w:rPr>
          <w:rFonts w:eastAsia="Times New Roman" w:cs="Arial"/>
        </w:rPr>
        <w:t>The Organisation Register functionality was co-designed</w:t>
      </w:r>
      <w:r w:rsidR="0019526A" w:rsidRPr="4452CF4B">
        <w:rPr>
          <w:rFonts w:eastAsia="Times New Roman" w:cs="Arial"/>
        </w:rPr>
        <w:t xml:space="preserve"> </w:t>
      </w:r>
      <w:r w:rsidR="00C822BE" w:rsidRPr="4452CF4B">
        <w:rPr>
          <w:rFonts w:eastAsia="Times New Roman" w:cs="Arial"/>
        </w:rPr>
        <w:t>between</w:t>
      </w:r>
      <w:r w:rsidR="0019526A" w:rsidRPr="4452CF4B">
        <w:rPr>
          <w:rFonts w:eastAsia="Times New Roman" w:cs="Arial"/>
        </w:rPr>
        <w:t xml:space="preserve"> the Department of Health</w:t>
      </w:r>
      <w:r w:rsidR="001B7F53" w:rsidRPr="4452CF4B">
        <w:rPr>
          <w:rFonts w:eastAsia="Times New Roman" w:cs="Arial"/>
        </w:rPr>
        <w:t>, Disability and Ageing</w:t>
      </w:r>
      <w:r w:rsidR="00582FA9" w:rsidRPr="4452CF4B">
        <w:rPr>
          <w:rFonts w:eastAsia="Times New Roman" w:cs="Arial"/>
        </w:rPr>
        <w:t xml:space="preserve"> </w:t>
      </w:r>
      <w:r w:rsidR="00126556" w:rsidRPr="4452CF4B">
        <w:rPr>
          <w:rFonts w:eastAsia="Times New Roman" w:cs="Arial"/>
        </w:rPr>
        <w:t>(the department) and Services Australia</w:t>
      </w:r>
      <w:r w:rsidR="00E8667A" w:rsidRPr="4452CF4B">
        <w:rPr>
          <w:rFonts w:eastAsia="Times New Roman" w:cs="Arial"/>
        </w:rPr>
        <w:t xml:space="preserve">. It was </w:t>
      </w:r>
      <w:r w:rsidR="00126556" w:rsidRPr="4452CF4B">
        <w:rPr>
          <w:rFonts w:eastAsia="Times New Roman" w:cs="Arial"/>
        </w:rPr>
        <w:t>user-tested with providers and practice managers to ensure it meets current and future policy and user needs.</w:t>
      </w:r>
      <w:r w:rsidR="00817CB4" w:rsidRPr="4452CF4B">
        <w:rPr>
          <w:rFonts w:eastAsia="Times New Roman" w:cs="Arial"/>
        </w:rPr>
        <w:t xml:space="preserve"> </w:t>
      </w:r>
    </w:p>
    <w:p w14:paraId="725F5018" w14:textId="1D3F2299" w:rsidR="00F15BE6" w:rsidRDefault="002E43C4" w:rsidP="00F8718E">
      <w:pPr>
        <w:pStyle w:val="Heading2"/>
        <w:ind w:left="578" w:hanging="578"/>
      </w:pPr>
      <w:bookmarkStart w:id="25" w:name="_Toc214050997"/>
      <w:bookmarkStart w:id="26" w:name="_Toc216708089"/>
      <w:r>
        <w:t>Organisational Payment Capability</w:t>
      </w:r>
      <w:bookmarkEnd w:id="25"/>
      <w:bookmarkEnd w:id="26"/>
    </w:p>
    <w:p w14:paraId="6D7B530E" w14:textId="49E721E6" w:rsidR="002E43C4" w:rsidRDefault="002E43C4" w:rsidP="00DC743F">
      <w:r>
        <w:t xml:space="preserve">To </w:t>
      </w:r>
      <w:r w:rsidR="0070197A">
        <w:t xml:space="preserve">support </w:t>
      </w:r>
      <w:r>
        <w:t xml:space="preserve">funding reform </w:t>
      </w:r>
      <w:r w:rsidR="0070197A">
        <w:t>and enable</w:t>
      </w:r>
      <w:r>
        <w:t xml:space="preserve"> blended funding models </w:t>
      </w:r>
      <w:r w:rsidR="0070197A">
        <w:t>through MyMedicare</w:t>
      </w:r>
      <w:r w:rsidR="005D11F7">
        <w:t>,</w:t>
      </w:r>
      <w:r>
        <w:t xml:space="preserve"> an Organisational Payment Capability (OPC) was </w:t>
      </w:r>
      <w:r w:rsidR="006219D6">
        <w:t>developed</w:t>
      </w:r>
      <w:r>
        <w:t xml:space="preserve">. The OPC </w:t>
      </w:r>
      <w:r w:rsidR="004B4EF3">
        <w:t>system</w:t>
      </w:r>
      <w:r w:rsidR="004B4EF3" w:rsidDel="00163583">
        <w:t xml:space="preserve"> </w:t>
      </w:r>
      <w:r w:rsidR="004B4EF3">
        <w:t>manage</w:t>
      </w:r>
      <w:r w:rsidR="00163583">
        <w:t>s</w:t>
      </w:r>
      <w:r w:rsidR="004B4EF3">
        <w:t xml:space="preserve"> payments made directly to healthcare practices, combin</w:t>
      </w:r>
      <w:r w:rsidR="00DB314B">
        <w:t>ing different funding approaches like fee</w:t>
      </w:r>
      <w:r>
        <w:t xml:space="preserve"> for service and incentive payment</w:t>
      </w:r>
      <w:r w:rsidR="00C077FC">
        <w:t xml:space="preserve">s into a single </w:t>
      </w:r>
      <w:r>
        <w:t>blended model.</w:t>
      </w:r>
    </w:p>
    <w:p w14:paraId="26B47130" w14:textId="32FD1CC3" w:rsidR="00DB73E3" w:rsidRDefault="00C077FC" w:rsidP="00DC743F">
      <w:r w:rsidRPr="61716D05">
        <w:t xml:space="preserve">The </w:t>
      </w:r>
      <w:r w:rsidR="002E43C4" w:rsidRPr="61716D05">
        <w:t xml:space="preserve">OPC </w:t>
      </w:r>
      <w:r w:rsidRPr="61716D05">
        <w:t>works by</w:t>
      </w:r>
      <w:r w:rsidR="002E43C4" w:rsidRPr="61716D05">
        <w:t xml:space="preserve"> assess</w:t>
      </w:r>
      <w:r w:rsidRPr="61716D05">
        <w:t>ing whether a pract</w:t>
      </w:r>
      <w:r w:rsidR="00141457" w:rsidRPr="61716D05">
        <w:t>ice or provider is eligible for incentive payments</w:t>
      </w:r>
      <w:r w:rsidR="002E43C4" w:rsidRPr="61716D05">
        <w:t>, calculat</w:t>
      </w:r>
      <w:r w:rsidR="00141457" w:rsidRPr="61716D05">
        <w:t>ing the</w:t>
      </w:r>
      <w:r w:rsidR="002E43C4" w:rsidRPr="61716D05">
        <w:t xml:space="preserve"> payments, </w:t>
      </w:r>
      <w:r w:rsidR="00605168" w:rsidRPr="61716D05">
        <w:t xml:space="preserve">and </w:t>
      </w:r>
      <w:r w:rsidR="002E43C4" w:rsidRPr="61716D05">
        <w:t>forecast</w:t>
      </w:r>
      <w:r w:rsidR="00605168" w:rsidRPr="61716D05">
        <w:t>ing future eligibility based on program criteria and payment cycles</w:t>
      </w:r>
      <w:r w:rsidR="002E43C4" w:rsidRPr="61716D05">
        <w:t xml:space="preserve">. </w:t>
      </w:r>
      <w:r w:rsidR="00EE5FC7" w:rsidRPr="61716D05">
        <w:t xml:space="preserve">It also facilitates the delivery of payments to practices </w:t>
      </w:r>
      <w:r w:rsidR="00DB73E3" w:rsidRPr="61716D05">
        <w:t xml:space="preserve">and providers, ensuring they receive the correct funding. </w:t>
      </w:r>
    </w:p>
    <w:p w14:paraId="5C8626EF" w14:textId="141CD851" w:rsidR="001A5332" w:rsidRDefault="007D6E74" w:rsidP="001A5332">
      <w:pPr>
        <w:pStyle w:val="Heading2"/>
        <w:ind w:left="578" w:hanging="578"/>
      </w:pPr>
      <w:bookmarkStart w:id="27" w:name="_Toc214050998"/>
      <w:bookmarkStart w:id="28" w:name="_Toc216708090"/>
      <w:r>
        <w:lastRenderedPageBreak/>
        <w:t>Remoteness</w:t>
      </w:r>
      <w:r w:rsidR="00963AE1">
        <w:t xml:space="preserve"> classification</w:t>
      </w:r>
      <w:bookmarkEnd w:id="27"/>
      <w:bookmarkEnd w:id="28"/>
    </w:p>
    <w:p w14:paraId="50B5E3A4" w14:textId="436C71F8" w:rsidR="001E3C21" w:rsidRPr="002E43C4" w:rsidRDefault="00963AE1" w:rsidP="00877366">
      <w:r>
        <w:rPr>
          <w:lang w:eastAsia="en-AU"/>
        </w:rPr>
        <w:t xml:space="preserve">MyMedicare uses the </w:t>
      </w:r>
      <w:hyperlink r:id="rId15">
        <w:r w:rsidR="007D6E74" w:rsidRPr="61716D05">
          <w:rPr>
            <w:rStyle w:val="Hyperlink"/>
            <w:lang w:eastAsia="en-AU"/>
          </w:rPr>
          <w:t>Modified Monash Model</w:t>
        </w:r>
      </w:hyperlink>
      <w:r w:rsidR="007D6E74" w:rsidRPr="61716D05">
        <w:rPr>
          <w:lang w:eastAsia="en-AU"/>
        </w:rPr>
        <w:t xml:space="preserve"> (MMM) </w:t>
      </w:r>
      <w:r>
        <w:rPr>
          <w:lang w:eastAsia="en-AU"/>
        </w:rPr>
        <w:t xml:space="preserve">to </w:t>
      </w:r>
      <w:r w:rsidR="007D6E74" w:rsidRPr="61716D05">
        <w:rPr>
          <w:lang w:eastAsia="en-AU"/>
        </w:rPr>
        <w:t>d</w:t>
      </w:r>
      <w:r w:rsidR="001429BF">
        <w:rPr>
          <w:lang w:eastAsia="en-AU"/>
        </w:rPr>
        <w:t>etermine</w:t>
      </w:r>
      <w:r w:rsidR="007D6E74" w:rsidRPr="61716D05">
        <w:rPr>
          <w:lang w:eastAsia="en-AU"/>
        </w:rPr>
        <w:t xml:space="preserve"> whether a location is metropolitan, rural or very remote. The model measures remoteness and population size on a scale of categories from 1 to 7. MMM1 is major city and MMM7 is very remote. </w:t>
      </w:r>
    </w:p>
    <w:p w14:paraId="291AF43F" w14:textId="3B9FE4B8" w:rsidR="00817CB4" w:rsidRPr="00736170" w:rsidRDefault="00AE776C" w:rsidP="00C6100D">
      <w:pPr>
        <w:pStyle w:val="ListBullet"/>
        <w:tabs>
          <w:tab w:val="clear" w:pos="360"/>
          <w:tab w:val="num" w:pos="1074"/>
        </w:tabs>
        <w:ind w:left="714" w:hanging="357"/>
        <w:contextualSpacing w:val="0"/>
        <w:rPr>
          <w:rFonts w:cs="Arial"/>
        </w:rPr>
      </w:pPr>
      <w:r w:rsidRPr="165438EC">
        <w:rPr>
          <w:rFonts w:cs="Arial"/>
        </w:rPr>
        <w:t xml:space="preserve">have at least one eligible </w:t>
      </w:r>
      <w:r w:rsidR="00401EC9" w:rsidRPr="165438EC">
        <w:rPr>
          <w:rFonts w:cs="Arial"/>
        </w:rPr>
        <w:t>GP linked to the practice in the Organisation Register.</w:t>
      </w:r>
      <w:r w:rsidR="00CC54CF" w:rsidRPr="165438EC">
        <w:rPr>
          <w:rFonts w:cs="Arial"/>
        </w:rPr>
        <w:t xml:space="preserve"> </w:t>
      </w:r>
    </w:p>
    <w:p w14:paraId="3F0B9FE9" w14:textId="77777777" w:rsidR="00AB2C3D" w:rsidRDefault="00AB2C3D" w:rsidP="0095488A">
      <w:pPr>
        <w:pStyle w:val="Heading2"/>
        <w:ind w:left="578" w:hanging="578"/>
      </w:pPr>
      <w:bookmarkStart w:id="29" w:name="_Toc214051002"/>
      <w:bookmarkStart w:id="30" w:name="_Toc216708091"/>
      <w:r>
        <w:t>Practice Type</w:t>
      </w:r>
      <w:bookmarkEnd w:id="29"/>
      <w:bookmarkEnd w:id="30"/>
    </w:p>
    <w:p w14:paraId="3C0284A3" w14:textId="26B2B19F" w:rsidR="00AB2C3D" w:rsidRDefault="00AB2C3D" w:rsidP="00A61B8D">
      <w:r w:rsidRPr="61716D05">
        <w:t>Practices registering for MyMedicare will be required to define their practice type.</w:t>
      </w:r>
      <w:r w:rsidR="00D15DB7" w:rsidRPr="61716D05">
        <w:t xml:space="preserve"> </w:t>
      </w:r>
      <w:r w:rsidRPr="61716D05">
        <w:t>Practice type refers to the main function for that practice consistent with the defined model of general practice described in the RACGP definition</w:t>
      </w:r>
      <w:r w:rsidRPr="61716D05">
        <w:rPr>
          <w:rStyle w:val="FootnoteReference"/>
        </w:rPr>
        <w:footnoteReference w:id="3"/>
      </w:r>
      <w:r w:rsidRPr="61716D05">
        <w:t>. For example, t</w:t>
      </w:r>
      <w:r w:rsidR="00D358F8" w:rsidRPr="61716D05">
        <w:t>he practice</w:t>
      </w:r>
      <w:r w:rsidRPr="61716D05">
        <w:t xml:space="preserve"> provides comprehensive, patient-centred, whole</w:t>
      </w:r>
      <w:r w:rsidR="00CB2F86" w:rsidRPr="61716D05">
        <w:t xml:space="preserve"> </w:t>
      </w:r>
      <w:r w:rsidRPr="61716D05">
        <w:t xml:space="preserve">person and continuous care, and its services must be predominantly of a general practice nature. </w:t>
      </w:r>
    </w:p>
    <w:p w14:paraId="47A736A2" w14:textId="57FA4977" w:rsidR="00AB2C3D" w:rsidRDefault="000E23AB" w:rsidP="00A61B8D">
      <w:r>
        <w:t>T</w:t>
      </w:r>
      <w:r w:rsidR="00AB2C3D">
        <w:t>he practice type should be applied using the below definitions of general practice types for MyMedicare.</w:t>
      </w:r>
    </w:p>
    <w:p w14:paraId="74E7C163" w14:textId="77777777" w:rsidR="00AB2C3D" w:rsidRDefault="00AB2C3D" w:rsidP="00A61B8D">
      <w:pPr>
        <w:pStyle w:val="Heading3"/>
      </w:pPr>
      <w:bookmarkStart w:id="31" w:name="_Toc216708092"/>
      <w:r>
        <w:t>General Practice</w:t>
      </w:r>
      <w:bookmarkEnd w:id="31"/>
    </w:p>
    <w:p w14:paraId="79F2D950" w14:textId="77777777" w:rsidR="00AB2C3D" w:rsidRDefault="00AB2C3D" w:rsidP="61716D05">
      <w:r w:rsidRPr="61716D05">
        <w:t>A general practice that provides patient-centred, continuing, comprehensive, coordinated primary health care to individuals, families and communities within a fixed, physical location, often referred to as ‘bricks-and-mortar’.</w:t>
      </w:r>
    </w:p>
    <w:p w14:paraId="7487D70F" w14:textId="3CA6A4FB" w:rsidR="00AB2C3D" w:rsidRDefault="00AB2C3D" w:rsidP="009C35C5">
      <w:pPr>
        <w:pStyle w:val="Heading3"/>
      </w:pPr>
      <w:bookmarkStart w:id="32" w:name="_Toc216708093"/>
      <w:r>
        <w:t>Aboriginal Community Controlled Healthcare Service</w:t>
      </w:r>
      <w:r w:rsidR="00CD0B7D">
        <w:t xml:space="preserve"> (ACCHS)</w:t>
      </w:r>
      <w:bookmarkEnd w:id="32"/>
    </w:p>
    <w:p w14:paraId="1A52442D" w14:textId="0660D74F" w:rsidR="00AB2C3D" w:rsidRDefault="00AB2C3D" w:rsidP="009C35C5">
      <w:r w:rsidRPr="61716D05">
        <w:t xml:space="preserve">An ACCHS </w:t>
      </w:r>
      <w:r w:rsidR="000A1B8B">
        <w:t>is</w:t>
      </w:r>
      <w:r w:rsidR="008876B3">
        <w:t xml:space="preserve"> a</w:t>
      </w:r>
      <w:r w:rsidR="00AA1038">
        <w:t xml:space="preserve"> community-run primary health service that provides </w:t>
      </w:r>
      <w:r w:rsidRPr="61716D05">
        <w:t>comprehensive,</w:t>
      </w:r>
      <w:r w:rsidRPr="61716D05" w:rsidDel="00AA1038">
        <w:t xml:space="preserve"> </w:t>
      </w:r>
      <w:r w:rsidRPr="61716D05">
        <w:t xml:space="preserve">culturally </w:t>
      </w:r>
      <w:r w:rsidR="00AA1038">
        <w:t>informed</w:t>
      </w:r>
      <w:r w:rsidRPr="61716D05">
        <w:t xml:space="preserve"> health care to </w:t>
      </w:r>
      <w:r w:rsidR="00315347">
        <w:t xml:space="preserve">Aboriginal and Torres Strait Islander people. </w:t>
      </w:r>
    </w:p>
    <w:p w14:paraId="610E3136" w14:textId="705D2949" w:rsidR="00AB2C3D" w:rsidRDefault="00AB2C3D" w:rsidP="009C35C5">
      <w:pPr>
        <w:pStyle w:val="Heading3"/>
      </w:pPr>
      <w:bookmarkStart w:id="33" w:name="_Toc216708094"/>
      <w:r>
        <w:t xml:space="preserve">Aboriginal Medical Service </w:t>
      </w:r>
      <w:r w:rsidR="00CD0B7D">
        <w:t>(AMS)</w:t>
      </w:r>
      <w:bookmarkEnd w:id="33"/>
    </w:p>
    <w:p w14:paraId="7882CDAA" w14:textId="12132C26" w:rsidR="00AB2C3D" w:rsidRDefault="00AB2C3D" w:rsidP="009C35C5">
      <w:r w:rsidRPr="61716D05">
        <w:t xml:space="preserve">An AMS </w:t>
      </w:r>
      <w:r w:rsidR="00877BD5">
        <w:t xml:space="preserve">is a primary </w:t>
      </w:r>
      <w:r w:rsidR="000B2F0B">
        <w:t xml:space="preserve">health service that </w:t>
      </w:r>
      <w:r w:rsidR="00066AF0">
        <w:t xml:space="preserve">specialises in </w:t>
      </w:r>
      <w:r w:rsidR="107A1203">
        <w:t>provid</w:t>
      </w:r>
      <w:r w:rsidR="4B440475">
        <w:t>ing</w:t>
      </w:r>
      <w:r w:rsidRPr="61716D05">
        <w:t xml:space="preserve"> comprehensive, and culturally </w:t>
      </w:r>
      <w:r w:rsidR="4B440475">
        <w:t>informed</w:t>
      </w:r>
      <w:r w:rsidRPr="61716D05">
        <w:t xml:space="preserve"> health care to </w:t>
      </w:r>
      <w:r w:rsidR="009519D0">
        <w:t xml:space="preserve">Aboriginal and Torres Strait Islander people. </w:t>
      </w:r>
    </w:p>
    <w:p w14:paraId="4D18E5EC" w14:textId="77777777" w:rsidR="00AB2C3D" w:rsidRDefault="00AB2C3D" w:rsidP="00520BB8">
      <w:pPr>
        <w:pStyle w:val="Heading3"/>
      </w:pPr>
      <w:bookmarkStart w:id="34" w:name="_Toc216708095"/>
      <w:r>
        <w:t>Mobile Practice</w:t>
      </w:r>
      <w:bookmarkEnd w:id="34"/>
    </w:p>
    <w:p w14:paraId="4F396F9E" w14:textId="2E698F66" w:rsidR="00AB2C3D" w:rsidRDefault="00AB2C3D" w:rsidP="009C35C5">
      <w:r w:rsidRPr="61716D05">
        <w:t>A mobile practice provides patient-centred, continuing, comprehensive, coordinated primary health care without a dedicated physical premises</w:t>
      </w:r>
      <w:r w:rsidR="00753168">
        <w:t>. It</w:t>
      </w:r>
      <w:r w:rsidR="00FB4C6C" w:rsidRPr="61716D05">
        <w:t xml:space="preserve"> provides </w:t>
      </w:r>
      <w:r w:rsidRPr="61716D05">
        <w:t xml:space="preserve">services </w:t>
      </w:r>
      <w:r w:rsidR="00E90888" w:rsidRPr="61716D05">
        <w:t>and</w:t>
      </w:r>
      <w:r w:rsidRPr="61716D05">
        <w:t xml:space="preserve"> conduct</w:t>
      </w:r>
      <w:r w:rsidR="002461B3" w:rsidRPr="61716D05">
        <w:t>s</w:t>
      </w:r>
      <w:r w:rsidRPr="61716D05">
        <w:t xml:space="preserve"> consultations at multiple locations.</w:t>
      </w:r>
    </w:p>
    <w:p w14:paraId="697BD4EA" w14:textId="77777777" w:rsidR="00AB2C3D" w:rsidRDefault="00AB2C3D" w:rsidP="00520BB8">
      <w:pPr>
        <w:pStyle w:val="Heading3"/>
      </w:pPr>
      <w:bookmarkStart w:id="35" w:name="_Toc216708096"/>
      <w:r>
        <w:t>Outreach Practice</w:t>
      </w:r>
      <w:bookmarkEnd w:id="35"/>
    </w:p>
    <w:p w14:paraId="4EA41103" w14:textId="14EE8496" w:rsidR="00AB2C3D" w:rsidRDefault="00E06E79" w:rsidP="00BC170B">
      <w:r w:rsidRPr="00E06E79">
        <w:t>An outreach practice does not have a traditional ‘bricks and mortar’ practice location and provides health care services to people living in regional, rural and remote communities</w:t>
      </w:r>
      <w:r w:rsidRPr="00E06E79" w:rsidDel="00E06E79">
        <w:t>.</w:t>
      </w:r>
      <w:r w:rsidR="00AB2C3D">
        <w:t xml:space="preserve"> It brings outreach prima</w:t>
      </w:r>
      <w:r w:rsidR="00221978">
        <w:t>r</w:t>
      </w:r>
      <w:r w:rsidR="00AB2C3D">
        <w:t>y health care to patients where they live or spend time.</w:t>
      </w:r>
    </w:p>
    <w:p w14:paraId="072D9189" w14:textId="77777777" w:rsidR="00AB2C3D" w:rsidRDefault="00AB2C3D" w:rsidP="00520BB8">
      <w:pPr>
        <w:pStyle w:val="Heading3"/>
      </w:pPr>
      <w:bookmarkStart w:id="36" w:name="_Toc216708097"/>
      <w:r>
        <w:t>Sole Provider Practice</w:t>
      </w:r>
      <w:bookmarkEnd w:id="36"/>
    </w:p>
    <w:p w14:paraId="7A34E864" w14:textId="6972F6E9" w:rsidR="00AB2C3D" w:rsidRDefault="00AB2C3D" w:rsidP="00AB2C3D">
      <w:r w:rsidRPr="61716D05">
        <w:t xml:space="preserve">Independent GPs and sole practitioners provide patient-centred, continuing, comprehensive, coordinated primary health care to individuals, families and communities, either within a fixed, </w:t>
      </w:r>
      <w:r w:rsidRPr="61716D05">
        <w:lastRenderedPageBreak/>
        <w:t xml:space="preserve">physical location or without a dedicated physical premise </w:t>
      </w:r>
      <w:r w:rsidR="006B1632" w:rsidRPr="61716D05">
        <w:t xml:space="preserve">but that provide </w:t>
      </w:r>
      <w:r w:rsidRPr="61716D05">
        <w:t>services that conduct consultations at multiple locations.</w:t>
      </w:r>
    </w:p>
    <w:p w14:paraId="5AC44A4C" w14:textId="65BAA5B3" w:rsidR="00AB2C3D" w:rsidRDefault="00AB2C3D" w:rsidP="00415CC1">
      <w:pPr>
        <w:pStyle w:val="Heading3"/>
      </w:pPr>
      <w:bookmarkStart w:id="37" w:name="_Toc216708098"/>
      <w:r>
        <w:t xml:space="preserve">Nurse </w:t>
      </w:r>
      <w:r w:rsidRPr="00415CC1">
        <w:t>Practitioner</w:t>
      </w:r>
      <w:r w:rsidR="00C645F4">
        <w:t xml:space="preserve"> </w:t>
      </w:r>
      <w:r w:rsidR="3ED26A7A">
        <w:t>within</w:t>
      </w:r>
      <w:r>
        <w:t xml:space="preserve"> GP</w:t>
      </w:r>
      <w:r w:rsidR="4A55C1C3">
        <w:t>-led team</w:t>
      </w:r>
      <w:bookmarkEnd w:id="37"/>
    </w:p>
    <w:p w14:paraId="37633D1F" w14:textId="49D811FD" w:rsidR="00AB2C3D" w:rsidRPr="008D6828" w:rsidRDefault="00AB2C3D" w:rsidP="00F45958">
      <w:r>
        <w:t xml:space="preserve">A </w:t>
      </w:r>
      <w:r w:rsidR="00F82A44">
        <w:t xml:space="preserve">general practice </w:t>
      </w:r>
      <w:r>
        <w:t xml:space="preserve">nurse practitioner consults and works collaboratively as part of a GP-led </w:t>
      </w:r>
      <w:r w:rsidR="004C2C98">
        <w:t xml:space="preserve">multidisciplinary care </w:t>
      </w:r>
      <w:r>
        <w:t>team delivering coordinate</w:t>
      </w:r>
      <w:r w:rsidR="00F65EF1">
        <w:t>d</w:t>
      </w:r>
      <w:r>
        <w:t xml:space="preserve"> primary health care to patients. </w:t>
      </w:r>
    </w:p>
    <w:p w14:paraId="099323B2" w14:textId="08529E63" w:rsidR="292F0090" w:rsidRDefault="292F0090" w:rsidP="71CB847D">
      <w:pPr>
        <w:pStyle w:val="Heading1"/>
      </w:pPr>
      <w:bookmarkStart w:id="38" w:name="_Toc216708099"/>
      <w:r>
        <w:t>Eligibility to participate in MyMedicare</w:t>
      </w:r>
      <w:bookmarkEnd w:id="38"/>
    </w:p>
    <w:p w14:paraId="63B1EC74" w14:textId="3246E68D" w:rsidR="292F0090" w:rsidRDefault="292F0090" w:rsidP="71CB847D">
      <w:pPr>
        <w:rPr>
          <w:rFonts w:eastAsia="Times New Roman"/>
        </w:rPr>
      </w:pPr>
      <w:r w:rsidRPr="71CB847D">
        <w:rPr>
          <w:rFonts w:eastAsia="Times New Roman"/>
        </w:rPr>
        <w:t xml:space="preserve">Participation in MyMedicare is voluntary and open to patients, practices and providers who meet the MyMedicare eligibility criteria. This section sets out these eligibility requirements. </w:t>
      </w:r>
    </w:p>
    <w:p w14:paraId="67625A3E" w14:textId="7ED350A6" w:rsidR="292F0090" w:rsidRDefault="292F0090" w:rsidP="71CB847D">
      <w:pPr>
        <w:pStyle w:val="Heading2"/>
        <w:ind w:left="578" w:hanging="578"/>
      </w:pPr>
      <w:bookmarkStart w:id="39" w:name="_Toc216708100"/>
      <w:r>
        <w:t>Practice eligibility</w:t>
      </w:r>
      <w:bookmarkEnd w:id="39"/>
    </w:p>
    <w:p w14:paraId="51591537" w14:textId="0F7DF8BD" w:rsidR="292F0090" w:rsidRDefault="292F0090">
      <w:r>
        <w:t>To participate in MyMedicare practices must:</w:t>
      </w:r>
    </w:p>
    <w:p w14:paraId="01E503A6" w14:textId="01E7EB22" w:rsidR="292F0090" w:rsidRDefault="292F0090" w:rsidP="71CB847D">
      <w:pPr>
        <w:pStyle w:val="ListBullet"/>
        <w:tabs>
          <w:tab w:val="clear" w:pos="360"/>
          <w:tab w:val="num" w:pos="1074"/>
        </w:tabs>
        <w:ind w:left="714" w:hanging="357"/>
        <w:contextualSpacing w:val="0"/>
        <w:rPr>
          <w:rFonts w:cs="Arial"/>
        </w:rPr>
      </w:pPr>
      <w:r w:rsidRPr="71CB847D">
        <w:rPr>
          <w:rFonts w:cs="Arial"/>
        </w:rPr>
        <w:t>provide Medicare Benefits Schedule (MBS) services</w:t>
      </w:r>
    </w:p>
    <w:p w14:paraId="558A7663" w14:textId="5F9682ED" w:rsidR="292F0090" w:rsidRDefault="292F0090" w:rsidP="71CB847D">
      <w:pPr>
        <w:pStyle w:val="ListBullet"/>
        <w:tabs>
          <w:tab w:val="clear" w:pos="360"/>
          <w:tab w:val="num" w:pos="1074"/>
        </w:tabs>
        <w:ind w:left="714" w:hanging="357"/>
        <w:contextualSpacing w:val="0"/>
        <w:rPr>
          <w:rFonts w:cs="Arial"/>
        </w:rPr>
      </w:pPr>
      <w:r w:rsidRPr="71CB847D">
        <w:rPr>
          <w:rFonts w:cs="Arial"/>
        </w:rPr>
        <w:t>be registered in the following Services Australia systems:</w:t>
      </w:r>
    </w:p>
    <w:p w14:paraId="64E5BC10" w14:textId="7FC0EB89" w:rsidR="292F0090" w:rsidRDefault="292F0090" w:rsidP="71CB847D">
      <w:pPr>
        <w:pStyle w:val="Bullet3"/>
        <w:spacing w:before="120"/>
      </w:pPr>
      <w:r>
        <w:t>Provider Digital Access (PRODA)</w:t>
      </w:r>
    </w:p>
    <w:p w14:paraId="565308FF" w14:textId="40F5E9C3" w:rsidR="292F0090" w:rsidRDefault="292F0090" w:rsidP="71CB847D">
      <w:pPr>
        <w:pStyle w:val="Bullet3"/>
        <w:spacing w:before="120"/>
      </w:pPr>
      <w:r>
        <w:t>Health Professional Online Services (HPOS)</w:t>
      </w:r>
    </w:p>
    <w:p w14:paraId="0ADF9B48" w14:textId="326B9A9A" w:rsidR="292F0090" w:rsidRDefault="292F0090" w:rsidP="71CB847D">
      <w:pPr>
        <w:pStyle w:val="Bullet3"/>
        <w:spacing w:before="120"/>
      </w:pPr>
      <w:r>
        <w:t xml:space="preserve">the </w:t>
      </w:r>
      <w:hyperlink r:id="rId16">
        <w:r w:rsidRPr="71CB847D">
          <w:rPr>
            <w:rStyle w:val="Hyperlink"/>
          </w:rPr>
          <w:t>Organisation Register</w:t>
        </w:r>
      </w:hyperlink>
    </w:p>
    <w:p w14:paraId="11B652FA" w14:textId="6516C841" w:rsidR="292F0090" w:rsidRDefault="292F0090" w:rsidP="71CB847D">
      <w:pPr>
        <w:pStyle w:val="ListBullet"/>
        <w:tabs>
          <w:tab w:val="clear" w:pos="360"/>
          <w:tab w:val="num" w:pos="1074"/>
        </w:tabs>
        <w:ind w:left="714" w:hanging="357"/>
        <w:contextualSpacing w:val="0"/>
        <w:rPr>
          <w:rFonts w:cs="Arial"/>
        </w:rPr>
      </w:pPr>
      <w:r w:rsidRPr="71CB847D">
        <w:rPr>
          <w:rFonts w:cs="Arial"/>
        </w:rPr>
        <w:t xml:space="preserve">be accredited or registered for accreditation, as a general practice against the </w:t>
      </w:r>
      <w:hyperlink r:id="rId17">
        <w:r w:rsidRPr="71CB847D">
          <w:rPr>
            <w:rFonts w:cs="Arial"/>
          </w:rPr>
          <w:t>National General Practice Accreditation Scheme.</w:t>
        </w:r>
      </w:hyperlink>
      <w:r w:rsidRPr="71CB847D">
        <w:rPr>
          <w:rFonts w:cs="Arial"/>
        </w:rPr>
        <w:t xml:space="preserve"> </w:t>
      </w:r>
    </w:p>
    <w:p w14:paraId="20B4CDB5" w14:textId="77777777" w:rsidR="292F0090" w:rsidRDefault="292F0090" w:rsidP="71CB847D">
      <w:pPr>
        <w:pStyle w:val="Bullet3"/>
        <w:spacing w:before="120"/>
      </w:pPr>
      <w:r>
        <w:t>If registered for accreditation, be accredited against the Royal Australian College of General Practice (RACGP) Standards within 12 months of registering for MyMedicare.</w:t>
      </w:r>
    </w:p>
    <w:p w14:paraId="33079471" w14:textId="72A100B1" w:rsidR="292F0090" w:rsidRDefault="292F0090" w:rsidP="71CB847D">
      <w:pPr>
        <w:pStyle w:val="Bullet3"/>
        <w:spacing w:before="120"/>
      </w:pPr>
      <w:r>
        <w:t>Accreditation exemptions are available to select practice types as outlined at Section 4.</w:t>
      </w:r>
    </w:p>
    <w:p w14:paraId="58DA4712" w14:textId="6B2AB409" w:rsidR="00525B72" w:rsidRDefault="00525B72" w:rsidP="00525B72">
      <w:pPr>
        <w:pStyle w:val="Heading1"/>
      </w:pPr>
      <w:bookmarkStart w:id="40" w:name="_Toc178175631"/>
      <w:bookmarkStart w:id="41" w:name="_Hub_and_Spoke"/>
      <w:bookmarkStart w:id="42" w:name="_Ref182484276"/>
      <w:bookmarkStart w:id="43" w:name="_Toc214051003"/>
      <w:bookmarkStart w:id="44" w:name="_Toc216708101"/>
      <w:bookmarkEnd w:id="40"/>
      <w:bookmarkEnd w:id="41"/>
      <w:r>
        <w:t xml:space="preserve">Hub </w:t>
      </w:r>
      <w:r w:rsidR="00EB744F">
        <w:t>and Spoke</w:t>
      </w:r>
      <w:r w:rsidR="003072E8">
        <w:t xml:space="preserve"> model</w:t>
      </w:r>
      <w:bookmarkEnd w:id="42"/>
      <w:bookmarkEnd w:id="43"/>
      <w:bookmarkEnd w:id="44"/>
    </w:p>
    <w:p w14:paraId="4EE60649" w14:textId="071DF6F1" w:rsidR="003072E8" w:rsidRPr="00877366" w:rsidRDefault="00BF28D4" w:rsidP="00877366">
      <w:r w:rsidRPr="00877366">
        <w:t xml:space="preserve">ACCHS and AMS can choose to register their organisation sites under the ‘Hub and Spoke’ model. Practices operating under this model are considered as a </w:t>
      </w:r>
      <w:r w:rsidR="6D906EF6">
        <w:t>le</w:t>
      </w:r>
      <w:r w:rsidR="000C2624" w:rsidRPr="00877366">
        <w:t xml:space="preserve"> </w:t>
      </w:r>
      <w:r w:rsidRPr="00877366">
        <w:t>organisation for purposes of MyMedicare Patient Registration. </w:t>
      </w:r>
    </w:p>
    <w:p w14:paraId="035152AC" w14:textId="156CA18B" w:rsidR="00BF28D4" w:rsidRPr="00877366" w:rsidRDefault="00BF28F8" w:rsidP="00877366">
      <w:r w:rsidRPr="00877366">
        <w:t>The standard structure of the MyMedicare registration process has each practice set up as an Organisation Site under a parent Organisation. A patient can only be registered at one Organisation Site at a time, and the patient is only eligible for MyMedicare at the Organisation Site where they are registered.</w:t>
      </w:r>
    </w:p>
    <w:p w14:paraId="7706B4A7" w14:textId="38F97860" w:rsidR="00BF28F8" w:rsidRPr="00877366" w:rsidRDefault="00D84A4F" w:rsidP="00877366">
      <w:r w:rsidRPr="00877366">
        <w:t xml:space="preserve">Under the hub and spoke model, there is a single Organisation Site (Hub) registered, and additional clinics/practices are set up as Service Locations (Spokes). </w:t>
      </w:r>
      <w:r w:rsidR="00DA4761" w:rsidRPr="00877366">
        <w:t>Th</w:t>
      </w:r>
      <w:r w:rsidRPr="00877366">
        <w:t>e spoke location/s operate as an extension of the practice (Hub</w:t>
      </w:r>
      <w:r w:rsidR="009927C8" w:rsidRPr="00877366">
        <w:t>) and</w:t>
      </w:r>
      <w:r w:rsidRPr="00877366">
        <w:t xml:space="preserve"> may operate on a part-time or </w:t>
      </w:r>
      <w:r w:rsidR="00311FBD" w:rsidRPr="00877366">
        <w:t>full-time</w:t>
      </w:r>
      <w:r w:rsidRPr="00877366">
        <w:t xml:space="preserve"> basis.</w:t>
      </w:r>
    </w:p>
    <w:p w14:paraId="29C7195E" w14:textId="06652508" w:rsidR="009927C8" w:rsidRPr="00877366" w:rsidRDefault="009927C8" w:rsidP="00877366">
      <w:r w:rsidRPr="00877366">
        <w:lastRenderedPageBreak/>
        <w:t xml:space="preserve">ACCHS and AMS practices can choose to add other regular service locations that are not spoke sites. By selecting ‘mobile’ as a service type, it will enable practices to add additional locations </w:t>
      </w:r>
      <w:r w:rsidR="51EB7BC5">
        <w:t>hat</w:t>
      </w:r>
      <w:r w:rsidRPr="00877366">
        <w:t xml:space="preserve"> are not spoke sites. </w:t>
      </w:r>
    </w:p>
    <w:p w14:paraId="5624FE3E" w14:textId="4138AF4A" w:rsidR="009927C8" w:rsidRDefault="00F13A84" w:rsidP="61716D05">
      <w:pPr>
        <w:rPr>
          <w:rFonts w:eastAsia="Times New Roman"/>
          <w:lang w:eastAsia="en-AU"/>
        </w:rPr>
      </w:pPr>
      <w:r w:rsidRPr="61716D05">
        <w:rPr>
          <w:rFonts w:eastAsia="Times New Roman"/>
          <w:lang w:eastAsia="en-AU"/>
        </w:rPr>
        <w:t>Under this model</w:t>
      </w:r>
      <w:r w:rsidR="00505CEE" w:rsidRPr="61716D05">
        <w:rPr>
          <w:rFonts w:eastAsia="Times New Roman"/>
          <w:lang w:eastAsia="en-AU"/>
        </w:rPr>
        <w:t>, p</w:t>
      </w:r>
      <w:r w:rsidR="009927C8" w:rsidRPr="61716D05">
        <w:rPr>
          <w:rFonts w:eastAsia="Times New Roman"/>
          <w:lang w:eastAsia="en-AU"/>
        </w:rPr>
        <w:t>atients registered for MyMedicare at the ‘Hub’ Organisation Site will be MyMedicare eligible both at the Hub and Spoke locations</w:t>
      </w:r>
      <w:r w:rsidR="009927C8" w:rsidRPr="1F46A986">
        <w:rPr>
          <w:rFonts w:eastAsia="Times New Roman"/>
          <w:lang w:eastAsia="en-AU"/>
        </w:rPr>
        <w:t>.</w:t>
      </w:r>
      <w:r w:rsidR="009927C8" w:rsidRPr="61716D05">
        <w:rPr>
          <w:rFonts w:eastAsia="Times New Roman"/>
          <w:lang w:eastAsia="en-AU"/>
        </w:rPr>
        <w:t xml:space="preserve"> Each AMS and ACCHS has a choice if this hub and spoke model is appropriate for them.</w:t>
      </w:r>
    </w:p>
    <w:p w14:paraId="75054FC7" w14:textId="69DC9901" w:rsidR="008A7872" w:rsidRPr="00742F75" w:rsidRDefault="008A7872" w:rsidP="00742F75">
      <w:pPr>
        <w:pStyle w:val="ListBullet"/>
        <w:tabs>
          <w:tab w:val="clear" w:pos="360"/>
          <w:tab w:val="num" w:pos="1074"/>
        </w:tabs>
        <w:spacing w:before="60" w:after="60"/>
        <w:ind w:left="714" w:hanging="357"/>
        <w:contextualSpacing w:val="0"/>
        <w:rPr>
          <w:rFonts w:cs="Arial"/>
        </w:rPr>
      </w:pPr>
      <w:r w:rsidRPr="165438EC">
        <w:rPr>
          <w:rFonts w:cs="Arial"/>
        </w:rPr>
        <w:t>In the Organisation Register, patients register with the “</w:t>
      </w:r>
      <w:r w:rsidR="00C62344" w:rsidRPr="165438EC">
        <w:rPr>
          <w:rFonts w:cs="Arial"/>
        </w:rPr>
        <w:t>H</w:t>
      </w:r>
      <w:r w:rsidRPr="165438EC">
        <w:rPr>
          <w:rFonts w:cs="Arial"/>
        </w:rPr>
        <w:t>ub” rather than with the “</w:t>
      </w:r>
      <w:r w:rsidR="00C62344" w:rsidRPr="165438EC">
        <w:rPr>
          <w:rFonts w:cs="Arial"/>
        </w:rPr>
        <w:t>S</w:t>
      </w:r>
      <w:r w:rsidRPr="165438EC">
        <w:rPr>
          <w:rFonts w:cs="Arial"/>
        </w:rPr>
        <w:t>poke</w:t>
      </w:r>
      <w:r w:rsidR="007A1FBC" w:rsidRPr="165438EC">
        <w:rPr>
          <w:rFonts w:cs="Arial"/>
        </w:rPr>
        <w:t>.”</w:t>
      </w:r>
    </w:p>
    <w:p w14:paraId="67D278C1" w14:textId="77777777" w:rsidR="008A7872" w:rsidRPr="00742F75" w:rsidRDefault="008A7872" w:rsidP="00742F75">
      <w:pPr>
        <w:pStyle w:val="ListBullet"/>
        <w:tabs>
          <w:tab w:val="clear" w:pos="360"/>
          <w:tab w:val="num" w:pos="1074"/>
        </w:tabs>
        <w:spacing w:before="60" w:after="60"/>
        <w:ind w:left="714" w:hanging="357"/>
        <w:contextualSpacing w:val="0"/>
        <w:rPr>
          <w:rFonts w:cs="Arial"/>
        </w:rPr>
      </w:pPr>
      <w:r w:rsidRPr="165438EC">
        <w:rPr>
          <w:rFonts w:cs="Arial"/>
        </w:rPr>
        <w:t>Patients can access MyMedicare MBS items from any eligible GP linked to the hub at either the hub or any of its spoke locations.    </w:t>
      </w:r>
    </w:p>
    <w:p w14:paraId="106F80DF" w14:textId="77777777" w:rsidR="008A7872" w:rsidRPr="008A7872" w:rsidRDefault="008A7872" w:rsidP="00AC0C69">
      <w:pPr>
        <w:spacing w:before="0" w:after="0" w:line="240" w:lineRule="auto"/>
        <w:textAlignment w:val="baseline"/>
        <w:rPr>
          <w:rFonts w:ascii="Segoe UI" w:eastAsia="Times New Roman" w:hAnsi="Segoe UI" w:cs="Segoe UI"/>
          <w:color w:val="auto"/>
          <w:sz w:val="18"/>
          <w:szCs w:val="18"/>
          <w:lang w:eastAsia="en-AU"/>
        </w:rPr>
      </w:pPr>
      <w:r w:rsidRPr="008A7872">
        <w:rPr>
          <w:rFonts w:eastAsia="Times New Roman" w:cs="Arial"/>
          <w:color w:val="000000"/>
          <w:szCs w:val="22"/>
          <w:lang w:eastAsia="en-AU"/>
        </w:rPr>
        <w:t>The MyMedicare registration criteria for ACCHS and AMS practices and patients under the hub and spoke model is as follows:   </w:t>
      </w:r>
    </w:p>
    <w:p w14:paraId="20AFAF0D" w14:textId="77777777" w:rsidR="008A7872" w:rsidRPr="00742F75" w:rsidRDefault="008A7872" w:rsidP="00742F75">
      <w:pPr>
        <w:pStyle w:val="ListBullet"/>
        <w:tabs>
          <w:tab w:val="clear" w:pos="360"/>
          <w:tab w:val="num" w:pos="1074"/>
        </w:tabs>
        <w:spacing w:before="60" w:after="60"/>
        <w:ind w:left="714" w:hanging="357"/>
        <w:contextualSpacing w:val="0"/>
        <w:rPr>
          <w:rFonts w:cs="Arial"/>
        </w:rPr>
      </w:pPr>
      <w:r w:rsidRPr="165438EC">
        <w:rPr>
          <w:rFonts w:cs="Arial"/>
        </w:rPr>
        <w:t>Practices must register in Provider Digital Access (PRODA), Health Professional Online Services (HPOS) and the Organisation Register. </w:t>
      </w:r>
    </w:p>
    <w:p w14:paraId="0EDB3681" w14:textId="77777777" w:rsidR="008A7872" w:rsidRPr="00742F75" w:rsidRDefault="008A7872" w:rsidP="00742F75">
      <w:pPr>
        <w:pStyle w:val="ListBullet"/>
        <w:tabs>
          <w:tab w:val="clear" w:pos="360"/>
          <w:tab w:val="num" w:pos="1074"/>
        </w:tabs>
        <w:spacing w:before="60" w:after="60"/>
        <w:ind w:left="714" w:hanging="357"/>
        <w:contextualSpacing w:val="0"/>
        <w:rPr>
          <w:rFonts w:cs="Arial"/>
        </w:rPr>
      </w:pPr>
      <w:r w:rsidRPr="165438EC">
        <w:rPr>
          <w:rFonts w:cs="Arial"/>
        </w:rPr>
        <w:t>Providers must have a provider number that is linked to the practice (Hub) on the Organisation Register. Noting that: </w:t>
      </w:r>
    </w:p>
    <w:p w14:paraId="0AC6AFDC" w14:textId="7CD1EB32" w:rsidR="008A7872" w:rsidRPr="008A7872" w:rsidRDefault="008A7872" w:rsidP="007A3716">
      <w:pPr>
        <w:pStyle w:val="Bullet3"/>
        <w:numPr>
          <w:ilvl w:val="3"/>
          <w:numId w:val="19"/>
        </w:numPr>
        <w:rPr>
          <w:color w:val="auto"/>
          <w:lang w:eastAsia="en-AU"/>
        </w:rPr>
      </w:pPr>
      <w:r w:rsidRPr="008A7872">
        <w:rPr>
          <w:lang w:eastAsia="en-AU"/>
        </w:rPr>
        <w:t xml:space="preserve">providers may travel to and provide services at one or more of the </w:t>
      </w:r>
      <w:r w:rsidR="00DD6DEF">
        <w:rPr>
          <w:lang w:eastAsia="en-AU"/>
        </w:rPr>
        <w:t>S</w:t>
      </w:r>
      <w:r w:rsidRPr="008A7872">
        <w:rPr>
          <w:lang w:eastAsia="en-AU"/>
        </w:rPr>
        <w:t xml:space="preserve">poke locations associated with the organisation, including the </w:t>
      </w:r>
      <w:r w:rsidR="00DD6DEF">
        <w:rPr>
          <w:lang w:eastAsia="en-AU"/>
        </w:rPr>
        <w:t>H</w:t>
      </w:r>
      <w:r w:rsidRPr="008A7872">
        <w:rPr>
          <w:lang w:eastAsia="en-AU"/>
        </w:rPr>
        <w:t>ub. </w:t>
      </w:r>
    </w:p>
    <w:p w14:paraId="035538DB" w14:textId="77777777" w:rsidR="008A7872" w:rsidRPr="00742F75" w:rsidRDefault="008A7872" w:rsidP="00742F75">
      <w:pPr>
        <w:pStyle w:val="ListBullet"/>
        <w:tabs>
          <w:tab w:val="clear" w:pos="360"/>
          <w:tab w:val="num" w:pos="1074"/>
        </w:tabs>
        <w:spacing w:before="60" w:after="60"/>
        <w:ind w:left="714" w:hanging="357"/>
        <w:contextualSpacing w:val="0"/>
        <w:rPr>
          <w:rFonts w:cs="Arial"/>
        </w:rPr>
      </w:pPr>
      <w:r w:rsidRPr="165438EC">
        <w:rPr>
          <w:rFonts w:cs="Arial"/>
        </w:rPr>
        <w:t>Patients will register with the Hub of the organisation rather than the Spoke (however, they should be able to do this at any of the hub or spoke locations). Noting that: </w:t>
      </w:r>
    </w:p>
    <w:p w14:paraId="7772EA4B" w14:textId="4DB0A3F6" w:rsidR="008A7872" w:rsidRPr="002C16C8" w:rsidRDefault="008A7872" w:rsidP="007A3716">
      <w:pPr>
        <w:pStyle w:val="Bullet3"/>
        <w:numPr>
          <w:ilvl w:val="3"/>
          <w:numId w:val="20"/>
        </w:numPr>
        <w:rPr>
          <w:lang w:eastAsia="en-AU"/>
        </w:rPr>
      </w:pPr>
      <w:r w:rsidRPr="002C16C8">
        <w:rPr>
          <w:lang w:eastAsia="en-AU"/>
        </w:rPr>
        <w:t xml:space="preserve">patients may travel to and receive services at one or more of the </w:t>
      </w:r>
      <w:r w:rsidR="00DD6DEF">
        <w:rPr>
          <w:lang w:eastAsia="en-AU"/>
        </w:rPr>
        <w:t>S</w:t>
      </w:r>
      <w:r w:rsidRPr="002C16C8">
        <w:rPr>
          <w:lang w:eastAsia="en-AU"/>
        </w:rPr>
        <w:t xml:space="preserve">poke locations, including the </w:t>
      </w:r>
      <w:r w:rsidR="00DD6DEF">
        <w:rPr>
          <w:lang w:eastAsia="en-AU"/>
        </w:rPr>
        <w:t>H</w:t>
      </w:r>
      <w:r w:rsidRPr="002C16C8">
        <w:rPr>
          <w:lang w:eastAsia="en-AU"/>
        </w:rPr>
        <w:t>ub </w:t>
      </w:r>
    </w:p>
    <w:p w14:paraId="59CDE99A" w14:textId="398E1E69" w:rsidR="008A7872" w:rsidRDefault="008A7872" w:rsidP="5E9F959E">
      <w:pPr>
        <w:pStyle w:val="Bullet3"/>
        <w:rPr>
          <w:lang w:eastAsia="en-AU"/>
        </w:rPr>
      </w:pPr>
      <w:r w:rsidRPr="5E9F959E">
        <w:rPr>
          <w:lang w:eastAsia="en-AU"/>
        </w:rPr>
        <w:t xml:space="preserve">patients can access MyMedicare MBS items from any GP that is linked to the </w:t>
      </w:r>
      <w:r w:rsidR="00DD6DEF" w:rsidRPr="5E9F959E">
        <w:rPr>
          <w:lang w:eastAsia="en-AU"/>
        </w:rPr>
        <w:t>H</w:t>
      </w:r>
      <w:r w:rsidRPr="5E9F959E">
        <w:rPr>
          <w:lang w:eastAsia="en-AU"/>
        </w:rPr>
        <w:t>ub.</w:t>
      </w:r>
    </w:p>
    <w:p w14:paraId="2E704BCD" w14:textId="3C0CDC7B" w:rsidR="5E9F959E" w:rsidRDefault="008A7872" w:rsidP="30A1C177">
      <w:pPr>
        <w:spacing w:before="0" w:after="0" w:line="240" w:lineRule="auto"/>
        <w:textAlignment w:val="baseline"/>
        <w:rPr>
          <w:rFonts w:ascii="Segoe UI" w:eastAsia="Times New Roman" w:hAnsi="Segoe UI" w:cs="Segoe UI"/>
          <w:color w:val="auto"/>
          <w:sz w:val="18"/>
          <w:szCs w:val="18"/>
          <w:lang w:eastAsia="en-AU"/>
        </w:rPr>
      </w:pPr>
      <w:r w:rsidRPr="5E9F959E">
        <w:rPr>
          <w:rFonts w:eastAsia="Times New Roman" w:cs="Arial"/>
          <w:color w:val="auto"/>
          <w:lang w:eastAsia="en-AU"/>
        </w:rPr>
        <w:t>MyMedicare registered ACCHS or AMS can contact Services Australia if they wish to change their current organisation structure set-up.</w:t>
      </w:r>
    </w:p>
    <w:p w14:paraId="2112C3A2" w14:textId="2BF39FB8" w:rsidR="5E9F959E" w:rsidRDefault="5E9F959E" w:rsidP="5F76E7EC">
      <w:pPr>
        <w:spacing w:before="0" w:after="0"/>
        <w:rPr>
          <w:rFonts w:eastAsia="Arial" w:cs="Arial"/>
          <w:szCs w:val="22"/>
        </w:rPr>
      </w:pPr>
    </w:p>
    <w:p w14:paraId="008E94D3" w14:textId="5C55AA27" w:rsidR="026E9AC4" w:rsidRDefault="026E9AC4" w:rsidP="5F76E7EC">
      <w:pPr>
        <w:pStyle w:val="Heading1"/>
        <w:spacing w:before="0" w:after="0" w:line="257" w:lineRule="auto"/>
        <w:rPr>
          <w:rFonts w:eastAsia="Arial" w:cs="Arial"/>
          <w:bCs/>
        </w:rPr>
      </w:pPr>
      <w:bookmarkStart w:id="45" w:name="_Toc216708102"/>
      <w:r w:rsidRPr="5F76E7EC">
        <w:rPr>
          <w:rFonts w:eastAsia="Arial" w:cs="Arial"/>
          <w:bCs/>
        </w:rPr>
        <w:t>Organisational Change</w:t>
      </w:r>
      <w:bookmarkEnd w:id="45"/>
    </w:p>
    <w:p w14:paraId="6CD28440" w14:textId="4ED4391E" w:rsidR="00E3100A" w:rsidRDefault="026E9AC4" w:rsidP="00E3100A">
      <w:pPr>
        <w:spacing w:before="0" w:after="160" w:line="257" w:lineRule="auto"/>
      </w:pPr>
      <w:r w:rsidRPr="5F76E7EC">
        <w:rPr>
          <w:rFonts w:eastAsia="Arial" w:cs="Arial"/>
          <w:szCs w:val="22"/>
        </w:rPr>
        <w:t>This section outlines the requirements for a practice undergoing</w:t>
      </w:r>
      <w:r w:rsidR="006B1C2D" w:rsidRPr="5F76E7EC">
        <w:rPr>
          <w:rFonts w:eastAsia="Arial" w:cs="Arial"/>
          <w:szCs w:val="22"/>
        </w:rPr>
        <w:t xml:space="preserve"> an</w:t>
      </w:r>
      <w:r w:rsidRPr="5F76E7EC">
        <w:rPr>
          <w:rFonts w:eastAsia="Arial" w:cs="Arial"/>
          <w:szCs w:val="22"/>
        </w:rPr>
        <w:t xml:space="preserve"> organisational change under the MyMedicare program. It is designed to support continuity of care and ensure compliance with accreditation and incentive program and payment eligibility requirements.</w:t>
      </w:r>
    </w:p>
    <w:p w14:paraId="7FCA4353" w14:textId="2FC378D8" w:rsidR="026E9AC4" w:rsidRDefault="026E9AC4" w:rsidP="00FC3AE5">
      <w:pPr>
        <w:pStyle w:val="Heading2"/>
        <w:rPr>
          <w:rFonts w:eastAsia="Arial" w:cs="Arial"/>
        </w:rPr>
      </w:pPr>
      <w:bookmarkStart w:id="46" w:name="_Toc216708103"/>
      <w:r w:rsidRPr="71CB847D">
        <w:rPr>
          <w:rFonts w:eastAsia="Arial" w:cs="Arial"/>
        </w:rPr>
        <w:t>Permanent relocation</w:t>
      </w:r>
      <w:bookmarkEnd w:id="46"/>
    </w:p>
    <w:p w14:paraId="5D82EC93" w14:textId="53991E4F" w:rsidR="026E9AC4" w:rsidRDefault="026E9AC4" w:rsidP="6BF6D514">
      <w:pPr>
        <w:spacing w:before="0" w:after="160" w:line="257" w:lineRule="auto"/>
      </w:pPr>
      <w:r w:rsidRPr="737F4B34">
        <w:rPr>
          <w:rFonts w:eastAsia="Arial" w:cs="Arial"/>
        </w:rPr>
        <w:t xml:space="preserve">Practice relocation refers to a MyMedicare registered practice moving from its current location to a new site and continuing to operate under the same </w:t>
      </w:r>
      <w:r w:rsidR="00480238" w:rsidRPr="737F4B34">
        <w:rPr>
          <w:rFonts w:eastAsia="Arial" w:cs="Arial"/>
        </w:rPr>
        <w:t>practice owner</w:t>
      </w:r>
      <w:r w:rsidRPr="737F4B34">
        <w:rPr>
          <w:rFonts w:eastAsia="Arial" w:cs="Arial"/>
        </w:rPr>
        <w:t xml:space="preserve">. This includes transferring all operational aspects, such as staff, equipment, patient records, and infrastructure to a new </w:t>
      </w:r>
      <w:r w:rsidR="36968C79" w:rsidRPr="737F4B34">
        <w:rPr>
          <w:rFonts w:eastAsia="Arial" w:cs="Arial"/>
        </w:rPr>
        <w:t>premise.</w:t>
      </w:r>
      <w:r w:rsidRPr="737F4B34">
        <w:rPr>
          <w:rFonts w:eastAsia="Arial" w:cs="Arial"/>
        </w:rPr>
        <w:t xml:space="preserve"> To ensure ongoing eligibility for MyMedicare and associated incentives, </w:t>
      </w:r>
      <w:r w:rsidR="00662C17" w:rsidRPr="737F4B34">
        <w:rPr>
          <w:rFonts w:eastAsia="Arial" w:cs="Arial"/>
        </w:rPr>
        <w:t>the practice</w:t>
      </w:r>
      <w:r w:rsidRPr="737F4B34">
        <w:rPr>
          <w:rFonts w:eastAsia="Arial" w:cs="Arial"/>
        </w:rPr>
        <w:t xml:space="preserve"> must adhere to the below conditions when relocating </w:t>
      </w:r>
    </w:p>
    <w:p w14:paraId="2E83A656" w14:textId="440CBCF6" w:rsidR="026E9AC4" w:rsidRDefault="026E9AC4" w:rsidP="007A3716">
      <w:pPr>
        <w:pStyle w:val="ListParagraph"/>
        <w:numPr>
          <w:ilvl w:val="0"/>
          <w:numId w:val="29"/>
        </w:numPr>
        <w:spacing w:after="0" w:line="257" w:lineRule="auto"/>
        <w:rPr>
          <w:rFonts w:ascii="Arial" w:eastAsia="Arial" w:hAnsi="Arial" w:cs="Arial"/>
          <w:szCs w:val="22"/>
        </w:rPr>
      </w:pPr>
      <w:r w:rsidRPr="5F76E7EC">
        <w:rPr>
          <w:rFonts w:ascii="Arial" w:eastAsia="Arial" w:hAnsi="Arial" w:cs="Arial"/>
          <w:szCs w:val="22"/>
        </w:rPr>
        <w:t xml:space="preserve">There must be no changes to the </w:t>
      </w:r>
      <w:r w:rsidR="00D3056A" w:rsidRPr="5F76E7EC">
        <w:rPr>
          <w:rFonts w:ascii="Arial" w:eastAsia="Arial" w:hAnsi="Arial" w:cs="Arial"/>
          <w:szCs w:val="22"/>
        </w:rPr>
        <w:t>practice ownership</w:t>
      </w:r>
      <w:r w:rsidR="002407BA" w:rsidRPr="5F76E7EC">
        <w:rPr>
          <w:rFonts w:ascii="Arial" w:eastAsia="Arial" w:hAnsi="Arial" w:cs="Arial"/>
          <w:szCs w:val="22"/>
        </w:rPr>
        <w:t>.</w:t>
      </w:r>
    </w:p>
    <w:p w14:paraId="5D802DE8" w14:textId="30C673EA" w:rsidR="026E9AC4" w:rsidRDefault="026E9AC4" w:rsidP="007A3716">
      <w:pPr>
        <w:pStyle w:val="ListParagraph"/>
        <w:numPr>
          <w:ilvl w:val="0"/>
          <w:numId w:val="29"/>
        </w:numPr>
        <w:spacing w:after="0" w:line="257" w:lineRule="auto"/>
        <w:rPr>
          <w:rFonts w:ascii="Arial" w:eastAsia="Arial" w:hAnsi="Arial" w:cs="Arial"/>
        </w:rPr>
      </w:pPr>
      <w:r w:rsidRPr="737F4B34">
        <w:rPr>
          <w:rFonts w:ascii="Arial" w:eastAsia="Arial" w:hAnsi="Arial" w:cs="Arial"/>
        </w:rPr>
        <w:t xml:space="preserve">The original and new practice locations must be within the </w:t>
      </w:r>
      <w:r w:rsidRPr="737F4B34">
        <w:rPr>
          <w:rFonts w:ascii="Arial" w:eastAsia="Arial" w:hAnsi="Arial" w:cs="Arial"/>
          <w:b/>
        </w:rPr>
        <w:t xml:space="preserve">same local area </w:t>
      </w:r>
      <w:r w:rsidRPr="737F4B34">
        <w:rPr>
          <w:rFonts w:ascii="Arial" w:eastAsia="Arial" w:hAnsi="Arial" w:cs="Arial"/>
        </w:rPr>
        <w:t xml:space="preserve">(see Section </w:t>
      </w:r>
      <w:r w:rsidR="002407BA" w:rsidRPr="737F4B34">
        <w:rPr>
          <w:rFonts w:ascii="Arial" w:eastAsia="Arial" w:hAnsi="Arial" w:cs="Arial"/>
        </w:rPr>
        <w:t>4</w:t>
      </w:r>
      <w:r w:rsidR="4BF46C1A" w:rsidRPr="737F4B34">
        <w:rPr>
          <w:rFonts w:ascii="Arial" w:eastAsia="Arial" w:hAnsi="Arial" w:cs="Arial"/>
        </w:rPr>
        <w:t>.</w:t>
      </w:r>
      <w:r w:rsidR="47D3B767" w:rsidRPr="737F4B34">
        <w:rPr>
          <w:rFonts w:ascii="Arial" w:eastAsia="Arial" w:hAnsi="Arial" w:cs="Arial"/>
        </w:rPr>
        <w:t>5</w:t>
      </w:r>
      <w:r w:rsidR="36968C79" w:rsidRPr="737F4B34">
        <w:rPr>
          <w:rFonts w:ascii="Arial" w:eastAsia="Arial" w:hAnsi="Arial" w:cs="Arial"/>
        </w:rPr>
        <w:t xml:space="preserve">), </w:t>
      </w:r>
      <w:r w:rsidRPr="737F4B34">
        <w:rPr>
          <w:rFonts w:ascii="Arial" w:eastAsia="Arial" w:hAnsi="Arial" w:cs="Arial"/>
        </w:rPr>
        <w:t>ensuring continued accessibility for MyMedicare registered patients</w:t>
      </w:r>
      <w:r w:rsidR="002407BA" w:rsidRPr="737F4B34">
        <w:rPr>
          <w:rFonts w:ascii="Arial" w:eastAsia="Arial" w:hAnsi="Arial" w:cs="Arial"/>
        </w:rPr>
        <w:t>.</w:t>
      </w:r>
    </w:p>
    <w:p w14:paraId="76C4ABD4" w14:textId="558FFA66" w:rsidR="026E9AC4" w:rsidRDefault="026E9AC4" w:rsidP="007A3716">
      <w:pPr>
        <w:pStyle w:val="ListParagraph"/>
        <w:numPr>
          <w:ilvl w:val="0"/>
          <w:numId w:val="29"/>
        </w:numPr>
        <w:spacing w:after="0" w:line="257" w:lineRule="auto"/>
        <w:rPr>
          <w:rFonts w:ascii="Arial" w:eastAsia="Arial" w:hAnsi="Arial" w:cs="Arial"/>
          <w:szCs w:val="22"/>
        </w:rPr>
      </w:pPr>
      <w:r w:rsidRPr="5F76E7EC">
        <w:rPr>
          <w:rFonts w:ascii="Arial" w:eastAsia="Arial" w:hAnsi="Arial" w:cs="Arial"/>
          <w:szCs w:val="22"/>
        </w:rPr>
        <w:lastRenderedPageBreak/>
        <w:t>The practice’s accreditation must be transferred by the accrediting agency to the new location within 6 months of the date of relocation.</w:t>
      </w:r>
    </w:p>
    <w:p w14:paraId="4995BD94" w14:textId="2922CCEB" w:rsidR="026E9AC4" w:rsidRDefault="026E9AC4" w:rsidP="007A3716">
      <w:pPr>
        <w:pStyle w:val="ListParagraph"/>
        <w:numPr>
          <w:ilvl w:val="0"/>
          <w:numId w:val="28"/>
        </w:numPr>
        <w:spacing w:after="0" w:line="257" w:lineRule="auto"/>
        <w:rPr>
          <w:rFonts w:ascii="Arial" w:eastAsia="Arial" w:hAnsi="Arial" w:cs="Arial"/>
          <w:szCs w:val="22"/>
        </w:rPr>
      </w:pPr>
      <w:r w:rsidRPr="5F76E7EC">
        <w:rPr>
          <w:rFonts w:ascii="Arial" w:eastAsia="Arial" w:hAnsi="Arial" w:cs="Arial"/>
          <w:szCs w:val="22"/>
        </w:rPr>
        <w:t>The relocated practice must adhere to MyMedicare policies and guidelines, including maintaining accreditation.</w:t>
      </w:r>
    </w:p>
    <w:p w14:paraId="63A4F82C" w14:textId="4EDD0059" w:rsidR="5E9F959E" w:rsidRDefault="15E0C158" w:rsidP="5F76E7EC">
      <w:pPr>
        <w:spacing w:before="0" w:after="0" w:line="257" w:lineRule="auto"/>
        <w:ind w:left="720"/>
      </w:pPr>
      <w:r w:rsidRPr="5F76E7EC">
        <w:rPr>
          <w:rFonts w:ascii="Calibri" w:eastAsia="Calibri" w:hAnsi="Calibri" w:cs="Calibri"/>
          <w:szCs w:val="22"/>
        </w:rPr>
        <w:t xml:space="preserve"> </w:t>
      </w:r>
    </w:p>
    <w:p w14:paraId="4BA5129A" w14:textId="077AE1EF" w:rsidR="026E9AC4" w:rsidRDefault="026E9AC4" w:rsidP="6BF6D514">
      <w:pPr>
        <w:shd w:val="clear" w:color="auto" w:fill="FFFFFF" w:themeFill="background1"/>
        <w:spacing w:before="0" w:after="160" w:line="257" w:lineRule="auto"/>
      </w:pPr>
      <w:r w:rsidRPr="5F76E7EC">
        <w:rPr>
          <w:rFonts w:eastAsia="Arial" w:cs="Arial"/>
          <w:szCs w:val="22"/>
        </w:rPr>
        <w:t xml:space="preserve">Practices are </w:t>
      </w:r>
      <w:r w:rsidRPr="5F76E7EC">
        <w:rPr>
          <w:rFonts w:eastAsia="Arial" w:cs="Arial"/>
          <w:b/>
          <w:bCs/>
          <w:szCs w:val="22"/>
        </w:rPr>
        <w:t>not required</w:t>
      </w:r>
      <w:r w:rsidRPr="5F76E7EC">
        <w:rPr>
          <w:rFonts w:eastAsia="Arial" w:cs="Arial"/>
          <w:szCs w:val="22"/>
        </w:rPr>
        <w:t xml:space="preserve"> to notify Services Australia about a permanent relocation where there is no change in ownership or ABN. Practices are required to process the </w:t>
      </w:r>
      <w:r w:rsidR="2BAC4AA1" w:rsidRPr="5F76E7EC">
        <w:rPr>
          <w:rFonts w:eastAsia="Arial" w:cs="Arial"/>
          <w:szCs w:val="22"/>
        </w:rPr>
        <w:t xml:space="preserve">relocation </w:t>
      </w:r>
      <w:r w:rsidRPr="5F76E7EC">
        <w:rPr>
          <w:rFonts w:eastAsia="Arial" w:cs="Arial"/>
          <w:szCs w:val="22"/>
        </w:rPr>
        <w:t xml:space="preserve">through the relocation function in the Organisation Register. </w:t>
      </w:r>
    </w:p>
    <w:p w14:paraId="0A2A463F" w14:textId="6B8FB388" w:rsidR="026E9AC4" w:rsidRDefault="026E9AC4" w:rsidP="007A3716">
      <w:pPr>
        <w:pStyle w:val="ListParagraph"/>
        <w:numPr>
          <w:ilvl w:val="0"/>
          <w:numId w:val="27"/>
        </w:numPr>
        <w:spacing w:after="0" w:line="252" w:lineRule="auto"/>
        <w:rPr>
          <w:rFonts w:ascii="Arial" w:eastAsia="Arial" w:hAnsi="Arial" w:cs="Arial"/>
        </w:rPr>
      </w:pPr>
      <w:r w:rsidRPr="737F4B34">
        <w:rPr>
          <w:rFonts w:ascii="Arial" w:eastAsia="Arial" w:hAnsi="Arial" w:cs="Arial"/>
        </w:rPr>
        <w:t>Patients will remain eligible for MyMedicare following the relocation</w:t>
      </w:r>
      <w:r w:rsidR="019B1B04" w:rsidRPr="737F4B34">
        <w:rPr>
          <w:rFonts w:ascii="Arial" w:eastAsia="Arial" w:hAnsi="Arial" w:cs="Arial"/>
        </w:rPr>
        <w:t>;</w:t>
      </w:r>
      <w:r w:rsidRPr="737F4B34">
        <w:rPr>
          <w:rFonts w:ascii="Arial" w:eastAsia="Arial" w:hAnsi="Arial" w:cs="Arial"/>
        </w:rPr>
        <w:t xml:space="preserve"> however</w:t>
      </w:r>
      <w:r w:rsidR="05826B48" w:rsidRPr="737F4B34">
        <w:rPr>
          <w:rFonts w:ascii="Arial" w:eastAsia="Arial" w:hAnsi="Arial" w:cs="Arial"/>
        </w:rPr>
        <w:t>,</w:t>
      </w:r>
      <w:r w:rsidRPr="737F4B34">
        <w:rPr>
          <w:rFonts w:ascii="Arial" w:eastAsia="Arial" w:hAnsi="Arial" w:cs="Arial"/>
        </w:rPr>
        <w:t xml:space="preserve"> the practice will need to update each patient’s Preferred GP to link to the new provider location number.</w:t>
      </w:r>
    </w:p>
    <w:p w14:paraId="60EF81F0" w14:textId="39A96D82" w:rsidR="026E9AC4" w:rsidRDefault="026E9AC4" w:rsidP="007A3716">
      <w:pPr>
        <w:pStyle w:val="ListParagraph"/>
        <w:numPr>
          <w:ilvl w:val="0"/>
          <w:numId w:val="27"/>
        </w:numPr>
        <w:spacing w:after="0" w:line="252" w:lineRule="auto"/>
        <w:rPr>
          <w:rFonts w:ascii="Arial" w:eastAsia="Arial" w:hAnsi="Arial" w:cs="Arial"/>
          <w:szCs w:val="22"/>
        </w:rPr>
      </w:pPr>
      <w:r w:rsidRPr="5F76E7EC">
        <w:rPr>
          <w:rFonts w:ascii="Arial" w:eastAsia="Arial" w:hAnsi="Arial" w:cs="Arial"/>
          <w:szCs w:val="22"/>
        </w:rPr>
        <w:t>If the practice is participating in the General Practice in Aged Care Incentive (GPACI), the practice will need to update each patient’s Responsible Provider by re-adding the Responsible Provider with the new provider location number.</w:t>
      </w:r>
    </w:p>
    <w:p w14:paraId="450AAF7A" w14:textId="54249128" w:rsidR="5E9F959E" w:rsidRDefault="5E9F959E" w:rsidP="5F76E7EC">
      <w:pPr>
        <w:pStyle w:val="Heading3"/>
        <w:numPr>
          <w:ilvl w:val="0"/>
          <w:numId w:val="0"/>
        </w:numPr>
        <w:spacing w:before="0" w:after="0"/>
        <w:ind w:left="360" w:hanging="360"/>
        <w:rPr>
          <w:rFonts w:eastAsia="Arial" w:cs="Arial"/>
        </w:rPr>
      </w:pPr>
    </w:p>
    <w:p w14:paraId="36E8633C" w14:textId="6FA728BF" w:rsidR="026E9AC4" w:rsidRDefault="15E0C158" w:rsidP="000978E7">
      <w:pPr>
        <w:pStyle w:val="Heading3"/>
        <w:numPr>
          <w:ilvl w:val="0"/>
          <w:numId w:val="0"/>
        </w:numPr>
        <w:spacing w:before="0" w:after="0" w:line="360" w:lineRule="auto"/>
        <w:ind w:left="360" w:hanging="360"/>
        <w:rPr>
          <w:rFonts w:eastAsia="Arial" w:cs="Arial"/>
        </w:rPr>
      </w:pPr>
      <w:bookmarkStart w:id="47" w:name="_Toc216708104"/>
      <w:r w:rsidRPr="5F76E7EC">
        <w:rPr>
          <w:rFonts w:eastAsia="Arial" w:cs="Arial"/>
        </w:rPr>
        <w:t>4.2</w:t>
      </w:r>
      <w:r w:rsidR="00197827" w:rsidRPr="5F76E7EC">
        <w:rPr>
          <w:rFonts w:eastAsia="Arial" w:cs="Arial"/>
        </w:rPr>
        <w:t xml:space="preserve"> </w:t>
      </w:r>
      <w:r w:rsidR="026E9AC4" w:rsidRPr="5F76E7EC">
        <w:rPr>
          <w:rFonts w:eastAsia="Arial" w:cs="Arial"/>
        </w:rPr>
        <w:t>Change of Ownership</w:t>
      </w:r>
      <w:r w:rsidR="5E9F959E">
        <w:br/>
      </w:r>
      <w:r w:rsidRPr="5F76E7EC">
        <w:rPr>
          <w:rFonts w:eastAsia="Arial" w:cs="Arial"/>
        </w:rPr>
        <w:t>4.2.1 Sale of practice</w:t>
      </w:r>
      <w:bookmarkEnd w:id="47"/>
      <w:r w:rsidR="026E9AC4" w:rsidRPr="5F76E7EC">
        <w:rPr>
          <w:rFonts w:eastAsia="Arial" w:cs="Arial"/>
        </w:rPr>
        <w:t xml:space="preserve"> </w:t>
      </w:r>
    </w:p>
    <w:p w14:paraId="7E2096BD" w14:textId="514FD96F" w:rsidR="026E9AC4" w:rsidRDefault="026E9AC4" w:rsidP="6BF6D514">
      <w:pPr>
        <w:spacing w:before="0" w:after="160" w:line="257" w:lineRule="auto"/>
      </w:pPr>
      <w:r w:rsidRPr="5F76E7EC">
        <w:rPr>
          <w:rFonts w:eastAsia="Arial" w:cs="Arial"/>
          <w:szCs w:val="22"/>
        </w:rPr>
        <w:t xml:space="preserve">A sale of a practice refers to the transfer of </w:t>
      </w:r>
      <w:r w:rsidR="002E4EAC" w:rsidRPr="5F76E7EC">
        <w:rPr>
          <w:rFonts w:eastAsia="Arial" w:cs="Arial"/>
          <w:szCs w:val="22"/>
        </w:rPr>
        <w:t xml:space="preserve">practice </w:t>
      </w:r>
      <w:r w:rsidRPr="5F76E7EC">
        <w:rPr>
          <w:rFonts w:eastAsia="Arial" w:cs="Arial"/>
          <w:szCs w:val="22"/>
        </w:rPr>
        <w:t>ownership</w:t>
      </w:r>
      <w:r w:rsidRPr="5F76E7EC" w:rsidDel="002E4EAC">
        <w:rPr>
          <w:rFonts w:eastAsia="Arial" w:cs="Arial"/>
          <w:szCs w:val="22"/>
        </w:rPr>
        <w:t xml:space="preserve"> </w:t>
      </w:r>
      <w:r w:rsidRPr="5F76E7EC">
        <w:rPr>
          <w:rFonts w:eastAsia="Arial" w:cs="Arial"/>
          <w:szCs w:val="22"/>
        </w:rPr>
        <w:t xml:space="preserve">from one </w:t>
      </w:r>
      <w:r w:rsidR="007C68D3" w:rsidRPr="5F76E7EC">
        <w:rPr>
          <w:rFonts w:eastAsia="Arial" w:cs="Arial"/>
          <w:szCs w:val="22"/>
        </w:rPr>
        <w:t xml:space="preserve">practice </w:t>
      </w:r>
      <w:r w:rsidRPr="5F76E7EC" w:rsidDel="003E2957">
        <w:rPr>
          <w:rFonts w:eastAsia="Arial" w:cs="Arial"/>
          <w:szCs w:val="22"/>
        </w:rPr>
        <w:t>owner</w:t>
      </w:r>
      <w:r w:rsidRPr="5F76E7EC">
        <w:rPr>
          <w:rFonts w:eastAsia="Arial" w:cs="Arial"/>
          <w:szCs w:val="22"/>
        </w:rPr>
        <w:t xml:space="preserve"> to another. This typically includes transfer of assets, (such as medical equipment, patient records and office facilities), goodwill, and sometimes the employment of existing staff. The sale may also involve transitioning patient care responsibilities, </w:t>
      </w:r>
      <w:r w:rsidR="00E75187" w:rsidRPr="5F76E7EC">
        <w:rPr>
          <w:rFonts w:eastAsia="Arial" w:cs="Arial"/>
          <w:szCs w:val="22"/>
        </w:rPr>
        <w:t>with</w:t>
      </w:r>
      <w:r w:rsidRPr="5F76E7EC">
        <w:rPr>
          <w:rFonts w:eastAsia="Arial" w:cs="Arial"/>
          <w:szCs w:val="22"/>
        </w:rPr>
        <w:t xml:space="preserve"> the new </w:t>
      </w:r>
      <w:r w:rsidR="00480238" w:rsidRPr="5F76E7EC">
        <w:rPr>
          <w:rFonts w:eastAsia="Arial" w:cs="Arial"/>
          <w:szCs w:val="22"/>
        </w:rPr>
        <w:t>practice owner</w:t>
      </w:r>
      <w:r w:rsidRPr="5F76E7EC">
        <w:rPr>
          <w:rFonts w:eastAsia="Arial" w:cs="Arial"/>
          <w:szCs w:val="22"/>
        </w:rPr>
        <w:t xml:space="preserve"> assum</w:t>
      </w:r>
      <w:r w:rsidR="00E75187" w:rsidRPr="5F76E7EC">
        <w:rPr>
          <w:rFonts w:eastAsia="Arial" w:cs="Arial"/>
          <w:szCs w:val="22"/>
        </w:rPr>
        <w:t>ing</w:t>
      </w:r>
      <w:r w:rsidRPr="5F76E7EC">
        <w:rPr>
          <w:rFonts w:eastAsia="Arial" w:cs="Arial"/>
          <w:szCs w:val="22"/>
        </w:rPr>
        <w:t xml:space="preserve"> all legal and operational obligations.</w:t>
      </w:r>
    </w:p>
    <w:p w14:paraId="7280C9E1" w14:textId="5E22DC32" w:rsidR="026E9AC4" w:rsidRDefault="00D3056A" w:rsidP="6BF6D514">
      <w:pPr>
        <w:spacing w:before="0" w:after="160" w:line="257" w:lineRule="auto"/>
      </w:pPr>
      <w:r w:rsidRPr="5F76E7EC">
        <w:rPr>
          <w:rFonts w:eastAsia="Arial" w:cs="Arial"/>
          <w:szCs w:val="22"/>
        </w:rPr>
        <w:t>T</w:t>
      </w:r>
      <w:r w:rsidR="6CA30712" w:rsidRPr="5F76E7EC">
        <w:rPr>
          <w:rFonts w:eastAsia="Arial" w:cs="Arial"/>
          <w:szCs w:val="22"/>
        </w:rPr>
        <w:t>he</w:t>
      </w:r>
      <w:r w:rsidR="00F677DB" w:rsidRPr="5F76E7EC">
        <w:rPr>
          <w:rFonts w:eastAsia="Arial" w:cs="Arial"/>
          <w:szCs w:val="22"/>
        </w:rPr>
        <w:t xml:space="preserve"> new owner of a MyMedicare registered</w:t>
      </w:r>
      <w:r w:rsidR="026E9AC4" w:rsidRPr="5F76E7EC">
        <w:rPr>
          <w:rFonts w:eastAsia="Arial" w:cs="Arial"/>
          <w:szCs w:val="22"/>
        </w:rPr>
        <w:t xml:space="preserve"> practice</w:t>
      </w:r>
      <w:r w:rsidR="026E9AC4" w:rsidRPr="5F76E7EC" w:rsidDel="00F677DB">
        <w:rPr>
          <w:rFonts w:eastAsia="Arial" w:cs="Arial"/>
          <w:szCs w:val="22"/>
        </w:rPr>
        <w:t xml:space="preserve"> </w:t>
      </w:r>
      <w:r w:rsidR="026E9AC4" w:rsidRPr="5F76E7EC">
        <w:rPr>
          <w:rFonts w:eastAsia="Arial" w:cs="Arial"/>
          <w:szCs w:val="22"/>
        </w:rPr>
        <w:t xml:space="preserve">will be </w:t>
      </w:r>
      <w:r w:rsidR="00F677DB" w:rsidRPr="5F76E7EC">
        <w:rPr>
          <w:rFonts w:eastAsia="Arial" w:cs="Arial"/>
          <w:szCs w:val="22"/>
        </w:rPr>
        <w:t xml:space="preserve">recognised </w:t>
      </w:r>
      <w:r w:rsidR="6CA30712" w:rsidRPr="5F76E7EC">
        <w:rPr>
          <w:rFonts w:eastAsia="Arial" w:cs="Arial"/>
          <w:szCs w:val="22"/>
        </w:rPr>
        <w:t>as</w:t>
      </w:r>
      <w:r w:rsidR="026E9AC4" w:rsidRPr="5F76E7EC">
        <w:rPr>
          <w:rFonts w:eastAsia="Arial" w:cs="Arial"/>
          <w:szCs w:val="22"/>
        </w:rPr>
        <w:t xml:space="preserve"> a </w:t>
      </w:r>
      <w:r w:rsidR="026E9AC4" w:rsidRPr="5F76E7EC">
        <w:rPr>
          <w:rFonts w:eastAsia="Arial" w:cs="Arial"/>
          <w:b/>
          <w:bCs/>
          <w:szCs w:val="22"/>
        </w:rPr>
        <w:t xml:space="preserve">continuing </w:t>
      </w:r>
      <w:r w:rsidR="05585F1B" w:rsidRPr="5F76E7EC">
        <w:rPr>
          <w:rFonts w:eastAsia="Arial" w:cs="Arial"/>
          <w:b/>
          <w:bCs/>
          <w:szCs w:val="22"/>
        </w:rPr>
        <w:t>entity</w:t>
      </w:r>
      <w:r w:rsidR="026E9AC4" w:rsidRPr="5F76E7EC">
        <w:rPr>
          <w:rFonts w:eastAsia="Arial" w:cs="Arial"/>
          <w:szCs w:val="22"/>
        </w:rPr>
        <w:t>, provided the practice continues to adhere to MyMedicare policies and guidelines, including maintaining accreditation.</w:t>
      </w:r>
    </w:p>
    <w:p w14:paraId="2D61837B" w14:textId="094B9B5D" w:rsidR="026E9AC4" w:rsidRDefault="14563CEA" w:rsidP="008F28BD">
      <w:pPr>
        <w:pStyle w:val="Heading3"/>
        <w:numPr>
          <w:ilvl w:val="0"/>
          <w:numId w:val="0"/>
        </w:numPr>
        <w:ind w:left="360"/>
        <w:rPr>
          <w:rFonts w:eastAsia="Arial" w:cs="Arial"/>
          <w:bCs/>
        </w:rPr>
      </w:pPr>
      <w:bookmarkStart w:id="48" w:name="_Toc216708105"/>
      <w:r w:rsidRPr="5F76E7EC">
        <w:rPr>
          <w:rFonts w:eastAsia="Arial" w:cs="Arial"/>
          <w:bCs/>
        </w:rPr>
        <w:t xml:space="preserve">4.2.2 </w:t>
      </w:r>
      <w:r w:rsidR="026E9AC4" w:rsidRPr="5F76E7EC">
        <w:rPr>
          <w:rFonts w:eastAsia="Arial" w:cs="Arial"/>
          <w:bCs/>
        </w:rPr>
        <w:t>Mergers (including amalgamations)</w:t>
      </w:r>
      <w:bookmarkEnd w:id="48"/>
      <w:r w:rsidR="026E9AC4" w:rsidRPr="5F76E7EC">
        <w:rPr>
          <w:rFonts w:eastAsia="Arial" w:cs="Arial"/>
          <w:bCs/>
        </w:rPr>
        <w:t xml:space="preserve">  </w:t>
      </w:r>
    </w:p>
    <w:p w14:paraId="17A277C7" w14:textId="548E9151" w:rsidR="00300327" w:rsidRDefault="026E9AC4" w:rsidP="6BF6D514">
      <w:pPr>
        <w:spacing w:before="0" w:after="160" w:line="257" w:lineRule="auto"/>
      </w:pPr>
      <w:r w:rsidRPr="737F4B34">
        <w:rPr>
          <w:rFonts w:eastAsia="Arial" w:cs="Arial"/>
          <w:lang w:val="en-GB"/>
        </w:rPr>
        <w:t>A merger</w:t>
      </w:r>
      <w:r w:rsidRPr="737F4B34" w:rsidDel="00B95969">
        <w:rPr>
          <w:rFonts w:eastAsia="Arial" w:cs="Arial"/>
          <w:lang w:val="en-GB"/>
        </w:rPr>
        <w:t xml:space="preserve"> </w:t>
      </w:r>
      <w:r w:rsidRPr="737F4B34">
        <w:rPr>
          <w:rFonts w:eastAsia="Arial" w:cs="Arial"/>
          <w:lang w:val="en-GB"/>
        </w:rPr>
        <w:t>refers to</w:t>
      </w:r>
      <w:r w:rsidRPr="737F4B34" w:rsidDel="00862557">
        <w:rPr>
          <w:rFonts w:eastAsia="Arial" w:cs="Arial"/>
          <w:lang w:val="en-GB"/>
        </w:rPr>
        <w:t xml:space="preserve"> </w:t>
      </w:r>
      <w:r w:rsidRPr="737F4B34">
        <w:rPr>
          <w:rFonts w:eastAsia="Arial" w:cs="Arial"/>
          <w:lang w:val="en-GB"/>
        </w:rPr>
        <w:t xml:space="preserve">two or more </w:t>
      </w:r>
      <w:r w:rsidR="1E17E8ED" w:rsidRPr="737F4B34">
        <w:rPr>
          <w:rFonts w:eastAsia="Arial" w:cs="Arial"/>
          <w:lang w:val="en-GB"/>
        </w:rPr>
        <w:t>entities</w:t>
      </w:r>
      <w:r w:rsidR="69B3A78E" w:rsidRPr="737F4B34">
        <w:rPr>
          <w:rFonts w:eastAsia="Arial" w:cs="Arial"/>
          <w:lang w:val="en-GB"/>
        </w:rPr>
        <w:t xml:space="preserve"> </w:t>
      </w:r>
      <w:r w:rsidR="2BAC4AA1" w:rsidRPr="737F4B34">
        <w:rPr>
          <w:rFonts w:eastAsia="Arial" w:cs="Arial"/>
          <w:lang w:val="en-GB"/>
        </w:rPr>
        <w:t>combin</w:t>
      </w:r>
      <w:r w:rsidR="46C05305" w:rsidRPr="737F4B34">
        <w:rPr>
          <w:rFonts w:eastAsia="Arial" w:cs="Arial"/>
          <w:lang w:val="en-GB"/>
        </w:rPr>
        <w:t>ing</w:t>
      </w:r>
      <w:r w:rsidR="2BAC4AA1" w:rsidRPr="737F4B34">
        <w:rPr>
          <w:rFonts w:eastAsia="Arial" w:cs="Arial"/>
          <w:lang w:val="en-GB"/>
        </w:rPr>
        <w:t xml:space="preserve"> </w:t>
      </w:r>
      <w:r w:rsidRPr="737F4B34">
        <w:rPr>
          <w:rFonts w:eastAsia="Arial" w:cs="Arial"/>
          <w:lang w:val="en-GB"/>
        </w:rPr>
        <w:t xml:space="preserve">to form a single </w:t>
      </w:r>
      <w:r w:rsidR="1E17E8ED" w:rsidRPr="737F4B34">
        <w:rPr>
          <w:rFonts w:eastAsia="Arial" w:cs="Arial"/>
          <w:lang w:val="en-GB"/>
        </w:rPr>
        <w:t>entity</w:t>
      </w:r>
      <w:r w:rsidRPr="737F4B34">
        <w:rPr>
          <w:rFonts w:eastAsia="Arial" w:cs="Arial"/>
          <w:lang w:val="en-GB"/>
        </w:rPr>
        <w:t xml:space="preserve"> under one of the original </w:t>
      </w:r>
      <w:r w:rsidR="25EA9F1A" w:rsidRPr="737F4B34">
        <w:rPr>
          <w:rFonts w:eastAsia="Arial" w:cs="Arial"/>
          <w:lang w:val="en-GB"/>
        </w:rPr>
        <w:t>Australian Business Numbers</w:t>
      </w:r>
      <w:r w:rsidR="36968C79" w:rsidRPr="737F4B34">
        <w:rPr>
          <w:rFonts w:eastAsia="Arial" w:cs="Arial"/>
          <w:lang w:val="en-GB"/>
        </w:rPr>
        <w:t xml:space="preserve"> </w:t>
      </w:r>
      <w:r w:rsidR="699ECE3B" w:rsidRPr="737F4B34">
        <w:rPr>
          <w:rFonts w:eastAsia="Arial" w:cs="Arial"/>
          <w:lang w:val="en-GB"/>
        </w:rPr>
        <w:t>(</w:t>
      </w:r>
      <w:r w:rsidRPr="737F4B34">
        <w:rPr>
          <w:rFonts w:eastAsia="Arial" w:cs="Arial"/>
          <w:lang w:val="en-GB"/>
        </w:rPr>
        <w:t>ABNs</w:t>
      </w:r>
      <w:r w:rsidR="692F58CC" w:rsidRPr="737F4B34">
        <w:rPr>
          <w:rFonts w:eastAsia="Arial" w:cs="Arial"/>
          <w:lang w:val="en-GB"/>
        </w:rPr>
        <w:t>)</w:t>
      </w:r>
      <w:r w:rsidR="36968C79" w:rsidRPr="737F4B34">
        <w:rPr>
          <w:rFonts w:eastAsia="Arial" w:cs="Arial"/>
          <w:lang w:val="en-GB"/>
        </w:rPr>
        <w:t>.</w:t>
      </w:r>
      <w:r w:rsidRPr="737F4B34">
        <w:rPr>
          <w:rFonts w:eastAsia="Arial" w:cs="Arial"/>
          <w:lang w:val="en-GB"/>
        </w:rPr>
        <w:t xml:space="preserve"> In this process,</w:t>
      </w:r>
      <w:r w:rsidRPr="737F4B34" w:rsidDel="00DA7381">
        <w:rPr>
          <w:rFonts w:eastAsia="Arial" w:cs="Arial"/>
          <w:lang w:val="en-GB"/>
        </w:rPr>
        <w:t xml:space="preserve"> </w:t>
      </w:r>
      <w:r w:rsidRPr="737F4B34">
        <w:rPr>
          <w:rFonts w:eastAsia="Arial" w:cs="Arial"/>
          <w:lang w:val="en-GB"/>
        </w:rPr>
        <w:t xml:space="preserve">practices pool their resources, including staff, patient </w:t>
      </w:r>
      <w:r w:rsidR="08BCBA8F" w:rsidRPr="737F4B34">
        <w:rPr>
          <w:rFonts w:eastAsia="Arial" w:cs="Arial"/>
          <w:lang w:val="en-GB"/>
        </w:rPr>
        <w:t>records</w:t>
      </w:r>
      <w:r w:rsidR="2BAC4AA1" w:rsidRPr="737F4B34">
        <w:rPr>
          <w:rFonts w:eastAsia="Arial" w:cs="Arial"/>
          <w:lang w:val="en-GB"/>
        </w:rPr>
        <w:t xml:space="preserve">, </w:t>
      </w:r>
      <w:r w:rsidRPr="737F4B34">
        <w:rPr>
          <w:rFonts w:eastAsia="Arial" w:cs="Arial"/>
          <w:lang w:val="en-GB"/>
        </w:rPr>
        <w:t>and operational systems, to operate under a unified management structure.</w:t>
      </w:r>
    </w:p>
    <w:p w14:paraId="3E142461" w14:textId="2915C578" w:rsidR="026E9AC4" w:rsidRDefault="2BAC4AA1" w:rsidP="6BF6D514">
      <w:pPr>
        <w:spacing w:before="0" w:after="160" w:line="257" w:lineRule="auto"/>
      </w:pPr>
      <w:r w:rsidRPr="5F76E7EC">
        <w:rPr>
          <w:rFonts w:eastAsia="Arial" w:cs="Arial"/>
          <w:szCs w:val="22"/>
        </w:rPr>
        <w:t>A</w:t>
      </w:r>
      <w:r w:rsidR="026E9AC4" w:rsidRPr="5F76E7EC">
        <w:rPr>
          <w:rFonts w:eastAsia="Arial" w:cs="Arial"/>
          <w:szCs w:val="22"/>
        </w:rPr>
        <w:t xml:space="preserve"> practice amalgamation is a type of merger. It occurs when two existing </w:t>
      </w:r>
      <w:r w:rsidR="3B5013F8" w:rsidRPr="5F76E7EC">
        <w:rPr>
          <w:rFonts w:eastAsia="Arial" w:cs="Arial"/>
          <w:szCs w:val="22"/>
        </w:rPr>
        <w:t>entities</w:t>
      </w:r>
      <w:r w:rsidR="026E9AC4" w:rsidRPr="5F76E7EC">
        <w:rPr>
          <w:rFonts w:eastAsia="Arial" w:cs="Arial"/>
          <w:szCs w:val="22"/>
        </w:rPr>
        <w:t xml:space="preserve"> combine</w:t>
      </w:r>
      <w:r w:rsidR="026E9AC4" w:rsidRPr="5F76E7EC" w:rsidDel="007C0306">
        <w:rPr>
          <w:rFonts w:eastAsia="Arial" w:cs="Arial"/>
          <w:szCs w:val="22"/>
        </w:rPr>
        <w:t xml:space="preserve"> </w:t>
      </w:r>
      <w:r w:rsidR="026E9AC4" w:rsidRPr="5F76E7EC">
        <w:rPr>
          <w:rFonts w:eastAsia="Arial" w:cs="Arial"/>
          <w:szCs w:val="22"/>
        </w:rPr>
        <w:t xml:space="preserve">and a new ABN is created. </w:t>
      </w:r>
    </w:p>
    <w:p w14:paraId="281AB4C1" w14:textId="0C6368A6" w:rsidR="026E9AC4" w:rsidRDefault="5515F6C0" w:rsidP="6BF6D514">
      <w:pPr>
        <w:spacing w:before="0" w:after="160" w:line="257" w:lineRule="auto"/>
      </w:pPr>
      <w:r w:rsidRPr="5F76E7EC">
        <w:rPr>
          <w:rFonts w:eastAsia="Arial" w:cs="Arial"/>
          <w:szCs w:val="22"/>
        </w:rPr>
        <w:t>A</w:t>
      </w:r>
      <w:r w:rsidR="00620484" w:rsidRPr="5F76E7EC">
        <w:rPr>
          <w:rFonts w:eastAsia="Arial" w:cs="Arial"/>
          <w:szCs w:val="22"/>
        </w:rPr>
        <w:t xml:space="preserve"> practice</w:t>
      </w:r>
      <w:r w:rsidR="026E9AC4" w:rsidRPr="5F76E7EC">
        <w:rPr>
          <w:rFonts w:eastAsia="Arial" w:cs="Arial"/>
          <w:szCs w:val="22"/>
        </w:rPr>
        <w:t xml:space="preserve"> undergoing a merger or amalgamation is required to adhere to the below conditions to be considered a </w:t>
      </w:r>
      <w:r w:rsidR="026E9AC4" w:rsidRPr="5F76E7EC">
        <w:rPr>
          <w:rFonts w:eastAsia="Arial" w:cs="Arial"/>
          <w:b/>
          <w:bCs/>
          <w:szCs w:val="22"/>
        </w:rPr>
        <w:t xml:space="preserve">continuing </w:t>
      </w:r>
      <w:r w:rsidRPr="5F76E7EC">
        <w:rPr>
          <w:rFonts w:eastAsia="Arial" w:cs="Arial"/>
          <w:b/>
          <w:bCs/>
          <w:szCs w:val="22"/>
        </w:rPr>
        <w:t>entity</w:t>
      </w:r>
      <w:r w:rsidR="026E9AC4" w:rsidRPr="5F76E7EC">
        <w:rPr>
          <w:rFonts w:eastAsia="Arial" w:cs="Arial"/>
          <w:szCs w:val="22"/>
        </w:rPr>
        <w:t xml:space="preserve"> for the purpose of </w:t>
      </w:r>
      <w:r w:rsidR="00C474C6" w:rsidRPr="5F76E7EC">
        <w:rPr>
          <w:rFonts w:eastAsia="Arial" w:cs="Arial"/>
          <w:szCs w:val="22"/>
        </w:rPr>
        <w:t xml:space="preserve">its </w:t>
      </w:r>
      <w:r w:rsidR="026E9AC4" w:rsidRPr="5F76E7EC">
        <w:rPr>
          <w:rFonts w:eastAsia="Arial" w:cs="Arial"/>
          <w:szCs w:val="22"/>
        </w:rPr>
        <w:t>MyMedicare</w:t>
      </w:r>
      <w:r w:rsidR="00C474C6" w:rsidRPr="5F76E7EC">
        <w:rPr>
          <w:rFonts w:eastAsia="Arial" w:cs="Arial"/>
          <w:szCs w:val="22"/>
        </w:rPr>
        <w:t xml:space="preserve"> registration</w:t>
      </w:r>
      <w:r w:rsidR="026E9AC4" w:rsidRPr="5F76E7EC">
        <w:rPr>
          <w:rFonts w:eastAsia="Arial" w:cs="Arial"/>
          <w:szCs w:val="22"/>
        </w:rPr>
        <w:t xml:space="preserve">. </w:t>
      </w:r>
    </w:p>
    <w:p w14:paraId="4AF13413" w14:textId="52DF71AC" w:rsidR="026E9AC4" w:rsidRDefault="026E9AC4" w:rsidP="007A3716">
      <w:pPr>
        <w:pStyle w:val="ListParagraph"/>
        <w:numPr>
          <w:ilvl w:val="0"/>
          <w:numId w:val="26"/>
        </w:numPr>
        <w:spacing w:after="0" w:line="257" w:lineRule="auto"/>
        <w:rPr>
          <w:rFonts w:ascii="Arial" w:eastAsia="Arial" w:hAnsi="Arial" w:cs="Arial"/>
          <w:szCs w:val="22"/>
        </w:rPr>
      </w:pPr>
      <w:r w:rsidRPr="5F76E7EC">
        <w:rPr>
          <w:rFonts w:ascii="Arial" w:eastAsia="Arial" w:hAnsi="Arial" w:cs="Arial"/>
          <w:szCs w:val="22"/>
        </w:rPr>
        <w:t xml:space="preserve">The merging or amalgamating practice locations must be within the </w:t>
      </w:r>
      <w:r w:rsidRPr="5F76E7EC">
        <w:rPr>
          <w:rFonts w:ascii="Arial" w:eastAsia="Arial" w:hAnsi="Arial" w:cs="Arial"/>
          <w:b/>
          <w:bCs/>
          <w:szCs w:val="22"/>
        </w:rPr>
        <w:t xml:space="preserve">same local area </w:t>
      </w:r>
      <w:r w:rsidRPr="5F76E7EC">
        <w:rPr>
          <w:rFonts w:ascii="Arial" w:eastAsia="Arial" w:hAnsi="Arial" w:cs="Arial"/>
          <w:szCs w:val="22"/>
        </w:rPr>
        <w:t xml:space="preserve">(see Section </w:t>
      </w:r>
      <w:r w:rsidR="00315302" w:rsidRPr="5F76E7EC">
        <w:rPr>
          <w:rFonts w:ascii="Arial" w:eastAsia="Arial" w:hAnsi="Arial" w:cs="Arial"/>
          <w:szCs w:val="22"/>
        </w:rPr>
        <w:t>4.</w:t>
      </w:r>
      <w:r w:rsidR="2A327A98" w:rsidRPr="5F76E7EC">
        <w:rPr>
          <w:rFonts w:ascii="Arial" w:eastAsia="Arial" w:hAnsi="Arial" w:cs="Arial"/>
          <w:szCs w:val="22"/>
        </w:rPr>
        <w:t>5</w:t>
      </w:r>
      <w:r w:rsidRPr="5F76E7EC">
        <w:rPr>
          <w:rFonts w:ascii="Arial" w:eastAsia="Arial" w:hAnsi="Arial" w:cs="Arial"/>
          <w:szCs w:val="22"/>
        </w:rPr>
        <w:t xml:space="preserve">), </w:t>
      </w:r>
      <w:r w:rsidR="00AD4E53" w:rsidRPr="5F76E7EC">
        <w:rPr>
          <w:rFonts w:ascii="Arial" w:eastAsia="Arial" w:hAnsi="Arial" w:cs="Arial"/>
          <w:szCs w:val="22"/>
        </w:rPr>
        <w:t xml:space="preserve">and operate from one location as a single practice, </w:t>
      </w:r>
      <w:r w:rsidRPr="5F76E7EC">
        <w:rPr>
          <w:rFonts w:ascii="Arial" w:eastAsia="Arial" w:hAnsi="Arial" w:cs="Arial"/>
          <w:szCs w:val="22"/>
        </w:rPr>
        <w:t>ensuring continued accessibility for MyMedicare registered patients.</w:t>
      </w:r>
    </w:p>
    <w:p w14:paraId="5C7188F4" w14:textId="6DA89053" w:rsidR="026E9AC4" w:rsidRDefault="026E9AC4" w:rsidP="007A3716">
      <w:pPr>
        <w:pStyle w:val="ListParagraph"/>
        <w:numPr>
          <w:ilvl w:val="0"/>
          <w:numId w:val="26"/>
        </w:numPr>
        <w:spacing w:after="0" w:line="257" w:lineRule="auto"/>
        <w:rPr>
          <w:rFonts w:ascii="Arial" w:eastAsia="Arial" w:hAnsi="Arial" w:cs="Arial"/>
        </w:rPr>
      </w:pPr>
      <w:r w:rsidRPr="737F4B34">
        <w:rPr>
          <w:rFonts w:ascii="Arial" w:eastAsia="Arial" w:hAnsi="Arial" w:cs="Arial"/>
        </w:rPr>
        <w:t xml:space="preserve">The </w:t>
      </w:r>
      <w:r w:rsidR="2BAC4AA1" w:rsidRPr="737F4B34">
        <w:rPr>
          <w:rFonts w:ascii="Arial" w:eastAsia="Arial" w:hAnsi="Arial" w:cs="Arial"/>
        </w:rPr>
        <w:t>merg</w:t>
      </w:r>
      <w:r w:rsidR="5B5FBD8D" w:rsidRPr="737F4B34">
        <w:rPr>
          <w:rFonts w:ascii="Arial" w:eastAsia="Arial" w:hAnsi="Arial" w:cs="Arial"/>
        </w:rPr>
        <w:t>ed</w:t>
      </w:r>
      <w:r w:rsidR="2BAC4AA1" w:rsidRPr="737F4B34">
        <w:rPr>
          <w:rFonts w:ascii="Arial" w:eastAsia="Arial" w:hAnsi="Arial" w:cs="Arial"/>
        </w:rPr>
        <w:t xml:space="preserve"> or amalgamat</w:t>
      </w:r>
      <w:r w:rsidR="5B5FBD8D" w:rsidRPr="737F4B34">
        <w:rPr>
          <w:rFonts w:ascii="Arial" w:eastAsia="Arial" w:hAnsi="Arial" w:cs="Arial"/>
        </w:rPr>
        <w:t>ed</w:t>
      </w:r>
      <w:r w:rsidR="2BAC4AA1" w:rsidRPr="737F4B34">
        <w:rPr>
          <w:rFonts w:ascii="Arial" w:eastAsia="Arial" w:hAnsi="Arial" w:cs="Arial"/>
        </w:rPr>
        <w:t xml:space="preserve"> </w:t>
      </w:r>
      <w:r w:rsidRPr="737F4B34">
        <w:rPr>
          <w:rFonts w:ascii="Arial" w:eastAsia="Arial" w:hAnsi="Arial" w:cs="Arial"/>
        </w:rPr>
        <w:t xml:space="preserve">practice must </w:t>
      </w:r>
      <w:r w:rsidR="00EC0C41" w:rsidRPr="737F4B34">
        <w:rPr>
          <w:rFonts w:ascii="Arial" w:eastAsia="Arial" w:hAnsi="Arial" w:cs="Arial"/>
        </w:rPr>
        <w:t xml:space="preserve">continue to </w:t>
      </w:r>
      <w:r w:rsidRPr="737F4B34">
        <w:rPr>
          <w:rFonts w:ascii="Arial" w:eastAsia="Arial" w:hAnsi="Arial" w:cs="Arial"/>
        </w:rPr>
        <w:t xml:space="preserve">adhere to MyMedicare policies and guidelines, including maintaining accreditation. This includes ensuring that the practice’s accreditation is transferred or maintained at the merged or amalgamated location or is </w:t>
      </w:r>
      <w:r w:rsidR="36968C79" w:rsidRPr="737F4B34">
        <w:rPr>
          <w:rFonts w:ascii="Arial" w:eastAsia="Arial" w:hAnsi="Arial" w:cs="Arial"/>
        </w:rPr>
        <w:t>reissued</w:t>
      </w:r>
      <w:r w:rsidRPr="737F4B34">
        <w:rPr>
          <w:rFonts w:ascii="Arial" w:eastAsia="Arial" w:hAnsi="Arial" w:cs="Arial"/>
        </w:rPr>
        <w:t xml:space="preserve"> by the accrediting agency to reflect the merged or amalgamated practice location.</w:t>
      </w:r>
    </w:p>
    <w:p w14:paraId="3937D52D" w14:textId="53CABA6F" w:rsidR="00345D79" w:rsidRDefault="00EC0C41" w:rsidP="007A3716">
      <w:pPr>
        <w:pStyle w:val="ListParagraph"/>
        <w:numPr>
          <w:ilvl w:val="0"/>
          <w:numId w:val="26"/>
        </w:numPr>
        <w:spacing w:after="0" w:line="257" w:lineRule="auto"/>
        <w:rPr>
          <w:rFonts w:ascii="Arial" w:eastAsia="Arial" w:hAnsi="Arial" w:cs="Arial"/>
          <w:szCs w:val="22"/>
        </w:rPr>
      </w:pPr>
      <w:r w:rsidRPr="5F76E7EC">
        <w:rPr>
          <w:rFonts w:ascii="Arial" w:eastAsia="Arial" w:hAnsi="Arial" w:cs="Arial"/>
          <w:szCs w:val="22"/>
        </w:rPr>
        <w:t>P</w:t>
      </w:r>
      <w:r w:rsidR="00345D79" w:rsidRPr="5F76E7EC">
        <w:rPr>
          <w:rFonts w:ascii="Arial" w:eastAsia="Arial" w:hAnsi="Arial" w:cs="Arial"/>
          <w:szCs w:val="22"/>
        </w:rPr>
        <w:t>atient registrations, medical records, staff, and services</w:t>
      </w:r>
      <w:r w:rsidRPr="5F76E7EC">
        <w:rPr>
          <w:rFonts w:ascii="Arial" w:eastAsia="Arial" w:hAnsi="Arial" w:cs="Arial"/>
          <w:szCs w:val="22"/>
        </w:rPr>
        <w:t xml:space="preserve"> must be combined</w:t>
      </w:r>
      <w:r w:rsidR="00345D79" w:rsidRPr="5F76E7EC">
        <w:rPr>
          <w:rFonts w:ascii="Arial" w:eastAsia="Arial" w:hAnsi="Arial" w:cs="Arial"/>
          <w:szCs w:val="22"/>
        </w:rPr>
        <w:t xml:space="preserve"> under one practice.</w:t>
      </w:r>
    </w:p>
    <w:p w14:paraId="6CF0A09B" w14:textId="21479865" w:rsidR="026E9AC4" w:rsidRDefault="5A3B826C" w:rsidP="737F4B34">
      <w:pPr>
        <w:pStyle w:val="Heading3"/>
        <w:numPr>
          <w:ilvl w:val="0"/>
          <w:numId w:val="0"/>
        </w:numPr>
        <w:rPr>
          <w:rFonts w:eastAsia="Arial" w:cs="Arial"/>
          <w:bCs/>
        </w:rPr>
      </w:pPr>
      <w:bookmarkStart w:id="49" w:name="_Toc216708106"/>
      <w:r w:rsidRPr="5F76E7EC">
        <w:rPr>
          <w:rFonts w:eastAsia="Arial" w:cs="Arial"/>
          <w:bCs/>
        </w:rPr>
        <w:lastRenderedPageBreak/>
        <w:t xml:space="preserve">4.2.3 </w:t>
      </w:r>
      <w:r w:rsidR="026E9AC4" w:rsidRPr="5F76E7EC">
        <w:rPr>
          <w:rFonts w:eastAsia="Arial" w:cs="Arial"/>
          <w:bCs/>
        </w:rPr>
        <w:t>Separation of Practice</w:t>
      </w:r>
      <w:bookmarkEnd w:id="49"/>
      <w:r w:rsidR="026E9AC4" w:rsidRPr="5F76E7EC">
        <w:rPr>
          <w:rFonts w:eastAsia="Arial" w:cs="Arial"/>
          <w:bCs/>
        </w:rPr>
        <w:t xml:space="preserve">  </w:t>
      </w:r>
    </w:p>
    <w:p w14:paraId="3B65CEF1" w14:textId="2E6DF4AB" w:rsidR="026E9AC4" w:rsidRDefault="026E9AC4" w:rsidP="6BF6D514">
      <w:pPr>
        <w:spacing w:before="0" w:after="160" w:line="257" w:lineRule="auto"/>
      </w:pPr>
      <w:r w:rsidRPr="5F76E7EC">
        <w:rPr>
          <w:rFonts w:eastAsia="Arial" w:cs="Arial"/>
          <w:szCs w:val="22"/>
        </w:rPr>
        <w:t xml:space="preserve">A separation of </w:t>
      </w:r>
      <w:r w:rsidR="2BAC4AA1" w:rsidRPr="5F76E7EC">
        <w:rPr>
          <w:rFonts w:eastAsia="Arial" w:cs="Arial"/>
          <w:szCs w:val="22"/>
        </w:rPr>
        <w:t>a</w:t>
      </w:r>
      <w:r w:rsidRPr="5F76E7EC">
        <w:rPr>
          <w:rFonts w:eastAsia="Arial" w:cs="Arial"/>
          <w:szCs w:val="22"/>
        </w:rPr>
        <w:t xml:space="preserve"> practice refers to the division of </w:t>
      </w:r>
      <w:r w:rsidR="4F41D0FF" w:rsidRPr="5F76E7EC">
        <w:rPr>
          <w:rFonts w:eastAsia="Arial" w:cs="Arial"/>
          <w:szCs w:val="22"/>
        </w:rPr>
        <w:t>a</w:t>
      </w:r>
      <w:r w:rsidRPr="5F76E7EC">
        <w:rPr>
          <w:rFonts w:eastAsia="Arial" w:cs="Arial"/>
          <w:szCs w:val="22"/>
        </w:rPr>
        <w:t xml:space="preserve"> practice </w:t>
      </w:r>
      <w:r w:rsidR="00B46A01" w:rsidRPr="5F76E7EC">
        <w:rPr>
          <w:rFonts w:eastAsia="Arial" w:cs="Arial"/>
          <w:szCs w:val="22"/>
        </w:rPr>
        <w:t xml:space="preserve">to be owned </w:t>
      </w:r>
      <w:r w:rsidR="4F41D0FF" w:rsidRPr="5F76E7EC">
        <w:rPr>
          <w:rFonts w:eastAsia="Arial" w:cs="Arial"/>
          <w:szCs w:val="22"/>
        </w:rPr>
        <w:t>by</w:t>
      </w:r>
      <w:r w:rsidRPr="5F76E7EC">
        <w:rPr>
          <w:rFonts w:eastAsia="Arial" w:cs="Arial"/>
          <w:szCs w:val="22"/>
        </w:rPr>
        <w:t xml:space="preserve"> two or more operational and legal entities. This includes:</w:t>
      </w:r>
    </w:p>
    <w:p w14:paraId="23A5C8D8" w14:textId="7B05D9FD" w:rsidR="026E9AC4" w:rsidRDefault="026E9AC4" w:rsidP="007A3716">
      <w:pPr>
        <w:pStyle w:val="ListParagraph"/>
        <w:numPr>
          <w:ilvl w:val="0"/>
          <w:numId w:val="25"/>
        </w:numPr>
        <w:spacing w:after="0" w:line="257" w:lineRule="auto"/>
        <w:rPr>
          <w:rFonts w:ascii="Arial" w:eastAsia="Arial" w:hAnsi="Arial" w:cs="Arial"/>
          <w:szCs w:val="22"/>
        </w:rPr>
      </w:pPr>
      <w:r w:rsidRPr="5F76E7EC">
        <w:rPr>
          <w:rFonts w:ascii="Arial" w:eastAsia="Arial" w:hAnsi="Arial" w:cs="Arial"/>
          <w:szCs w:val="22"/>
        </w:rPr>
        <w:t xml:space="preserve">dividing patient registrations, medical records, staff, and services </w:t>
      </w:r>
      <w:r w:rsidR="00B46A01" w:rsidRPr="5F76E7EC">
        <w:rPr>
          <w:rFonts w:ascii="Arial" w:eastAsia="Arial" w:hAnsi="Arial" w:cs="Arial"/>
          <w:szCs w:val="22"/>
        </w:rPr>
        <w:t xml:space="preserve">across </w:t>
      </w:r>
      <w:r w:rsidRPr="5F76E7EC">
        <w:rPr>
          <w:rFonts w:ascii="Arial" w:eastAsia="Arial" w:hAnsi="Arial" w:cs="Arial"/>
          <w:szCs w:val="22"/>
        </w:rPr>
        <w:t>two or more entities</w:t>
      </w:r>
      <w:r w:rsidR="00CC1C00" w:rsidRPr="5F76E7EC">
        <w:rPr>
          <w:rFonts w:ascii="Arial" w:eastAsia="Arial" w:hAnsi="Arial" w:cs="Arial"/>
          <w:szCs w:val="22"/>
        </w:rPr>
        <w:t>.</w:t>
      </w:r>
    </w:p>
    <w:p w14:paraId="7EAC8EAE" w14:textId="034F3D26" w:rsidR="026E9AC4" w:rsidRDefault="026E9AC4" w:rsidP="007A3716">
      <w:pPr>
        <w:pStyle w:val="ListParagraph"/>
        <w:numPr>
          <w:ilvl w:val="0"/>
          <w:numId w:val="25"/>
        </w:numPr>
        <w:spacing w:after="0" w:line="257" w:lineRule="auto"/>
        <w:rPr>
          <w:rFonts w:ascii="Arial" w:eastAsia="Arial" w:hAnsi="Arial" w:cs="Arial"/>
          <w:szCs w:val="22"/>
        </w:rPr>
      </w:pPr>
      <w:r w:rsidRPr="5F76E7EC">
        <w:rPr>
          <w:rFonts w:ascii="Arial" w:eastAsia="Arial" w:hAnsi="Arial" w:cs="Arial"/>
          <w:szCs w:val="22"/>
        </w:rPr>
        <w:t>each new practice obtaining/maintaining accreditation</w:t>
      </w:r>
      <w:r w:rsidR="00CC1C00" w:rsidRPr="5F76E7EC">
        <w:rPr>
          <w:rFonts w:ascii="Arial" w:eastAsia="Arial" w:hAnsi="Arial" w:cs="Arial"/>
          <w:szCs w:val="22"/>
        </w:rPr>
        <w:t>.</w:t>
      </w:r>
    </w:p>
    <w:p w14:paraId="42491D3D" w14:textId="1145E175" w:rsidR="00CC1C00" w:rsidRDefault="026E9AC4" w:rsidP="007A3716">
      <w:pPr>
        <w:pStyle w:val="ListParagraph"/>
        <w:numPr>
          <w:ilvl w:val="0"/>
          <w:numId w:val="25"/>
        </w:numPr>
        <w:spacing w:after="0" w:line="257" w:lineRule="auto"/>
        <w:rPr>
          <w:rFonts w:ascii="Arial" w:eastAsia="Arial" w:hAnsi="Arial" w:cs="Arial"/>
          <w:szCs w:val="22"/>
        </w:rPr>
      </w:pPr>
      <w:r w:rsidRPr="5F76E7EC">
        <w:rPr>
          <w:rFonts w:ascii="Arial" w:eastAsia="Arial" w:hAnsi="Arial" w:cs="Arial"/>
          <w:szCs w:val="22"/>
        </w:rPr>
        <w:t>operating from two or more locations as individual practices while ensuring continuity of patient care.</w:t>
      </w:r>
    </w:p>
    <w:p w14:paraId="33D21367" w14:textId="2A22138D" w:rsidR="5E9F959E" w:rsidRDefault="15E0C158" w:rsidP="5F76E7EC">
      <w:pPr>
        <w:spacing w:before="0" w:after="0" w:line="257" w:lineRule="auto"/>
        <w:ind w:left="720"/>
      </w:pPr>
      <w:r w:rsidRPr="5F76E7EC">
        <w:rPr>
          <w:rFonts w:ascii="Calibri" w:eastAsia="Calibri" w:hAnsi="Calibri" w:cs="Calibri"/>
          <w:szCs w:val="22"/>
        </w:rPr>
        <w:t xml:space="preserve"> </w:t>
      </w:r>
    </w:p>
    <w:p w14:paraId="7270A00F" w14:textId="7C6BF438" w:rsidR="026E9AC4" w:rsidRDefault="026E9AC4" w:rsidP="6BF6D514">
      <w:pPr>
        <w:spacing w:before="0" w:after="160" w:line="257" w:lineRule="auto"/>
      </w:pPr>
      <w:r w:rsidRPr="5F76E7EC">
        <w:rPr>
          <w:rFonts w:eastAsia="Arial" w:cs="Arial"/>
          <w:szCs w:val="22"/>
        </w:rPr>
        <w:t xml:space="preserve">One of the separating entities may be considered a </w:t>
      </w:r>
      <w:r w:rsidRPr="5F76E7EC">
        <w:rPr>
          <w:rFonts w:eastAsia="Arial" w:cs="Arial"/>
          <w:b/>
          <w:bCs/>
          <w:szCs w:val="22"/>
        </w:rPr>
        <w:t>continuing practice</w:t>
      </w:r>
      <w:r w:rsidRPr="5F76E7EC">
        <w:rPr>
          <w:rFonts w:eastAsia="Arial" w:cs="Arial"/>
          <w:szCs w:val="22"/>
        </w:rPr>
        <w:t xml:space="preserve"> for the purpose of MyMedicare, provided it adheres to MyMedicare policies and guidelines, including maintaining accreditation. </w:t>
      </w:r>
    </w:p>
    <w:p w14:paraId="061EAC8A" w14:textId="1E4A852D" w:rsidR="026E9AC4" w:rsidRDefault="15E0C158" w:rsidP="5F76E7EC">
      <w:pPr>
        <w:pStyle w:val="Heading2"/>
        <w:numPr>
          <w:ilvl w:val="0"/>
          <w:numId w:val="0"/>
        </w:numPr>
        <w:ind w:left="578" w:hanging="578"/>
        <w:rPr>
          <w:rFonts w:eastAsia="Arial" w:cs="Arial"/>
        </w:rPr>
      </w:pPr>
      <w:bookmarkStart w:id="50" w:name="_Toc216708107"/>
      <w:r w:rsidRPr="71CB847D">
        <w:rPr>
          <w:rFonts w:eastAsia="Arial" w:cs="Arial"/>
        </w:rPr>
        <w:t>4.</w:t>
      </w:r>
      <w:r w:rsidR="68347406" w:rsidRPr="71CB847D">
        <w:rPr>
          <w:rFonts w:eastAsia="Arial" w:cs="Arial"/>
        </w:rPr>
        <w:t>2.4</w:t>
      </w:r>
      <w:r w:rsidR="1B7C6911" w:rsidRPr="71CB847D">
        <w:rPr>
          <w:rFonts w:eastAsia="Arial" w:cs="Arial"/>
        </w:rPr>
        <w:t xml:space="preserve"> </w:t>
      </w:r>
      <w:r w:rsidR="026E9AC4" w:rsidRPr="71CB847D">
        <w:rPr>
          <w:rFonts w:eastAsia="Arial" w:cs="Arial"/>
        </w:rPr>
        <w:t>Internal change in business structure (no change in ownership, including ABN Changes)</w:t>
      </w:r>
      <w:bookmarkEnd w:id="50"/>
    </w:p>
    <w:p w14:paraId="67BB4209" w14:textId="546E5497" w:rsidR="026E9AC4" w:rsidRDefault="026E9AC4" w:rsidP="6BF6D514">
      <w:pPr>
        <w:spacing w:before="0" w:after="160" w:line="257" w:lineRule="auto"/>
      </w:pPr>
      <w:r w:rsidRPr="5F76E7EC">
        <w:rPr>
          <w:rFonts w:eastAsia="Arial" w:cs="Arial"/>
          <w:szCs w:val="22"/>
          <w:lang w:val="en-GB"/>
        </w:rPr>
        <w:t>Internal business structure changes can occur within an organisation, including ABN changes. These changes do not necessarily mean there has been a change in ownership.</w:t>
      </w:r>
    </w:p>
    <w:p w14:paraId="60D60930" w14:textId="46513B8F" w:rsidR="026E9AC4" w:rsidRDefault="15E0C158" w:rsidP="5F76E7EC">
      <w:pPr>
        <w:pStyle w:val="Heading2"/>
        <w:numPr>
          <w:ilvl w:val="0"/>
          <w:numId w:val="0"/>
        </w:numPr>
        <w:rPr>
          <w:rFonts w:eastAsia="Arial" w:cs="Arial"/>
        </w:rPr>
      </w:pPr>
      <w:bookmarkStart w:id="51" w:name="_Toc216708108"/>
      <w:r w:rsidRPr="71CB847D">
        <w:rPr>
          <w:rFonts w:eastAsia="Arial" w:cs="Arial"/>
        </w:rPr>
        <w:t>4.</w:t>
      </w:r>
      <w:r w:rsidR="37D9AA52" w:rsidRPr="71CB847D">
        <w:rPr>
          <w:rFonts w:eastAsia="Arial" w:cs="Arial"/>
        </w:rPr>
        <w:t>2.5</w:t>
      </w:r>
      <w:r w:rsidR="40A467A5" w:rsidRPr="71CB847D">
        <w:rPr>
          <w:rFonts w:eastAsia="Arial" w:cs="Arial"/>
        </w:rPr>
        <w:t xml:space="preserve"> </w:t>
      </w:r>
      <w:r w:rsidR="026E9AC4" w:rsidRPr="71CB847D">
        <w:rPr>
          <w:rFonts w:eastAsia="Arial" w:cs="Arial"/>
        </w:rPr>
        <w:t>Deceased estates</w:t>
      </w:r>
      <w:bookmarkEnd w:id="51"/>
    </w:p>
    <w:p w14:paraId="2B01E2CF" w14:textId="682130D5" w:rsidR="026E9AC4" w:rsidRDefault="4D716080" w:rsidP="6BF6D514">
      <w:pPr>
        <w:spacing w:before="0" w:after="160" w:line="257" w:lineRule="auto"/>
      </w:pPr>
      <w:r w:rsidRPr="5F76E7EC">
        <w:rPr>
          <w:rFonts w:eastAsia="Arial" w:cs="Arial"/>
          <w:szCs w:val="22"/>
          <w:lang w:val="en-GB"/>
        </w:rPr>
        <w:t>If</w:t>
      </w:r>
      <w:r w:rsidR="2BAC4AA1" w:rsidRPr="5F76E7EC">
        <w:rPr>
          <w:rFonts w:eastAsia="Arial" w:cs="Arial"/>
          <w:szCs w:val="22"/>
          <w:lang w:val="en-GB"/>
        </w:rPr>
        <w:t xml:space="preserve"> </w:t>
      </w:r>
      <w:r w:rsidR="18D123B8" w:rsidRPr="5F76E7EC">
        <w:rPr>
          <w:rFonts w:eastAsia="Arial" w:cs="Arial"/>
          <w:szCs w:val="22"/>
          <w:lang w:val="en-GB"/>
        </w:rPr>
        <w:t>ownership</w:t>
      </w:r>
      <w:r w:rsidR="026E9AC4" w:rsidRPr="5F76E7EC">
        <w:rPr>
          <w:rFonts w:eastAsia="Arial" w:cs="Arial"/>
          <w:szCs w:val="22"/>
          <w:lang w:val="en-GB"/>
        </w:rPr>
        <w:t xml:space="preserve"> of a MyMedicare registered practice transfers to a deceased estate, it is the responsibility of the party assuming control, such as the executor or administrator of the estate to notify Services Australia with supporting evidence, as soon as practicable. Deceased estates registered in MyMedicare are not eligible to receive incentive payments.</w:t>
      </w:r>
    </w:p>
    <w:p w14:paraId="17AD6E82" w14:textId="6B4AAA22" w:rsidR="026E9AC4" w:rsidRDefault="15E0C158" w:rsidP="5F76E7EC">
      <w:pPr>
        <w:pStyle w:val="Heading2"/>
        <w:numPr>
          <w:ilvl w:val="0"/>
          <w:numId w:val="0"/>
        </w:numPr>
        <w:ind w:left="578" w:hanging="578"/>
        <w:rPr>
          <w:rFonts w:eastAsia="Arial" w:cs="Arial"/>
        </w:rPr>
      </w:pPr>
      <w:bookmarkStart w:id="52" w:name="_Toc216708109"/>
      <w:r w:rsidRPr="71CB847D">
        <w:rPr>
          <w:rFonts w:eastAsia="Arial" w:cs="Arial"/>
        </w:rPr>
        <w:t>4.3</w:t>
      </w:r>
      <w:r w:rsidR="6E68D0AF" w:rsidRPr="71CB847D">
        <w:rPr>
          <w:rFonts w:eastAsia="Arial" w:cs="Arial"/>
        </w:rPr>
        <w:t xml:space="preserve"> </w:t>
      </w:r>
      <w:r w:rsidR="026E9AC4" w:rsidRPr="71CB847D">
        <w:rPr>
          <w:rFonts w:eastAsia="Arial" w:cs="Arial"/>
        </w:rPr>
        <w:t>Payment arrangements following a change of ownership</w:t>
      </w:r>
      <w:bookmarkEnd w:id="52"/>
    </w:p>
    <w:p w14:paraId="1EF5C076" w14:textId="465799B1" w:rsidR="00144BB5" w:rsidRDefault="026E9AC4">
      <w:pPr>
        <w:spacing w:before="0" w:after="160" w:line="257" w:lineRule="auto"/>
      </w:pPr>
      <w:r w:rsidRPr="5F76E7EC">
        <w:rPr>
          <w:rFonts w:eastAsia="Arial" w:cs="Arial"/>
          <w:szCs w:val="22"/>
        </w:rPr>
        <w:t>Eligibility for MyMedicare incentive p</w:t>
      </w:r>
      <w:r w:rsidR="00005CAB" w:rsidRPr="5F76E7EC">
        <w:rPr>
          <w:rFonts w:eastAsia="Arial" w:cs="Arial"/>
          <w:szCs w:val="22"/>
        </w:rPr>
        <w:t xml:space="preserve">ayments </w:t>
      </w:r>
      <w:r w:rsidRPr="5F76E7EC">
        <w:rPr>
          <w:rFonts w:eastAsia="Arial" w:cs="Arial"/>
          <w:szCs w:val="22"/>
        </w:rPr>
        <w:t xml:space="preserve">is assessed for the entire quarter in which </w:t>
      </w:r>
      <w:r w:rsidR="48D04322" w:rsidRPr="5F76E7EC">
        <w:rPr>
          <w:rFonts w:eastAsia="Arial" w:cs="Arial"/>
          <w:szCs w:val="22"/>
        </w:rPr>
        <w:t>an</w:t>
      </w:r>
      <w:r w:rsidR="00DE678E" w:rsidRPr="5F76E7EC">
        <w:rPr>
          <w:rFonts w:eastAsia="Arial" w:cs="Arial"/>
          <w:szCs w:val="22"/>
        </w:rPr>
        <w:t xml:space="preserve"> organisational change</w:t>
      </w:r>
      <w:r w:rsidRPr="5F76E7EC">
        <w:rPr>
          <w:rFonts w:eastAsia="Arial" w:cs="Arial"/>
          <w:szCs w:val="22"/>
        </w:rPr>
        <w:t xml:space="preserve"> occurs. There is no provision for pro-rata payment where an organisational change occurs part way through a payment assessment period. If the eligibility, program and service requirements for the incentive have been met, as outlined in the incentive program guidelines, the payment will be directed to the bank account provided by the organisation site and responsible provider at the time of payment. Where a payment is made to </w:t>
      </w:r>
      <w:r w:rsidR="45A99D09" w:rsidRPr="5F76E7EC">
        <w:rPr>
          <w:rFonts w:eastAsia="Arial" w:cs="Arial"/>
          <w:szCs w:val="22"/>
        </w:rPr>
        <w:t>the</w:t>
      </w:r>
      <w:r w:rsidRPr="5F76E7EC">
        <w:rPr>
          <w:rFonts w:eastAsia="Arial" w:cs="Arial"/>
          <w:szCs w:val="22"/>
        </w:rPr>
        <w:t xml:space="preserve"> previous </w:t>
      </w:r>
      <w:r w:rsidR="00620484" w:rsidRPr="5F76E7EC">
        <w:rPr>
          <w:rFonts w:eastAsia="Arial" w:cs="Arial"/>
          <w:szCs w:val="22"/>
        </w:rPr>
        <w:t xml:space="preserve">practice </w:t>
      </w:r>
      <w:r w:rsidRPr="5F76E7EC" w:rsidDel="00805699">
        <w:rPr>
          <w:rFonts w:eastAsia="Arial" w:cs="Arial"/>
          <w:szCs w:val="22"/>
        </w:rPr>
        <w:t>owner</w:t>
      </w:r>
      <w:r w:rsidRPr="5F76E7EC">
        <w:rPr>
          <w:rFonts w:eastAsia="Arial" w:cs="Arial"/>
          <w:szCs w:val="22"/>
        </w:rPr>
        <w:t xml:space="preserve"> before new bank details are notified, the previous and new </w:t>
      </w:r>
      <w:r w:rsidR="00620484" w:rsidRPr="5F76E7EC">
        <w:rPr>
          <w:rFonts w:eastAsia="Arial" w:cs="Arial"/>
          <w:szCs w:val="22"/>
        </w:rPr>
        <w:t xml:space="preserve">practice </w:t>
      </w:r>
      <w:r w:rsidR="3E9AFA18" w:rsidRPr="5F76E7EC">
        <w:rPr>
          <w:rFonts w:eastAsia="Arial" w:cs="Arial"/>
          <w:szCs w:val="22"/>
        </w:rPr>
        <w:t>owners</w:t>
      </w:r>
      <w:r w:rsidRPr="5F76E7EC">
        <w:rPr>
          <w:rFonts w:eastAsia="Arial" w:cs="Arial"/>
          <w:szCs w:val="22"/>
        </w:rPr>
        <w:t xml:space="preserve"> must resolve the matter privately.  </w:t>
      </w:r>
    </w:p>
    <w:p w14:paraId="0886B9E3" w14:textId="6D11020F" w:rsidR="026E9AC4" w:rsidRDefault="026E9AC4" w:rsidP="6BF6D514">
      <w:pPr>
        <w:spacing w:before="0" w:after="160" w:line="257" w:lineRule="auto"/>
      </w:pPr>
      <w:r w:rsidRPr="5F76E7EC">
        <w:rPr>
          <w:rFonts w:eastAsia="Arial" w:cs="Arial"/>
          <w:szCs w:val="22"/>
        </w:rPr>
        <w:t>Practices that undergo a change of ownership are responsible for meeting the requirements of any</w:t>
      </w:r>
      <w:r w:rsidRPr="5F76E7EC" w:rsidDel="00144BB5">
        <w:rPr>
          <w:rFonts w:eastAsia="Arial" w:cs="Arial"/>
          <w:szCs w:val="22"/>
        </w:rPr>
        <w:t xml:space="preserve"> </w:t>
      </w:r>
      <w:r w:rsidRPr="5F76E7EC">
        <w:rPr>
          <w:rFonts w:eastAsia="Arial" w:cs="Arial"/>
          <w:szCs w:val="22"/>
        </w:rPr>
        <w:t>associated incentive programs related to</w:t>
      </w:r>
      <w:r w:rsidRPr="5F76E7EC" w:rsidDel="00144BB5">
        <w:rPr>
          <w:rFonts w:eastAsia="Arial" w:cs="Arial"/>
          <w:szCs w:val="22"/>
        </w:rPr>
        <w:t xml:space="preserve"> </w:t>
      </w:r>
      <w:r w:rsidRPr="5F76E7EC">
        <w:rPr>
          <w:rFonts w:eastAsia="Arial" w:cs="Arial"/>
          <w:szCs w:val="22"/>
        </w:rPr>
        <w:t>MyMedicare</w:t>
      </w:r>
      <w:r w:rsidR="00144BB5" w:rsidRPr="5F76E7EC">
        <w:rPr>
          <w:rFonts w:eastAsia="Arial" w:cs="Arial"/>
          <w:szCs w:val="22"/>
        </w:rPr>
        <w:t>.</w:t>
      </w:r>
    </w:p>
    <w:p w14:paraId="631A7A6A" w14:textId="26640352" w:rsidR="026E9AC4" w:rsidRDefault="026E9AC4" w:rsidP="6BF6D514">
      <w:pPr>
        <w:spacing w:before="0" w:after="160" w:line="257" w:lineRule="auto"/>
      </w:pPr>
      <w:r w:rsidRPr="5F76E7EC">
        <w:rPr>
          <w:rFonts w:eastAsia="Arial" w:cs="Arial"/>
          <w:i/>
          <w:iCs/>
          <w:szCs w:val="22"/>
          <w:u w:val="single"/>
        </w:rPr>
        <w:t>Retrospective assessment</w:t>
      </w:r>
    </w:p>
    <w:p w14:paraId="390D3B10" w14:textId="302BB633" w:rsidR="026E9AC4" w:rsidRDefault="026E9AC4" w:rsidP="6BF6D514">
      <w:pPr>
        <w:spacing w:before="0" w:after="160" w:line="257" w:lineRule="auto"/>
      </w:pPr>
      <w:r w:rsidRPr="737F4B34">
        <w:rPr>
          <w:rFonts w:eastAsia="Arial" w:cs="Arial"/>
        </w:rPr>
        <w:t>Where an under or overpayment is identified for a past assessment period following a change of ownership, future payments of the current practice will be adjusted. If an underpayment is identified, the amount of incentive payment for the next quarter will be increased to account for the under payment. If an overpayment is identified, this amount will be offset against future incentive payment/s</w:t>
      </w:r>
      <w:r w:rsidR="00EE2FC6" w:rsidRPr="737F4B34">
        <w:rPr>
          <w:rFonts w:eastAsia="Arial" w:cs="Arial"/>
        </w:rPr>
        <w:t>.</w:t>
      </w:r>
    </w:p>
    <w:p w14:paraId="55FA1399" w14:textId="36884AAE" w:rsidR="026E9AC4" w:rsidRDefault="337082BC" w:rsidP="5F76E7EC">
      <w:pPr>
        <w:pStyle w:val="Heading2"/>
        <w:numPr>
          <w:ilvl w:val="0"/>
          <w:numId w:val="0"/>
        </w:numPr>
        <w:rPr>
          <w:rFonts w:eastAsia="Arial" w:cs="Arial"/>
        </w:rPr>
      </w:pPr>
      <w:bookmarkStart w:id="53" w:name="_Toc216708110"/>
      <w:r w:rsidRPr="71CB847D">
        <w:rPr>
          <w:rFonts w:eastAsia="Arial" w:cs="Arial"/>
        </w:rPr>
        <w:lastRenderedPageBreak/>
        <w:t xml:space="preserve">4.4 </w:t>
      </w:r>
      <w:r w:rsidR="026E9AC4" w:rsidRPr="71CB847D">
        <w:rPr>
          <w:rFonts w:eastAsia="Arial" w:cs="Arial"/>
        </w:rPr>
        <w:t>Accreditation following an organisational change</w:t>
      </w:r>
      <w:bookmarkEnd w:id="53"/>
    </w:p>
    <w:p w14:paraId="73F11A37" w14:textId="7F06622F" w:rsidR="026E9AC4" w:rsidRDefault="026E9AC4" w:rsidP="6BF6D514">
      <w:pPr>
        <w:spacing w:before="0" w:after="160" w:line="257" w:lineRule="auto"/>
      </w:pPr>
      <w:r w:rsidRPr="5F76E7EC">
        <w:rPr>
          <w:rFonts w:eastAsia="Arial" w:cs="Arial"/>
          <w:szCs w:val="22"/>
          <w:lang w:val="en-GB"/>
        </w:rPr>
        <w:t xml:space="preserve">Where a sale takes place and accreditation is </w:t>
      </w:r>
      <w:r w:rsidRPr="5F76E7EC">
        <w:rPr>
          <w:rFonts w:eastAsia="Arial" w:cs="Arial"/>
          <w:b/>
          <w:bCs/>
          <w:szCs w:val="22"/>
          <w:lang w:val="en-GB"/>
        </w:rPr>
        <w:t>not transferred to the new practice</w:t>
      </w:r>
      <w:r w:rsidRPr="5F76E7EC">
        <w:rPr>
          <w:rFonts w:eastAsia="Arial" w:cs="Arial"/>
          <w:szCs w:val="22"/>
          <w:lang w:val="en-GB"/>
        </w:rPr>
        <w:t xml:space="preserve">, the new </w:t>
      </w:r>
      <w:r w:rsidR="00620484" w:rsidRPr="5F76E7EC">
        <w:rPr>
          <w:rFonts w:eastAsia="Arial" w:cs="Arial"/>
          <w:szCs w:val="22"/>
          <w:lang w:val="en-GB"/>
        </w:rPr>
        <w:t xml:space="preserve">practice </w:t>
      </w:r>
      <w:r w:rsidRPr="5F76E7EC" w:rsidDel="00620484">
        <w:rPr>
          <w:rFonts w:eastAsia="Arial" w:cs="Arial"/>
          <w:szCs w:val="22"/>
          <w:lang w:val="en-GB"/>
        </w:rPr>
        <w:t>owner</w:t>
      </w:r>
      <w:r w:rsidRPr="5F76E7EC">
        <w:rPr>
          <w:rFonts w:eastAsia="Arial" w:cs="Arial"/>
          <w:szCs w:val="22"/>
          <w:lang w:val="en-GB"/>
        </w:rPr>
        <w:t xml:space="preserve"> will not be considered a continuing </w:t>
      </w:r>
      <w:r w:rsidR="2C4DF237" w:rsidRPr="5F76E7EC">
        <w:rPr>
          <w:rFonts w:eastAsia="Arial" w:cs="Arial"/>
          <w:szCs w:val="22"/>
          <w:lang w:val="en-GB"/>
        </w:rPr>
        <w:t>entity</w:t>
      </w:r>
      <w:r w:rsidRPr="5F76E7EC">
        <w:rPr>
          <w:rFonts w:eastAsia="Arial" w:cs="Arial"/>
          <w:szCs w:val="22"/>
          <w:lang w:val="en-GB"/>
        </w:rPr>
        <w:t xml:space="preserve"> for the purpose of MyMedicare. The practice will be required to register for MyMedicare and meet all eligibility requirements, including obtaining accreditation within 12 months of registration.</w:t>
      </w:r>
    </w:p>
    <w:p w14:paraId="7EC07F8D" w14:textId="18C3B89D" w:rsidR="026E9AC4" w:rsidRDefault="026E9AC4" w:rsidP="6BF6D514">
      <w:pPr>
        <w:spacing w:before="0" w:after="160" w:line="257" w:lineRule="auto"/>
      </w:pPr>
      <w:r w:rsidRPr="5F76E7EC">
        <w:rPr>
          <w:rFonts w:eastAsia="Arial" w:cs="Arial"/>
          <w:szCs w:val="22"/>
          <w:lang w:val="en-GB"/>
        </w:rPr>
        <w:t xml:space="preserve">Where an accredited practice relocates (including following a sale, merger or amalgamation), the practice must work with their accrediting agency to ensure the new location meets accreditation standards. </w:t>
      </w:r>
      <w:r w:rsidRPr="5F76E7EC">
        <w:rPr>
          <w:rFonts w:eastAsia="Arial" w:cs="Arial"/>
          <w:szCs w:val="22"/>
        </w:rPr>
        <w:t xml:space="preserve">The practice will have </w:t>
      </w:r>
      <w:r w:rsidRPr="5F76E7EC">
        <w:rPr>
          <w:rFonts w:eastAsia="Arial" w:cs="Arial"/>
          <w:b/>
          <w:bCs/>
          <w:szCs w:val="22"/>
        </w:rPr>
        <w:t>6 months</w:t>
      </w:r>
      <w:r w:rsidRPr="5F76E7EC">
        <w:rPr>
          <w:rFonts w:eastAsia="Arial" w:cs="Arial"/>
          <w:szCs w:val="22"/>
        </w:rPr>
        <w:t xml:space="preserve"> from the date of the relocation to finalise the transfer of accreditation</w:t>
      </w:r>
    </w:p>
    <w:p w14:paraId="634D37D6" w14:textId="56D7E90B" w:rsidR="026E9AC4" w:rsidRDefault="1F5F7A22" w:rsidP="5F76E7EC">
      <w:pPr>
        <w:pStyle w:val="Heading2"/>
        <w:numPr>
          <w:ilvl w:val="0"/>
          <w:numId w:val="0"/>
        </w:numPr>
        <w:ind w:left="578" w:hanging="578"/>
        <w:rPr>
          <w:rFonts w:eastAsia="Arial" w:cs="Arial"/>
        </w:rPr>
      </w:pPr>
      <w:bookmarkStart w:id="54" w:name="_Toc216708111"/>
      <w:r w:rsidRPr="71CB847D">
        <w:rPr>
          <w:rFonts w:eastAsia="Arial" w:cs="Arial"/>
        </w:rPr>
        <w:t xml:space="preserve">4.5 </w:t>
      </w:r>
      <w:r w:rsidR="026E9AC4" w:rsidRPr="71CB847D">
        <w:rPr>
          <w:rFonts w:eastAsia="Arial" w:cs="Arial"/>
        </w:rPr>
        <w:t>Same Local Area</w:t>
      </w:r>
      <w:bookmarkEnd w:id="54"/>
    </w:p>
    <w:p w14:paraId="4773500D" w14:textId="2876353B" w:rsidR="026E9AC4" w:rsidRDefault="026E9AC4" w:rsidP="6BF6D514">
      <w:pPr>
        <w:spacing w:before="0" w:after="160" w:line="257" w:lineRule="auto"/>
      </w:pPr>
      <w:r w:rsidRPr="5F76E7EC">
        <w:rPr>
          <w:rFonts w:eastAsia="Arial" w:cs="Arial"/>
          <w:szCs w:val="22"/>
        </w:rPr>
        <w:t xml:space="preserve">For MyMedicare polices, the </w:t>
      </w:r>
      <w:r w:rsidRPr="5F76E7EC">
        <w:rPr>
          <w:rFonts w:eastAsia="Arial" w:cs="Arial"/>
          <w:b/>
          <w:bCs/>
          <w:szCs w:val="22"/>
        </w:rPr>
        <w:t>same local area</w:t>
      </w:r>
      <w:r w:rsidRPr="5F76E7EC">
        <w:rPr>
          <w:rFonts w:eastAsia="Arial" w:cs="Arial"/>
          <w:szCs w:val="22"/>
        </w:rPr>
        <w:t xml:space="preserve"> is considered on a case-by-case basis, based on an assessment of the patient accessibility, community needs, health service distribution and geographical location under the Modified Monash Model. This ensures patients can still easily access their healthcare services. This assessment may include:</w:t>
      </w:r>
    </w:p>
    <w:p w14:paraId="0A04A70E" w14:textId="645B778B" w:rsidR="026E9AC4" w:rsidRDefault="026E9AC4" w:rsidP="007A3716">
      <w:pPr>
        <w:pStyle w:val="ListParagraph"/>
        <w:numPr>
          <w:ilvl w:val="0"/>
          <w:numId w:val="24"/>
        </w:numPr>
        <w:spacing w:after="0" w:line="257" w:lineRule="auto"/>
        <w:rPr>
          <w:rFonts w:ascii="Arial" w:eastAsia="Arial" w:hAnsi="Arial" w:cs="Arial"/>
        </w:rPr>
      </w:pPr>
      <w:r w:rsidRPr="737F4B34">
        <w:rPr>
          <w:rFonts w:ascii="Arial" w:eastAsia="Arial" w:hAnsi="Arial" w:cs="Arial"/>
          <w:b/>
        </w:rPr>
        <w:t>Proximity</w:t>
      </w:r>
      <w:r w:rsidRPr="737F4B34">
        <w:rPr>
          <w:rFonts w:ascii="Arial" w:eastAsia="Arial" w:hAnsi="Arial" w:cs="Arial"/>
        </w:rPr>
        <w:t xml:space="preserve">: the new location should be close enough to the original site so that patients can still easily access </w:t>
      </w:r>
      <w:r w:rsidR="36968C79" w:rsidRPr="737F4B34">
        <w:rPr>
          <w:rFonts w:ascii="Arial" w:eastAsia="Arial" w:hAnsi="Arial" w:cs="Arial"/>
        </w:rPr>
        <w:t>a</w:t>
      </w:r>
      <w:r w:rsidRPr="737F4B34">
        <w:rPr>
          <w:rFonts w:ascii="Arial" w:eastAsia="Arial" w:hAnsi="Arial" w:cs="Arial"/>
        </w:rPr>
        <w:t xml:space="preserve"> practice providing health services. </w:t>
      </w:r>
    </w:p>
    <w:p w14:paraId="43B94B06" w14:textId="37415DA8" w:rsidR="026E9AC4" w:rsidRDefault="026E9AC4" w:rsidP="007A3716">
      <w:pPr>
        <w:pStyle w:val="ListParagraph"/>
        <w:numPr>
          <w:ilvl w:val="0"/>
          <w:numId w:val="24"/>
        </w:numPr>
        <w:spacing w:after="0" w:line="257" w:lineRule="auto"/>
        <w:rPr>
          <w:rFonts w:ascii="Arial" w:eastAsia="Arial" w:hAnsi="Arial" w:cs="Arial"/>
          <w:szCs w:val="22"/>
        </w:rPr>
      </w:pPr>
      <w:r w:rsidRPr="5F76E7EC">
        <w:rPr>
          <w:rFonts w:ascii="Arial" w:eastAsia="Arial" w:hAnsi="Arial" w:cs="Arial"/>
          <w:b/>
          <w:bCs/>
          <w:szCs w:val="22"/>
        </w:rPr>
        <w:t>Community Boundaries</w:t>
      </w:r>
      <w:r w:rsidRPr="5F76E7EC">
        <w:rPr>
          <w:rFonts w:ascii="Arial" w:eastAsia="Arial" w:hAnsi="Arial" w:cs="Arial"/>
          <w:szCs w:val="22"/>
        </w:rPr>
        <w:t>: the local area might be defined by community or municipal boundaries or local government areas.</w:t>
      </w:r>
    </w:p>
    <w:p w14:paraId="5798171B" w14:textId="5847831D" w:rsidR="026E9AC4" w:rsidRDefault="026E9AC4" w:rsidP="007A3716">
      <w:pPr>
        <w:pStyle w:val="ListParagraph"/>
        <w:numPr>
          <w:ilvl w:val="0"/>
          <w:numId w:val="24"/>
        </w:numPr>
        <w:spacing w:after="0" w:line="257" w:lineRule="auto"/>
        <w:rPr>
          <w:rFonts w:ascii="Arial" w:eastAsia="Arial" w:hAnsi="Arial" w:cs="Arial"/>
          <w:szCs w:val="22"/>
        </w:rPr>
      </w:pPr>
      <w:r w:rsidRPr="5F76E7EC">
        <w:rPr>
          <w:rFonts w:ascii="Arial" w:eastAsia="Arial" w:hAnsi="Arial" w:cs="Arial"/>
          <w:b/>
          <w:bCs/>
          <w:szCs w:val="22"/>
        </w:rPr>
        <w:t>Health Service Regions</w:t>
      </w:r>
      <w:r w:rsidRPr="5F76E7EC">
        <w:rPr>
          <w:rFonts w:ascii="Arial" w:eastAsia="Arial" w:hAnsi="Arial" w:cs="Arial"/>
          <w:szCs w:val="22"/>
        </w:rPr>
        <w:t xml:space="preserve">: sometimes, the local area is defined by health service regions or districts, Primary Health Networks, or other relevant jurisdictional divisions that manage healthcare services. </w:t>
      </w:r>
    </w:p>
    <w:p w14:paraId="6AAC78C1" w14:textId="3205808D" w:rsidR="026E9AC4" w:rsidRDefault="36DE8F94" w:rsidP="5F76E7EC">
      <w:pPr>
        <w:pStyle w:val="Heading2"/>
        <w:numPr>
          <w:ilvl w:val="0"/>
          <w:numId w:val="0"/>
        </w:numPr>
        <w:ind w:left="578" w:hanging="578"/>
        <w:rPr>
          <w:rFonts w:eastAsia="Arial" w:cs="Arial"/>
        </w:rPr>
      </w:pPr>
      <w:bookmarkStart w:id="55" w:name="_Toc216708112"/>
      <w:r w:rsidRPr="71CB847D">
        <w:rPr>
          <w:rFonts w:eastAsia="Arial" w:cs="Arial"/>
        </w:rPr>
        <w:t xml:space="preserve">4.6 </w:t>
      </w:r>
      <w:r w:rsidR="026E9AC4" w:rsidRPr="71CB847D">
        <w:rPr>
          <w:rFonts w:eastAsia="Arial" w:cs="Arial"/>
        </w:rPr>
        <w:t>Organisational change notification requirements</w:t>
      </w:r>
      <w:bookmarkEnd w:id="55"/>
    </w:p>
    <w:p w14:paraId="6E125E31" w14:textId="03E43299" w:rsidR="026E9AC4" w:rsidRDefault="00620484" w:rsidP="6BF6D514">
      <w:pPr>
        <w:shd w:val="clear" w:color="auto" w:fill="FFFFFF" w:themeFill="background1"/>
        <w:spacing w:before="0" w:after="160" w:line="257" w:lineRule="auto"/>
      </w:pPr>
      <w:r w:rsidRPr="737F4B34">
        <w:rPr>
          <w:rFonts w:eastAsia="Arial" w:cs="Arial"/>
        </w:rPr>
        <w:t>T</w:t>
      </w:r>
      <w:r w:rsidR="00D11ED5" w:rsidRPr="737F4B34">
        <w:rPr>
          <w:rFonts w:eastAsia="Arial" w:cs="Arial"/>
        </w:rPr>
        <w:t xml:space="preserve">he </w:t>
      </w:r>
      <w:r w:rsidRPr="737F4B34">
        <w:rPr>
          <w:rFonts w:eastAsia="Arial" w:cs="Arial"/>
        </w:rPr>
        <w:t xml:space="preserve">new </w:t>
      </w:r>
      <w:r w:rsidR="026E9AC4" w:rsidRPr="737F4B34">
        <w:rPr>
          <w:rFonts w:eastAsia="Arial" w:cs="Arial"/>
        </w:rPr>
        <w:t>practice</w:t>
      </w:r>
      <w:r w:rsidRPr="737F4B34">
        <w:rPr>
          <w:rFonts w:eastAsia="Arial" w:cs="Arial"/>
        </w:rPr>
        <w:t xml:space="preserve"> owner </w:t>
      </w:r>
      <w:r w:rsidR="026E9AC4" w:rsidRPr="737F4B34">
        <w:rPr>
          <w:rFonts w:eastAsia="Arial" w:cs="Arial"/>
        </w:rPr>
        <w:t xml:space="preserve">is required to notify Services Australia within 7 days following an organisational change. </w:t>
      </w:r>
      <w:r w:rsidR="15E0C158" w:rsidRPr="737F4B34">
        <w:rPr>
          <w:rFonts w:eastAsia="Arial" w:cs="Arial"/>
        </w:rPr>
        <w:t xml:space="preserve">Notification can be made by email to </w:t>
      </w:r>
      <w:hyperlink r:id="rId18">
        <w:r w:rsidR="15E0C158" w:rsidRPr="737F4B34">
          <w:rPr>
            <w:rStyle w:val="Hyperlink"/>
            <w:rFonts w:eastAsia="Arial" w:cs="Arial"/>
          </w:rPr>
          <w:t>organisation.register@servicesaustralia.gov.au</w:t>
        </w:r>
      </w:hyperlink>
      <w:r w:rsidR="15E0C158" w:rsidRPr="737F4B34">
        <w:rPr>
          <w:rFonts w:eastAsia="Arial" w:cs="Arial"/>
        </w:rPr>
        <w:t>or through a message through the Health Professional Online Services (HPOS) messaging service.</w:t>
      </w:r>
      <w:r w:rsidR="026E9AC4" w:rsidRPr="737F4B34">
        <w:rPr>
          <w:rFonts w:eastAsia="Arial" w:cs="Arial"/>
        </w:rPr>
        <w:t xml:space="preserve"> All HPOS messages should be directed to the Organisation Register mailbox. </w:t>
      </w:r>
    </w:p>
    <w:p w14:paraId="3A088B13" w14:textId="1FC6535D" w:rsidR="026E9AC4" w:rsidRDefault="026E9AC4" w:rsidP="6BF6D514">
      <w:pPr>
        <w:shd w:val="clear" w:color="auto" w:fill="FFFFFF" w:themeFill="background1"/>
        <w:spacing w:before="0" w:after="160" w:line="257" w:lineRule="auto"/>
        <w:rPr>
          <w:rFonts w:eastAsia="Arial" w:cs="Arial"/>
        </w:rPr>
      </w:pPr>
      <w:r w:rsidRPr="1F46A986">
        <w:rPr>
          <w:rFonts w:eastAsia="Arial" w:cs="Arial"/>
        </w:rPr>
        <w:t>Services Australia will provide</w:t>
      </w:r>
      <w:r w:rsidRPr="1F46A986" w:rsidDel="003E5263">
        <w:rPr>
          <w:rFonts w:eastAsia="Arial" w:cs="Arial"/>
        </w:rPr>
        <w:t xml:space="preserve"> </w:t>
      </w:r>
      <w:r w:rsidRPr="1F46A986">
        <w:rPr>
          <w:rFonts w:eastAsia="Arial" w:cs="Arial"/>
        </w:rPr>
        <w:t xml:space="preserve">a Commonwealth Statutory Declaration Form template to complete. The Statutory Declaration Form must be signed by an authorised </w:t>
      </w:r>
      <w:r w:rsidR="003E5263" w:rsidRPr="1F46A986">
        <w:rPr>
          <w:rFonts w:eastAsia="Arial" w:cs="Arial"/>
        </w:rPr>
        <w:t>representative of the</w:t>
      </w:r>
      <w:r w:rsidR="00D06618" w:rsidRPr="1F46A986">
        <w:rPr>
          <w:rFonts w:eastAsia="Arial" w:cs="Arial"/>
        </w:rPr>
        <w:t xml:space="preserve"> practice </w:t>
      </w:r>
      <w:r w:rsidR="724F9A42" w:rsidRPr="1F46A986">
        <w:rPr>
          <w:rFonts w:eastAsia="Arial" w:cs="Arial"/>
        </w:rPr>
        <w:t>owner</w:t>
      </w:r>
      <w:r w:rsidRPr="1F46A986">
        <w:rPr>
          <w:rFonts w:eastAsia="Arial" w:cs="Arial"/>
        </w:rPr>
        <w:t xml:space="preserve">, such as a </w:t>
      </w:r>
      <w:r w:rsidR="1AEC71A4" w:rsidRPr="1F46A986">
        <w:rPr>
          <w:rFonts w:eastAsia="Arial" w:cs="Arial"/>
        </w:rPr>
        <w:t>d</w:t>
      </w:r>
      <w:r w:rsidRPr="1F46A986">
        <w:rPr>
          <w:rFonts w:eastAsia="Arial" w:cs="Arial"/>
        </w:rPr>
        <w:t>irector or owner, and witnessed by an approved person as listed on the form.</w:t>
      </w:r>
    </w:p>
    <w:p w14:paraId="260144B0" w14:textId="1B2ACF0E" w:rsidR="026E9AC4" w:rsidRDefault="026E9AC4" w:rsidP="6BF6D514">
      <w:pPr>
        <w:shd w:val="clear" w:color="auto" w:fill="FFFFFF" w:themeFill="background1"/>
        <w:spacing w:before="0" w:after="160" w:line="257" w:lineRule="auto"/>
      </w:pPr>
      <w:r w:rsidRPr="4A455F35">
        <w:rPr>
          <w:rFonts w:eastAsia="Arial" w:cs="Arial"/>
        </w:rPr>
        <w:t xml:space="preserve">Change of ownership notification must be submitted to Services Australia by the new </w:t>
      </w:r>
      <w:r w:rsidRPr="4A455F35" w:rsidDel="00C07263">
        <w:rPr>
          <w:rFonts w:eastAsia="Arial" w:cs="Arial"/>
        </w:rPr>
        <w:t>practice</w:t>
      </w:r>
      <w:r w:rsidR="00D06618" w:rsidRPr="4A455F35">
        <w:rPr>
          <w:rFonts w:eastAsia="Arial" w:cs="Arial"/>
        </w:rPr>
        <w:t xml:space="preserve"> owner</w:t>
      </w:r>
      <w:r w:rsidR="2BAC4AA1" w:rsidRPr="4A455F35">
        <w:rPr>
          <w:rFonts w:eastAsia="Arial" w:cs="Arial"/>
        </w:rPr>
        <w:t>.</w:t>
      </w:r>
      <w:r w:rsidRPr="4A455F35">
        <w:rPr>
          <w:rFonts w:eastAsia="Arial" w:cs="Arial"/>
        </w:rPr>
        <w:t xml:space="preserve"> Payments will continue to the previous </w:t>
      </w:r>
      <w:r w:rsidR="00D06618" w:rsidRPr="4A455F35">
        <w:rPr>
          <w:rFonts w:eastAsia="Arial" w:cs="Arial"/>
        </w:rPr>
        <w:t xml:space="preserve">practice </w:t>
      </w:r>
      <w:r w:rsidRPr="4A455F35" w:rsidDel="00C07263">
        <w:rPr>
          <w:rFonts w:eastAsia="Arial" w:cs="Arial"/>
        </w:rPr>
        <w:t>owner</w:t>
      </w:r>
      <w:r w:rsidRPr="4A455F35">
        <w:rPr>
          <w:rFonts w:eastAsia="Arial" w:cs="Arial"/>
        </w:rPr>
        <w:t xml:space="preserve"> based on existing system records until all required documentation is received.</w:t>
      </w:r>
    </w:p>
    <w:p w14:paraId="5FDB3F4D" w14:textId="0CCF5611" w:rsidR="026E9AC4" w:rsidRDefault="026E9AC4" w:rsidP="6BF6D514">
      <w:pPr>
        <w:spacing w:before="0" w:after="160" w:line="257" w:lineRule="auto"/>
      </w:pPr>
      <w:r w:rsidRPr="4A455F35">
        <w:rPr>
          <w:rFonts w:eastAsia="Arial" w:cs="Arial"/>
        </w:rPr>
        <w:t>The new</w:t>
      </w:r>
      <w:r w:rsidRPr="4A455F35" w:rsidDel="00304FFA">
        <w:rPr>
          <w:rFonts w:eastAsia="Arial" w:cs="Arial"/>
        </w:rPr>
        <w:t xml:space="preserve"> practice</w:t>
      </w:r>
      <w:r w:rsidRPr="4A455F35">
        <w:rPr>
          <w:rFonts w:eastAsia="Arial" w:cs="Arial"/>
        </w:rPr>
        <w:t xml:space="preserve"> </w:t>
      </w:r>
      <w:r w:rsidRPr="4A455F35" w:rsidDel="009D51B5">
        <w:rPr>
          <w:rFonts w:eastAsia="Arial" w:cs="Arial"/>
        </w:rPr>
        <w:t>owner</w:t>
      </w:r>
      <w:r w:rsidRPr="4A455F35">
        <w:rPr>
          <w:rFonts w:eastAsia="Arial" w:cs="Arial"/>
        </w:rPr>
        <w:t xml:space="preserve"> is responsible for ensuring that all organisational details in MyMedicare are accurate and up to date following an organisational change. This includes setting up a new Organisation Site Record in the Organisation Register, adding/updating bank account details, verifying linked GP provider numbers, and confirming that the practice meets all eligibility and servicing requirements for MyMedicare and the MyMedicare incentives prior to registering for these programs.</w:t>
      </w:r>
    </w:p>
    <w:p w14:paraId="4C8B99F1" w14:textId="5946AB76" w:rsidR="00DF443A" w:rsidRDefault="00AC1A32" w:rsidP="30A1C177">
      <w:pPr>
        <w:pStyle w:val="Heading1"/>
        <w:spacing w:before="0" w:after="0" w:line="240" w:lineRule="auto"/>
        <w:rPr>
          <w:rFonts w:eastAsia="Times New Roman" w:cs="Arial"/>
          <w:color w:val="auto"/>
          <w:lang w:eastAsia="en-AU"/>
        </w:rPr>
      </w:pPr>
      <w:bookmarkStart w:id="56" w:name="_Toc163389998"/>
      <w:bookmarkStart w:id="57" w:name="_Ref178317442"/>
      <w:bookmarkStart w:id="58" w:name="_Ref178317515"/>
      <w:bookmarkStart w:id="59" w:name="_Ref178317629"/>
      <w:bookmarkStart w:id="60" w:name="_Ref178317703"/>
      <w:bookmarkStart w:id="61" w:name="_Ref178317731"/>
      <w:bookmarkStart w:id="62" w:name="_Toc214051004"/>
      <w:bookmarkStart w:id="63" w:name="_Toc216708113"/>
      <w:bookmarkStart w:id="64" w:name="_Toc166066930"/>
      <w:bookmarkStart w:id="65" w:name="_Toc166068346"/>
      <w:bookmarkStart w:id="66" w:name="_Toc166068558"/>
      <w:bookmarkStart w:id="67" w:name="_Toc166069517"/>
      <w:bookmarkStart w:id="68" w:name="_Toc166069564"/>
      <w:bookmarkStart w:id="69" w:name="_Toc166136580"/>
      <w:bookmarkStart w:id="70" w:name="_Toc167109432"/>
      <w:bookmarkStart w:id="71" w:name="_Toc170119998"/>
      <w:bookmarkStart w:id="72" w:name="_Toc170817140"/>
      <w:bookmarkEnd w:id="56"/>
      <w:r>
        <w:lastRenderedPageBreak/>
        <w:t>Practice accreditation</w:t>
      </w:r>
      <w:bookmarkEnd w:id="57"/>
      <w:bookmarkEnd w:id="58"/>
      <w:bookmarkEnd w:id="59"/>
      <w:bookmarkEnd w:id="60"/>
      <w:bookmarkEnd w:id="61"/>
      <w:bookmarkEnd w:id="62"/>
      <w:bookmarkEnd w:id="63"/>
    </w:p>
    <w:p w14:paraId="0225399B" w14:textId="5D878B1A" w:rsidR="00A24707" w:rsidRDefault="00A24707" w:rsidP="00520BB8">
      <w:r w:rsidRPr="61716D05">
        <w:t xml:space="preserve">MyMedicare is available to general practices accredited </w:t>
      </w:r>
      <w:r w:rsidR="499351DC" w:rsidRPr="61716D05">
        <w:t xml:space="preserve">(or registered as working towards accreditation) </w:t>
      </w:r>
      <w:r w:rsidRPr="61716D05">
        <w:t xml:space="preserve">against the </w:t>
      </w:r>
      <w:r w:rsidR="206F90BB" w:rsidRPr="61716D05">
        <w:t>National General Practice Accreditation Sch</w:t>
      </w:r>
      <w:r w:rsidR="15022A50" w:rsidRPr="61716D05">
        <w:t>e</w:t>
      </w:r>
      <w:r w:rsidR="206F90BB" w:rsidRPr="61716D05">
        <w:t>me</w:t>
      </w:r>
      <w:r w:rsidR="00F94033" w:rsidRPr="61716D05">
        <w:t>.</w:t>
      </w:r>
    </w:p>
    <w:p w14:paraId="54791D32" w14:textId="4C54B3CE" w:rsidR="00AC46F1" w:rsidRPr="00AC46F1" w:rsidRDefault="00AC46F1" w:rsidP="61716D05">
      <w:pPr>
        <w:rPr>
          <w:rFonts w:ascii="Segoe UI" w:hAnsi="Segoe UI" w:cs="Segoe UI"/>
          <w:sz w:val="18"/>
          <w:szCs w:val="18"/>
          <w:lang w:eastAsia="en-AU"/>
        </w:rPr>
      </w:pPr>
      <w:r w:rsidRPr="61716D05">
        <w:rPr>
          <w:lang w:eastAsia="en-AU"/>
        </w:rPr>
        <w:t>Practices participating in MyMedicare will be required to record their accreditation status to verify and maintain their eligibility status. This information will be verified at regular intervals to ensure the information remains current and to ensure accreditation status is applied appropriately</w:t>
      </w:r>
      <w:r w:rsidR="49642202" w:rsidRPr="61716D05">
        <w:rPr>
          <w:lang w:eastAsia="en-AU"/>
        </w:rPr>
        <w:t xml:space="preserve"> for</w:t>
      </w:r>
      <w:r w:rsidRPr="61716D05">
        <w:rPr>
          <w:lang w:eastAsia="en-AU"/>
        </w:rPr>
        <w:t xml:space="preserve"> MyMedicare eligibility</w:t>
      </w:r>
      <w:r w:rsidR="00F65EF1" w:rsidRPr="61716D05">
        <w:rPr>
          <w:lang w:eastAsia="en-AU"/>
        </w:rPr>
        <w:t xml:space="preserve">. </w:t>
      </w:r>
    </w:p>
    <w:p w14:paraId="4561ED84" w14:textId="66B0E601" w:rsidR="00AC46F1" w:rsidRDefault="00AC46F1" w:rsidP="61716D05">
      <w:pPr>
        <w:rPr>
          <w:lang w:eastAsia="en-AU"/>
        </w:rPr>
      </w:pPr>
      <w:r w:rsidRPr="61716D05">
        <w:rPr>
          <w:lang w:eastAsia="en-AU"/>
        </w:rPr>
        <w:t>At the end of a practice’s accreditation period the practice must be re-accredited</w:t>
      </w:r>
      <w:r w:rsidR="00C84F90" w:rsidRPr="61716D05">
        <w:rPr>
          <w:lang w:eastAsia="en-AU"/>
        </w:rPr>
        <w:t xml:space="preserve">, and the information updated </w:t>
      </w:r>
      <w:r w:rsidR="00820792" w:rsidRPr="61716D05">
        <w:rPr>
          <w:lang w:eastAsia="en-AU"/>
        </w:rPr>
        <w:t>in</w:t>
      </w:r>
      <w:r w:rsidR="00C84F90" w:rsidRPr="61716D05">
        <w:rPr>
          <w:lang w:eastAsia="en-AU"/>
        </w:rPr>
        <w:t xml:space="preserve"> the </w:t>
      </w:r>
      <w:r w:rsidR="00820792" w:rsidRPr="61716D05">
        <w:rPr>
          <w:lang w:eastAsia="en-AU"/>
        </w:rPr>
        <w:t>Organisation Register,</w:t>
      </w:r>
      <w:r w:rsidRPr="61716D05">
        <w:rPr>
          <w:lang w:eastAsia="en-AU"/>
        </w:rPr>
        <w:t xml:space="preserve"> so the practice can continue to participate in MyMedicare.  </w:t>
      </w:r>
    </w:p>
    <w:p w14:paraId="58E1BF70" w14:textId="3D877E5B" w:rsidR="00AC46F1" w:rsidRPr="00AC46F1" w:rsidRDefault="009C118A" w:rsidP="61716D05">
      <w:pPr>
        <w:rPr>
          <w:rFonts w:ascii="Segoe UI" w:hAnsi="Segoe UI" w:cs="Segoe UI"/>
          <w:sz w:val="18"/>
          <w:szCs w:val="18"/>
          <w:lang w:eastAsia="en-AU"/>
        </w:rPr>
      </w:pPr>
      <w:r w:rsidRPr="61716D05">
        <w:rPr>
          <w:lang w:eastAsia="en-AU"/>
        </w:rPr>
        <w:t xml:space="preserve">If </w:t>
      </w:r>
      <w:r w:rsidR="00A24EC8" w:rsidRPr="61716D05">
        <w:rPr>
          <w:lang w:eastAsia="en-AU"/>
        </w:rPr>
        <w:t>the p</w:t>
      </w:r>
      <w:r w:rsidR="00AC46F1" w:rsidRPr="61716D05">
        <w:rPr>
          <w:lang w:eastAsia="en-AU"/>
        </w:rPr>
        <w:t xml:space="preserve">ractice participating in MyMedicare </w:t>
      </w:r>
      <w:r w:rsidR="00A24EC8" w:rsidRPr="61716D05">
        <w:rPr>
          <w:lang w:eastAsia="en-AU"/>
        </w:rPr>
        <w:t xml:space="preserve">has not obtained </w:t>
      </w:r>
      <w:r w:rsidR="00CF704F" w:rsidRPr="61716D05">
        <w:rPr>
          <w:lang w:eastAsia="en-AU"/>
        </w:rPr>
        <w:t xml:space="preserve">accreditation or </w:t>
      </w:r>
      <w:r w:rsidR="00AC46F1" w:rsidRPr="61716D05">
        <w:rPr>
          <w:lang w:eastAsia="en-AU"/>
        </w:rPr>
        <w:t>re-accreditation at the end of their accreditation period</w:t>
      </w:r>
      <w:r w:rsidR="00F21F98" w:rsidRPr="61716D05">
        <w:rPr>
          <w:lang w:eastAsia="en-AU"/>
        </w:rPr>
        <w:t>, the practice will be ineligible for MyMedicare</w:t>
      </w:r>
      <w:r w:rsidR="00AC46F1" w:rsidRPr="61716D05">
        <w:rPr>
          <w:lang w:eastAsia="en-AU"/>
        </w:rPr>
        <w:t>. </w:t>
      </w:r>
    </w:p>
    <w:p w14:paraId="182F3D6B" w14:textId="78D21F3F" w:rsidR="00D61A6D" w:rsidRDefault="00CF75F0" w:rsidP="008D5480">
      <w:pPr>
        <w:pStyle w:val="Heading2"/>
      </w:pPr>
      <w:bookmarkStart w:id="73" w:name="_Toc178319632"/>
      <w:bookmarkStart w:id="74" w:name="_Toc214051005"/>
      <w:bookmarkStart w:id="75" w:name="_Toc216708114"/>
      <w:bookmarkEnd w:id="73"/>
      <w:r>
        <w:t>Non-accredited practices</w:t>
      </w:r>
      <w:bookmarkEnd w:id="74"/>
      <w:bookmarkEnd w:id="75"/>
    </w:p>
    <w:p w14:paraId="25303A0A" w14:textId="77777777" w:rsidR="008E08EF" w:rsidRDefault="008E08EF" w:rsidP="00520BB8">
      <w:r>
        <w:t>Non-accredited practices will have 12 months to gain accreditation through a registered accreditation agency from the date they register in MyMedicare as a practice.</w:t>
      </w:r>
    </w:p>
    <w:p w14:paraId="2DED7AA7" w14:textId="4E84AFD2" w:rsidR="008C5CA3" w:rsidRDefault="00BF765C" w:rsidP="00BF765C">
      <w:pPr>
        <w:pStyle w:val="Heading3"/>
      </w:pPr>
      <w:bookmarkStart w:id="76" w:name="_Toc216708115"/>
      <w:r>
        <w:t xml:space="preserve">Accreditation </w:t>
      </w:r>
      <w:r w:rsidR="0004125C">
        <w:t>e</w:t>
      </w:r>
      <w:r>
        <w:t>xtension</w:t>
      </w:r>
      <w:r w:rsidR="0073758D">
        <w:t xml:space="preserve"> and appeals</w:t>
      </w:r>
      <w:r>
        <w:t xml:space="preserve"> </w:t>
      </w:r>
      <w:r w:rsidR="00445C8D">
        <w:t xml:space="preserve">requests </w:t>
      </w:r>
      <w:r>
        <w:t>– Australian Commission on Safety and Quality in Healthcare (</w:t>
      </w:r>
      <w:r w:rsidR="00CA6888">
        <w:t>the Commission</w:t>
      </w:r>
      <w:r w:rsidR="007B6C78">
        <w:t>)</w:t>
      </w:r>
      <w:bookmarkEnd w:id="76"/>
    </w:p>
    <w:p w14:paraId="67D20BC3" w14:textId="1A86576F" w:rsidR="007B6C78" w:rsidRPr="00877366" w:rsidRDefault="007B6C78" w:rsidP="61716D05">
      <w:r w:rsidRPr="00877366">
        <w:t>In certain circumstances</w:t>
      </w:r>
      <w:r w:rsidR="007D1A28" w:rsidRPr="00877366">
        <w:t>,</w:t>
      </w:r>
      <w:r w:rsidRPr="00877366">
        <w:t xml:space="preserve"> </w:t>
      </w:r>
      <w:r w:rsidR="005F52DE" w:rsidRPr="00877366">
        <w:t xml:space="preserve">general </w:t>
      </w:r>
      <w:r w:rsidRPr="00877366">
        <w:t>practice</w:t>
      </w:r>
      <w:r w:rsidR="005F52DE" w:rsidRPr="00877366">
        <w:t xml:space="preserve">s may </w:t>
      </w:r>
      <w:r w:rsidR="0091794A" w:rsidRPr="00877366">
        <w:t>request</w:t>
      </w:r>
      <w:r w:rsidRPr="00877366">
        <w:t xml:space="preserve"> </w:t>
      </w:r>
      <w:r w:rsidR="009751FE" w:rsidRPr="00877366">
        <w:t xml:space="preserve">additional time for assessment process, </w:t>
      </w:r>
      <w:r w:rsidRPr="00877366">
        <w:t xml:space="preserve">extension </w:t>
      </w:r>
      <w:r w:rsidR="002F38E2" w:rsidRPr="00877366">
        <w:t xml:space="preserve">to </w:t>
      </w:r>
      <w:r w:rsidR="006163F6" w:rsidRPr="00877366">
        <w:t xml:space="preserve">the accreditation expiry </w:t>
      </w:r>
      <w:r w:rsidR="002F38E2" w:rsidRPr="00877366">
        <w:t xml:space="preserve">period, </w:t>
      </w:r>
      <w:r w:rsidR="000A04F2" w:rsidRPr="00877366">
        <w:t xml:space="preserve">or </w:t>
      </w:r>
      <w:r w:rsidR="002F38E2" w:rsidRPr="00877366">
        <w:t>appeal</w:t>
      </w:r>
      <w:r w:rsidR="000A04F2" w:rsidRPr="00877366">
        <w:t xml:space="preserve"> </w:t>
      </w:r>
      <w:r w:rsidR="00F72658" w:rsidRPr="00877366">
        <w:t>an assessment or decision</w:t>
      </w:r>
      <w:r w:rsidR="00E11660" w:rsidRPr="61716D05">
        <w:rPr>
          <w:rStyle w:val="FootnoteReference"/>
          <w:rFonts w:cs="Arial"/>
          <w:color w:val="000000"/>
          <w:shd w:val="clear" w:color="auto" w:fill="FFFFFF"/>
        </w:rPr>
        <w:footnoteReference w:id="4"/>
      </w:r>
      <w:r w:rsidR="002858F5" w:rsidRPr="00877366">
        <w:t xml:space="preserve"> from the Commission. </w:t>
      </w:r>
      <w:r w:rsidR="00E30D45" w:rsidRPr="00877366">
        <w:t xml:space="preserve">Should </w:t>
      </w:r>
      <w:r w:rsidR="008B2F42" w:rsidRPr="00877366">
        <w:t>the Commission approve the request</w:t>
      </w:r>
      <w:r w:rsidR="00E8499A" w:rsidRPr="00877366">
        <w:t>,</w:t>
      </w:r>
      <w:r w:rsidRPr="00877366">
        <w:t xml:space="preserve"> the practice will continue to be eligible for MyMedicare for the approved period</w:t>
      </w:r>
      <w:r w:rsidR="007D5071" w:rsidRPr="00877366">
        <w:t>.</w:t>
      </w:r>
    </w:p>
    <w:p w14:paraId="53E9CDC0" w14:textId="79E46BFD" w:rsidR="00A90C0E" w:rsidRDefault="004F2F1C">
      <w:pPr>
        <w:pStyle w:val="Heading3"/>
      </w:pPr>
      <w:bookmarkStart w:id="77" w:name="_Ref178318003"/>
      <w:bookmarkStart w:id="78" w:name="_Toc216708116"/>
      <w:r>
        <w:t>Temporary e</w:t>
      </w:r>
      <w:r w:rsidR="00DC4888">
        <w:t>xemption</w:t>
      </w:r>
      <w:r w:rsidR="00E47DB5">
        <w:t xml:space="preserve"> to the MyMedicare accreditation requirement</w:t>
      </w:r>
      <w:bookmarkEnd w:id="77"/>
      <w:bookmarkEnd w:id="78"/>
      <w:r w:rsidR="00DC4888">
        <w:t xml:space="preserve"> </w:t>
      </w:r>
    </w:p>
    <w:p w14:paraId="0F0650B8" w14:textId="6C6672DD" w:rsidR="00820697" w:rsidRPr="00520BB8" w:rsidRDefault="00E560B4" w:rsidP="4C05EBAE">
      <w:pPr>
        <w:rPr>
          <w:rFonts w:cs="Arial"/>
        </w:rPr>
      </w:pPr>
      <w:r w:rsidRPr="4C05EBAE">
        <w:rPr>
          <w:rFonts w:cs="Arial"/>
        </w:rPr>
        <w:t>I</w:t>
      </w:r>
      <w:r w:rsidR="008D7F7D" w:rsidRPr="4C05EBAE">
        <w:rPr>
          <w:rFonts w:cs="Arial"/>
        </w:rPr>
        <w:t>n limited circumstance</w:t>
      </w:r>
      <w:r w:rsidR="008F07E7" w:rsidRPr="4C05EBAE">
        <w:rPr>
          <w:rFonts w:cs="Arial"/>
        </w:rPr>
        <w:t>s</w:t>
      </w:r>
      <w:r w:rsidR="008D7F7D" w:rsidRPr="4C05EBAE">
        <w:rPr>
          <w:rFonts w:cs="Arial"/>
        </w:rPr>
        <w:t xml:space="preserve"> </w:t>
      </w:r>
      <w:r w:rsidR="00820697" w:rsidRPr="4C05EBAE">
        <w:rPr>
          <w:rFonts w:cs="Arial"/>
        </w:rPr>
        <w:t>that are not considered through an extension f</w:t>
      </w:r>
      <w:r w:rsidR="00BB39E4" w:rsidRPr="4C05EBAE">
        <w:rPr>
          <w:rFonts w:cs="Arial"/>
        </w:rPr>
        <w:t>rom the Commission</w:t>
      </w:r>
      <w:r w:rsidR="00820697" w:rsidRPr="4C05EBAE">
        <w:rPr>
          <w:rFonts w:cs="Arial"/>
        </w:rPr>
        <w:t xml:space="preserve">, a practice can </w:t>
      </w:r>
      <w:r w:rsidR="00815B50" w:rsidRPr="4C05EBAE">
        <w:rPr>
          <w:rFonts w:cs="Arial"/>
        </w:rPr>
        <w:t>request</w:t>
      </w:r>
      <w:r w:rsidR="00820697" w:rsidRPr="4C05EBAE">
        <w:rPr>
          <w:rFonts w:cs="Arial"/>
        </w:rPr>
        <w:t xml:space="preserve"> an exemption from the MyMedicare accreditation eligibility requirement</w:t>
      </w:r>
      <w:r w:rsidR="006B374F" w:rsidRPr="4C05EBAE">
        <w:rPr>
          <w:rFonts w:cs="Arial"/>
        </w:rPr>
        <w:t xml:space="preserve"> to the department</w:t>
      </w:r>
      <w:r w:rsidR="00820697" w:rsidRPr="4C05EBAE">
        <w:rPr>
          <w:rFonts w:cs="Arial"/>
        </w:rPr>
        <w:t>. Where an exemption is approved by the department, the practice</w:t>
      </w:r>
      <w:r w:rsidR="017521E5" w:rsidRPr="4C05EBAE">
        <w:rPr>
          <w:rFonts w:cs="Arial"/>
        </w:rPr>
        <w:t>’</w:t>
      </w:r>
      <w:r w:rsidR="000F0384" w:rsidRPr="4C05EBAE">
        <w:rPr>
          <w:rFonts w:cs="Arial"/>
        </w:rPr>
        <w:t>s</w:t>
      </w:r>
      <w:r w:rsidR="00820697" w:rsidRPr="4C05EBAE">
        <w:rPr>
          <w:rFonts w:cs="Arial"/>
        </w:rPr>
        <w:t xml:space="preserve"> </w:t>
      </w:r>
      <w:r w:rsidR="00B454FD" w:rsidRPr="4C05EBAE">
        <w:rPr>
          <w:rFonts w:cs="Arial"/>
        </w:rPr>
        <w:t xml:space="preserve">accreditation </w:t>
      </w:r>
      <w:r w:rsidR="00510E25" w:rsidRPr="4C05EBAE">
        <w:rPr>
          <w:rFonts w:cs="Arial"/>
        </w:rPr>
        <w:t xml:space="preserve">will be </w:t>
      </w:r>
      <w:r w:rsidR="006B374F" w:rsidRPr="4C05EBAE">
        <w:rPr>
          <w:rFonts w:cs="Arial"/>
        </w:rPr>
        <w:t xml:space="preserve">temporarily </w:t>
      </w:r>
      <w:r w:rsidR="00510E25" w:rsidRPr="4C05EBAE">
        <w:rPr>
          <w:rFonts w:cs="Arial"/>
        </w:rPr>
        <w:t>exempt</w:t>
      </w:r>
      <w:r w:rsidR="00820697" w:rsidRPr="4C05EBAE">
        <w:rPr>
          <w:rFonts w:cs="Arial"/>
        </w:rPr>
        <w:t xml:space="preserve"> for the approved period.</w:t>
      </w:r>
    </w:p>
    <w:p w14:paraId="00534949" w14:textId="1F3C6E76" w:rsidR="00820697" w:rsidRPr="00520BB8" w:rsidRDefault="00820697" w:rsidP="00520BB8">
      <w:pPr>
        <w:rPr>
          <w:rFonts w:eastAsia="Times New Roman" w:cs="Arial"/>
          <w:color w:val="auto"/>
          <w:szCs w:val="22"/>
          <w:lang w:eastAsia="en-AU"/>
        </w:rPr>
      </w:pPr>
      <w:r w:rsidRPr="00183D0D">
        <w:rPr>
          <w:rFonts w:eastAsia="Times New Roman" w:cs="Arial"/>
          <w:color w:val="auto"/>
          <w:szCs w:val="22"/>
          <w:lang w:eastAsia="en-AU"/>
        </w:rPr>
        <w:t xml:space="preserve">The department </w:t>
      </w:r>
      <w:r w:rsidR="000F0384" w:rsidRPr="00183D0D">
        <w:rPr>
          <w:rFonts w:eastAsia="Times New Roman" w:cs="Arial"/>
          <w:color w:val="auto"/>
          <w:szCs w:val="22"/>
          <w:lang w:eastAsia="en-AU"/>
        </w:rPr>
        <w:t>can</w:t>
      </w:r>
      <w:r w:rsidRPr="00183D0D">
        <w:rPr>
          <w:rFonts w:eastAsia="Times New Roman" w:cs="Arial"/>
          <w:color w:val="auto"/>
          <w:szCs w:val="22"/>
          <w:lang w:eastAsia="en-AU"/>
        </w:rPr>
        <w:t xml:space="preserve"> authorise an exemption to the </w:t>
      </w:r>
      <w:r w:rsidR="004A0C89" w:rsidRPr="00183D0D">
        <w:rPr>
          <w:rFonts w:eastAsia="Times New Roman" w:cs="Arial"/>
          <w:color w:val="auto"/>
          <w:szCs w:val="22"/>
          <w:lang w:eastAsia="en-AU"/>
        </w:rPr>
        <w:t xml:space="preserve">MyMedicare </w:t>
      </w:r>
      <w:r w:rsidRPr="00183D0D">
        <w:rPr>
          <w:rFonts w:eastAsia="Times New Roman" w:cs="Arial"/>
          <w:color w:val="auto"/>
          <w:szCs w:val="22"/>
          <w:lang w:eastAsia="en-AU"/>
        </w:rPr>
        <w:t xml:space="preserve">accreditation </w:t>
      </w:r>
      <w:r w:rsidR="004A0C89" w:rsidRPr="00183D0D">
        <w:rPr>
          <w:rFonts w:eastAsia="Times New Roman" w:cs="Arial"/>
          <w:color w:val="auto"/>
          <w:szCs w:val="22"/>
          <w:lang w:eastAsia="en-AU"/>
        </w:rPr>
        <w:t xml:space="preserve">eligibility </w:t>
      </w:r>
      <w:r w:rsidRPr="00183D0D">
        <w:rPr>
          <w:rFonts w:eastAsia="Times New Roman" w:cs="Arial"/>
          <w:color w:val="auto"/>
          <w:szCs w:val="22"/>
          <w:lang w:eastAsia="en-AU"/>
        </w:rPr>
        <w:t>requirements through specific direction on a case-by-case basis.</w:t>
      </w:r>
    </w:p>
    <w:p w14:paraId="162F2FF7" w14:textId="6ED7A72A" w:rsidR="00820697" w:rsidRPr="00520BB8" w:rsidRDefault="00820697" w:rsidP="00520BB8">
      <w:pPr>
        <w:rPr>
          <w:rFonts w:eastAsia="Times New Roman" w:cs="Arial"/>
          <w:color w:val="auto"/>
          <w:szCs w:val="22"/>
          <w:lang w:eastAsia="en-AU"/>
        </w:rPr>
      </w:pPr>
      <w:r w:rsidRPr="00183D0D">
        <w:rPr>
          <w:rFonts w:eastAsia="Times New Roman" w:cs="Arial"/>
          <w:color w:val="auto"/>
          <w:szCs w:val="22"/>
          <w:lang w:eastAsia="en-AU"/>
        </w:rPr>
        <w:t xml:space="preserve">Exemptions applied by the department in this manner are applied specifically to MyMedicare </w:t>
      </w:r>
      <w:r w:rsidR="00500214" w:rsidRPr="00183D0D">
        <w:rPr>
          <w:rFonts w:eastAsia="Times New Roman" w:cs="Arial"/>
          <w:color w:val="auto"/>
          <w:szCs w:val="22"/>
          <w:lang w:eastAsia="en-AU"/>
        </w:rPr>
        <w:t xml:space="preserve">accreditation </w:t>
      </w:r>
      <w:r w:rsidR="008A7236" w:rsidRPr="00183D0D">
        <w:rPr>
          <w:rFonts w:eastAsia="Times New Roman" w:cs="Arial"/>
          <w:color w:val="auto"/>
          <w:szCs w:val="22"/>
          <w:lang w:eastAsia="en-AU"/>
        </w:rPr>
        <w:t xml:space="preserve">eligibility </w:t>
      </w:r>
      <w:r w:rsidRPr="00183D0D">
        <w:rPr>
          <w:rFonts w:eastAsia="Times New Roman" w:cs="Arial"/>
          <w:color w:val="auto"/>
          <w:szCs w:val="22"/>
          <w:lang w:eastAsia="en-AU"/>
        </w:rPr>
        <w:t>requirements and are not an exemption to any requirements for accreditation for any other program.</w:t>
      </w:r>
    </w:p>
    <w:p w14:paraId="2B4FE449" w14:textId="206F4F44" w:rsidR="00820697" w:rsidRPr="00520BB8" w:rsidRDefault="00820697" w:rsidP="61716D05">
      <w:pPr>
        <w:rPr>
          <w:rFonts w:eastAsia="Times New Roman" w:cs="Arial"/>
          <w:color w:val="auto"/>
          <w:lang w:eastAsia="en-AU"/>
        </w:rPr>
      </w:pPr>
      <w:r w:rsidRPr="61716D05">
        <w:rPr>
          <w:rFonts w:eastAsia="Times New Roman" w:cs="Arial"/>
          <w:color w:val="auto"/>
          <w:lang w:eastAsia="en-AU"/>
        </w:rPr>
        <w:t>General practices must refer requests to the department for a temporary exemption to accreditation requirements for MyMedicare in writing. Supporting</w:t>
      </w:r>
      <w:r w:rsidR="00B50AD6" w:rsidRPr="61716D05">
        <w:rPr>
          <w:rStyle w:val="FootnoteReference"/>
          <w:rFonts w:cs="Arial"/>
        </w:rPr>
        <w:footnoteReference w:id="5"/>
      </w:r>
      <w:r w:rsidR="00B50AD6" w:rsidRPr="61716D05">
        <w:rPr>
          <w:rFonts w:cs="Arial"/>
        </w:rPr>
        <w:t xml:space="preserve"> </w:t>
      </w:r>
      <w:r w:rsidRPr="61716D05">
        <w:rPr>
          <w:rFonts w:eastAsia="Times New Roman" w:cs="Arial"/>
          <w:color w:val="auto"/>
          <w:lang w:eastAsia="en-AU"/>
        </w:rPr>
        <w:t xml:space="preserve">evidence and documentation </w:t>
      </w:r>
      <w:r w:rsidR="004526F5" w:rsidRPr="61716D05">
        <w:rPr>
          <w:rFonts w:eastAsia="Times New Roman" w:cs="Arial"/>
          <w:color w:val="auto"/>
          <w:lang w:eastAsia="en-AU"/>
        </w:rPr>
        <w:t>from an authorised person or owne</w:t>
      </w:r>
      <w:r w:rsidR="00BE620C" w:rsidRPr="61716D05">
        <w:rPr>
          <w:rFonts w:eastAsia="Times New Roman" w:cs="Arial"/>
          <w:color w:val="auto"/>
          <w:lang w:eastAsia="en-AU"/>
        </w:rPr>
        <w:t xml:space="preserve">rship </w:t>
      </w:r>
      <w:r w:rsidRPr="61716D05">
        <w:rPr>
          <w:rFonts w:eastAsia="Times New Roman" w:cs="Arial"/>
          <w:color w:val="auto"/>
          <w:lang w:eastAsia="en-AU"/>
        </w:rPr>
        <w:t xml:space="preserve">must accompany the request. These requests must be for a specified reason and should not contradict or seek to contravene a decision from the </w:t>
      </w:r>
      <w:r w:rsidR="00D318F0" w:rsidRPr="61716D05">
        <w:rPr>
          <w:rFonts w:eastAsia="Times New Roman" w:cs="Arial"/>
          <w:color w:val="auto"/>
          <w:lang w:eastAsia="en-AU"/>
        </w:rPr>
        <w:t>Commission</w:t>
      </w:r>
      <w:r w:rsidRPr="61716D05">
        <w:rPr>
          <w:rFonts w:eastAsia="Times New Roman" w:cs="Arial"/>
          <w:color w:val="auto"/>
          <w:lang w:eastAsia="en-AU"/>
        </w:rPr>
        <w:t>.</w:t>
      </w:r>
    </w:p>
    <w:p w14:paraId="32F5864A" w14:textId="2202DF85" w:rsidR="00820697" w:rsidRPr="00520BB8" w:rsidRDefault="00820697" w:rsidP="61716D05">
      <w:pPr>
        <w:rPr>
          <w:rFonts w:eastAsia="Times New Roman" w:cs="Arial"/>
          <w:color w:val="auto"/>
          <w:lang w:eastAsia="en-AU"/>
        </w:rPr>
      </w:pPr>
      <w:r w:rsidRPr="61716D05">
        <w:rPr>
          <w:rFonts w:eastAsia="Times New Roman" w:cs="Arial"/>
          <w:color w:val="auto"/>
          <w:lang w:eastAsia="en-AU"/>
        </w:rPr>
        <w:lastRenderedPageBreak/>
        <w:t xml:space="preserve">Should the department authorise an exemption </w:t>
      </w:r>
      <w:r w:rsidR="00C24A75" w:rsidRPr="61716D05">
        <w:rPr>
          <w:rFonts w:eastAsia="Times New Roman" w:cs="Arial"/>
          <w:color w:val="auto"/>
          <w:lang w:eastAsia="en-AU"/>
        </w:rPr>
        <w:t>from the MyMedi</w:t>
      </w:r>
      <w:r w:rsidR="008A7236" w:rsidRPr="61716D05">
        <w:rPr>
          <w:rFonts w:eastAsia="Times New Roman" w:cs="Arial"/>
          <w:color w:val="auto"/>
          <w:lang w:eastAsia="en-AU"/>
        </w:rPr>
        <w:t>care accreditation eligibility requirement</w:t>
      </w:r>
      <w:r w:rsidRPr="61716D05">
        <w:rPr>
          <w:rFonts w:eastAsia="Times New Roman" w:cs="Arial"/>
          <w:color w:val="auto"/>
          <w:lang w:eastAsia="en-AU"/>
        </w:rPr>
        <w:t>, the department will determine the new MyMedicare eligibility end date which will be communicated to the general practice and the relevant departments and agencies.</w:t>
      </w:r>
    </w:p>
    <w:p w14:paraId="102D92A9" w14:textId="6345B367" w:rsidR="00820697" w:rsidRPr="00183D0D" w:rsidRDefault="00820697" w:rsidP="00520BB8">
      <w:pPr>
        <w:rPr>
          <w:rFonts w:eastAsia="Times New Roman" w:cs="Arial"/>
          <w:color w:val="auto"/>
          <w:szCs w:val="22"/>
          <w:lang w:eastAsia="en-AU"/>
        </w:rPr>
      </w:pPr>
      <w:r w:rsidRPr="00183D0D">
        <w:rPr>
          <w:rFonts w:eastAsia="Times New Roman" w:cs="Arial"/>
          <w:color w:val="auto"/>
          <w:szCs w:val="22"/>
          <w:lang w:eastAsia="en-AU"/>
        </w:rPr>
        <w:t xml:space="preserve">Upon an exemption period being approved and reflected in the MyMedicare program, the practices eligibility </w:t>
      </w:r>
      <w:r w:rsidR="00B9200A" w:rsidRPr="00183D0D">
        <w:rPr>
          <w:rFonts w:eastAsia="Times New Roman" w:cs="Arial"/>
          <w:color w:val="auto"/>
          <w:szCs w:val="22"/>
          <w:lang w:eastAsia="en-AU"/>
        </w:rPr>
        <w:t>may</w:t>
      </w:r>
      <w:r w:rsidRPr="00183D0D">
        <w:rPr>
          <w:rFonts w:eastAsia="Times New Roman" w:cs="Arial"/>
          <w:color w:val="auto"/>
          <w:szCs w:val="22"/>
          <w:lang w:eastAsia="en-AU"/>
        </w:rPr>
        <w:t xml:space="preserve"> be updated accordingly.</w:t>
      </w:r>
    </w:p>
    <w:p w14:paraId="25D671E8" w14:textId="6716CE80" w:rsidR="00E47DB5" w:rsidRDefault="00786A7D" w:rsidP="00E15513">
      <w:pPr>
        <w:pStyle w:val="Heading2"/>
        <w:ind w:left="578" w:hanging="578"/>
      </w:pPr>
      <w:bookmarkStart w:id="79" w:name="_Toc214051006"/>
      <w:bookmarkStart w:id="80" w:name="_Toc216708117"/>
      <w:r>
        <w:t xml:space="preserve">Temporary </w:t>
      </w:r>
      <w:r w:rsidR="006F0349">
        <w:t xml:space="preserve">accreditation </w:t>
      </w:r>
      <w:r>
        <w:t xml:space="preserve">exemption – non-traditional practice </w:t>
      </w:r>
      <w:r w:rsidR="00E560B4">
        <w:t>models</w:t>
      </w:r>
      <w:bookmarkEnd w:id="79"/>
      <w:bookmarkEnd w:id="80"/>
    </w:p>
    <w:p w14:paraId="3FBDAEC3" w14:textId="40A5A66A" w:rsidR="005E1CB5" w:rsidRPr="00D66D6D" w:rsidRDefault="00E560B4" w:rsidP="61716D05">
      <w:pPr>
        <w:rPr>
          <w:lang w:eastAsia="en-AU"/>
        </w:rPr>
      </w:pPr>
      <w:r w:rsidRPr="61716D05">
        <w:rPr>
          <w:lang w:eastAsia="en-AU"/>
        </w:rPr>
        <w:t>A</w:t>
      </w:r>
      <w:r w:rsidR="006F0349" w:rsidRPr="61716D05">
        <w:rPr>
          <w:lang w:eastAsia="en-AU"/>
        </w:rPr>
        <w:t xml:space="preserve"> temporary </w:t>
      </w:r>
      <w:r w:rsidRPr="61716D05">
        <w:rPr>
          <w:lang w:eastAsia="en-AU"/>
        </w:rPr>
        <w:t xml:space="preserve">exemption </w:t>
      </w:r>
      <w:r w:rsidR="00576484" w:rsidRPr="61716D05">
        <w:rPr>
          <w:lang w:eastAsia="en-AU"/>
        </w:rPr>
        <w:t xml:space="preserve">to the MyMedicare accreditation requirement </w:t>
      </w:r>
      <w:r w:rsidRPr="61716D05">
        <w:rPr>
          <w:lang w:eastAsia="en-AU"/>
        </w:rPr>
        <w:t xml:space="preserve">is available </w:t>
      </w:r>
      <w:r w:rsidR="00471A93">
        <w:rPr>
          <w:lang w:eastAsia="en-AU"/>
        </w:rPr>
        <w:t>until</w:t>
      </w:r>
      <w:r w:rsidR="00471A93" w:rsidRPr="61716D05">
        <w:rPr>
          <w:lang w:eastAsia="en-AU"/>
        </w:rPr>
        <w:t xml:space="preserve"> </w:t>
      </w:r>
      <w:r w:rsidR="00471A93">
        <w:rPr>
          <w:lang w:eastAsia="en-AU"/>
        </w:rPr>
        <w:t>31 December 2026</w:t>
      </w:r>
      <w:r w:rsidR="004C0073" w:rsidRPr="61716D05">
        <w:rPr>
          <w:lang w:eastAsia="en-AU"/>
        </w:rPr>
        <w:t xml:space="preserve"> </w:t>
      </w:r>
      <w:r w:rsidR="00C72BC6" w:rsidRPr="61716D05">
        <w:rPr>
          <w:lang w:eastAsia="en-AU"/>
        </w:rPr>
        <w:t>to non-traditional practices such as mobile</w:t>
      </w:r>
      <w:r w:rsidR="00190754" w:rsidRPr="61716D05">
        <w:rPr>
          <w:lang w:eastAsia="en-AU"/>
        </w:rPr>
        <w:t>, outreach, and sole provider practices</w:t>
      </w:r>
      <w:r w:rsidR="005F5D75" w:rsidRPr="61716D05">
        <w:rPr>
          <w:lang w:eastAsia="en-AU"/>
        </w:rPr>
        <w:t>,</w:t>
      </w:r>
      <w:r w:rsidR="00920B19" w:rsidRPr="61716D05">
        <w:rPr>
          <w:lang w:eastAsia="en-AU"/>
        </w:rPr>
        <w:t xml:space="preserve"> ACCHS, AMS and Nurse Practitioner-led with GP</w:t>
      </w:r>
      <w:r w:rsidR="00A96147" w:rsidRPr="61716D05">
        <w:rPr>
          <w:lang w:eastAsia="en-AU"/>
        </w:rPr>
        <w:t xml:space="preserve">. </w:t>
      </w:r>
      <w:r w:rsidR="00252E25" w:rsidRPr="61716D05">
        <w:rPr>
          <w:lang w:eastAsia="en-AU"/>
        </w:rPr>
        <w:t xml:space="preserve">This </w:t>
      </w:r>
      <w:r w:rsidR="00C07AAE" w:rsidRPr="61716D05">
        <w:rPr>
          <w:lang w:eastAsia="en-AU"/>
        </w:rPr>
        <w:t>will give</w:t>
      </w:r>
      <w:r w:rsidR="00CF6CEA" w:rsidRPr="61716D05">
        <w:rPr>
          <w:lang w:eastAsia="en-AU"/>
        </w:rPr>
        <w:t xml:space="preserve"> non-accredited practices who currently operate under non-traditional business models an opportunity to access MyMedicare benefits while preparing to meet accreditation standards.</w:t>
      </w:r>
    </w:p>
    <w:p w14:paraId="15C91CF4" w14:textId="5359F071" w:rsidR="005E1CB5" w:rsidRPr="00520BB8" w:rsidRDefault="005E1CB5" w:rsidP="61716D05">
      <w:pPr>
        <w:rPr>
          <w:rFonts w:ascii="Segoe UI" w:hAnsi="Segoe UI" w:cs="Segoe UI"/>
          <w:lang w:eastAsia="en-AU"/>
        </w:rPr>
      </w:pPr>
      <w:r w:rsidRPr="61716D05">
        <w:rPr>
          <w:lang w:eastAsia="en-AU"/>
        </w:rPr>
        <w:t>The exemption seeks to recognise the current transition within the sector to a new definition of a general practice for accreditation purposes published by RACGP</w:t>
      </w:r>
      <w:r w:rsidR="007524D3" w:rsidRPr="61716D05">
        <w:rPr>
          <w:rStyle w:val="FootnoteReference"/>
          <w:lang w:eastAsia="en-AU"/>
        </w:rPr>
        <w:footnoteReference w:id="6"/>
      </w:r>
      <w:r w:rsidRPr="61716D05">
        <w:rPr>
          <w:lang w:eastAsia="en-AU"/>
        </w:rPr>
        <w:t>. Non-traditional practices who now meet the definition of a general practice under the standard will require time to prepare their practice to obtain accreditation where required for health programs such as MyMedicare.  </w:t>
      </w:r>
    </w:p>
    <w:p w14:paraId="5F686C12" w14:textId="77777777" w:rsidR="005E1CB5" w:rsidRPr="00520BB8" w:rsidRDefault="005E1CB5" w:rsidP="00520BB8">
      <w:pPr>
        <w:rPr>
          <w:rFonts w:ascii="Segoe UI" w:hAnsi="Segoe UI" w:cs="Segoe UI"/>
          <w:szCs w:val="22"/>
          <w:lang w:eastAsia="en-AU"/>
        </w:rPr>
      </w:pPr>
      <w:r w:rsidRPr="00D66D6D">
        <w:rPr>
          <w:szCs w:val="22"/>
          <w:lang w:eastAsia="en-AU"/>
        </w:rPr>
        <w:t>A temporary exemption is available for non-accredited practices (including sole providers) who deliver general practice services entirely through mobile and outreach models including: </w:t>
      </w:r>
    </w:p>
    <w:p w14:paraId="4406C78E" w14:textId="77777777" w:rsidR="005E1CB5" w:rsidRPr="00742F75" w:rsidRDefault="005E1CB5" w:rsidP="00742F75">
      <w:pPr>
        <w:pStyle w:val="ListBullet"/>
        <w:tabs>
          <w:tab w:val="clear" w:pos="360"/>
          <w:tab w:val="num" w:pos="1074"/>
        </w:tabs>
        <w:spacing w:before="60" w:after="60"/>
        <w:ind w:left="714" w:hanging="357"/>
        <w:contextualSpacing w:val="0"/>
        <w:rPr>
          <w:rFonts w:cs="Arial"/>
        </w:rPr>
      </w:pPr>
      <w:r w:rsidRPr="165438EC">
        <w:rPr>
          <w:rFonts w:cs="Arial"/>
        </w:rPr>
        <w:t>in rural settings </w:t>
      </w:r>
    </w:p>
    <w:p w14:paraId="53226455" w14:textId="77777777" w:rsidR="005E1CB5" w:rsidRPr="00742F75" w:rsidRDefault="005E1CB5" w:rsidP="00742F75">
      <w:pPr>
        <w:pStyle w:val="ListBullet"/>
        <w:tabs>
          <w:tab w:val="clear" w:pos="360"/>
          <w:tab w:val="num" w:pos="1074"/>
        </w:tabs>
        <w:spacing w:before="60" w:after="60"/>
        <w:ind w:left="714" w:hanging="357"/>
        <w:contextualSpacing w:val="0"/>
        <w:rPr>
          <w:rFonts w:cs="Arial"/>
        </w:rPr>
      </w:pPr>
      <w:r w:rsidRPr="165438EC">
        <w:rPr>
          <w:rFonts w:cs="Arial"/>
        </w:rPr>
        <w:t>in residential aged care facilities </w:t>
      </w:r>
    </w:p>
    <w:p w14:paraId="696FF13C" w14:textId="77777777" w:rsidR="005E1CB5" w:rsidRPr="00742F75" w:rsidRDefault="005E1CB5" w:rsidP="00742F75">
      <w:pPr>
        <w:pStyle w:val="ListBullet"/>
        <w:tabs>
          <w:tab w:val="clear" w:pos="360"/>
          <w:tab w:val="num" w:pos="1074"/>
        </w:tabs>
        <w:spacing w:before="60" w:after="60"/>
        <w:ind w:left="714" w:hanging="357"/>
        <w:contextualSpacing w:val="0"/>
        <w:rPr>
          <w:rFonts w:cs="Arial"/>
        </w:rPr>
      </w:pPr>
      <w:r w:rsidRPr="165438EC">
        <w:rPr>
          <w:rFonts w:cs="Arial"/>
        </w:rPr>
        <w:t>in disability residential settings </w:t>
      </w:r>
    </w:p>
    <w:p w14:paraId="25A2F302" w14:textId="4407930E" w:rsidR="00471A93" w:rsidRDefault="005E1CB5" w:rsidP="00471A93">
      <w:pPr>
        <w:pStyle w:val="ListBullet"/>
        <w:tabs>
          <w:tab w:val="clear" w:pos="360"/>
          <w:tab w:val="num" w:pos="1074"/>
        </w:tabs>
        <w:spacing w:before="60" w:after="60"/>
        <w:ind w:left="714" w:hanging="357"/>
        <w:contextualSpacing w:val="0"/>
        <w:rPr>
          <w:rFonts w:cs="Arial"/>
        </w:rPr>
      </w:pPr>
      <w:r w:rsidRPr="165438EC">
        <w:rPr>
          <w:rFonts w:cs="Arial"/>
        </w:rPr>
        <w:t>to First Nations Australians</w:t>
      </w:r>
    </w:p>
    <w:p w14:paraId="7E9C38AF" w14:textId="749C0296" w:rsidR="00471A93" w:rsidRPr="00471A93" w:rsidRDefault="00471A93" w:rsidP="00471A93">
      <w:pPr>
        <w:pStyle w:val="ListBullet"/>
        <w:tabs>
          <w:tab w:val="clear" w:pos="360"/>
          <w:tab w:val="num" w:pos="1074"/>
        </w:tabs>
        <w:spacing w:before="60" w:after="60"/>
        <w:ind w:left="714" w:hanging="357"/>
        <w:contextualSpacing w:val="0"/>
        <w:rPr>
          <w:rFonts w:cs="Arial"/>
        </w:rPr>
      </w:pPr>
      <w:r w:rsidRPr="165438EC">
        <w:rPr>
          <w:rFonts w:cs="Arial"/>
        </w:rPr>
        <w:t>to people experiencing homelessness.</w:t>
      </w:r>
    </w:p>
    <w:p w14:paraId="7033ABD4" w14:textId="77777777" w:rsidR="005E1CB5" w:rsidRDefault="005E1CB5" w:rsidP="00520BB8">
      <w:pPr>
        <w:rPr>
          <w:color w:val="auto"/>
          <w:szCs w:val="22"/>
          <w:lang w:eastAsia="en-AU"/>
        </w:rPr>
      </w:pPr>
      <w:r w:rsidRPr="007D0333">
        <w:rPr>
          <w:color w:val="auto"/>
          <w:szCs w:val="22"/>
          <w:lang w:eastAsia="en-AU"/>
        </w:rPr>
        <w:t>This exemption is applied through a declaration model in the Organisation Register when the practice registers for MyMedicare. </w:t>
      </w:r>
    </w:p>
    <w:p w14:paraId="092E8E9C" w14:textId="77777777" w:rsidR="00512EB9" w:rsidRDefault="00512EB9" w:rsidP="00512EB9">
      <w:pPr>
        <w:pStyle w:val="Heading2"/>
        <w:ind w:left="578" w:hanging="578"/>
      </w:pPr>
      <w:bookmarkStart w:id="81" w:name="_Toc214051007"/>
      <w:bookmarkStart w:id="82" w:name="_Toc216708118"/>
      <w:r>
        <w:t>Accreditation exemption – Bulk Billing Practice Incentive Program</w:t>
      </w:r>
      <w:bookmarkEnd w:id="81"/>
      <w:bookmarkEnd w:id="82"/>
    </w:p>
    <w:p w14:paraId="5A21A4AD" w14:textId="77777777" w:rsidR="00512EB9" w:rsidRPr="00B75228" w:rsidRDefault="00512EB9" w:rsidP="00512EB9">
      <w:r w:rsidRPr="00B75228">
        <w:t xml:space="preserve">From 1 November 2025, an exemption to the MyMedicare accreditation requirement is available for practices that are not already MyMedicare registered and participating in BBPIP. </w:t>
      </w:r>
    </w:p>
    <w:p w14:paraId="57B76EEB" w14:textId="77777777" w:rsidR="00512EB9" w:rsidRPr="00B75228" w:rsidRDefault="00512EB9" w:rsidP="00512EB9">
      <w:r w:rsidRPr="00B75228">
        <w:t>Existing eligibility and accreditation requirements remain for other MyMedicare programs. Registering in MyMedicare under this accreditation exemption will not entitle practices to participate in other MyMedicare linked initiatives and incentives. Program eligibility details are outlined in program specific guidelines.  </w:t>
      </w:r>
    </w:p>
    <w:p w14:paraId="332700B1" w14:textId="77777777" w:rsidR="00512EB9" w:rsidRPr="00B75228" w:rsidRDefault="00512EB9" w:rsidP="00512EB9">
      <w:r w:rsidRPr="00B75228">
        <w:t>The BBPIP accreditation exemption is applied through a declaration model in the Organisation Register at the time of MyMedicare registration.  </w:t>
      </w:r>
    </w:p>
    <w:p w14:paraId="7A525F8A" w14:textId="77777777" w:rsidR="00512EB9" w:rsidRPr="00B75228" w:rsidRDefault="00512EB9" w:rsidP="00512EB9">
      <w:r w:rsidRPr="00B75228">
        <w:t>Practices already registered in MyMedicare must continue to meet the existing MyMedicare accreditation requirements to participate in BBPIP. </w:t>
      </w:r>
    </w:p>
    <w:p w14:paraId="7F82CC40" w14:textId="46B7C71C" w:rsidR="007F4082" w:rsidRPr="00E15513" w:rsidRDefault="007F4082" w:rsidP="1C1019EF">
      <w:pPr>
        <w:pStyle w:val="Guidelinessub"/>
        <w:numPr>
          <w:ilvl w:val="0"/>
          <w:numId w:val="0"/>
        </w:numPr>
        <w:spacing w:before="120" w:after="120" w:line="340" w:lineRule="atLeast"/>
        <w:ind w:left="576" w:hanging="578"/>
        <w:rPr>
          <w:rFonts w:cs="Arial"/>
          <w:color w:val="auto"/>
        </w:rPr>
      </w:pPr>
      <w:bookmarkStart w:id="83" w:name="_Toc214051009"/>
      <w:bookmarkStart w:id="84" w:name="_Toc216708119"/>
      <w:r w:rsidRPr="00E15513">
        <w:rPr>
          <w:rFonts w:ascii="Arial" w:hAnsi="Arial" w:cs="Arial"/>
          <w:color w:val="auto"/>
          <w:sz w:val="24"/>
          <w:szCs w:val="24"/>
        </w:rPr>
        <w:lastRenderedPageBreak/>
        <w:t>Withdraw</w:t>
      </w:r>
      <w:r w:rsidR="00F249F0" w:rsidRPr="00E15513">
        <w:rPr>
          <w:rFonts w:ascii="Arial" w:hAnsi="Arial" w:cs="Arial"/>
          <w:color w:val="auto"/>
          <w:sz w:val="24"/>
          <w:szCs w:val="24"/>
        </w:rPr>
        <w:t xml:space="preserve">al of </w:t>
      </w:r>
      <w:r w:rsidR="00FF160C" w:rsidRPr="00E15513">
        <w:rPr>
          <w:rFonts w:ascii="Arial" w:hAnsi="Arial" w:cs="Arial"/>
          <w:color w:val="auto"/>
          <w:sz w:val="24"/>
          <w:szCs w:val="24"/>
        </w:rPr>
        <w:t>A</w:t>
      </w:r>
      <w:r w:rsidR="00F249F0" w:rsidRPr="00E15513">
        <w:rPr>
          <w:rFonts w:ascii="Arial" w:hAnsi="Arial" w:cs="Arial"/>
          <w:color w:val="auto"/>
          <w:sz w:val="24"/>
          <w:szCs w:val="24"/>
        </w:rPr>
        <w:t>ccreditation</w:t>
      </w:r>
      <w:bookmarkEnd w:id="83"/>
      <w:bookmarkEnd w:id="84"/>
    </w:p>
    <w:p w14:paraId="5CB771B5" w14:textId="5FAA3C69" w:rsidR="00A863FD" w:rsidRPr="007D0333" w:rsidRDefault="00B17758" w:rsidP="61716D05">
      <w:pPr>
        <w:rPr>
          <w:color w:val="auto"/>
          <w:lang w:eastAsia="en-AU"/>
        </w:rPr>
      </w:pPr>
      <w:r w:rsidRPr="61716D05">
        <w:rPr>
          <w:color w:val="auto"/>
          <w:lang w:eastAsia="en-AU"/>
        </w:rPr>
        <w:t xml:space="preserve">Where practices </w:t>
      </w:r>
      <w:r w:rsidR="003B27E1" w:rsidRPr="61716D05">
        <w:rPr>
          <w:color w:val="auto"/>
          <w:lang w:eastAsia="en-AU"/>
        </w:rPr>
        <w:t>are un</w:t>
      </w:r>
      <w:r w:rsidR="00E71039" w:rsidRPr="61716D05">
        <w:rPr>
          <w:color w:val="auto"/>
          <w:lang w:eastAsia="en-AU"/>
        </w:rPr>
        <w:t xml:space="preserve">successful in meeting ongoing accreditation requirements </w:t>
      </w:r>
      <w:r w:rsidR="00BB4D0E" w:rsidRPr="61716D05">
        <w:rPr>
          <w:color w:val="auto"/>
          <w:lang w:eastAsia="en-AU"/>
        </w:rPr>
        <w:t>the accredit</w:t>
      </w:r>
      <w:r w:rsidR="00081449" w:rsidRPr="61716D05">
        <w:rPr>
          <w:color w:val="auto"/>
          <w:lang w:eastAsia="en-AU"/>
        </w:rPr>
        <w:t xml:space="preserve">ing agency may </w:t>
      </w:r>
      <w:r w:rsidR="00FD6825" w:rsidRPr="61716D05">
        <w:rPr>
          <w:color w:val="auto"/>
          <w:lang w:eastAsia="en-AU"/>
        </w:rPr>
        <w:t>decide</w:t>
      </w:r>
      <w:r w:rsidR="00994BB8" w:rsidRPr="61716D05">
        <w:rPr>
          <w:color w:val="auto"/>
          <w:lang w:eastAsia="en-AU"/>
        </w:rPr>
        <w:t xml:space="preserve"> to withdraw </w:t>
      </w:r>
      <w:r w:rsidR="00E15A17" w:rsidRPr="61716D05">
        <w:rPr>
          <w:color w:val="auto"/>
          <w:lang w:eastAsia="en-AU"/>
        </w:rPr>
        <w:t xml:space="preserve">a </w:t>
      </w:r>
      <w:r w:rsidR="00ED78C3" w:rsidRPr="61716D05">
        <w:rPr>
          <w:color w:val="auto"/>
          <w:lang w:eastAsia="en-AU"/>
        </w:rPr>
        <w:t>practice’s</w:t>
      </w:r>
      <w:r w:rsidR="00E15A17" w:rsidRPr="61716D05">
        <w:rPr>
          <w:color w:val="auto"/>
          <w:lang w:eastAsia="en-AU"/>
        </w:rPr>
        <w:t xml:space="preserve"> </w:t>
      </w:r>
      <w:r w:rsidR="00994BB8" w:rsidRPr="61716D05">
        <w:rPr>
          <w:color w:val="auto"/>
          <w:lang w:eastAsia="en-AU"/>
        </w:rPr>
        <w:t>accreditation</w:t>
      </w:r>
      <w:r w:rsidR="00E15A17" w:rsidRPr="61716D05">
        <w:rPr>
          <w:color w:val="auto"/>
          <w:lang w:eastAsia="en-AU"/>
        </w:rPr>
        <w:t>.</w:t>
      </w:r>
    </w:p>
    <w:p w14:paraId="1E050C16" w14:textId="575AB9DC" w:rsidR="00877366" w:rsidRDefault="00754453" w:rsidP="00877366">
      <w:pPr>
        <w:rPr>
          <w:lang w:eastAsia="en-AU"/>
        </w:rPr>
      </w:pPr>
      <w:r w:rsidRPr="61716D05">
        <w:rPr>
          <w:lang w:eastAsia="en-AU"/>
        </w:rPr>
        <w:t>Following the noti</w:t>
      </w:r>
      <w:r w:rsidR="00C455E3" w:rsidRPr="61716D05">
        <w:rPr>
          <w:lang w:eastAsia="en-AU"/>
        </w:rPr>
        <w:t xml:space="preserve">fication </w:t>
      </w:r>
      <w:r w:rsidR="00CE7496" w:rsidRPr="61716D05">
        <w:rPr>
          <w:lang w:eastAsia="en-AU"/>
        </w:rPr>
        <w:t>of withdrawal of accreditation</w:t>
      </w:r>
      <w:r w:rsidR="00870866" w:rsidRPr="61716D05">
        <w:rPr>
          <w:lang w:eastAsia="en-AU"/>
        </w:rPr>
        <w:t>, the practice’s accreditation</w:t>
      </w:r>
      <w:r w:rsidR="004D74D2" w:rsidRPr="61716D05">
        <w:rPr>
          <w:lang w:eastAsia="en-AU"/>
        </w:rPr>
        <w:t xml:space="preserve"> information will be updated</w:t>
      </w:r>
      <w:r w:rsidR="004D4F7F" w:rsidRPr="61716D05">
        <w:rPr>
          <w:lang w:eastAsia="en-AU"/>
        </w:rPr>
        <w:t>, and the practice will be in</w:t>
      </w:r>
      <w:r w:rsidR="00A51CF9" w:rsidRPr="61716D05">
        <w:rPr>
          <w:lang w:eastAsia="en-AU"/>
        </w:rPr>
        <w:t>elig</w:t>
      </w:r>
      <w:r w:rsidR="009B350F" w:rsidRPr="61716D05">
        <w:rPr>
          <w:lang w:eastAsia="en-AU"/>
        </w:rPr>
        <w:t xml:space="preserve">ible for </w:t>
      </w:r>
      <w:r w:rsidR="00C122DE" w:rsidRPr="61716D05">
        <w:rPr>
          <w:lang w:eastAsia="en-AU"/>
        </w:rPr>
        <w:t xml:space="preserve">MyMedicare. </w:t>
      </w:r>
      <w:r w:rsidR="008A7EA5" w:rsidRPr="61716D05">
        <w:rPr>
          <w:lang w:eastAsia="en-AU"/>
        </w:rPr>
        <w:t>The practice will not be able to parti</w:t>
      </w:r>
      <w:r w:rsidR="00A11F1A" w:rsidRPr="61716D05">
        <w:rPr>
          <w:lang w:eastAsia="en-AU"/>
        </w:rPr>
        <w:t xml:space="preserve">cipate in </w:t>
      </w:r>
      <w:r w:rsidR="00990A9E" w:rsidRPr="73E5948E">
        <w:rPr>
          <w:lang w:eastAsia="en-AU"/>
        </w:rPr>
        <w:t>MyMedicare</w:t>
      </w:r>
      <w:r w:rsidR="00A11F1A" w:rsidRPr="73E5948E">
        <w:rPr>
          <w:lang w:eastAsia="en-AU"/>
        </w:rPr>
        <w:t xml:space="preserve"> </w:t>
      </w:r>
      <w:r w:rsidR="00A11F1A" w:rsidRPr="61716D05">
        <w:rPr>
          <w:lang w:eastAsia="en-AU"/>
        </w:rPr>
        <w:t xml:space="preserve">until they </w:t>
      </w:r>
      <w:r w:rsidR="00D62E90" w:rsidRPr="61716D05">
        <w:rPr>
          <w:lang w:eastAsia="en-AU"/>
        </w:rPr>
        <w:t>meet</w:t>
      </w:r>
      <w:r w:rsidR="00A11F1A" w:rsidRPr="61716D05">
        <w:rPr>
          <w:lang w:eastAsia="en-AU"/>
        </w:rPr>
        <w:t xml:space="preserve"> the</w:t>
      </w:r>
      <w:r w:rsidR="00A11F1A" w:rsidRPr="61716D05" w:rsidDel="00990A9E">
        <w:rPr>
          <w:lang w:eastAsia="en-AU"/>
        </w:rPr>
        <w:t xml:space="preserve"> </w:t>
      </w:r>
      <w:r w:rsidR="00A11F1A" w:rsidRPr="61716D05">
        <w:rPr>
          <w:lang w:eastAsia="en-AU"/>
        </w:rPr>
        <w:t>accreditation requirements.</w:t>
      </w:r>
    </w:p>
    <w:p w14:paraId="10CE22C4" w14:textId="4DBDCE0E" w:rsidR="5FDA8E02" w:rsidRDefault="7690AB84" w:rsidP="004F430B">
      <w:pPr>
        <w:pStyle w:val="Heading1"/>
      </w:pPr>
      <w:bookmarkStart w:id="85" w:name="_Toc214051010"/>
      <w:bookmarkStart w:id="86" w:name="_Toc216708120"/>
      <w:r>
        <w:t>Provider</w:t>
      </w:r>
      <w:r w:rsidR="05F4B22D">
        <w:t xml:space="preserve"> </w:t>
      </w:r>
      <w:r>
        <w:t>registration</w:t>
      </w:r>
      <w:r w:rsidR="52B8E1BE" w:rsidRPr="57E8C92B">
        <w:rPr>
          <w:rStyle w:val="CommentReference"/>
          <w:rFonts w:asciiTheme="minorHAnsi" w:eastAsiaTheme="minorEastAsia" w:hAnsiTheme="minorHAnsi" w:cs="Times New Roman"/>
          <w:b w:val="0"/>
          <w:color w:val="auto"/>
          <w:kern w:val="2"/>
          <w:lang w:eastAsia="en-US"/>
          <w14:ligatures w14:val="standardContextual"/>
        </w:rPr>
        <w:t xml:space="preserve"> </w:t>
      </w:r>
      <w:r>
        <w:t>requirements</w:t>
      </w:r>
      <w:bookmarkEnd w:id="85"/>
      <w:bookmarkEnd w:id="86"/>
    </w:p>
    <w:p w14:paraId="087848E1" w14:textId="5A713D39" w:rsidR="5FDA8E02" w:rsidRDefault="5FDA8E02" w:rsidP="008D5480">
      <w:pPr>
        <w:pStyle w:val="Heading2"/>
      </w:pPr>
      <w:bookmarkStart w:id="87" w:name="_Toc214051011"/>
      <w:bookmarkStart w:id="88" w:name="_Toc216708121"/>
      <w:r>
        <w:t>Provider requirements</w:t>
      </w:r>
      <w:bookmarkEnd w:id="87"/>
      <w:bookmarkEnd w:id="88"/>
    </w:p>
    <w:p w14:paraId="74C43D63" w14:textId="4C9B7878" w:rsidR="5FDA8E02" w:rsidRDefault="5FDA8E02" w:rsidP="00520BB8">
      <w:r>
        <w:t>To be considered eligible for MyMedicare, a provider must be one of the following:</w:t>
      </w:r>
    </w:p>
    <w:p w14:paraId="60B3DB1D" w14:textId="77FC4D93" w:rsidR="375DD0E6" w:rsidRPr="00736170" w:rsidRDefault="003A0590" w:rsidP="00742F75">
      <w:pPr>
        <w:pStyle w:val="ListBullet"/>
        <w:tabs>
          <w:tab w:val="clear" w:pos="360"/>
          <w:tab w:val="num" w:pos="1074"/>
        </w:tabs>
        <w:spacing w:before="60" w:after="60"/>
        <w:ind w:left="714" w:hanging="357"/>
        <w:contextualSpacing w:val="0"/>
        <w:rPr>
          <w:rFonts w:cs="Arial"/>
        </w:rPr>
      </w:pPr>
      <w:r w:rsidRPr="165438EC">
        <w:rPr>
          <w:rFonts w:cs="Arial"/>
        </w:rPr>
        <w:t>a</w:t>
      </w:r>
      <w:r w:rsidR="375DD0E6" w:rsidRPr="165438EC">
        <w:rPr>
          <w:rFonts w:cs="Arial"/>
        </w:rPr>
        <w:t xml:space="preserve"> </w:t>
      </w:r>
      <w:r w:rsidR="00A046AD" w:rsidRPr="165438EC">
        <w:rPr>
          <w:rFonts w:cs="Arial"/>
        </w:rPr>
        <w:t xml:space="preserve">vocational registered </w:t>
      </w:r>
      <w:r w:rsidR="375DD0E6" w:rsidRPr="165438EC">
        <w:rPr>
          <w:rFonts w:cs="Arial"/>
        </w:rPr>
        <w:t>GP</w:t>
      </w:r>
      <w:r w:rsidR="00706A66" w:rsidRPr="165438EC">
        <w:rPr>
          <w:rFonts w:cs="Arial"/>
        </w:rPr>
        <w:t>, or</w:t>
      </w:r>
    </w:p>
    <w:p w14:paraId="3EC731EE" w14:textId="75AAA415" w:rsidR="003A0590" w:rsidRPr="00736170" w:rsidRDefault="003A0590" w:rsidP="00742F75">
      <w:pPr>
        <w:pStyle w:val="ListBullet"/>
        <w:tabs>
          <w:tab w:val="clear" w:pos="360"/>
          <w:tab w:val="num" w:pos="1074"/>
        </w:tabs>
        <w:spacing w:before="60" w:after="60"/>
        <w:ind w:left="714" w:hanging="357"/>
        <w:contextualSpacing w:val="0"/>
        <w:rPr>
          <w:rFonts w:cs="Arial"/>
        </w:rPr>
      </w:pPr>
      <w:r w:rsidRPr="165438EC">
        <w:rPr>
          <w:rFonts w:cs="Arial"/>
        </w:rPr>
        <w:t>a non-vocational registered GP</w:t>
      </w:r>
      <w:r w:rsidR="00706A66" w:rsidRPr="165438EC">
        <w:rPr>
          <w:rFonts w:cs="Arial"/>
        </w:rPr>
        <w:t>, or</w:t>
      </w:r>
    </w:p>
    <w:p w14:paraId="32CA6CB6" w14:textId="1C5DFAFE" w:rsidR="00DA5C4D" w:rsidRPr="00736170" w:rsidRDefault="003A0590" w:rsidP="00742F75">
      <w:pPr>
        <w:pStyle w:val="ListBullet"/>
        <w:tabs>
          <w:tab w:val="clear" w:pos="360"/>
          <w:tab w:val="num" w:pos="1074"/>
        </w:tabs>
        <w:spacing w:before="60" w:after="60"/>
        <w:ind w:left="714" w:hanging="357"/>
        <w:contextualSpacing w:val="0"/>
        <w:rPr>
          <w:rFonts w:cs="Arial"/>
        </w:rPr>
      </w:pPr>
      <w:r w:rsidRPr="165438EC">
        <w:rPr>
          <w:rFonts w:cs="Arial"/>
        </w:rPr>
        <w:t>a GP registrar</w:t>
      </w:r>
      <w:r w:rsidR="00576C97" w:rsidRPr="165438EC">
        <w:rPr>
          <w:rFonts w:cs="Arial"/>
        </w:rPr>
        <w:t>;</w:t>
      </w:r>
      <w:r w:rsidR="00DA5C4D" w:rsidRPr="165438EC">
        <w:rPr>
          <w:rFonts w:cs="Arial"/>
        </w:rPr>
        <w:t xml:space="preserve"> </w:t>
      </w:r>
      <w:r w:rsidR="007A1FBC" w:rsidRPr="165438EC">
        <w:rPr>
          <w:rFonts w:cs="Arial"/>
        </w:rPr>
        <w:t>and</w:t>
      </w:r>
    </w:p>
    <w:p w14:paraId="51349D6B" w14:textId="69D20ADE" w:rsidR="00307391" w:rsidRPr="00820792" w:rsidRDefault="00076EFE" w:rsidP="35ECC052">
      <w:pPr>
        <w:pStyle w:val="Bullet3"/>
        <w:rPr>
          <w:lang w:eastAsia="en-AU"/>
        </w:rPr>
      </w:pPr>
      <w:r w:rsidRPr="35ECC052">
        <w:rPr>
          <w:lang w:eastAsia="en-AU"/>
        </w:rPr>
        <w:t xml:space="preserve">have a valid Medicare Provider </w:t>
      </w:r>
      <w:r w:rsidR="004514F5" w:rsidRPr="73E5948E">
        <w:rPr>
          <w:lang w:eastAsia="en-AU"/>
        </w:rPr>
        <w:t>N</w:t>
      </w:r>
      <w:r w:rsidRPr="73E5948E">
        <w:rPr>
          <w:lang w:eastAsia="en-AU"/>
        </w:rPr>
        <w:t>umber</w:t>
      </w:r>
      <w:r w:rsidR="00307391" w:rsidRPr="35ECC052">
        <w:rPr>
          <w:lang w:eastAsia="en-AU"/>
        </w:rPr>
        <w:t xml:space="preserve"> for the </w:t>
      </w:r>
      <w:r w:rsidR="004514F5">
        <w:rPr>
          <w:lang w:eastAsia="en-AU"/>
        </w:rPr>
        <w:t xml:space="preserve">registered </w:t>
      </w:r>
      <w:r w:rsidR="00307391" w:rsidRPr="35ECC052">
        <w:rPr>
          <w:lang w:eastAsia="en-AU"/>
        </w:rPr>
        <w:t>practice</w:t>
      </w:r>
    </w:p>
    <w:p w14:paraId="323800E8" w14:textId="556032CB" w:rsidR="00307391" w:rsidRPr="00820792" w:rsidRDefault="00307391" w:rsidP="3E34338F">
      <w:pPr>
        <w:pStyle w:val="Bullet3"/>
        <w:rPr>
          <w:lang w:eastAsia="en-AU"/>
        </w:rPr>
      </w:pPr>
      <w:r w:rsidRPr="00820792">
        <w:rPr>
          <w:lang w:eastAsia="en-AU"/>
        </w:rPr>
        <w:t xml:space="preserve">be working at a </w:t>
      </w:r>
      <w:r w:rsidR="00C8596C" w:rsidRPr="00820792">
        <w:rPr>
          <w:lang w:eastAsia="en-AU"/>
        </w:rPr>
        <w:t>My</w:t>
      </w:r>
      <w:r w:rsidRPr="00820792">
        <w:rPr>
          <w:lang w:eastAsia="en-AU"/>
        </w:rPr>
        <w:t xml:space="preserve">Medicare </w:t>
      </w:r>
      <w:r w:rsidR="6EE91C3F" w:rsidRPr="3E34338F">
        <w:rPr>
          <w:lang w:eastAsia="en-AU"/>
        </w:rPr>
        <w:t>registered</w:t>
      </w:r>
      <w:r w:rsidRPr="00820792">
        <w:rPr>
          <w:lang w:eastAsia="en-AU"/>
        </w:rPr>
        <w:t xml:space="preserve"> practice</w:t>
      </w:r>
      <w:r w:rsidR="00706A66" w:rsidRPr="00820792">
        <w:rPr>
          <w:lang w:eastAsia="en-AU"/>
        </w:rPr>
        <w:t xml:space="preserve"> </w:t>
      </w:r>
    </w:p>
    <w:p w14:paraId="7C4D48BC" w14:textId="6C5C4A8A" w:rsidR="611CDE77" w:rsidDel="007714C6" w:rsidRDefault="00307391" w:rsidP="71CB847D">
      <w:pPr>
        <w:pStyle w:val="Bullet3"/>
        <w:rPr>
          <w:lang w:eastAsia="en-AU"/>
        </w:rPr>
      </w:pPr>
      <w:r w:rsidRPr="611CDE77">
        <w:rPr>
          <w:lang w:eastAsia="en-AU"/>
        </w:rPr>
        <w:t xml:space="preserve">be linked to the MyMedicare </w:t>
      </w:r>
      <w:r w:rsidR="004514F5">
        <w:rPr>
          <w:lang w:eastAsia="en-AU"/>
        </w:rPr>
        <w:t>registered</w:t>
      </w:r>
      <w:r w:rsidR="004514F5" w:rsidRPr="611CDE77">
        <w:rPr>
          <w:lang w:eastAsia="en-AU"/>
        </w:rPr>
        <w:t xml:space="preserve"> </w:t>
      </w:r>
      <w:r w:rsidRPr="611CDE77">
        <w:rPr>
          <w:lang w:eastAsia="en-AU"/>
        </w:rPr>
        <w:t xml:space="preserve">practice in </w:t>
      </w:r>
      <w:r w:rsidR="00706A66" w:rsidRPr="611CDE77">
        <w:rPr>
          <w:lang w:eastAsia="en-AU"/>
        </w:rPr>
        <w:t>the Organisation Register</w:t>
      </w:r>
      <w:r w:rsidR="003A0590" w:rsidRPr="611CDE77">
        <w:rPr>
          <w:lang w:eastAsia="en-AU"/>
        </w:rPr>
        <w:t>.</w:t>
      </w:r>
    </w:p>
    <w:p w14:paraId="0A18D238" w14:textId="46592EBF" w:rsidR="00817CB4" w:rsidRPr="001F7637" w:rsidRDefault="008C436C" w:rsidP="00A71E5C">
      <w:pPr>
        <w:pStyle w:val="Heading2"/>
      </w:pPr>
      <w:bookmarkStart w:id="89" w:name="_Toc214051012"/>
      <w:bookmarkStart w:id="90" w:name="_Toc216708122"/>
      <w:r>
        <w:t>P</w:t>
      </w:r>
      <w:r w:rsidR="00D51510">
        <w:t xml:space="preserve">atient </w:t>
      </w:r>
      <w:r w:rsidR="002B7DFF" w:rsidDel="00FE65F8">
        <w:t>r</w:t>
      </w:r>
      <w:r w:rsidR="00D51510" w:rsidDel="00FE65F8">
        <w:t xml:space="preserve">egistration </w:t>
      </w:r>
      <w:r w:rsidR="00817CB4" w:rsidRPr="001F7637" w:rsidDel="008C436C">
        <w:t>requirements</w:t>
      </w:r>
      <w:bookmarkEnd w:id="64"/>
      <w:bookmarkEnd w:id="65"/>
      <w:bookmarkEnd w:id="66"/>
      <w:bookmarkEnd w:id="67"/>
      <w:bookmarkEnd w:id="68"/>
      <w:bookmarkEnd w:id="69"/>
      <w:bookmarkEnd w:id="70"/>
      <w:bookmarkEnd w:id="71"/>
      <w:bookmarkEnd w:id="72"/>
      <w:bookmarkEnd w:id="89"/>
      <w:bookmarkEnd w:id="90"/>
    </w:p>
    <w:p w14:paraId="24F023CF" w14:textId="28CF66A3" w:rsidR="006752D7" w:rsidRDefault="00151ECD" w:rsidP="00817CB4">
      <w:pPr>
        <w:rPr>
          <w:rFonts w:eastAsia="Times New Roman"/>
        </w:rPr>
      </w:pPr>
      <w:r>
        <w:rPr>
          <w:rFonts w:eastAsia="Times New Roman"/>
        </w:rPr>
        <w:t>Patient registration</w:t>
      </w:r>
      <w:r w:rsidRPr="4C05EBAE">
        <w:rPr>
          <w:rFonts w:eastAsia="Times New Roman"/>
        </w:rPr>
        <w:t xml:space="preserve"> </w:t>
      </w:r>
      <w:r w:rsidR="00D51510" w:rsidRPr="4C05EBAE">
        <w:rPr>
          <w:rFonts w:eastAsia="Times New Roman"/>
        </w:rPr>
        <w:t>in MyMedicare is voluntary and</w:t>
      </w:r>
      <w:r w:rsidR="001F75B3">
        <w:rPr>
          <w:rFonts w:eastAsia="Times New Roman"/>
        </w:rPr>
        <w:t xml:space="preserve"> requires documented consent</w:t>
      </w:r>
      <w:r w:rsidR="00293FAD" w:rsidRPr="165438EC">
        <w:rPr>
          <w:rFonts w:eastAsia="Times New Roman"/>
        </w:rPr>
        <w:t>.</w:t>
      </w:r>
      <w:r w:rsidR="00293FAD" w:rsidRPr="4C05EBAE">
        <w:rPr>
          <w:rFonts w:eastAsia="Times New Roman"/>
        </w:rPr>
        <w:t xml:space="preserve"> Patients </w:t>
      </w:r>
      <w:r w:rsidR="0058146D">
        <w:rPr>
          <w:rFonts w:eastAsia="Times New Roman"/>
        </w:rPr>
        <w:t xml:space="preserve">who choose to </w:t>
      </w:r>
      <w:r w:rsidR="00293FAD" w:rsidRPr="165438EC">
        <w:rPr>
          <w:rFonts w:eastAsia="Times New Roman"/>
        </w:rPr>
        <w:t>register</w:t>
      </w:r>
      <w:r w:rsidR="00293FAD" w:rsidRPr="4C05EBAE">
        <w:rPr>
          <w:rFonts w:eastAsia="Times New Roman"/>
        </w:rPr>
        <w:t xml:space="preserve"> with MyMedicare will have access to continuity of care</w:t>
      </w:r>
      <w:r w:rsidR="0058146D" w:rsidRPr="165438EC">
        <w:rPr>
          <w:rFonts w:eastAsia="Times New Roman"/>
        </w:rPr>
        <w:t>,</w:t>
      </w:r>
      <w:r w:rsidR="00F76D45">
        <w:rPr>
          <w:rFonts w:eastAsia="Times New Roman"/>
        </w:rPr>
        <w:t xml:space="preserve"> </w:t>
      </w:r>
      <w:r w:rsidR="00A83D05">
        <w:rPr>
          <w:rFonts w:eastAsia="Times New Roman"/>
        </w:rPr>
        <w:t>w</w:t>
      </w:r>
      <w:r w:rsidR="0058146D">
        <w:rPr>
          <w:rFonts w:eastAsia="Times New Roman"/>
        </w:rPr>
        <w:t xml:space="preserve">hich </w:t>
      </w:r>
      <w:r w:rsidR="0058146D" w:rsidRPr="165438EC">
        <w:rPr>
          <w:rFonts w:eastAsia="Times New Roman"/>
        </w:rPr>
        <w:t>e</w:t>
      </w:r>
      <w:r w:rsidR="00F76D45" w:rsidRPr="165438EC">
        <w:rPr>
          <w:rFonts w:eastAsia="Times New Roman"/>
        </w:rPr>
        <w:t>vidence</w:t>
      </w:r>
      <w:r w:rsidR="00F76D45">
        <w:rPr>
          <w:rFonts w:eastAsia="Times New Roman"/>
        </w:rPr>
        <w:t xml:space="preserve"> indicates</w:t>
      </w:r>
      <w:r w:rsidR="00A83D05">
        <w:rPr>
          <w:rFonts w:eastAsia="Times New Roman"/>
        </w:rPr>
        <w:t xml:space="preserve"> will contribute to</w:t>
      </w:r>
      <w:r w:rsidR="00F76D45" w:rsidDel="00A83D05">
        <w:rPr>
          <w:rFonts w:eastAsia="Times New Roman"/>
        </w:rPr>
        <w:t xml:space="preserve"> </w:t>
      </w:r>
      <w:r w:rsidR="00946984">
        <w:rPr>
          <w:rFonts w:eastAsia="Times New Roman"/>
        </w:rPr>
        <w:t>better</w:t>
      </w:r>
      <w:r w:rsidR="00F76D45">
        <w:rPr>
          <w:rFonts w:eastAsia="Times New Roman"/>
        </w:rPr>
        <w:t xml:space="preserve"> continuity of care </w:t>
      </w:r>
      <w:r w:rsidR="00946984">
        <w:rPr>
          <w:rFonts w:eastAsia="Times New Roman"/>
        </w:rPr>
        <w:t xml:space="preserve">and </w:t>
      </w:r>
      <w:r w:rsidR="00293FAD" w:rsidRPr="4C05EBAE">
        <w:rPr>
          <w:rFonts w:eastAsia="Times New Roman"/>
        </w:rPr>
        <w:t xml:space="preserve">improved health outcomes. Patients can </w:t>
      </w:r>
      <w:r w:rsidR="00AF16EF" w:rsidRPr="165438EC">
        <w:rPr>
          <w:rFonts w:eastAsia="Times New Roman"/>
        </w:rPr>
        <w:t>nominate</w:t>
      </w:r>
      <w:r w:rsidR="00293FAD" w:rsidRPr="4C05EBAE">
        <w:rPr>
          <w:rFonts w:eastAsia="Times New Roman"/>
        </w:rPr>
        <w:t xml:space="preserve"> one</w:t>
      </w:r>
      <w:r w:rsidR="00D204BF" w:rsidRPr="4C05EBAE">
        <w:rPr>
          <w:rFonts w:eastAsia="Times New Roman"/>
        </w:rPr>
        <w:t xml:space="preserve"> practice </w:t>
      </w:r>
      <w:r w:rsidR="002277AB">
        <w:rPr>
          <w:rFonts w:eastAsia="Times New Roman"/>
        </w:rPr>
        <w:t>(o</w:t>
      </w:r>
      <w:r w:rsidR="00B2322C">
        <w:rPr>
          <w:rFonts w:eastAsia="Times New Roman"/>
        </w:rPr>
        <w:t>r</w:t>
      </w:r>
      <w:r w:rsidR="00993C84">
        <w:rPr>
          <w:rFonts w:eastAsia="Times New Roman"/>
        </w:rPr>
        <w:t xml:space="preserve"> </w:t>
      </w:r>
      <w:hyperlink w:anchor="_Hub_and_Spoke">
        <w:r w:rsidR="00993C84" w:rsidRPr="165438EC">
          <w:rPr>
            <w:rStyle w:val="Hyperlink"/>
            <w:rFonts w:eastAsia="Times New Roman"/>
          </w:rPr>
          <w:t>Hub</w:t>
        </w:r>
      </w:hyperlink>
      <w:r w:rsidR="002277AB">
        <w:rPr>
          <w:rFonts w:eastAsia="Times New Roman"/>
        </w:rPr>
        <w:t xml:space="preserve">) </w:t>
      </w:r>
      <w:r w:rsidR="00D204BF" w:rsidRPr="4C05EBAE">
        <w:rPr>
          <w:rFonts w:eastAsia="Times New Roman"/>
        </w:rPr>
        <w:t>and one preferred GP on their MyMedicare registration at any given time.</w:t>
      </w:r>
    </w:p>
    <w:p w14:paraId="64F4E3E2" w14:textId="77777777" w:rsidR="00B02891" w:rsidRDefault="006752D7" w:rsidP="00817CB4">
      <w:pPr>
        <w:rPr>
          <w:rFonts w:eastAsia="Times New Roman"/>
        </w:rPr>
      </w:pPr>
      <w:r>
        <w:rPr>
          <w:rFonts w:eastAsia="Times New Roman"/>
        </w:rPr>
        <w:t xml:space="preserve">If a patient chooses not to register for MyMedicare, they will still be able to access the </w:t>
      </w:r>
      <w:r w:rsidR="00B02891">
        <w:rPr>
          <w:rFonts w:eastAsia="Times New Roman"/>
        </w:rPr>
        <w:t>same quality of care from their healthcare providers.</w:t>
      </w:r>
    </w:p>
    <w:p w14:paraId="30938942" w14:textId="6E433523" w:rsidR="0061104F" w:rsidRDefault="0061104F" w:rsidP="00667BCF">
      <w:pPr>
        <w:pStyle w:val="Heading3"/>
        <w:numPr>
          <w:ilvl w:val="0"/>
          <w:numId w:val="0"/>
        </w:numPr>
        <w:rPr>
          <w:lang w:eastAsia="en-AU"/>
        </w:rPr>
      </w:pPr>
      <w:bookmarkStart w:id="91" w:name="_Toc216708124"/>
      <w:r>
        <w:rPr>
          <w:lang w:eastAsia="en-AU"/>
        </w:rPr>
        <w:t>6.2.</w:t>
      </w:r>
      <w:r w:rsidR="007A0F72">
        <w:rPr>
          <w:lang w:eastAsia="en-AU"/>
        </w:rPr>
        <w:t>1</w:t>
      </w:r>
      <w:r>
        <w:rPr>
          <w:lang w:eastAsia="en-AU"/>
        </w:rPr>
        <w:t xml:space="preserve"> Online registration</w:t>
      </w:r>
      <w:bookmarkEnd w:id="91"/>
    </w:p>
    <w:p w14:paraId="27057209" w14:textId="77777777" w:rsidR="0061104F" w:rsidRDefault="0061104F" w:rsidP="0061104F">
      <w:r w:rsidRPr="61716D05">
        <w:t>Patients can initiate their MyMedicare registration online through their MOA</w:t>
      </w:r>
      <w:r>
        <w:t xml:space="preserve"> on the </w:t>
      </w:r>
      <w:proofErr w:type="spellStart"/>
      <w:r>
        <w:t>myGov</w:t>
      </w:r>
      <w:proofErr w:type="spellEnd"/>
      <w:r>
        <w:t xml:space="preserve"> app</w:t>
      </w:r>
      <w:r w:rsidRPr="61716D05">
        <w:t>. Once completed, the patient’s registration request will be submitted to the patient’s practice. A parent or guardian listed on the same Medicare card as a child under 14 can complete patient-initiated registration through online registration</w:t>
      </w:r>
      <w:r>
        <w:t xml:space="preserve"> on behalf of this child</w:t>
      </w:r>
      <w:r w:rsidRPr="61716D05">
        <w:t xml:space="preserve">.  </w:t>
      </w:r>
    </w:p>
    <w:p w14:paraId="6D64B92A" w14:textId="1565B237" w:rsidR="009B7C36" w:rsidRPr="009B7C36" w:rsidRDefault="4C30D454" w:rsidP="001E36F9">
      <w:pPr>
        <w:pStyle w:val="Heading3"/>
        <w:numPr>
          <w:ilvl w:val="0"/>
          <w:numId w:val="0"/>
        </w:numPr>
        <w:rPr>
          <w:lang w:eastAsia="en-AU"/>
        </w:rPr>
      </w:pPr>
      <w:bookmarkStart w:id="92" w:name="_Toc216708125"/>
      <w:r>
        <w:rPr>
          <w:lang w:eastAsia="en-AU"/>
        </w:rPr>
        <w:t>6.</w:t>
      </w:r>
      <w:r w:rsidR="5F96433F">
        <w:rPr>
          <w:lang w:eastAsia="en-AU"/>
        </w:rPr>
        <w:t>2</w:t>
      </w:r>
      <w:r>
        <w:rPr>
          <w:lang w:eastAsia="en-AU"/>
        </w:rPr>
        <w:t xml:space="preserve">.2 </w:t>
      </w:r>
      <w:r w:rsidR="009B7C36">
        <w:rPr>
          <w:lang w:eastAsia="en-AU"/>
        </w:rPr>
        <w:t>In-person registrations</w:t>
      </w:r>
      <w:bookmarkEnd w:id="92"/>
    </w:p>
    <w:p w14:paraId="4A9F342A" w14:textId="77777777" w:rsidR="00AE037C" w:rsidRPr="00742F75" w:rsidRDefault="00AE037C" w:rsidP="00AE037C">
      <w:pPr>
        <w:rPr>
          <w:rFonts w:cs="Arial"/>
        </w:rPr>
      </w:pPr>
      <w:r>
        <w:rPr>
          <w:lang w:eastAsia="en-AU"/>
        </w:rPr>
        <w:t xml:space="preserve">Where a patient is not comfortable with digital registration processes, they can </w:t>
      </w:r>
      <w:r w:rsidRPr="61716D05">
        <w:rPr>
          <w:lang w:eastAsia="en-AU"/>
        </w:rPr>
        <w:t>initiate the MyMedicare registration process by</w:t>
      </w:r>
      <w:r w:rsidRPr="093E784F">
        <w:rPr>
          <w:lang w:eastAsia="en-AU"/>
        </w:rPr>
        <w:t xml:space="preserve"> </w:t>
      </w:r>
      <w:r w:rsidRPr="093E784F">
        <w:rPr>
          <w:rFonts w:cs="Arial"/>
        </w:rPr>
        <w:t>requesting</w:t>
      </w:r>
      <w:r w:rsidRPr="71CB847D">
        <w:rPr>
          <w:rFonts w:cs="Arial"/>
        </w:rPr>
        <w:t xml:space="preserve"> the authorised patient registration form from their general practice, completing it, and returning the completed form to their practice.  If a patient is living in a residential aged care home, their home should be able to provide them with a copy of the paper form.</w:t>
      </w:r>
    </w:p>
    <w:p w14:paraId="58A109D8" w14:textId="77777777" w:rsidR="00AE037C" w:rsidRDefault="00AE037C" w:rsidP="00AE037C">
      <w:pPr>
        <w:rPr>
          <w:lang w:eastAsia="en-AU"/>
        </w:rPr>
      </w:pPr>
      <w:r w:rsidRPr="61716D05">
        <w:rPr>
          <w:lang w:eastAsia="en-AU"/>
        </w:rPr>
        <w:lastRenderedPageBreak/>
        <w:t>By signing the form, the patient or an authorised person, parent or guardian is giving consent to participate in MyMedicare. Practice staff will then complete the registration in the MyMedicare system.</w:t>
      </w:r>
    </w:p>
    <w:p w14:paraId="35039476" w14:textId="77777777" w:rsidR="00AE037C" w:rsidRPr="00247630" w:rsidRDefault="00AE037C" w:rsidP="00AE037C">
      <w:pPr>
        <w:rPr>
          <w:rFonts w:ascii="Segoe UI" w:hAnsi="Segoe UI" w:cs="Segoe UI"/>
          <w:sz w:val="18"/>
          <w:szCs w:val="18"/>
          <w:lang w:eastAsia="en-AU"/>
        </w:rPr>
      </w:pPr>
      <w:r>
        <w:rPr>
          <w:lang w:eastAsia="en-AU"/>
        </w:rPr>
        <w:t xml:space="preserve">For registrations outside MOA, </w:t>
      </w:r>
      <w:r w:rsidRPr="093E784F">
        <w:rPr>
          <w:lang w:eastAsia="en-AU"/>
        </w:rPr>
        <w:t>only</w:t>
      </w:r>
      <w:r>
        <w:rPr>
          <w:lang w:eastAsia="en-AU"/>
        </w:rPr>
        <w:t xml:space="preserve"> the authorised </w:t>
      </w:r>
      <w:r w:rsidRPr="00742F75">
        <w:rPr>
          <w:rFonts w:cs="Arial"/>
          <w:szCs w:val="22"/>
        </w:rPr>
        <w:t>MyMedicare registration form available online at the department’s website</w:t>
      </w:r>
      <w:r>
        <w:rPr>
          <w:rFonts w:cs="Arial"/>
          <w:szCs w:val="22"/>
        </w:rPr>
        <w:t xml:space="preserve"> can</w:t>
      </w:r>
      <w:r w:rsidDel="00E976DE">
        <w:rPr>
          <w:lang w:eastAsia="en-AU"/>
        </w:rPr>
        <w:t xml:space="preserve"> </w:t>
      </w:r>
      <w:r>
        <w:rPr>
          <w:lang w:eastAsia="en-AU"/>
        </w:rPr>
        <w:t xml:space="preserve">be used to register a patient in MyMedicare. It is this form that the practice or residential aged care home will give their patient </w:t>
      </w:r>
      <w:r w:rsidRPr="61716D05">
        <w:rPr>
          <w:lang w:eastAsia="en-AU"/>
        </w:rPr>
        <w:t>  </w:t>
      </w:r>
    </w:p>
    <w:p w14:paraId="65634968" w14:textId="77777777" w:rsidR="00AE037C" w:rsidRDefault="00AE037C" w:rsidP="00AE037C">
      <w:pPr>
        <w:rPr>
          <w:lang w:eastAsia="en-AU"/>
        </w:rPr>
      </w:pPr>
      <w:r w:rsidRPr="61716D05">
        <w:rPr>
          <w:lang w:eastAsia="en-AU"/>
        </w:rPr>
        <w:t>It is the practice</w:t>
      </w:r>
      <w:r>
        <w:rPr>
          <w:lang w:eastAsia="en-AU"/>
        </w:rPr>
        <w:t>’s</w:t>
      </w:r>
      <w:r w:rsidRPr="61716D05">
        <w:rPr>
          <w:lang w:eastAsia="en-AU"/>
        </w:rPr>
        <w:t xml:space="preserve"> responsibility to retain a copy of the registration form in the patient’s clinical records, for compliance with record keeping obligations</w:t>
      </w:r>
      <w:r w:rsidRPr="61716D05">
        <w:rPr>
          <w:rStyle w:val="FootnoteReference"/>
          <w:lang w:eastAsia="en-AU"/>
        </w:rPr>
        <w:footnoteReference w:id="7"/>
      </w:r>
      <w:r w:rsidRPr="61716D05">
        <w:rPr>
          <w:lang w:eastAsia="en-AU"/>
        </w:rPr>
        <w:t xml:space="preserve"> in accordance with federal, state and territory legislation applicable to their practice. </w:t>
      </w:r>
      <w:r w:rsidRPr="00863069">
        <w:rPr>
          <w:u w:val="single"/>
          <w:lang w:eastAsia="en-AU"/>
        </w:rPr>
        <w:t>Any forms sent to the department or Services Australia will not be processed.</w:t>
      </w:r>
      <w:r w:rsidRPr="61716D05">
        <w:rPr>
          <w:lang w:eastAsia="en-AU"/>
        </w:rPr>
        <w:t xml:space="preserve"> </w:t>
      </w:r>
    </w:p>
    <w:p w14:paraId="3645C598" w14:textId="5F663053" w:rsidR="009B7C36" w:rsidRPr="00877366" w:rsidRDefault="009B7C36" w:rsidP="009B7C36">
      <w:r>
        <w:t xml:space="preserve">The practice must use the authorised </w:t>
      </w:r>
      <w:r w:rsidRPr="00877366">
        <w:t>MyMedicare Registration form</w:t>
      </w:r>
      <w:r>
        <w:t>, available to order or download and print from the Department’s website.</w:t>
      </w:r>
      <w:r w:rsidRPr="00877366">
        <w:t xml:space="preserve"> A patient initiated MyMedicare registration will only be active once their preferred practice has accepted the request.</w:t>
      </w:r>
    </w:p>
    <w:p w14:paraId="7451D62C" w14:textId="106EED92" w:rsidR="009B7C36" w:rsidRDefault="2C4F7D9A" w:rsidP="165438EC">
      <w:pPr>
        <w:pStyle w:val="Heading3"/>
        <w:numPr>
          <w:ilvl w:val="0"/>
          <w:numId w:val="0"/>
        </w:numPr>
        <w:rPr>
          <w:lang w:eastAsia="en-AU"/>
        </w:rPr>
      </w:pPr>
      <w:bookmarkStart w:id="93" w:name="_Toc216708126"/>
      <w:r w:rsidRPr="165438EC">
        <w:rPr>
          <w:lang w:eastAsia="en-AU"/>
        </w:rPr>
        <w:t>6.</w:t>
      </w:r>
      <w:r w:rsidR="4BEAA746" w:rsidRPr="71CB847D">
        <w:rPr>
          <w:lang w:eastAsia="en-AU"/>
        </w:rPr>
        <w:t>2</w:t>
      </w:r>
      <w:r w:rsidRPr="165438EC">
        <w:rPr>
          <w:lang w:eastAsia="en-AU"/>
        </w:rPr>
        <w:t>.</w:t>
      </w:r>
      <w:r w:rsidR="00BA6885">
        <w:rPr>
          <w:lang w:eastAsia="en-AU"/>
        </w:rPr>
        <w:t>3</w:t>
      </w:r>
      <w:r w:rsidRPr="165438EC">
        <w:rPr>
          <w:lang w:eastAsia="en-AU"/>
        </w:rPr>
        <w:t xml:space="preserve"> </w:t>
      </w:r>
      <w:r w:rsidR="009B7C36" w:rsidRPr="61716D05">
        <w:rPr>
          <w:lang w:eastAsia="en-AU"/>
        </w:rPr>
        <w:t>Accepting patient-initiated registration</w:t>
      </w:r>
      <w:bookmarkEnd w:id="93"/>
    </w:p>
    <w:p w14:paraId="02923E4A" w14:textId="77777777" w:rsidR="009B7C36" w:rsidRPr="00877366" w:rsidRDefault="009B7C36" w:rsidP="009B7C36">
      <w:r w:rsidRPr="00877366">
        <w:t>Patient initiated registration requests must be accepted by the practice for a MyMedicare registration to be active. The practice is required to accept or decline the patients’ registration. Practices can set one of the following system preferences for patient-initiated registration:</w:t>
      </w:r>
    </w:p>
    <w:p w14:paraId="3F6C4A5D" w14:textId="77777777" w:rsidR="009B7C36" w:rsidRPr="00742F75" w:rsidRDefault="009B7C36" w:rsidP="009B7C36">
      <w:pPr>
        <w:pStyle w:val="ListBullet"/>
        <w:tabs>
          <w:tab w:val="clear" w:pos="360"/>
          <w:tab w:val="num" w:pos="1074"/>
        </w:tabs>
        <w:spacing w:before="60" w:after="60"/>
        <w:ind w:left="714" w:hanging="357"/>
        <w:rPr>
          <w:rFonts w:cs="Arial"/>
        </w:rPr>
      </w:pPr>
      <w:r w:rsidRPr="61716D05">
        <w:t>auto accept – automatically accepts all new registrations submitted by the patient through Medicare online</w:t>
      </w:r>
    </w:p>
    <w:p w14:paraId="386DB571" w14:textId="77777777" w:rsidR="009B7C36" w:rsidRPr="00742F75" w:rsidRDefault="009B7C36" w:rsidP="009B7C36">
      <w:pPr>
        <w:pStyle w:val="ListBullet"/>
        <w:tabs>
          <w:tab w:val="clear" w:pos="360"/>
          <w:tab w:val="num" w:pos="1074"/>
        </w:tabs>
        <w:spacing w:before="60" w:after="60"/>
        <w:ind w:left="714" w:hanging="357"/>
        <w:rPr>
          <w:rFonts w:cs="Arial"/>
        </w:rPr>
      </w:pPr>
      <w:r w:rsidRPr="61716D05">
        <w:t>auto decline – automatically declines all new registrations submitted by the patient through Medicare online</w:t>
      </w:r>
    </w:p>
    <w:p w14:paraId="63D690DB" w14:textId="77777777" w:rsidR="009B7C36" w:rsidRPr="00742F75" w:rsidRDefault="009B7C36" w:rsidP="009B7C36">
      <w:pPr>
        <w:pStyle w:val="ListBullet"/>
        <w:tabs>
          <w:tab w:val="clear" w:pos="360"/>
          <w:tab w:val="num" w:pos="1074"/>
        </w:tabs>
        <w:spacing w:before="60" w:after="60"/>
        <w:ind w:left="714" w:hanging="357"/>
        <w:rPr>
          <w:rFonts w:cs="Arial"/>
        </w:rPr>
      </w:pPr>
      <w:r w:rsidRPr="61716D05">
        <w:t>manual accept/decline – all registrations submitted by a patient through online services need to be individually reviewed by the practice.</w:t>
      </w:r>
    </w:p>
    <w:p w14:paraId="63E44CBE" w14:textId="7CA4255F" w:rsidR="009B7C36" w:rsidRPr="00864E4B" w:rsidRDefault="009B7C36" w:rsidP="00817CB4">
      <w:pPr>
        <w:rPr>
          <w:lang w:eastAsia="en-AU"/>
        </w:rPr>
      </w:pPr>
      <w:r w:rsidRPr="61716D05">
        <w:rPr>
          <w:lang w:eastAsia="en-AU"/>
        </w:rPr>
        <w:t xml:space="preserve">Where a practice has set their preferences to ‘manual accept’, the practice will have 28 days to accept or decline the patient’s registration. </w:t>
      </w:r>
    </w:p>
    <w:p w14:paraId="7116B303" w14:textId="77777777" w:rsidR="006D3CC8" w:rsidRPr="004F722F" w:rsidRDefault="006D3CC8" w:rsidP="008D5480">
      <w:pPr>
        <w:pStyle w:val="Heading2"/>
      </w:pPr>
      <w:bookmarkStart w:id="94" w:name="_Toc214051013"/>
      <w:bookmarkStart w:id="95" w:name="_Toc216708127"/>
      <w:r>
        <w:t>Patient eligibility requirements</w:t>
      </w:r>
      <w:bookmarkEnd w:id="94"/>
      <w:bookmarkEnd w:id="95"/>
    </w:p>
    <w:p w14:paraId="0EDE774C" w14:textId="58B01314" w:rsidR="006D3CC8" w:rsidRDefault="006D3CC8" w:rsidP="006D3CC8">
      <w:pPr>
        <w:rPr>
          <w:rFonts w:eastAsia="Times New Roman"/>
          <w:szCs w:val="22"/>
        </w:rPr>
      </w:pPr>
      <w:r>
        <w:rPr>
          <w:rFonts w:eastAsia="Times New Roman"/>
          <w:szCs w:val="22"/>
        </w:rPr>
        <w:t>To be eligible for MyMedicare registration, patients must meet the following criteria:</w:t>
      </w:r>
    </w:p>
    <w:p w14:paraId="0793662B" w14:textId="136D4FDA" w:rsidR="006D3CC8" w:rsidRPr="00AC0C69" w:rsidRDefault="006D3CC8" w:rsidP="00742F75">
      <w:pPr>
        <w:pStyle w:val="ListBullet"/>
        <w:tabs>
          <w:tab w:val="clear" w:pos="360"/>
          <w:tab w:val="num" w:pos="1074"/>
        </w:tabs>
        <w:spacing w:before="60" w:after="60"/>
        <w:ind w:left="714" w:hanging="357"/>
        <w:contextualSpacing w:val="0"/>
        <w:rPr>
          <w:rFonts w:cs="Arial"/>
        </w:rPr>
      </w:pPr>
      <w:r w:rsidRPr="165438EC">
        <w:rPr>
          <w:rFonts w:cs="Arial"/>
        </w:rPr>
        <w:t xml:space="preserve">have a valid Medicare or Department of Veterans’ Affairs (DVA) </w:t>
      </w:r>
      <w:r w:rsidR="00565B20" w:rsidRPr="165438EC">
        <w:rPr>
          <w:rFonts w:cs="Arial"/>
        </w:rPr>
        <w:t xml:space="preserve">Veteran </w:t>
      </w:r>
      <w:r w:rsidRPr="165438EC">
        <w:rPr>
          <w:rFonts w:cs="Arial"/>
        </w:rPr>
        <w:t>card</w:t>
      </w:r>
      <w:r w:rsidR="00AC0C69" w:rsidRPr="165438EC">
        <w:rPr>
          <w:rFonts w:cs="Arial"/>
        </w:rPr>
        <w:t>, and</w:t>
      </w:r>
      <w:r w:rsidRPr="165438EC">
        <w:rPr>
          <w:rFonts w:cs="Arial"/>
        </w:rPr>
        <w:t xml:space="preserve"> </w:t>
      </w:r>
    </w:p>
    <w:p w14:paraId="76622A8F" w14:textId="113935DB" w:rsidR="00BE49F3" w:rsidRDefault="006D3CC8" w:rsidP="00742F75">
      <w:pPr>
        <w:pStyle w:val="ListBullet"/>
        <w:tabs>
          <w:tab w:val="clear" w:pos="360"/>
          <w:tab w:val="num" w:pos="1074"/>
        </w:tabs>
        <w:spacing w:before="60" w:after="60"/>
        <w:ind w:left="714" w:hanging="357"/>
        <w:contextualSpacing w:val="0"/>
        <w:rPr>
          <w:rFonts w:cs="Arial"/>
        </w:rPr>
      </w:pPr>
      <w:r w:rsidRPr="165438EC">
        <w:rPr>
          <w:rFonts w:cs="Arial"/>
        </w:rPr>
        <w:t>have ha</w:t>
      </w:r>
      <w:r w:rsidR="00FF4664" w:rsidRPr="165438EC">
        <w:rPr>
          <w:rFonts w:cs="Arial"/>
        </w:rPr>
        <w:t>d</w:t>
      </w:r>
      <w:r w:rsidR="75CB7131" w:rsidRPr="165438EC">
        <w:rPr>
          <w:rFonts w:cs="Arial"/>
        </w:rPr>
        <w:t xml:space="preserve"> </w:t>
      </w:r>
      <w:r w:rsidRPr="165438EC">
        <w:rPr>
          <w:rFonts w:cs="Arial"/>
        </w:rPr>
        <w:t xml:space="preserve">face-to-face MBS services with the practice in the previous 24 months </w:t>
      </w:r>
      <w:r w:rsidR="00BE49F3" w:rsidRPr="165438EC">
        <w:rPr>
          <w:rFonts w:cs="Arial"/>
        </w:rPr>
        <w:t>consisting of:</w:t>
      </w:r>
    </w:p>
    <w:p w14:paraId="010D6A83" w14:textId="77777777" w:rsidR="00F33F34" w:rsidRDefault="00FA47D1" w:rsidP="00BE49F3">
      <w:pPr>
        <w:pStyle w:val="ListBullet"/>
        <w:tabs>
          <w:tab w:val="clear" w:pos="360"/>
          <w:tab w:val="num" w:pos="1431"/>
        </w:tabs>
        <w:spacing w:before="60" w:after="60"/>
        <w:ind w:left="1071" w:hanging="357"/>
        <w:contextualSpacing w:val="0"/>
        <w:rPr>
          <w:rFonts w:cs="Arial"/>
        </w:rPr>
      </w:pPr>
      <w:r w:rsidRPr="165438EC">
        <w:rPr>
          <w:rFonts w:cs="Arial"/>
        </w:rPr>
        <w:t xml:space="preserve">one face-to-face MBS service </w:t>
      </w:r>
      <w:r w:rsidR="00F33F34" w:rsidRPr="165438EC">
        <w:rPr>
          <w:rFonts w:cs="Arial"/>
        </w:rPr>
        <w:t>for practices in remote locations (MMM6-7), or</w:t>
      </w:r>
    </w:p>
    <w:p w14:paraId="301B2DA6" w14:textId="1F0BD6FA" w:rsidR="00C00525" w:rsidRPr="00F56B10" w:rsidRDefault="00F33F34" w:rsidP="00133BCB">
      <w:pPr>
        <w:pStyle w:val="ListBullet"/>
        <w:tabs>
          <w:tab w:val="clear" w:pos="360"/>
          <w:tab w:val="num" w:pos="1431"/>
        </w:tabs>
        <w:spacing w:before="60" w:after="60"/>
        <w:ind w:left="1071" w:hanging="357"/>
        <w:contextualSpacing w:val="0"/>
        <w:rPr>
          <w:rFonts w:cs="Arial"/>
        </w:rPr>
      </w:pPr>
      <w:r w:rsidRPr="165438EC">
        <w:rPr>
          <w:rFonts w:cs="Arial"/>
        </w:rPr>
        <w:t xml:space="preserve">two face-to-face MBS services for all other locations. </w:t>
      </w:r>
      <w:r w:rsidR="005847E1" w:rsidRPr="165438EC">
        <w:rPr>
          <w:rFonts w:cs="Arial"/>
        </w:rPr>
        <w:t xml:space="preserve"> </w:t>
      </w:r>
    </w:p>
    <w:p w14:paraId="01EEFCF7" w14:textId="4DC4F456" w:rsidR="00734559" w:rsidRDefault="776D15CC" w:rsidP="165438EC">
      <w:pPr>
        <w:pStyle w:val="Heading2"/>
        <w:spacing w:before="60" w:after="60"/>
        <w:ind w:hanging="357"/>
      </w:pPr>
      <w:bookmarkStart w:id="96" w:name="_Toc214051014"/>
      <w:r>
        <w:t xml:space="preserve">  </w:t>
      </w:r>
      <w:bookmarkStart w:id="97" w:name="_Toc216708128"/>
      <w:r w:rsidR="00356B48">
        <w:t>E</w:t>
      </w:r>
      <w:r w:rsidR="00734559">
        <w:t xml:space="preserve">xemption to </w:t>
      </w:r>
      <w:r w:rsidR="00356B48">
        <w:t xml:space="preserve">patient </w:t>
      </w:r>
      <w:r w:rsidR="00734559">
        <w:t>eligibility requirements</w:t>
      </w:r>
      <w:bookmarkEnd w:id="96"/>
      <w:bookmarkEnd w:id="97"/>
    </w:p>
    <w:p w14:paraId="596442BC" w14:textId="0C873C03" w:rsidR="00050291" w:rsidRDefault="00F76E9D" w:rsidP="00734559">
      <w:pPr>
        <w:rPr>
          <w:lang w:eastAsia="en-AU"/>
        </w:rPr>
      </w:pPr>
      <w:r w:rsidRPr="42EB6FAE">
        <w:rPr>
          <w:lang w:eastAsia="en-AU"/>
        </w:rPr>
        <w:t>P</w:t>
      </w:r>
      <w:r w:rsidR="00734559" w:rsidRPr="42EB6FAE">
        <w:rPr>
          <w:lang w:eastAsia="en-AU"/>
        </w:rPr>
        <w:t>atient</w:t>
      </w:r>
      <w:r w:rsidR="00734559" w:rsidRPr="4C05EBAE" w:rsidDel="00F76E9D">
        <w:rPr>
          <w:lang w:eastAsia="en-AU"/>
        </w:rPr>
        <w:t xml:space="preserve"> </w:t>
      </w:r>
      <w:r w:rsidR="00734559" w:rsidRPr="4C05EBAE">
        <w:rPr>
          <w:lang w:eastAsia="en-AU"/>
        </w:rPr>
        <w:t>exemptions</w:t>
      </w:r>
      <w:r w:rsidR="00E53982">
        <w:rPr>
          <w:lang w:eastAsia="en-AU"/>
        </w:rPr>
        <w:t xml:space="preserve"> to the face-to-face MBS servicing requirements support </w:t>
      </w:r>
      <w:r w:rsidR="00572BF6">
        <w:rPr>
          <w:lang w:eastAsia="en-AU"/>
        </w:rPr>
        <w:t>those</w:t>
      </w:r>
      <w:r w:rsidR="00E53982">
        <w:rPr>
          <w:lang w:eastAsia="en-AU"/>
        </w:rPr>
        <w:t xml:space="preserve"> </w:t>
      </w:r>
      <w:r w:rsidR="00A251D7">
        <w:rPr>
          <w:lang w:eastAsia="en-AU"/>
        </w:rPr>
        <w:t>experiencing extenuating circumstances</w:t>
      </w:r>
      <w:r w:rsidR="00734559" w:rsidRPr="4C05EBAE" w:rsidDel="00E53982">
        <w:rPr>
          <w:lang w:eastAsia="en-AU"/>
        </w:rPr>
        <w:t xml:space="preserve"> </w:t>
      </w:r>
      <w:r w:rsidR="00F33F34">
        <w:rPr>
          <w:lang w:eastAsia="en-AU"/>
        </w:rPr>
        <w:t>who</w:t>
      </w:r>
      <w:r w:rsidR="00572BF6">
        <w:rPr>
          <w:lang w:eastAsia="en-AU"/>
        </w:rPr>
        <w:t xml:space="preserve"> are </w:t>
      </w:r>
      <w:r w:rsidR="00734559" w:rsidRPr="4C05EBAE">
        <w:rPr>
          <w:lang w:eastAsia="en-AU"/>
        </w:rPr>
        <w:t xml:space="preserve">wishing to continue to see their usual </w:t>
      </w:r>
      <w:r w:rsidR="00FF57FD" w:rsidRPr="42EB6FAE">
        <w:rPr>
          <w:lang w:eastAsia="en-AU"/>
        </w:rPr>
        <w:t>GP</w:t>
      </w:r>
      <w:r w:rsidR="00734559" w:rsidRPr="4C05EBAE">
        <w:rPr>
          <w:lang w:eastAsia="en-AU"/>
        </w:rPr>
        <w:t xml:space="preserve"> or reconnect with the primary care system</w:t>
      </w:r>
      <w:r w:rsidR="00572BF6" w:rsidRPr="42EB6FAE">
        <w:rPr>
          <w:lang w:eastAsia="en-AU"/>
        </w:rPr>
        <w:t>.</w:t>
      </w:r>
      <w:r w:rsidR="00734559" w:rsidRPr="42EB6FAE">
        <w:rPr>
          <w:lang w:eastAsia="en-AU"/>
        </w:rPr>
        <w:t xml:space="preserve"> </w:t>
      </w:r>
      <w:r w:rsidR="00734559" w:rsidRPr="4C05EBAE">
        <w:rPr>
          <w:lang w:eastAsia="en-AU"/>
        </w:rPr>
        <w:t xml:space="preserve"> </w:t>
      </w:r>
    </w:p>
    <w:p w14:paraId="5F525ED3" w14:textId="2B8A89C8" w:rsidR="00706510" w:rsidRDefault="00706510" w:rsidP="008F627F">
      <w:pPr>
        <w:pStyle w:val="Heading3"/>
      </w:pPr>
      <w:bookmarkStart w:id="98" w:name="_Toc216708129"/>
      <w:r>
        <w:lastRenderedPageBreak/>
        <w:t>General exemptions</w:t>
      </w:r>
      <w:bookmarkEnd w:id="98"/>
    </w:p>
    <w:p w14:paraId="5C4DC523" w14:textId="08D3C220" w:rsidR="00050291" w:rsidRPr="00050291" w:rsidRDefault="00050291" w:rsidP="00050291">
      <w:pPr>
        <w:rPr>
          <w:lang w:eastAsia="en-AU"/>
        </w:rPr>
      </w:pPr>
      <w:r w:rsidRPr="00050291">
        <w:rPr>
          <w:lang w:eastAsia="en-AU"/>
        </w:rPr>
        <w:t>A general exemption is available to: </w:t>
      </w:r>
    </w:p>
    <w:p w14:paraId="2E90BA44" w14:textId="387F2E55" w:rsidR="00050291" w:rsidRPr="00050291" w:rsidRDefault="002736AE" w:rsidP="007A3716">
      <w:pPr>
        <w:numPr>
          <w:ilvl w:val="0"/>
          <w:numId w:val="21"/>
        </w:numPr>
        <w:rPr>
          <w:lang w:eastAsia="en-AU"/>
        </w:rPr>
      </w:pPr>
      <w:r w:rsidRPr="00050291">
        <w:rPr>
          <w:lang w:eastAsia="en-AU"/>
        </w:rPr>
        <w:t>C</w:t>
      </w:r>
      <w:r w:rsidR="00050291" w:rsidRPr="00050291">
        <w:rPr>
          <w:lang w:eastAsia="en-AU"/>
        </w:rPr>
        <w:t>hild</w:t>
      </w:r>
      <w:r>
        <w:rPr>
          <w:lang w:eastAsia="en-AU"/>
        </w:rPr>
        <w:t xml:space="preserve">ren aged under </w:t>
      </w:r>
      <w:r w:rsidR="0011584E">
        <w:rPr>
          <w:lang w:eastAsia="en-AU"/>
        </w:rPr>
        <w:t xml:space="preserve">14 who have </w:t>
      </w:r>
      <w:r w:rsidR="00050291" w:rsidRPr="00050291">
        <w:rPr>
          <w:lang w:eastAsia="en-AU"/>
        </w:rPr>
        <w:t>a parent registered with MyMedicare at the same practice </w:t>
      </w:r>
    </w:p>
    <w:p w14:paraId="0146816C" w14:textId="772592DB" w:rsidR="00050291" w:rsidRPr="00050291" w:rsidRDefault="0011584E" w:rsidP="007A3716">
      <w:pPr>
        <w:numPr>
          <w:ilvl w:val="0"/>
          <w:numId w:val="22"/>
        </w:numPr>
        <w:rPr>
          <w:lang w:eastAsia="en-AU"/>
        </w:rPr>
      </w:pPr>
      <w:r>
        <w:rPr>
          <w:lang w:eastAsia="en-AU"/>
        </w:rPr>
        <w:t xml:space="preserve">The </w:t>
      </w:r>
      <w:r w:rsidR="00050291" w:rsidRPr="00050291">
        <w:rPr>
          <w:lang w:eastAsia="en-AU"/>
        </w:rPr>
        <w:t xml:space="preserve">parent of a child </w:t>
      </w:r>
      <w:r>
        <w:rPr>
          <w:lang w:eastAsia="en-AU"/>
        </w:rPr>
        <w:t xml:space="preserve">aged under 18 who is </w:t>
      </w:r>
      <w:r w:rsidR="00050291" w:rsidRPr="00050291">
        <w:rPr>
          <w:lang w:eastAsia="en-AU"/>
        </w:rPr>
        <w:t>registered with MyMedicare at the same practice. </w:t>
      </w:r>
    </w:p>
    <w:p w14:paraId="01B8392A" w14:textId="422C9FAA" w:rsidR="00050291" w:rsidRDefault="00356B48" w:rsidP="00133BCB">
      <w:pPr>
        <w:pStyle w:val="Heading3"/>
      </w:pPr>
      <w:bookmarkStart w:id="99" w:name="_Toc216708130"/>
      <w:r>
        <w:t>Exemption</w:t>
      </w:r>
      <w:r w:rsidR="00706510">
        <w:t>s</w:t>
      </w:r>
      <w:r w:rsidR="002D6EEE">
        <w:t xml:space="preserve"> </w:t>
      </w:r>
      <w:r w:rsidR="00706510">
        <w:t xml:space="preserve">for </w:t>
      </w:r>
      <w:r w:rsidR="006A6025">
        <w:t>extenuating or unforeseen circumstance</w:t>
      </w:r>
      <w:r w:rsidR="00706510">
        <w:t>s</w:t>
      </w:r>
      <w:bookmarkEnd w:id="99"/>
    </w:p>
    <w:p w14:paraId="486B4C0C" w14:textId="6F556F0E" w:rsidR="00734559" w:rsidRPr="00E94ED2" w:rsidRDefault="009F3304" w:rsidP="00734559">
      <w:pPr>
        <w:rPr>
          <w:lang w:eastAsia="en-AU"/>
        </w:rPr>
      </w:pPr>
      <w:r>
        <w:rPr>
          <w:lang w:eastAsia="en-AU"/>
        </w:rPr>
        <w:t>Exemptions for extenuating or unforeseen circumstances</w:t>
      </w:r>
      <w:r w:rsidR="00572BF6">
        <w:rPr>
          <w:lang w:eastAsia="en-AU"/>
        </w:rPr>
        <w:t xml:space="preserve"> </w:t>
      </w:r>
      <w:r w:rsidR="00734559" w:rsidRPr="4C05EBAE">
        <w:rPr>
          <w:lang w:eastAsia="en-AU"/>
        </w:rPr>
        <w:t>recognise th</w:t>
      </w:r>
      <w:r w:rsidR="00572BF6">
        <w:rPr>
          <w:lang w:eastAsia="en-AU"/>
        </w:rPr>
        <w:t>at some individual</w:t>
      </w:r>
      <w:r w:rsidR="00D232BA">
        <w:rPr>
          <w:lang w:eastAsia="en-AU"/>
        </w:rPr>
        <w:t xml:space="preserve">s have </w:t>
      </w:r>
      <w:proofErr w:type="gramStart"/>
      <w:r w:rsidR="00D232BA">
        <w:rPr>
          <w:lang w:eastAsia="en-AU"/>
        </w:rPr>
        <w:t>experienced, or</w:t>
      </w:r>
      <w:proofErr w:type="gramEnd"/>
      <w:r w:rsidR="00D232BA">
        <w:rPr>
          <w:lang w:eastAsia="en-AU"/>
        </w:rPr>
        <w:t xml:space="preserve"> are </w:t>
      </w:r>
      <w:r w:rsidR="00D232BA" w:rsidRPr="165438EC">
        <w:rPr>
          <w:lang w:eastAsia="en-AU"/>
        </w:rPr>
        <w:t>experiencing</w:t>
      </w:r>
      <w:r w:rsidR="00734559" w:rsidRPr="4C05EBAE">
        <w:rPr>
          <w:lang w:eastAsia="en-AU"/>
        </w:rPr>
        <w:t xml:space="preserve"> circumstances that may </w:t>
      </w:r>
      <w:r w:rsidR="00535F41">
        <w:rPr>
          <w:lang w:eastAsia="en-AU"/>
        </w:rPr>
        <w:t xml:space="preserve">have limited their ability to </w:t>
      </w:r>
      <w:r w:rsidR="006217A0">
        <w:rPr>
          <w:lang w:eastAsia="en-AU"/>
        </w:rPr>
        <w:t xml:space="preserve">receive face-to-face MBS services. </w:t>
      </w:r>
    </w:p>
    <w:p w14:paraId="57514AAB" w14:textId="3057B238" w:rsidR="00734559" w:rsidRPr="00E94ED2" w:rsidRDefault="00734559" w:rsidP="00734559">
      <w:pPr>
        <w:rPr>
          <w:rFonts w:ascii="Segoe UI" w:hAnsi="Segoe UI" w:cs="Segoe UI"/>
          <w:sz w:val="18"/>
          <w:szCs w:val="18"/>
          <w:lang w:eastAsia="en-AU"/>
        </w:rPr>
      </w:pPr>
      <w:r>
        <w:rPr>
          <w:lang w:eastAsia="en-AU"/>
        </w:rPr>
        <w:t>Patient eligibility e</w:t>
      </w:r>
      <w:r w:rsidRPr="00E94ED2">
        <w:rPr>
          <w:lang w:eastAsia="en-AU"/>
        </w:rPr>
        <w:t xml:space="preserve">xemptions </w:t>
      </w:r>
      <w:r>
        <w:rPr>
          <w:lang w:eastAsia="en-AU"/>
        </w:rPr>
        <w:t>can only be applied</w:t>
      </w:r>
      <w:r w:rsidR="00572BF6">
        <w:rPr>
          <w:lang w:eastAsia="en-AU"/>
        </w:rPr>
        <w:t xml:space="preserve"> for</w:t>
      </w:r>
      <w:r>
        <w:rPr>
          <w:lang w:eastAsia="en-AU"/>
        </w:rPr>
        <w:t xml:space="preserve"> by a practice </w:t>
      </w:r>
      <w:r w:rsidRPr="00E94ED2">
        <w:rPr>
          <w:lang w:eastAsia="en-AU"/>
        </w:rPr>
        <w:t xml:space="preserve">when registering </w:t>
      </w:r>
      <w:r w:rsidR="00F33F34" w:rsidRPr="165438EC">
        <w:rPr>
          <w:lang w:eastAsia="en-AU"/>
        </w:rPr>
        <w:t>their</w:t>
      </w:r>
      <w:r w:rsidRPr="00E94ED2">
        <w:rPr>
          <w:lang w:eastAsia="en-AU"/>
        </w:rPr>
        <w:t xml:space="preserve"> patient for MyMedicare. </w:t>
      </w:r>
      <w:r>
        <w:rPr>
          <w:lang w:eastAsia="en-AU"/>
        </w:rPr>
        <w:t>These exemptions are</w:t>
      </w:r>
      <w:r w:rsidR="00494137">
        <w:rPr>
          <w:lang w:eastAsia="en-AU"/>
        </w:rPr>
        <w:t xml:space="preserve"> for</w:t>
      </w:r>
      <w:r w:rsidR="006217A0">
        <w:rPr>
          <w:lang w:eastAsia="en-AU"/>
        </w:rPr>
        <w:t xml:space="preserve"> those who</w:t>
      </w:r>
      <w:r>
        <w:rPr>
          <w:lang w:eastAsia="en-AU"/>
        </w:rPr>
        <w:t>:</w:t>
      </w:r>
    </w:p>
    <w:p w14:paraId="331F2958" w14:textId="25F4A726" w:rsidR="00CF78B8" w:rsidRPr="00CF78B8" w:rsidRDefault="00CF78B8" w:rsidP="00CF78B8">
      <w:pPr>
        <w:pStyle w:val="ListBullet"/>
        <w:tabs>
          <w:tab w:val="clear" w:pos="360"/>
          <w:tab w:val="num" w:pos="1074"/>
        </w:tabs>
        <w:spacing w:before="60" w:after="60"/>
        <w:ind w:left="714" w:hanging="357"/>
        <w:rPr>
          <w:rFonts w:cs="Arial"/>
        </w:rPr>
      </w:pPr>
      <w:r w:rsidRPr="17E02CCD">
        <w:rPr>
          <w:rFonts w:cs="Arial"/>
        </w:rPr>
        <w:t xml:space="preserve">have medical conditions or other unforeseen circumstances that </w:t>
      </w:r>
      <w:r w:rsidR="58B01383" w:rsidRPr="17E02CCD">
        <w:rPr>
          <w:rFonts w:cs="Arial"/>
        </w:rPr>
        <w:t>ha</w:t>
      </w:r>
      <w:r w:rsidR="198611D7" w:rsidRPr="17E02CCD">
        <w:rPr>
          <w:rFonts w:cs="Arial"/>
        </w:rPr>
        <w:t>ve</w:t>
      </w:r>
      <w:r w:rsidRPr="17E02CCD">
        <w:rPr>
          <w:rFonts w:cs="Arial"/>
        </w:rPr>
        <w:t xml:space="preserve"> limited their capacity to attend face-to-face appointments with their GP</w:t>
      </w:r>
      <w:r w:rsidR="006217A0" w:rsidRPr="17E02CCD">
        <w:rPr>
          <w:rFonts w:cs="Arial"/>
        </w:rPr>
        <w:t>,</w:t>
      </w:r>
    </w:p>
    <w:p w14:paraId="4D81DBED" w14:textId="4205E0EF" w:rsidR="00CF78B8" w:rsidRPr="00CF78B8" w:rsidRDefault="00CF78B8" w:rsidP="00CF78B8">
      <w:pPr>
        <w:pStyle w:val="ListBullet"/>
        <w:tabs>
          <w:tab w:val="clear" w:pos="360"/>
          <w:tab w:val="num" w:pos="1074"/>
        </w:tabs>
        <w:spacing w:before="60" w:after="60"/>
        <w:ind w:left="714" w:hanging="357"/>
        <w:rPr>
          <w:rFonts w:cs="Arial"/>
        </w:rPr>
      </w:pPr>
      <w:r w:rsidRPr="17E02CCD">
        <w:rPr>
          <w:rFonts w:cs="Arial"/>
        </w:rPr>
        <w:t>are living in rural and remote areas who have limited access or ability to travel to medical services</w:t>
      </w:r>
      <w:r w:rsidR="006217A0" w:rsidRPr="17E02CCD">
        <w:rPr>
          <w:rFonts w:cs="Arial"/>
        </w:rPr>
        <w:t>,</w:t>
      </w:r>
    </w:p>
    <w:p w14:paraId="09DEED77" w14:textId="14770D2F" w:rsidR="00CF78B8" w:rsidRPr="00CF78B8" w:rsidRDefault="00CF78B8" w:rsidP="00CF78B8">
      <w:pPr>
        <w:pStyle w:val="ListBullet"/>
        <w:tabs>
          <w:tab w:val="clear" w:pos="360"/>
          <w:tab w:val="num" w:pos="1074"/>
        </w:tabs>
        <w:spacing w:before="60" w:after="60"/>
        <w:ind w:left="714" w:hanging="357"/>
        <w:rPr>
          <w:rFonts w:cs="Arial"/>
        </w:rPr>
      </w:pPr>
      <w:r w:rsidRPr="17E02CCD">
        <w:rPr>
          <w:rFonts w:cs="Arial"/>
        </w:rPr>
        <w:t>have had to relocate due to natural disasters, weather events or emergencies</w:t>
      </w:r>
      <w:r w:rsidR="006217A0" w:rsidRPr="17E02CCD">
        <w:rPr>
          <w:rFonts w:cs="Arial"/>
        </w:rPr>
        <w:t>,</w:t>
      </w:r>
    </w:p>
    <w:p w14:paraId="4848A3F4" w14:textId="3937F0D5" w:rsidR="00CF78B8" w:rsidRPr="00CF78B8" w:rsidRDefault="00CF78B8" w:rsidP="00CF78B8">
      <w:pPr>
        <w:pStyle w:val="ListBullet"/>
        <w:tabs>
          <w:tab w:val="clear" w:pos="360"/>
          <w:tab w:val="num" w:pos="1074"/>
        </w:tabs>
        <w:spacing w:before="60" w:after="60"/>
        <w:ind w:left="714" w:hanging="357"/>
        <w:rPr>
          <w:rFonts w:cs="Arial"/>
        </w:rPr>
      </w:pPr>
      <w:r w:rsidRPr="17E02CCD">
        <w:rPr>
          <w:rFonts w:cs="Arial"/>
        </w:rPr>
        <w:t>were previously released from state or territory confinement in the past 24 months</w:t>
      </w:r>
      <w:r w:rsidR="006217A0" w:rsidRPr="17E02CCD">
        <w:rPr>
          <w:rFonts w:cs="Arial"/>
        </w:rPr>
        <w:t>,</w:t>
      </w:r>
    </w:p>
    <w:p w14:paraId="25C6AA8C" w14:textId="103DF994" w:rsidR="00CF78B8" w:rsidRPr="00CF78B8" w:rsidRDefault="00CF78B8" w:rsidP="00CF78B8">
      <w:pPr>
        <w:pStyle w:val="ListBullet"/>
        <w:tabs>
          <w:tab w:val="clear" w:pos="360"/>
          <w:tab w:val="num" w:pos="1074"/>
        </w:tabs>
        <w:spacing w:before="60" w:after="60"/>
        <w:ind w:left="714" w:hanging="357"/>
        <w:rPr>
          <w:rFonts w:cs="Arial"/>
        </w:rPr>
      </w:pPr>
      <w:r w:rsidRPr="17E02CCD">
        <w:rPr>
          <w:rFonts w:cs="Arial"/>
        </w:rPr>
        <w:t>were discharged from the Australian Defence Forces (ADF) within the past 24 months</w:t>
      </w:r>
      <w:r w:rsidR="006217A0" w:rsidRPr="17E02CCD">
        <w:rPr>
          <w:rFonts w:cs="Arial"/>
        </w:rPr>
        <w:t>,</w:t>
      </w:r>
    </w:p>
    <w:p w14:paraId="51898DB5" w14:textId="17B46579" w:rsidR="00CF78B8" w:rsidRPr="00CF78B8" w:rsidRDefault="00CF78B8" w:rsidP="00CF78B8">
      <w:pPr>
        <w:pStyle w:val="ListBullet"/>
        <w:tabs>
          <w:tab w:val="clear" w:pos="360"/>
          <w:tab w:val="num" w:pos="1074"/>
        </w:tabs>
        <w:spacing w:before="60" w:after="60"/>
        <w:ind w:left="714" w:hanging="357"/>
        <w:rPr>
          <w:rFonts w:cs="Arial"/>
        </w:rPr>
      </w:pPr>
      <w:r w:rsidRPr="17E02CCD">
        <w:rPr>
          <w:rFonts w:cs="Arial"/>
        </w:rPr>
        <w:t>were refugees or asylum seekers and have been granted a protection visa in the 24 months prior to seeking to register for MyMedicare</w:t>
      </w:r>
      <w:r w:rsidR="006217A0" w:rsidRPr="17E02CCD">
        <w:rPr>
          <w:rFonts w:cs="Arial"/>
        </w:rPr>
        <w:t>,</w:t>
      </w:r>
    </w:p>
    <w:p w14:paraId="2CA9638A" w14:textId="1C82FD36" w:rsidR="00CF78B8" w:rsidRPr="006217A0" w:rsidRDefault="00CF78B8" w:rsidP="006217A0">
      <w:pPr>
        <w:pStyle w:val="ListBullet"/>
        <w:tabs>
          <w:tab w:val="clear" w:pos="360"/>
          <w:tab w:val="num" w:pos="1074"/>
        </w:tabs>
        <w:spacing w:before="60" w:after="60"/>
        <w:ind w:left="714" w:hanging="357"/>
        <w:rPr>
          <w:rFonts w:cs="Arial"/>
        </w:rPr>
      </w:pPr>
      <w:r w:rsidRPr="17E02CCD">
        <w:rPr>
          <w:rFonts w:cs="Arial"/>
        </w:rPr>
        <w:t>have returned from overseas after an absence of more than 24 months. </w:t>
      </w:r>
    </w:p>
    <w:p w14:paraId="007AED0D" w14:textId="0B8C05C2" w:rsidR="00734559" w:rsidRDefault="6E10BFBB" w:rsidP="71CB847D">
      <w:pPr>
        <w:pStyle w:val="ListBullet"/>
        <w:spacing w:before="60" w:after="60"/>
        <w:ind w:left="714" w:hanging="357"/>
        <w:rPr>
          <w:rFonts w:cs="Arial"/>
        </w:rPr>
      </w:pPr>
      <w:r w:rsidRPr="71CB847D">
        <w:rPr>
          <w:rFonts w:cs="Arial"/>
        </w:rPr>
        <w:t>live in a residential aged care home</w:t>
      </w:r>
      <w:r w:rsidR="0002617F">
        <w:rPr>
          <w:rFonts w:cs="Arial"/>
        </w:rPr>
        <w:t>.</w:t>
      </w:r>
    </w:p>
    <w:p w14:paraId="17561C52" w14:textId="65D67B50" w:rsidR="00734559" w:rsidRDefault="3FCCA16E" w:rsidP="00734559">
      <w:r>
        <w:t>Th</w:t>
      </w:r>
      <w:r w:rsidR="60300C28">
        <w:t>e</w:t>
      </w:r>
      <w:r w:rsidR="00734559">
        <w:t xml:space="preserve"> exemption reason will not be </w:t>
      </w:r>
      <w:r w:rsidR="006217A0">
        <w:t xml:space="preserve">collected by the Department and will not be </w:t>
      </w:r>
      <w:r w:rsidR="00734559">
        <w:t>visible through any other online service</w:t>
      </w:r>
      <w:r w:rsidR="006217A0">
        <w:t xml:space="preserve">, </w:t>
      </w:r>
      <w:r w:rsidR="00A848C8">
        <w:t xml:space="preserve">electronic </w:t>
      </w:r>
      <w:r w:rsidR="00734559">
        <w:t>notifications</w:t>
      </w:r>
      <w:r w:rsidR="006217A0">
        <w:t>,</w:t>
      </w:r>
      <w:r w:rsidR="00734559" w:rsidDel="006217A0">
        <w:t xml:space="preserve"> </w:t>
      </w:r>
      <w:r w:rsidR="006217A0">
        <w:t xml:space="preserve">or </w:t>
      </w:r>
      <w:r w:rsidR="00734559">
        <w:t>on any other MyMedicare systems.</w:t>
      </w:r>
    </w:p>
    <w:p w14:paraId="140660BA" w14:textId="77777777" w:rsidR="00D74252" w:rsidRDefault="00D74252" w:rsidP="00D74252">
      <w:pPr>
        <w:pStyle w:val="Heading2"/>
      </w:pPr>
      <w:bookmarkStart w:id="100" w:name="_Toc214051015"/>
      <w:bookmarkStart w:id="101" w:name="_Toc216708131"/>
      <w:r>
        <w:t>‘About You’ questions (demographics)</w:t>
      </w:r>
      <w:bookmarkEnd w:id="100"/>
      <w:bookmarkEnd w:id="101"/>
    </w:p>
    <w:p w14:paraId="53B986FA" w14:textId="77777777" w:rsidR="00D74252" w:rsidRPr="00454C55" w:rsidRDefault="00D74252" w:rsidP="61716D05">
      <w:pPr>
        <w:rPr>
          <w:rFonts w:ascii="Segoe UI" w:hAnsi="Segoe UI" w:cs="Segoe UI"/>
          <w:sz w:val="18"/>
          <w:szCs w:val="18"/>
          <w:lang w:eastAsia="en-AU"/>
        </w:rPr>
      </w:pPr>
      <w:r w:rsidRPr="61716D05">
        <w:rPr>
          <w:lang w:eastAsia="en-AU"/>
        </w:rPr>
        <w:t>When registering for MyMedicare, patients can voluntarily provide additional personal information in the ‘About You’ section. This information will help the practice and government to plan and improve healthcare services. If a patient chooses not to provide this information, they can still register for MyMedicare.  </w:t>
      </w:r>
    </w:p>
    <w:p w14:paraId="0F7C02A2" w14:textId="57D87461" w:rsidR="00D74252" w:rsidRPr="00454C55" w:rsidRDefault="00D74252" w:rsidP="61716D05">
      <w:pPr>
        <w:rPr>
          <w:rFonts w:ascii="Segoe UI" w:hAnsi="Segoe UI" w:cs="Segoe UI"/>
          <w:sz w:val="18"/>
          <w:szCs w:val="18"/>
          <w:lang w:eastAsia="en-AU"/>
        </w:rPr>
      </w:pPr>
      <w:r w:rsidRPr="61716D05">
        <w:rPr>
          <w:lang w:eastAsia="en-AU"/>
        </w:rPr>
        <w:t xml:space="preserve">If patients provide responses to the ‘About You’ questions on the MyMedicare registration form at the practice, the practice is required to add these responses when registering the patient for </w:t>
      </w:r>
      <w:r w:rsidR="004F430B" w:rsidRPr="61716D05">
        <w:rPr>
          <w:lang w:eastAsia="en-AU"/>
        </w:rPr>
        <w:t>M</w:t>
      </w:r>
      <w:r w:rsidRPr="61716D05">
        <w:rPr>
          <w:lang w:eastAsia="en-AU"/>
        </w:rPr>
        <w:t>yMedicare. Patients can also provide responses to these questions when registering through Medicare online services.  </w:t>
      </w:r>
    </w:p>
    <w:p w14:paraId="237DC437" w14:textId="77777777" w:rsidR="00D74252" w:rsidRDefault="00D74252" w:rsidP="00D74252">
      <w:pPr>
        <w:rPr>
          <w:lang w:eastAsia="en-AU"/>
        </w:rPr>
      </w:pPr>
      <w:r w:rsidRPr="00454C55">
        <w:rPr>
          <w:lang w:eastAsia="en-AU"/>
        </w:rPr>
        <w:t>Patients can change or remove their ‘About You’ responses at any time using Medicare online services. Practices can remove responses at a patient’s request but cannot change or add responses to existing MyMedicare registrations. </w:t>
      </w:r>
    </w:p>
    <w:p w14:paraId="2ADD30C6" w14:textId="79640EC5" w:rsidR="00D74252" w:rsidRPr="00877366" w:rsidRDefault="00D74252" w:rsidP="00877366">
      <w:r w:rsidRPr="00877366">
        <w:t xml:space="preserve">Patients are encouraged to complete the ‘About You’ section of the </w:t>
      </w:r>
      <w:r w:rsidR="00094562" w:rsidRPr="00877366">
        <w:t>My</w:t>
      </w:r>
      <w:r w:rsidRPr="00877366">
        <w:t>Medicare registration form.</w:t>
      </w:r>
    </w:p>
    <w:p w14:paraId="0D3F1C00" w14:textId="77777777" w:rsidR="00E52001" w:rsidRDefault="00E52001" w:rsidP="00A37319">
      <w:pPr>
        <w:pStyle w:val="Heading2"/>
        <w:ind w:left="578" w:hanging="578"/>
      </w:pPr>
      <w:bookmarkStart w:id="102" w:name="_Toc214051016"/>
      <w:bookmarkStart w:id="103" w:name="_Toc216708132"/>
      <w:r>
        <w:lastRenderedPageBreak/>
        <w:t>Reduced MBS service eligibility requirements</w:t>
      </w:r>
      <w:bookmarkEnd w:id="102"/>
      <w:bookmarkEnd w:id="103"/>
    </w:p>
    <w:p w14:paraId="04E704F1" w14:textId="5395B6FA" w:rsidR="009A08A7" w:rsidRDefault="009A08A7" w:rsidP="093E784F">
      <w:bookmarkStart w:id="104" w:name="_Toc214051017"/>
      <w:r>
        <w:t>Preferred GP</w:t>
      </w:r>
      <w:bookmarkEnd w:id="104"/>
    </w:p>
    <w:p w14:paraId="2DB54960" w14:textId="1CADFCC6" w:rsidR="009A08A7" w:rsidRDefault="009A08A7" w:rsidP="61716D05">
      <w:pPr>
        <w:rPr>
          <w:lang w:eastAsia="en-AU"/>
        </w:rPr>
      </w:pPr>
      <w:r w:rsidRPr="5E58B131">
        <w:rPr>
          <w:lang w:eastAsia="en-AU"/>
        </w:rPr>
        <w:t xml:space="preserve">Through the MyMedicare registration process, patients are required to </w:t>
      </w:r>
      <w:r w:rsidR="00B84CAB" w:rsidRPr="5E58B131">
        <w:rPr>
          <w:lang w:eastAsia="en-AU"/>
        </w:rPr>
        <w:t>nominate</w:t>
      </w:r>
      <w:r w:rsidRPr="5E58B131">
        <w:rPr>
          <w:lang w:eastAsia="en-AU"/>
        </w:rPr>
        <w:t xml:space="preserve"> their preferred GP at the practice they are registering. This is the GP that the patient trusts most with their care. </w:t>
      </w:r>
      <w:r w:rsidR="009B35CB" w:rsidRPr="5E58B131">
        <w:rPr>
          <w:lang w:eastAsia="en-AU"/>
        </w:rPr>
        <w:t>This aim</w:t>
      </w:r>
      <w:r w:rsidR="00DB6226" w:rsidRPr="5E58B131">
        <w:rPr>
          <w:lang w:eastAsia="en-AU"/>
        </w:rPr>
        <w:t>s to re</w:t>
      </w:r>
      <w:r w:rsidR="001B5894" w:rsidRPr="5E58B131">
        <w:rPr>
          <w:lang w:eastAsia="en-AU"/>
        </w:rPr>
        <w:t xml:space="preserve">cognise </w:t>
      </w:r>
      <w:r w:rsidR="005305EC" w:rsidRPr="5E58B131">
        <w:rPr>
          <w:lang w:eastAsia="en-AU"/>
        </w:rPr>
        <w:t xml:space="preserve">established </w:t>
      </w:r>
      <w:r w:rsidR="00857474" w:rsidRPr="5E58B131">
        <w:rPr>
          <w:lang w:eastAsia="en-AU"/>
        </w:rPr>
        <w:t>rel</w:t>
      </w:r>
      <w:r w:rsidR="00E32392" w:rsidRPr="5E58B131">
        <w:rPr>
          <w:lang w:eastAsia="en-AU"/>
        </w:rPr>
        <w:t xml:space="preserve">ationships </w:t>
      </w:r>
      <w:r w:rsidR="00AD70FF" w:rsidRPr="5E58B131">
        <w:rPr>
          <w:lang w:eastAsia="en-AU"/>
        </w:rPr>
        <w:t>between patient, GP and the practice</w:t>
      </w:r>
      <w:r w:rsidRPr="5E58B131">
        <w:rPr>
          <w:lang w:eastAsia="en-AU"/>
        </w:rPr>
        <w:t>. Having a preferred GP also supports a patient’s continuity of care and acknowledges that GPs are central to the coordination of primary health care. </w:t>
      </w:r>
    </w:p>
    <w:p w14:paraId="1ECCA7B7" w14:textId="0292C689" w:rsidR="009A08A7" w:rsidRDefault="009A08A7" w:rsidP="009A08A7">
      <w:pPr>
        <w:rPr>
          <w:lang w:eastAsia="en-AU"/>
        </w:rPr>
      </w:pPr>
      <w:r w:rsidRPr="4C05EBAE">
        <w:rPr>
          <w:lang w:eastAsia="en-AU"/>
        </w:rPr>
        <w:t xml:space="preserve">Patients can only have one general </w:t>
      </w:r>
      <w:r w:rsidR="001E6265" w:rsidRPr="4C05EBAE">
        <w:rPr>
          <w:lang w:eastAsia="en-AU"/>
        </w:rPr>
        <w:t>practice,</w:t>
      </w:r>
      <w:r w:rsidRPr="4C05EBAE">
        <w:rPr>
          <w:lang w:eastAsia="en-AU"/>
        </w:rPr>
        <w:t xml:space="preserve"> and one preferred GP listed on their MyMedicare registration at any given time. </w:t>
      </w:r>
    </w:p>
    <w:p w14:paraId="2C4AE808" w14:textId="78FD798C" w:rsidR="009A08A7" w:rsidRDefault="009A08A7" w:rsidP="61716D05">
      <w:pPr>
        <w:rPr>
          <w:lang w:eastAsia="en-AU"/>
        </w:rPr>
      </w:pPr>
      <w:r w:rsidRPr="61716D05">
        <w:rPr>
          <w:lang w:eastAsia="en-AU"/>
        </w:rPr>
        <w:t>If the preferred GP is no longer providing services at the practice or their provider number is no longer eligible, there will be no impact to a patient’s MyMedicare registration.</w:t>
      </w:r>
      <w:r w:rsidR="002E24E4" w:rsidRPr="61716D05">
        <w:rPr>
          <w:lang w:eastAsia="en-AU"/>
        </w:rPr>
        <w:t xml:space="preserve"> When a patient’s preferred GP is no longer eligible for MyMedicare, a notification is sent to the patient</w:t>
      </w:r>
      <w:r w:rsidR="009459CA">
        <w:rPr>
          <w:lang w:eastAsia="en-AU"/>
        </w:rPr>
        <w:t>’</w:t>
      </w:r>
      <w:r w:rsidR="002E24E4" w:rsidRPr="61716D05">
        <w:rPr>
          <w:lang w:eastAsia="en-AU"/>
        </w:rPr>
        <w:t xml:space="preserve">s </w:t>
      </w:r>
      <w:proofErr w:type="spellStart"/>
      <w:r w:rsidR="002E24E4" w:rsidRPr="61716D05">
        <w:rPr>
          <w:lang w:eastAsia="en-AU"/>
        </w:rPr>
        <w:t>myGov</w:t>
      </w:r>
      <w:proofErr w:type="spellEnd"/>
      <w:r w:rsidR="002E24E4" w:rsidRPr="61716D05">
        <w:rPr>
          <w:lang w:eastAsia="en-AU"/>
        </w:rPr>
        <w:t xml:space="preserve"> inbox.</w:t>
      </w:r>
    </w:p>
    <w:p w14:paraId="2952D01B" w14:textId="04C3B506" w:rsidR="00BE35DF" w:rsidRDefault="00D33DBB" w:rsidP="00E62EEF">
      <w:pPr>
        <w:pStyle w:val="Heading2"/>
        <w:ind w:left="578" w:hanging="578"/>
        <w:rPr>
          <w:lang w:eastAsia="en-AU"/>
        </w:rPr>
      </w:pPr>
      <w:bookmarkStart w:id="105" w:name="_Toc214051018"/>
      <w:bookmarkStart w:id="106" w:name="_Toc216708133"/>
      <w:r>
        <w:rPr>
          <w:lang w:eastAsia="en-AU"/>
        </w:rPr>
        <w:t xml:space="preserve">Changing </w:t>
      </w:r>
      <w:r w:rsidR="00323CC0">
        <w:rPr>
          <w:lang w:eastAsia="en-AU"/>
        </w:rPr>
        <w:t xml:space="preserve">the </w:t>
      </w:r>
      <w:r w:rsidR="007D4457">
        <w:rPr>
          <w:lang w:eastAsia="en-AU"/>
        </w:rPr>
        <w:t>preferred GP</w:t>
      </w:r>
      <w:bookmarkEnd w:id="105"/>
      <w:bookmarkEnd w:id="106"/>
    </w:p>
    <w:p w14:paraId="4E3A7F4F" w14:textId="5E9C69FA" w:rsidR="002E24E4" w:rsidRPr="00877366" w:rsidRDefault="00F44DED" w:rsidP="00877366">
      <w:r w:rsidRPr="00877366">
        <w:t>Once a patient is registered for MyMedicare with their practice they can update their preferred GP at any time. This can be done through their MyMedicare registration in</w:t>
      </w:r>
      <w:r w:rsidR="00084E73" w:rsidRPr="00877366">
        <w:t xml:space="preserve"> their</w:t>
      </w:r>
      <w:r w:rsidRPr="00877366">
        <w:t> </w:t>
      </w:r>
      <w:r w:rsidR="00C735ED" w:rsidRPr="00877366">
        <w:t xml:space="preserve">Medicare </w:t>
      </w:r>
      <w:r w:rsidR="00FE0795" w:rsidRPr="00877366">
        <w:t>O</w:t>
      </w:r>
      <w:r w:rsidR="00C735ED" w:rsidRPr="00877366">
        <w:t xml:space="preserve">nline </w:t>
      </w:r>
      <w:r w:rsidR="00FE0795" w:rsidRPr="00877366">
        <w:t>A</w:t>
      </w:r>
      <w:r w:rsidR="007E5D0C" w:rsidRPr="00877366">
        <w:t>ccount (</w:t>
      </w:r>
      <w:r w:rsidR="005F7416" w:rsidRPr="00877366">
        <w:t>MOA</w:t>
      </w:r>
      <w:r w:rsidR="00873A05">
        <w:t xml:space="preserve">) </w:t>
      </w:r>
      <w:r w:rsidR="00044B5B">
        <w:t xml:space="preserve">through the </w:t>
      </w:r>
      <w:proofErr w:type="spellStart"/>
      <w:r w:rsidR="00044B5B">
        <w:t>myGov</w:t>
      </w:r>
      <w:proofErr w:type="spellEnd"/>
      <w:r w:rsidR="00044B5B">
        <w:t xml:space="preserve"> app</w:t>
      </w:r>
      <w:r w:rsidRPr="00877366">
        <w:t xml:space="preserve">, or by the practice at the patient’s request. </w:t>
      </w:r>
    </w:p>
    <w:p w14:paraId="4BB23400" w14:textId="6701E1A6" w:rsidR="00AF1EF1" w:rsidRPr="00AF1EF1" w:rsidRDefault="00AF1EF1" w:rsidP="61716D05">
      <w:pPr>
        <w:rPr>
          <w:lang w:eastAsia="en-AU"/>
        </w:rPr>
      </w:pPr>
      <w:r w:rsidRPr="61716D05">
        <w:rPr>
          <w:lang w:eastAsia="en-AU"/>
        </w:rPr>
        <w:t xml:space="preserve">Dependant on the patient’s </w:t>
      </w:r>
      <w:proofErr w:type="spellStart"/>
      <w:r w:rsidRPr="61716D05">
        <w:rPr>
          <w:lang w:eastAsia="en-AU"/>
        </w:rPr>
        <w:t>myGov</w:t>
      </w:r>
      <w:proofErr w:type="spellEnd"/>
      <w:r w:rsidRPr="61716D05">
        <w:rPr>
          <w:lang w:eastAsia="en-AU"/>
        </w:rPr>
        <w:t xml:space="preserve"> settings, the patient may receive a generic text message from </w:t>
      </w:r>
      <w:proofErr w:type="spellStart"/>
      <w:r w:rsidRPr="61716D05">
        <w:rPr>
          <w:lang w:eastAsia="en-AU"/>
        </w:rPr>
        <w:t>myGov</w:t>
      </w:r>
      <w:proofErr w:type="spellEnd"/>
      <w:r w:rsidRPr="61716D05">
        <w:rPr>
          <w:lang w:eastAsia="en-AU"/>
        </w:rPr>
        <w:t xml:space="preserve"> advising the patient they have received a new message in their </w:t>
      </w:r>
      <w:proofErr w:type="spellStart"/>
      <w:r w:rsidRPr="61716D05">
        <w:rPr>
          <w:lang w:eastAsia="en-AU"/>
        </w:rPr>
        <w:t>myGov</w:t>
      </w:r>
      <w:proofErr w:type="spellEnd"/>
      <w:r w:rsidRPr="61716D05">
        <w:rPr>
          <w:lang w:eastAsia="en-AU"/>
        </w:rPr>
        <w:t xml:space="preserve"> inbox. This text message will not contain any specific MyMedicare registration information.  </w:t>
      </w:r>
    </w:p>
    <w:p w14:paraId="27BDCBCA" w14:textId="55AB1298" w:rsidR="00AF1EF1" w:rsidRPr="007D4457" w:rsidRDefault="002E24E4" w:rsidP="61716D05">
      <w:pPr>
        <w:rPr>
          <w:lang w:eastAsia="en-AU"/>
        </w:rPr>
      </w:pPr>
      <w:r w:rsidRPr="61716D05">
        <w:rPr>
          <w:lang w:eastAsia="en-AU"/>
        </w:rPr>
        <w:t xml:space="preserve">The </w:t>
      </w:r>
      <w:r w:rsidR="00AF1EF1" w:rsidRPr="61716D05">
        <w:rPr>
          <w:lang w:eastAsia="en-AU"/>
        </w:rPr>
        <w:t xml:space="preserve">patient </w:t>
      </w:r>
      <w:r w:rsidRPr="61716D05">
        <w:rPr>
          <w:lang w:eastAsia="en-AU"/>
        </w:rPr>
        <w:t xml:space="preserve">is notified that their </w:t>
      </w:r>
      <w:r w:rsidR="00AF1EF1" w:rsidRPr="61716D05">
        <w:rPr>
          <w:lang w:eastAsia="en-AU"/>
        </w:rPr>
        <w:t>preferred GP is no longer providing MyMedicare services at their registered practice. Th</w:t>
      </w:r>
      <w:r w:rsidRPr="61716D05">
        <w:rPr>
          <w:lang w:eastAsia="en-AU"/>
        </w:rPr>
        <w:t>e</w:t>
      </w:r>
      <w:r w:rsidR="00AF1EF1" w:rsidRPr="61716D05">
        <w:rPr>
          <w:lang w:eastAsia="en-AU"/>
        </w:rPr>
        <w:t xml:space="preserve"> notification </w:t>
      </w:r>
      <w:r w:rsidRPr="61716D05">
        <w:rPr>
          <w:lang w:eastAsia="en-AU"/>
        </w:rPr>
        <w:t xml:space="preserve">explains </w:t>
      </w:r>
      <w:r w:rsidR="00AF1EF1" w:rsidRPr="61716D05">
        <w:rPr>
          <w:lang w:eastAsia="en-AU"/>
        </w:rPr>
        <w:t>why the</w:t>
      </w:r>
      <w:r w:rsidRPr="61716D05">
        <w:rPr>
          <w:lang w:eastAsia="en-AU"/>
        </w:rPr>
        <w:t>y no longer have</w:t>
      </w:r>
      <w:r w:rsidR="00AF1EF1" w:rsidRPr="61716D05">
        <w:rPr>
          <w:lang w:eastAsia="en-AU"/>
        </w:rPr>
        <w:t xml:space="preserve"> a GP assigned </w:t>
      </w:r>
      <w:r w:rsidRPr="61716D05">
        <w:rPr>
          <w:lang w:eastAsia="en-AU"/>
        </w:rPr>
        <w:t xml:space="preserve">and </w:t>
      </w:r>
      <w:r w:rsidR="00AF1EF1" w:rsidRPr="61716D05">
        <w:rPr>
          <w:lang w:eastAsia="en-AU"/>
        </w:rPr>
        <w:t xml:space="preserve">provides information on </w:t>
      </w:r>
      <w:r w:rsidRPr="61716D05">
        <w:rPr>
          <w:lang w:eastAsia="en-AU"/>
        </w:rPr>
        <w:t xml:space="preserve">selecting </w:t>
      </w:r>
      <w:r w:rsidR="00AF1EF1" w:rsidRPr="61716D05">
        <w:rPr>
          <w:lang w:eastAsia="en-AU"/>
        </w:rPr>
        <w:t xml:space="preserve">a new preferred GP </w:t>
      </w:r>
      <w:r w:rsidRPr="61716D05">
        <w:rPr>
          <w:lang w:eastAsia="en-AU"/>
        </w:rPr>
        <w:t>if they wish.</w:t>
      </w:r>
      <w:r w:rsidR="00AF1EF1" w:rsidRPr="61716D05">
        <w:rPr>
          <w:lang w:eastAsia="en-AU"/>
        </w:rPr>
        <w:t xml:space="preserve"> </w:t>
      </w:r>
      <w:r w:rsidRPr="61716D05">
        <w:rPr>
          <w:lang w:eastAsia="en-AU"/>
        </w:rPr>
        <w:t xml:space="preserve">It also confirms that they remain </w:t>
      </w:r>
      <w:r w:rsidR="00AF1EF1" w:rsidRPr="61716D05">
        <w:rPr>
          <w:lang w:eastAsia="en-AU"/>
        </w:rPr>
        <w:t xml:space="preserve">registered in MyMedicare and can continue to </w:t>
      </w:r>
      <w:r w:rsidR="00AA5DDA" w:rsidRPr="61716D05">
        <w:rPr>
          <w:lang w:eastAsia="en-AU"/>
        </w:rPr>
        <w:t>access</w:t>
      </w:r>
      <w:r w:rsidRPr="61716D05">
        <w:rPr>
          <w:lang w:eastAsia="en-AU"/>
        </w:rPr>
        <w:t xml:space="preserve"> </w:t>
      </w:r>
      <w:r w:rsidR="00AF1EF1" w:rsidRPr="61716D05">
        <w:rPr>
          <w:lang w:eastAsia="en-AU"/>
        </w:rPr>
        <w:t xml:space="preserve">services </w:t>
      </w:r>
      <w:r w:rsidRPr="61716D05">
        <w:rPr>
          <w:lang w:eastAsia="en-AU"/>
        </w:rPr>
        <w:t xml:space="preserve">at their </w:t>
      </w:r>
      <w:r w:rsidR="00AF1EF1" w:rsidRPr="61716D05">
        <w:rPr>
          <w:lang w:eastAsia="en-AU"/>
        </w:rPr>
        <w:t>registered practice</w:t>
      </w:r>
      <w:r w:rsidRPr="61716D05">
        <w:rPr>
          <w:lang w:eastAsia="en-AU"/>
        </w:rPr>
        <w:t xml:space="preserve">, </w:t>
      </w:r>
      <w:r w:rsidR="00AF1EF1" w:rsidRPr="61716D05">
        <w:rPr>
          <w:lang w:eastAsia="en-AU"/>
        </w:rPr>
        <w:t>regardless of whether the</w:t>
      </w:r>
      <w:r w:rsidRPr="61716D05">
        <w:rPr>
          <w:lang w:eastAsia="en-AU"/>
        </w:rPr>
        <w:t>y choose a new p</w:t>
      </w:r>
      <w:r w:rsidR="00AF1EF1" w:rsidRPr="61716D05">
        <w:rPr>
          <w:lang w:eastAsia="en-AU"/>
        </w:rPr>
        <w:t>referred GP. </w:t>
      </w:r>
    </w:p>
    <w:p w14:paraId="22FD1485" w14:textId="6B99BC3F" w:rsidR="002F04E2" w:rsidRDefault="009A7DF1" w:rsidP="007A3716">
      <w:pPr>
        <w:pStyle w:val="Heading1"/>
        <w:ind w:left="431" w:hanging="431"/>
        <w:rPr>
          <w:lang w:eastAsia="en-AU"/>
        </w:rPr>
      </w:pPr>
      <w:bookmarkStart w:id="107" w:name="_Toc214051022"/>
      <w:bookmarkStart w:id="108" w:name="_Toc216708134"/>
      <w:r>
        <w:rPr>
          <w:lang w:eastAsia="en-AU"/>
        </w:rPr>
        <w:t>Consent</w:t>
      </w:r>
      <w:bookmarkEnd w:id="107"/>
      <w:bookmarkEnd w:id="108"/>
    </w:p>
    <w:p w14:paraId="1FDAA730" w14:textId="57C1B113" w:rsidR="009A7DF1" w:rsidRDefault="0033590B" w:rsidP="009A7DF1">
      <w:pPr>
        <w:pStyle w:val="Heading2"/>
        <w:rPr>
          <w:lang w:eastAsia="en-AU"/>
        </w:rPr>
      </w:pPr>
      <w:bookmarkStart w:id="109" w:name="_Toc214051023"/>
      <w:bookmarkStart w:id="110" w:name="_Toc216708135"/>
      <w:r>
        <w:rPr>
          <w:lang w:eastAsia="en-AU"/>
        </w:rPr>
        <w:t>Adult patients</w:t>
      </w:r>
      <w:bookmarkEnd w:id="109"/>
      <w:bookmarkEnd w:id="110"/>
    </w:p>
    <w:p w14:paraId="285C9029" w14:textId="598A0426" w:rsidR="0033590B" w:rsidRDefault="0033590B" w:rsidP="0033590B">
      <w:pPr>
        <w:rPr>
          <w:lang w:eastAsia="en-AU"/>
        </w:rPr>
      </w:pPr>
      <w:r>
        <w:rPr>
          <w:lang w:eastAsia="en-AU"/>
        </w:rPr>
        <w:t xml:space="preserve">Patients aged 14 years and </w:t>
      </w:r>
      <w:r w:rsidR="000C79FC">
        <w:rPr>
          <w:lang w:eastAsia="en-AU"/>
        </w:rPr>
        <w:t xml:space="preserve">older </w:t>
      </w:r>
      <w:r>
        <w:rPr>
          <w:lang w:eastAsia="en-AU"/>
        </w:rPr>
        <w:t xml:space="preserve">must provide consent when registering in MyMedicare unless </w:t>
      </w:r>
      <w:hyperlink r:id="rId19" w:anchor="how-to-register:~:text=People%20who%20are%20facing%20hardship%20will%20be%20exempt%20from%20all%20eligibility%20requirements.%20This%20includes%20people%20experiencing%20domestic%20and%20family%20violence%20and%20homelessness." w:history="1">
        <w:r w:rsidR="0025278C" w:rsidRPr="00383368">
          <w:rPr>
            <w:rStyle w:val="Hyperlink"/>
            <w:lang w:eastAsia="en-AU"/>
          </w:rPr>
          <w:t>ex</w:t>
        </w:r>
        <w:r w:rsidR="00CD6FC0" w:rsidRPr="00383368">
          <w:rPr>
            <w:rStyle w:val="Hyperlink"/>
            <w:lang w:eastAsia="en-AU"/>
          </w:rPr>
          <w:t>ceptions</w:t>
        </w:r>
      </w:hyperlink>
      <w:r w:rsidR="00CD6FC0">
        <w:rPr>
          <w:lang w:eastAsia="en-AU"/>
        </w:rPr>
        <w:t xml:space="preserve"> apply.</w:t>
      </w:r>
    </w:p>
    <w:p w14:paraId="4C8C758B" w14:textId="04D7BB4F" w:rsidR="00751298" w:rsidRDefault="00751298" w:rsidP="00751298">
      <w:pPr>
        <w:pStyle w:val="Heading2"/>
        <w:rPr>
          <w:lang w:eastAsia="en-AU"/>
        </w:rPr>
      </w:pPr>
      <w:bookmarkStart w:id="111" w:name="_Toc214051024"/>
      <w:bookmarkStart w:id="112" w:name="_Toc216708136"/>
      <w:r>
        <w:rPr>
          <w:lang w:eastAsia="en-AU"/>
        </w:rPr>
        <w:t>Young person</w:t>
      </w:r>
      <w:r w:rsidR="00EB11AE">
        <w:rPr>
          <w:lang w:eastAsia="en-AU"/>
        </w:rPr>
        <w:t xml:space="preserve"> patient</w:t>
      </w:r>
      <w:bookmarkEnd w:id="111"/>
      <w:bookmarkEnd w:id="112"/>
    </w:p>
    <w:p w14:paraId="2409855F" w14:textId="60A91F00" w:rsidR="00EB11AE" w:rsidRPr="00877366" w:rsidRDefault="00EB11AE" w:rsidP="00877366">
      <w:r>
        <w:t>Patients aged 14 years and older must provide consent for a MyMedicare registration. For young people aged 14-17 years</w:t>
      </w:r>
      <w:r w:rsidR="004B35FA">
        <w:t>,</w:t>
      </w:r>
      <w:r>
        <w:t xml:space="preserve"> a parent or guardian can also complete (or assist with completing) the MyMedicare registration form on the</w:t>
      </w:r>
      <w:r w:rsidR="002E0DF3">
        <w:t>ir</w:t>
      </w:r>
      <w:r w:rsidDel="00EB11AE">
        <w:t xml:space="preserve"> </w:t>
      </w:r>
      <w:r>
        <w:t>behalf. This option can only be exercised where the parent/guardian has declared (on the registration form)</w:t>
      </w:r>
      <w:r w:rsidR="5C76CE97">
        <w:t xml:space="preserve"> that</w:t>
      </w:r>
      <w:r>
        <w:t xml:space="preserve"> the young person is aware of the registration and has provided consent. </w:t>
      </w:r>
    </w:p>
    <w:p w14:paraId="762C5592" w14:textId="11B1E8C2" w:rsidR="00EB11AE" w:rsidRDefault="00204355" w:rsidP="00EB11AE">
      <w:pPr>
        <w:pStyle w:val="Heading2"/>
        <w:rPr>
          <w:lang w:eastAsia="en-AU"/>
        </w:rPr>
      </w:pPr>
      <w:bookmarkStart w:id="113" w:name="_Toc214051025"/>
      <w:bookmarkStart w:id="114" w:name="_Toc216708137"/>
      <w:r>
        <w:rPr>
          <w:lang w:eastAsia="en-AU"/>
        </w:rPr>
        <w:lastRenderedPageBreak/>
        <w:t>Under 14 years of age</w:t>
      </w:r>
      <w:r w:rsidR="00995332">
        <w:rPr>
          <w:lang w:eastAsia="en-AU"/>
        </w:rPr>
        <w:t xml:space="preserve"> patient</w:t>
      </w:r>
      <w:bookmarkEnd w:id="113"/>
      <w:bookmarkEnd w:id="114"/>
    </w:p>
    <w:p w14:paraId="59AE271E" w14:textId="4139D207" w:rsidR="00995332" w:rsidRDefault="00995332" w:rsidP="00995332">
      <w:pPr>
        <w:rPr>
          <w:lang w:eastAsia="en-AU"/>
        </w:rPr>
      </w:pPr>
      <w:r>
        <w:rPr>
          <w:lang w:eastAsia="en-AU"/>
        </w:rPr>
        <w:t>Consent for MyMedicare for patients under 14 is required by a parent or guardian</w:t>
      </w:r>
      <w:r w:rsidR="005B5459">
        <w:rPr>
          <w:lang w:eastAsia="en-AU"/>
        </w:rPr>
        <w:t xml:space="preserve">. </w:t>
      </w:r>
      <w:r w:rsidR="0017413A">
        <w:rPr>
          <w:lang w:eastAsia="en-AU"/>
        </w:rPr>
        <w:t>A p</w:t>
      </w:r>
      <w:r w:rsidR="005B5459">
        <w:rPr>
          <w:lang w:eastAsia="en-AU"/>
        </w:rPr>
        <w:t>arent or</w:t>
      </w:r>
      <w:r w:rsidR="00E0432F">
        <w:rPr>
          <w:lang w:eastAsia="en-AU"/>
        </w:rPr>
        <w:t xml:space="preserve"> guardian </w:t>
      </w:r>
      <w:r w:rsidR="005467F5">
        <w:rPr>
          <w:lang w:eastAsia="en-AU"/>
        </w:rPr>
        <w:t>can complete a MyMedicare registration form and return it to their practice which will complete the MyMedicare registration.</w:t>
      </w:r>
    </w:p>
    <w:p w14:paraId="43C7FB7F" w14:textId="4BF97A0C" w:rsidR="0017413A" w:rsidRDefault="00D11F85" w:rsidP="00995332">
      <w:pPr>
        <w:rPr>
          <w:lang w:eastAsia="en-AU"/>
        </w:rPr>
      </w:pPr>
      <w:r>
        <w:rPr>
          <w:lang w:eastAsia="en-AU"/>
        </w:rPr>
        <w:t>A</w:t>
      </w:r>
      <w:r w:rsidR="0055259F">
        <w:rPr>
          <w:lang w:eastAsia="en-AU"/>
        </w:rPr>
        <w:t xml:space="preserve"> parent or guardian listed on the same Medicare card as the child can register</w:t>
      </w:r>
      <w:r w:rsidR="00C61337">
        <w:rPr>
          <w:lang w:eastAsia="en-AU"/>
        </w:rPr>
        <w:t xml:space="preserve"> </w:t>
      </w:r>
      <w:r w:rsidR="00602645">
        <w:rPr>
          <w:lang w:eastAsia="en-AU"/>
        </w:rPr>
        <w:t xml:space="preserve">and consent </w:t>
      </w:r>
      <w:r w:rsidR="00C61337">
        <w:rPr>
          <w:lang w:eastAsia="en-AU"/>
        </w:rPr>
        <w:t>through</w:t>
      </w:r>
      <w:r w:rsidR="0089555F">
        <w:rPr>
          <w:lang w:eastAsia="en-AU"/>
        </w:rPr>
        <w:t xml:space="preserve"> </w:t>
      </w:r>
      <w:r w:rsidR="00C61337">
        <w:rPr>
          <w:lang w:eastAsia="en-AU"/>
        </w:rPr>
        <w:t>MOA</w:t>
      </w:r>
      <w:r w:rsidR="0089555F">
        <w:rPr>
          <w:lang w:eastAsia="en-AU"/>
        </w:rPr>
        <w:t xml:space="preserve"> </w:t>
      </w:r>
      <w:r w:rsidR="006C5F84" w:rsidRPr="2D17CA88">
        <w:rPr>
          <w:lang w:eastAsia="en-AU"/>
        </w:rPr>
        <w:t>through</w:t>
      </w:r>
      <w:r w:rsidR="006C5F84">
        <w:rPr>
          <w:lang w:eastAsia="en-AU"/>
        </w:rPr>
        <w:t xml:space="preserve"> the </w:t>
      </w:r>
      <w:proofErr w:type="spellStart"/>
      <w:r w:rsidR="006C5F84">
        <w:rPr>
          <w:lang w:eastAsia="en-AU"/>
        </w:rPr>
        <w:t>myGov</w:t>
      </w:r>
      <w:proofErr w:type="spellEnd"/>
      <w:r w:rsidR="006C5F84">
        <w:rPr>
          <w:lang w:eastAsia="en-AU"/>
        </w:rPr>
        <w:t xml:space="preserve"> app</w:t>
      </w:r>
      <w:r w:rsidR="00C61337">
        <w:rPr>
          <w:lang w:eastAsia="en-AU"/>
        </w:rPr>
        <w:t xml:space="preserve">. </w:t>
      </w:r>
    </w:p>
    <w:p w14:paraId="7AA4703C" w14:textId="40DB8937" w:rsidR="00E436AF" w:rsidRDefault="00E436AF" w:rsidP="61716D05">
      <w:pPr>
        <w:pStyle w:val="Heading2"/>
        <w:rPr>
          <w:lang w:eastAsia="en-AU"/>
        </w:rPr>
      </w:pPr>
      <w:bookmarkStart w:id="115" w:name="_Toc214051026"/>
      <w:bookmarkStart w:id="116" w:name="_Toc216708138"/>
      <w:r w:rsidRPr="61716D05">
        <w:rPr>
          <w:lang w:eastAsia="en-AU"/>
        </w:rPr>
        <w:t xml:space="preserve">Lack of capacity to </w:t>
      </w:r>
      <w:r w:rsidR="00147443" w:rsidRPr="61716D05">
        <w:rPr>
          <w:lang w:eastAsia="en-AU"/>
        </w:rPr>
        <w:t>consent</w:t>
      </w:r>
      <w:r w:rsidR="000E55E7" w:rsidRPr="61716D05">
        <w:rPr>
          <w:lang w:eastAsia="en-AU"/>
        </w:rPr>
        <w:t xml:space="preserve"> in </w:t>
      </w:r>
      <w:r w:rsidR="000B0028" w:rsidRPr="61716D05">
        <w:rPr>
          <w:lang w:eastAsia="en-AU"/>
        </w:rPr>
        <w:t>MyMedicare</w:t>
      </w:r>
      <w:bookmarkEnd w:id="115"/>
      <w:bookmarkEnd w:id="116"/>
    </w:p>
    <w:p w14:paraId="68592CD1" w14:textId="06724196" w:rsidR="004326F1" w:rsidRDefault="004326F1" w:rsidP="61716D05">
      <w:pPr>
        <w:rPr>
          <w:lang w:eastAsia="en-AU"/>
        </w:rPr>
      </w:pPr>
      <w:r w:rsidRPr="61716D05">
        <w:rPr>
          <w:lang w:eastAsia="en-AU"/>
        </w:rPr>
        <w:t>As for other Medicare arrangements</w:t>
      </w:r>
      <w:r w:rsidRPr="61716D05">
        <w:rPr>
          <w:rStyle w:val="FootnoteReference"/>
          <w:lang w:eastAsia="en-AU"/>
        </w:rPr>
        <w:footnoteReference w:id="8"/>
      </w:r>
      <w:r w:rsidRPr="61716D05">
        <w:rPr>
          <w:lang w:eastAsia="en-AU"/>
        </w:rPr>
        <w:t>, if a</w:t>
      </w:r>
      <w:r w:rsidR="00E436AF" w:rsidRPr="61716D05">
        <w:rPr>
          <w:lang w:eastAsia="en-AU"/>
        </w:rPr>
        <w:t xml:space="preserve"> patient lacks the capacity, </w:t>
      </w:r>
      <w:r w:rsidRPr="61716D05">
        <w:rPr>
          <w:lang w:eastAsia="en-AU"/>
        </w:rPr>
        <w:t>a person can act on behalf of the patient</w:t>
      </w:r>
      <w:r w:rsidR="00FB6BB2">
        <w:rPr>
          <w:lang w:eastAsia="en-AU"/>
        </w:rPr>
        <w:t xml:space="preserve"> </w:t>
      </w:r>
      <w:r w:rsidR="00094562" w:rsidRPr="61716D05">
        <w:rPr>
          <w:lang w:eastAsia="en-AU"/>
        </w:rPr>
        <w:t>when any of the following applies:</w:t>
      </w:r>
    </w:p>
    <w:p w14:paraId="710C193B" w14:textId="3171AD4F" w:rsidR="004326F1" w:rsidRPr="00742F75" w:rsidRDefault="00787991" w:rsidP="00742F75">
      <w:pPr>
        <w:pStyle w:val="ListBullet"/>
        <w:tabs>
          <w:tab w:val="clear" w:pos="360"/>
          <w:tab w:val="num" w:pos="1074"/>
        </w:tabs>
        <w:spacing w:before="60" w:after="60"/>
        <w:ind w:left="714" w:hanging="357"/>
        <w:contextualSpacing w:val="0"/>
        <w:rPr>
          <w:rFonts w:cs="Arial"/>
        </w:rPr>
      </w:pPr>
      <w:r w:rsidRPr="165438EC">
        <w:rPr>
          <w:rFonts w:cs="Arial"/>
        </w:rPr>
        <w:t xml:space="preserve">they are </w:t>
      </w:r>
      <w:r w:rsidR="00496D9B" w:rsidRPr="165438EC">
        <w:rPr>
          <w:rFonts w:cs="Arial"/>
        </w:rPr>
        <w:t xml:space="preserve">the patient’s appointed </w:t>
      </w:r>
      <w:r w:rsidR="004326F1" w:rsidRPr="165438EC">
        <w:rPr>
          <w:rFonts w:cs="Arial"/>
        </w:rPr>
        <w:t>Power of Attorney (POA)</w:t>
      </w:r>
      <w:r w:rsidR="00B13E1F" w:rsidRPr="165438EC">
        <w:rPr>
          <w:rFonts w:cs="Arial"/>
        </w:rPr>
        <w:t xml:space="preserve"> </w:t>
      </w:r>
    </w:p>
    <w:p w14:paraId="3E9A895F" w14:textId="28C49DFC" w:rsidR="004326F1" w:rsidRPr="00742F75" w:rsidRDefault="004326F1" w:rsidP="00742F75">
      <w:pPr>
        <w:pStyle w:val="ListBullet"/>
        <w:tabs>
          <w:tab w:val="clear" w:pos="360"/>
          <w:tab w:val="num" w:pos="1074"/>
        </w:tabs>
        <w:spacing w:before="60" w:after="60"/>
        <w:ind w:left="714" w:hanging="357"/>
        <w:contextualSpacing w:val="0"/>
        <w:rPr>
          <w:rFonts w:cs="Arial"/>
        </w:rPr>
      </w:pPr>
      <w:r w:rsidRPr="165438EC">
        <w:rPr>
          <w:rFonts w:cs="Arial"/>
        </w:rPr>
        <w:t xml:space="preserve">a court or tribunal has appointed </w:t>
      </w:r>
      <w:r w:rsidR="00994AB1" w:rsidRPr="165438EC">
        <w:rPr>
          <w:rFonts w:cs="Arial"/>
        </w:rPr>
        <w:t xml:space="preserve">them as </w:t>
      </w:r>
      <w:r w:rsidR="005E5C71" w:rsidRPr="165438EC">
        <w:rPr>
          <w:rFonts w:cs="Arial"/>
        </w:rPr>
        <w:t>the patient’s</w:t>
      </w:r>
      <w:r w:rsidRPr="165438EC">
        <w:rPr>
          <w:rFonts w:cs="Arial"/>
        </w:rPr>
        <w:t xml:space="preserve"> guardian and administrator</w:t>
      </w:r>
    </w:p>
    <w:p w14:paraId="32D131A5" w14:textId="7BA80659" w:rsidR="004326F1" w:rsidRPr="00742F75" w:rsidRDefault="004326F1" w:rsidP="00742F75">
      <w:pPr>
        <w:pStyle w:val="ListBullet"/>
        <w:tabs>
          <w:tab w:val="clear" w:pos="360"/>
          <w:tab w:val="num" w:pos="1074"/>
        </w:tabs>
        <w:spacing w:before="60" w:after="60"/>
        <w:ind w:left="714" w:hanging="357"/>
        <w:contextualSpacing w:val="0"/>
        <w:rPr>
          <w:rFonts w:cs="Arial"/>
        </w:rPr>
      </w:pPr>
      <w:r w:rsidRPr="165438EC">
        <w:rPr>
          <w:rFonts w:cs="Arial"/>
        </w:rPr>
        <w:t>Medicare has accepted them as the patient</w:t>
      </w:r>
      <w:r w:rsidR="00D854A3" w:rsidRPr="165438EC">
        <w:rPr>
          <w:rFonts w:cs="Arial"/>
        </w:rPr>
        <w:t>’s</w:t>
      </w:r>
      <w:r w:rsidRPr="165438EC">
        <w:rPr>
          <w:rFonts w:cs="Arial"/>
        </w:rPr>
        <w:t xml:space="preserve"> authorised representative</w:t>
      </w:r>
    </w:p>
    <w:p w14:paraId="0A5017FF" w14:textId="4DE72A31" w:rsidR="004326F1" w:rsidRPr="00742F75" w:rsidRDefault="00D854A3" w:rsidP="00742F75">
      <w:pPr>
        <w:pStyle w:val="ListBullet"/>
        <w:tabs>
          <w:tab w:val="clear" w:pos="360"/>
          <w:tab w:val="num" w:pos="1074"/>
        </w:tabs>
        <w:spacing w:before="60" w:after="60"/>
        <w:ind w:left="714" w:hanging="357"/>
        <w:contextualSpacing w:val="0"/>
        <w:rPr>
          <w:rFonts w:cs="Arial"/>
        </w:rPr>
      </w:pPr>
      <w:r w:rsidRPr="165438EC">
        <w:rPr>
          <w:rFonts w:cs="Arial"/>
        </w:rPr>
        <w:t xml:space="preserve">they </w:t>
      </w:r>
      <w:r w:rsidR="004326F1" w:rsidRPr="165438EC">
        <w:rPr>
          <w:rFonts w:cs="Arial"/>
        </w:rPr>
        <w:t xml:space="preserve">are </w:t>
      </w:r>
      <w:r w:rsidR="00025717" w:rsidRPr="165438EC">
        <w:rPr>
          <w:rFonts w:cs="Arial"/>
        </w:rPr>
        <w:t xml:space="preserve">the </w:t>
      </w:r>
      <w:r w:rsidRPr="165438EC">
        <w:rPr>
          <w:rFonts w:cs="Arial"/>
        </w:rPr>
        <w:t xml:space="preserve">patient’s </w:t>
      </w:r>
      <w:r w:rsidR="004326F1" w:rsidRPr="165438EC">
        <w:rPr>
          <w:rFonts w:cs="Arial"/>
        </w:rPr>
        <w:t xml:space="preserve">authorised third party. </w:t>
      </w:r>
    </w:p>
    <w:p w14:paraId="7F2BA944" w14:textId="35C267E8" w:rsidR="00D11F85" w:rsidRPr="003E482A" w:rsidRDefault="00B50590" w:rsidP="61716D05">
      <w:pPr>
        <w:rPr>
          <w:rFonts w:ascii="Aptos" w:hAnsi="Aptos"/>
          <w:b/>
          <w:color w:val="auto"/>
          <w:lang w:eastAsia="en-US"/>
        </w:rPr>
      </w:pPr>
      <w:r w:rsidRPr="2D17CA88">
        <w:rPr>
          <w:lang w:eastAsia="en-US"/>
        </w:rPr>
        <w:t>S</w:t>
      </w:r>
      <w:r w:rsidR="00A2605A" w:rsidRPr="2D17CA88">
        <w:rPr>
          <w:lang w:eastAsia="en-US"/>
        </w:rPr>
        <w:t>taff</w:t>
      </w:r>
      <w:r w:rsidR="00A2605A" w:rsidRPr="61716D05">
        <w:rPr>
          <w:lang w:eastAsia="en-US"/>
        </w:rPr>
        <w:t xml:space="preserve"> at </w:t>
      </w:r>
      <w:r>
        <w:rPr>
          <w:lang w:eastAsia="en-US"/>
        </w:rPr>
        <w:t xml:space="preserve">residential </w:t>
      </w:r>
      <w:r w:rsidR="00A2605A" w:rsidRPr="61716D05">
        <w:rPr>
          <w:lang w:eastAsia="en-US"/>
        </w:rPr>
        <w:t xml:space="preserve">aged care </w:t>
      </w:r>
      <w:r w:rsidRPr="2D17CA88">
        <w:rPr>
          <w:lang w:eastAsia="en-US"/>
        </w:rPr>
        <w:t>homes</w:t>
      </w:r>
      <w:r w:rsidR="00A2605A" w:rsidRPr="61716D05">
        <w:rPr>
          <w:lang w:eastAsia="en-US"/>
        </w:rPr>
        <w:t xml:space="preserve"> or treating doctors are not permitted to complete </w:t>
      </w:r>
      <w:r w:rsidR="00D11F85" w:rsidRPr="61716D05">
        <w:rPr>
          <w:lang w:eastAsia="en-US"/>
        </w:rPr>
        <w:t>and sign the MyMedicare registration form on behalf of the patient</w:t>
      </w:r>
      <w:r w:rsidR="00D11F85" w:rsidRPr="2D17CA88">
        <w:rPr>
          <w:color w:val="auto"/>
          <w:lang w:eastAsia="en-US"/>
        </w:rPr>
        <w:t xml:space="preserve">. </w:t>
      </w:r>
      <w:r w:rsidR="00A2605A" w:rsidRPr="2D17CA88">
        <w:rPr>
          <w:color w:val="auto"/>
          <w:lang w:eastAsia="en-US"/>
        </w:rPr>
        <w:t xml:space="preserve">If a patient is incapable of providing consent, a </w:t>
      </w:r>
      <w:r w:rsidR="00D11F85" w:rsidRPr="2D17CA88">
        <w:rPr>
          <w:color w:val="auto"/>
          <w:lang w:eastAsia="en-US"/>
        </w:rPr>
        <w:t xml:space="preserve">signed consent form from a responsible person is </w:t>
      </w:r>
      <w:r w:rsidR="00DB2F0D" w:rsidRPr="2D17CA88">
        <w:rPr>
          <w:color w:val="auto"/>
          <w:lang w:eastAsia="en-US"/>
        </w:rPr>
        <w:t>required</w:t>
      </w:r>
      <w:r w:rsidR="00A2605A" w:rsidRPr="2D17CA88">
        <w:rPr>
          <w:color w:val="auto"/>
          <w:lang w:eastAsia="en-US"/>
        </w:rPr>
        <w:t xml:space="preserve"> to ensure compliance with</w:t>
      </w:r>
      <w:r w:rsidR="00D11F85" w:rsidRPr="2D17CA88">
        <w:rPr>
          <w:color w:val="auto"/>
          <w:lang w:eastAsia="en-US"/>
        </w:rPr>
        <w:t xml:space="preserve"> audit and privacy </w:t>
      </w:r>
      <w:r w:rsidR="00A2605A" w:rsidRPr="2D17CA88">
        <w:rPr>
          <w:color w:val="auto"/>
          <w:lang w:eastAsia="en-US"/>
        </w:rPr>
        <w:t>standards</w:t>
      </w:r>
      <w:r w:rsidR="00D11F85" w:rsidRPr="2D17CA88">
        <w:rPr>
          <w:b/>
          <w:color w:val="auto"/>
          <w:lang w:eastAsia="en-US"/>
        </w:rPr>
        <w:t>.</w:t>
      </w:r>
      <w:r w:rsidR="009E0D2C" w:rsidRPr="2D17CA88">
        <w:rPr>
          <w:b/>
          <w:color w:val="auto"/>
          <w:lang w:eastAsia="en-US"/>
        </w:rPr>
        <w:t xml:space="preserve"> </w:t>
      </w:r>
      <w:r w:rsidR="00262E34" w:rsidRPr="2D17CA88">
        <w:rPr>
          <w:b/>
          <w:color w:val="auto"/>
          <w:lang w:eastAsia="en-US"/>
        </w:rPr>
        <w:t>The practice</w:t>
      </w:r>
      <w:r w:rsidR="00E82210" w:rsidRPr="2D17CA88">
        <w:rPr>
          <w:b/>
          <w:color w:val="auto"/>
          <w:lang w:eastAsia="en-US"/>
        </w:rPr>
        <w:t xml:space="preserve"> may be asked to</w:t>
      </w:r>
      <w:r w:rsidR="00262E34" w:rsidRPr="2D17CA88">
        <w:rPr>
          <w:b/>
          <w:color w:val="auto"/>
          <w:lang w:eastAsia="en-US"/>
        </w:rPr>
        <w:t xml:space="preserve"> provide the department with evidence of patient consent if requested for audit and compliance purposes.</w:t>
      </w:r>
    </w:p>
    <w:p w14:paraId="7A62B173" w14:textId="13E3C7BF" w:rsidR="00A2605A" w:rsidRDefault="00A2605A" w:rsidP="00D11F85">
      <w:r w:rsidRPr="61716D05">
        <w:t xml:space="preserve">A responsible person refers to an adult who is accompanying the patient or responsible for their care. This may include a parent, guardian, a person with </w:t>
      </w:r>
      <w:r w:rsidR="004326F1" w:rsidRPr="61716D05">
        <w:t xml:space="preserve">POA </w:t>
      </w:r>
      <w:r w:rsidRPr="61716D05">
        <w:t>or guardianship authority,</w:t>
      </w:r>
      <w:r w:rsidR="004326F1" w:rsidRPr="61716D05">
        <w:t xml:space="preserve"> authorised representative</w:t>
      </w:r>
      <w:r w:rsidRPr="61716D05">
        <w:t xml:space="preserve"> or the patient’s next of kin.</w:t>
      </w:r>
    </w:p>
    <w:p w14:paraId="1172A370" w14:textId="094A4BB4" w:rsidR="00E436AF" w:rsidRDefault="00A2605A" w:rsidP="61716D05">
      <w:pPr>
        <w:rPr>
          <w:lang w:eastAsia="en-AU"/>
        </w:rPr>
      </w:pPr>
      <w:r w:rsidRPr="61716D05">
        <w:t xml:space="preserve">For patients who have </w:t>
      </w:r>
      <w:r w:rsidR="00D11F85" w:rsidRPr="61716D05">
        <w:t xml:space="preserve">the capacity to consent but </w:t>
      </w:r>
      <w:r w:rsidRPr="61716D05">
        <w:t xml:space="preserve">are </w:t>
      </w:r>
      <w:r w:rsidR="00D11F85" w:rsidRPr="61716D05">
        <w:t>physical</w:t>
      </w:r>
      <w:r w:rsidRPr="61716D05">
        <w:t>ly</w:t>
      </w:r>
      <w:r w:rsidR="00D11F85" w:rsidRPr="61716D05">
        <w:t xml:space="preserve"> </w:t>
      </w:r>
      <w:r w:rsidR="00DB2F0D" w:rsidRPr="61716D05">
        <w:t xml:space="preserve">unable to sign the registration form, a </w:t>
      </w:r>
      <w:r w:rsidR="00D11F85" w:rsidRPr="61716D05">
        <w:t xml:space="preserve">medical practice employee can complete and sign </w:t>
      </w:r>
      <w:r w:rsidR="00DB2F0D" w:rsidRPr="61716D05">
        <w:t xml:space="preserve">the form on their behalf. </w:t>
      </w:r>
      <w:r w:rsidR="00D11F85" w:rsidRPr="61716D05">
        <w:t xml:space="preserve">In </w:t>
      </w:r>
      <w:r w:rsidR="00DB2F0D" w:rsidRPr="61716D05">
        <w:t>such cases</w:t>
      </w:r>
      <w:r w:rsidR="00D11F85" w:rsidRPr="61716D05">
        <w:t xml:space="preserve">, the employee </w:t>
      </w:r>
      <w:r w:rsidR="00DB2F0D" w:rsidRPr="61716D05">
        <w:t xml:space="preserve">must include a </w:t>
      </w:r>
      <w:r w:rsidR="00D11F85" w:rsidRPr="61716D05">
        <w:t xml:space="preserve">note </w:t>
      </w:r>
      <w:r w:rsidR="00DB2F0D" w:rsidRPr="61716D05">
        <w:t xml:space="preserve">explaining </w:t>
      </w:r>
      <w:r w:rsidR="00D11F85" w:rsidRPr="61716D05">
        <w:t>the patient’s condition and record the patient’s consent by signing the registration form on the patient’s behalf. Alternatively, consent methods such as electronic signature may be utilised to confirm registration.</w:t>
      </w:r>
      <w:r w:rsidR="00E436AF" w:rsidRPr="61716D05">
        <w:rPr>
          <w:lang w:eastAsia="en-AU"/>
        </w:rPr>
        <w:t xml:space="preserve"> </w:t>
      </w:r>
    </w:p>
    <w:p w14:paraId="4E719892" w14:textId="3BA9F4EA" w:rsidR="00D638CE" w:rsidRDefault="00D638CE" w:rsidP="00AA40B1">
      <w:pPr>
        <w:pStyle w:val="Heading1"/>
        <w:ind w:left="431" w:hanging="431"/>
        <w:rPr>
          <w:lang w:eastAsia="en-AU"/>
        </w:rPr>
      </w:pPr>
      <w:bookmarkStart w:id="117" w:name="_Toc214051027"/>
      <w:bookmarkStart w:id="118" w:name="_Toc216708139"/>
      <w:r>
        <w:rPr>
          <w:lang w:eastAsia="en-AU"/>
        </w:rPr>
        <w:t>W</w:t>
      </w:r>
      <w:r w:rsidR="001E4D67">
        <w:rPr>
          <w:lang w:eastAsia="en-AU"/>
        </w:rPr>
        <w:t>ithdrawing from MyMedicare</w:t>
      </w:r>
      <w:bookmarkEnd w:id="117"/>
      <w:bookmarkEnd w:id="118"/>
    </w:p>
    <w:p w14:paraId="1312448E" w14:textId="1C8A518A" w:rsidR="009008CB" w:rsidRPr="009008CB" w:rsidRDefault="009008CB" w:rsidP="61716D05">
      <w:pPr>
        <w:rPr>
          <w:rFonts w:ascii="Segoe UI" w:hAnsi="Segoe UI" w:cs="Segoe UI"/>
          <w:sz w:val="18"/>
          <w:szCs w:val="18"/>
          <w:lang w:eastAsia="en-AU"/>
        </w:rPr>
      </w:pPr>
      <w:r w:rsidRPr="61716D05">
        <w:rPr>
          <w:lang w:eastAsia="en-AU"/>
        </w:rPr>
        <w:t xml:space="preserve">As MyMedicare is a voluntary patient registration </w:t>
      </w:r>
      <w:r w:rsidR="008867D8" w:rsidRPr="2D17CA88">
        <w:rPr>
          <w:lang w:eastAsia="en-AU"/>
        </w:rPr>
        <w:t>model</w:t>
      </w:r>
      <w:r w:rsidRPr="61716D05">
        <w:rPr>
          <w:lang w:eastAsia="en-AU"/>
        </w:rPr>
        <w:t xml:space="preserve">, patients can withdraw from MyMedicare at any time. This can be done online through </w:t>
      </w:r>
      <w:r w:rsidR="00EF6E89">
        <w:rPr>
          <w:lang w:eastAsia="en-AU"/>
        </w:rPr>
        <w:t xml:space="preserve">their </w:t>
      </w:r>
      <w:r w:rsidR="00EF6E89" w:rsidRPr="00877366">
        <w:t>MOA</w:t>
      </w:r>
      <w:r w:rsidRPr="2D17CA88">
        <w:rPr>
          <w:lang w:eastAsia="en-AU"/>
        </w:rPr>
        <w:t>.</w:t>
      </w:r>
      <w:r w:rsidRPr="61716D05">
        <w:rPr>
          <w:lang w:eastAsia="en-AU"/>
        </w:rPr>
        <w:t xml:space="preserve"> Patients can also contact their GP, their practice</w:t>
      </w:r>
      <w:r w:rsidR="008364D1" w:rsidRPr="61716D05">
        <w:rPr>
          <w:lang w:eastAsia="en-AU"/>
        </w:rPr>
        <w:t>,</w:t>
      </w:r>
      <w:r w:rsidRPr="61716D05">
        <w:rPr>
          <w:lang w:eastAsia="en-AU"/>
        </w:rPr>
        <w:t xml:space="preserve"> or Services Australia to advise that they wish to withdraw their registration from MyMedicare. </w:t>
      </w:r>
    </w:p>
    <w:p w14:paraId="3EDCAEEA" w14:textId="5BDEB7FE" w:rsidR="009008CB" w:rsidRPr="009008CB" w:rsidRDefault="009008CB" w:rsidP="00520BB8">
      <w:pPr>
        <w:rPr>
          <w:rFonts w:ascii="Segoe UI" w:hAnsi="Segoe UI" w:cs="Segoe UI"/>
          <w:sz w:val="18"/>
          <w:szCs w:val="18"/>
          <w:lang w:eastAsia="en-AU"/>
        </w:rPr>
      </w:pPr>
      <w:r w:rsidRPr="009008CB">
        <w:rPr>
          <w:lang w:eastAsia="en-AU"/>
        </w:rPr>
        <w:t>A patient will continue to be registered with their practice until the</w:t>
      </w:r>
      <w:r w:rsidR="00C97D35">
        <w:rPr>
          <w:lang w:eastAsia="en-AU"/>
        </w:rPr>
        <w:t>y</w:t>
      </w:r>
      <w:r w:rsidRPr="009008CB">
        <w:rPr>
          <w:lang w:eastAsia="en-AU"/>
        </w:rPr>
        <w:t>: </w:t>
      </w:r>
    </w:p>
    <w:p w14:paraId="332F0ABE" w14:textId="77870EE3" w:rsidR="009008CB" w:rsidRPr="00742F75" w:rsidRDefault="009008CB" w:rsidP="00742F75">
      <w:pPr>
        <w:pStyle w:val="ListBullet"/>
        <w:tabs>
          <w:tab w:val="clear" w:pos="360"/>
          <w:tab w:val="num" w:pos="1074"/>
        </w:tabs>
        <w:spacing w:before="60" w:after="60"/>
        <w:ind w:left="714" w:hanging="357"/>
        <w:contextualSpacing w:val="0"/>
        <w:rPr>
          <w:rFonts w:cs="Arial"/>
        </w:rPr>
      </w:pPr>
      <w:r w:rsidRPr="2D17CA88">
        <w:rPr>
          <w:rFonts w:cs="Arial"/>
        </w:rPr>
        <w:t>withdraw from MyMedicare</w:t>
      </w:r>
    </w:p>
    <w:p w14:paraId="2EBBFCA8" w14:textId="69C59201" w:rsidR="009008CB" w:rsidRPr="00742F75" w:rsidRDefault="009008CB" w:rsidP="00742F75">
      <w:pPr>
        <w:pStyle w:val="ListBullet"/>
        <w:tabs>
          <w:tab w:val="clear" w:pos="360"/>
          <w:tab w:val="num" w:pos="1074"/>
        </w:tabs>
        <w:spacing w:before="60" w:after="60"/>
        <w:ind w:left="714" w:hanging="357"/>
        <w:contextualSpacing w:val="0"/>
        <w:rPr>
          <w:rFonts w:cs="Arial"/>
        </w:rPr>
      </w:pPr>
      <w:r w:rsidRPr="2D17CA88">
        <w:rPr>
          <w:rFonts w:cs="Arial"/>
        </w:rPr>
        <w:t>register with a different practice</w:t>
      </w:r>
    </w:p>
    <w:p w14:paraId="7CD88681" w14:textId="15366C1E" w:rsidR="009008CB" w:rsidRPr="00742F75" w:rsidRDefault="004C7915" w:rsidP="00742F75">
      <w:pPr>
        <w:pStyle w:val="ListBullet"/>
        <w:tabs>
          <w:tab w:val="clear" w:pos="360"/>
          <w:tab w:val="num" w:pos="1074"/>
        </w:tabs>
        <w:spacing w:before="60" w:after="60"/>
        <w:ind w:left="714" w:hanging="357"/>
        <w:contextualSpacing w:val="0"/>
        <w:rPr>
          <w:rFonts w:cs="Arial"/>
        </w:rPr>
      </w:pPr>
      <w:r w:rsidRPr="2D17CA88">
        <w:rPr>
          <w:rFonts w:cs="Arial"/>
        </w:rPr>
        <w:lastRenderedPageBreak/>
        <w:t>are</w:t>
      </w:r>
      <w:r w:rsidR="009008CB" w:rsidRPr="2D17CA88">
        <w:rPr>
          <w:rFonts w:cs="Arial"/>
        </w:rPr>
        <w:t xml:space="preserve"> deceased.</w:t>
      </w:r>
    </w:p>
    <w:p w14:paraId="19ACFC06" w14:textId="4F5C6AD3" w:rsidR="009008CB" w:rsidRPr="009008CB" w:rsidRDefault="009008CB" w:rsidP="00520BB8">
      <w:pPr>
        <w:rPr>
          <w:rFonts w:ascii="Segoe UI" w:hAnsi="Segoe UI" w:cs="Segoe UI"/>
          <w:sz w:val="18"/>
          <w:szCs w:val="18"/>
          <w:lang w:eastAsia="en-AU"/>
        </w:rPr>
      </w:pPr>
      <w:r w:rsidRPr="009008CB">
        <w:rPr>
          <w:lang w:eastAsia="en-AU"/>
        </w:rPr>
        <w:t>When a patient registers at a different practice</w:t>
      </w:r>
      <w:r w:rsidR="0029769E">
        <w:rPr>
          <w:lang w:eastAsia="en-AU"/>
        </w:rPr>
        <w:t xml:space="preserve"> or is deceased</w:t>
      </w:r>
      <w:r w:rsidRPr="009008CB">
        <w:rPr>
          <w:lang w:eastAsia="en-AU"/>
        </w:rPr>
        <w:t xml:space="preserve">, their MyMedicare registration will be automatically </w:t>
      </w:r>
      <w:proofErr w:type="gramStart"/>
      <w:r w:rsidRPr="009008CB">
        <w:rPr>
          <w:lang w:eastAsia="en-AU"/>
        </w:rPr>
        <w:t>withdrawn</w:t>
      </w:r>
      <w:proofErr w:type="gramEnd"/>
      <w:r w:rsidRPr="009008CB" w:rsidDel="008E5163">
        <w:rPr>
          <w:lang w:eastAsia="en-AU"/>
        </w:rPr>
        <w:t xml:space="preserve"> </w:t>
      </w:r>
      <w:r w:rsidRPr="009008CB">
        <w:rPr>
          <w:lang w:eastAsia="en-AU"/>
        </w:rPr>
        <w:t>and the practice will be notified. </w:t>
      </w:r>
    </w:p>
    <w:p w14:paraId="1C4D4115" w14:textId="3894AE62" w:rsidR="009008CB" w:rsidRPr="009008CB" w:rsidRDefault="009008CB" w:rsidP="61716D05">
      <w:pPr>
        <w:rPr>
          <w:rFonts w:ascii="Segoe UI" w:hAnsi="Segoe UI" w:cs="Segoe UI"/>
          <w:sz w:val="18"/>
          <w:szCs w:val="18"/>
          <w:lang w:eastAsia="en-AU"/>
        </w:rPr>
      </w:pPr>
      <w:r w:rsidRPr="61716D05">
        <w:rPr>
          <w:lang w:eastAsia="en-AU"/>
        </w:rPr>
        <w:t>A responsible person who is acting on behalf of a patient who lacks capacity to make decision</w:t>
      </w:r>
      <w:r w:rsidR="00971EBD" w:rsidRPr="61716D05">
        <w:rPr>
          <w:lang w:eastAsia="en-AU"/>
        </w:rPr>
        <w:t xml:space="preserve">s can withdraw them from MyMedicare by requesting the </w:t>
      </w:r>
      <w:r w:rsidR="009C6E6C" w:rsidRPr="61716D05">
        <w:rPr>
          <w:lang w:eastAsia="en-AU"/>
        </w:rPr>
        <w:t xml:space="preserve">practice to withdraw the patient, or by </w:t>
      </w:r>
      <w:r w:rsidRPr="61716D05">
        <w:rPr>
          <w:lang w:eastAsia="en-AU"/>
        </w:rPr>
        <w:t>registering the patient with a new practice, automatically withdrawing</w:t>
      </w:r>
      <w:r w:rsidR="003C5FCA" w:rsidRPr="61716D05">
        <w:rPr>
          <w:lang w:eastAsia="en-AU"/>
        </w:rPr>
        <w:t xml:space="preserve"> the current </w:t>
      </w:r>
      <w:r w:rsidRPr="61716D05">
        <w:rPr>
          <w:lang w:eastAsia="en-AU"/>
        </w:rPr>
        <w:t>registration.  </w:t>
      </w:r>
    </w:p>
    <w:p w14:paraId="5AC6805E" w14:textId="58BE12CD" w:rsidR="009008CB" w:rsidRPr="009008CB" w:rsidRDefault="009008CB" w:rsidP="00520BB8">
      <w:pPr>
        <w:rPr>
          <w:rFonts w:ascii="Segoe UI" w:hAnsi="Segoe UI" w:cs="Segoe UI"/>
          <w:sz w:val="18"/>
          <w:szCs w:val="18"/>
          <w:lang w:eastAsia="en-AU"/>
        </w:rPr>
      </w:pPr>
      <w:r w:rsidRPr="009008CB">
        <w:rPr>
          <w:lang w:eastAsia="en-AU"/>
        </w:rPr>
        <w:t>A parent or guardian can withdraw a child patient from MyMedicare by requesting the practice to withdraw the patient</w:t>
      </w:r>
      <w:r w:rsidRPr="00520BB8">
        <w:rPr>
          <w:lang w:eastAsia="en-AU"/>
        </w:rPr>
        <w:t xml:space="preserve">, through </w:t>
      </w:r>
      <w:r w:rsidR="00EA0EE4">
        <w:rPr>
          <w:lang w:eastAsia="en-AU"/>
        </w:rPr>
        <w:t>MOA</w:t>
      </w:r>
      <w:r w:rsidR="00A27DD1">
        <w:rPr>
          <w:lang w:eastAsia="en-AU"/>
        </w:rPr>
        <w:t>,</w:t>
      </w:r>
      <w:r w:rsidR="00EA0EE4">
        <w:rPr>
          <w:lang w:eastAsia="en-AU"/>
        </w:rPr>
        <w:t xml:space="preserve"> </w:t>
      </w:r>
      <w:r w:rsidRPr="009008CB">
        <w:rPr>
          <w:lang w:eastAsia="en-AU"/>
        </w:rPr>
        <w:t xml:space="preserve">or by registering the patient with a new practice, automatically withdrawing the </w:t>
      </w:r>
      <w:r w:rsidR="000F26A9" w:rsidRPr="009008CB">
        <w:rPr>
          <w:lang w:eastAsia="en-AU"/>
        </w:rPr>
        <w:t xml:space="preserve">current </w:t>
      </w:r>
      <w:r w:rsidRPr="009008CB">
        <w:rPr>
          <w:lang w:eastAsia="en-AU"/>
        </w:rPr>
        <w:t>registration.  </w:t>
      </w:r>
    </w:p>
    <w:p w14:paraId="0C3789C4" w14:textId="0DD1795A" w:rsidR="009008CB" w:rsidRDefault="009008CB" w:rsidP="00520BB8">
      <w:pPr>
        <w:rPr>
          <w:lang w:eastAsia="en-AU"/>
        </w:rPr>
      </w:pPr>
      <w:r w:rsidRPr="5E58B131">
        <w:rPr>
          <w:lang w:eastAsia="en-AU"/>
        </w:rPr>
        <w:t>Practices can withdraw a patient from a MyMedicare registration through their MyMedicare program</w:t>
      </w:r>
      <w:r w:rsidR="00D770F3" w:rsidRPr="5E58B131">
        <w:rPr>
          <w:lang w:eastAsia="en-AU"/>
        </w:rPr>
        <w:t xml:space="preserve"> in </w:t>
      </w:r>
      <w:r w:rsidR="00006B2F" w:rsidRPr="5E58B131">
        <w:rPr>
          <w:lang w:eastAsia="en-AU"/>
        </w:rPr>
        <w:t>the Organisation Register</w:t>
      </w:r>
      <w:r w:rsidRPr="5E58B131">
        <w:rPr>
          <w:lang w:eastAsia="en-AU"/>
        </w:rPr>
        <w:t>. Where a practice has withdrawn a patient, the patient will be notified</w:t>
      </w:r>
      <w:r w:rsidR="000F26A9" w:rsidRPr="5E58B131">
        <w:rPr>
          <w:lang w:eastAsia="en-AU"/>
        </w:rPr>
        <w:t xml:space="preserve"> through the </w:t>
      </w:r>
      <w:proofErr w:type="spellStart"/>
      <w:r w:rsidR="000F26A9" w:rsidRPr="5E58B131">
        <w:rPr>
          <w:lang w:eastAsia="en-AU"/>
        </w:rPr>
        <w:t>myGov</w:t>
      </w:r>
      <w:proofErr w:type="spellEnd"/>
      <w:r w:rsidR="000F26A9" w:rsidRPr="5E58B131">
        <w:rPr>
          <w:lang w:eastAsia="en-AU"/>
        </w:rPr>
        <w:t xml:space="preserve"> app</w:t>
      </w:r>
      <w:r w:rsidR="00AC0C69" w:rsidRPr="5E58B131">
        <w:rPr>
          <w:lang w:eastAsia="en-AU"/>
        </w:rPr>
        <w:t>.</w:t>
      </w:r>
      <w:r w:rsidRPr="5E58B131">
        <w:rPr>
          <w:lang w:eastAsia="en-AU"/>
        </w:rPr>
        <w:t> </w:t>
      </w:r>
    </w:p>
    <w:p w14:paraId="03EC8253" w14:textId="3A4F39EE" w:rsidR="007938AC" w:rsidRDefault="0065178A" w:rsidP="0065178A">
      <w:pPr>
        <w:pStyle w:val="Heading1"/>
      </w:pPr>
      <w:bookmarkStart w:id="119" w:name="_Toc214051028"/>
      <w:bookmarkStart w:id="120" w:name="_Toc216708140"/>
      <w:r>
        <w:t>MBS items linked to MyMedicare</w:t>
      </w:r>
      <w:bookmarkStart w:id="121" w:name="_Toc178175336"/>
      <w:bookmarkStart w:id="122" w:name="_Toc170119999"/>
      <w:bookmarkStart w:id="123" w:name="_Toc172899484"/>
      <w:bookmarkStart w:id="124" w:name="_Toc172899557"/>
      <w:bookmarkStart w:id="125" w:name="_Toc170817141"/>
      <w:bookmarkStart w:id="126" w:name="_Hlk167962003"/>
      <w:bookmarkEnd w:id="119"/>
      <w:bookmarkEnd w:id="120"/>
      <w:bookmarkEnd w:id="121"/>
    </w:p>
    <w:p w14:paraId="573C4576" w14:textId="7D895AB1" w:rsidR="0065178A" w:rsidRPr="00877366" w:rsidRDefault="000900AE" w:rsidP="00877366">
      <w:r w:rsidRPr="00877366">
        <w:t>Registering with MyMedicare</w:t>
      </w:r>
      <w:r w:rsidR="006860BD" w:rsidRPr="00877366">
        <w:t xml:space="preserve"> will unlock access to additional or amended </w:t>
      </w:r>
      <w:r w:rsidR="0022398E" w:rsidRPr="00877366">
        <w:t xml:space="preserve">Medicare Benefit Schedule (MBS) item </w:t>
      </w:r>
      <w:r w:rsidR="006860BD" w:rsidRPr="00877366">
        <w:t>rebates.</w:t>
      </w:r>
    </w:p>
    <w:p w14:paraId="23FC8C5A" w14:textId="37324B8D" w:rsidR="00AE7EDC" w:rsidRDefault="00AE7EDC" w:rsidP="00AE7EDC">
      <w:pPr>
        <w:pStyle w:val="Heading2"/>
      </w:pPr>
      <w:bookmarkStart w:id="127" w:name="_Toc214051029"/>
      <w:bookmarkStart w:id="128" w:name="_Toc216708141"/>
      <w:r>
        <w:t>Longer MBS funded telehealth consultations</w:t>
      </w:r>
      <w:bookmarkEnd w:id="127"/>
      <w:bookmarkEnd w:id="128"/>
    </w:p>
    <w:p w14:paraId="0B438AED" w14:textId="17E83F15" w:rsidR="00437C94" w:rsidRPr="00437C94" w:rsidRDefault="00437C94" w:rsidP="00520BB8">
      <w:pPr>
        <w:rPr>
          <w:rFonts w:ascii="Segoe UI" w:hAnsi="Segoe UI" w:cs="Segoe UI"/>
          <w:sz w:val="18"/>
          <w:szCs w:val="18"/>
          <w:lang w:eastAsia="en-AU"/>
        </w:rPr>
      </w:pPr>
      <w:r w:rsidRPr="00437C94">
        <w:rPr>
          <w:lang w:eastAsia="en-AU"/>
        </w:rPr>
        <w:t>MyMedicare registered patients are eligible for longer MBS</w:t>
      </w:r>
      <w:r w:rsidR="00094562">
        <w:rPr>
          <w:lang w:eastAsia="en-AU"/>
        </w:rPr>
        <w:t xml:space="preserve"> </w:t>
      </w:r>
      <w:r w:rsidRPr="00437C94">
        <w:rPr>
          <w:lang w:eastAsia="en-AU"/>
        </w:rPr>
        <w:t>funded phone-based telehealth (levels C and D) consultations with their registered practice. These items include Level C (more than 20 minutes) and Level D (more than 40 minutes) general attendance telephone consultations which will have the same clinical requirements as equivalent in-person and video services. </w:t>
      </w:r>
    </w:p>
    <w:p w14:paraId="39356111" w14:textId="77777777" w:rsidR="00437C94" w:rsidRPr="00437C94" w:rsidRDefault="00437C94" w:rsidP="00520BB8">
      <w:pPr>
        <w:rPr>
          <w:rFonts w:ascii="Segoe UI" w:hAnsi="Segoe UI" w:cs="Segoe UI"/>
          <w:sz w:val="18"/>
          <w:szCs w:val="18"/>
          <w:lang w:eastAsia="en-AU"/>
        </w:rPr>
      </w:pPr>
      <w:r w:rsidRPr="00437C94">
        <w:rPr>
          <w:lang w:eastAsia="en-AU"/>
        </w:rPr>
        <w:t>Unregistered patients will still be able to access shorter telephone and video telehealth MBS services. </w:t>
      </w:r>
    </w:p>
    <w:p w14:paraId="1BD251A3" w14:textId="523EBFAF" w:rsidR="00AE7EDC" w:rsidRDefault="00395896" w:rsidP="00395896">
      <w:pPr>
        <w:pStyle w:val="Heading2"/>
      </w:pPr>
      <w:bookmarkStart w:id="129" w:name="_Toc214051030"/>
      <w:bookmarkStart w:id="130" w:name="_Toc216708142"/>
      <w:r>
        <w:t xml:space="preserve">Triple bulk billing incentive for MBS funded long </w:t>
      </w:r>
      <w:r w:rsidR="00F92C77">
        <w:t>telehealth</w:t>
      </w:r>
      <w:bookmarkEnd w:id="129"/>
      <w:bookmarkEnd w:id="130"/>
    </w:p>
    <w:p w14:paraId="226AC39C" w14:textId="77777777" w:rsidR="00F1455F" w:rsidRPr="00F1455F" w:rsidRDefault="00F1455F" w:rsidP="00520BB8">
      <w:pPr>
        <w:rPr>
          <w:rFonts w:ascii="Segoe UI" w:hAnsi="Segoe UI" w:cs="Segoe UI"/>
          <w:sz w:val="18"/>
          <w:szCs w:val="18"/>
          <w:lang w:eastAsia="en-AU"/>
        </w:rPr>
      </w:pPr>
      <w:r w:rsidRPr="00F1455F">
        <w:rPr>
          <w:lang w:eastAsia="en-AU"/>
        </w:rPr>
        <w:t>To support general practitioners to continue to bulk bill patients under 16 years of age and Commonwealth concession card holders, triple bulk billing incentives are available for: </w:t>
      </w:r>
    </w:p>
    <w:p w14:paraId="74DEEDB1" w14:textId="77777777" w:rsidR="00F1455F" w:rsidRPr="00742F75" w:rsidRDefault="00F1455F" w:rsidP="00742F75">
      <w:pPr>
        <w:pStyle w:val="ListBullet"/>
        <w:tabs>
          <w:tab w:val="clear" w:pos="360"/>
          <w:tab w:val="num" w:pos="1074"/>
        </w:tabs>
        <w:spacing w:before="60" w:after="60"/>
        <w:ind w:left="714" w:hanging="357"/>
        <w:contextualSpacing w:val="0"/>
        <w:rPr>
          <w:rFonts w:cs="Arial"/>
        </w:rPr>
      </w:pPr>
      <w:r w:rsidRPr="165438EC">
        <w:rPr>
          <w:rFonts w:cs="Arial"/>
        </w:rPr>
        <w:t>all face-to-face general attendance consultations more than 6 minutes in length </w:t>
      </w:r>
    </w:p>
    <w:p w14:paraId="27519E15" w14:textId="77777777" w:rsidR="00F1455F" w:rsidRPr="00742F75" w:rsidRDefault="00F1455F" w:rsidP="00742F75">
      <w:pPr>
        <w:pStyle w:val="ListBullet"/>
        <w:tabs>
          <w:tab w:val="clear" w:pos="360"/>
          <w:tab w:val="num" w:pos="1074"/>
        </w:tabs>
        <w:spacing w:before="60" w:after="60"/>
        <w:ind w:left="714" w:hanging="357"/>
        <w:contextualSpacing w:val="0"/>
        <w:rPr>
          <w:rFonts w:cs="Arial"/>
        </w:rPr>
      </w:pPr>
      <w:r w:rsidRPr="165438EC">
        <w:rPr>
          <w:rFonts w:cs="Arial"/>
        </w:rPr>
        <w:t>all telehealth general attendance consultations which are between 6 and 20 minutes in length (known as Level B consultations) </w:t>
      </w:r>
    </w:p>
    <w:p w14:paraId="012A4BFF" w14:textId="32380E5B" w:rsidR="00F1455F" w:rsidRPr="00742F75" w:rsidRDefault="00F1455F" w:rsidP="00742F75">
      <w:pPr>
        <w:pStyle w:val="ListBullet"/>
        <w:tabs>
          <w:tab w:val="clear" w:pos="360"/>
          <w:tab w:val="num" w:pos="1074"/>
        </w:tabs>
        <w:spacing w:before="60" w:after="60"/>
        <w:ind w:left="714" w:hanging="357"/>
        <w:contextualSpacing w:val="0"/>
        <w:rPr>
          <w:rFonts w:cs="Arial"/>
        </w:rPr>
      </w:pPr>
      <w:r w:rsidRPr="165438EC">
        <w:rPr>
          <w:rFonts w:cs="Arial"/>
        </w:rPr>
        <w:t>longer telehealth phone and video general attendance consultations</w:t>
      </w:r>
      <w:r w:rsidR="00D0766B" w:rsidRPr="165438EC">
        <w:rPr>
          <w:rFonts w:cs="Arial"/>
        </w:rPr>
        <w:t xml:space="preserve"> </w:t>
      </w:r>
      <w:r w:rsidR="00D0766B" w:rsidRPr="00F1455F">
        <w:rPr>
          <w:lang w:eastAsia="en-AU"/>
        </w:rPr>
        <w:t>(levels C, D and E)</w:t>
      </w:r>
      <w:r w:rsidR="00D0766B" w:rsidRPr="165438EC">
        <w:rPr>
          <w:rFonts w:cs="Arial"/>
        </w:rPr>
        <w:t xml:space="preserve"> </w:t>
      </w:r>
      <w:r w:rsidRPr="165438EC">
        <w:rPr>
          <w:rFonts w:cs="Arial"/>
        </w:rPr>
        <w:t>where a patient is registered through MyMedicare. </w:t>
      </w:r>
    </w:p>
    <w:p w14:paraId="4EB22A3C" w14:textId="77777777" w:rsidR="00F1455F" w:rsidRPr="00F1455F" w:rsidRDefault="00F1455F" w:rsidP="00520BB8">
      <w:pPr>
        <w:rPr>
          <w:rFonts w:ascii="Segoe UI" w:hAnsi="Segoe UI" w:cs="Segoe UI"/>
          <w:sz w:val="18"/>
          <w:szCs w:val="18"/>
          <w:lang w:eastAsia="en-AU"/>
        </w:rPr>
      </w:pPr>
      <w:r w:rsidRPr="00F1455F">
        <w:rPr>
          <w:lang w:eastAsia="en-AU"/>
        </w:rPr>
        <w:t>Standard bulk billing incentives will continue to be available to be claimed with other relevant MBS items. </w:t>
      </w:r>
    </w:p>
    <w:p w14:paraId="240B2D45" w14:textId="77777777" w:rsidR="00F1455F" w:rsidRPr="00F1455F" w:rsidRDefault="00F1455F" w:rsidP="00520BB8">
      <w:pPr>
        <w:rPr>
          <w:rFonts w:ascii="Segoe UI" w:hAnsi="Segoe UI" w:cs="Segoe UI"/>
          <w:sz w:val="18"/>
          <w:szCs w:val="18"/>
          <w:lang w:eastAsia="en-AU"/>
        </w:rPr>
      </w:pPr>
      <w:r w:rsidRPr="00F1455F">
        <w:rPr>
          <w:lang w:eastAsia="en-AU"/>
        </w:rPr>
        <w:t>For longer telehealth consultations (levels C, D and E), the patient must be registered in MyMedicare and receive the service from the practice at which they are registered for triple bulk billing incentives to apply. Where the patient is not registered in MyMedicare, standard bulk billing incentives will apply. </w:t>
      </w:r>
    </w:p>
    <w:p w14:paraId="5BD47D77" w14:textId="62D1B0B5" w:rsidR="00F1455F" w:rsidRPr="00F1455F" w:rsidRDefault="00923D56" w:rsidP="61716D05">
      <w:pPr>
        <w:rPr>
          <w:rFonts w:ascii="Segoe UI" w:hAnsi="Segoe UI" w:cs="Segoe UI"/>
          <w:sz w:val="18"/>
          <w:szCs w:val="18"/>
          <w:lang w:eastAsia="en-AU"/>
        </w:rPr>
      </w:pPr>
      <w:r w:rsidRPr="76AF0100">
        <w:rPr>
          <w:lang w:eastAsia="en-AU"/>
        </w:rPr>
        <w:lastRenderedPageBreak/>
        <w:t xml:space="preserve">Patients </w:t>
      </w:r>
      <w:r w:rsidR="00CC580F" w:rsidRPr="76AF0100">
        <w:rPr>
          <w:lang w:eastAsia="en-AU"/>
        </w:rPr>
        <w:t>e</w:t>
      </w:r>
      <w:r w:rsidR="00F1455F" w:rsidRPr="76AF0100">
        <w:rPr>
          <w:lang w:eastAsia="en-AU"/>
        </w:rPr>
        <w:t xml:space="preserve">ligible </w:t>
      </w:r>
      <w:r w:rsidRPr="76AF0100">
        <w:rPr>
          <w:lang w:eastAsia="en-AU"/>
        </w:rPr>
        <w:t xml:space="preserve">for triple bulk billing incentives </w:t>
      </w:r>
      <w:r w:rsidR="00F1455F" w:rsidRPr="76AF0100">
        <w:rPr>
          <w:lang w:eastAsia="en-AU"/>
        </w:rPr>
        <w:t>are not required to be registered in MyMedicare to access the triple bulk billing incentives for face-to-face consultations or Level B video or telephone consultations</w:t>
      </w:r>
      <w:r w:rsidR="00E13EBF" w:rsidRPr="76AF0100">
        <w:rPr>
          <w:lang w:eastAsia="en-AU"/>
        </w:rPr>
        <w:t>.</w:t>
      </w:r>
    </w:p>
    <w:p w14:paraId="468254E3" w14:textId="5BB55188" w:rsidR="00AC0064" w:rsidRDefault="00887F7C" w:rsidP="000310A2">
      <w:pPr>
        <w:pStyle w:val="Heading1"/>
        <w:ind w:left="431" w:hanging="431"/>
        <w:rPr>
          <w:lang w:eastAsia="en-AU"/>
        </w:rPr>
      </w:pPr>
      <w:bookmarkStart w:id="131" w:name="_Toc214051031"/>
      <w:bookmarkStart w:id="132" w:name="_Toc216708143"/>
      <w:r>
        <w:rPr>
          <w:lang w:eastAsia="en-AU"/>
        </w:rPr>
        <w:t xml:space="preserve">Linked </w:t>
      </w:r>
      <w:r w:rsidR="00726690">
        <w:rPr>
          <w:lang w:eastAsia="en-AU"/>
        </w:rPr>
        <w:t xml:space="preserve">incentive </w:t>
      </w:r>
      <w:r>
        <w:rPr>
          <w:lang w:eastAsia="en-AU"/>
        </w:rPr>
        <w:t>programs</w:t>
      </w:r>
      <w:bookmarkEnd w:id="131"/>
      <w:bookmarkEnd w:id="132"/>
    </w:p>
    <w:p w14:paraId="1D6B80AE" w14:textId="3B8B4A8E" w:rsidR="00887F7C" w:rsidRPr="00877366" w:rsidRDefault="00417545" w:rsidP="00877366">
      <w:r w:rsidRPr="00877366">
        <w:t>MyMedicare linked incentive programs will drive the government’s primary care reform agenda</w:t>
      </w:r>
      <w:r w:rsidR="00FA7764">
        <w:t>.</w:t>
      </w:r>
    </w:p>
    <w:p w14:paraId="5D0BE7CD" w14:textId="7163B00F" w:rsidR="00107A1D" w:rsidRDefault="00107A1D" w:rsidP="00520BB8">
      <w:pPr>
        <w:pStyle w:val="Heading2"/>
        <w:rPr>
          <w:lang w:eastAsia="en-AU"/>
        </w:rPr>
      </w:pPr>
      <w:bookmarkStart w:id="133" w:name="_Toc214051032"/>
      <w:bookmarkStart w:id="134" w:name="_Toc216708144"/>
      <w:r>
        <w:rPr>
          <w:lang w:eastAsia="en-AU"/>
        </w:rPr>
        <w:t>General Practice in Aged Care Incentive</w:t>
      </w:r>
      <w:bookmarkEnd w:id="133"/>
      <w:bookmarkEnd w:id="134"/>
      <w:r>
        <w:rPr>
          <w:lang w:eastAsia="en-AU"/>
        </w:rPr>
        <w:t xml:space="preserve"> </w:t>
      </w:r>
    </w:p>
    <w:p w14:paraId="5A64C322" w14:textId="2923D448" w:rsidR="007C336B" w:rsidRPr="007C336B" w:rsidRDefault="007C336B" w:rsidP="61716D05">
      <w:pPr>
        <w:rPr>
          <w:rFonts w:ascii="Segoe UI" w:hAnsi="Segoe UI" w:cs="Segoe UI"/>
          <w:sz w:val="18"/>
          <w:szCs w:val="18"/>
          <w:lang w:eastAsia="en-AU"/>
        </w:rPr>
      </w:pPr>
      <w:r w:rsidRPr="61716D05">
        <w:rPr>
          <w:lang w:eastAsia="en-AU"/>
        </w:rPr>
        <w:t xml:space="preserve">GPs and general practices registered in MyMedicare receive an incentive for providing their registered patients in a residential aged care home with a quality bundle of care, including regular visits. Access to the incentive will only be available </w:t>
      </w:r>
      <w:r w:rsidR="002445D8" w:rsidRPr="61716D05">
        <w:rPr>
          <w:lang w:eastAsia="en-AU"/>
        </w:rPr>
        <w:t xml:space="preserve">to </w:t>
      </w:r>
      <w:r w:rsidRPr="61716D05">
        <w:rPr>
          <w:lang w:eastAsia="en-AU"/>
        </w:rPr>
        <w:t>patients registered with MyMedicare. </w:t>
      </w:r>
    </w:p>
    <w:p w14:paraId="669EE091" w14:textId="21F6FD0D" w:rsidR="007C336B" w:rsidRPr="007C336B" w:rsidRDefault="007C336B" w:rsidP="00520BB8">
      <w:pPr>
        <w:rPr>
          <w:rFonts w:ascii="Segoe UI" w:hAnsi="Segoe UI" w:cs="Segoe UI"/>
          <w:sz w:val="18"/>
          <w:szCs w:val="18"/>
          <w:lang w:eastAsia="en-AU"/>
        </w:rPr>
      </w:pPr>
      <w:r w:rsidRPr="007C336B">
        <w:rPr>
          <w:lang w:eastAsia="en-AU"/>
        </w:rPr>
        <w:t xml:space="preserve">More information on General Practice in Aged Care Incentive </w:t>
      </w:r>
      <w:r w:rsidR="00C2448E">
        <w:rPr>
          <w:lang w:eastAsia="en-AU"/>
        </w:rPr>
        <w:t xml:space="preserve">program guidelines </w:t>
      </w:r>
      <w:r w:rsidRPr="007C336B">
        <w:rPr>
          <w:lang w:eastAsia="en-AU"/>
        </w:rPr>
        <w:t xml:space="preserve">can be found on the department’s website </w:t>
      </w:r>
      <w:hyperlink r:id="rId20" w:history="1">
        <w:r w:rsidRPr="00C2448E">
          <w:rPr>
            <w:rStyle w:val="Hyperlink"/>
            <w:lang w:eastAsia="en-AU"/>
          </w:rPr>
          <w:t>here</w:t>
        </w:r>
      </w:hyperlink>
      <w:r>
        <w:rPr>
          <w:lang w:eastAsia="en-AU"/>
        </w:rPr>
        <w:t>.</w:t>
      </w:r>
      <w:r w:rsidRPr="007C336B">
        <w:rPr>
          <w:lang w:eastAsia="en-AU"/>
        </w:rPr>
        <w:t> </w:t>
      </w:r>
    </w:p>
    <w:p w14:paraId="78D32943" w14:textId="54ADAEBE" w:rsidR="004C0136" w:rsidRPr="00BE1303" w:rsidRDefault="004C0136" w:rsidP="00BE1303">
      <w:pPr>
        <w:pStyle w:val="Heading2"/>
      </w:pPr>
      <w:bookmarkStart w:id="135" w:name="_Toc214051034"/>
      <w:r w:rsidRPr="00BE1303">
        <w:t>Bulk Billing Practice Incentive Program</w:t>
      </w:r>
      <w:bookmarkEnd w:id="135"/>
    </w:p>
    <w:p w14:paraId="3DEC49BF" w14:textId="03751077" w:rsidR="009F5C21" w:rsidRDefault="000978E7">
      <w:r w:rsidRPr="000978E7">
        <w:t>The Bulk Billing Practice Incentive Program (BBPIP) supports general practices to bulk bill all Medicare-eligible patients for all eligible services</w:t>
      </w:r>
      <w:r w:rsidR="00226ACC">
        <w:t>. Incentive payments will be paid as a percentage of eligible MBS item rebates</w:t>
      </w:r>
      <w:r w:rsidR="009F5C21">
        <w:t xml:space="preserve">. </w:t>
      </w:r>
    </w:p>
    <w:p w14:paraId="5C3C7CE6" w14:textId="5F7D9196" w:rsidR="00417545" w:rsidRDefault="074F3935" w:rsidP="00FD3910">
      <w:pPr>
        <w:pStyle w:val="Heading1"/>
        <w:ind w:left="431" w:hanging="431"/>
      </w:pPr>
      <w:bookmarkStart w:id="136" w:name="_Toc214051035"/>
      <w:bookmarkStart w:id="137" w:name="_Toc216708145"/>
      <w:r>
        <w:t>MyMedicare and My Health Record</w:t>
      </w:r>
      <w:bookmarkEnd w:id="136"/>
      <w:bookmarkEnd w:id="137"/>
    </w:p>
    <w:p w14:paraId="01B7C270" w14:textId="77777777" w:rsidR="009E1180" w:rsidRPr="009E1180" w:rsidRDefault="009E1180" w:rsidP="00520BB8">
      <w:pPr>
        <w:rPr>
          <w:rFonts w:ascii="Segoe UI" w:hAnsi="Segoe UI" w:cs="Segoe UI"/>
          <w:sz w:val="18"/>
          <w:szCs w:val="18"/>
          <w:lang w:eastAsia="en-AU"/>
        </w:rPr>
      </w:pPr>
      <w:r w:rsidRPr="009E1180">
        <w:rPr>
          <w:lang w:eastAsia="en-AU"/>
        </w:rPr>
        <w:t>My Health Record provides patients and their healthcare providers with access to vital health information at the point of care, including in an emergency. This can include shared health summaries, current medicines and prescriptions, immunisation history, hospital discharge information and Medicare, DVA and Pharmaceutical Benefits Scheme history.  </w:t>
      </w:r>
    </w:p>
    <w:p w14:paraId="01AAE84E" w14:textId="35D168E8" w:rsidR="009E1180" w:rsidRPr="009E1180" w:rsidRDefault="009E1180" w:rsidP="61716D05">
      <w:pPr>
        <w:rPr>
          <w:rFonts w:ascii="Segoe UI" w:hAnsi="Segoe UI" w:cs="Segoe UI"/>
          <w:sz w:val="18"/>
          <w:szCs w:val="18"/>
          <w:lang w:eastAsia="en-AU"/>
        </w:rPr>
      </w:pPr>
      <w:r w:rsidRPr="61716D05">
        <w:rPr>
          <w:lang w:eastAsia="en-AU"/>
        </w:rPr>
        <w:t xml:space="preserve">When patients register in MyMedicare, their chosen practice and GP will appear in their My Health Record to ensure all health professionals they see – for example, at a public hospital – will know who to contact to discuss their regular care if required. If patients do not wish for their MyMedicare registration to appear on their My Health Record, they can choose this option in </w:t>
      </w:r>
      <w:hyperlink r:id="rId21">
        <w:r w:rsidRPr="61716D05">
          <w:rPr>
            <w:rStyle w:val="Hyperlink"/>
            <w:lang w:eastAsia="en-AU"/>
          </w:rPr>
          <w:t>My Health Record</w:t>
        </w:r>
      </w:hyperlink>
      <w:r w:rsidRPr="61716D05">
        <w:rPr>
          <w:lang w:eastAsia="en-AU"/>
        </w:rPr>
        <w:t>. </w:t>
      </w:r>
    </w:p>
    <w:p w14:paraId="51C6851C" w14:textId="31EDBEDA" w:rsidR="00FD693C" w:rsidRPr="00FD693C" w:rsidRDefault="0021723D" w:rsidP="00520BB8">
      <w:pPr>
        <w:pStyle w:val="Heading1"/>
      </w:pPr>
      <w:bookmarkStart w:id="138" w:name="_Toc214051036"/>
      <w:bookmarkStart w:id="139" w:name="_Toc216708146"/>
      <w:r>
        <w:t xml:space="preserve">Additional MyMedicare </w:t>
      </w:r>
      <w:r w:rsidR="00CC5451">
        <w:t>program information</w:t>
      </w:r>
      <w:bookmarkEnd w:id="138"/>
      <w:bookmarkEnd w:id="139"/>
    </w:p>
    <w:p w14:paraId="6CE10948" w14:textId="77777777" w:rsidR="00817CB4" w:rsidRPr="001F7637" w:rsidRDefault="00817CB4" w:rsidP="001F7637">
      <w:pPr>
        <w:pStyle w:val="Heading2"/>
      </w:pPr>
      <w:bookmarkStart w:id="140" w:name="_Toc163390008"/>
      <w:bookmarkStart w:id="141" w:name="_Toc163390009"/>
      <w:bookmarkStart w:id="142" w:name="_Toc163390010"/>
      <w:bookmarkStart w:id="143" w:name="_Toc163390011"/>
      <w:bookmarkStart w:id="144" w:name="_Toc163390012"/>
      <w:bookmarkStart w:id="145" w:name="_Toc166066945"/>
      <w:bookmarkStart w:id="146" w:name="_Toc166068361"/>
      <w:bookmarkStart w:id="147" w:name="_Toc166068573"/>
      <w:bookmarkStart w:id="148" w:name="_Toc166069532"/>
      <w:bookmarkStart w:id="149" w:name="_Toc166069579"/>
      <w:bookmarkStart w:id="150" w:name="_Toc166136595"/>
      <w:bookmarkStart w:id="151" w:name="_Toc167109442"/>
      <w:bookmarkStart w:id="152" w:name="_Toc170120014"/>
      <w:bookmarkStart w:id="153" w:name="_Toc170817156"/>
      <w:bookmarkStart w:id="154" w:name="_Toc214051037"/>
      <w:bookmarkStart w:id="155" w:name="_Toc216708147"/>
      <w:bookmarkEnd w:id="122"/>
      <w:bookmarkEnd w:id="123"/>
      <w:bookmarkEnd w:id="124"/>
      <w:bookmarkEnd w:id="125"/>
      <w:bookmarkEnd w:id="126"/>
      <w:bookmarkEnd w:id="140"/>
      <w:bookmarkEnd w:id="141"/>
      <w:bookmarkEnd w:id="142"/>
      <w:bookmarkEnd w:id="143"/>
      <w:bookmarkEnd w:id="144"/>
      <w:r w:rsidRPr="001F7637">
        <w:t>Medicare Benefit Scheme and Department of Veterans’ Affairs requirements</w:t>
      </w:r>
      <w:bookmarkEnd w:id="145"/>
      <w:bookmarkEnd w:id="146"/>
      <w:bookmarkEnd w:id="147"/>
      <w:bookmarkEnd w:id="148"/>
      <w:bookmarkEnd w:id="149"/>
      <w:bookmarkEnd w:id="150"/>
      <w:bookmarkEnd w:id="151"/>
      <w:bookmarkEnd w:id="152"/>
      <w:bookmarkEnd w:id="153"/>
      <w:bookmarkEnd w:id="154"/>
      <w:bookmarkEnd w:id="155"/>
    </w:p>
    <w:p w14:paraId="102DFD74" w14:textId="77777777" w:rsidR="00817CB4" w:rsidRPr="007F4BC4" w:rsidRDefault="00817CB4" w:rsidP="61716D05">
      <w:pPr>
        <w:rPr>
          <w:rFonts w:eastAsia="Times New Roman"/>
        </w:rPr>
      </w:pPr>
      <w:r w:rsidRPr="61716D05">
        <w:rPr>
          <w:rFonts w:eastAsia="Times New Roman"/>
        </w:rPr>
        <w:t xml:space="preserve">All providers, practices and medical professionals are required to meet the requirements of the relevant eligible MBS and DVA service item. </w:t>
      </w:r>
    </w:p>
    <w:p w14:paraId="4F610D01" w14:textId="77777777" w:rsidR="00817CB4" w:rsidRPr="001F7637" w:rsidRDefault="00817CB4" w:rsidP="001F7637">
      <w:pPr>
        <w:pStyle w:val="Heading2"/>
      </w:pPr>
      <w:bookmarkStart w:id="156" w:name="_Toc166066946"/>
      <w:bookmarkStart w:id="157" w:name="_Toc166068362"/>
      <w:bookmarkStart w:id="158" w:name="_Toc166068574"/>
      <w:bookmarkStart w:id="159" w:name="_Toc166069533"/>
      <w:bookmarkStart w:id="160" w:name="_Toc166069580"/>
      <w:bookmarkStart w:id="161" w:name="_Toc166136596"/>
      <w:bookmarkStart w:id="162" w:name="_Toc167109443"/>
      <w:bookmarkStart w:id="163" w:name="_Toc170120015"/>
      <w:bookmarkStart w:id="164" w:name="_Toc170817157"/>
      <w:bookmarkStart w:id="165" w:name="_Toc214051038"/>
      <w:bookmarkStart w:id="166" w:name="_Toc216708148"/>
      <w:r w:rsidRPr="001F7637">
        <w:t>Legislative requirements</w:t>
      </w:r>
      <w:bookmarkEnd w:id="156"/>
      <w:bookmarkEnd w:id="157"/>
      <w:bookmarkEnd w:id="158"/>
      <w:bookmarkEnd w:id="159"/>
      <w:bookmarkEnd w:id="160"/>
      <w:bookmarkEnd w:id="161"/>
      <w:bookmarkEnd w:id="162"/>
      <w:bookmarkEnd w:id="163"/>
      <w:bookmarkEnd w:id="164"/>
      <w:bookmarkEnd w:id="165"/>
      <w:bookmarkEnd w:id="166"/>
    </w:p>
    <w:p w14:paraId="593CAC3D" w14:textId="77777777" w:rsidR="00817CB4" w:rsidRPr="007F4BC4" w:rsidRDefault="00817CB4" w:rsidP="61716D05">
      <w:pPr>
        <w:rPr>
          <w:rFonts w:eastAsia="Times New Roman"/>
        </w:rPr>
      </w:pPr>
      <w:r w:rsidRPr="61716D05">
        <w:rPr>
          <w:rFonts w:eastAsia="Times New Roman"/>
        </w:rPr>
        <w:t xml:space="preserve">All providers, practices and medical practitioners are required to meet all the legislative requirements associated with the delivery of eligible service MBS and DVA items. All providers, practices and medical professionals are responsible for ensuring their delivery of services does not conflict with requirements of any other programs or legislation that applies to the provider or practice. </w:t>
      </w:r>
    </w:p>
    <w:p w14:paraId="680D36A2" w14:textId="2BBAA8BB" w:rsidR="00D3267D" w:rsidRDefault="001662DF" w:rsidP="00D3267D">
      <w:pPr>
        <w:pStyle w:val="Heading1"/>
      </w:pPr>
      <w:bookmarkStart w:id="167" w:name="_Toc214051039"/>
      <w:bookmarkStart w:id="168" w:name="_Toc216708149"/>
      <w:r>
        <w:lastRenderedPageBreak/>
        <w:t>Review of decision</w:t>
      </w:r>
      <w:bookmarkEnd w:id="167"/>
      <w:bookmarkEnd w:id="168"/>
    </w:p>
    <w:p w14:paraId="04F5A17E" w14:textId="6365DD8C" w:rsidR="00D674BC" w:rsidRDefault="00B26363" w:rsidP="00D674BC">
      <w:r w:rsidRPr="00B26363">
        <w:t>Practices and providers can seek a Review of Decision (</w:t>
      </w:r>
      <w:proofErr w:type="spellStart"/>
      <w:r w:rsidRPr="00B26363">
        <w:t>RoD</w:t>
      </w:r>
      <w:proofErr w:type="spellEnd"/>
      <w:r w:rsidRPr="00B26363">
        <w:t>) relating t</w:t>
      </w:r>
      <w:r w:rsidR="00600EC7">
        <w:t xml:space="preserve">o </w:t>
      </w:r>
      <w:proofErr w:type="spellStart"/>
      <w:r w:rsidR="00600EC7">
        <w:t>MyMedicare</w:t>
      </w:r>
      <w:proofErr w:type="spellEnd"/>
      <w:r w:rsidRPr="00B26363">
        <w:t xml:space="preserve">. To seek a review, the provider or authorised contact person/owner(s) of the practice must provide Services Australia with a completed </w:t>
      </w:r>
      <w:proofErr w:type="spellStart"/>
      <w:r w:rsidRPr="00B26363">
        <w:t>RoD</w:t>
      </w:r>
      <w:proofErr w:type="spellEnd"/>
      <w:r w:rsidRPr="00B26363">
        <w:t xml:space="preserve"> form and supporting documentation within 28 days of receiving the decision. </w:t>
      </w:r>
      <w:r w:rsidR="00C613B6">
        <w:t>The</w:t>
      </w:r>
      <w:r w:rsidR="00532277">
        <w:t xml:space="preserve"> form is available</w:t>
      </w:r>
      <w:r w:rsidR="00447F68">
        <w:t xml:space="preserve"> at</w:t>
      </w:r>
      <w:r w:rsidR="7CB56E81">
        <w:t xml:space="preserve"> </w:t>
      </w:r>
      <w:hyperlink r:id="rId22">
        <w:r w:rsidR="2F7F3CC9" w:rsidRPr="7D85D691">
          <w:rPr>
            <w:rStyle w:val="Hyperlink"/>
            <w:rFonts w:eastAsia="Arial" w:cs="Arial"/>
          </w:rPr>
          <w:t>MyMedicare Incentives Review of decision form (IP034) - Services Australia</w:t>
        </w:r>
      </w:hyperlink>
      <w:r w:rsidR="6F97BAEE">
        <w:t>.</w:t>
      </w:r>
    </w:p>
    <w:p w14:paraId="3F0F09D7" w14:textId="2AA3D051" w:rsidR="00817CB4" w:rsidRPr="001F7637" w:rsidRDefault="00B26363" w:rsidP="0B5906B5">
      <w:r w:rsidRPr="00B26363">
        <w:t xml:space="preserve">Services Australia will review the decision against the published guidelines at the time of the </w:t>
      </w:r>
      <w:proofErr w:type="gramStart"/>
      <w:r w:rsidRPr="00B26363">
        <w:t>event</w:t>
      </w:r>
      <w:proofErr w:type="gramEnd"/>
      <w:r w:rsidRPr="00B26363">
        <w:t xml:space="preserve"> and the outcome of the review will be advised in writing. If practices or providers are not satisfied with the decision, they can request reconsideration via a second review. If not satisfied with the outcome of a second review, practices or providers may ask the Formal Review Committee to reconsider the decision. For further details about the </w:t>
      </w:r>
      <w:proofErr w:type="spellStart"/>
      <w:r w:rsidRPr="00B26363">
        <w:t>RoD</w:t>
      </w:r>
      <w:proofErr w:type="spellEnd"/>
      <w:r w:rsidRPr="00B26363">
        <w:t xml:space="preserve"> process, please contact Services Australia.</w:t>
      </w:r>
      <w:r w:rsidRPr="00B26363" w:rsidDel="00B26363">
        <w:t xml:space="preserve"> </w:t>
      </w:r>
    </w:p>
    <w:p w14:paraId="3EF950A7" w14:textId="180D2E75" w:rsidR="00817CB4" w:rsidRPr="007F4BC4" w:rsidRDefault="00817CB4" w:rsidP="001212B9">
      <w:r w:rsidRPr="007F4BC4">
        <w:t xml:space="preserve">For further information on </w:t>
      </w:r>
      <w:r w:rsidR="004777D4">
        <w:t>MyMedicare</w:t>
      </w:r>
      <w:r w:rsidRPr="007F4BC4">
        <w:t>:</w:t>
      </w:r>
    </w:p>
    <w:p w14:paraId="7D97DE72" w14:textId="60C0818B" w:rsidR="00817CB4" w:rsidRPr="007F4BC4" w:rsidRDefault="00817CB4" w:rsidP="001212B9">
      <w:pPr>
        <w:rPr>
          <w:rFonts w:cs="Arial"/>
          <w:szCs w:val="22"/>
        </w:rPr>
      </w:pPr>
      <w:r w:rsidRPr="00574127">
        <w:rPr>
          <w:rStyle w:val="Strong"/>
        </w:rPr>
        <w:t>email:</w:t>
      </w:r>
      <w:r w:rsidRPr="007F4BC4">
        <w:rPr>
          <w:rFonts w:cs="Arial"/>
          <w:szCs w:val="22"/>
        </w:rPr>
        <w:t xml:space="preserve"> </w:t>
      </w:r>
      <w:hyperlink r:id="rId23" w:history="1">
        <w:r w:rsidR="00117B0F">
          <w:rPr>
            <w:rStyle w:val="Hyperlink"/>
            <w:rFonts w:cs="Arial"/>
            <w:szCs w:val="22"/>
          </w:rPr>
          <w:t>mymedicare@health.gov.au</w:t>
        </w:r>
      </w:hyperlink>
    </w:p>
    <w:p w14:paraId="463DBC11" w14:textId="4FA84495" w:rsidR="00817CB4" w:rsidRPr="007F4BC4" w:rsidRDefault="2D276389" w:rsidP="001212B9">
      <w:pPr>
        <w:rPr>
          <w:rFonts w:cs="Arial"/>
          <w:szCs w:val="22"/>
        </w:rPr>
      </w:pPr>
      <w:r w:rsidRPr="00574127">
        <w:rPr>
          <w:rStyle w:val="Strong"/>
        </w:rPr>
        <w:t>website:</w:t>
      </w:r>
      <w:r w:rsidRPr="7D82FC04">
        <w:rPr>
          <w:rFonts w:cs="Arial"/>
          <w:b/>
          <w:bCs/>
          <w:szCs w:val="22"/>
        </w:rPr>
        <w:t xml:space="preserve"> </w:t>
      </w:r>
      <w:hyperlink r:id="rId24" w:history="1">
        <w:r w:rsidR="004E4280">
          <w:rPr>
            <w:rStyle w:val="Hyperlink"/>
          </w:rPr>
          <w:t>health.gov.au/</w:t>
        </w:r>
        <w:proofErr w:type="spellStart"/>
        <w:r w:rsidR="004E4280">
          <w:rPr>
            <w:rStyle w:val="Hyperlink"/>
          </w:rPr>
          <w:t>mymedicare</w:t>
        </w:r>
        <w:proofErr w:type="spellEnd"/>
      </w:hyperlink>
    </w:p>
    <w:p w14:paraId="0D08691C" w14:textId="77777777" w:rsidR="00817CB4" w:rsidRPr="001F7637" w:rsidRDefault="00817CB4" w:rsidP="001F7637">
      <w:pPr>
        <w:pStyle w:val="Heading2"/>
      </w:pPr>
      <w:bookmarkStart w:id="169" w:name="_Toc166066965"/>
      <w:bookmarkStart w:id="170" w:name="_Toc166068381"/>
      <w:bookmarkStart w:id="171" w:name="_Toc166068593"/>
      <w:bookmarkStart w:id="172" w:name="_Toc166069552"/>
      <w:bookmarkStart w:id="173" w:name="_Toc166069599"/>
      <w:bookmarkStart w:id="174" w:name="_Toc166136615"/>
      <w:bookmarkStart w:id="175" w:name="_Toc167109455"/>
      <w:bookmarkStart w:id="176" w:name="_Toc170120035"/>
      <w:bookmarkStart w:id="177" w:name="_Toc170817176"/>
      <w:bookmarkStart w:id="178" w:name="_Toc214051041"/>
      <w:bookmarkStart w:id="179" w:name="_Toc216708150"/>
      <w:bookmarkStart w:id="180" w:name="_Hlk165581660"/>
      <w:r w:rsidRPr="001F7637">
        <w:t>Privacy and data collection</w:t>
      </w:r>
      <w:bookmarkEnd w:id="169"/>
      <w:bookmarkEnd w:id="170"/>
      <w:bookmarkEnd w:id="171"/>
      <w:bookmarkEnd w:id="172"/>
      <w:bookmarkEnd w:id="173"/>
      <w:bookmarkEnd w:id="174"/>
      <w:bookmarkEnd w:id="175"/>
      <w:bookmarkEnd w:id="176"/>
      <w:bookmarkEnd w:id="177"/>
      <w:bookmarkEnd w:id="178"/>
      <w:bookmarkEnd w:id="179"/>
    </w:p>
    <w:bookmarkEnd w:id="180"/>
    <w:p w14:paraId="16B5173D" w14:textId="4566FAB0" w:rsidR="00817CB4" w:rsidRPr="007F4BC4" w:rsidRDefault="00817CB4" w:rsidP="61716D05">
      <w:pPr>
        <w:rPr>
          <w:rFonts w:eastAsia="Times New Roman"/>
        </w:rPr>
      </w:pPr>
      <w:r w:rsidRPr="61716D05">
        <w:rPr>
          <w:rFonts w:eastAsia="Times New Roman"/>
        </w:rPr>
        <w:t>The MyMedicare Privacy Notice explains how the Australian Government will manage personal information consistent with obligations under the</w:t>
      </w:r>
      <w:r w:rsidRPr="61716D05">
        <w:rPr>
          <w:rStyle w:val="CommentReference"/>
          <w:rFonts w:asciiTheme="minorHAnsi" w:hAnsiTheme="minorHAnsi"/>
          <w:color w:val="auto"/>
          <w:kern w:val="2"/>
          <w14:ligatures w14:val="standardContextual"/>
        </w:rPr>
        <w:t xml:space="preserve"> </w:t>
      </w:r>
      <w:hyperlink r:id="rId25" w:history="1">
        <w:r w:rsidR="00E80191" w:rsidRPr="61716D05">
          <w:rPr>
            <w:rStyle w:val="Hyperlink"/>
            <w:rFonts w:eastAsia="Times New Roman"/>
            <w:i/>
            <w:iCs/>
          </w:rPr>
          <w:t>Privacy Act 1988</w:t>
        </w:r>
      </w:hyperlink>
      <w:r w:rsidR="00FF5DFB" w:rsidRPr="61716D05">
        <w:rPr>
          <w:rFonts w:eastAsia="Times New Roman"/>
        </w:rPr>
        <w:t xml:space="preserve"> </w:t>
      </w:r>
      <w:r w:rsidRPr="61716D05">
        <w:rPr>
          <w:rFonts w:eastAsia="Times New Roman"/>
        </w:rPr>
        <w:t>(</w:t>
      </w:r>
      <w:proofErr w:type="spellStart"/>
      <w:r w:rsidRPr="61716D05">
        <w:rPr>
          <w:rFonts w:eastAsia="Times New Roman"/>
        </w:rPr>
        <w:t>Cth</w:t>
      </w:r>
      <w:proofErr w:type="spellEnd"/>
      <w:r w:rsidRPr="61716D05">
        <w:rPr>
          <w:rFonts w:eastAsia="Times New Roman"/>
        </w:rPr>
        <w:t xml:space="preserve">) and the </w:t>
      </w:r>
      <w:hyperlink r:id="rId26">
        <w:r w:rsidRPr="61716D05">
          <w:rPr>
            <w:rFonts w:eastAsia="Times New Roman"/>
          </w:rPr>
          <w:t>Australian Privacy Principles</w:t>
        </w:r>
      </w:hyperlink>
      <w:r w:rsidRPr="61716D05">
        <w:rPr>
          <w:rFonts w:eastAsia="Times New Roman"/>
        </w:rPr>
        <w:t xml:space="preserve"> (APPs). This includes how Australian Government agencies will collect, use, and disclose patient </w:t>
      </w:r>
      <w:r w:rsidR="00C119EC" w:rsidRPr="61716D05">
        <w:rPr>
          <w:rFonts w:eastAsia="Times New Roman"/>
        </w:rPr>
        <w:t xml:space="preserve">and provider </w:t>
      </w:r>
      <w:r w:rsidRPr="61716D05">
        <w:rPr>
          <w:rFonts w:eastAsia="Times New Roman"/>
        </w:rPr>
        <w:t>information as part of the MyMedicare program. Patients should read this privacy notice together with other privacy-related information that their medical practice gives them about how they manage a patient’s personal information.</w:t>
      </w:r>
      <w:r w:rsidR="0084246A" w:rsidRPr="61716D05">
        <w:rPr>
          <w:rFonts w:eastAsia="Times New Roman"/>
        </w:rPr>
        <w:t xml:space="preserve"> </w:t>
      </w:r>
    </w:p>
    <w:p w14:paraId="3C493E40" w14:textId="0F1FE4A8" w:rsidR="00817CB4" w:rsidRPr="001150D6" w:rsidRDefault="00817CB4" w:rsidP="001212B9">
      <w:pPr>
        <w:keepNext/>
        <w:rPr>
          <w:rFonts w:eastAsia="Times New Roman" w:cs="Arial"/>
          <w:szCs w:val="22"/>
        </w:rPr>
      </w:pPr>
      <w:r w:rsidRPr="001150D6">
        <w:rPr>
          <w:rFonts w:eastAsia="Times New Roman" w:cs="Arial"/>
          <w:szCs w:val="22"/>
        </w:rPr>
        <w:t>The department may use a patient’s personal information to enable:</w:t>
      </w:r>
    </w:p>
    <w:p w14:paraId="60E5F4D7" w14:textId="77777777" w:rsidR="00817CB4" w:rsidRPr="00B34F70" w:rsidRDefault="00817CB4" w:rsidP="61716D05">
      <w:pPr>
        <w:pStyle w:val="ListBullet"/>
        <w:tabs>
          <w:tab w:val="clear" w:pos="360"/>
          <w:tab w:val="num" w:pos="1074"/>
        </w:tabs>
        <w:ind w:left="714" w:hanging="357"/>
      </w:pPr>
      <w:r w:rsidRPr="61716D05">
        <w:t xml:space="preserve">MyMedicare program </w:t>
      </w:r>
      <w:r w:rsidRPr="00B34F70">
        <w:t>management, monitoring and reporting.</w:t>
      </w:r>
    </w:p>
    <w:p w14:paraId="70EEC2E8" w14:textId="3F77B6CB" w:rsidR="00817CB4" w:rsidRPr="00B34F70" w:rsidRDefault="00817CB4" w:rsidP="001212B9">
      <w:pPr>
        <w:pStyle w:val="ListBullet"/>
        <w:tabs>
          <w:tab w:val="clear" w:pos="360"/>
          <w:tab w:val="num" w:pos="1074"/>
        </w:tabs>
        <w:ind w:left="714" w:hanging="357"/>
      </w:pPr>
      <w:r w:rsidRPr="00B34F70">
        <w:t xml:space="preserve">routine monitoring and reporting for MBS </w:t>
      </w:r>
      <w:r w:rsidR="005C34DA" w:rsidRPr="00B34F70">
        <w:t xml:space="preserve">or DVA </w:t>
      </w:r>
      <w:r w:rsidRPr="00B34F70">
        <w:t xml:space="preserve">claims, or </w:t>
      </w:r>
      <w:r w:rsidR="00DA0159" w:rsidRPr="00B34F70">
        <w:t>General Practice in Aged Care</w:t>
      </w:r>
      <w:r w:rsidR="00B05CE7" w:rsidRPr="00B34F70">
        <w:t xml:space="preserve"> </w:t>
      </w:r>
      <w:r w:rsidR="00DA0159" w:rsidRPr="00B34F70">
        <w:t>Incentive</w:t>
      </w:r>
      <w:r w:rsidRPr="00B34F70">
        <w:t xml:space="preserve"> payment</w:t>
      </w:r>
      <w:r w:rsidR="001C4B86" w:rsidRPr="00B34F70">
        <w:t>s</w:t>
      </w:r>
    </w:p>
    <w:p w14:paraId="12B82037" w14:textId="77777777" w:rsidR="00817CB4" w:rsidRPr="00B34F70" w:rsidRDefault="00817CB4" w:rsidP="001212B9">
      <w:pPr>
        <w:pStyle w:val="ListBullet"/>
        <w:tabs>
          <w:tab w:val="clear" w:pos="360"/>
          <w:tab w:val="num" w:pos="1074"/>
        </w:tabs>
        <w:ind w:left="714" w:hanging="357"/>
      </w:pPr>
      <w:r w:rsidRPr="00B34F70">
        <w:t>policy analysis</w:t>
      </w:r>
    </w:p>
    <w:p w14:paraId="3CB8A10B" w14:textId="77777777" w:rsidR="00817CB4" w:rsidRPr="00B34F70" w:rsidRDefault="00817CB4" w:rsidP="001212B9">
      <w:pPr>
        <w:pStyle w:val="ListBullet"/>
        <w:tabs>
          <w:tab w:val="clear" w:pos="360"/>
          <w:tab w:val="num" w:pos="1074"/>
        </w:tabs>
        <w:ind w:left="714" w:hanging="357"/>
      </w:pPr>
      <w:r w:rsidRPr="00B34F70">
        <w:t>program compliance and audit</w:t>
      </w:r>
    </w:p>
    <w:p w14:paraId="1206EC47" w14:textId="77777777" w:rsidR="00817CB4" w:rsidRPr="00B34F70" w:rsidRDefault="00817CB4" w:rsidP="001212B9">
      <w:pPr>
        <w:pStyle w:val="ListBullet"/>
        <w:tabs>
          <w:tab w:val="clear" w:pos="360"/>
          <w:tab w:val="num" w:pos="1074"/>
        </w:tabs>
        <w:ind w:left="714" w:hanging="357"/>
      </w:pPr>
      <w:r w:rsidRPr="00B34F70">
        <w:t>evaluation and continuous improvement of the MyMedicare Program</w:t>
      </w:r>
    </w:p>
    <w:p w14:paraId="66138438" w14:textId="5850C606" w:rsidR="00B61289" w:rsidRPr="00B34F70" w:rsidRDefault="00B61289" w:rsidP="61716D05">
      <w:pPr>
        <w:pStyle w:val="ListBullet"/>
        <w:tabs>
          <w:tab w:val="clear" w:pos="360"/>
          <w:tab w:val="num" w:pos="1074"/>
        </w:tabs>
        <w:ind w:left="714" w:hanging="357"/>
      </w:pPr>
      <w:r w:rsidRPr="00B34F70">
        <w:t>MBS payments, DVA payments, or incentives linked to MyMedicare registration including determining whether providers and practice</w:t>
      </w:r>
      <w:r w:rsidR="002559E9" w:rsidRPr="00B34F70">
        <w:t>s</w:t>
      </w:r>
      <w:r w:rsidRPr="00B34F70">
        <w:t xml:space="preserve"> are eligible for incentives or payments</w:t>
      </w:r>
    </w:p>
    <w:p w14:paraId="0332A677" w14:textId="3820E51A" w:rsidR="006E098A" w:rsidRPr="00B34F70" w:rsidRDefault="00817CB4" w:rsidP="001212B9">
      <w:pPr>
        <w:pStyle w:val="ListBullet"/>
        <w:tabs>
          <w:tab w:val="clear" w:pos="360"/>
          <w:tab w:val="num" w:pos="1074"/>
        </w:tabs>
        <w:ind w:left="714" w:hanging="357"/>
      </w:pPr>
      <w:r w:rsidRPr="00B34F70">
        <w:t xml:space="preserve">data sharing to inform policy and program management under secure data sharing arrangements within government (where authorised by the data custodian and in line with </w:t>
      </w:r>
      <w:r w:rsidR="000F7E57" w:rsidRPr="00B34F70">
        <w:t xml:space="preserve">any </w:t>
      </w:r>
      <w:r w:rsidR="00C70663" w:rsidRPr="00B34F70">
        <w:t xml:space="preserve">relevant </w:t>
      </w:r>
      <w:r w:rsidRPr="00B34F70">
        <w:t>legislative authority).</w:t>
      </w:r>
    </w:p>
    <w:p w14:paraId="3417C910" w14:textId="046FAED0" w:rsidR="00D1512C" w:rsidRPr="009459BC" w:rsidRDefault="00D1512C" w:rsidP="001212B9">
      <w:pPr>
        <w:keepNext/>
        <w:rPr>
          <w:rFonts w:eastAsia="Times New Roman" w:cs="Arial"/>
          <w:color w:val="auto"/>
          <w:szCs w:val="22"/>
          <w:lang w:eastAsia="en-AU"/>
        </w:rPr>
      </w:pPr>
      <w:r w:rsidRPr="009459BC">
        <w:rPr>
          <w:rFonts w:eastAsia="Times New Roman" w:cs="Arial"/>
          <w:color w:val="auto"/>
          <w:szCs w:val="22"/>
          <w:lang w:eastAsia="en-AU"/>
        </w:rPr>
        <w:t>Services Australia uses personal</w:t>
      </w:r>
      <w:r w:rsidRPr="002D330A">
        <w:rPr>
          <w:color w:val="auto"/>
          <w:szCs w:val="22"/>
        </w:rPr>
        <w:t xml:space="preserve"> information </w:t>
      </w:r>
      <w:r w:rsidRPr="009459BC">
        <w:rPr>
          <w:rFonts w:eastAsia="Times New Roman" w:cs="Arial"/>
          <w:color w:val="auto"/>
          <w:szCs w:val="22"/>
          <w:lang w:eastAsia="en-AU"/>
        </w:rPr>
        <w:t>to:</w:t>
      </w:r>
    </w:p>
    <w:p w14:paraId="0F893DFC" w14:textId="067984B4" w:rsidR="00D1512C" w:rsidRPr="00742F75" w:rsidRDefault="00D1512C" w:rsidP="001212B9">
      <w:pPr>
        <w:pStyle w:val="ListBullet"/>
        <w:tabs>
          <w:tab w:val="clear" w:pos="360"/>
          <w:tab w:val="num" w:pos="1074"/>
        </w:tabs>
        <w:ind w:left="714" w:hanging="357"/>
        <w:contextualSpacing w:val="0"/>
        <w:rPr>
          <w:rFonts w:cs="Arial"/>
        </w:rPr>
      </w:pPr>
      <w:r w:rsidRPr="0B5906B5">
        <w:rPr>
          <w:rFonts w:cs="Arial"/>
        </w:rPr>
        <w:t xml:space="preserve">Assess </w:t>
      </w:r>
      <w:r w:rsidR="001C5505" w:rsidRPr="0B5906B5">
        <w:rPr>
          <w:rFonts w:cs="Arial"/>
        </w:rPr>
        <w:t>a patient’s</w:t>
      </w:r>
      <w:r w:rsidRPr="0B5906B5">
        <w:rPr>
          <w:rFonts w:cs="Arial"/>
        </w:rPr>
        <w:t xml:space="preserve"> eligibility for Medicare Benefits Schedule (MBS)</w:t>
      </w:r>
      <w:r w:rsidR="00C905A4" w:rsidRPr="0B5906B5">
        <w:rPr>
          <w:rFonts w:cs="Arial"/>
        </w:rPr>
        <w:t xml:space="preserve"> </w:t>
      </w:r>
      <w:proofErr w:type="gramStart"/>
      <w:r w:rsidR="00C905A4" w:rsidRPr="0B5906B5">
        <w:rPr>
          <w:rFonts w:cs="Arial"/>
        </w:rPr>
        <w:t>items</w:t>
      </w:r>
      <w:r w:rsidRPr="0B5906B5">
        <w:rPr>
          <w:rFonts w:cs="Arial"/>
        </w:rPr>
        <w:t xml:space="preserve">,  </w:t>
      </w:r>
      <w:r w:rsidR="00B34F70" w:rsidRPr="0B5906B5">
        <w:rPr>
          <w:rFonts w:cs="Arial"/>
        </w:rPr>
        <w:t>MyMedicare</w:t>
      </w:r>
      <w:proofErr w:type="gramEnd"/>
      <w:r w:rsidR="00B34F70" w:rsidRPr="0B5906B5">
        <w:rPr>
          <w:rFonts w:cs="Arial"/>
        </w:rPr>
        <w:t xml:space="preserve"> i</w:t>
      </w:r>
      <w:r w:rsidRPr="0B5906B5">
        <w:rPr>
          <w:rFonts w:cs="Arial"/>
        </w:rPr>
        <w:t>ncentive</w:t>
      </w:r>
      <w:r w:rsidR="00B34F70" w:rsidRPr="0B5906B5">
        <w:rPr>
          <w:rFonts w:cs="Arial"/>
        </w:rPr>
        <w:t xml:space="preserve"> programs</w:t>
      </w:r>
      <w:r w:rsidRPr="0B5906B5">
        <w:rPr>
          <w:rFonts w:cs="Arial"/>
        </w:rPr>
        <w:t xml:space="preserve"> and DVA funded services linked to MyMedicare registration. </w:t>
      </w:r>
    </w:p>
    <w:p w14:paraId="44DBA510" w14:textId="73226913" w:rsidR="00817CB4" w:rsidRPr="009459BC" w:rsidRDefault="00817CB4" w:rsidP="001212B9">
      <w:pPr>
        <w:rPr>
          <w:rFonts w:eastAsia="Times New Roman"/>
        </w:rPr>
      </w:pPr>
      <w:r w:rsidRPr="4C05EBAE">
        <w:rPr>
          <w:rFonts w:eastAsia="Times New Roman"/>
        </w:rPr>
        <w:t xml:space="preserve">Further information </w:t>
      </w:r>
      <w:r w:rsidR="00B6709A" w:rsidRPr="4C05EBAE">
        <w:rPr>
          <w:rFonts w:eastAsia="Times New Roman"/>
        </w:rPr>
        <w:t xml:space="preserve">about how </w:t>
      </w:r>
      <w:r w:rsidRPr="4C05EBAE">
        <w:rPr>
          <w:rFonts w:eastAsia="Times New Roman"/>
        </w:rPr>
        <w:t xml:space="preserve">Australian Government agencies involved with MyMedicare </w:t>
      </w:r>
      <w:r w:rsidR="7B756FF8" w:rsidRPr="4C05EBAE">
        <w:rPr>
          <w:rFonts w:eastAsia="Times New Roman"/>
        </w:rPr>
        <w:t>manage</w:t>
      </w:r>
      <w:r w:rsidR="00B6709A" w:rsidRPr="4C05EBAE">
        <w:rPr>
          <w:rFonts w:eastAsia="Times New Roman"/>
        </w:rPr>
        <w:t xml:space="preserve"> personal information is</w:t>
      </w:r>
      <w:r w:rsidRPr="4C05EBAE">
        <w:rPr>
          <w:rFonts w:eastAsia="Times New Roman"/>
        </w:rPr>
        <w:t xml:space="preserve"> available from the following websites: </w:t>
      </w:r>
    </w:p>
    <w:p w14:paraId="39581EF8" w14:textId="297122E9" w:rsidR="00817CB4" w:rsidRPr="009459BC" w:rsidRDefault="00817CB4" w:rsidP="001212B9">
      <w:pPr>
        <w:pStyle w:val="ListBullet"/>
        <w:tabs>
          <w:tab w:val="clear" w:pos="360"/>
          <w:tab w:val="num" w:pos="720"/>
        </w:tabs>
        <w:ind w:left="720"/>
        <w:contextualSpacing w:val="0"/>
        <w:rPr>
          <w:rFonts w:cs="Arial"/>
          <w:lang w:val="en"/>
        </w:rPr>
      </w:pPr>
      <w:hyperlink r:id="rId27">
        <w:r w:rsidRPr="165438EC">
          <w:rPr>
            <w:rStyle w:val="Hyperlink"/>
            <w:rFonts w:eastAsia="Arial" w:cs="Arial"/>
          </w:rPr>
          <w:t>Services Australia</w:t>
        </w:r>
      </w:hyperlink>
      <w:r w:rsidRPr="165438EC">
        <w:rPr>
          <w:rFonts w:cs="Arial"/>
          <w:lang w:val="en"/>
        </w:rPr>
        <w:t xml:space="preserve"> </w:t>
      </w:r>
    </w:p>
    <w:p w14:paraId="7F689E7E" w14:textId="3BF03CDB" w:rsidR="00F80CF2" w:rsidRPr="009459BC" w:rsidRDefault="00F80CF2" w:rsidP="001212B9">
      <w:pPr>
        <w:pStyle w:val="ListBullet"/>
        <w:ind w:left="720"/>
        <w:contextualSpacing w:val="0"/>
        <w:rPr>
          <w:rFonts w:cs="Arial"/>
          <w:lang w:eastAsia="en-US"/>
        </w:rPr>
      </w:pPr>
      <w:hyperlink r:id="rId28" w:anchor=":~:text=DVA%20generally%20uses%20and%20discloses,authorised%20by%20the%20Privacy%20Act.">
        <w:r w:rsidRPr="165438EC">
          <w:rPr>
            <w:rStyle w:val="Hyperlink"/>
            <w:rFonts w:eastAsia="Arial" w:cs="Arial"/>
          </w:rPr>
          <w:t>Department of Veterans’ Affairs</w:t>
        </w:r>
      </w:hyperlink>
    </w:p>
    <w:p w14:paraId="04A8E6DD" w14:textId="0EE5946A" w:rsidR="00817CB4" w:rsidRPr="009459BC" w:rsidRDefault="00817CB4" w:rsidP="001212B9">
      <w:pPr>
        <w:pStyle w:val="ListBullet"/>
        <w:ind w:left="720"/>
        <w:contextualSpacing w:val="0"/>
        <w:rPr>
          <w:rFonts w:eastAsia="Arial" w:cs="Arial"/>
        </w:rPr>
      </w:pPr>
      <w:hyperlink r:id="rId29">
        <w:r w:rsidRPr="165438EC">
          <w:rPr>
            <w:rStyle w:val="Hyperlink"/>
            <w:rFonts w:eastAsia="Arial" w:cs="Arial"/>
          </w:rPr>
          <w:t>Australian Digital Health Agency</w:t>
        </w:r>
      </w:hyperlink>
      <w:r w:rsidR="007D69FA" w:rsidRPr="165438EC">
        <w:rPr>
          <w:rStyle w:val="Hyperlink"/>
          <w:rFonts w:eastAsia="Arial" w:cs="Arial"/>
        </w:rPr>
        <w:t xml:space="preserve"> (ADHA)</w:t>
      </w:r>
      <w:r w:rsidR="00037F61" w:rsidRPr="165438EC">
        <w:rPr>
          <w:rStyle w:val="Hyperlink"/>
          <w:rFonts w:eastAsia="Arial" w:cs="Arial"/>
        </w:rPr>
        <w:t>.</w:t>
      </w:r>
    </w:p>
    <w:p w14:paraId="10EA646D" w14:textId="0D28F99D" w:rsidR="00E40C02" w:rsidRPr="0004758E" w:rsidRDefault="00E40C02" w:rsidP="00F5479A">
      <w:r w:rsidRPr="0004758E">
        <w:t>If a patient makes a request via their My Health Record</w:t>
      </w:r>
      <w:r w:rsidR="007D69FA" w:rsidRPr="0004758E">
        <w:t xml:space="preserve"> (managed by ADH</w:t>
      </w:r>
      <w:r w:rsidR="001371EE" w:rsidRPr="0004758E">
        <w:t>A</w:t>
      </w:r>
      <w:r w:rsidR="007D69FA" w:rsidRPr="0004758E">
        <w:t>)</w:t>
      </w:r>
      <w:r w:rsidRPr="0004758E">
        <w:t>, Services Australia will provide information about them to the My Health Record system so that the name of their registered practice and GP will appear in their My Health Record if they choose to have it displayed.</w:t>
      </w:r>
    </w:p>
    <w:p w14:paraId="26FA0E80" w14:textId="77777777" w:rsidR="00A73DE2" w:rsidRPr="00A73DE2" w:rsidRDefault="00A73DE2" w:rsidP="001212B9">
      <w:pPr>
        <w:rPr>
          <w:rFonts w:eastAsia="Times New Roman"/>
          <w:i/>
          <w:iCs/>
        </w:rPr>
      </w:pPr>
      <w:r>
        <w:rPr>
          <w:rFonts w:eastAsia="Times New Roman"/>
          <w:i/>
          <w:iCs/>
        </w:rPr>
        <w:t>Privacy notices</w:t>
      </w:r>
    </w:p>
    <w:p w14:paraId="2892B44E" w14:textId="6D3A82BC" w:rsidR="00775BBF" w:rsidRDefault="00817CB4" w:rsidP="001212B9">
      <w:pPr>
        <w:rPr>
          <w:rFonts w:eastAsia="Times New Roman"/>
          <w:szCs w:val="22"/>
        </w:rPr>
      </w:pPr>
      <w:r w:rsidRPr="007F4BC4">
        <w:rPr>
          <w:rFonts w:eastAsia="Times New Roman"/>
        </w:rPr>
        <w:t xml:space="preserve">A copy of the MyMedicare Privacy Notice can be found at the Department of Health and Aged Care </w:t>
      </w:r>
      <w:hyperlink r:id="rId30" w:history="1">
        <w:r w:rsidRPr="007F4BC4">
          <w:rPr>
            <w:rFonts w:eastAsia="Times New Roman"/>
          </w:rPr>
          <w:t>website</w:t>
        </w:r>
      </w:hyperlink>
      <w:r w:rsidR="00DF4C0C">
        <w:rPr>
          <w:rFonts w:eastAsia="Times New Roman"/>
        </w:rPr>
        <w:t xml:space="preserve"> </w:t>
      </w:r>
      <w:hyperlink r:id="rId31" w:history="1">
        <w:r w:rsidR="00EA199C" w:rsidRPr="009006D0">
          <w:rPr>
            <w:rStyle w:val="Hyperlink"/>
            <w:rFonts w:eastAsia="Times New Roman"/>
            <w:szCs w:val="22"/>
          </w:rPr>
          <w:t>MyMedicare Privacy Notice.</w:t>
        </w:r>
      </w:hyperlink>
    </w:p>
    <w:p w14:paraId="3E33B702" w14:textId="398B1ADF" w:rsidR="00817CB4" w:rsidRDefault="005965A9" w:rsidP="001212B9">
      <w:pPr>
        <w:rPr>
          <w:szCs w:val="22"/>
        </w:rPr>
      </w:pPr>
      <w:r w:rsidRPr="009006D0">
        <w:rPr>
          <w:rFonts w:eastAsia="Times New Roman"/>
          <w:szCs w:val="22"/>
        </w:rPr>
        <w:t xml:space="preserve">A copy of </w:t>
      </w:r>
      <w:r w:rsidR="00A60EA6" w:rsidRPr="009006D0">
        <w:rPr>
          <w:rFonts w:eastAsia="Times New Roman"/>
          <w:szCs w:val="22"/>
        </w:rPr>
        <w:t xml:space="preserve">Services Australia’s </w:t>
      </w:r>
      <w:r w:rsidR="00D5219D" w:rsidRPr="009006D0">
        <w:rPr>
          <w:rFonts w:eastAsia="Times New Roman"/>
          <w:szCs w:val="22"/>
        </w:rPr>
        <w:t xml:space="preserve">Organisation Register Privacy Notice can be found </w:t>
      </w:r>
      <w:r w:rsidR="00B7185F" w:rsidRPr="009006D0">
        <w:rPr>
          <w:rFonts w:eastAsia="Times New Roman"/>
          <w:szCs w:val="22"/>
        </w:rPr>
        <w:t>on the Services Australia website</w:t>
      </w:r>
      <w:r w:rsidR="00D5219D" w:rsidRPr="009006D0">
        <w:rPr>
          <w:rFonts w:eastAsia="Times New Roman"/>
          <w:szCs w:val="22"/>
        </w:rPr>
        <w:t xml:space="preserve">: </w:t>
      </w:r>
      <w:hyperlink r:id="rId32" w:history="1">
        <w:r w:rsidR="00D5219D" w:rsidRPr="00A67B60">
          <w:rPr>
            <w:rStyle w:val="Hyperlink"/>
            <w:szCs w:val="22"/>
          </w:rPr>
          <w:t>Organisation Register for General Practitioners (GPs) and Health Professionals privacy notice</w:t>
        </w:r>
      </w:hyperlink>
      <w:r w:rsidR="00B7185F" w:rsidRPr="00A67B60">
        <w:rPr>
          <w:szCs w:val="22"/>
        </w:rPr>
        <w:t>.</w:t>
      </w:r>
    </w:p>
    <w:p w14:paraId="4E4E0E91" w14:textId="1A662CAE" w:rsidR="000A26CC" w:rsidRDefault="000A26CC" w:rsidP="000A26CC">
      <w:pPr>
        <w:pStyle w:val="Heading1"/>
      </w:pPr>
      <w:bookmarkStart w:id="181" w:name="_Toc214051042"/>
      <w:bookmarkStart w:id="182" w:name="_Toc216708151"/>
      <w:r>
        <w:t>Useful links</w:t>
      </w:r>
      <w:bookmarkEnd w:id="181"/>
      <w:bookmarkEnd w:id="182"/>
    </w:p>
    <w:p w14:paraId="0F69821F" w14:textId="77777777" w:rsidR="00BD3768" w:rsidRPr="00BD3768" w:rsidRDefault="00BD3768" w:rsidP="007A3716">
      <w:pPr>
        <w:numPr>
          <w:ilvl w:val="0"/>
          <w:numId w:val="7"/>
        </w:numPr>
        <w:ind w:hanging="357"/>
      </w:pPr>
      <w:hyperlink r:id="rId33" w:tgtFrame="_blank" w:history="1">
        <w:r w:rsidRPr="00BD3768">
          <w:rPr>
            <w:rStyle w:val="Hyperlink"/>
          </w:rPr>
          <w:t>About the General Practice in Aged Care Incentive - Health professionals - Services Australia</w:t>
        </w:r>
      </w:hyperlink>
      <w:r w:rsidRPr="00BD3768">
        <w:t> </w:t>
      </w:r>
    </w:p>
    <w:p w14:paraId="5DB1A624" w14:textId="77777777" w:rsidR="00BD3768" w:rsidRPr="00BD3768" w:rsidRDefault="00BD3768" w:rsidP="007A3716">
      <w:pPr>
        <w:numPr>
          <w:ilvl w:val="0"/>
          <w:numId w:val="8"/>
        </w:numPr>
        <w:ind w:hanging="357"/>
      </w:pPr>
      <w:hyperlink r:id="rId34" w:tgtFrame="_blank" w:history="1">
        <w:r w:rsidRPr="00BD3768">
          <w:rPr>
            <w:rStyle w:val="Hyperlink"/>
          </w:rPr>
          <w:t>About MyMedicare for health professionals - Health professionals - Services Australia</w:t>
        </w:r>
      </w:hyperlink>
      <w:r w:rsidRPr="00BD3768">
        <w:t> </w:t>
      </w:r>
    </w:p>
    <w:p w14:paraId="033FACD7" w14:textId="77777777" w:rsidR="00BD3768" w:rsidRPr="00BD3768" w:rsidRDefault="00BD3768" w:rsidP="007A3716">
      <w:pPr>
        <w:numPr>
          <w:ilvl w:val="0"/>
          <w:numId w:val="9"/>
        </w:numPr>
        <w:ind w:hanging="357"/>
      </w:pPr>
      <w:hyperlink r:id="rId35" w:tgtFrame="_blank" w:history="1">
        <w:r w:rsidRPr="00BD3768">
          <w:rPr>
            <w:rStyle w:val="Hyperlink"/>
          </w:rPr>
          <w:t>Features of the Organisation Register - Health professionals - Services Australia</w:t>
        </w:r>
      </w:hyperlink>
      <w:r w:rsidRPr="00BD3768">
        <w:t> </w:t>
      </w:r>
    </w:p>
    <w:p w14:paraId="3CD66DF3" w14:textId="77777777" w:rsidR="00BD3768" w:rsidRPr="00BD3768" w:rsidRDefault="00BD3768" w:rsidP="007A3716">
      <w:pPr>
        <w:numPr>
          <w:ilvl w:val="0"/>
          <w:numId w:val="10"/>
        </w:numPr>
        <w:ind w:hanging="357"/>
      </w:pPr>
      <w:hyperlink r:id="rId36" w:tgtFrame="_blank" w:history="1">
        <w:r w:rsidRPr="00BD3768">
          <w:rPr>
            <w:rStyle w:val="Hyperlink"/>
          </w:rPr>
          <w:t>General Practice in Aged Care Incentive - Health professionals - Services Australia</w:t>
        </w:r>
      </w:hyperlink>
      <w:r w:rsidRPr="00BD3768">
        <w:t> </w:t>
      </w:r>
    </w:p>
    <w:p w14:paraId="0944E5D0" w14:textId="77777777" w:rsidR="00BD3768" w:rsidRPr="00BD3768" w:rsidRDefault="00BD3768" w:rsidP="007A3716">
      <w:pPr>
        <w:numPr>
          <w:ilvl w:val="0"/>
          <w:numId w:val="11"/>
        </w:numPr>
        <w:ind w:hanging="357"/>
      </w:pPr>
      <w:hyperlink r:id="rId37" w:tgtFrame="_blank" w:history="1">
        <w:r w:rsidRPr="00BD3768">
          <w:rPr>
            <w:rStyle w:val="Hyperlink"/>
          </w:rPr>
          <w:t>Health care and Medicare - Medicare - Services Australia</w:t>
        </w:r>
      </w:hyperlink>
      <w:r w:rsidRPr="00BD3768">
        <w:t> </w:t>
      </w:r>
    </w:p>
    <w:p w14:paraId="33312193" w14:textId="77777777" w:rsidR="00BD3768" w:rsidRPr="00BD3768" w:rsidRDefault="00BD3768" w:rsidP="007A3716">
      <w:pPr>
        <w:numPr>
          <w:ilvl w:val="0"/>
          <w:numId w:val="12"/>
        </w:numPr>
        <w:ind w:hanging="357"/>
      </w:pPr>
      <w:hyperlink r:id="rId38" w:tgtFrame="_blank" w:history="1">
        <w:r w:rsidRPr="00BD3768">
          <w:rPr>
            <w:rStyle w:val="Hyperlink"/>
          </w:rPr>
          <w:t>MyMedicare Incentives - Health professionals - Services Australia</w:t>
        </w:r>
      </w:hyperlink>
      <w:r w:rsidRPr="00BD3768">
        <w:t> </w:t>
      </w:r>
    </w:p>
    <w:p w14:paraId="7EE1C30A" w14:textId="77777777" w:rsidR="00BD3768" w:rsidRPr="00BD3768" w:rsidRDefault="00BD3768" w:rsidP="007A3716">
      <w:pPr>
        <w:numPr>
          <w:ilvl w:val="0"/>
          <w:numId w:val="13"/>
        </w:numPr>
        <w:ind w:hanging="357"/>
      </w:pPr>
      <w:hyperlink r:id="rId39" w:tgtFrame="_blank" w:history="1">
        <w:r w:rsidRPr="00BD3768">
          <w:rPr>
            <w:rStyle w:val="Hyperlink"/>
          </w:rPr>
          <w:t>Organisation Register for General Practitioners (GPs) and Health Professionals privacy notice - About us - Services Australia</w:t>
        </w:r>
      </w:hyperlink>
      <w:r w:rsidRPr="00BD3768">
        <w:t> </w:t>
      </w:r>
    </w:p>
    <w:p w14:paraId="36045124" w14:textId="77777777" w:rsidR="00BD3768" w:rsidRPr="00BD3768" w:rsidRDefault="00BD3768" w:rsidP="007A3716">
      <w:pPr>
        <w:numPr>
          <w:ilvl w:val="0"/>
          <w:numId w:val="14"/>
        </w:numPr>
        <w:ind w:hanging="357"/>
      </w:pPr>
      <w:hyperlink r:id="rId40" w:tgtFrame="_blank" w:history="1">
        <w:r w:rsidRPr="00BD3768">
          <w:rPr>
            <w:rStyle w:val="Hyperlink"/>
          </w:rPr>
          <w:t>Register for MyMedicare - Services Australia</w:t>
        </w:r>
      </w:hyperlink>
      <w:r w:rsidRPr="00BD3768">
        <w:t> </w:t>
      </w:r>
    </w:p>
    <w:p w14:paraId="5EA9AB51" w14:textId="77777777" w:rsidR="00BD3768" w:rsidRPr="00BD3768" w:rsidRDefault="00BD3768" w:rsidP="007A3716">
      <w:pPr>
        <w:numPr>
          <w:ilvl w:val="0"/>
          <w:numId w:val="15"/>
        </w:numPr>
        <w:ind w:hanging="357"/>
      </w:pPr>
      <w:hyperlink r:id="rId41" w:tgtFrame="_blank" w:history="1">
        <w:r w:rsidRPr="00BD3768">
          <w:rPr>
            <w:rStyle w:val="Hyperlink"/>
          </w:rPr>
          <w:t>Register as an individual practitioner - Health professionals - Services Australia</w:t>
        </w:r>
      </w:hyperlink>
      <w:r w:rsidRPr="00BD3768">
        <w:t> </w:t>
      </w:r>
    </w:p>
    <w:p w14:paraId="2E1E2914" w14:textId="77777777" w:rsidR="00BD3768" w:rsidRPr="00BD3768" w:rsidRDefault="00BD3768" w:rsidP="007A3716">
      <w:pPr>
        <w:numPr>
          <w:ilvl w:val="0"/>
          <w:numId w:val="16"/>
        </w:numPr>
        <w:ind w:hanging="357"/>
      </w:pPr>
      <w:hyperlink r:id="rId42" w:tgtFrame="_blank" w:history="1">
        <w:r w:rsidRPr="00BD3768">
          <w:rPr>
            <w:rStyle w:val="Hyperlink"/>
          </w:rPr>
          <w:t>Register your practice for MyMedicare - Health professionals - Services Australia</w:t>
        </w:r>
      </w:hyperlink>
      <w:r w:rsidRPr="00BD3768">
        <w:t> </w:t>
      </w:r>
    </w:p>
    <w:p w14:paraId="561AB842" w14:textId="77777777" w:rsidR="00BD3768" w:rsidRPr="00BD3768" w:rsidRDefault="00BD3768" w:rsidP="007A3716">
      <w:pPr>
        <w:numPr>
          <w:ilvl w:val="0"/>
          <w:numId w:val="17"/>
        </w:numPr>
        <w:ind w:hanging="357"/>
      </w:pPr>
      <w:hyperlink r:id="rId43" w:tgtFrame="_blank" w:history="1">
        <w:r w:rsidRPr="00BD3768">
          <w:rPr>
            <w:rStyle w:val="Hyperlink"/>
          </w:rPr>
          <w:t>Resources for First Nations People, patients, general practices and health care providers, First Nations People and translated resources</w:t>
        </w:r>
      </w:hyperlink>
      <w:r w:rsidRPr="00BD3768">
        <w:t> </w:t>
      </w:r>
    </w:p>
    <w:p w14:paraId="2E2427EA" w14:textId="15DC8FA4" w:rsidR="00817CB4" w:rsidRPr="001F7637" w:rsidRDefault="00817CB4" w:rsidP="4A455F35">
      <w:pPr>
        <w:pStyle w:val="Heading1"/>
        <w:spacing w:before="120"/>
      </w:pPr>
      <w:bookmarkStart w:id="183" w:name="_Toc167109458"/>
      <w:bookmarkStart w:id="184" w:name="_Toc170120037"/>
      <w:bookmarkStart w:id="185" w:name="_Toc170817178"/>
      <w:bookmarkStart w:id="186" w:name="_Toc214051043"/>
      <w:bookmarkStart w:id="187" w:name="_Toc216708152"/>
      <w:bookmarkStart w:id="188" w:name="_Toc166066967"/>
      <w:bookmarkStart w:id="189" w:name="_Toc166068383"/>
      <w:bookmarkStart w:id="190" w:name="_Toc166068595"/>
      <w:bookmarkStart w:id="191" w:name="_Toc166069554"/>
      <w:bookmarkStart w:id="192" w:name="_Hlk165581837"/>
      <w:r w:rsidRPr="001F7637">
        <w:lastRenderedPageBreak/>
        <w:t>Appendix</w:t>
      </w:r>
      <w:bookmarkEnd w:id="183"/>
      <w:bookmarkEnd w:id="184"/>
      <w:bookmarkEnd w:id="185"/>
      <w:bookmarkEnd w:id="186"/>
      <w:bookmarkEnd w:id="187"/>
    </w:p>
    <w:p w14:paraId="3C1C0716" w14:textId="77777777" w:rsidR="00817CB4" w:rsidRPr="001F7637" w:rsidRDefault="00817CB4" w:rsidP="001F7637">
      <w:pPr>
        <w:pStyle w:val="Heading2"/>
      </w:pPr>
      <w:bookmarkStart w:id="193" w:name="_Toc170120038"/>
      <w:bookmarkStart w:id="194" w:name="_Toc170817179"/>
      <w:bookmarkStart w:id="195" w:name="_Toc214051044"/>
      <w:bookmarkStart w:id="196" w:name="_Toc216708153"/>
      <w:r w:rsidRPr="001F7637">
        <w:t>Glossary of terms</w:t>
      </w:r>
      <w:bookmarkEnd w:id="193"/>
      <w:bookmarkEnd w:id="194"/>
      <w:bookmarkEnd w:id="195"/>
      <w:bookmarkEnd w:id="196"/>
    </w:p>
    <w:tbl>
      <w:tblPr>
        <w:tblStyle w:val="DepartmentofHealthtable"/>
        <w:tblW w:w="10201" w:type="dxa"/>
        <w:tblLook w:val="04A0" w:firstRow="1" w:lastRow="0" w:firstColumn="1" w:lastColumn="0" w:noHBand="0" w:noVBand="1"/>
        <w:tblDescription w:val="Add Alt Text describing the content of the table"/>
      </w:tblPr>
      <w:tblGrid>
        <w:gridCol w:w="3261"/>
        <w:gridCol w:w="6940"/>
      </w:tblGrid>
      <w:tr w:rsidR="00DA2546" w:rsidRPr="00843080" w14:paraId="1E0F2B1D" w14:textId="77777777" w:rsidTr="453A4E2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261" w:type="dxa"/>
            <w:hideMark/>
          </w:tcPr>
          <w:p w14:paraId="460F55B4" w14:textId="77777777" w:rsidR="00826D63" w:rsidRPr="00DE7EA6" w:rsidRDefault="00826D63" w:rsidP="00826D63">
            <w:pPr>
              <w:jc w:val="center"/>
              <w:textAlignment w:val="baseline"/>
              <w:rPr>
                <w:rFonts w:cs="Arial"/>
                <w:color w:val="auto"/>
                <w:szCs w:val="22"/>
              </w:rPr>
            </w:pPr>
            <w:r w:rsidRPr="00DE7EA6">
              <w:rPr>
                <w:rFonts w:cs="Arial"/>
                <w:b/>
                <w:bCs/>
                <w:color w:val="FFFFFF"/>
                <w:szCs w:val="22"/>
              </w:rPr>
              <w:t>Term </w:t>
            </w:r>
          </w:p>
        </w:tc>
        <w:tc>
          <w:tcPr>
            <w:tcW w:w="6940" w:type="dxa"/>
            <w:hideMark/>
          </w:tcPr>
          <w:p w14:paraId="5557A2D8" w14:textId="77777777" w:rsidR="00826D63" w:rsidRPr="00DE7EA6" w:rsidRDefault="00826D63" w:rsidP="00826D63">
            <w:pPr>
              <w:jc w:val="center"/>
              <w:textAlignment w:val="baseline"/>
              <w:cnfStyle w:val="100000000000" w:firstRow="1" w:lastRow="0" w:firstColumn="0" w:lastColumn="0" w:oddVBand="0" w:evenVBand="0" w:oddHBand="0" w:evenHBand="0" w:firstRowFirstColumn="0" w:firstRowLastColumn="0" w:lastRowFirstColumn="0" w:lastRowLastColumn="0"/>
              <w:rPr>
                <w:rFonts w:cs="Arial"/>
                <w:color w:val="auto"/>
                <w:szCs w:val="22"/>
              </w:rPr>
            </w:pPr>
            <w:r w:rsidRPr="00DE7EA6">
              <w:rPr>
                <w:rFonts w:cs="Arial"/>
                <w:b/>
                <w:bCs/>
                <w:color w:val="FFFFFF"/>
                <w:szCs w:val="22"/>
              </w:rPr>
              <w:t>Definition</w:t>
            </w:r>
            <w:r w:rsidRPr="00DE7EA6">
              <w:rPr>
                <w:rFonts w:cs="Arial"/>
                <w:color w:val="FFFFFF"/>
                <w:szCs w:val="22"/>
              </w:rPr>
              <w:t> </w:t>
            </w:r>
          </w:p>
        </w:tc>
      </w:tr>
      <w:tr w:rsidR="00DA2546" w:rsidRPr="00843080" w14:paraId="750B7515"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26568155" w14:textId="77777777" w:rsidR="00826D63" w:rsidRPr="00DE7EA6" w:rsidRDefault="00826D63" w:rsidP="00826D63">
            <w:pPr>
              <w:textAlignment w:val="baseline"/>
              <w:rPr>
                <w:rFonts w:cs="Arial"/>
                <w:color w:val="auto"/>
                <w:szCs w:val="22"/>
              </w:rPr>
            </w:pPr>
            <w:r w:rsidRPr="00DE7EA6">
              <w:rPr>
                <w:rFonts w:cs="Arial"/>
                <w:color w:val="000000"/>
                <w:szCs w:val="22"/>
              </w:rPr>
              <w:t>Accreditation </w:t>
            </w:r>
          </w:p>
        </w:tc>
        <w:tc>
          <w:tcPr>
            <w:tcW w:w="6940" w:type="dxa"/>
            <w:hideMark/>
          </w:tcPr>
          <w:p w14:paraId="5FAC6E2C"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An independent assessment and recognition that a practice meets the requirements of governing industry standards as set by the Royal Australian College of General Practitioners. </w:t>
            </w:r>
          </w:p>
        </w:tc>
      </w:tr>
      <w:tr w:rsidR="00DA2546" w:rsidRPr="00843080" w14:paraId="47326E7B"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397A46F" w14:textId="77777777" w:rsidR="00826D63" w:rsidRPr="00DE7EA6" w:rsidRDefault="00826D63" w:rsidP="00826D63">
            <w:pPr>
              <w:textAlignment w:val="baseline"/>
              <w:rPr>
                <w:rFonts w:cs="Arial"/>
                <w:color w:val="auto"/>
                <w:szCs w:val="22"/>
              </w:rPr>
            </w:pPr>
            <w:r w:rsidRPr="00DE7EA6">
              <w:rPr>
                <w:rFonts w:cs="Arial"/>
                <w:color w:val="000000"/>
                <w:szCs w:val="22"/>
              </w:rPr>
              <w:t>Accrediting agency </w:t>
            </w:r>
          </w:p>
        </w:tc>
        <w:tc>
          <w:tcPr>
            <w:tcW w:w="6940" w:type="dxa"/>
            <w:hideMark/>
          </w:tcPr>
          <w:p w14:paraId="7B8C0F43" w14:textId="77777777" w:rsidR="00826D63" w:rsidRPr="00DE7EA6" w:rsidRDefault="00826D63"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61716D05">
              <w:rPr>
                <w:rFonts w:cs="Arial"/>
              </w:rPr>
              <w:t>An independent agency from which practices can attain accreditation against the RACGP standards for general practice. </w:t>
            </w:r>
          </w:p>
        </w:tc>
      </w:tr>
      <w:tr w:rsidR="00DA2546" w:rsidRPr="00843080" w14:paraId="6F71227D"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74C5494F" w14:textId="77777777" w:rsidR="00826D63" w:rsidRPr="00DE7EA6" w:rsidRDefault="00826D63" w:rsidP="00826D63">
            <w:pPr>
              <w:textAlignment w:val="baseline"/>
              <w:rPr>
                <w:rFonts w:cs="Arial"/>
                <w:color w:val="auto"/>
                <w:szCs w:val="22"/>
              </w:rPr>
            </w:pPr>
            <w:r w:rsidRPr="00DE7EA6">
              <w:rPr>
                <w:rFonts w:cs="Arial"/>
                <w:color w:val="000000"/>
                <w:szCs w:val="22"/>
              </w:rPr>
              <w:t>Adult patient </w:t>
            </w:r>
          </w:p>
        </w:tc>
        <w:tc>
          <w:tcPr>
            <w:tcW w:w="6940" w:type="dxa"/>
            <w:hideMark/>
          </w:tcPr>
          <w:p w14:paraId="4F9A59BA"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For the purposes of MyMedicare, a patient who is 14 years of age and over. </w:t>
            </w:r>
          </w:p>
        </w:tc>
      </w:tr>
      <w:tr w:rsidR="00DA2546" w:rsidRPr="00843080" w14:paraId="791A98A1"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EFB9C18" w14:textId="77777777" w:rsidR="00826D63" w:rsidRPr="00DE7EA6" w:rsidRDefault="00826D63" w:rsidP="00826D63">
            <w:pPr>
              <w:textAlignment w:val="baseline"/>
              <w:rPr>
                <w:rFonts w:cs="Arial"/>
                <w:color w:val="auto"/>
                <w:szCs w:val="22"/>
              </w:rPr>
            </w:pPr>
            <w:r w:rsidRPr="00DE7EA6">
              <w:rPr>
                <w:rFonts w:cs="Arial"/>
                <w:color w:val="000000"/>
                <w:szCs w:val="22"/>
              </w:rPr>
              <w:t>Child patient </w:t>
            </w:r>
          </w:p>
        </w:tc>
        <w:tc>
          <w:tcPr>
            <w:tcW w:w="6940" w:type="dxa"/>
            <w:hideMark/>
          </w:tcPr>
          <w:p w14:paraId="55A0138B" w14:textId="77777777" w:rsidR="00826D63" w:rsidRPr="00DE7EA6" w:rsidRDefault="00826D63"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DE7EA6">
              <w:rPr>
                <w:rFonts w:cs="Arial"/>
                <w:color w:val="000000"/>
                <w:szCs w:val="22"/>
              </w:rPr>
              <w:t>A patient who is under 14 years of age. </w:t>
            </w:r>
          </w:p>
        </w:tc>
      </w:tr>
      <w:tr w:rsidR="00DA2546" w:rsidRPr="00843080" w14:paraId="2762DEF2"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0C5E503A" w14:textId="18B7C50F" w:rsidR="00826D63" w:rsidRPr="00DE7EA6" w:rsidRDefault="00826D63" w:rsidP="00826D63">
            <w:pPr>
              <w:textAlignment w:val="baseline"/>
              <w:rPr>
                <w:rFonts w:cs="Arial"/>
                <w:color w:val="auto"/>
                <w:szCs w:val="22"/>
              </w:rPr>
            </w:pPr>
            <w:r w:rsidRPr="00DE7EA6">
              <w:rPr>
                <w:rFonts w:cs="Arial"/>
                <w:color w:val="000000"/>
                <w:szCs w:val="22"/>
              </w:rPr>
              <w:t xml:space="preserve">Chronic </w:t>
            </w:r>
            <w:r w:rsidR="00250E25" w:rsidRPr="00DE7EA6">
              <w:rPr>
                <w:rFonts w:cs="Arial"/>
                <w:color w:val="000000"/>
                <w:szCs w:val="22"/>
              </w:rPr>
              <w:t>condition </w:t>
            </w:r>
          </w:p>
        </w:tc>
        <w:tc>
          <w:tcPr>
            <w:tcW w:w="6940" w:type="dxa"/>
            <w:hideMark/>
          </w:tcPr>
          <w:p w14:paraId="19387EBD" w14:textId="6DC7A49B" w:rsidR="00826D63" w:rsidRPr="00DE7EA6" w:rsidRDefault="00826D63" w:rsidP="61716D05">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61716D05">
              <w:rPr>
                <w:rFonts w:cs="Arial"/>
              </w:rPr>
              <w:t xml:space="preserve">A chronic </w:t>
            </w:r>
            <w:r w:rsidR="00250E25" w:rsidRPr="61716D05">
              <w:rPr>
                <w:rFonts w:cs="Arial"/>
              </w:rPr>
              <w:t xml:space="preserve">condition </w:t>
            </w:r>
            <w:r w:rsidRPr="61716D05">
              <w:rPr>
                <w:rFonts w:cs="Arial"/>
              </w:rPr>
              <w:t>is a disease or condition that has been, or is likely to be, present for at least 6 months or is terminal. Whether a patient meets the eligibility requirement of having a chronic or terminal condition is for a GP to determine using their clinical judgement. </w:t>
            </w:r>
          </w:p>
        </w:tc>
      </w:tr>
      <w:tr w:rsidR="00DA2546" w:rsidRPr="00843080" w14:paraId="6B42332D"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170FABEE" w14:textId="0776547D" w:rsidR="00826D63" w:rsidRPr="00DE7EA6" w:rsidRDefault="00826D63" w:rsidP="00826D63">
            <w:pPr>
              <w:textAlignment w:val="baseline"/>
              <w:rPr>
                <w:rFonts w:cs="Arial"/>
                <w:color w:val="auto"/>
                <w:szCs w:val="22"/>
              </w:rPr>
            </w:pPr>
            <w:r w:rsidRPr="00DE7EA6">
              <w:rPr>
                <w:rFonts w:cs="Arial"/>
                <w:color w:val="000000"/>
                <w:szCs w:val="22"/>
              </w:rPr>
              <w:t xml:space="preserve">Chronic </w:t>
            </w:r>
            <w:r w:rsidR="00250E25" w:rsidRPr="00DE7EA6">
              <w:rPr>
                <w:rFonts w:cs="Arial"/>
                <w:color w:val="000000"/>
                <w:szCs w:val="22"/>
              </w:rPr>
              <w:t xml:space="preserve">condition </w:t>
            </w:r>
            <w:r w:rsidRPr="00DE7EA6">
              <w:rPr>
                <w:rFonts w:cs="Arial"/>
                <w:color w:val="000000"/>
                <w:szCs w:val="22"/>
              </w:rPr>
              <w:t>management </w:t>
            </w:r>
          </w:p>
        </w:tc>
        <w:tc>
          <w:tcPr>
            <w:tcW w:w="6940" w:type="dxa"/>
            <w:hideMark/>
          </w:tcPr>
          <w:p w14:paraId="4F437DE9" w14:textId="651E7592" w:rsidR="00826D63" w:rsidRPr="00DE7EA6" w:rsidRDefault="00813A5D"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008F627F">
              <w:rPr>
                <w:rFonts w:cs="Arial"/>
              </w:rPr>
              <w:t xml:space="preserve">The </w:t>
            </w:r>
            <w:r w:rsidR="00826D63" w:rsidRPr="008F627F">
              <w:rPr>
                <w:rFonts w:cs="Arial"/>
              </w:rPr>
              <w:t>plan</w:t>
            </w:r>
            <w:r w:rsidRPr="008F627F">
              <w:rPr>
                <w:rFonts w:cs="Arial"/>
              </w:rPr>
              <w:t>ning</w:t>
            </w:r>
            <w:r w:rsidR="00826D63" w:rsidRPr="008F627F">
              <w:rPr>
                <w:rFonts w:cs="Arial"/>
              </w:rPr>
              <w:t xml:space="preserve"> and coordinat</w:t>
            </w:r>
            <w:r w:rsidRPr="008F627F">
              <w:rPr>
                <w:rFonts w:cs="Arial"/>
              </w:rPr>
              <w:t>ion</w:t>
            </w:r>
            <w:r w:rsidR="00826D63" w:rsidRPr="008F627F">
              <w:rPr>
                <w:rFonts w:cs="Arial"/>
              </w:rPr>
              <w:t xml:space="preserve"> </w:t>
            </w:r>
            <w:r w:rsidRPr="008F627F">
              <w:rPr>
                <w:rFonts w:cs="Arial"/>
              </w:rPr>
              <w:t xml:space="preserve">of </w:t>
            </w:r>
            <w:r w:rsidR="00826D63" w:rsidRPr="008F627F">
              <w:rPr>
                <w:rFonts w:cs="Arial"/>
              </w:rPr>
              <w:t xml:space="preserve">healthcare </w:t>
            </w:r>
            <w:r w:rsidRPr="008F627F">
              <w:rPr>
                <w:rFonts w:cs="Arial"/>
              </w:rPr>
              <w:t>for</w:t>
            </w:r>
            <w:r w:rsidR="00826D63" w:rsidRPr="008F627F">
              <w:rPr>
                <w:rFonts w:cs="Arial"/>
              </w:rPr>
              <w:t xml:space="preserve"> patients with chronic or terminal medical conditions.  </w:t>
            </w:r>
          </w:p>
        </w:tc>
      </w:tr>
      <w:tr w:rsidR="00DA2546" w:rsidRPr="00843080" w14:paraId="69E28E2C"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65B235E3" w14:textId="77777777" w:rsidR="00826D63" w:rsidRPr="00DE7EA6" w:rsidRDefault="00826D63" w:rsidP="00826D63">
            <w:pPr>
              <w:textAlignment w:val="baseline"/>
              <w:rPr>
                <w:rFonts w:cs="Arial"/>
                <w:color w:val="auto"/>
                <w:szCs w:val="22"/>
              </w:rPr>
            </w:pPr>
            <w:r w:rsidRPr="00DE7EA6">
              <w:rPr>
                <w:rFonts w:cs="Arial"/>
                <w:color w:val="auto"/>
                <w:szCs w:val="22"/>
              </w:rPr>
              <w:t>DVA </w:t>
            </w:r>
          </w:p>
        </w:tc>
        <w:tc>
          <w:tcPr>
            <w:tcW w:w="6940" w:type="dxa"/>
            <w:hideMark/>
          </w:tcPr>
          <w:p w14:paraId="00CA3F14"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auto"/>
                <w:szCs w:val="22"/>
              </w:rPr>
              <w:t>Department of Veterans’ Affairs </w:t>
            </w:r>
          </w:p>
        </w:tc>
      </w:tr>
      <w:tr w:rsidR="00DA2546" w:rsidRPr="00843080" w14:paraId="74CCC00B"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37518C2" w14:textId="77777777" w:rsidR="00826D63" w:rsidRPr="00DE7EA6" w:rsidRDefault="00826D63" w:rsidP="00826D63">
            <w:pPr>
              <w:textAlignment w:val="baseline"/>
              <w:rPr>
                <w:rFonts w:cs="Arial"/>
                <w:color w:val="auto"/>
                <w:szCs w:val="22"/>
              </w:rPr>
            </w:pPr>
            <w:r w:rsidRPr="00DE7EA6">
              <w:rPr>
                <w:rFonts w:cs="Arial"/>
                <w:color w:val="000000"/>
                <w:szCs w:val="22"/>
              </w:rPr>
              <w:t>Eligible provider </w:t>
            </w:r>
          </w:p>
        </w:tc>
        <w:tc>
          <w:tcPr>
            <w:tcW w:w="6940" w:type="dxa"/>
            <w:hideMark/>
          </w:tcPr>
          <w:p w14:paraId="2E43A990" w14:textId="0EFB6E6A" w:rsidR="0035277D" w:rsidRPr="00DE7EA6" w:rsidRDefault="007D2502"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000000"/>
              </w:rPr>
            </w:pPr>
            <w:r w:rsidRPr="61716D05">
              <w:rPr>
                <w:rFonts w:cs="Arial"/>
              </w:rPr>
              <w:t>Medical Practitioner who holds an eligible speciality code as</w:t>
            </w:r>
            <w:r w:rsidR="004004AF" w:rsidRPr="61716D05">
              <w:rPr>
                <w:rFonts w:cs="Arial"/>
              </w:rPr>
              <w:t xml:space="preserve"> linked to the pr</w:t>
            </w:r>
            <w:r w:rsidR="006C1E18" w:rsidRPr="61716D05">
              <w:rPr>
                <w:rFonts w:cs="Arial"/>
              </w:rPr>
              <w:t>actice in the Organisation register. Eligible providers can be vocationally registered GP, non-vocationally registered GP or GP regist</w:t>
            </w:r>
            <w:r w:rsidR="006F28DE" w:rsidRPr="61716D05">
              <w:rPr>
                <w:rFonts w:cs="Arial"/>
              </w:rPr>
              <w:t xml:space="preserve">rar. </w:t>
            </w:r>
            <w:r w:rsidR="00EC2BE5" w:rsidRPr="61716D05">
              <w:rPr>
                <w:rFonts w:cs="Arial"/>
              </w:rPr>
              <w:t>Providers must have a valid provider number and be eligible to deliver MBS or DVA equivalent services.</w:t>
            </w:r>
            <w:r w:rsidR="0035277D" w:rsidRPr="61716D05">
              <w:rPr>
                <w:rFonts w:cs="Arial"/>
              </w:rPr>
              <w:t xml:space="preserve"> </w:t>
            </w:r>
          </w:p>
        </w:tc>
      </w:tr>
      <w:tr w:rsidR="00DA2546" w:rsidRPr="00843080" w14:paraId="3747CF9A"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6DF051D1" w14:textId="77777777" w:rsidR="00826D63" w:rsidRPr="00DE7EA6" w:rsidRDefault="00826D63" w:rsidP="00826D63">
            <w:pPr>
              <w:textAlignment w:val="baseline"/>
              <w:rPr>
                <w:rFonts w:cs="Arial"/>
                <w:color w:val="auto"/>
                <w:szCs w:val="22"/>
              </w:rPr>
            </w:pPr>
            <w:r w:rsidRPr="00DE7EA6">
              <w:rPr>
                <w:rFonts w:cs="Arial"/>
                <w:color w:val="000000"/>
                <w:szCs w:val="22"/>
              </w:rPr>
              <w:t>Family and domestic violence </w:t>
            </w:r>
          </w:p>
        </w:tc>
        <w:tc>
          <w:tcPr>
            <w:tcW w:w="6940" w:type="dxa"/>
            <w:hideMark/>
          </w:tcPr>
          <w:p w14:paraId="377FA774" w14:textId="77777777" w:rsidR="00826D63" w:rsidRPr="00DE7EA6" w:rsidRDefault="00826D63" w:rsidP="453A4E23">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453A4E23">
              <w:rPr>
                <w:rFonts w:cs="Arial"/>
              </w:rPr>
              <w:t>Behaviour that is violent, threatening, coercive, controlling or causes a person to be fearful. </w:t>
            </w:r>
          </w:p>
        </w:tc>
      </w:tr>
      <w:tr w:rsidR="00DA2546" w:rsidRPr="00843080" w14:paraId="36E8173E"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8F42534" w14:textId="77777777" w:rsidR="00826D63" w:rsidRPr="00DE7EA6" w:rsidRDefault="00826D63" w:rsidP="00826D63">
            <w:pPr>
              <w:textAlignment w:val="baseline"/>
              <w:rPr>
                <w:rFonts w:cs="Arial"/>
                <w:color w:val="auto"/>
                <w:szCs w:val="22"/>
              </w:rPr>
            </w:pPr>
            <w:r w:rsidRPr="00F37F2C">
              <w:rPr>
                <w:rFonts w:cs="Arial"/>
                <w:color w:val="000000"/>
                <w:szCs w:val="22"/>
              </w:rPr>
              <w:t>General practice </w:t>
            </w:r>
          </w:p>
        </w:tc>
        <w:tc>
          <w:tcPr>
            <w:tcW w:w="6940" w:type="dxa"/>
            <w:hideMark/>
          </w:tcPr>
          <w:p w14:paraId="767801CA" w14:textId="77777777" w:rsidR="00B27D21" w:rsidRPr="00194BEF" w:rsidRDefault="001A0861"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000000"/>
              </w:rPr>
            </w:pPr>
            <w:r w:rsidRPr="61716D05">
              <w:rPr>
                <w:rFonts w:cs="Arial"/>
              </w:rPr>
              <w:t xml:space="preserve">General practice is defined by the RACGP Standards for </w:t>
            </w:r>
            <w:r w:rsidR="00B27D21" w:rsidRPr="61716D05">
              <w:rPr>
                <w:rFonts w:cs="Arial"/>
              </w:rPr>
              <w:t>general practices and must be an accredited service. For the purposes of accreditation as a general practice a site must:</w:t>
            </w:r>
          </w:p>
          <w:p w14:paraId="5395CEF0" w14:textId="391BEB03" w:rsidR="00992724" w:rsidRPr="00194BEF" w:rsidRDefault="00B27D21" w:rsidP="00877366">
            <w:pPr>
              <w:pStyle w:val="Tablelistbullet"/>
              <w:cnfStyle w:val="000000010000" w:firstRow="0" w:lastRow="0" w:firstColumn="0" w:lastColumn="0" w:oddVBand="0" w:evenVBand="0" w:oddHBand="0" w:evenHBand="1" w:firstRowFirstColumn="0" w:firstRowLastColumn="0" w:lastRowFirstColumn="0" w:lastRowLastColumn="0"/>
            </w:pPr>
            <w:r w:rsidRPr="00194BEF">
              <w:t xml:space="preserve">provide comprehensive, </w:t>
            </w:r>
            <w:r w:rsidR="00826D63" w:rsidRPr="00194BEF">
              <w:t xml:space="preserve">patient-centred, </w:t>
            </w:r>
            <w:r w:rsidR="00992724" w:rsidRPr="00194BEF">
              <w:t>whole-person and continuous care; and</w:t>
            </w:r>
          </w:p>
          <w:p w14:paraId="60387082" w14:textId="118EBED1" w:rsidR="006D0FAC" w:rsidRPr="00877366" w:rsidRDefault="00992724" w:rsidP="00877366">
            <w:pPr>
              <w:pStyle w:val="Tablelistbullet"/>
              <w:cnfStyle w:val="000000010000" w:firstRow="0" w:lastRow="0" w:firstColumn="0" w:lastColumn="0" w:oddVBand="0" w:evenVBand="0" w:oddHBand="0" w:evenHBand="1" w:firstRowFirstColumn="0" w:firstRowLastColumn="0" w:lastRowFirstColumn="0" w:lastRowLastColumn="0"/>
            </w:pPr>
            <w:r w:rsidRPr="00194BEF">
              <w:t xml:space="preserve">its service must be </w:t>
            </w:r>
            <w:r w:rsidR="008965A1" w:rsidRPr="00194BEF">
              <w:t>predominantly* of a general practice nature.</w:t>
            </w:r>
          </w:p>
          <w:p w14:paraId="29442910" w14:textId="118C1404" w:rsidR="00826D63" w:rsidRPr="00DE7EA6" w:rsidRDefault="008965A1" w:rsidP="00843080">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194BEF">
              <w:rPr>
                <w:rFonts w:cs="Arial"/>
                <w:color w:val="000000"/>
                <w:szCs w:val="22"/>
              </w:rPr>
              <w:lastRenderedPageBreak/>
              <w:t>*More than 50 per cent of the practi</w:t>
            </w:r>
            <w:r w:rsidR="00834FC3" w:rsidRPr="00194BEF">
              <w:rPr>
                <w:rFonts w:cs="Arial"/>
                <w:color w:val="000000"/>
                <w:szCs w:val="22"/>
              </w:rPr>
              <w:t xml:space="preserve">ce’s general </w:t>
            </w:r>
            <w:r w:rsidR="005B6351" w:rsidRPr="00194BEF">
              <w:rPr>
                <w:rFonts w:cs="Arial"/>
                <w:color w:val="000000"/>
                <w:szCs w:val="22"/>
              </w:rPr>
              <w:t>practitioners</w:t>
            </w:r>
            <w:r w:rsidR="00834FC3" w:rsidRPr="00194BEF">
              <w:rPr>
                <w:rFonts w:cs="Arial"/>
                <w:color w:val="000000"/>
                <w:szCs w:val="22"/>
              </w:rPr>
              <w:t>’ clinical time (i.e. collectively), and more than 50 p</w:t>
            </w:r>
            <w:r w:rsidR="005B6351" w:rsidRPr="00194BEF">
              <w:rPr>
                <w:rFonts w:cs="Arial"/>
                <w:color w:val="000000"/>
                <w:szCs w:val="22"/>
              </w:rPr>
              <w:t xml:space="preserve">er </w:t>
            </w:r>
            <w:r w:rsidR="00F37F2C">
              <w:rPr>
                <w:rFonts w:cs="Arial"/>
                <w:color w:val="000000"/>
                <w:szCs w:val="22"/>
              </w:rPr>
              <w:t>c</w:t>
            </w:r>
            <w:r w:rsidR="005B6351" w:rsidRPr="00194BEF">
              <w:rPr>
                <w:rFonts w:cs="Arial"/>
                <w:color w:val="000000"/>
                <w:szCs w:val="22"/>
              </w:rPr>
              <w:t>ent of service for which Medicare benefits are claimed or could be claimed (from the practice) are in general practice.</w:t>
            </w:r>
            <w:r w:rsidR="00826D63" w:rsidRPr="00194BEF">
              <w:rPr>
                <w:rFonts w:cs="Arial"/>
                <w:color w:val="000000"/>
                <w:szCs w:val="22"/>
              </w:rPr>
              <w:t>  </w:t>
            </w:r>
          </w:p>
        </w:tc>
      </w:tr>
      <w:tr w:rsidR="00DA2546" w:rsidRPr="00843080" w14:paraId="00A15692"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00D0637E" w14:textId="3FBE861E" w:rsidR="00826D63" w:rsidRPr="00DE7EA6" w:rsidRDefault="00826D63" w:rsidP="00826D63">
            <w:pPr>
              <w:textAlignment w:val="baseline"/>
              <w:rPr>
                <w:rFonts w:cs="Arial"/>
                <w:color w:val="auto"/>
                <w:szCs w:val="22"/>
              </w:rPr>
            </w:pPr>
            <w:r w:rsidRPr="00DB0838">
              <w:rPr>
                <w:rFonts w:cs="Arial"/>
                <w:color w:val="000000"/>
                <w:szCs w:val="22"/>
              </w:rPr>
              <w:lastRenderedPageBreak/>
              <w:t xml:space="preserve">General Practice Aged Care Incentive </w:t>
            </w:r>
          </w:p>
        </w:tc>
        <w:tc>
          <w:tcPr>
            <w:tcW w:w="6940" w:type="dxa"/>
            <w:hideMark/>
          </w:tcPr>
          <w:p w14:paraId="55859491" w14:textId="0B2BF150"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4A455F35">
              <w:rPr>
                <w:rFonts w:cs="Arial"/>
                <w:color w:val="000000"/>
              </w:rPr>
              <w:t>An incentive program that aims to improve access to quality, proactive general practice care for older people who live in residential aged care by incentivising proactive face-to-face visits, regular, planned reviews and coordinated care planning.</w:t>
            </w:r>
            <w:r w:rsidRPr="4A455F35">
              <w:rPr>
                <w:rFonts w:cs="Arial"/>
                <w:color w:val="000000"/>
                <w:shd w:val="clear" w:color="auto" w:fill="FFFFFF"/>
              </w:rPr>
              <w:t> </w:t>
            </w:r>
            <w:r w:rsidRPr="4A455F35">
              <w:rPr>
                <w:rFonts w:cs="Arial"/>
                <w:color w:val="000000"/>
              </w:rPr>
              <w:t> </w:t>
            </w:r>
          </w:p>
        </w:tc>
      </w:tr>
      <w:tr w:rsidR="00DA2546" w:rsidRPr="00843080" w14:paraId="1D9C45A5"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4882E074" w14:textId="6B16097A" w:rsidR="00826D63" w:rsidRPr="00F37F2C" w:rsidRDefault="00826D63" w:rsidP="00826D63">
            <w:pPr>
              <w:textAlignment w:val="baseline"/>
              <w:rPr>
                <w:rFonts w:cs="Arial"/>
                <w:color w:val="auto"/>
                <w:szCs w:val="22"/>
              </w:rPr>
            </w:pPr>
            <w:r w:rsidRPr="00F37F2C">
              <w:rPr>
                <w:rFonts w:cs="Arial"/>
                <w:color w:val="000000"/>
                <w:szCs w:val="22"/>
              </w:rPr>
              <w:t>General practitioner</w:t>
            </w:r>
          </w:p>
        </w:tc>
        <w:tc>
          <w:tcPr>
            <w:tcW w:w="6940" w:type="dxa"/>
            <w:hideMark/>
          </w:tcPr>
          <w:p w14:paraId="5FE98B92" w14:textId="272F0150" w:rsidR="00826D63" w:rsidRPr="00F37F2C" w:rsidRDefault="00826D63"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F37F2C">
              <w:rPr>
                <w:rFonts w:cs="Arial"/>
                <w:color w:val="000000"/>
                <w:szCs w:val="22"/>
              </w:rPr>
              <w:t>G</w:t>
            </w:r>
            <w:r w:rsidR="00A2719C" w:rsidRPr="00F37F2C">
              <w:rPr>
                <w:rFonts w:cs="Arial"/>
                <w:color w:val="000000"/>
                <w:szCs w:val="22"/>
              </w:rPr>
              <w:t>eneral practitioners (GPs)</w:t>
            </w:r>
            <w:r w:rsidRPr="00F37F2C">
              <w:rPr>
                <w:rFonts w:cs="Arial"/>
                <w:color w:val="000000"/>
                <w:szCs w:val="22"/>
              </w:rPr>
              <w:t xml:space="preserve"> are doctors who have complet</w:t>
            </w:r>
            <w:r w:rsidR="005F61B5" w:rsidRPr="00F37F2C">
              <w:rPr>
                <w:rFonts w:cs="Arial"/>
                <w:color w:val="000000"/>
                <w:szCs w:val="22"/>
              </w:rPr>
              <w:t xml:space="preserve">ed </w:t>
            </w:r>
            <w:r w:rsidRPr="00F37F2C">
              <w:rPr>
                <w:rFonts w:cs="Arial"/>
                <w:color w:val="000000"/>
                <w:szCs w:val="22"/>
              </w:rPr>
              <w:t>training in general practice. </w:t>
            </w:r>
          </w:p>
        </w:tc>
      </w:tr>
      <w:tr w:rsidR="00DA2546" w:rsidRPr="00843080" w14:paraId="58BA578B"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7D6D2B51" w14:textId="77777777" w:rsidR="00826D63" w:rsidRPr="00DE7EA6" w:rsidRDefault="00826D63" w:rsidP="00826D63">
            <w:pPr>
              <w:textAlignment w:val="baseline"/>
              <w:rPr>
                <w:rFonts w:cs="Arial"/>
                <w:color w:val="auto"/>
                <w:szCs w:val="22"/>
              </w:rPr>
            </w:pPr>
            <w:r w:rsidRPr="00DE7EA6">
              <w:rPr>
                <w:rFonts w:cs="Arial"/>
                <w:color w:val="000000"/>
                <w:szCs w:val="22"/>
              </w:rPr>
              <w:t>Healthcare provider </w:t>
            </w:r>
          </w:p>
        </w:tc>
        <w:tc>
          <w:tcPr>
            <w:tcW w:w="6940" w:type="dxa"/>
            <w:hideMark/>
          </w:tcPr>
          <w:p w14:paraId="6023CE9D"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A person who is involved in or associated with healthcare delivery. </w:t>
            </w:r>
          </w:p>
        </w:tc>
      </w:tr>
      <w:tr w:rsidR="00DA2546" w:rsidRPr="00843080" w14:paraId="7C9EDA1D"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E9FDA35" w14:textId="14E56A50" w:rsidR="00E26513" w:rsidRPr="00DE7EA6" w:rsidRDefault="00E26513" w:rsidP="00826D63">
            <w:pPr>
              <w:textAlignment w:val="baseline"/>
              <w:rPr>
                <w:rFonts w:cs="Arial"/>
                <w:color w:val="000000"/>
                <w:szCs w:val="22"/>
              </w:rPr>
            </w:pPr>
            <w:r w:rsidRPr="00DE7EA6">
              <w:rPr>
                <w:rFonts w:cs="Arial"/>
                <w:color w:val="000000"/>
                <w:szCs w:val="22"/>
              </w:rPr>
              <w:t xml:space="preserve">Hub &amp; </w:t>
            </w:r>
            <w:proofErr w:type="gramStart"/>
            <w:r w:rsidRPr="00DE7EA6">
              <w:rPr>
                <w:rFonts w:cs="Arial"/>
                <w:color w:val="000000"/>
                <w:szCs w:val="22"/>
              </w:rPr>
              <w:t>Spoke</w:t>
            </w:r>
            <w:proofErr w:type="gramEnd"/>
          </w:p>
        </w:tc>
        <w:tc>
          <w:tcPr>
            <w:tcW w:w="6940" w:type="dxa"/>
            <w:shd w:val="clear" w:color="auto" w:fill="auto"/>
          </w:tcPr>
          <w:p w14:paraId="3582F933" w14:textId="6DD54C3C" w:rsidR="00E26513" w:rsidRPr="00DE7EA6" w:rsidRDefault="00AD3448"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000000"/>
              </w:rPr>
            </w:pPr>
            <w:r w:rsidRPr="61716D05">
              <w:rPr>
                <w:rFonts w:cs="Arial"/>
              </w:rPr>
              <w:t xml:space="preserve">A </w:t>
            </w:r>
            <w:r w:rsidR="00B05CE7" w:rsidRPr="61716D05">
              <w:rPr>
                <w:rFonts w:cs="Arial"/>
              </w:rPr>
              <w:t xml:space="preserve">model </w:t>
            </w:r>
            <w:r w:rsidR="005C4ACF" w:rsidRPr="61716D05">
              <w:rPr>
                <w:rFonts w:cs="Arial"/>
              </w:rPr>
              <w:t>of</w:t>
            </w:r>
            <w:r w:rsidR="00B05CE7" w:rsidRPr="61716D05">
              <w:rPr>
                <w:rFonts w:cs="Arial"/>
              </w:rPr>
              <w:t xml:space="preserve"> organisation </w:t>
            </w:r>
            <w:r w:rsidR="005C4ACF" w:rsidRPr="61716D05">
              <w:rPr>
                <w:rFonts w:cs="Arial"/>
              </w:rPr>
              <w:t xml:space="preserve">registration in MyMedicare in which a </w:t>
            </w:r>
            <w:r w:rsidR="001C2F79" w:rsidRPr="61716D05">
              <w:rPr>
                <w:rFonts w:cs="Arial"/>
              </w:rPr>
              <w:t>single organisation site (Hub)</w:t>
            </w:r>
            <w:r w:rsidR="007416D2" w:rsidRPr="61716D05">
              <w:rPr>
                <w:rFonts w:cs="Arial"/>
              </w:rPr>
              <w:t xml:space="preserve"> </w:t>
            </w:r>
            <w:r w:rsidR="005C4ACF" w:rsidRPr="61716D05">
              <w:rPr>
                <w:rFonts w:cs="Arial"/>
              </w:rPr>
              <w:t xml:space="preserve">is </w:t>
            </w:r>
            <w:r w:rsidR="007416D2" w:rsidRPr="61716D05">
              <w:rPr>
                <w:rFonts w:cs="Arial"/>
              </w:rPr>
              <w:t xml:space="preserve">registered and additional practices are set up as service </w:t>
            </w:r>
            <w:r w:rsidR="00452447" w:rsidRPr="61716D05">
              <w:rPr>
                <w:rFonts w:cs="Arial"/>
              </w:rPr>
              <w:t>locations</w:t>
            </w:r>
            <w:r w:rsidR="007416D2" w:rsidRPr="61716D05">
              <w:rPr>
                <w:rFonts w:cs="Arial"/>
              </w:rPr>
              <w:t xml:space="preserve"> (Spokes). The spoke location/s operates as an extension of the </w:t>
            </w:r>
            <w:r w:rsidR="00452447" w:rsidRPr="61716D05">
              <w:rPr>
                <w:rFonts w:cs="Arial"/>
              </w:rPr>
              <w:t>hub and</w:t>
            </w:r>
            <w:r w:rsidR="007416D2" w:rsidRPr="61716D05">
              <w:rPr>
                <w:rFonts w:cs="Arial"/>
              </w:rPr>
              <w:t xml:space="preserve"> may</w:t>
            </w:r>
            <w:r w:rsidR="00452447" w:rsidRPr="61716D05">
              <w:rPr>
                <w:rFonts w:cs="Arial"/>
              </w:rPr>
              <w:t xml:space="preserve"> operate on a part-time or full-time basis.</w:t>
            </w:r>
          </w:p>
        </w:tc>
      </w:tr>
      <w:tr w:rsidR="00DA2546" w:rsidRPr="00843080" w14:paraId="1260E854"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7FBD48A8" w14:textId="77777777" w:rsidR="00826D63" w:rsidRPr="00DE7EA6" w:rsidRDefault="00826D63" w:rsidP="00826D63">
            <w:pPr>
              <w:textAlignment w:val="baseline"/>
              <w:rPr>
                <w:rFonts w:cs="Arial"/>
                <w:color w:val="auto"/>
                <w:szCs w:val="22"/>
              </w:rPr>
            </w:pPr>
            <w:r w:rsidRPr="00DE7EA6">
              <w:rPr>
                <w:rFonts w:cs="Arial"/>
                <w:color w:val="000000"/>
                <w:szCs w:val="22"/>
              </w:rPr>
              <w:t>Medicare Benefits Schedule </w:t>
            </w:r>
          </w:p>
          <w:p w14:paraId="1B995B15" w14:textId="77777777" w:rsidR="00826D63" w:rsidRPr="00DE7EA6" w:rsidRDefault="00826D63" w:rsidP="00826D63">
            <w:pPr>
              <w:textAlignment w:val="baseline"/>
              <w:rPr>
                <w:rFonts w:cs="Arial"/>
                <w:color w:val="auto"/>
                <w:szCs w:val="22"/>
              </w:rPr>
            </w:pPr>
            <w:r w:rsidRPr="00DE7EA6">
              <w:rPr>
                <w:rFonts w:cs="Arial"/>
                <w:color w:val="000000"/>
                <w:szCs w:val="22"/>
              </w:rPr>
              <w:t>(MBS) </w:t>
            </w:r>
          </w:p>
        </w:tc>
        <w:tc>
          <w:tcPr>
            <w:tcW w:w="6940" w:type="dxa"/>
            <w:hideMark/>
          </w:tcPr>
          <w:p w14:paraId="6547E674" w14:textId="7881067A"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A listing of Medicare services subsidised by the Australian Government</w:t>
            </w:r>
            <w:r w:rsidR="00CA5A00" w:rsidRPr="00DE7EA6">
              <w:rPr>
                <w:rFonts w:cs="Arial"/>
                <w:color w:val="000000"/>
                <w:szCs w:val="22"/>
              </w:rPr>
              <w:t>, providing information on the amount Medicare will rebate for each service.</w:t>
            </w:r>
          </w:p>
        </w:tc>
      </w:tr>
      <w:tr w:rsidR="00DA2546" w14:paraId="10B0963B"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2FC91B6A" w14:textId="1E8E958B" w:rsidR="6F4AD433" w:rsidRDefault="6F4AD433" w:rsidP="611CDE77">
            <w:pPr>
              <w:rPr>
                <w:rFonts w:cs="Arial"/>
              </w:rPr>
            </w:pPr>
            <w:r w:rsidRPr="611CDE77">
              <w:rPr>
                <w:rFonts w:cs="Arial"/>
              </w:rPr>
              <w:t>Merger of Practice</w:t>
            </w:r>
          </w:p>
        </w:tc>
        <w:tc>
          <w:tcPr>
            <w:tcW w:w="6940" w:type="dxa"/>
            <w:hideMark/>
          </w:tcPr>
          <w:p w14:paraId="1A7ED14A" w14:textId="308457BC" w:rsidR="6F4AD433" w:rsidRDefault="6F4AD433" w:rsidP="611CDE77">
            <w:pPr>
              <w:cnfStyle w:val="000000010000" w:firstRow="0" w:lastRow="0" w:firstColumn="0" w:lastColumn="0" w:oddVBand="0" w:evenVBand="0" w:oddHBand="0" w:evenHBand="1" w:firstRowFirstColumn="0" w:firstRowLastColumn="0" w:lastRowFirstColumn="0" w:lastRowLastColumn="0"/>
              <w:rPr>
                <w:rFonts w:eastAsia="Arial" w:cs="Arial"/>
              </w:rPr>
            </w:pPr>
            <w:r w:rsidRPr="008F627F">
              <w:rPr>
                <w:rFonts w:eastAsia="Arial" w:cs="Arial"/>
              </w:rPr>
              <w:t>Two or more practices combining into one entity, sharing patients, staff, systems, and accreditation, operating as a single practice.</w:t>
            </w:r>
          </w:p>
        </w:tc>
      </w:tr>
      <w:tr w:rsidR="00DA2546" w:rsidRPr="00843080" w14:paraId="4579279F"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2ABD9F7B" w14:textId="77777777" w:rsidR="00826D63" w:rsidRPr="00DE7EA6" w:rsidRDefault="00826D63" w:rsidP="00826D63">
            <w:pPr>
              <w:textAlignment w:val="baseline"/>
              <w:rPr>
                <w:rFonts w:cs="Arial"/>
                <w:color w:val="auto"/>
                <w:szCs w:val="22"/>
              </w:rPr>
            </w:pPr>
            <w:r w:rsidRPr="00DE7EA6">
              <w:rPr>
                <w:rFonts w:cs="Arial"/>
                <w:color w:val="000000"/>
                <w:szCs w:val="22"/>
              </w:rPr>
              <w:t>Modified Monash Model (MMM) </w:t>
            </w:r>
          </w:p>
        </w:tc>
        <w:tc>
          <w:tcPr>
            <w:tcW w:w="6940" w:type="dxa"/>
            <w:hideMark/>
          </w:tcPr>
          <w:p w14:paraId="479BF7AB" w14:textId="34C88C76" w:rsidR="00826D63" w:rsidRPr="00DE7EA6" w:rsidRDefault="00826D63" w:rsidP="61716D05">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61716D05">
              <w:rPr>
                <w:rFonts w:cs="Arial"/>
              </w:rPr>
              <w:t>A model that defines whether a location is metropolitan, rural, remote or very remote. The model measure</w:t>
            </w:r>
            <w:r w:rsidR="005C4ACF" w:rsidRPr="61716D05">
              <w:rPr>
                <w:rFonts w:cs="Arial"/>
              </w:rPr>
              <w:t>s</w:t>
            </w:r>
            <w:r w:rsidRPr="61716D05">
              <w:rPr>
                <w:rFonts w:cs="Arial"/>
              </w:rPr>
              <w:t xml:space="preserve"> remoteness and population size on a scale of Modified Monash</w:t>
            </w:r>
            <w:r w:rsidR="005C4ACF" w:rsidRPr="61716D05">
              <w:rPr>
                <w:rFonts w:cs="Arial"/>
              </w:rPr>
              <w:t xml:space="preserve"> Model</w:t>
            </w:r>
            <w:r w:rsidRPr="61716D05">
              <w:rPr>
                <w:rFonts w:cs="Arial"/>
              </w:rPr>
              <w:t xml:space="preserve"> (MM</w:t>
            </w:r>
            <w:r w:rsidR="005C4ACF" w:rsidRPr="61716D05">
              <w:rPr>
                <w:rFonts w:cs="Arial"/>
              </w:rPr>
              <w:t>M</w:t>
            </w:r>
            <w:r w:rsidRPr="61716D05">
              <w:rPr>
                <w:rFonts w:cs="Arial"/>
              </w:rPr>
              <w:t>) categories MM</w:t>
            </w:r>
            <w:r w:rsidR="005C4ACF" w:rsidRPr="61716D05">
              <w:rPr>
                <w:rFonts w:cs="Arial"/>
              </w:rPr>
              <w:t>M</w:t>
            </w:r>
            <w:r w:rsidRPr="61716D05">
              <w:rPr>
                <w:rFonts w:cs="Arial"/>
              </w:rPr>
              <w:t>1 to MM</w:t>
            </w:r>
            <w:r w:rsidR="005C4ACF" w:rsidRPr="61716D05">
              <w:rPr>
                <w:rFonts w:cs="Arial"/>
              </w:rPr>
              <w:t>M</w:t>
            </w:r>
            <w:r w:rsidRPr="61716D05">
              <w:rPr>
                <w:rFonts w:cs="Arial"/>
              </w:rPr>
              <w:t>7 where is MM</w:t>
            </w:r>
            <w:r w:rsidR="005C4ACF" w:rsidRPr="61716D05">
              <w:rPr>
                <w:rFonts w:cs="Arial"/>
              </w:rPr>
              <w:t>M</w:t>
            </w:r>
            <w:r w:rsidRPr="61716D05">
              <w:rPr>
                <w:rFonts w:cs="Arial"/>
              </w:rPr>
              <w:t>1 is a major city and MM</w:t>
            </w:r>
            <w:r w:rsidR="005C4ACF" w:rsidRPr="61716D05">
              <w:rPr>
                <w:rFonts w:cs="Arial"/>
              </w:rPr>
              <w:t>M</w:t>
            </w:r>
            <w:r w:rsidRPr="61716D05">
              <w:rPr>
                <w:rFonts w:cs="Arial"/>
              </w:rPr>
              <w:t>7 is very remote.  </w:t>
            </w:r>
          </w:p>
        </w:tc>
      </w:tr>
      <w:tr w:rsidR="00DA2546" w:rsidRPr="00843080" w14:paraId="469DB050"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3F1EA0F" w14:textId="4A8474AA" w:rsidR="00826D63" w:rsidRPr="00DE7EA6" w:rsidRDefault="005C4ACF" w:rsidP="61716D05">
            <w:pPr>
              <w:textAlignment w:val="baseline"/>
              <w:rPr>
                <w:rFonts w:cs="Arial"/>
                <w:color w:val="auto"/>
              </w:rPr>
            </w:pPr>
            <w:proofErr w:type="spellStart"/>
            <w:r w:rsidRPr="61716D05">
              <w:rPr>
                <w:rFonts w:cs="Arial"/>
              </w:rPr>
              <w:t>m</w:t>
            </w:r>
            <w:r w:rsidR="00826D63" w:rsidRPr="61716D05">
              <w:rPr>
                <w:rFonts w:cs="Arial"/>
              </w:rPr>
              <w:t>yGov</w:t>
            </w:r>
            <w:proofErr w:type="spellEnd"/>
            <w:r w:rsidR="00826D63" w:rsidRPr="61716D05">
              <w:rPr>
                <w:rFonts w:cs="Arial"/>
              </w:rPr>
              <w:t> </w:t>
            </w:r>
          </w:p>
        </w:tc>
        <w:tc>
          <w:tcPr>
            <w:tcW w:w="6940" w:type="dxa"/>
            <w:hideMark/>
          </w:tcPr>
          <w:p w14:paraId="02AD1F7D" w14:textId="77777777" w:rsidR="00826D63" w:rsidRPr="00DE7EA6" w:rsidRDefault="00826D63"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DE7EA6">
              <w:rPr>
                <w:rFonts w:cs="Arial"/>
                <w:color w:val="000000"/>
                <w:szCs w:val="22"/>
              </w:rPr>
              <w:t>A simple and secure online platform to access government services online from one place. </w:t>
            </w:r>
          </w:p>
        </w:tc>
      </w:tr>
      <w:tr w:rsidR="00DA2546" w:rsidRPr="00843080" w14:paraId="6A83F112"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2A81C5DB" w14:textId="77777777" w:rsidR="00826D63" w:rsidRPr="00DE7EA6" w:rsidRDefault="00826D63" w:rsidP="00826D63">
            <w:pPr>
              <w:textAlignment w:val="baseline"/>
              <w:rPr>
                <w:rFonts w:cs="Arial"/>
                <w:color w:val="auto"/>
                <w:szCs w:val="22"/>
              </w:rPr>
            </w:pPr>
            <w:r w:rsidRPr="00DE7EA6">
              <w:rPr>
                <w:rFonts w:cs="Arial"/>
                <w:color w:val="000000"/>
                <w:szCs w:val="22"/>
              </w:rPr>
              <w:t>MyMedicare </w:t>
            </w:r>
          </w:p>
        </w:tc>
        <w:tc>
          <w:tcPr>
            <w:tcW w:w="6940" w:type="dxa"/>
            <w:hideMark/>
          </w:tcPr>
          <w:p w14:paraId="4F903667" w14:textId="0EBE7E46" w:rsidR="00826D63" w:rsidRPr="00DE7EA6" w:rsidRDefault="00826D63" w:rsidP="61716D05">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61716D05">
              <w:rPr>
                <w:rFonts w:cs="Arial"/>
              </w:rPr>
              <w:t>A voluntary patient registration model that formalise</w:t>
            </w:r>
            <w:r w:rsidR="00691084">
              <w:rPr>
                <w:rFonts w:cs="Arial"/>
              </w:rPr>
              <w:t>s</w:t>
            </w:r>
            <w:r w:rsidRPr="61716D05">
              <w:rPr>
                <w:rFonts w:cs="Arial"/>
              </w:rPr>
              <w:t xml:space="preserve"> the relationship between patients, their practice, general practitioner and primary care teams.   </w:t>
            </w:r>
          </w:p>
        </w:tc>
      </w:tr>
      <w:tr w:rsidR="00DA2546" w:rsidRPr="00843080" w14:paraId="5ADF5A73"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62C42FB4" w14:textId="77777777" w:rsidR="00826D63" w:rsidRPr="00DE7EA6" w:rsidRDefault="00826D63" w:rsidP="00826D63">
            <w:pPr>
              <w:textAlignment w:val="baseline"/>
              <w:rPr>
                <w:rFonts w:cs="Arial"/>
                <w:color w:val="auto"/>
                <w:szCs w:val="22"/>
              </w:rPr>
            </w:pPr>
            <w:r w:rsidRPr="00DE7EA6">
              <w:rPr>
                <w:rFonts w:cs="Arial"/>
                <w:color w:val="000000"/>
                <w:szCs w:val="22"/>
              </w:rPr>
              <w:lastRenderedPageBreak/>
              <w:t>My Health Record </w:t>
            </w:r>
          </w:p>
        </w:tc>
        <w:tc>
          <w:tcPr>
            <w:tcW w:w="6940" w:type="dxa"/>
            <w:hideMark/>
          </w:tcPr>
          <w:p w14:paraId="1B670960" w14:textId="77777777" w:rsidR="00826D63" w:rsidRPr="00DE7EA6" w:rsidRDefault="00826D63"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DE7EA6">
              <w:rPr>
                <w:rFonts w:cs="Arial"/>
                <w:color w:val="000000"/>
                <w:szCs w:val="22"/>
              </w:rPr>
              <w:t>A safe and secure online health record that stores key health information which is available to consumers and healthcare providers at any time. </w:t>
            </w:r>
          </w:p>
        </w:tc>
      </w:tr>
      <w:tr w:rsidR="00DA2546" w:rsidRPr="00843080" w14:paraId="778291EC"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459DDEEB" w14:textId="710D63BE" w:rsidR="00826D63" w:rsidRPr="00DE7EA6" w:rsidRDefault="00826D63" w:rsidP="00826D63">
            <w:pPr>
              <w:textAlignment w:val="baseline"/>
              <w:rPr>
                <w:rFonts w:cs="Arial"/>
                <w:color w:val="auto"/>
              </w:rPr>
            </w:pPr>
            <w:r w:rsidRPr="008F627F">
              <w:rPr>
                <w:rFonts w:cs="Arial"/>
              </w:rPr>
              <w:t xml:space="preserve">Nurse </w:t>
            </w:r>
            <w:r w:rsidR="00691084" w:rsidRPr="008F627F">
              <w:rPr>
                <w:rFonts w:cs="Arial"/>
              </w:rPr>
              <w:t>P</w:t>
            </w:r>
            <w:r w:rsidRPr="008F627F">
              <w:rPr>
                <w:rFonts w:cs="Arial"/>
              </w:rPr>
              <w:t>ractitioner </w:t>
            </w:r>
            <w:r w:rsidR="00C42F08" w:rsidRPr="008F627F">
              <w:rPr>
                <w:rFonts w:cs="Arial"/>
              </w:rPr>
              <w:t>(</w:t>
            </w:r>
            <w:r w:rsidR="00C42F08">
              <w:t>NP)</w:t>
            </w:r>
          </w:p>
        </w:tc>
        <w:tc>
          <w:tcPr>
            <w:tcW w:w="6940" w:type="dxa"/>
            <w:hideMark/>
          </w:tcPr>
          <w:p w14:paraId="547DC1D9" w14:textId="5D48A420"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 xml:space="preserve">A registered nurse who the Nursing and Midwifery Board of Australia have endorsed as an NP. Nurse practitioners practice independently in an advanced and extended clinical </w:t>
            </w:r>
            <w:r w:rsidR="00E631E3" w:rsidRPr="00E631E3">
              <w:rPr>
                <w:rFonts w:cs="Arial"/>
                <w:color w:val="000000"/>
                <w:szCs w:val="22"/>
              </w:rPr>
              <w:t>role and</w:t>
            </w:r>
            <w:r w:rsidRPr="00DE7EA6">
              <w:rPr>
                <w:rFonts w:cs="Arial"/>
                <w:color w:val="000000"/>
                <w:szCs w:val="22"/>
              </w:rPr>
              <w:t xml:space="preserve"> can prescribe some medicines. </w:t>
            </w:r>
          </w:p>
        </w:tc>
      </w:tr>
      <w:tr w:rsidR="00DA2546" w14:paraId="6420FFE1"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4BA7F92E" w14:textId="6B6620E9" w:rsidR="4C3C997A" w:rsidRDefault="4C3C997A" w:rsidP="611CDE77">
            <w:pPr>
              <w:rPr>
                <w:rFonts w:cs="Arial"/>
              </w:rPr>
            </w:pPr>
            <w:r w:rsidRPr="611CDE77">
              <w:rPr>
                <w:rFonts w:cs="Arial"/>
              </w:rPr>
              <w:t>Original Practice</w:t>
            </w:r>
          </w:p>
        </w:tc>
        <w:tc>
          <w:tcPr>
            <w:tcW w:w="6940" w:type="dxa"/>
            <w:hideMark/>
          </w:tcPr>
          <w:p w14:paraId="3D54DCD3" w14:textId="31EB3FAE" w:rsidR="4C3C997A" w:rsidRDefault="4C3C997A" w:rsidP="611CDE77">
            <w:pPr>
              <w:cnfStyle w:val="000000010000" w:firstRow="0" w:lastRow="0" w:firstColumn="0" w:lastColumn="0" w:oddVBand="0" w:evenVBand="0" w:oddHBand="0" w:evenHBand="1" w:firstRowFirstColumn="0" w:firstRowLastColumn="0" w:lastRowFirstColumn="0" w:lastRowLastColumn="0"/>
              <w:rPr>
                <w:rFonts w:eastAsia="Arial" w:cs="Arial"/>
              </w:rPr>
            </w:pPr>
            <w:r w:rsidRPr="008F627F">
              <w:rPr>
                <w:rFonts w:eastAsia="Arial" w:cs="Arial"/>
              </w:rPr>
              <w:t xml:space="preserve">The entity </w:t>
            </w:r>
            <w:r w:rsidR="00C61FD6" w:rsidRPr="008F627F">
              <w:rPr>
                <w:rFonts w:eastAsia="Arial" w:cs="Arial"/>
              </w:rPr>
              <w:t xml:space="preserve">or sole trader that had ownership of a MyMedicare practice </w:t>
            </w:r>
            <w:r w:rsidRPr="008F627F">
              <w:rPr>
                <w:rFonts w:eastAsia="Arial" w:cs="Arial"/>
              </w:rPr>
              <w:t xml:space="preserve">prior to </w:t>
            </w:r>
            <w:r w:rsidR="00BB4252" w:rsidRPr="008F627F">
              <w:rPr>
                <w:rFonts w:eastAsia="Arial" w:cs="Arial"/>
              </w:rPr>
              <w:t xml:space="preserve">an organisational </w:t>
            </w:r>
            <w:r w:rsidRPr="008F627F">
              <w:rPr>
                <w:rFonts w:eastAsia="Arial" w:cs="Arial"/>
              </w:rPr>
              <w:t>change.</w:t>
            </w:r>
          </w:p>
        </w:tc>
      </w:tr>
      <w:tr w:rsidR="00DA2546" w14:paraId="6187851F"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260069D" w14:textId="7B36C226" w:rsidR="72252A90" w:rsidRDefault="72252A90" w:rsidP="611CDE77">
            <w:pPr>
              <w:rPr>
                <w:rFonts w:cs="Arial"/>
              </w:rPr>
            </w:pPr>
            <w:r w:rsidRPr="611CDE77">
              <w:rPr>
                <w:rFonts w:cs="Arial"/>
              </w:rPr>
              <w:t>Ownership Change</w:t>
            </w:r>
          </w:p>
        </w:tc>
        <w:tc>
          <w:tcPr>
            <w:tcW w:w="6940" w:type="dxa"/>
            <w:hideMark/>
          </w:tcPr>
          <w:p w14:paraId="73CCA376" w14:textId="25A29215" w:rsidR="72252A90" w:rsidRDefault="72252A90" w:rsidP="611CDE77">
            <w:pPr>
              <w:cnfStyle w:val="000000100000" w:firstRow="0" w:lastRow="0" w:firstColumn="0" w:lastColumn="0" w:oddVBand="0" w:evenVBand="0" w:oddHBand="1" w:evenHBand="0" w:firstRowFirstColumn="0" w:firstRowLastColumn="0" w:lastRowFirstColumn="0" w:lastRowLastColumn="0"/>
              <w:rPr>
                <w:rFonts w:eastAsia="Arial" w:cs="Arial"/>
              </w:rPr>
            </w:pPr>
            <w:r w:rsidRPr="008F627F">
              <w:rPr>
                <w:rFonts w:eastAsia="Arial" w:cs="Arial"/>
              </w:rPr>
              <w:t>Any major structural or ownership change to a practice</w:t>
            </w:r>
            <w:r w:rsidR="00480238" w:rsidRPr="008F627F">
              <w:rPr>
                <w:rFonts w:eastAsia="Arial" w:cs="Arial"/>
              </w:rPr>
              <w:t xml:space="preserve">, such as a sale, merger or amalgamation. </w:t>
            </w:r>
          </w:p>
        </w:tc>
      </w:tr>
      <w:tr w:rsidR="00DA2546" w:rsidRPr="00843080" w14:paraId="7E1F8127"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BFDC09A" w14:textId="77777777" w:rsidR="00826D63" w:rsidRPr="00DE7EA6" w:rsidRDefault="00826D63" w:rsidP="00826D63">
            <w:pPr>
              <w:textAlignment w:val="baseline"/>
              <w:rPr>
                <w:rFonts w:cs="Arial"/>
                <w:color w:val="auto"/>
                <w:szCs w:val="22"/>
              </w:rPr>
            </w:pPr>
            <w:r w:rsidRPr="00DE7EA6">
              <w:rPr>
                <w:rFonts w:cs="Arial"/>
                <w:color w:val="000000"/>
                <w:szCs w:val="22"/>
              </w:rPr>
              <w:t>Patient </w:t>
            </w:r>
          </w:p>
        </w:tc>
        <w:tc>
          <w:tcPr>
            <w:tcW w:w="6940" w:type="dxa"/>
            <w:hideMark/>
          </w:tcPr>
          <w:p w14:paraId="10D2B2BC" w14:textId="51E5F311" w:rsidR="00826D63" w:rsidRPr="00DE7EA6" w:rsidRDefault="00826D63" w:rsidP="611CDE77">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611CDE77">
              <w:rPr>
                <w:rFonts w:cs="Arial"/>
              </w:rPr>
              <w:t>A person who is eligible to receive Medicare or Department of Veterans’ Affairs services. </w:t>
            </w:r>
          </w:p>
        </w:tc>
      </w:tr>
      <w:tr w:rsidR="00DA2546" w14:paraId="2944F480"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05044515" w14:textId="5C5A9AD2" w:rsidR="05CE73B8" w:rsidRDefault="05CE73B8" w:rsidP="611CDE77">
            <w:pPr>
              <w:rPr>
                <w:rFonts w:cs="Arial"/>
              </w:rPr>
            </w:pPr>
            <w:r w:rsidRPr="611CDE77">
              <w:rPr>
                <w:rFonts w:cs="Arial"/>
              </w:rPr>
              <w:t xml:space="preserve">Practice </w:t>
            </w:r>
          </w:p>
        </w:tc>
        <w:tc>
          <w:tcPr>
            <w:tcW w:w="6940" w:type="dxa"/>
            <w:hideMark/>
          </w:tcPr>
          <w:p w14:paraId="322F8430" w14:textId="2F2A261E" w:rsidR="05CE73B8" w:rsidRDefault="05CE73B8" w:rsidP="611CDE77">
            <w:pPr>
              <w:cnfStyle w:val="000000100000" w:firstRow="0" w:lastRow="0" w:firstColumn="0" w:lastColumn="0" w:oddVBand="0" w:evenVBand="0" w:oddHBand="1" w:evenHBand="0" w:firstRowFirstColumn="0" w:firstRowLastColumn="0" w:lastRowFirstColumn="0" w:lastRowLastColumn="0"/>
            </w:pPr>
            <w:r w:rsidRPr="008F627F">
              <w:rPr>
                <w:rFonts w:eastAsia="Arial" w:cs="Arial"/>
              </w:rPr>
              <w:t>A site meeting RACGP Standards that provides comprehensive, patient-centred care. More than fifty percent of GP time and Medicare services must be general practice.</w:t>
            </w:r>
          </w:p>
        </w:tc>
      </w:tr>
      <w:tr w:rsidR="00DA2546" w14:paraId="63A7478E"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71E794BB" w14:textId="58C7F89E" w:rsidR="1FA8C71B" w:rsidRDefault="1FA8C71B" w:rsidP="611CDE77">
            <w:pPr>
              <w:rPr>
                <w:rFonts w:cs="Arial"/>
              </w:rPr>
            </w:pPr>
            <w:r w:rsidRPr="611CDE77">
              <w:rPr>
                <w:rFonts w:cs="Arial"/>
              </w:rPr>
              <w:t>Practice</w:t>
            </w:r>
            <w:r w:rsidR="007C68D3">
              <w:rPr>
                <w:rFonts w:cs="Arial"/>
              </w:rPr>
              <w:t xml:space="preserve"> Owner</w:t>
            </w:r>
          </w:p>
        </w:tc>
        <w:tc>
          <w:tcPr>
            <w:tcW w:w="6940" w:type="dxa"/>
            <w:hideMark/>
          </w:tcPr>
          <w:p w14:paraId="0708CBC2" w14:textId="2F28EDB7" w:rsidR="1FA8C71B" w:rsidRDefault="006250F6" w:rsidP="611CDE77">
            <w:pPr>
              <w:cnfStyle w:val="000000010000" w:firstRow="0" w:lastRow="0" w:firstColumn="0" w:lastColumn="0" w:oddVBand="0" w:evenVBand="0" w:oddHBand="0" w:evenHBand="1" w:firstRowFirstColumn="0" w:firstRowLastColumn="0" w:lastRowFirstColumn="0" w:lastRowLastColumn="0"/>
              <w:rPr>
                <w:rFonts w:eastAsia="Arial" w:cs="Arial"/>
              </w:rPr>
            </w:pPr>
            <w:r w:rsidRPr="008F627F">
              <w:rPr>
                <w:rFonts w:eastAsia="Arial" w:cs="Arial"/>
              </w:rPr>
              <w:t xml:space="preserve">The entity or sole trader </w:t>
            </w:r>
            <w:r w:rsidR="00425B8B" w:rsidRPr="008F627F">
              <w:rPr>
                <w:rFonts w:eastAsia="Arial" w:cs="Arial"/>
              </w:rPr>
              <w:t>that is the current owner of a MyMedicare registered practice.</w:t>
            </w:r>
          </w:p>
        </w:tc>
      </w:tr>
      <w:tr w:rsidR="00DA2546" w:rsidRPr="00843080" w14:paraId="4B5A7505"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19AAB17A" w14:textId="78BCDC35" w:rsidR="00826D63" w:rsidRPr="001E0397" w:rsidRDefault="00826D63" w:rsidP="00826D63">
            <w:pPr>
              <w:textAlignment w:val="baseline"/>
              <w:rPr>
                <w:rFonts w:cs="Arial"/>
                <w:color w:val="auto"/>
                <w:szCs w:val="22"/>
              </w:rPr>
            </w:pPr>
            <w:r w:rsidRPr="00AE54EE">
              <w:rPr>
                <w:rFonts w:cs="Arial"/>
                <w:color w:val="000000"/>
                <w:szCs w:val="22"/>
              </w:rPr>
              <w:t xml:space="preserve">Preferred </w:t>
            </w:r>
            <w:r w:rsidR="003115F3" w:rsidRPr="00AE54EE">
              <w:rPr>
                <w:rFonts w:cs="Arial"/>
                <w:color w:val="000000"/>
                <w:szCs w:val="22"/>
              </w:rPr>
              <w:t>GP</w:t>
            </w:r>
            <w:r w:rsidRPr="00AE54EE">
              <w:rPr>
                <w:rFonts w:cs="Arial"/>
                <w:color w:val="000000"/>
                <w:szCs w:val="22"/>
              </w:rPr>
              <w:t> </w:t>
            </w:r>
          </w:p>
        </w:tc>
        <w:tc>
          <w:tcPr>
            <w:tcW w:w="6940" w:type="dxa"/>
            <w:hideMark/>
          </w:tcPr>
          <w:p w14:paraId="446755FC" w14:textId="2E0BE172" w:rsidR="00826D63" w:rsidRPr="001E0397"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008F627F">
              <w:rPr>
                <w:rFonts w:cs="Arial"/>
              </w:rPr>
              <w:t xml:space="preserve">The </w:t>
            </w:r>
            <w:r w:rsidR="00251DC5" w:rsidRPr="008F627F">
              <w:rPr>
                <w:rFonts w:cs="Arial"/>
              </w:rPr>
              <w:t>GP</w:t>
            </w:r>
            <w:r w:rsidRPr="008F627F">
              <w:rPr>
                <w:rFonts w:cs="Arial"/>
              </w:rPr>
              <w:t xml:space="preserve"> the patient trusts most with their care at the patient’s MyMedicare registered practice and nominated by the patient as their ‘preferred GP’ on MyMedicare. </w:t>
            </w:r>
          </w:p>
        </w:tc>
      </w:tr>
      <w:tr w:rsidR="00DA2546" w:rsidRPr="00843080" w14:paraId="3504E230"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68481DCD" w14:textId="77777777" w:rsidR="00826D63" w:rsidRPr="00DE7EA6" w:rsidRDefault="00826D63" w:rsidP="00826D63">
            <w:pPr>
              <w:textAlignment w:val="baseline"/>
              <w:rPr>
                <w:rFonts w:cs="Arial"/>
                <w:color w:val="auto"/>
                <w:szCs w:val="22"/>
              </w:rPr>
            </w:pPr>
            <w:r w:rsidRPr="00DE7EA6">
              <w:rPr>
                <w:rFonts w:cs="Arial"/>
                <w:color w:val="000000"/>
                <w:szCs w:val="22"/>
              </w:rPr>
              <w:t>Primary care </w:t>
            </w:r>
          </w:p>
        </w:tc>
        <w:tc>
          <w:tcPr>
            <w:tcW w:w="6940" w:type="dxa"/>
            <w:hideMark/>
          </w:tcPr>
          <w:p w14:paraId="31AC2B46" w14:textId="77777777" w:rsidR="00826D63" w:rsidRPr="00DE7EA6" w:rsidRDefault="00826D63"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61716D05">
              <w:rPr>
                <w:rFonts w:cs="Arial"/>
              </w:rPr>
              <w:t>In Australia, primary care refers to those services in the community that people go to first for health care: GPs, ACCHS, allied health professionals, mental health services, drug and alcohol services, community health and community nursing services, maternal and child health services, sexual health services and oral health and dental services. It is differentiated from secondary health care delivered by specialists, where a referral is usually required, and tertiary care delivered in hospitals. </w:t>
            </w:r>
          </w:p>
        </w:tc>
      </w:tr>
      <w:tr w:rsidR="00DA2546" w:rsidRPr="00843080" w14:paraId="02A6FC9C"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17662966" w14:textId="77777777" w:rsidR="00826D63" w:rsidRPr="00DE7EA6" w:rsidRDefault="00826D63" w:rsidP="00826D63">
            <w:pPr>
              <w:textAlignment w:val="baseline"/>
              <w:rPr>
                <w:rFonts w:cs="Arial"/>
                <w:color w:val="auto"/>
                <w:szCs w:val="22"/>
              </w:rPr>
            </w:pPr>
            <w:r w:rsidRPr="00DE7EA6">
              <w:rPr>
                <w:rFonts w:cs="Arial"/>
                <w:color w:val="000000"/>
                <w:szCs w:val="22"/>
              </w:rPr>
              <w:t>Primary health care </w:t>
            </w:r>
          </w:p>
        </w:tc>
        <w:tc>
          <w:tcPr>
            <w:tcW w:w="6940" w:type="dxa"/>
            <w:hideMark/>
          </w:tcPr>
          <w:p w14:paraId="454EFF5A"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 xml:space="preserve">“Whole-of-society approach to health that aims at ensuring the highest possible level of health and well-being and their equitable distribution by focusing on people’s needs and as early as possible along the continuum from health promotion and disease prevention to treatment, rehabilitation and palliative care, and as close as </w:t>
            </w:r>
            <w:r w:rsidRPr="00DE7EA6">
              <w:rPr>
                <w:rFonts w:cs="Arial"/>
                <w:color w:val="000000"/>
                <w:szCs w:val="22"/>
              </w:rPr>
              <w:lastRenderedPageBreak/>
              <w:t>feasible to people’s everyday environment.” (source: WHO and UNICEF - A vision for primary health care in the 21st century: Towards universal health coverage and sustainable development goals) </w:t>
            </w:r>
          </w:p>
        </w:tc>
      </w:tr>
      <w:tr w:rsidR="00DA2546" w:rsidRPr="00843080" w14:paraId="75871297"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B35A923" w14:textId="77777777" w:rsidR="00826D63" w:rsidRPr="00DE7EA6" w:rsidRDefault="00826D63" w:rsidP="00826D63">
            <w:pPr>
              <w:textAlignment w:val="baseline"/>
              <w:rPr>
                <w:rFonts w:cs="Arial"/>
                <w:color w:val="auto"/>
                <w:szCs w:val="22"/>
              </w:rPr>
            </w:pPr>
            <w:r w:rsidRPr="00DE7EA6">
              <w:rPr>
                <w:rFonts w:cs="Arial"/>
                <w:color w:val="000000"/>
                <w:szCs w:val="22"/>
              </w:rPr>
              <w:lastRenderedPageBreak/>
              <w:t>Primary care provider </w:t>
            </w:r>
          </w:p>
        </w:tc>
        <w:tc>
          <w:tcPr>
            <w:tcW w:w="6940" w:type="dxa"/>
            <w:hideMark/>
          </w:tcPr>
          <w:p w14:paraId="34A693F6" w14:textId="68FA1698" w:rsidR="00826D63" w:rsidRPr="00DE7EA6" w:rsidRDefault="00D461C8" w:rsidP="00826D63">
            <w:pPr>
              <w:textAlignment w:val="baseline"/>
              <w:cnfStyle w:val="000000010000" w:firstRow="0" w:lastRow="0" w:firstColumn="0" w:lastColumn="0" w:oddVBand="0" w:evenVBand="0" w:oddHBand="0" w:evenHBand="1" w:firstRowFirstColumn="0" w:firstRowLastColumn="0" w:lastRowFirstColumn="0" w:lastRowLastColumn="0"/>
              <w:rPr>
                <w:rFonts w:cs="Arial"/>
              </w:rPr>
            </w:pPr>
            <w:r w:rsidRPr="008F627F">
              <w:rPr>
                <w:rFonts w:cs="Arial"/>
              </w:rPr>
              <w:t>A healthcare pr</w:t>
            </w:r>
            <w:r w:rsidR="00350E42" w:rsidRPr="008F627F">
              <w:rPr>
                <w:rFonts w:cs="Arial"/>
              </w:rPr>
              <w:t>actitioner</w:t>
            </w:r>
            <w:r w:rsidR="00DA2546" w:rsidRPr="008F627F">
              <w:rPr>
                <w:rFonts w:cs="Arial"/>
              </w:rPr>
              <w:t xml:space="preserve"> who is the first point of contact for individuals seeking health services. </w:t>
            </w:r>
          </w:p>
        </w:tc>
      </w:tr>
      <w:tr w:rsidR="00DA2546" w:rsidRPr="00843080" w14:paraId="13E78B15"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9E11CF8" w14:textId="77777777" w:rsidR="00826D63" w:rsidRPr="00DE7EA6" w:rsidRDefault="00826D63" w:rsidP="00826D63">
            <w:pPr>
              <w:textAlignment w:val="baseline"/>
              <w:rPr>
                <w:rFonts w:cs="Arial"/>
                <w:color w:val="auto"/>
                <w:szCs w:val="22"/>
              </w:rPr>
            </w:pPr>
            <w:r w:rsidRPr="00DE7EA6">
              <w:rPr>
                <w:rFonts w:cs="Arial"/>
                <w:color w:val="000000"/>
                <w:szCs w:val="22"/>
              </w:rPr>
              <w:t>Registered patient </w:t>
            </w:r>
          </w:p>
        </w:tc>
        <w:tc>
          <w:tcPr>
            <w:tcW w:w="6940" w:type="dxa"/>
            <w:hideMark/>
          </w:tcPr>
          <w:p w14:paraId="2C214883" w14:textId="1BC7C53D" w:rsidR="00826D63" w:rsidRPr="00DE7EA6" w:rsidRDefault="00826D63" w:rsidP="61716D05">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61716D05">
              <w:rPr>
                <w:rFonts w:cs="Arial"/>
                <w:color w:val="000000"/>
                <w:shd w:val="clear" w:color="auto" w:fill="FFFFFF"/>
              </w:rPr>
              <w:t>A patient who is eligible to participate in the MyMedicare program and</w:t>
            </w:r>
            <w:r w:rsidR="005C4ACF" w:rsidRPr="61716D05">
              <w:rPr>
                <w:rFonts w:cs="Arial"/>
                <w:color w:val="000000"/>
                <w:shd w:val="clear" w:color="auto" w:fill="FFFFFF"/>
              </w:rPr>
              <w:t xml:space="preserve"> is</w:t>
            </w:r>
            <w:r w:rsidRPr="61716D05">
              <w:rPr>
                <w:rFonts w:cs="Arial"/>
                <w:color w:val="000000"/>
                <w:shd w:val="clear" w:color="auto" w:fill="FFFFFF"/>
              </w:rPr>
              <w:t xml:space="preserve"> registered with a registered practice and preferred provider.</w:t>
            </w:r>
            <w:r w:rsidRPr="61716D05">
              <w:rPr>
                <w:rFonts w:cs="Arial"/>
                <w:color w:val="000000"/>
              </w:rPr>
              <w:t> </w:t>
            </w:r>
          </w:p>
        </w:tc>
      </w:tr>
      <w:tr w:rsidR="00DA2546" w:rsidRPr="00843080" w14:paraId="5D298AD9"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4CF4EAA" w14:textId="77777777" w:rsidR="00826D63" w:rsidRPr="00DE7EA6" w:rsidRDefault="00826D63" w:rsidP="00826D63">
            <w:pPr>
              <w:textAlignment w:val="baseline"/>
              <w:rPr>
                <w:rFonts w:cs="Arial"/>
                <w:color w:val="auto"/>
                <w:szCs w:val="22"/>
              </w:rPr>
            </w:pPr>
            <w:r w:rsidRPr="002039B6">
              <w:rPr>
                <w:rFonts w:cs="Arial"/>
                <w:color w:val="000000"/>
                <w:szCs w:val="22"/>
              </w:rPr>
              <w:t>Responsible person </w:t>
            </w:r>
          </w:p>
        </w:tc>
        <w:tc>
          <w:tcPr>
            <w:tcW w:w="6940" w:type="dxa"/>
            <w:hideMark/>
          </w:tcPr>
          <w:p w14:paraId="324AF1B2" w14:textId="77777777" w:rsidR="000F246A" w:rsidRPr="00843080" w:rsidRDefault="000E33D1" w:rsidP="61716D05">
            <w:pPr>
              <w:textAlignment w:val="baseline"/>
              <w:cnfStyle w:val="000000010000" w:firstRow="0" w:lastRow="0" w:firstColumn="0" w:lastColumn="0" w:oddVBand="0" w:evenVBand="0" w:oddHBand="0" w:evenHBand="1" w:firstRowFirstColumn="0" w:firstRowLastColumn="0" w:lastRowFirstColumn="0" w:lastRowLastColumn="0"/>
              <w:rPr>
                <w:rFonts w:cs="Arial"/>
              </w:rPr>
            </w:pPr>
            <w:r w:rsidRPr="61716D05">
              <w:rPr>
                <w:rFonts w:cs="Arial"/>
              </w:rPr>
              <w:t>Refers to</w:t>
            </w:r>
            <w:r w:rsidR="00AF09A6" w:rsidRPr="61716D05">
              <w:rPr>
                <w:rFonts w:cs="Arial"/>
              </w:rPr>
              <w:t xml:space="preserve"> an adult person accompanying the patient or in whose care the patient has been placed</w:t>
            </w:r>
            <w:r w:rsidR="000F246A" w:rsidRPr="61716D05">
              <w:rPr>
                <w:rFonts w:cs="Arial"/>
              </w:rPr>
              <w:t>. A responsible person can include someone who is any of the following:</w:t>
            </w:r>
          </w:p>
          <w:p w14:paraId="59AC4176" w14:textId="3E89F42C" w:rsidR="000F246A" w:rsidRPr="00DE7EA6" w:rsidRDefault="00E976DE" w:rsidP="00877366">
            <w:pPr>
              <w:pStyle w:val="Tablelistbullet"/>
              <w:cnfStyle w:val="000000010000" w:firstRow="0" w:lastRow="0" w:firstColumn="0" w:lastColumn="0" w:oddVBand="0" w:evenVBand="0" w:oddHBand="0" w:evenHBand="1" w:firstRowFirstColumn="0" w:firstRowLastColumn="0" w:lastRowFirstColumn="0" w:lastRowLastColumn="0"/>
              <w:rPr>
                <w:rFonts w:eastAsia="Times New Roman"/>
                <w:lang w:eastAsia="en-AU"/>
              </w:rPr>
            </w:pPr>
            <w:r>
              <w:t xml:space="preserve">is </w:t>
            </w:r>
            <w:r w:rsidR="000F3CD5">
              <w:t xml:space="preserve">the </w:t>
            </w:r>
            <w:r w:rsidR="000F246A" w:rsidRPr="00DE7EA6">
              <w:t>p</w:t>
            </w:r>
            <w:r w:rsidR="00AF09A6" w:rsidRPr="00DE7EA6">
              <w:t>arent or guardian</w:t>
            </w:r>
            <w:r>
              <w:t>, or</w:t>
            </w:r>
          </w:p>
          <w:p w14:paraId="4F4877A6" w14:textId="44B06623" w:rsidR="001D3EC0" w:rsidRPr="002039B6" w:rsidRDefault="00AF09A6" w:rsidP="00877366">
            <w:pPr>
              <w:pStyle w:val="Tablelistbullet"/>
              <w:cnfStyle w:val="000000010000" w:firstRow="0" w:lastRow="0" w:firstColumn="0" w:lastColumn="0" w:oddVBand="0" w:evenVBand="0" w:oddHBand="0" w:evenHBand="1" w:firstRowFirstColumn="0" w:firstRowLastColumn="0" w:lastRowFirstColumn="0" w:lastRowLastColumn="0"/>
              <w:rPr>
                <w:rFonts w:eastAsia="Times New Roman"/>
                <w:lang w:eastAsia="en-AU"/>
              </w:rPr>
            </w:pPr>
            <w:r w:rsidRPr="00DE7EA6">
              <w:t>holds power of attorne</w:t>
            </w:r>
            <w:r w:rsidR="00E976DE">
              <w:t>y, or</w:t>
            </w:r>
          </w:p>
          <w:p w14:paraId="040535CF" w14:textId="2AB6A7BB" w:rsidR="001D3EC0" w:rsidRPr="002039B6" w:rsidRDefault="001D3EC0" w:rsidP="00877366">
            <w:pPr>
              <w:pStyle w:val="Tablelistbullet"/>
              <w:cnfStyle w:val="000000010000" w:firstRow="0" w:lastRow="0" w:firstColumn="0" w:lastColumn="0" w:oddVBand="0" w:evenVBand="0" w:oddHBand="0" w:evenHBand="1" w:firstRowFirstColumn="0" w:firstRowLastColumn="0" w:lastRowFirstColumn="0" w:lastRowLastColumn="0"/>
              <w:rPr>
                <w:rFonts w:eastAsia="Times New Roman"/>
                <w:lang w:eastAsia="en-AU"/>
              </w:rPr>
            </w:pPr>
            <w:r w:rsidRPr="002039B6">
              <w:t xml:space="preserve">holds a </w:t>
            </w:r>
            <w:r w:rsidR="00AF09A6" w:rsidRPr="002039B6">
              <w:t>guardianship order</w:t>
            </w:r>
            <w:r w:rsidR="00E976DE">
              <w:t>, or</w:t>
            </w:r>
          </w:p>
          <w:p w14:paraId="02907EBB" w14:textId="7C13FAB2" w:rsidR="004F03A5" w:rsidRPr="00877366" w:rsidRDefault="00E976DE" w:rsidP="00877366">
            <w:pPr>
              <w:pStyle w:val="Tablelistbullet"/>
              <w:cnfStyle w:val="000000010000" w:firstRow="0" w:lastRow="0" w:firstColumn="0" w:lastColumn="0" w:oddVBand="0" w:evenVBand="0" w:oddHBand="0" w:evenHBand="1" w:firstRowFirstColumn="0" w:firstRowLastColumn="0" w:lastRowFirstColumn="0" w:lastRowLastColumn="0"/>
            </w:pPr>
            <w:r>
              <w:t xml:space="preserve">is </w:t>
            </w:r>
            <w:r w:rsidR="00AF09A6" w:rsidRPr="002039B6">
              <w:t>the next of kin.</w:t>
            </w:r>
          </w:p>
          <w:p w14:paraId="7D183D1F" w14:textId="61E3FDE7" w:rsidR="004F03A5" w:rsidRPr="004F03A5" w:rsidRDefault="004F03A5" w:rsidP="00EF6E89">
            <w:pPr>
              <w:spacing w:line="240" w:lineRule="auto"/>
              <w:textAlignment w:val="baseline"/>
              <w:cnfStyle w:val="000000010000" w:firstRow="0" w:lastRow="0" w:firstColumn="0" w:lastColumn="0" w:oddVBand="0" w:evenVBand="0" w:oddHBand="0" w:evenHBand="1" w:firstRowFirstColumn="0" w:firstRowLastColumn="0" w:lastRowFirstColumn="0" w:lastRowLastColumn="0"/>
              <w:rPr>
                <w:rFonts w:cs="Arial"/>
                <w:szCs w:val="22"/>
              </w:rPr>
            </w:pPr>
            <w:r w:rsidRPr="004F03A5">
              <w:rPr>
                <w:rFonts w:cs="Arial"/>
                <w:szCs w:val="22"/>
              </w:rPr>
              <w:t>This does not include the:</w:t>
            </w:r>
          </w:p>
          <w:p w14:paraId="25EDDB6E" w14:textId="30BC89EC" w:rsidR="004F03A5" w:rsidRPr="00CC580F" w:rsidRDefault="00C63B93" w:rsidP="00877366">
            <w:pPr>
              <w:pStyle w:val="Tablelistbullet"/>
              <w:cnfStyle w:val="000000010000" w:firstRow="0" w:lastRow="0" w:firstColumn="0" w:lastColumn="0" w:oddVBand="0" w:evenVBand="0" w:oddHBand="0" w:evenHBand="1" w:firstRowFirstColumn="0" w:firstRowLastColumn="0" w:lastRowFirstColumn="0" w:lastRowLastColumn="0"/>
            </w:pPr>
            <w:r>
              <w:t xml:space="preserve">the </w:t>
            </w:r>
            <w:r w:rsidR="004F03A5" w:rsidRPr="00EF6E89">
              <w:t>health professional who rendered the service</w:t>
            </w:r>
          </w:p>
          <w:p w14:paraId="3107C688" w14:textId="5F9926E1" w:rsidR="004F03A5" w:rsidRPr="00CC580F" w:rsidRDefault="00C63B93" w:rsidP="00877366">
            <w:pPr>
              <w:pStyle w:val="Tablelistbullet"/>
              <w:cnfStyle w:val="000000010000" w:firstRow="0" w:lastRow="0" w:firstColumn="0" w:lastColumn="0" w:oddVBand="0" w:evenVBand="0" w:oddHBand="0" w:evenHBand="1" w:firstRowFirstColumn="0" w:firstRowLastColumn="0" w:lastRowFirstColumn="0" w:lastRowLastColumn="0"/>
            </w:pPr>
            <w:r>
              <w:t xml:space="preserve">the </w:t>
            </w:r>
            <w:r w:rsidR="004F03A5" w:rsidRPr="00EF6E89">
              <w:t>health professional’s staff</w:t>
            </w:r>
          </w:p>
          <w:p w14:paraId="12581265" w14:textId="7AD3A699" w:rsidR="004F03A5" w:rsidRPr="00CC580F" w:rsidRDefault="00C63B93" w:rsidP="00877366">
            <w:pPr>
              <w:pStyle w:val="Tablelistbullet"/>
              <w:cnfStyle w:val="000000010000" w:firstRow="0" w:lastRow="0" w:firstColumn="0" w:lastColumn="0" w:oddVBand="0" w:evenVBand="0" w:oddHBand="0" w:evenHBand="1" w:firstRowFirstColumn="0" w:firstRowLastColumn="0" w:lastRowFirstColumn="0" w:lastRowLastColumn="0"/>
            </w:pPr>
            <w:r>
              <w:t xml:space="preserve">a </w:t>
            </w:r>
            <w:r w:rsidR="004F03A5" w:rsidRPr="00EF6E89">
              <w:t>hospital proprietor or</w:t>
            </w:r>
            <w:r>
              <w:t xml:space="preserve"> their</w:t>
            </w:r>
            <w:r w:rsidR="004F03A5" w:rsidRPr="00EF6E89">
              <w:t xml:space="preserve"> staff</w:t>
            </w:r>
          </w:p>
          <w:p w14:paraId="1009A5C7" w14:textId="0C3B6065" w:rsidR="004F03A5" w:rsidRPr="004F03A5" w:rsidRDefault="00C63B93" w:rsidP="00877366">
            <w:pPr>
              <w:pStyle w:val="Tablelistbullet"/>
              <w:cnfStyle w:val="000000010000" w:firstRow="0" w:lastRow="0" w:firstColumn="0" w:lastColumn="0" w:oddVBand="0" w:evenVBand="0" w:oddHBand="0" w:evenHBand="1" w:firstRowFirstColumn="0" w:firstRowLastColumn="0" w:lastRowFirstColumn="0" w:lastRowLastColumn="0"/>
            </w:pPr>
            <w:r>
              <w:t xml:space="preserve">an </w:t>
            </w:r>
            <w:r w:rsidR="004F03A5" w:rsidRPr="00EF6E89">
              <w:t xml:space="preserve">aged care home proprietor or </w:t>
            </w:r>
            <w:r>
              <w:t xml:space="preserve">their </w:t>
            </w:r>
            <w:r w:rsidR="004F03A5" w:rsidRPr="00EF6E89">
              <w:t>staff.</w:t>
            </w:r>
          </w:p>
        </w:tc>
      </w:tr>
      <w:tr w:rsidR="00DA2546" w:rsidRPr="00843080" w14:paraId="21096BCB" w14:textId="77777777" w:rsidTr="453A4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1DC09295" w14:textId="77777777" w:rsidR="00826D63" w:rsidRPr="00DE7EA6" w:rsidRDefault="00826D63" w:rsidP="00826D63">
            <w:pPr>
              <w:textAlignment w:val="baseline"/>
              <w:rPr>
                <w:rFonts w:cs="Arial"/>
                <w:color w:val="auto"/>
                <w:szCs w:val="22"/>
              </w:rPr>
            </w:pPr>
            <w:r w:rsidRPr="00DE7EA6">
              <w:rPr>
                <w:rFonts w:cs="Arial"/>
                <w:color w:val="000000"/>
                <w:szCs w:val="22"/>
              </w:rPr>
              <w:t>Royal Australian College of General Practitioners (RACGP) </w:t>
            </w:r>
          </w:p>
        </w:tc>
        <w:tc>
          <w:tcPr>
            <w:tcW w:w="6940" w:type="dxa"/>
            <w:hideMark/>
          </w:tcPr>
          <w:p w14:paraId="7FC4193E" w14:textId="77777777" w:rsidR="00826D63" w:rsidRPr="00DE7EA6" w:rsidRDefault="00826D63" w:rsidP="61716D05">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61716D05">
              <w:rPr>
                <w:rFonts w:cs="Arial"/>
                <w:color w:val="000000"/>
                <w:shd w:val="clear" w:color="auto" w:fill="FFFFFF"/>
              </w:rPr>
              <w:t>The professional body for general practitioners in Australia. The RACGP is responsible for setting the standards for education and practice and advocating for better health and wellbeing for all Australians. </w:t>
            </w:r>
            <w:r w:rsidRPr="61716D05">
              <w:rPr>
                <w:rFonts w:cs="Arial"/>
                <w:color w:val="000000"/>
              </w:rPr>
              <w:t> </w:t>
            </w:r>
          </w:p>
        </w:tc>
      </w:tr>
      <w:tr w:rsidR="00DA2546" w:rsidRPr="00843080" w14:paraId="7F71DAE0" w14:textId="77777777" w:rsidTr="453A4E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0178FF6D" w14:textId="77777777" w:rsidR="00826D63" w:rsidRPr="00DE7EA6" w:rsidRDefault="00826D63" w:rsidP="00826D63">
            <w:pPr>
              <w:textAlignment w:val="baseline"/>
              <w:rPr>
                <w:rFonts w:cs="Arial"/>
                <w:color w:val="auto"/>
                <w:szCs w:val="22"/>
              </w:rPr>
            </w:pPr>
            <w:r w:rsidRPr="00DE7EA6">
              <w:rPr>
                <w:rFonts w:cs="Arial"/>
                <w:i/>
                <w:iCs/>
                <w:color w:val="000000"/>
                <w:szCs w:val="22"/>
              </w:rPr>
              <w:t>RACPG Standards for General Practices</w:t>
            </w:r>
            <w:r w:rsidRPr="00DE7EA6">
              <w:rPr>
                <w:rFonts w:cs="Arial"/>
                <w:color w:val="000000"/>
                <w:szCs w:val="22"/>
              </w:rPr>
              <w:t> </w:t>
            </w:r>
          </w:p>
        </w:tc>
        <w:tc>
          <w:tcPr>
            <w:tcW w:w="6940" w:type="dxa"/>
            <w:hideMark/>
          </w:tcPr>
          <w:p w14:paraId="19EBA050" w14:textId="77777777" w:rsidR="00826D63" w:rsidRPr="00DE7EA6" w:rsidRDefault="00826D63"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61716D05">
              <w:rPr>
                <w:rFonts w:cs="Arial"/>
                <w:color w:val="000000"/>
                <w:shd w:val="clear" w:color="auto" w:fill="FFFFFF"/>
              </w:rPr>
              <w:t>A set of standards which are a benchmark for quality care and risk management in Australian general practices. </w:t>
            </w:r>
            <w:r w:rsidRPr="61716D05">
              <w:rPr>
                <w:rFonts w:cs="Arial"/>
                <w:color w:val="000000"/>
              </w:rPr>
              <w:t> </w:t>
            </w:r>
          </w:p>
        </w:tc>
      </w:tr>
    </w:tbl>
    <w:p w14:paraId="3E2C78B4" w14:textId="77777777" w:rsidR="00817CB4" w:rsidRPr="006C67A6" w:rsidRDefault="00817CB4" w:rsidP="00817CB4">
      <w:pPr>
        <w:rPr>
          <w:rFonts w:eastAsia="Times New Roman"/>
        </w:rPr>
      </w:pPr>
      <w:r w:rsidRPr="006C67A6">
        <w:rPr>
          <w:rFonts w:eastAsia="Times New Roman"/>
        </w:rPr>
        <w:br w:type="page"/>
      </w:r>
    </w:p>
    <w:p w14:paraId="4B1F6E87" w14:textId="40559F97" w:rsidR="00817CB4" w:rsidRPr="001F7637" w:rsidRDefault="00205E5A" w:rsidP="001F7637">
      <w:pPr>
        <w:pStyle w:val="Heading2"/>
      </w:pPr>
      <w:bookmarkStart w:id="197" w:name="_Toc167109459"/>
      <w:bookmarkStart w:id="198" w:name="_Toc170120039"/>
      <w:bookmarkStart w:id="199" w:name="_Toc170817180"/>
      <w:bookmarkStart w:id="200" w:name="_Toc214051045"/>
      <w:bookmarkStart w:id="201" w:name="_Toc216708154"/>
      <w:r>
        <w:lastRenderedPageBreak/>
        <w:t>MyMedicare eligible provider</w:t>
      </w:r>
      <w:r w:rsidR="00817CB4" w:rsidRPr="001F7637">
        <w:t xml:space="preserve"> specialty codes</w:t>
      </w:r>
      <w:bookmarkEnd w:id="188"/>
      <w:bookmarkEnd w:id="189"/>
      <w:bookmarkEnd w:id="190"/>
      <w:bookmarkEnd w:id="191"/>
      <w:bookmarkEnd w:id="197"/>
      <w:bookmarkEnd w:id="198"/>
      <w:bookmarkEnd w:id="199"/>
      <w:bookmarkEnd w:id="200"/>
      <w:bookmarkEnd w:id="201"/>
    </w:p>
    <w:p w14:paraId="0FE0026B" w14:textId="3D1967D5" w:rsidR="00817CB4" w:rsidRPr="00EE3237" w:rsidRDefault="00817CB4" w:rsidP="00817CB4">
      <w:pPr>
        <w:rPr>
          <w:rFonts w:eastAsia="Times New Roman"/>
        </w:rPr>
      </w:pPr>
      <w:r w:rsidRPr="3BAF1C85">
        <w:rPr>
          <w:rFonts w:eastAsia="Times New Roman"/>
        </w:rPr>
        <w:t>Version 1 – As of 8 May 2024</w:t>
      </w:r>
    </w:p>
    <w:tbl>
      <w:tblPr>
        <w:tblStyle w:val="DepartmentofHealthtable"/>
        <w:tblW w:w="10490" w:type="dxa"/>
        <w:tblInd w:w="-709" w:type="dxa"/>
        <w:tblLook w:val="04A0" w:firstRow="1" w:lastRow="0" w:firstColumn="1" w:lastColumn="0" w:noHBand="0" w:noVBand="1"/>
        <w:tblDescription w:val="Add Alt Text describing the content of the table"/>
      </w:tblPr>
      <w:tblGrid>
        <w:gridCol w:w="1484"/>
        <w:gridCol w:w="3756"/>
        <w:gridCol w:w="1183"/>
        <w:gridCol w:w="4067"/>
      </w:tblGrid>
      <w:tr w:rsidR="00817CB4" w14:paraId="6A3C77CD" w14:textId="77777777" w:rsidTr="4A455F3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85" w:type="dxa"/>
          </w:tcPr>
          <w:p w14:paraId="1FC98064" w14:textId="77777777" w:rsidR="00817CB4" w:rsidRPr="002D330A" w:rsidRDefault="00817CB4" w:rsidP="0054375E">
            <w:pPr>
              <w:pStyle w:val="TableHeaderWhite"/>
              <w:rPr>
                <w:rFonts w:cs="Arial"/>
              </w:rPr>
            </w:pPr>
            <w:r w:rsidRPr="002D330A">
              <w:rPr>
                <w:rFonts w:cs="Arial"/>
              </w:rPr>
              <w:t>Specialty</w:t>
            </w:r>
          </w:p>
        </w:tc>
        <w:tc>
          <w:tcPr>
            <w:tcW w:w="3761" w:type="dxa"/>
          </w:tcPr>
          <w:p w14:paraId="104F34AD" w14:textId="77777777" w:rsidR="00817CB4" w:rsidRPr="002D330A" w:rsidRDefault="00817CB4" w:rsidP="0054375E">
            <w:pPr>
              <w:pStyle w:val="TableHeader"/>
              <w:cnfStyle w:val="100000000000" w:firstRow="1" w:lastRow="0" w:firstColumn="0" w:lastColumn="0" w:oddVBand="0" w:evenVBand="0" w:oddHBand="0" w:evenHBand="0" w:firstRowFirstColumn="0" w:firstRowLastColumn="0" w:lastRowFirstColumn="0" w:lastRowLastColumn="0"/>
              <w:rPr>
                <w:rFonts w:cs="Arial"/>
              </w:rPr>
            </w:pPr>
            <w:r w:rsidRPr="002D330A">
              <w:rPr>
                <w:rFonts w:cs="Arial"/>
              </w:rPr>
              <w:t>Description</w:t>
            </w:r>
          </w:p>
        </w:tc>
        <w:tc>
          <w:tcPr>
            <w:tcW w:w="1170" w:type="dxa"/>
          </w:tcPr>
          <w:p w14:paraId="49A49B1A" w14:textId="77777777" w:rsidR="00817CB4" w:rsidRPr="002D330A" w:rsidRDefault="00817CB4" w:rsidP="0054375E">
            <w:pPr>
              <w:pStyle w:val="TableHeader"/>
              <w:cnfStyle w:val="100000000000" w:firstRow="1" w:lastRow="0" w:firstColumn="0" w:lastColumn="0" w:oddVBand="0" w:evenVBand="0" w:oddHBand="0" w:evenHBand="0" w:firstRowFirstColumn="0" w:firstRowLastColumn="0" w:lastRowFirstColumn="0" w:lastRowLastColumn="0"/>
              <w:rPr>
                <w:rFonts w:cs="Arial"/>
              </w:rPr>
            </w:pPr>
            <w:r w:rsidRPr="002D330A">
              <w:rPr>
                <w:rFonts w:cs="Arial"/>
              </w:rPr>
              <w:t>Specialty</w:t>
            </w:r>
          </w:p>
        </w:tc>
        <w:tc>
          <w:tcPr>
            <w:tcW w:w="4074" w:type="dxa"/>
          </w:tcPr>
          <w:p w14:paraId="4ADF0E82" w14:textId="77777777" w:rsidR="00817CB4" w:rsidRPr="002D330A" w:rsidRDefault="00817CB4" w:rsidP="0054375E">
            <w:pPr>
              <w:pStyle w:val="TableHeader"/>
              <w:cnfStyle w:val="100000000000" w:firstRow="1" w:lastRow="0" w:firstColumn="0" w:lastColumn="0" w:oddVBand="0" w:evenVBand="0" w:oddHBand="0" w:evenHBand="0" w:firstRowFirstColumn="0" w:firstRowLastColumn="0" w:lastRowFirstColumn="0" w:lastRowLastColumn="0"/>
              <w:rPr>
                <w:rFonts w:cs="Arial"/>
              </w:rPr>
            </w:pPr>
            <w:r w:rsidRPr="002D330A">
              <w:rPr>
                <w:rFonts w:cs="Arial"/>
              </w:rPr>
              <w:t>Description</w:t>
            </w:r>
          </w:p>
        </w:tc>
      </w:tr>
      <w:tr w:rsidR="00817CB4" w14:paraId="4061FDD7"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CCCE6DD" w14:textId="77777777" w:rsidR="00817CB4" w:rsidRPr="00733FD8" w:rsidRDefault="00817CB4" w:rsidP="00733FD8">
            <w:pPr>
              <w:pStyle w:val="Tabletextleft"/>
            </w:pPr>
            <w:r w:rsidRPr="00733FD8">
              <w:t>104</w:t>
            </w:r>
          </w:p>
        </w:tc>
        <w:tc>
          <w:tcPr>
            <w:tcW w:w="3761" w:type="dxa"/>
          </w:tcPr>
          <w:p w14:paraId="4BC17BA2"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Other Health professional - pre 1/11/96</w:t>
            </w:r>
          </w:p>
        </w:tc>
        <w:tc>
          <w:tcPr>
            <w:tcW w:w="1170" w:type="dxa"/>
          </w:tcPr>
          <w:p w14:paraId="58B0DD67"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450</w:t>
            </w:r>
          </w:p>
        </w:tc>
        <w:tc>
          <w:tcPr>
            <w:tcW w:w="4074" w:type="dxa"/>
          </w:tcPr>
          <w:p w14:paraId="142A934F"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North Coast NSW GP Training</w:t>
            </w:r>
          </w:p>
        </w:tc>
      </w:tr>
      <w:tr w:rsidR="00817CB4" w14:paraId="0A3D72DB"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A53E72B" w14:textId="77777777" w:rsidR="00817CB4" w:rsidRPr="00733FD8" w:rsidRDefault="00817CB4" w:rsidP="00733FD8">
            <w:pPr>
              <w:pStyle w:val="Tabletextleft"/>
            </w:pPr>
            <w:r w:rsidRPr="00733FD8">
              <w:t>130</w:t>
            </w:r>
          </w:p>
        </w:tc>
        <w:tc>
          <w:tcPr>
            <w:tcW w:w="3761" w:type="dxa"/>
          </w:tcPr>
          <w:p w14:paraId="4FD809BA"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Vocational Register</w:t>
            </w:r>
          </w:p>
        </w:tc>
        <w:tc>
          <w:tcPr>
            <w:tcW w:w="1170" w:type="dxa"/>
          </w:tcPr>
          <w:p w14:paraId="2DFA0BB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451</w:t>
            </w:r>
          </w:p>
        </w:tc>
        <w:tc>
          <w:tcPr>
            <w:tcW w:w="4074" w:type="dxa"/>
          </w:tcPr>
          <w:p w14:paraId="6CA17CCB"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Victoria Felix Medical Education</w:t>
            </w:r>
          </w:p>
        </w:tc>
      </w:tr>
      <w:tr w:rsidR="00817CB4" w14:paraId="5E885A7B"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26BFFD1" w14:textId="77777777" w:rsidR="00817CB4" w:rsidRPr="00733FD8" w:rsidRDefault="00817CB4" w:rsidP="00733FD8">
            <w:pPr>
              <w:pStyle w:val="Tabletextleft"/>
            </w:pPr>
            <w:r w:rsidRPr="00733FD8">
              <w:t>131</w:t>
            </w:r>
          </w:p>
        </w:tc>
        <w:tc>
          <w:tcPr>
            <w:tcW w:w="3761" w:type="dxa"/>
          </w:tcPr>
          <w:p w14:paraId="3441E0F9"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RACGP Trainee</w:t>
            </w:r>
          </w:p>
        </w:tc>
        <w:tc>
          <w:tcPr>
            <w:tcW w:w="1170" w:type="dxa"/>
          </w:tcPr>
          <w:p w14:paraId="5E608799"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452</w:t>
            </w:r>
          </w:p>
        </w:tc>
        <w:tc>
          <w:tcPr>
            <w:tcW w:w="4074" w:type="dxa"/>
          </w:tcPr>
          <w:p w14:paraId="383EDBF0"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Rural Health Ed/Dev West (RHEDWEST)</w:t>
            </w:r>
          </w:p>
        </w:tc>
      </w:tr>
      <w:tr w:rsidR="00817CB4" w14:paraId="2654A869"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00407C9" w14:textId="77777777" w:rsidR="00817CB4" w:rsidRPr="00733FD8" w:rsidRDefault="00817CB4" w:rsidP="00733FD8">
            <w:pPr>
              <w:pStyle w:val="Tabletextleft"/>
            </w:pPr>
            <w:r w:rsidRPr="00733FD8">
              <w:t>132</w:t>
            </w:r>
          </w:p>
        </w:tc>
        <w:tc>
          <w:tcPr>
            <w:tcW w:w="3761" w:type="dxa"/>
          </w:tcPr>
          <w:p w14:paraId="25AB8176"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FRACGP</w:t>
            </w:r>
          </w:p>
        </w:tc>
        <w:tc>
          <w:tcPr>
            <w:tcW w:w="1170" w:type="dxa"/>
          </w:tcPr>
          <w:p w14:paraId="3F9264BC"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453</w:t>
            </w:r>
          </w:p>
        </w:tc>
        <w:tc>
          <w:tcPr>
            <w:tcW w:w="4074" w:type="dxa"/>
          </w:tcPr>
          <w:p w14:paraId="6E2F441B" w14:textId="77777777" w:rsidR="00817CB4" w:rsidRPr="00733FD8" w:rsidRDefault="00817CB4" w:rsidP="61716D05">
            <w:pPr>
              <w:pStyle w:val="Tabletextright"/>
              <w:cnfStyle w:val="000000010000" w:firstRow="0" w:lastRow="0" w:firstColumn="0" w:lastColumn="0" w:oddVBand="0" w:evenVBand="0" w:oddHBand="0" w:evenHBand="1" w:firstRowFirstColumn="0" w:firstRowLastColumn="0" w:lastRowFirstColumn="0" w:lastRowLastColumn="0"/>
            </w:pPr>
            <w:r w:rsidRPr="61716D05">
              <w:t xml:space="preserve">GPET - </w:t>
            </w:r>
            <w:proofErr w:type="spellStart"/>
            <w:r w:rsidRPr="61716D05">
              <w:t>GPlogic</w:t>
            </w:r>
            <w:proofErr w:type="spellEnd"/>
          </w:p>
        </w:tc>
      </w:tr>
      <w:tr w:rsidR="00817CB4" w14:paraId="46099841"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18CD8D81" w14:textId="77777777" w:rsidR="00817CB4" w:rsidRPr="00733FD8" w:rsidRDefault="00817CB4" w:rsidP="00733FD8">
            <w:pPr>
              <w:pStyle w:val="Tabletextleft"/>
            </w:pPr>
            <w:r w:rsidRPr="00733FD8">
              <w:t>133</w:t>
            </w:r>
          </w:p>
        </w:tc>
        <w:tc>
          <w:tcPr>
            <w:tcW w:w="3761" w:type="dxa"/>
          </w:tcPr>
          <w:p w14:paraId="20BA3AAC"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RACGP Trainee Post 1/11/96</w:t>
            </w:r>
          </w:p>
        </w:tc>
        <w:tc>
          <w:tcPr>
            <w:tcW w:w="1170" w:type="dxa"/>
          </w:tcPr>
          <w:p w14:paraId="2369A3CA"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454</w:t>
            </w:r>
          </w:p>
        </w:tc>
        <w:tc>
          <w:tcPr>
            <w:tcW w:w="4074" w:type="dxa"/>
          </w:tcPr>
          <w:p w14:paraId="26BD44EA"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GPET - GP Synergy</w:t>
            </w:r>
          </w:p>
        </w:tc>
      </w:tr>
      <w:tr w:rsidR="00817CB4" w14:paraId="6088CA05"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922C7E2" w14:textId="77777777" w:rsidR="00817CB4" w:rsidRPr="00733FD8" w:rsidRDefault="00817CB4" w:rsidP="00733FD8">
            <w:pPr>
              <w:pStyle w:val="Tabletextleft"/>
            </w:pPr>
            <w:r w:rsidRPr="00733FD8">
              <w:t>134</w:t>
            </w:r>
          </w:p>
        </w:tc>
        <w:tc>
          <w:tcPr>
            <w:tcW w:w="3761" w:type="dxa"/>
          </w:tcPr>
          <w:p w14:paraId="465B13E0"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RACGP Trainee 1/1/99</w:t>
            </w:r>
          </w:p>
        </w:tc>
        <w:tc>
          <w:tcPr>
            <w:tcW w:w="1170" w:type="dxa"/>
          </w:tcPr>
          <w:p w14:paraId="2F164C12"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455</w:t>
            </w:r>
          </w:p>
        </w:tc>
        <w:tc>
          <w:tcPr>
            <w:tcW w:w="4074" w:type="dxa"/>
          </w:tcPr>
          <w:p w14:paraId="05712443"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GPET - Beyond Medical Education</w:t>
            </w:r>
          </w:p>
        </w:tc>
      </w:tr>
      <w:tr w:rsidR="00817CB4" w14:paraId="67E7CAFC"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ABB1E0B" w14:textId="77777777" w:rsidR="00817CB4" w:rsidRPr="00733FD8" w:rsidRDefault="00817CB4" w:rsidP="00733FD8">
            <w:pPr>
              <w:pStyle w:val="Tabletextleft"/>
            </w:pPr>
            <w:r w:rsidRPr="00733FD8">
              <w:t>176</w:t>
            </w:r>
          </w:p>
        </w:tc>
        <w:tc>
          <w:tcPr>
            <w:tcW w:w="3761" w:type="dxa"/>
          </w:tcPr>
          <w:p w14:paraId="777C9257"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Remote Vocational Training Scheme</w:t>
            </w:r>
          </w:p>
        </w:tc>
        <w:tc>
          <w:tcPr>
            <w:tcW w:w="1170" w:type="dxa"/>
          </w:tcPr>
          <w:p w14:paraId="010707AC"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456</w:t>
            </w:r>
          </w:p>
        </w:tc>
        <w:tc>
          <w:tcPr>
            <w:tcW w:w="4074" w:type="dxa"/>
          </w:tcPr>
          <w:p w14:paraId="05BE12E7"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GPET - Southern GP Training</w:t>
            </w:r>
          </w:p>
        </w:tc>
      </w:tr>
      <w:tr w:rsidR="00817CB4" w14:paraId="7A5CCF9C"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42630B2F" w14:textId="77777777" w:rsidR="00817CB4" w:rsidRPr="00733FD8" w:rsidRDefault="00817CB4" w:rsidP="00733FD8">
            <w:pPr>
              <w:pStyle w:val="Tabletextleft"/>
            </w:pPr>
            <w:r w:rsidRPr="00733FD8">
              <w:t>177</w:t>
            </w:r>
          </w:p>
        </w:tc>
        <w:tc>
          <w:tcPr>
            <w:tcW w:w="3761" w:type="dxa"/>
          </w:tcPr>
          <w:p w14:paraId="6CB0D84C"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Queensland Country Relieving Program – QCRP</w:t>
            </w:r>
          </w:p>
        </w:tc>
        <w:tc>
          <w:tcPr>
            <w:tcW w:w="1170" w:type="dxa"/>
          </w:tcPr>
          <w:p w14:paraId="5766CDB9"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457</w:t>
            </w:r>
          </w:p>
        </w:tc>
        <w:tc>
          <w:tcPr>
            <w:tcW w:w="4074" w:type="dxa"/>
          </w:tcPr>
          <w:p w14:paraId="1DEF24A0"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GP Training - Murray City Country Coast</w:t>
            </w:r>
          </w:p>
        </w:tc>
      </w:tr>
      <w:tr w:rsidR="00817CB4" w14:paraId="5A137848"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55958A6F" w14:textId="77777777" w:rsidR="00817CB4" w:rsidRPr="00733FD8" w:rsidRDefault="00817CB4" w:rsidP="00733FD8">
            <w:pPr>
              <w:pStyle w:val="Tabletextleft"/>
            </w:pPr>
            <w:r w:rsidRPr="00733FD8">
              <w:t>178</w:t>
            </w:r>
          </w:p>
        </w:tc>
        <w:tc>
          <w:tcPr>
            <w:tcW w:w="3761" w:type="dxa"/>
          </w:tcPr>
          <w:p w14:paraId="64EC9A6A"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Prevocational General Practice Placements Program</w:t>
            </w:r>
          </w:p>
        </w:tc>
        <w:tc>
          <w:tcPr>
            <w:tcW w:w="1170" w:type="dxa"/>
          </w:tcPr>
          <w:p w14:paraId="63ECC965"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458</w:t>
            </w:r>
          </w:p>
        </w:tc>
        <w:tc>
          <w:tcPr>
            <w:tcW w:w="4074" w:type="dxa"/>
          </w:tcPr>
          <w:p w14:paraId="0DF70F52"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Eastern Victoria GP Training</w:t>
            </w:r>
          </w:p>
        </w:tc>
      </w:tr>
      <w:tr w:rsidR="00817CB4" w14:paraId="5CC2CAF2"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7FA448A" w14:textId="77777777" w:rsidR="00817CB4" w:rsidRPr="00733FD8" w:rsidRDefault="00817CB4" w:rsidP="00733FD8">
            <w:pPr>
              <w:pStyle w:val="Tabletextleft"/>
            </w:pPr>
            <w:r w:rsidRPr="00733FD8">
              <w:t>179</w:t>
            </w:r>
          </w:p>
        </w:tc>
        <w:tc>
          <w:tcPr>
            <w:tcW w:w="3761" w:type="dxa"/>
          </w:tcPr>
          <w:p w14:paraId="17242891"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Special Approved Placements Program (SAPP)</w:t>
            </w:r>
          </w:p>
        </w:tc>
        <w:tc>
          <w:tcPr>
            <w:tcW w:w="1170" w:type="dxa"/>
          </w:tcPr>
          <w:p w14:paraId="6135129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459</w:t>
            </w:r>
          </w:p>
        </w:tc>
        <w:tc>
          <w:tcPr>
            <w:tcW w:w="4074" w:type="dxa"/>
          </w:tcPr>
          <w:p w14:paraId="4C1856B2"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61716D05">
              <w:t>GP Training - South Eastern Queensland</w:t>
            </w:r>
          </w:p>
        </w:tc>
      </w:tr>
      <w:tr w:rsidR="00817CB4" w14:paraId="69031675"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7F08F6A" w14:textId="77777777" w:rsidR="00817CB4" w:rsidRPr="00733FD8" w:rsidRDefault="00817CB4" w:rsidP="00733FD8">
            <w:pPr>
              <w:pStyle w:val="Tabletextleft"/>
            </w:pPr>
            <w:r w:rsidRPr="00733FD8">
              <w:t>180</w:t>
            </w:r>
          </w:p>
        </w:tc>
        <w:tc>
          <w:tcPr>
            <w:tcW w:w="3761" w:type="dxa"/>
          </w:tcPr>
          <w:p w14:paraId="22BAA5C2"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Temporary Resident Doctor (TRD)</w:t>
            </w:r>
          </w:p>
        </w:tc>
        <w:tc>
          <w:tcPr>
            <w:tcW w:w="1170" w:type="dxa"/>
          </w:tcPr>
          <w:p w14:paraId="6D75CB8E"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460</w:t>
            </w:r>
          </w:p>
        </w:tc>
        <w:tc>
          <w:tcPr>
            <w:tcW w:w="4074" w:type="dxa"/>
          </w:tcPr>
          <w:p w14:paraId="5B0EFCBF"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James Cook University</w:t>
            </w:r>
          </w:p>
        </w:tc>
      </w:tr>
      <w:tr w:rsidR="00817CB4" w14:paraId="204A802F"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6817600" w14:textId="77777777" w:rsidR="00817CB4" w:rsidRPr="00733FD8" w:rsidRDefault="00817CB4" w:rsidP="00733FD8">
            <w:pPr>
              <w:pStyle w:val="Tabletextleft"/>
            </w:pPr>
            <w:r w:rsidRPr="00733FD8">
              <w:t>182</w:t>
            </w:r>
          </w:p>
        </w:tc>
        <w:tc>
          <w:tcPr>
            <w:tcW w:w="3761" w:type="dxa"/>
          </w:tcPr>
          <w:p w14:paraId="1F989C45"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Occupational Trainee (OT)</w:t>
            </w:r>
          </w:p>
        </w:tc>
        <w:tc>
          <w:tcPr>
            <w:tcW w:w="1170" w:type="dxa"/>
          </w:tcPr>
          <w:p w14:paraId="3CAFB45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461</w:t>
            </w:r>
          </w:p>
        </w:tc>
        <w:tc>
          <w:tcPr>
            <w:tcW w:w="4074" w:type="dxa"/>
          </w:tcPr>
          <w:p w14:paraId="3BA767EB"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GP Training - GP Synergy Ltd Western NSW</w:t>
            </w:r>
          </w:p>
        </w:tc>
      </w:tr>
      <w:tr w:rsidR="00817CB4" w14:paraId="1568750B"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65244E6F" w14:textId="77777777" w:rsidR="00817CB4" w:rsidRPr="00733FD8" w:rsidRDefault="00817CB4" w:rsidP="00733FD8">
            <w:pPr>
              <w:pStyle w:val="Tabletextleft"/>
            </w:pPr>
            <w:r w:rsidRPr="00733FD8">
              <w:t>186</w:t>
            </w:r>
          </w:p>
        </w:tc>
        <w:tc>
          <w:tcPr>
            <w:tcW w:w="3761" w:type="dxa"/>
          </w:tcPr>
          <w:p w14:paraId="3CE1DD7A"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RURAL OTHER MEDICAL PRACTITIONER</w:t>
            </w:r>
          </w:p>
        </w:tc>
        <w:tc>
          <w:tcPr>
            <w:tcW w:w="1170" w:type="dxa"/>
          </w:tcPr>
          <w:p w14:paraId="3FFA7367"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462</w:t>
            </w:r>
          </w:p>
        </w:tc>
        <w:tc>
          <w:tcPr>
            <w:tcW w:w="4074" w:type="dxa"/>
          </w:tcPr>
          <w:p w14:paraId="062A0758"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GP Synergy Ltd Lower Eastern NSW</w:t>
            </w:r>
          </w:p>
        </w:tc>
      </w:tr>
      <w:tr w:rsidR="00817CB4" w14:paraId="46C8EC4F"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635ED1B4" w14:textId="77777777" w:rsidR="00817CB4" w:rsidRPr="00733FD8" w:rsidRDefault="00817CB4" w:rsidP="00733FD8">
            <w:pPr>
              <w:pStyle w:val="Tabletextleft"/>
            </w:pPr>
            <w:r w:rsidRPr="00733FD8">
              <w:t>188</w:t>
            </w:r>
          </w:p>
        </w:tc>
        <w:tc>
          <w:tcPr>
            <w:tcW w:w="3761" w:type="dxa"/>
          </w:tcPr>
          <w:p w14:paraId="479FD4C3"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proofErr w:type="spellStart"/>
            <w:r w:rsidRPr="61716D05">
              <w:t>MedicarePlus</w:t>
            </w:r>
            <w:proofErr w:type="spellEnd"/>
            <w:r w:rsidRPr="61716D05">
              <w:t xml:space="preserve"> OMPs Participation Program</w:t>
            </w:r>
          </w:p>
        </w:tc>
        <w:tc>
          <w:tcPr>
            <w:tcW w:w="1170" w:type="dxa"/>
          </w:tcPr>
          <w:p w14:paraId="59B205AB"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463</w:t>
            </w:r>
          </w:p>
        </w:tc>
        <w:tc>
          <w:tcPr>
            <w:tcW w:w="4074" w:type="dxa"/>
          </w:tcPr>
          <w:p w14:paraId="1D90603E" w14:textId="77777777" w:rsidR="00817CB4" w:rsidRPr="00733FD8" w:rsidRDefault="00817CB4" w:rsidP="61716D05">
            <w:pPr>
              <w:pStyle w:val="Tabletextright"/>
              <w:cnfStyle w:val="000000010000" w:firstRow="0" w:lastRow="0" w:firstColumn="0" w:lastColumn="0" w:oddVBand="0" w:evenVBand="0" w:oddHBand="0" w:evenHBand="1" w:firstRowFirstColumn="0" w:firstRowLastColumn="0" w:lastRowFirstColumn="0" w:lastRowLastColumn="0"/>
            </w:pPr>
            <w:r w:rsidRPr="61716D05">
              <w:t xml:space="preserve">GP Training - </w:t>
            </w:r>
            <w:proofErr w:type="spellStart"/>
            <w:r w:rsidRPr="61716D05">
              <w:t>GPEx</w:t>
            </w:r>
            <w:proofErr w:type="spellEnd"/>
          </w:p>
        </w:tc>
      </w:tr>
      <w:tr w:rsidR="00817CB4" w14:paraId="50A56622"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51E7EF9" w14:textId="77777777" w:rsidR="00817CB4" w:rsidRPr="00733FD8" w:rsidRDefault="00817CB4" w:rsidP="00733FD8">
            <w:pPr>
              <w:pStyle w:val="Tabletextleft"/>
            </w:pPr>
            <w:r w:rsidRPr="00733FD8">
              <w:t>189</w:t>
            </w:r>
          </w:p>
        </w:tc>
        <w:tc>
          <w:tcPr>
            <w:tcW w:w="3761" w:type="dxa"/>
          </w:tcPr>
          <w:p w14:paraId="1DF9DBFE"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proofErr w:type="spellStart"/>
            <w:r w:rsidRPr="61716D05">
              <w:t>MedicarePlus</w:t>
            </w:r>
            <w:proofErr w:type="spellEnd"/>
            <w:r w:rsidRPr="61716D05">
              <w:t xml:space="preserve"> OMPs Ongoing &gt; 5 years Program</w:t>
            </w:r>
          </w:p>
        </w:tc>
        <w:tc>
          <w:tcPr>
            <w:tcW w:w="1170" w:type="dxa"/>
          </w:tcPr>
          <w:p w14:paraId="15796855"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464</w:t>
            </w:r>
          </w:p>
        </w:tc>
        <w:tc>
          <w:tcPr>
            <w:tcW w:w="4074" w:type="dxa"/>
          </w:tcPr>
          <w:p w14:paraId="6DA43C2C"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Western Australia GPET</w:t>
            </w:r>
          </w:p>
        </w:tc>
      </w:tr>
      <w:tr w:rsidR="00817CB4" w14:paraId="25B09861"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44C13D2" w14:textId="77777777" w:rsidR="00817CB4" w:rsidRPr="00733FD8" w:rsidRDefault="00817CB4" w:rsidP="00733FD8">
            <w:pPr>
              <w:pStyle w:val="Tabletextleft"/>
            </w:pPr>
            <w:r w:rsidRPr="00733FD8">
              <w:t>190</w:t>
            </w:r>
          </w:p>
        </w:tc>
        <w:tc>
          <w:tcPr>
            <w:tcW w:w="3761" w:type="dxa"/>
          </w:tcPr>
          <w:p w14:paraId="25A14797"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Local Rural/Remote Relief (RLRP)</w:t>
            </w:r>
          </w:p>
        </w:tc>
        <w:tc>
          <w:tcPr>
            <w:tcW w:w="1170" w:type="dxa"/>
          </w:tcPr>
          <w:p w14:paraId="37443FB3"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465</w:t>
            </w:r>
          </w:p>
        </w:tc>
        <w:tc>
          <w:tcPr>
            <w:tcW w:w="4074" w:type="dxa"/>
          </w:tcPr>
          <w:p w14:paraId="504C99AE"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61716D05">
              <w:t>GP Training - GP Synergy North Eastern NSW</w:t>
            </w:r>
          </w:p>
        </w:tc>
      </w:tr>
      <w:tr w:rsidR="00817CB4" w14:paraId="5D984174"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2D297DC" w14:textId="77777777" w:rsidR="00817CB4" w:rsidRPr="00733FD8" w:rsidRDefault="00817CB4" w:rsidP="00733FD8">
            <w:pPr>
              <w:pStyle w:val="Tabletextleft"/>
            </w:pPr>
            <w:r w:rsidRPr="00733FD8">
              <w:t>194</w:t>
            </w:r>
          </w:p>
        </w:tc>
        <w:tc>
          <w:tcPr>
            <w:tcW w:w="3761" w:type="dxa"/>
          </w:tcPr>
          <w:p w14:paraId="6418857F"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AMDS Program Approved Placement</w:t>
            </w:r>
          </w:p>
        </w:tc>
        <w:tc>
          <w:tcPr>
            <w:tcW w:w="1170" w:type="dxa"/>
          </w:tcPr>
          <w:p w14:paraId="1BC64A49"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466</w:t>
            </w:r>
          </w:p>
        </w:tc>
        <w:tc>
          <w:tcPr>
            <w:tcW w:w="4074" w:type="dxa"/>
          </w:tcPr>
          <w:p w14:paraId="211C8147"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Tasmanian GP Ed and Training</w:t>
            </w:r>
          </w:p>
        </w:tc>
      </w:tr>
      <w:tr w:rsidR="00817CB4" w14:paraId="1BDB046B"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513F5FA" w14:textId="77777777" w:rsidR="00817CB4" w:rsidRPr="00733FD8" w:rsidRDefault="00817CB4" w:rsidP="00733FD8">
            <w:pPr>
              <w:pStyle w:val="Tabletextleft"/>
            </w:pPr>
            <w:r w:rsidRPr="00733FD8">
              <w:t>196</w:t>
            </w:r>
          </w:p>
        </w:tc>
        <w:tc>
          <w:tcPr>
            <w:tcW w:w="3761" w:type="dxa"/>
          </w:tcPr>
          <w:p w14:paraId="59D054CE"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ACRRM Program Approved Placement</w:t>
            </w:r>
          </w:p>
        </w:tc>
        <w:tc>
          <w:tcPr>
            <w:tcW w:w="1170" w:type="dxa"/>
          </w:tcPr>
          <w:p w14:paraId="28524CA3"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467</w:t>
            </w:r>
          </w:p>
        </w:tc>
        <w:tc>
          <w:tcPr>
            <w:tcW w:w="4074" w:type="dxa"/>
          </w:tcPr>
          <w:p w14:paraId="7852CEF8"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GP Training - NT GP Education</w:t>
            </w:r>
          </w:p>
        </w:tc>
      </w:tr>
      <w:tr w:rsidR="00817CB4" w14:paraId="163519F6"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C454E52" w14:textId="77777777" w:rsidR="00817CB4" w:rsidRPr="00733FD8" w:rsidRDefault="00817CB4" w:rsidP="00733FD8">
            <w:pPr>
              <w:pStyle w:val="Tabletextleft"/>
            </w:pPr>
            <w:r w:rsidRPr="00733FD8">
              <w:t>197</w:t>
            </w:r>
          </w:p>
        </w:tc>
        <w:tc>
          <w:tcPr>
            <w:tcW w:w="3761" w:type="dxa"/>
          </w:tcPr>
          <w:p w14:paraId="49DA6446"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APED Program Approved Placement</w:t>
            </w:r>
          </w:p>
        </w:tc>
        <w:tc>
          <w:tcPr>
            <w:tcW w:w="1170" w:type="dxa"/>
          </w:tcPr>
          <w:p w14:paraId="5A45AC04"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468</w:t>
            </w:r>
          </w:p>
        </w:tc>
        <w:tc>
          <w:tcPr>
            <w:tcW w:w="4074" w:type="dxa"/>
          </w:tcPr>
          <w:p w14:paraId="3DE50672"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ACRRM - GP Pathway</w:t>
            </w:r>
          </w:p>
        </w:tc>
      </w:tr>
      <w:tr w:rsidR="00817CB4" w14:paraId="5F9E464C"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E319DFB" w14:textId="77777777" w:rsidR="00817CB4" w:rsidRPr="00733FD8" w:rsidRDefault="00817CB4" w:rsidP="00733FD8">
            <w:pPr>
              <w:pStyle w:val="Tabletextleft"/>
            </w:pPr>
            <w:r w:rsidRPr="00733FD8">
              <w:lastRenderedPageBreak/>
              <w:t>198</w:t>
            </w:r>
          </w:p>
        </w:tc>
        <w:tc>
          <w:tcPr>
            <w:tcW w:w="3761" w:type="dxa"/>
          </w:tcPr>
          <w:p w14:paraId="20864EB9"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Temporary Resident Other Medical Practitioners (TROMP) Program Approved Program</w:t>
            </w:r>
          </w:p>
        </w:tc>
        <w:tc>
          <w:tcPr>
            <w:tcW w:w="1170" w:type="dxa"/>
          </w:tcPr>
          <w:p w14:paraId="5B86CCF2"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470</w:t>
            </w:r>
          </w:p>
        </w:tc>
        <w:tc>
          <w:tcPr>
            <w:tcW w:w="4074" w:type="dxa"/>
          </w:tcPr>
          <w:p w14:paraId="5D715387"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ACRRM Fellowship Program - ACRRM</w:t>
            </w:r>
          </w:p>
        </w:tc>
      </w:tr>
      <w:tr w:rsidR="00817CB4" w14:paraId="7BF5B139"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55FBACCC" w14:textId="77777777" w:rsidR="00817CB4" w:rsidRPr="00733FD8" w:rsidRDefault="00817CB4" w:rsidP="00733FD8">
            <w:pPr>
              <w:pStyle w:val="Tabletextleft"/>
            </w:pPr>
            <w:r w:rsidRPr="00733FD8">
              <w:t>199</w:t>
            </w:r>
          </w:p>
        </w:tc>
        <w:tc>
          <w:tcPr>
            <w:tcW w:w="3761" w:type="dxa"/>
          </w:tcPr>
          <w:p w14:paraId="3320EA1F"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AFTER HOURS OMPS PROGRAM</w:t>
            </w:r>
          </w:p>
        </w:tc>
        <w:tc>
          <w:tcPr>
            <w:tcW w:w="1170" w:type="dxa"/>
          </w:tcPr>
          <w:p w14:paraId="10C28334"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471</w:t>
            </w:r>
          </w:p>
        </w:tc>
        <w:tc>
          <w:tcPr>
            <w:tcW w:w="4074" w:type="dxa"/>
          </w:tcPr>
          <w:p w14:paraId="11301080"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AGPT - ACRRM</w:t>
            </w:r>
          </w:p>
        </w:tc>
      </w:tr>
      <w:tr w:rsidR="00817CB4" w14:paraId="2C787434"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1B9CD6CA" w14:textId="77777777" w:rsidR="00817CB4" w:rsidRPr="00733FD8" w:rsidRDefault="00817CB4" w:rsidP="00733FD8">
            <w:pPr>
              <w:pStyle w:val="Tabletextleft"/>
            </w:pPr>
            <w:r w:rsidRPr="00733FD8">
              <w:t>430</w:t>
            </w:r>
          </w:p>
        </w:tc>
        <w:tc>
          <w:tcPr>
            <w:tcW w:w="3761" w:type="dxa"/>
          </w:tcPr>
          <w:p w14:paraId="6AE8B941"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GPEA/GPET</w:t>
            </w:r>
          </w:p>
        </w:tc>
        <w:tc>
          <w:tcPr>
            <w:tcW w:w="1170" w:type="dxa"/>
          </w:tcPr>
          <w:p w14:paraId="7D17E374"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472</w:t>
            </w:r>
          </w:p>
        </w:tc>
        <w:tc>
          <w:tcPr>
            <w:tcW w:w="4074" w:type="dxa"/>
          </w:tcPr>
          <w:p w14:paraId="187DC843"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ACRRM Independent Pathway post 1/1/2019</w:t>
            </w:r>
          </w:p>
        </w:tc>
      </w:tr>
      <w:tr w:rsidR="00817CB4" w14:paraId="0557E19C"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40EBBC5" w14:textId="77777777" w:rsidR="00817CB4" w:rsidRPr="00733FD8" w:rsidRDefault="00817CB4" w:rsidP="00733FD8">
            <w:pPr>
              <w:pStyle w:val="Tabletextleft"/>
            </w:pPr>
            <w:r w:rsidRPr="00733FD8">
              <w:t>431</w:t>
            </w:r>
          </w:p>
        </w:tc>
        <w:tc>
          <w:tcPr>
            <w:tcW w:w="3761" w:type="dxa"/>
          </w:tcPr>
          <w:p w14:paraId="644635FA"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61716D05">
              <w:t xml:space="preserve">GPET Stuart - </w:t>
            </w:r>
            <w:proofErr w:type="spellStart"/>
            <w:r w:rsidRPr="61716D05">
              <w:t>Fleurieu</w:t>
            </w:r>
            <w:proofErr w:type="spellEnd"/>
            <w:r w:rsidRPr="61716D05">
              <w:t xml:space="preserve"> GP Training</w:t>
            </w:r>
          </w:p>
        </w:tc>
        <w:tc>
          <w:tcPr>
            <w:tcW w:w="1170" w:type="dxa"/>
          </w:tcPr>
          <w:p w14:paraId="7491A79C"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473</w:t>
            </w:r>
          </w:p>
        </w:tc>
        <w:tc>
          <w:tcPr>
            <w:tcW w:w="4074" w:type="dxa"/>
          </w:tcPr>
          <w:p w14:paraId="12D80C2D"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RVTS - ACRRM</w:t>
            </w:r>
          </w:p>
        </w:tc>
      </w:tr>
      <w:tr w:rsidR="00817CB4" w14:paraId="6CAB74B8"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1776C72F" w14:textId="77777777" w:rsidR="00817CB4" w:rsidRPr="00733FD8" w:rsidRDefault="00817CB4" w:rsidP="00733FD8">
            <w:pPr>
              <w:pStyle w:val="Tabletextleft"/>
            </w:pPr>
            <w:r w:rsidRPr="00733FD8">
              <w:t>432</w:t>
            </w:r>
          </w:p>
        </w:tc>
        <w:tc>
          <w:tcPr>
            <w:tcW w:w="3761" w:type="dxa"/>
          </w:tcPr>
          <w:p w14:paraId="42C421AD"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Training Valley to Coast</w:t>
            </w:r>
          </w:p>
        </w:tc>
        <w:tc>
          <w:tcPr>
            <w:tcW w:w="1170" w:type="dxa"/>
          </w:tcPr>
          <w:p w14:paraId="794CCE40"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474</w:t>
            </w:r>
          </w:p>
        </w:tc>
        <w:tc>
          <w:tcPr>
            <w:tcW w:w="4074" w:type="dxa"/>
          </w:tcPr>
          <w:p w14:paraId="12915661"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AGPT - RACGP</w:t>
            </w:r>
          </w:p>
        </w:tc>
      </w:tr>
      <w:tr w:rsidR="00817CB4" w14:paraId="2C466C0E"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8A99A81" w14:textId="77777777" w:rsidR="00817CB4" w:rsidRPr="00733FD8" w:rsidRDefault="00817CB4" w:rsidP="00733FD8">
            <w:pPr>
              <w:pStyle w:val="Tabletextleft"/>
            </w:pPr>
            <w:r w:rsidRPr="00733FD8">
              <w:t>433</w:t>
            </w:r>
          </w:p>
        </w:tc>
        <w:tc>
          <w:tcPr>
            <w:tcW w:w="3761" w:type="dxa"/>
          </w:tcPr>
          <w:p w14:paraId="6D98EA74"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Institute of GP Education</w:t>
            </w:r>
          </w:p>
        </w:tc>
        <w:tc>
          <w:tcPr>
            <w:tcW w:w="1170" w:type="dxa"/>
          </w:tcPr>
          <w:p w14:paraId="1E6748B2"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475</w:t>
            </w:r>
          </w:p>
        </w:tc>
        <w:tc>
          <w:tcPr>
            <w:tcW w:w="4074" w:type="dxa"/>
          </w:tcPr>
          <w:p w14:paraId="7B5CA582"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RVTS - RACGP</w:t>
            </w:r>
          </w:p>
        </w:tc>
      </w:tr>
      <w:tr w:rsidR="00817CB4" w14:paraId="56385EEA"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4AC2A6E" w14:textId="77777777" w:rsidR="00817CB4" w:rsidRPr="00733FD8" w:rsidRDefault="00817CB4" w:rsidP="00733FD8">
            <w:pPr>
              <w:pStyle w:val="Tabletextleft"/>
            </w:pPr>
            <w:r w:rsidRPr="00733FD8">
              <w:t>434</w:t>
            </w:r>
          </w:p>
        </w:tc>
        <w:tc>
          <w:tcPr>
            <w:tcW w:w="3761" w:type="dxa"/>
          </w:tcPr>
          <w:p w14:paraId="7BE49387" w14:textId="678A1F53"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Sydney Institu</w:t>
            </w:r>
            <w:r w:rsidR="006C7CB4">
              <w:t>t</w:t>
            </w:r>
            <w:r w:rsidRPr="00733FD8">
              <w:t>e of GP Ed</w:t>
            </w:r>
          </w:p>
        </w:tc>
        <w:tc>
          <w:tcPr>
            <w:tcW w:w="1170" w:type="dxa"/>
          </w:tcPr>
          <w:p w14:paraId="0AFC8C85"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476</w:t>
            </w:r>
          </w:p>
        </w:tc>
        <w:tc>
          <w:tcPr>
            <w:tcW w:w="4074" w:type="dxa"/>
          </w:tcPr>
          <w:p w14:paraId="15A78224"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RACGP Fellowship Program - RACGP</w:t>
            </w:r>
          </w:p>
        </w:tc>
      </w:tr>
      <w:tr w:rsidR="00817CB4" w14:paraId="608DCA07"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4B9E2DEB" w14:textId="77777777" w:rsidR="00817CB4" w:rsidRPr="00733FD8" w:rsidRDefault="00817CB4" w:rsidP="00733FD8">
            <w:pPr>
              <w:pStyle w:val="Tabletextleft"/>
            </w:pPr>
            <w:r w:rsidRPr="00733FD8">
              <w:t>435</w:t>
            </w:r>
          </w:p>
        </w:tc>
        <w:tc>
          <w:tcPr>
            <w:tcW w:w="3761" w:type="dxa"/>
          </w:tcPr>
          <w:p w14:paraId="0E547454"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Went West</w:t>
            </w:r>
          </w:p>
        </w:tc>
        <w:tc>
          <w:tcPr>
            <w:tcW w:w="1170" w:type="dxa"/>
          </w:tcPr>
          <w:p w14:paraId="58FF79D4"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477</w:t>
            </w:r>
          </w:p>
        </w:tc>
        <w:tc>
          <w:tcPr>
            <w:tcW w:w="4074" w:type="dxa"/>
          </w:tcPr>
          <w:p w14:paraId="5BF1A683"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ACRRM Fellowship Program - Health</w:t>
            </w:r>
          </w:p>
        </w:tc>
      </w:tr>
      <w:tr w:rsidR="00817CB4" w14:paraId="7A824F17"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A8C5199" w14:textId="77777777" w:rsidR="00817CB4" w:rsidRPr="00733FD8" w:rsidRDefault="00817CB4" w:rsidP="00733FD8">
            <w:pPr>
              <w:pStyle w:val="Tabletextleft"/>
            </w:pPr>
            <w:r w:rsidRPr="00733FD8">
              <w:t>436</w:t>
            </w:r>
          </w:p>
        </w:tc>
        <w:tc>
          <w:tcPr>
            <w:tcW w:w="3761" w:type="dxa"/>
          </w:tcPr>
          <w:p w14:paraId="3423395E"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NT GP Education</w:t>
            </w:r>
          </w:p>
        </w:tc>
        <w:tc>
          <w:tcPr>
            <w:tcW w:w="1170" w:type="dxa"/>
          </w:tcPr>
          <w:p w14:paraId="465C9C5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478</w:t>
            </w:r>
          </w:p>
        </w:tc>
        <w:tc>
          <w:tcPr>
            <w:tcW w:w="4074" w:type="dxa"/>
          </w:tcPr>
          <w:p w14:paraId="69E7BE74"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RVTS - Health</w:t>
            </w:r>
          </w:p>
        </w:tc>
      </w:tr>
      <w:tr w:rsidR="00817CB4" w14:paraId="737BD518"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4211538" w14:textId="77777777" w:rsidR="00817CB4" w:rsidRPr="00733FD8" w:rsidRDefault="00817CB4" w:rsidP="00733FD8">
            <w:pPr>
              <w:pStyle w:val="Tabletextleft"/>
            </w:pPr>
            <w:r w:rsidRPr="00733FD8">
              <w:t>437</w:t>
            </w:r>
          </w:p>
        </w:tc>
        <w:tc>
          <w:tcPr>
            <w:tcW w:w="3761" w:type="dxa"/>
          </w:tcPr>
          <w:p w14:paraId="34380CE4"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61716D05">
              <w:t xml:space="preserve">GPET Central and </w:t>
            </w:r>
            <w:proofErr w:type="spellStart"/>
            <w:r w:rsidRPr="61716D05">
              <w:t>Sthn</w:t>
            </w:r>
            <w:proofErr w:type="spellEnd"/>
            <w:r w:rsidRPr="61716D05">
              <w:t xml:space="preserve"> QLD</w:t>
            </w:r>
          </w:p>
        </w:tc>
        <w:tc>
          <w:tcPr>
            <w:tcW w:w="1170" w:type="dxa"/>
          </w:tcPr>
          <w:p w14:paraId="655350EE"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479</w:t>
            </w:r>
          </w:p>
        </w:tc>
        <w:tc>
          <w:tcPr>
            <w:tcW w:w="4074" w:type="dxa"/>
          </w:tcPr>
          <w:p w14:paraId="4854ACF4"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RACGP Fellowship Program - Health</w:t>
            </w:r>
          </w:p>
        </w:tc>
      </w:tr>
      <w:tr w:rsidR="00817CB4" w14:paraId="7F1F10E0"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0AAEC5B" w14:textId="77777777" w:rsidR="00817CB4" w:rsidRPr="00733FD8" w:rsidRDefault="00817CB4" w:rsidP="00733FD8">
            <w:pPr>
              <w:pStyle w:val="Tabletextleft"/>
            </w:pPr>
            <w:r w:rsidRPr="00733FD8">
              <w:t>438</w:t>
            </w:r>
          </w:p>
        </w:tc>
        <w:tc>
          <w:tcPr>
            <w:tcW w:w="3761" w:type="dxa"/>
          </w:tcPr>
          <w:p w14:paraId="683A5BF6"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Tropical Medical Education</w:t>
            </w:r>
          </w:p>
        </w:tc>
        <w:tc>
          <w:tcPr>
            <w:tcW w:w="1170" w:type="dxa"/>
          </w:tcPr>
          <w:p w14:paraId="21E6E4C7"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480</w:t>
            </w:r>
          </w:p>
        </w:tc>
        <w:tc>
          <w:tcPr>
            <w:tcW w:w="4074" w:type="dxa"/>
          </w:tcPr>
          <w:p w14:paraId="31E37C29"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MDRAP</w:t>
            </w:r>
          </w:p>
        </w:tc>
      </w:tr>
      <w:tr w:rsidR="00817CB4" w14:paraId="11846362"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65D7555D" w14:textId="77777777" w:rsidR="00817CB4" w:rsidRPr="00733FD8" w:rsidRDefault="00817CB4" w:rsidP="00733FD8">
            <w:pPr>
              <w:pStyle w:val="Tabletextleft"/>
            </w:pPr>
            <w:r w:rsidRPr="00733FD8">
              <w:t>439</w:t>
            </w:r>
          </w:p>
        </w:tc>
        <w:tc>
          <w:tcPr>
            <w:tcW w:w="3761" w:type="dxa"/>
          </w:tcPr>
          <w:p w14:paraId="10F2B185"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Rural and Regional QLD</w:t>
            </w:r>
          </w:p>
        </w:tc>
        <w:tc>
          <w:tcPr>
            <w:tcW w:w="1170" w:type="dxa"/>
          </w:tcPr>
          <w:p w14:paraId="499101E6"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481</w:t>
            </w:r>
          </w:p>
        </w:tc>
        <w:tc>
          <w:tcPr>
            <w:tcW w:w="4074" w:type="dxa"/>
          </w:tcPr>
          <w:p w14:paraId="5B02B270"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61716D05">
              <w:t xml:space="preserve">Pre Fellowship Program (PFP) </w:t>
            </w:r>
          </w:p>
        </w:tc>
      </w:tr>
      <w:tr w:rsidR="00817CB4" w14:paraId="49A1A873"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1EE56146" w14:textId="77777777" w:rsidR="00817CB4" w:rsidRPr="00733FD8" w:rsidRDefault="00817CB4" w:rsidP="00733FD8">
            <w:pPr>
              <w:pStyle w:val="Tabletextleft"/>
            </w:pPr>
            <w:r w:rsidRPr="00733FD8">
              <w:t>440</w:t>
            </w:r>
          </w:p>
        </w:tc>
        <w:tc>
          <w:tcPr>
            <w:tcW w:w="3761" w:type="dxa"/>
          </w:tcPr>
          <w:p w14:paraId="60D17685"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Adelaide to Outback</w:t>
            </w:r>
          </w:p>
        </w:tc>
        <w:tc>
          <w:tcPr>
            <w:tcW w:w="1170" w:type="dxa"/>
          </w:tcPr>
          <w:p w14:paraId="5EBCC014"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483</w:t>
            </w:r>
          </w:p>
        </w:tc>
        <w:tc>
          <w:tcPr>
            <w:tcW w:w="4074" w:type="dxa"/>
          </w:tcPr>
          <w:p w14:paraId="0A21B176"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61716D05">
              <w:t xml:space="preserve">GP Training-Murrumbidgee Local </w:t>
            </w:r>
            <w:proofErr w:type="spellStart"/>
            <w:r w:rsidRPr="61716D05">
              <w:t>Hlth</w:t>
            </w:r>
            <w:proofErr w:type="spellEnd"/>
            <w:r w:rsidRPr="61716D05">
              <w:t xml:space="preserve"> District Trial</w:t>
            </w:r>
          </w:p>
        </w:tc>
      </w:tr>
      <w:tr w:rsidR="00817CB4" w14:paraId="45DFDE15"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59C8208A" w14:textId="77777777" w:rsidR="00817CB4" w:rsidRPr="00733FD8" w:rsidRDefault="00817CB4" w:rsidP="00733FD8">
            <w:pPr>
              <w:pStyle w:val="Tabletextleft"/>
            </w:pPr>
            <w:r w:rsidRPr="00733FD8">
              <w:t>441</w:t>
            </w:r>
          </w:p>
        </w:tc>
        <w:tc>
          <w:tcPr>
            <w:tcW w:w="3761" w:type="dxa"/>
          </w:tcPr>
          <w:p w14:paraId="6D952306"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Tasmania GP Ed and Training</w:t>
            </w:r>
          </w:p>
        </w:tc>
        <w:tc>
          <w:tcPr>
            <w:tcW w:w="1170" w:type="dxa"/>
          </w:tcPr>
          <w:p w14:paraId="0D6D95AB"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484</w:t>
            </w:r>
          </w:p>
        </w:tc>
        <w:tc>
          <w:tcPr>
            <w:tcW w:w="4074" w:type="dxa"/>
          </w:tcPr>
          <w:p w14:paraId="40137798"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Riverland Mallee Coorong LHN</w:t>
            </w:r>
          </w:p>
        </w:tc>
      </w:tr>
      <w:tr w:rsidR="00817CB4" w14:paraId="7730C15D"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85799A1" w14:textId="77777777" w:rsidR="00817CB4" w:rsidRPr="00733FD8" w:rsidRDefault="00817CB4" w:rsidP="00733FD8">
            <w:pPr>
              <w:pStyle w:val="Tabletextleft"/>
            </w:pPr>
            <w:r w:rsidRPr="00733FD8">
              <w:t>442</w:t>
            </w:r>
          </w:p>
        </w:tc>
        <w:tc>
          <w:tcPr>
            <w:tcW w:w="3761" w:type="dxa"/>
          </w:tcPr>
          <w:p w14:paraId="13AD92B4"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Gippsland</w:t>
            </w:r>
          </w:p>
        </w:tc>
        <w:tc>
          <w:tcPr>
            <w:tcW w:w="1170" w:type="dxa"/>
          </w:tcPr>
          <w:p w14:paraId="04E1B55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485</w:t>
            </w:r>
          </w:p>
        </w:tc>
        <w:tc>
          <w:tcPr>
            <w:tcW w:w="4074" w:type="dxa"/>
          </w:tcPr>
          <w:p w14:paraId="61F7B6E8"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ACRRM - Fellowship Programme</w:t>
            </w:r>
          </w:p>
        </w:tc>
      </w:tr>
      <w:tr w:rsidR="00817CB4" w14:paraId="07A92D29"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476F9E2" w14:textId="77777777" w:rsidR="00817CB4" w:rsidRPr="00733FD8" w:rsidRDefault="00817CB4" w:rsidP="00733FD8">
            <w:pPr>
              <w:pStyle w:val="Tabletextleft"/>
            </w:pPr>
            <w:r w:rsidRPr="00733FD8">
              <w:t>443</w:t>
            </w:r>
          </w:p>
        </w:tc>
        <w:tc>
          <w:tcPr>
            <w:tcW w:w="3761" w:type="dxa"/>
          </w:tcPr>
          <w:p w14:paraId="035D1890"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Greater Green Triangle</w:t>
            </w:r>
          </w:p>
        </w:tc>
        <w:tc>
          <w:tcPr>
            <w:tcW w:w="1170" w:type="dxa"/>
          </w:tcPr>
          <w:p w14:paraId="25840E67"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486</w:t>
            </w:r>
          </w:p>
        </w:tc>
        <w:tc>
          <w:tcPr>
            <w:tcW w:w="4074" w:type="dxa"/>
          </w:tcPr>
          <w:p w14:paraId="562940D6"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RACGP - Fellowship Programme</w:t>
            </w:r>
          </w:p>
        </w:tc>
      </w:tr>
      <w:tr w:rsidR="00817CB4" w14:paraId="17CC1E27"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0362217" w14:textId="77777777" w:rsidR="00817CB4" w:rsidRPr="00733FD8" w:rsidRDefault="00817CB4" w:rsidP="00733FD8">
            <w:pPr>
              <w:pStyle w:val="Tabletextleft"/>
            </w:pPr>
            <w:r w:rsidRPr="00733FD8">
              <w:t>444</w:t>
            </w:r>
          </w:p>
        </w:tc>
        <w:tc>
          <w:tcPr>
            <w:tcW w:w="3761" w:type="dxa"/>
          </w:tcPr>
          <w:p w14:paraId="37C67591"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VIC Metropolitan Alliance</w:t>
            </w:r>
          </w:p>
        </w:tc>
        <w:tc>
          <w:tcPr>
            <w:tcW w:w="1170" w:type="dxa"/>
          </w:tcPr>
          <w:p w14:paraId="539911C5"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530</w:t>
            </w:r>
          </w:p>
        </w:tc>
        <w:tc>
          <w:tcPr>
            <w:tcW w:w="4074" w:type="dxa"/>
          </w:tcPr>
          <w:p w14:paraId="324B8F7B"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General Practitioner - Approved by Health</w:t>
            </w:r>
          </w:p>
        </w:tc>
      </w:tr>
      <w:tr w:rsidR="00817CB4" w14:paraId="7FA304BB"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CAD880D" w14:textId="77777777" w:rsidR="00817CB4" w:rsidRPr="00733FD8" w:rsidRDefault="00817CB4" w:rsidP="00733FD8">
            <w:pPr>
              <w:pStyle w:val="Tabletextleft"/>
            </w:pPr>
            <w:r w:rsidRPr="00733FD8">
              <w:t>445</w:t>
            </w:r>
          </w:p>
        </w:tc>
        <w:tc>
          <w:tcPr>
            <w:tcW w:w="3761" w:type="dxa"/>
          </w:tcPr>
          <w:p w14:paraId="784911F1"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WA Ed and Training Alliance</w:t>
            </w:r>
          </w:p>
        </w:tc>
        <w:tc>
          <w:tcPr>
            <w:tcW w:w="1170" w:type="dxa"/>
          </w:tcPr>
          <w:p w14:paraId="264245BC"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532</w:t>
            </w:r>
          </w:p>
        </w:tc>
        <w:tc>
          <w:tcPr>
            <w:tcW w:w="4074" w:type="dxa"/>
          </w:tcPr>
          <w:p w14:paraId="577A0873"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Fellow of ACRRM</w:t>
            </w:r>
          </w:p>
        </w:tc>
      </w:tr>
      <w:tr w:rsidR="00817CB4" w14:paraId="1A23EC98"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BF97BC9" w14:textId="77777777" w:rsidR="00817CB4" w:rsidRPr="00733FD8" w:rsidRDefault="00817CB4" w:rsidP="00733FD8">
            <w:pPr>
              <w:pStyle w:val="Tabletextleft"/>
            </w:pPr>
            <w:r w:rsidRPr="00733FD8">
              <w:t>446</w:t>
            </w:r>
          </w:p>
        </w:tc>
        <w:tc>
          <w:tcPr>
            <w:tcW w:w="3761" w:type="dxa"/>
          </w:tcPr>
          <w:p w14:paraId="1D0E9F9E"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Bogong Regional Training Network</w:t>
            </w:r>
          </w:p>
        </w:tc>
        <w:tc>
          <w:tcPr>
            <w:tcW w:w="1170" w:type="dxa"/>
          </w:tcPr>
          <w:p w14:paraId="550E42D2"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540</w:t>
            </w:r>
          </w:p>
        </w:tc>
        <w:tc>
          <w:tcPr>
            <w:tcW w:w="4074" w:type="dxa"/>
          </w:tcPr>
          <w:p w14:paraId="1F2644A3"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Specialist General Practitioner</w:t>
            </w:r>
          </w:p>
        </w:tc>
      </w:tr>
      <w:tr w:rsidR="00817CB4" w14:paraId="19753806"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6F3852B7" w14:textId="77777777" w:rsidR="00817CB4" w:rsidRPr="00733FD8" w:rsidRDefault="00817CB4" w:rsidP="00733FD8">
            <w:pPr>
              <w:pStyle w:val="Tabletextleft"/>
            </w:pPr>
            <w:r w:rsidRPr="00733FD8">
              <w:t>447</w:t>
            </w:r>
          </w:p>
        </w:tc>
        <w:tc>
          <w:tcPr>
            <w:tcW w:w="3761" w:type="dxa"/>
          </w:tcPr>
          <w:p w14:paraId="5ECA2BF7"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 xml:space="preserve">Central West Consortium Ltd </w:t>
            </w:r>
          </w:p>
        </w:tc>
        <w:tc>
          <w:tcPr>
            <w:tcW w:w="1170" w:type="dxa"/>
          </w:tcPr>
          <w:p w14:paraId="0D059BBE"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615</w:t>
            </w:r>
          </w:p>
        </w:tc>
        <w:tc>
          <w:tcPr>
            <w:tcW w:w="4074" w:type="dxa"/>
          </w:tcPr>
          <w:p w14:paraId="2B3488EA"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Outer Metro OMPs</w:t>
            </w:r>
          </w:p>
        </w:tc>
      </w:tr>
      <w:tr w:rsidR="00817CB4" w14:paraId="414D7365"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40F30ECE" w14:textId="77777777" w:rsidR="00817CB4" w:rsidRPr="00733FD8" w:rsidRDefault="00817CB4" w:rsidP="00733FD8">
            <w:pPr>
              <w:pStyle w:val="Tabletextleft"/>
            </w:pPr>
            <w:r w:rsidRPr="00733FD8">
              <w:t>448</w:t>
            </w:r>
          </w:p>
        </w:tc>
        <w:tc>
          <w:tcPr>
            <w:tcW w:w="3761" w:type="dxa"/>
          </w:tcPr>
          <w:p w14:paraId="478BB965"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Coast City Country GP Training Inc</w:t>
            </w:r>
          </w:p>
        </w:tc>
        <w:tc>
          <w:tcPr>
            <w:tcW w:w="1170" w:type="dxa"/>
          </w:tcPr>
          <w:p w14:paraId="5654393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616</w:t>
            </w:r>
          </w:p>
        </w:tc>
        <w:tc>
          <w:tcPr>
            <w:tcW w:w="4074" w:type="dxa"/>
          </w:tcPr>
          <w:p w14:paraId="782512C1"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Outer Metro Specialist Trainees</w:t>
            </w:r>
          </w:p>
        </w:tc>
      </w:tr>
      <w:tr w:rsidR="00817CB4" w14:paraId="296FC8A5"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5350B824" w14:textId="77777777" w:rsidR="00817CB4" w:rsidRPr="00733FD8" w:rsidRDefault="00817CB4" w:rsidP="00733FD8">
            <w:pPr>
              <w:pStyle w:val="Tabletextleft"/>
            </w:pPr>
            <w:r w:rsidRPr="00733FD8">
              <w:t>449</w:t>
            </w:r>
          </w:p>
        </w:tc>
        <w:tc>
          <w:tcPr>
            <w:tcW w:w="3761" w:type="dxa"/>
          </w:tcPr>
          <w:p w14:paraId="5AB51DBC"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New England Area Training Service P/L</w:t>
            </w:r>
          </w:p>
        </w:tc>
        <w:tc>
          <w:tcPr>
            <w:tcW w:w="1170" w:type="dxa"/>
          </w:tcPr>
          <w:p w14:paraId="71429B46"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617</w:t>
            </w:r>
          </w:p>
        </w:tc>
        <w:tc>
          <w:tcPr>
            <w:tcW w:w="4074" w:type="dxa"/>
          </w:tcPr>
          <w:p w14:paraId="234BAE70"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 xml:space="preserve">Metropolitan Workforce Support Program </w:t>
            </w:r>
          </w:p>
        </w:tc>
      </w:tr>
      <w:bookmarkEnd w:id="192"/>
    </w:tbl>
    <w:p w14:paraId="566DF377" w14:textId="77777777" w:rsidR="00EE76E0" w:rsidRPr="00EE76E0" w:rsidRDefault="00EE76E0" w:rsidP="00F711D2"/>
    <w:sectPr w:rsidR="00EE76E0" w:rsidRPr="00EE76E0" w:rsidSect="00D565F0">
      <w:headerReference w:type="even" r:id="rId44"/>
      <w:headerReference w:type="default" r:id="rId45"/>
      <w:footerReference w:type="even" r:id="rId46"/>
      <w:footerReference w:type="default" r:id="rId47"/>
      <w:headerReference w:type="first" r:id="rId48"/>
      <w:footerReference w:type="first" r:id="rId49"/>
      <w:pgSz w:w="11906" w:h="16838" w:code="9"/>
      <w:pgMar w:top="1134" w:right="1021" w:bottom="1701" w:left="102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09A7" w14:textId="77777777" w:rsidR="00FB737D" w:rsidRDefault="00FB737D" w:rsidP="00D560DC">
      <w:pPr>
        <w:spacing w:before="0" w:after="0" w:line="240" w:lineRule="auto"/>
      </w:pPr>
      <w:r>
        <w:separator/>
      </w:r>
    </w:p>
  </w:endnote>
  <w:endnote w:type="continuationSeparator" w:id="0">
    <w:p w14:paraId="05B6BACC" w14:textId="77777777" w:rsidR="00FB737D" w:rsidRDefault="00FB737D" w:rsidP="00D560DC">
      <w:pPr>
        <w:spacing w:before="0" w:after="0" w:line="240" w:lineRule="auto"/>
      </w:pPr>
      <w:r>
        <w:continuationSeparator/>
      </w:r>
    </w:p>
  </w:endnote>
  <w:endnote w:type="continuationNotice" w:id="1">
    <w:p w14:paraId="123F0C02" w14:textId="77777777" w:rsidR="00FB737D" w:rsidRDefault="00FB737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AF28" w14:textId="6DD64C12" w:rsidR="00156118" w:rsidRDefault="00156118">
    <w:pPr>
      <w:pStyle w:val="Footer"/>
    </w:pPr>
    <w:r>
      <w:rPr>
        <w:noProof/>
      </w:rPr>
      <mc:AlternateContent>
        <mc:Choice Requires="wps">
          <w:drawing>
            <wp:anchor distT="0" distB="0" distL="0" distR="0" simplePos="0" relativeHeight="251658249" behindDoc="0" locked="0" layoutInCell="1" allowOverlap="1" wp14:anchorId="513141B4" wp14:editId="4CDB413C">
              <wp:simplePos x="635" y="635"/>
              <wp:positionH relativeFrom="page">
                <wp:align>center</wp:align>
              </wp:positionH>
              <wp:positionV relativeFrom="page">
                <wp:align>bottom</wp:align>
              </wp:positionV>
              <wp:extent cx="551815" cy="480695"/>
              <wp:effectExtent l="0" t="0" r="635" b="0"/>
              <wp:wrapNone/>
              <wp:docPr id="19375965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0AA1BEB" w14:textId="48FDF7E3"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3141B4" id="_x0000_t202" coordsize="21600,21600" o:spt="202" path="m,l,21600r21600,l21600,xe">
              <v:stroke joinstyle="miter"/>
              <v:path gradientshapeok="t" o:connecttype="rect"/>
            </v:shapetype>
            <v:shape id="Text Box 5" o:spid="_x0000_s1028" type="#_x0000_t202" alt="OFFICIAL" style="position:absolute;margin-left:0;margin-top:0;width:43.45pt;height:37.8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70AA1BEB" w14:textId="48FDF7E3"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986E" w14:textId="6563AB6C" w:rsidR="0039793D" w:rsidRPr="00FB2642" w:rsidRDefault="00156118" w:rsidP="00FB2642">
    <w:pPr>
      <w:pStyle w:val="Footer"/>
    </w:pPr>
    <w:r>
      <w:rPr>
        <w:noProof/>
      </w:rPr>
      <mc:AlternateContent>
        <mc:Choice Requires="wps">
          <w:drawing>
            <wp:anchor distT="0" distB="0" distL="0" distR="0" simplePos="0" relativeHeight="251658250" behindDoc="0" locked="0" layoutInCell="1" allowOverlap="1" wp14:anchorId="3BB42B12" wp14:editId="5BDFABE0">
              <wp:simplePos x="647700" y="10201275"/>
              <wp:positionH relativeFrom="page">
                <wp:align>center</wp:align>
              </wp:positionH>
              <wp:positionV relativeFrom="page">
                <wp:align>bottom</wp:align>
              </wp:positionV>
              <wp:extent cx="551815" cy="480695"/>
              <wp:effectExtent l="0" t="0" r="635" b="0"/>
              <wp:wrapNone/>
              <wp:docPr id="928134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F966415" w14:textId="29D87616" w:rsidR="00156118" w:rsidRPr="00156118" w:rsidRDefault="00156118" w:rsidP="00156118">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B42B12"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2F966415" w14:textId="29D87616" w:rsidR="00156118" w:rsidRPr="00156118" w:rsidRDefault="00156118" w:rsidP="00156118">
                    <w:pPr>
                      <w:spacing w:after="0"/>
                      <w:rPr>
                        <w:rFonts w:ascii="Calibri" w:eastAsia="Calibri" w:hAnsi="Calibri" w:cs="Calibri"/>
                        <w:noProof/>
                        <w:color w:val="FF0000"/>
                        <w:sz w:val="24"/>
                        <w:szCs w:val="24"/>
                      </w:rPr>
                    </w:pPr>
                  </w:p>
                </w:txbxContent>
              </v:textbox>
              <w10:wrap anchorx="page" anchory="page"/>
            </v:shape>
          </w:pict>
        </mc:Fallback>
      </mc:AlternateContent>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DB5E98">
          <w:t>MyMedicare</w:t>
        </w:r>
        <w:proofErr w:type="spellEnd"/>
        <w:r w:rsidR="00DB5E98">
          <w:t xml:space="preserve"> Program Guidelines</w:t>
        </w:r>
      </w:sdtContent>
    </w:sdt>
    <w:r w:rsidR="00D565F0">
      <w:tab/>
    </w:r>
    <w:r w:rsidR="00D565F0">
      <w:fldChar w:fldCharType="begin"/>
    </w:r>
    <w:r w:rsidR="00D565F0">
      <w:instrText xml:space="preserve"> PAGE   \* MERGEFORMAT </w:instrText>
    </w:r>
    <w:r w:rsidR="00D565F0">
      <w:fldChar w:fldCharType="separate"/>
    </w:r>
    <w:r w:rsidR="00D565F0">
      <w:rPr>
        <w:noProof/>
      </w:rPr>
      <w:t>1</w:t>
    </w:r>
    <w:r w:rsidR="00D565F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E635" w14:textId="6DD23186" w:rsidR="0039793D" w:rsidRDefault="00156118" w:rsidP="00F62279">
    <w:pPr>
      <w:ind w:left="284"/>
    </w:pPr>
    <w:r>
      <w:rPr>
        <w:noProof/>
        <w:lang w:eastAsia="en-AU"/>
      </w:rPr>
      <mc:AlternateContent>
        <mc:Choice Requires="wps">
          <w:drawing>
            <wp:anchor distT="0" distB="0" distL="0" distR="0" simplePos="0" relativeHeight="251658248" behindDoc="0" locked="0" layoutInCell="1" allowOverlap="1" wp14:anchorId="33C2C230" wp14:editId="7A5364EE">
              <wp:simplePos x="635" y="635"/>
              <wp:positionH relativeFrom="page">
                <wp:align>center</wp:align>
              </wp:positionH>
              <wp:positionV relativeFrom="page">
                <wp:align>bottom</wp:align>
              </wp:positionV>
              <wp:extent cx="551815" cy="480695"/>
              <wp:effectExtent l="0" t="0" r="635" b="0"/>
              <wp:wrapNone/>
              <wp:docPr id="15879029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BA1AF3E" w14:textId="34CCC91F"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C2C230"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7.8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6BA1AF3E" w14:textId="34CCC91F"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v:textbox>
              <w10:wrap anchorx="page" anchory="page"/>
            </v:shape>
          </w:pict>
        </mc:Fallback>
      </mc:AlternateContent>
    </w:r>
    <w:r w:rsidR="00AF121B">
      <w:rPr>
        <w:noProof/>
        <w:lang w:eastAsia="en-AU"/>
      </w:rPr>
      <mc:AlternateContent>
        <mc:Choice Requires="wps">
          <w:drawing>
            <wp:anchor distT="0" distB="0" distL="114300" distR="114300" simplePos="0" relativeHeight="251658240"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ED6EB" id="Text Box 20" o:spid="_x0000_s1032" type="#_x0000_t202" alt="&quot;&quot;" style="position:absolute;left:0;text-align:left;margin-left:510.3pt;margin-top:728.15pt;width:85pt;height:3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" filled="f" stroked="f" strokeweight=".5pt">
              <v:textbox inset="0,0,18mm,5mm">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77F361EE" w14:textId="392F2669" w:rsidR="00D560DC" w:rsidRPr="00C70717" w:rsidRDefault="004A500A" w:rsidP="00D560DC">
    <w:pPr>
      <w:pStyle w:val="Footer"/>
    </w:pPr>
    <w:r>
      <w:rPr>
        <w:noProof/>
      </w:rPr>
      <w:drawing>
        <wp:anchor distT="0" distB="0" distL="114300" distR="114300" simplePos="0" relativeHeight="251658241" behindDoc="1" locked="0" layoutInCell="1" allowOverlap="1" wp14:anchorId="0F747A8E" wp14:editId="028E51DC">
          <wp:simplePos x="0" y="0"/>
          <wp:positionH relativeFrom="page">
            <wp:posOffset>0</wp:posOffset>
          </wp:positionH>
          <wp:positionV relativeFrom="page">
            <wp:posOffset>9715963</wp:posOffset>
          </wp:positionV>
          <wp:extent cx="7559675" cy="979805"/>
          <wp:effectExtent l="0" t="0" r="0" b="0"/>
          <wp:wrapNone/>
          <wp:docPr id="1240622049" name="Picture 1240622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DB5E98">
          <w:t>MyMedicare</w:t>
        </w:r>
        <w:proofErr w:type="spellEnd"/>
        <w:r w:rsidR="00DB5E98">
          <w:t xml:space="preserve"> Program Guidelines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041A9" w14:textId="77777777" w:rsidR="00FB737D" w:rsidRDefault="00FB737D" w:rsidP="00D560DC">
      <w:pPr>
        <w:spacing w:before="0" w:after="0" w:line="240" w:lineRule="auto"/>
      </w:pPr>
      <w:r>
        <w:separator/>
      </w:r>
    </w:p>
  </w:footnote>
  <w:footnote w:type="continuationSeparator" w:id="0">
    <w:p w14:paraId="4DE6D758" w14:textId="77777777" w:rsidR="00FB737D" w:rsidRDefault="00FB737D" w:rsidP="00D560DC">
      <w:pPr>
        <w:spacing w:before="0" w:after="0" w:line="240" w:lineRule="auto"/>
      </w:pPr>
      <w:r>
        <w:continuationSeparator/>
      </w:r>
    </w:p>
  </w:footnote>
  <w:footnote w:type="continuationNotice" w:id="1">
    <w:p w14:paraId="529A57BB" w14:textId="77777777" w:rsidR="00FB737D" w:rsidRPr="00FB2642" w:rsidRDefault="00FB737D" w:rsidP="00FB2642">
      <w:pPr>
        <w:pStyle w:val="Footer"/>
      </w:pPr>
    </w:p>
  </w:footnote>
  <w:footnote w:id="2">
    <w:p w14:paraId="4D92F680" w14:textId="6DCFF994" w:rsidR="00932197" w:rsidRDefault="00932197" w:rsidP="00932197">
      <w:pPr>
        <w:pStyle w:val="FootnoteText"/>
      </w:pPr>
      <w:r>
        <w:rPr>
          <w:rStyle w:val="FootnoteReference"/>
        </w:rPr>
        <w:footnoteRef/>
      </w:r>
      <w:r>
        <w:t xml:space="preserve"> Program information on General Practice in Aged Care Incentive can be access</w:t>
      </w:r>
      <w:r w:rsidR="00216277">
        <w:t>ed</w:t>
      </w:r>
      <w:r>
        <w:t xml:space="preserve"> </w:t>
      </w:r>
      <w:hyperlink r:id="rId1" w:history="1">
        <w:r w:rsidRPr="000B6206">
          <w:rPr>
            <w:rStyle w:val="Hyperlink"/>
            <w:rFonts w:asciiTheme="minorHAnsi" w:hAnsiTheme="minorHAnsi"/>
          </w:rPr>
          <w:t>here</w:t>
        </w:r>
      </w:hyperlink>
    </w:p>
  </w:footnote>
  <w:footnote w:id="3">
    <w:p w14:paraId="7B28008E" w14:textId="693F6007" w:rsidR="00AB2C3D" w:rsidRDefault="00AB2C3D" w:rsidP="00AB2C3D">
      <w:pPr>
        <w:pStyle w:val="FootnoteText"/>
      </w:pPr>
      <w:r>
        <w:rPr>
          <w:rStyle w:val="FootnoteReference"/>
        </w:rPr>
        <w:footnoteRef/>
      </w:r>
      <w:r>
        <w:t xml:space="preserve"> The definition of a general practice for the purpose of accreditation can be assessed </w:t>
      </w:r>
      <w:hyperlink r:id="rId2" w:history="1">
        <w:r w:rsidRPr="000B5311">
          <w:rPr>
            <w:rStyle w:val="Hyperlink"/>
            <w:rFonts w:asciiTheme="minorHAnsi" w:hAnsiTheme="minorHAnsi"/>
          </w:rPr>
          <w:t>here</w:t>
        </w:r>
      </w:hyperlink>
    </w:p>
  </w:footnote>
  <w:footnote w:id="4">
    <w:p w14:paraId="7FA9FAB8" w14:textId="6127F4D4" w:rsidR="00E11660" w:rsidRDefault="00E11660">
      <w:pPr>
        <w:pStyle w:val="FootnoteText"/>
      </w:pPr>
      <w:r>
        <w:rPr>
          <w:rStyle w:val="FootnoteReference"/>
        </w:rPr>
        <w:footnoteRef/>
      </w:r>
      <w:r>
        <w:t xml:space="preserve"> </w:t>
      </w:r>
      <w:r w:rsidR="009F30A4">
        <w:t>Information and r</w:t>
      </w:r>
      <w:r w:rsidR="0048355B">
        <w:t xml:space="preserve">equests for extensions </w:t>
      </w:r>
      <w:r w:rsidR="009F30A4">
        <w:t>or</w:t>
      </w:r>
      <w:r w:rsidR="0048355B">
        <w:t xml:space="preserve"> appeals under the NGPA Scheme can be access</w:t>
      </w:r>
      <w:r w:rsidR="00D40ECA">
        <w:t>ed</w:t>
      </w:r>
      <w:r w:rsidR="0048355B">
        <w:t xml:space="preserve"> </w:t>
      </w:r>
      <w:hyperlink r:id="rId3" w:history="1">
        <w:r w:rsidR="00921DA9" w:rsidRPr="006C7CB4">
          <w:rPr>
            <w:rStyle w:val="Hyperlink"/>
            <w:rFonts w:asciiTheme="minorHAnsi" w:hAnsiTheme="minorHAnsi"/>
            <w:color w:val="176CB5"/>
          </w:rPr>
          <w:t>here</w:t>
        </w:r>
      </w:hyperlink>
      <w:r w:rsidR="00C10531">
        <w:t>.</w:t>
      </w:r>
      <w:r w:rsidR="00921DA9">
        <w:rPr>
          <w:rStyle w:val="Hyperlink"/>
          <w:rFonts w:asciiTheme="minorHAnsi" w:hAnsiTheme="minorHAnsi"/>
          <w:color w:val="176CB5"/>
        </w:rPr>
        <w:t xml:space="preserve"> </w:t>
      </w:r>
      <w:r w:rsidR="00921DA9">
        <w:t xml:space="preserve"> </w:t>
      </w:r>
    </w:p>
  </w:footnote>
  <w:footnote w:id="5">
    <w:p w14:paraId="76C56F1B" w14:textId="4070C50A" w:rsidR="00B50AD6" w:rsidRDefault="00B50AD6" w:rsidP="00B50AD6">
      <w:pPr>
        <w:pStyle w:val="FootnoteText"/>
      </w:pPr>
      <w:r>
        <w:rPr>
          <w:rStyle w:val="FootnoteReference"/>
        </w:rPr>
        <w:footnoteRef/>
      </w:r>
      <w:r>
        <w:t xml:space="preserve"> Requests for extensions to the department can be sent </w:t>
      </w:r>
      <w:hyperlink r:id="rId4" w:history="1">
        <w:r w:rsidRPr="00EF6E89">
          <w:rPr>
            <w:rStyle w:val="Hyperlink"/>
            <w:rFonts w:asciiTheme="minorHAnsi" w:hAnsiTheme="minorHAnsi"/>
            <w:color w:val="176CB5"/>
          </w:rPr>
          <w:t>here</w:t>
        </w:r>
      </w:hyperlink>
      <w:r w:rsidR="00C10531">
        <w:t>.</w:t>
      </w:r>
    </w:p>
  </w:footnote>
  <w:footnote w:id="6">
    <w:p w14:paraId="4A378C3A" w14:textId="39033E1F" w:rsidR="007524D3" w:rsidRDefault="007524D3">
      <w:pPr>
        <w:pStyle w:val="FootnoteText"/>
      </w:pPr>
      <w:r>
        <w:rPr>
          <w:rStyle w:val="FootnoteReference"/>
        </w:rPr>
        <w:footnoteRef/>
      </w:r>
      <w:r>
        <w:t xml:space="preserve"> </w:t>
      </w:r>
      <w:r w:rsidR="00827F58">
        <w:t xml:space="preserve">The </w:t>
      </w:r>
      <w:r w:rsidR="00827F58" w:rsidRPr="00520BB8">
        <w:rPr>
          <w:i/>
        </w:rPr>
        <w:t xml:space="preserve">RACGP </w:t>
      </w:r>
      <w:r w:rsidR="001C45B4" w:rsidRPr="00520BB8">
        <w:rPr>
          <w:i/>
        </w:rPr>
        <w:t>Standards for General Practices</w:t>
      </w:r>
      <w:r w:rsidR="001C45B4">
        <w:t xml:space="preserve"> can be found </w:t>
      </w:r>
      <w:hyperlink r:id="rId5" w:history="1">
        <w:r w:rsidR="001C45B4" w:rsidRPr="004D5C4B">
          <w:rPr>
            <w:rStyle w:val="Hyperlink"/>
            <w:rFonts w:asciiTheme="minorHAnsi" w:hAnsiTheme="minorHAnsi"/>
          </w:rPr>
          <w:t>here</w:t>
        </w:r>
      </w:hyperlink>
      <w:r w:rsidR="001C45B4">
        <w:t>.</w:t>
      </w:r>
    </w:p>
  </w:footnote>
  <w:footnote w:id="7">
    <w:p w14:paraId="105E34CD" w14:textId="77777777" w:rsidR="00AE037C" w:rsidRDefault="00AE037C" w:rsidP="00AE037C">
      <w:pPr>
        <w:pStyle w:val="FootnoteText"/>
      </w:pPr>
      <w:r>
        <w:rPr>
          <w:rStyle w:val="FootnoteReference"/>
        </w:rPr>
        <w:footnoteRef/>
      </w:r>
      <w:r>
        <w:t xml:space="preserve"> The Australian Government’s </w:t>
      </w:r>
      <w:r w:rsidRPr="0036752F">
        <w:rPr>
          <w:i/>
          <w:iCs/>
        </w:rPr>
        <w:t>Administrative Recording Keeping Guidelines for Health Professionals</w:t>
      </w:r>
      <w:r>
        <w:t xml:space="preserve"> can be found </w:t>
      </w:r>
      <w:hyperlink r:id="rId6" w:history="1">
        <w:r w:rsidRPr="001B6752">
          <w:rPr>
            <w:rStyle w:val="Hyperlink"/>
            <w:rFonts w:asciiTheme="minorHAnsi" w:hAnsiTheme="minorHAnsi"/>
          </w:rPr>
          <w:t>here</w:t>
        </w:r>
      </w:hyperlink>
      <w:r>
        <w:t>.</w:t>
      </w:r>
    </w:p>
  </w:footnote>
  <w:footnote w:id="8">
    <w:p w14:paraId="107E8F36" w14:textId="77777777" w:rsidR="004326F1" w:rsidRDefault="004326F1" w:rsidP="004326F1">
      <w:pPr>
        <w:pStyle w:val="FootnoteText"/>
      </w:pPr>
      <w:r>
        <w:rPr>
          <w:rStyle w:val="FootnoteReference"/>
        </w:rPr>
        <w:footnoteRef/>
      </w:r>
      <w:r>
        <w:t xml:space="preserve"> Medicare representative information can be accessed </w:t>
      </w:r>
      <w:hyperlink r:id="rId7" w:history="1">
        <w:r w:rsidRPr="009801BF">
          <w:rPr>
            <w:rStyle w:val="Hyperlink"/>
            <w:rFonts w:asciiTheme="minorHAnsi" w:hAnsiTheme="minorHAnsi"/>
          </w:rPr>
          <w:t>here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4A63" w14:textId="5A089336" w:rsidR="00156118" w:rsidRDefault="00156118">
    <w:pPr>
      <w:pStyle w:val="Header"/>
    </w:pPr>
    <w:r>
      <w:rPr>
        <w:noProof/>
      </w:rPr>
      <mc:AlternateContent>
        <mc:Choice Requires="wps">
          <w:drawing>
            <wp:anchor distT="0" distB="0" distL="0" distR="0" simplePos="0" relativeHeight="251658246" behindDoc="0" locked="0" layoutInCell="1" allowOverlap="1" wp14:anchorId="16046293" wp14:editId="4734FB8B">
              <wp:simplePos x="635" y="635"/>
              <wp:positionH relativeFrom="page">
                <wp:align>center</wp:align>
              </wp:positionH>
              <wp:positionV relativeFrom="page">
                <wp:align>top</wp:align>
              </wp:positionV>
              <wp:extent cx="551815" cy="480695"/>
              <wp:effectExtent l="0" t="0" r="635" b="14605"/>
              <wp:wrapNone/>
              <wp:docPr id="20438355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B0BA942" w14:textId="19692C09"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046293"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4B0BA942" w14:textId="19692C09"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C43" w14:textId="4376425E" w:rsidR="00D560DC" w:rsidRDefault="00156118" w:rsidP="004963FC">
    <w:pPr>
      <w:pStyle w:val="Header"/>
      <w:spacing w:after="1400"/>
    </w:pPr>
    <w:r>
      <w:rPr>
        <w:noProof/>
      </w:rPr>
      <mc:AlternateContent>
        <mc:Choice Requires="wps">
          <w:drawing>
            <wp:anchor distT="0" distB="0" distL="0" distR="0" simplePos="0" relativeHeight="251658247" behindDoc="0" locked="0" layoutInCell="1" allowOverlap="1" wp14:anchorId="2ADCEE1C" wp14:editId="46E0F3D6">
              <wp:simplePos x="647700" y="361950"/>
              <wp:positionH relativeFrom="page">
                <wp:align>center</wp:align>
              </wp:positionH>
              <wp:positionV relativeFrom="page">
                <wp:align>top</wp:align>
              </wp:positionV>
              <wp:extent cx="551815" cy="480695"/>
              <wp:effectExtent l="0" t="0" r="635" b="14605"/>
              <wp:wrapNone/>
              <wp:docPr id="13614875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037B0B2" w14:textId="4EE6D5B5" w:rsidR="00156118" w:rsidRPr="00156118" w:rsidRDefault="00156118" w:rsidP="00156118">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DCEE1C"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3037B0B2" w14:textId="4EE6D5B5" w:rsidR="00156118" w:rsidRPr="00156118" w:rsidRDefault="00156118" w:rsidP="00156118">
                    <w:pPr>
                      <w:spacing w:after="0"/>
                      <w:rPr>
                        <w:rFonts w:ascii="Calibri" w:eastAsia="Calibri" w:hAnsi="Calibri" w:cs="Calibri"/>
                        <w:noProof/>
                        <w:color w:val="FF0000"/>
                        <w:sz w:val="24"/>
                        <w:szCs w:val="24"/>
                      </w:rPr>
                    </w:pPr>
                  </w:p>
                </w:txbxContent>
              </v:textbox>
              <w10:wrap anchorx="page" anchory="page"/>
            </v:shape>
          </w:pict>
        </mc:Fallback>
      </mc:AlternateContent>
    </w:r>
    <w:r w:rsidR="00D565F0">
      <w:rPr>
        <w:noProof/>
      </w:rPr>
      <w:drawing>
        <wp:anchor distT="0" distB="0" distL="114300" distR="114300" simplePos="0" relativeHeight="251658244" behindDoc="1" locked="0" layoutInCell="1" allowOverlap="1" wp14:anchorId="52E04669" wp14:editId="47C0775B">
          <wp:simplePos x="0" y="0"/>
          <wp:positionH relativeFrom="column">
            <wp:posOffset>4191773</wp:posOffset>
          </wp:positionH>
          <wp:positionV relativeFrom="paragraph">
            <wp:posOffset>-121810</wp:posOffset>
          </wp:positionV>
          <wp:extent cx="2466975" cy="647700"/>
          <wp:effectExtent l="0" t="0" r="9525" b="0"/>
          <wp:wrapNone/>
          <wp:docPr id="13448125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1251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66975" cy="647700"/>
                  </a:xfrm>
                  <a:prstGeom prst="rect">
                    <a:avLst/>
                  </a:prstGeom>
                </pic:spPr>
              </pic:pic>
            </a:graphicData>
          </a:graphic>
        </wp:anchor>
      </w:drawing>
    </w:r>
    <w:r w:rsidR="004963FC">
      <w:rPr>
        <w:noProof/>
      </w:rPr>
      <w:drawing>
        <wp:anchor distT="0" distB="0" distL="114300" distR="114300" simplePos="0" relativeHeight="251658243" behindDoc="1" locked="0" layoutInCell="1" allowOverlap="1" wp14:anchorId="077D4B83" wp14:editId="28118280">
          <wp:simplePos x="0" y="0"/>
          <wp:positionH relativeFrom="page">
            <wp:posOffset>0</wp:posOffset>
          </wp:positionH>
          <wp:positionV relativeFrom="page">
            <wp:posOffset>0</wp:posOffset>
          </wp:positionV>
          <wp:extent cx="7560000" cy="979200"/>
          <wp:effectExtent l="0" t="0" r="0" b="0"/>
          <wp:wrapNone/>
          <wp:docPr id="386670444" name="Picture 3866704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7044" w14:textId="02E0CC71" w:rsidR="00D560DC" w:rsidRPr="00D560DC" w:rsidRDefault="00156118" w:rsidP="004A500A">
    <w:pPr>
      <w:pStyle w:val="Header"/>
      <w:spacing w:after="1200"/>
    </w:pPr>
    <w:r>
      <w:rPr>
        <w:noProof/>
      </w:rPr>
      <mc:AlternateContent>
        <mc:Choice Requires="wps">
          <w:drawing>
            <wp:anchor distT="0" distB="0" distL="0" distR="0" simplePos="0" relativeHeight="251658245" behindDoc="0" locked="0" layoutInCell="1" allowOverlap="1" wp14:anchorId="050FB730" wp14:editId="6EC695A7">
              <wp:simplePos x="635" y="635"/>
              <wp:positionH relativeFrom="page">
                <wp:align>center</wp:align>
              </wp:positionH>
              <wp:positionV relativeFrom="page">
                <wp:align>top</wp:align>
              </wp:positionV>
              <wp:extent cx="551815" cy="480695"/>
              <wp:effectExtent l="0" t="0" r="635" b="14605"/>
              <wp:wrapNone/>
              <wp:docPr id="13064542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9D5D4A6" w14:textId="7B4BD4FF"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FB730"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59D5D4A6" w14:textId="7B4BD4FF"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v:textbox>
              <w10:wrap anchorx="page" anchory="page"/>
            </v:shape>
          </w:pict>
        </mc:Fallback>
      </mc:AlternateContent>
    </w:r>
    <w:r w:rsidR="004A500A">
      <w:rPr>
        <w:noProof/>
      </w:rPr>
      <w:drawing>
        <wp:anchor distT="0" distB="0" distL="114300" distR="114300" simplePos="0" relativeHeight="251658242" behindDoc="1" locked="0" layoutInCell="1" allowOverlap="1" wp14:anchorId="59947BB6" wp14:editId="305AD374">
          <wp:simplePos x="0" y="0"/>
          <wp:positionH relativeFrom="page">
            <wp:posOffset>-2454</wp:posOffset>
          </wp:positionH>
          <wp:positionV relativeFrom="page">
            <wp:posOffset>5818</wp:posOffset>
          </wp:positionV>
          <wp:extent cx="7560000" cy="980000"/>
          <wp:effectExtent l="0" t="0" r="0" b="0"/>
          <wp:wrapNone/>
          <wp:docPr id="1827569503" name="Picture 18275695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3E4F77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D08095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C174DB"/>
    <w:multiLevelType w:val="multilevel"/>
    <w:tmpl w:val="948A1A38"/>
    <w:styleLink w:val="NumberedListStyl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BE0DA7"/>
    <w:multiLevelType w:val="multilevel"/>
    <w:tmpl w:val="C118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7C1CAF"/>
    <w:multiLevelType w:val="multilevel"/>
    <w:tmpl w:val="4280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3C5D06"/>
    <w:multiLevelType w:val="multilevel"/>
    <w:tmpl w:val="46186146"/>
    <w:lvl w:ilvl="0">
      <w:start w:val="1"/>
      <w:numFmt w:val="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928" w:hanging="360"/>
      </w:pPr>
      <w:rPr>
        <w:rFonts w:ascii="Symbol" w:hAnsi="Symbol" w:hint="default"/>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209646D7"/>
    <w:multiLevelType w:val="hybridMultilevel"/>
    <w:tmpl w:val="BC70B26E"/>
    <w:lvl w:ilvl="0" w:tplc="4D481F9C">
      <w:start w:val="1"/>
      <w:numFmt w:val="bullet"/>
      <w:pStyle w:val="Subheading-Guidelines"/>
      <w:lvlText w:val=""/>
      <w:lvlJc w:val="left"/>
      <w:pPr>
        <w:ind w:left="720" w:hanging="360"/>
      </w:pPr>
      <w:rPr>
        <w:rFonts w:ascii="Symbol" w:hAnsi="Symbol" w:hint="default"/>
      </w:rPr>
    </w:lvl>
    <w:lvl w:ilvl="1" w:tplc="0C090019" w:tentative="1">
      <w:start w:val="1"/>
      <w:numFmt w:val="lowerLetter"/>
      <w:pStyle w:val="Subheading-Guideline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DA0FC3"/>
    <w:multiLevelType w:val="hybridMultilevel"/>
    <w:tmpl w:val="FFFFFFFF"/>
    <w:lvl w:ilvl="0" w:tplc="D09C88A6">
      <w:start w:val="1"/>
      <w:numFmt w:val="decimal"/>
      <w:lvlText w:val="%1.0"/>
      <w:lvlJc w:val="left"/>
      <w:pPr>
        <w:ind w:left="720" w:hanging="360"/>
      </w:pPr>
    </w:lvl>
    <w:lvl w:ilvl="1" w:tplc="ED6A85B6">
      <w:start w:val="1"/>
      <w:numFmt w:val="lowerLetter"/>
      <w:lvlText w:val="%2."/>
      <w:lvlJc w:val="left"/>
      <w:pPr>
        <w:ind w:left="1440" w:hanging="360"/>
      </w:pPr>
    </w:lvl>
    <w:lvl w:ilvl="2" w:tplc="1472C302">
      <w:start w:val="1"/>
      <w:numFmt w:val="lowerRoman"/>
      <w:lvlText w:val="%3."/>
      <w:lvlJc w:val="right"/>
      <w:pPr>
        <w:ind w:left="2160" w:hanging="180"/>
      </w:pPr>
    </w:lvl>
    <w:lvl w:ilvl="3" w:tplc="AAC6E7AC">
      <w:start w:val="1"/>
      <w:numFmt w:val="decimal"/>
      <w:lvlText w:val="%4."/>
      <w:lvlJc w:val="left"/>
      <w:pPr>
        <w:ind w:left="2880" w:hanging="360"/>
      </w:pPr>
    </w:lvl>
    <w:lvl w:ilvl="4" w:tplc="4B9AB4CE">
      <w:start w:val="1"/>
      <w:numFmt w:val="lowerLetter"/>
      <w:lvlText w:val="%5."/>
      <w:lvlJc w:val="left"/>
      <w:pPr>
        <w:ind w:left="3600" w:hanging="360"/>
      </w:pPr>
    </w:lvl>
    <w:lvl w:ilvl="5" w:tplc="E726393A">
      <w:start w:val="1"/>
      <w:numFmt w:val="lowerRoman"/>
      <w:lvlText w:val="%6."/>
      <w:lvlJc w:val="right"/>
      <w:pPr>
        <w:ind w:left="4320" w:hanging="180"/>
      </w:pPr>
    </w:lvl>
    <w:lvl w:ilvl="6" w:tplc="DB16647E">
      <w:start w:val="1"/>
      <w:numFmt w:val="decimal"/>
      <w:lvlText w:val="%7."/>
      <w:lvlJc w:val="left"/>
      <w:pPr>
        <w:ind w:left="5040" w:hanging="360"/>
      </w:pPr>
    </w:lvl>
    <w:lvl w:ilvl="7" w:tplc="BC268E94">
      <w:start w:val="1"/>
      <w:numFmt w:val="lowerLetter"/>
      <w:lvlText w:val="%8."/>
      <w:lvlJc w:val="left"/>
      <w:pPr>
        <w:ind w:left="5760" w:hanging="360"/>
      </w:pPr>
    </w:lvl>
    <w:lvl w:ilvl="8" w:tplc="6ABAFB30">
      <w:start w:val="1"/>
      <w:numFmt w:val="lowerRoman"/>
      <w:lvlText w:val="%9."/>
      <w:lvlJc w:val="right"/>
      <w:pPr>
        <w:ind w:left="6480" w:hanging="180"/>
      </w:pPr>
    </w:lvl>
  </w:abstractNum>
  <w:abstractNum w:abstractNumId="8" w15:restartNumberingAfterBreak="0">
    <w:nsid w:val="25DFC4E9"/>
    <w:multiLevelType w:val="hybridMultilevel"/>
    <w:tmpl w:val="97E49522"/>
    <w:lvl w:ilvl="0" w:tplc="E396A13E">
      <w:start w:val="1"/>
      <w:numFmt w:val="bullet"/>
      <w:lvlText w:val="·"/>
      <w:lvlJc w:val="left"/>
      <w:pPr>
        <w:ind w:left="720" w:hanging="360"/>
      </w:pPr>
      <w:rPr>
        <w:rFonts w:ascii="Symbol" w:hAnsi="Symbol" w:hint="default"/>
      </w:rPr>
    </w:lvl>
    <w:lvl w:ilvl="1" w:tplc="76E6E4CA">
      <w:start w:val="1"/>
      <w:numFmt w:val="bullet"/>
      <w:lvlText w:val="o"/>
      <w:lvlJc w:val="left"/>
      <w:pPr>
        <w:ind w:left="1440" w:hanging="360"/>
      </w:pPr>
      <w:rPr>
        <w:rFonts w:ascii="Courier New" w:hAnsi="Courier New" w:hint="default"/>
      </w:rPr>
    </w:lvl>
    <w:lvl w:ilvl="2" w:tplc="AE06C3DC">
      <w:start w:val="1"/>
      <w:numFmt w:val="bullet"/>
      <w:lvlText w:val=""/>
      <w:lvlJc w:val="left"/>
      <w:pPr>
        <w:ind w:left="2160" w:hanging="360"/>
      </w:pPr>
      <w:rPr>
        <w:rFonts w:ascii="Wingdings" w:hAnsi="Wingdings" w:hint="default"/>
      </w:rPr>
    </w:lvl>
    <w:lvl w:ilvl="3" w:tplc="41889300">
      <w:start w:val="1"/>
      <w:numFmt w:val="bullet"/>
      <w:lvlText w:val=""/>
      <w:lvlJc w:val="left"/>
      <w:pPr>
        <w:ind w:left="2880" w:hanging="360"/>
      </w:pPr>
      <w:rPr>
        <w:rFonts w:ascii="Symbol" w:hAnsi="Symbol" w:hint="default"/>
      </w:rPr>
    </w:lvl>
    <w:lvl w:ilvl="4" w:tplc="D8D054E2">
      <w:start w:val="1"/>
      <w:numFmt w:val="bullet"/>
      <w:lvlText w:val="o"/>
      <w:lvlJc w:val="left"/>
      <w:pPr>
        <w:ind w:left="3600" w:hanging="360"/>
      </w:pPr>
      <w:rPr>
        <w:rFonts w:ascii="Courier New" w:hAnsi="Courier New" w:hint="default"/>
      </w:rPr>
    </w:lvl>
    <w:lvl w:ilvl="5" w:tplc="DFD47924">
      <w:start w:val="1"/>
      <w:numFmt w:val="bullet"/>
      <w:lvlText w:val=""/>
      <w:lvlJc w:val="left"/>
      <w:pPr>
        <w:ind w:left="4320" w:hanging="360"/>
      </w:pPr>
      <w:rPr>
        <w:rFonts w:ascii="Wingdings" w:hAnsi="Wingdings" w:hint="default"/>
      </w:rPr>
    </w:lvl>
    <w:lvl w:ilvl="6" w:tplc="FD22872C">
      <w:start w:val="1"/>
      <w:numFmt w:val="bullet"/>
      <w:lvlText w:val=""/>
      <w:lvlJc w:val="left"/>
      <w:pPr>
        <w:ind w:left="5040" w:hanging="360"/>
      </w:pPr>
      <w:rPr>
        <w:rFonts w:ascii="Symbol" w:hAnsi="Symbol" w:hint="default"/>
      </w:rPr>
    </w:lvl>
    <w:lvl w:ilvl="7" w:tplc="2C9EF6C0">
      <w:start w:val="1"/>
      <w:numFmt w:val="bullet"/>
      <w:lvlText w:val="o"/>
      <w:lvlJc w:val="left"/>
      <w:pPr>
        <w:ind w:left="5760" w:hanging="360"/>
      </w:pPr>
      <w:rPr>
        <w:rFonts w:ascii="Courier New" w:hAnsi="Courier New" w:hint="default"/>
      </w:rPr>
    </w:lvl>
    <w:lvl w:ilvl="8" w:tplc="B994E74A">
      <w:start w:val="1"/>
      <w:numFmt w:val="bullet"/>
      <w:lvlText w:val=""/>
      <w:lvlJc w:val="left"/>
      <w:pPr>
        <w:ind w:left="6480" w:hanging="360"/>
      </w:pPr>
      <w:rPr>
        <w:rFonts w:ascii="Wingdings" w:hAnsi="Wingdings" w:hint="default"/>
      </w:rPr>
    </w:lvl>
  </w:abstractNum>
  <w:abstractNum w:abstractNumId="9" w15:restartNumberingAfterBreak="0">
    <w:nsid w:val="2C5E5AAD"/>
    <w:multiLevelType w:val="hybridMultilevel"/>
    <w:tmpl w:val="711824BC"/>
    <w:lvl w:ilvl="0" w:tplc="C02C0050">
      <w:start w:val="1"/>
      <w:numFmt w:val="bullet"/>
      <w:lvlText w:val="·"/>
      <w:lvlJc w:val="left"/>
      <w:pPr>
        <w:ind w:left="720" w:hanging="360"/>
      </w:pPr>
      <w:rPr>
        <w:rFonts w:ascii="Symbol" w:hAnsi="Symbol" w:hint="default"/>
      </w:rPr>
    </w:lvl>
    <w:lvl w:ilvl="1" w:tplc="4D9608CA">
      <w:start w:val="1"/>
      <w:numFmt w:val="bullet"/>
      <w:lvlText w:val="o"/>
      <w:lvlJc w:val="left"/>
      <w:pPr>
        <w:ind w:left="1440" w:hanging="360"/>
      </w:pPr>
      <w:rPr>
        <w:rFonts w:ascii="Courier New" w:hAnsi="Courier New" w:hint="default"/>
      </w:rPr>
    </w:lvl>
    <w:lvl w:ilvl="2" w:tplc="9F561B3A">
      <w:start w:val="1"/>
      <w:numFmt w:val="bullet"/>
      <w:lvlText w:val=""/>
      <w:lvlJc w:val="left"/>
      <w:pPr>
        <w:ind w:left="2160" w:hanging="360"/>
      </w:pPr>
      <w:rPr>
        <w:rFonts w:ascii="Wingdings" w:hAnsi="Wingdings" w:hint="default"/>
      </w:rPr>
    </w:lvl>
    <w:lvl w:ilvl="3" w:tplc="EDA4489C">
      <w:start w:val="1"/>
      <w:numFmt w:val="bullet"/>
      <w:lvlText w:val=""/>
      <w:lvlJc w:val="left"/>
      <w:pPr>
        <w:ind w:left="2880" w:hanging="360"/>
      </w:pPr>
      <w:rPr>
        <w:rFonts w:ascii="Symbol" w:hAnsi="Symbol" w:hint="default"/>
      </w:rPr>
    </w:lvl>
    <w:lvl w:ilvl="4" w:tplc="02246B2E">
      <w:start w:val="1"/>
      <w:numFmt w:val="bullet"/>
      <w:lvlText w:val="o"/>
      <w:lvlJc w:val="left"/>
      <w:pPr>
        <w:ind w:left="3600" w:hanging="360"/>
      </w:pPr>
      <w:rPr>
        <w:rFonts w:ascii="Courier New" w:hAnsi="Courier New" w:hint="default"/>
      </w:rPr>
    </w:lvl>
    <w:lvl w:ilvl="5" w:tplc="28A22DC0">
      <w:start w:val="1"/>
      <w:numFmt w:val="bullet"/>
      <w:lvlText w:val=""/>
      <w:lvlJc w:val="left"/>
      <w:pPr>
        <w:ind w:left="4320" w:hanging="360"/>
      </w:pPr>
      <w:rPr>
        <w:rFonts w:ascii="Wingdings" w:hAnsi="Wingdings" w:hint="default"/>
      </w:rPr>
    </w:lvl>
    <w:lvl w:ilvl="6" w:tplc="6FB277D8">
      <w:start w:val="1"/>
      <w:numFmt w:val="bullet"/>
      <w:lvlText w:val=""/>
      <w:lvlJc w:val="left"/>
      <w:pPr>
        <w:ind w:left="5040" w:hanging="360"/>
      </w:pPr>
      <w:rPr>
        <w:rFonts w:ascii="Symbol" w:hAnsi="Symbol" w:hint="default"/>
      </w:rPr>
    </w:lvl>
    <w:lvl w:ilvl="7" w:tplc="2E0AA6C0">
      <w:start w:val="1"/>
      <w:numFmt w:val="bullet"/>
      <w:lvlText w:val="o"/>
      <w:lvlJc w:val="left"/>
      <w:pPr>
        <w:ind w:left="5760" w:hanging="360"/>
      </w:pPr>
      <w:rPr>
        <w:rFonts w:ascii="Courier New" w:hAnsi="Courier New" w:hint="default"/>
      </w:rPr>
    </w:lvl>
    <w:lvl w:ilvl="8" w:tplc="90CC7FA4">
      <w:start w:val="1"/>
      <w:numFmt w:val="bullet"/>
      <w:lvlText w:val=""/>
      <w:lvlJc w:val="left"/>
      <w:pPr>
        <w:ind w:left="6480" w:hanging="360"/>
      </w:pPr>
      <w:rPr>
        <w:rFonts w:ascii="Wingdings" w:hAnsi="Wingdings" w:hint="default"/>
      </w:rPr>
    </w:lvl>
  </w:abstractNum>
  <w:abstractNum w:abstractNumId="10" w15:restartNumberingAfterBreak="0">
    <w:nsid w:val="31927945"/>
    <w:multiLevelType w:val="multilevel"/>
    <w:tmpl w:val="42DE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725C02"/>
    <w:multiLevelType w:val="multilevel"/>
    <w:tmpl w:val="E3C0B744"/>
    <w:lvl w:ilvl="0">
      <w:start w:val="1"/>
      <w:numFmt w:val="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928" w:hanging="360"/>
      </w:pPr>
      <w:rPr>
        <w:rFonts w:ascii="Symbol" w:hAnsi="Symbol" w:hint="default"/>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38FA1E09"/>
    <w:multiLevelType w:val="multilevel"/>
    <w:tmpl w:val="E42A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A269F"/>
    <w:multiLevelType w:val="multilevel"/>
    <w:tmpl w:val="CA20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BD5A56"/>
    <w:multiLevelType w:val="hybridMultilevel"/>
    <w:tmpl w:val="DB1AECD4"/>
    <w:lvl w:ilvl="0" w:tplc="8A36A97C">
      <w:start w:val="1"/>
      <w:numFmt w:val="decimal"/>
      <w:pStyle w:val="Guidelinessub-sub"/>
      <w:lvlText w:val="%1.1.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pStyle w:val="Guidelinessub-sub"/>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9C6CEC"/>
    <w:multiLevelType w:val="hybridMultilevel"/>
    <w:tmpl w:val="BC661D82"/>
    <w:lvl w:ilvl="0" w:tplc="8836FA50">
      <w:start w:val="1"/>
      <w:numFmt w:val="bullet"/>
      <w:lvlText w:val="·"/>
      <w:lvlJc w:val="left"/>
      <w:pPr>
        <w:ind w:left="720" w:hanging="360"/>
      </w:pPr>
      <w:rPr>
        <w:rFonts w:ascii="Symbol" w:hAnsi="Symbol" w:hint="default"/>
      </w:rPr>
    </w:lvl>
    <w:lvl w:ilvl="1" w:tplc="51AE0EBE">
      <w:start w:val="1"/>
      <w:numFmt w:val="bullet"/>
      <w:lvlText w:val="o"/>
      <w:lvlJc w:val="left"/>
      <w:pPr>
        <w:ind w:left="1440" w:hanging="360"/>
      </w:pPr>
      <w:rPr>
        <w:rFonts w:ascii="Courier New" w:hAnsi="Courier New" w:hint="default"/>
      </w:rPr>
    </w:lvl>
    <w:lvl w:ilvl="2" w:tplc="E00CD2F0">
      <w:start w:val="1"/>
      <w:numFmt w:val="bullet"/>
      <w:lvlText w:val=""/>
      <w:lvlJc w:val="left"/>
      <w:pPr>
        <w:ind w:left="2160" w:hanging="360"/>
      </w:pPr>
      <w:rPr>
        <w:rFonts w:ascii="Wingdings" w:hAnsi="Wingdings" w:hint="default"/>
      </w:rPr>
    </w:lvl>
    <w:lvl w:ilvl="3" w:tplc="BE741992">
      <w:start w:val="1"/>
      <w:numFmt w:val="bullet"/>
      <w:lvlText w:val=""/>
      <w:lvlJc w:val="left"/>
      <w:pPr>
        <w:ind w:left="2880" w:hanging="360"/>
      </w:pPr>
      <w:rPr>
        <w:rFonts w:ascii="Symbol" w:hAnsi="Symbol" w:hint="default"/>
      </w:rPr>
    </w:lvl>
    <w:lvl w:ilvl="4" w:tplc="78A27164">
      <w:start w:val="1"/>
      <w:numFmt w:val="bullet"/>
      <w:lvlText w:val="o"/>
      <w:lvlJc w:val="left"/>
      <w:pPr>
        <w:ind w:left="3600" w:hanging="360"/>
      </w:pPr>
      <w:rPr>
        <w:rFonts w:ascii="Courier New" w:hAnsi="Courier New" w:hint="default"/>
      </w:rPr>
    </w:lvl>
    <w:lvl w:ilvl="5" w:tplc="A42CAE6A">
      <w:start w:val="1"/>
      <w:numFmt w:val="bullet"/>
      <w:lvlText w:val=""/>
      <w:lvlJc w:val="left"/>
      <w:pPr>
        <w:ind w:left="4320" w:hanging="360"/>
      </w:pPr>
      <w:rPr>
        <w:rFonts w:ascii="Wingdings" w:hAnsi="Wingdings" w:hint="default"/>
      </w:rPr>
    </w:lvl>
    <w:lvl w:ilvl="6" w:tplc="966C4E98">
      <w:start w:val="1"/>
      <w:numFmt w:val="bullet"/>
      <w:lvlText w:val=""/>
      <w:lvlJc w:val="left"/>
      <w:pPr>
        <w:ind w:left="5040" w:hanging="360"/>
      </w:pPr>
      <w:rPr>
        <w:rFonts w:ascii="Symbol" w:hAnsi="Symbol" w:hint="default"/>
      </w:rPr>
    </w:lvl>
    <w:lvl w:ilvl="7" w:tplc="6E400BA4">
      <w:start w:val="1"/>
      <w:numFmt w:val="bullet"/>
      <w:lvlText w:val="o"/>
      <w:lvlJc w:val="left"/>
      <w:pPr>
        <w:ind w:left="5760" w:hanging="360"/>
      </w:pPr>
      <w:rPr>
        <w:rFonts w:ascii="Courier New" w:hAnsi="Courier New" w:hint="default"/>
      </w:rPr>
    </w:lvl>
    <w:lvl w:ilvl="8" w:tplc="00BEDC88">
      <w:start w:val="1"/>
      <w:numFmt w:val="bullet"/>
      <w:lvlText w:val=""/>
      <w:lvlJc w:val="left"/>
      <w:pPr>
        <w:ind w:left="6480" w:hanging="360"/>
      </w:pPr>
      <w:rPr>
        <w:rFonts w:ascii="Wingdings" w:hAnsi="Wingdings" w:hint="default"/>
      </w:rPr>
    </w:lvl>
  </w:abstractNum>
  <w:abstractNum w:abstractNumId="16" w15:restartNumberingAfterBreak="0">
    <w:nsid w:val="580804CB"/>
    <w:multiLevelType w:val="multilevel"/>
    <w:tmpl w:val="F9FE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24627C"/>
    <w:multiLevelType w:val="multilevel"/>
    <w:tmpl w:val="D8E2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4163E6"/>
    <w:multiLevelType w:val="multilevel"/>
    <w:tmpl w:val="6ED6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7EDA7E"/>
    <w:multiLevelType w:val="hybridMultilevel"/>
    <w:tmpl w:val="03A64C94"/>
    <w:lvl w:ilvl="0" w:tplc="19DA2106">
      <w:start w:val="1"/>
      <w:numFmt w:val="bullet"/>
      <w:lvlText w:val="·"/>
      <w:lvlJc w:val="left"/>
      <w:pPr>
        <w:ind w:left="720" w:hanging="360"/>
      </w:pPr>
      <w:rPr>
        <w:rFonts w:ascii="Symbol" w:hAnsi="Symbol" w:hint="default"/>
      </w:rPr>
    </w:lvl>
    <w:lvl w:ilvl="1" w:tplc="62A0201C">
      <w:start w:val="1"/>
      <w:numFmt w:val="bullet"/>
      <w:lvlText w:val="o"/>
      <w:lvlJc w:val="left"/>
      <w:pPr>
        <w:ind w:left="1440" w:hanging="360"/>
      </w:pPr>
      <w:rPr>
        <w:rFonts w:ascii="Courier New" w:hAnsi="Courier New" w:hint="default"/>
      </w:rPr>
    </w:lvl>
    <w:lvl w:ilvl="2" w:tplc="44A26B86">
      <w:start w:val="1"/>
      <w:numFmt w:val="bullet"/>
      <w:lvlText w:val=""/>
      <w:lvlJc w:val="left"/>
      <w:pPr>
        <w:ind w:left="2160" w:hanging="360"/>
      </w:pPr>
      <w:rPr>
        <w:rFonts w:ascii="Wingdings" w:hAnsi="Wingdings" w:hint="default"/>
      </w:rPr>
    </w:lvl>
    <w:lvl w:ilvl="3" w:tplc="63BC8B0C">
      <w:start w:val="1"/>
      <w:numFmt w:val="bullet"/>
      <w:lvlText w:val=""/>
      <w:lvlJc w:val="left"/>
      <w:pPr>
        <w:ind w:left="2880" w:hanging="360"/>
      </w:pPr>
      <w:rPr>
        <w:rFonts w:ascii="Symbol" w:hAnsi="Symbol" w:hint="default"/>
      </w:rPr>
    </w:lvl>
    <w:lvl w:ilvl="4" w:tplc="E628376C">
      <w:start w:val="1"/>
      <w:numFmt w:val="bullet"/>
      <w:lvlText w:val="o"/>
      <w:lvlJc w:val="left"/>
      <w:pPr>
        <w:ind w:left="3600" w:hanging="360"/>
      </w:pPr>
      <w:rPr>
        <w:rFonts w:ascii="Courier New" w:hAnsi="Courier New" w:hint="default"/>
      </w:rPr>
    </w:lvl>
    <w:lvl w:ilvl="5" w:tplc="90D01118">
      <w:start w:val="1"/>
      <w:numFmt w:val="bullet"/>
      <w:lvlText w:val=""/>
      <w:lvlJc w:val="left"/>
      <w:pPr>
        <w:ind w:left="4320" w:hanging="360"/>
      </w:pPr>
      <w:rPr>
        <w:rFonts w:ascii="Wingdings" w:hAnsi="Wingdings" w:hint="default"/>
      </w:rPr>
    </w:lvl>
    <w:lvl w:ilvl="6" w:tplc="087E2018">
      <w:start w:val="1"/>
      <w:numFmt w:val="bullet"/>
      <w:lvlText w:val=""/>
      <w:lvlJc w:val="left"/>
      <w:pPr>
        <w:ind w:left="5040" w:hanging="360"/>
      </w:pPr>
      <w:rPr>
        <w:rFonts w:ascii="Symbol" w:hAnsi="Symbol" w:hint="default"/>
      </w:rPr>
    </w:lvl>
    <w:lvl w:ilvl="7" w:tplc="9AD212F4">
      <w:start w:val="1"/>
      <w:numFmt w:val="bullet"/>
      <w:lvlText w:val="o"/>
      <w:lvlJc w:val="left"/>
      <w:pPr>
        <w:ind w:left="5760" w:hanging="360"/>
      </w:pPr>
      <w:rPr>
        <w:rFonts w:ascii="Courier New" w:hAnsi="Courier New" w:hint="default"/>
      </w:rPr>
    </w:lvl>
    <w:lvl w:ilvl="8" w:tplc="62640D4A">
      <w:start w:val="1"/>
      <w:numFmt w:val="bullet"/>
      <w:lvlText w:val=""/>
      <w:lvlJc w:val="left"/>
      <w:pPr>
        <w:ind w:left="6480" w:hanging="360"/>
      </w:pPr>
      <w:rPr>
        <w:rFonts w:ascii="Wingdings" w:hAnsi="Wingdings" w:hint="default"/>
      </w:rPr>
    </w:lvl>
  </w:abstractNum>
  <w:abstractNum w:abstractNumId="20" w15:restartNumberingAfterBreak="0">
    <w:nsid w:val="5F866D5A"/>
    <w:multiLevelType w:val="multilevel"/>
    <w:tmpl w:val="ABD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EB08B1"/>
    <w:multiLevelType w:val="multilevel"/>
    <w:tmpl w:val="34B8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23680F"/>
    <w:multiLevelType w:val="multilevel"/>
    <w:tmpl w:val="885239B0"/>
    <w:lvl w:ilvl="0">
      <w:start w:val="1"/>
      <w:numFmt w:val="bullet"/>
      <w:pStyle w:val="Tablelist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852" w:hanging="284"/>
      </w:pPr>
      <w:rPr>
        <w:rFonts w:ascii="Calibri" w:hAnsi="Calibri" w:hint="default"/>
        <w:color w:val="323232"/>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6D807E12"/>
    <w:multiLevelType w:val="hybridMultilevel"/>
    <w:tmpl w:val="31ECBB32"/>
    <w:lvl w:ilvl="0" w:tplc="0D327652">
      <w:start w:val="1"/>
      <w:numFmt w:val="bullet"/>
      <w:lvlText w:val="·"/>
      <w:lvlJc w:val="left"/>
      <w:pPr>
        <w:ind w:left="720" w:hanging="360"/>
      </w:pPr>
      <w:rPr>
        <w:rFonts w:ascii="Symbol" w:hAnsi="Symbol" w:hint="default"/>
      </w:rPr>
    </w:lvl>
    <w:lvl w:ilvl="1" w:tplc="ABA67D22">
      <w:start w:val="1"/>
      <w:numFmt w:val="bullet"/>
      <w:lvlText w:val="o"/>
      <w:lvlJc w:val="left"/>
      <w:pPr>
        <w:ind w:left="1440" w:hanging="360"/>
      </w:pPr>
      <w:rPr>
        <w:rFonts w:ascii="Courier New" w:hAnsi="Courier New" w:hint="default"/>
      </w:rPr>
    </w:lvl>
    <w:lvl w:ilvl="2" w:tplc="1AA45048">
      <w:start w:val="1"/>
      <w:numFmt w:val="bullet"/>
      <w:lvlText w:val=""/>
      <w:lvlJc w:val="left"/>
      <w:pPr>
        <w:ind w:left="2160" w:hanging="360"/>
      </w:pPr>
      <w:rPr>
        <w:rFonts w:ascii="Wingdings" w:hAnsi="Wingdings" w:hint="default"/>
      </w:rPr>
    </w:lvl>
    <w:lvl w:ilvl="3" w:tplc="4CB2BC68">
      <w:start w:val="1"/>
      <w:numFmt w:val="bullet"/>
      <w:lvlText w:val=""/>
      <w:lvlJc w:val="left"/>
      <w:pPr>
        <w:ind w:left="2880" w:hanging="360"/>
      </w:pPr>
      <w:rPr>
        <w:rFonts w:ascii="Symbol" w:hAnsi="Symbol" w:hint="default"/>
      </w:rPr>
    </w:lvl>
    <w:lvl w:ilvl="4" w:tplc="8EE67056">
      <w:start w:val="1"/>
      <w:numFmt w:val="bullet"/>
      <w:lvlText w:val="o"/>
      <w:lvlJc w:val="left"/>
      <w:pPr>
        <w:ind w:left="3600" w:hanging="360"/>
      </w:pPr>
      <w:rPr>
        <w:rFonts w:ascii="Courier New" w:hAnsi="Courier New" w:hint="default"/>
      </w:rPr>
    </w:lvl>
    <w:lvl w:ilvl="5" w:tplc="231A28F6">
      <w:start w:val="1"/>
      <w:numFmt w:val="bullet"/>
      <w:lvlText w:val=""/>
      <w:lvlJc w:val="left"/>
      <w:pPr>
        <w:ind w:left="4320" w:hanging="360"/>
      </w:pPr>
      <w:rPr>
        <w:rFonts w:ascii="Wingdings" w:hAnsi="Wingdings" w:hint="default"/>
      </w:rPr>
    </w:lvl>
    <w:lvl w:ilvl="6" w:tplc="DB6C4FA0">
      <w:start w:val="1"/>
      <w:numFmt w:val="bullet"/>
      <w:lvlText w:val=""/>
      <w:lvlJc w:val="left"/>
      <w:pPr>
        <w:ind w:left="5040" w:hanging="360"/>
      </w:pPr>
      <w:rPr>
        <w:rFonts w:ascii="Symbol" w:hAnsi="Symbol" w:hint="default"/>
      </w:rPr>
    </w:lvl>
    <w:lvl w:ilvl="7" w:tplc="04B86B50">
      <w:start w:val="1"/>
      <w:numFmt w:val="bullet"/>
      <w:lvlText w:val="o"/>
      <w:lvlJc w:val="left"/>
      <w:pPr>
        <w:ind w:left="5760" w:hanging="360"/>
      </w:pPr>
      <w:rPr>
        <w:rFonts w:ascii="Courier New" w:hAnsi="Courier New" w:hint="default"/>
      </w:rPr>
    </w:lvl>
    <w:lvl w:ilvl="8" w:tplc="4A004DC4">
      <w:start w:val="1"/>
      <w:numFmt w:val="bullet"/>
      <w:lvlText w:val=""/>
      <w:lvlJc w:val="left"/>
      <w:pPr>
        <w:ind w:left="6480" w:hanging="360"/>
      </w:pPr>
      <w:rPr>
        <w:rFonts w:ascii="Wingdings" w:hAnsi="Wingdings" w:hint="default"/>
      </w:rPr>
    </w:lvl>
  </w:abstractNum>
  <w:abstractNum w:abstractNumId="24" w15:restartNumberingAfterBreak="0">
    <w:nsid w:val="709A265E"/>
    <w:multiLevelType w:val="multilevel"/>
    <w:tmpl w:val="44C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8738DF"/>
    <w:multiLevelType w:val="hybridMultilevel"/>
    <w:tmpl w:val="A87ADCA4"/>
    <w:lvl w:ilvl="0" w:tplc="395859B8">
      <w:start w:val="1"/>
      <w:numFmt w:val="bullet"/>
      <w:lvlText w:val="·"/>
      <w:lvlJc w:val="left"/>
      <w:pPr>
        <w:ind w:left="720" w:hanging="360"/>
      </w:pPr>
      <w:rPr>
        <w:rFonts w:ascii="Symbol" w:hAnsi="Symbol" w:hint="default"/>
      </w:rPr>
    </w:lvl>
    <w:lvl w:ilvl="1" w:tplc="61686F96">
      <w:start w:val="1"/>
      <w:numFmt w:val="bullet"/>
      <w:lvlText w:val="o"/>
      <w:lvlJc w:val="left"/>
      <w:pPr>
        <w:ind w:left="1440" w:hanging="360"/>
      </w:pPr>
      <w:rPr>
        <w:rFonts w:ascii="Courier New" w:hAnsi="Courier New" w:hint="default"/>
      </w:rPr>
    </w:lvl>
    <w:lvl w:ilvl="2" w:tplc="4D1469D8">
      <w:start w:val="1"/>
      <w:numFmt w:val="bullet"/>
      <w:lvlText w:val=""/>
      <w:lvlJc w:val="left"/>
      <w:pPr>
        <w:ind w:left="2160" w:hanging="360"/>
      </w:pPr>
      <w:rPr>
        <w:rFonts w:ascii="Wingdings" w:hAnsi="Wingdings" w:hint="default"/>
      </w:rPr>
    </w:lvl>
    <w:lvl w:ilvl="3" w:tplc="0186CD82">
      <w:start w:val="1"/>
      <w:numFmt w:val="bullet"/>
      <w:lvlText w:val=""/>
      <w:lvlJc w:val="left"/>
      <w:pPr>
        <w:ind w:left="2880" w:hanging="360"/>
      </w:pPr>
      <w:rPr>
        <w:rFonts w:ascii="Symbol" w:hAnsi="Symbol" w:hint="default"/>
      </w:rPr>
    </w:lvl>
    <w:lvl w:ilvl="4" w:tplc="9B44282C">
      <w:start w:val="1"/>
      <w:numFmt w:val="bullet"/>
      <w:lvlText w:val="o"/>
      <w:lvlJc w:val="left"/>
      <w:pPr>
        <w:ind w:left="3600" w:hanging="360"/>
      </w:pPr>
      <w:rPr>
        <w:rFonts w:ascii="Courier New" w:hAnsi="Courier New" w:hint="default"/>
      </w:rPr>
    </w:lvl>
    <w:lvl w:ilvl="5" w:tplc="A09E4D96">
      <w:start w:val="1"/>
      <w:numFmt w:val="bullet"/>
      <w:lvlText w:val=""/>
      <w:lvlJc w:val="left"/>
      <w:pPr>
        <w:ind w:left="4320" w:hanging="360"/>
      </w:pPr>
      <w:rPr>
        <w:rFonts w:ascii="Wingdings" w:hAnsi="Wingdings" w:hint="default"/>
      </w:rPr>
    </w:lvl>
    <w:lvl w:ilvl="6" w:tplc="F28A19AA">
      <w:start w:val="1"/>
      <w:numFmt w:val="bullet"/>
      <w:lvlText w:val=""/>
      <w:lvlJc w:val="left"/>
      <w:pPr>
        <w:ind w:left="5040" w:hanging="360"/>
      </w:pPr>
      <w:rPr>
        <w:rFonts w:ascii="Symbol" w:hAnsi="Symbol" w:hint="default"/>
      </w:rPr>
    </w:lvl>
    <w:lvl w:ilvl="7" w:tplc="153C0A36">
      <w:start w:val="1"/>
      <w:numFmt w:val="bullet"/>
      <w:lvlText w:val="o"/>
      <w:lvlJc w:val="left"/>
      <w:pPr>
        <w:ind w:left="5760" w:hanging="360"/>
      </w:pPr>
      <w:rPr>
        <w:rFonts w:ascii="Courier New" w:hAnsi="Courier New" w:hint="default"/>
      </w:rPr>
    </w:lvl>
    <w:lvl w:ilvl="8" w:tplc="32BE28C2">
      <w:start w:val="1"/>
      <w:numFmt w:val="bullet"/>
      <w:lvlText w:val=""/>
      <w:lvlJc w:val="left"/>
      <w:pPr>
        <w:ind w:left="6480" w:hanging="360"/>
      </w:pPr>
      <w:rPr>
        <w:rFonts w:ascii="Wingdings" w:hAnsi="Wingdings" w:hint="default"/>
      </w:rPr>
    </w:lvl>
  </w:abstractNum>
  <w:abstractNum w:abstractNumId="26" w15:restartNumberingAfterBreak="0">
    <w:nsid w:val="79CB3ACC"/>
    <w:multiLevelType w:val="multilevel"/>
    <w:tmpl w:val="A1A814A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F996323"/>
    <w:multiLevelType w:val="multilevel"/>
    <w:tmpl w:val="21F2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3925422">
    <w:abstractNumId w:val="7"/>
  </w:num>
  <w:num w:numId="2" w16cid:durableId="1673797208">
    <w:abstractNumId w:val="27"/>
  </w:num>
  <w:num w:numId="3" w16cid:durableId="1678968889">
    <w:abstractNumId w:val="1"/>
  </w:num>
  <w:num w:numId="4" w16cid:durableId="1993291614">
    <w:abstractNumId w:val="6"/>
  </w:num>
  <w:num w:numId="5" w16cid:durableId="1083137740">
    <w:abstractNumId w:val="14"/>
  </w:num>
  <w:num w:numId="6" w16cid:durableId="1662194642">
    <w:abstractNumId w:val="0"/>
  </w:num>
  <w:num w:numId="7" w16cid:durableId="52237513">
    <w:abstractNumId w:val="12"/>
  </w:num>
  <w:num w:numId="8" w16cid:durableId="1001660756">
    <w:abstractNumId w:val="13"/>
  </w:num>
  <w:num w:numId="9" w16cid:durableId="1308054714">
    <w:abstractNumId w:val="17"/>
  </w:num>
  <w:num w:numId="10" w16cid:durableId="1599292382">
    <w:abstractNumId w:val="20"/>
  </w:num>
  <w:num w:numId="11" w16cid:durableId="2075933160">
    <w:abstractNumId w:val="18"/>
  </w:num>
  <w:num w:numId="12" w16cid:durableId="355277685">
    <w:abstractNumId w:val="3"/>
  </w:num>
  <w:num w:numId="13" w16cid:durableId="591820581">
    <w:abstractNumId w:val="2"/>
  </w:num>
  <w:num w:numId="14" w16cid:durableId="1225869267">
    <w:abstractNumId w:val="28"/>
  </w:num>
  <w:num w:numId="15" w16cid:durableId="1606841954">
    <w:abstractNumId w:val="21"/>
  </w:num>
  <w:num w:numId="16" w16cid:durableId="1965304445">
    <w:abstractNumId w:val="4"/>
  </w:num>
  <w:num w:numId="17" w16cid:durableId="829516380">
    <w:abstractNumId w:val="10"/>
  </w:num>
  <w:num w:numId="18" w16cid:durableId="1329551818">
    <w:abstractNumId w:val="22"/>
  </w:num>
  <w:num w:numId="19" w16cid:durableId="1870406842">
    <w:abstractNumId w:val="5"/>
  </w:num>
  <w:num w:numId="20" w16cid:durableId="50425162">
    <w:abstractNumId w:val="11"/>
  </w:num>
  <w:num w:numId="21" w16cid:durableId="2125225467">
    <w:abstractNumId w:val="16"/>
  </w:num>
  <w:num w:numId="22" w16cid:durableId="977882867">
    <w:abstractNumId w:val="24"/>
  </w:num>
  <w:num w:numId="23" w16cid:durableId="2035110013">
    <w:abstractNumId w:val="26"/>
  </w:num>
  <w:num w:numId="24" w16cid:durableId="1716811562">
    <w:abstractNumId w:val="9"/>
  </w:num>
  <w:num w:numId="25" w16cid:durableId="1471751439">
    <w:abstractNumId w:val="15"/>
  </w:num>
  <w:num w:numId="26" w16cid:durableId="1568345839">
    <w:abstractNumId w:val="8"/>
  </w:num>
  <w:num w:numId="27" w16cid:durableId="1844126935">
    <w:abstractNumId w:val="25"/>
  </w:num>
  <w:num w:numId="28" w16cid:durableId="1490974328">
    <w:abstractNumId w:val="19"/>
  </w:num>
  <w:num w:numId="29" w16cid:durableId="1286739319">
    <w:abstractNumId w:val="23"/>
  </w:num>
  <w:num w:numId="30" w16cid:durableId="2064599891">
    <w:abstractNumId w:val="26"/>
  </w:num>
  <w:num w:numId="31" w16cid:durableId="63170997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00761"/>
    <w:rsid w:val="000008C0"/>
    <w:rsid w:val="00001488"/>
    <w:rsid w:val="00001AF8"/>
    <w:rsid w:val="00001E5E"/>
    <w:rsid w:val="00002992"/>
    <w:rsid w:val="00002AA9"/>
    <w:rsid w:val="00003248"/>
    <w:rsid w:val="0000471D"/>
    <w:rsid w:val="00004C86"/>
    <w:rsid w:val="00004C98"/>
    <w:rsid w:val="00005CAB"/>
    <w:rsid w:val="00006270"/>
    <w:rsid w:val="00006B2F"/>
    <w:rsid w:val="00006C8A"/>
    <w:rsid w:val="00011F1D"/>
    <w:rsid w:val="000129E7"/>
    <w:rsid w:val="00013605"/>
    <w:rsid w:val="000136E5"/>
    <w:rsid w:val="00013C97"/>
    <w:rsid w:val="00016F2C"/>
    <w:rsid w:val="00017597"/>
    <w:rsid w:val="00020F92"/>
    <w:rsid w:val="00021AB5"/>
    <w:rsid w:val="00022640"/>
    <w:rsid w:val="000226E9"/>
    <w:rsid w:val="0002304F"/>
    <w:rsid w:val="000240FF"/>
    <w:rsid w:val="00024CCA"/>
    <w:rsid w:val="00024DB0"/>
    <w:rsid w:val="00024F83"/>
    <w:rsid w:val="00025140"/>
    <w:rsid w:val="000251C1"/>
    <w:rsid w:val="00025717"/>
    <w:rsid w:val="00025CBA"/>
    <w:rsid w:val="0002617F"/>
    <w:rsid w:val="00026A3D"/>
    <w:rsid w:val="00026C89"/>
    <w:rsid w:val="00027E66"/>
    <w:rsid w:val="00030E09"/>
    <w:rsid w:val="000310A2"/>
    <w:rsid w:val="0003128C"/>
    <w:rsid w:val="0003238E"/>
    <w:rsid w:val="000324D6"/>
    <w:rsid w:val="00032FD0"/>
    <w:rsid w:val="000335D5"/>
    <w:rsid w:val="0003434B"/>
    <w:rsid w:val="0003434C"/>
    <w:rsid w:val="000355BB"/>
    <w:rsid w:val="00035DCA"/>
    <w:rsid w:val="000366DF"/>
    <w:rsid w:val="00036BFC"/>
    <w:rsid w:val="00037013"/>
    <w:rsid w:val="00037F61"/>
    <w:rsid w:val="00040769"/>
    <w:rsid w:val="00040CC5"/>
    <w:rsid w:val="00040ED1"/>
    <w:rsid w:val="0004125C"/>
    <w:rsid w:val="000416C1"/>
    <w:rsid w:val="00041AE1"/>
    <w:rsid w:val="00041B4E"/>
    <w:rsid w:val="00043BA7"/>
    <w:rsid w:val="000441EF"/>
    <w:rsid w:val="00044B5B"/>
    <w:rsid w:val="00045211"/>
    <w:rsid w:val="0004715E"/>
    <w:rsid w:val="0004758E"/>
    <w:rsid w:val="000477D8"/>
    <w:rsid w:val="00047EB1"/>
    <w:rsid w:val="00050291"/>
    <w:rsid w:val="0005029F"/>
    <w:rsid w:val="00050972"/>
    <w:rsid w:val="000510BC"/>
    <w:rsid w:val="0005121C"/>
    <w:rsid w:val="00052988"/>
    <w:rsid w:val="000529FC"/>
    <w:rsid w:val="00054801"/>
    <w:rsid w:val="00055721"/>
    <w:rsid w:val="000561AA"/>
    <w:rsid w:val="000565E2"/>
    <w:rsid w:val="00056EA1"/>
    <w:rsid w:val="0005796F"/>
    <w:rsid w:val="000579A8"/>
    <w:rsid w:val="00061D6A"/>
    <w:rsid w:val="00061DE2"/>
    <w:rsid w:val="00065ED7"/>
    <w:rsid w:val="00066AF0"/>
    <w:rsid w:val="00066B01"/>
    <w:rsid w:val="00067499"/>
    <w:rsid w:val="00067A0F"/>
    <w:rsid w:val="0007001A"/>
    <w:rsid w:val="00070950"/>
    <w:rsid w:val="00073057"/>
    <w:rsid w:val="00073075"/>
    <w:rsid w:val="00073C78"/>
    <w:rsid w:val="00073DFD"/>
    <w:rsid w:val="00073F80"/>
    <w:rsid w:val="000741F3"/>
    <w:rsid w:val="0007475C"/>
    <w:rsid w:val="0007537D"/>
    <w:rsid w:val="000761EA"/>
    <w:rsid w:val="000766D7"/>
    <w:rsid w:val="00076EFE"/>
    <w:rsid w:val="00077BF1"/>
    <w:rsid w:val="00080239"/>
    <w:rsid w:val="00081449"/>
    <w:rsid w:val="000814E9"/>
    <w:rsid w:val="00082305"/>
    <w:rsid w:val="00082701"/>
    <w:rsid w:val="00082AE0"/>
    <w:rsid w:val="00082C76"/>
    <w:rsid w:val="00082D17"/>
    <w:rsid w:val="00082E5E"/>
    <w:rsid w:val="00084E73"/>
    <w:rsid w:val="00085474"/>
    <w:rsid w:val="00085583"/>
    <w:rsid w:val="00085705"/>
    <w:rsid w:val="00086485"/>
    <w:rsid w:val="00087DC6"/>
    <w:rsid w:val="000900AE"/>
    <w:rsid w:val="000904C3"/>
    <w:rsid w:val="00091C08"/>
    <w:rsid w:val="00091D35"/>
    <w:rsid w:val="00091FEA"/>
    <w:rsid w:val="000925ED"/>
    <w:rsid w:val="00094562"/>
    <w:rsid w:val="00094F71"/>
    <w:rsid w:val="00096F72"/>
    <w:rsid w:val="000978E7"/>
    <w:rsid w:val="000A04F2"/>
    <w:rsid w:val="000A1B8B"/>
    <w:rsid w:val="000A26CC"/>
    <w:rsid w:val="000A29CE"/>
    <w:rsid w:val="000A2FA5"/>
    <w:rsid w:val="000A4329"/>
    <w:rsid w:val="000A4424"/>
    <w:rsid w:val="000A4558"/>
    <w:rsid w:val="000A585C"/>
    <w:rsid w:val="000A60FC"/>
    <w:rsid w:val="000A69B9"/>
    <w:rsid w:val="000A7D4B"/>
    <w:rsid w:val="000B0028"/>
    <w:rsid w:val="000B08A8"/>
    <w:rsid w:val="000B18A7"/>
    <w:rsid w:val="000B1B8F"/>
    <w:rsid w:val="000B2A7C"/>
    <w:rsid w:val="000B2F0B"/>
    <w:rsid w:val="000B32EC"/>
    <w:rsid w:val="000B4C6C"/>
    <w:rsid w:val="000B51EC"/>
    <w:rsid w:val="000B5311"/>
    <w:rsid w:val="000B5A97"/>
    <w:rsid w:val="000B6199"/>
    <w:rsid w:val="000B6206"/>
    <w:rsid w:val="000B6A0E"/>
    <w:rsid w:val="000B7237"/>
    <w:rsid w:val="000C0EF4"/>
    <w:rsid w:val="000C16D8"/>
    <w:rsid w:val="000C1E45"/>
    <w:rsid w:val="000C2624"/>
    <w:rsid w:val="000C3C0B"/>
    <w:rsid w:val="000C50EC"/>
    <w:rsid w:val="000C5D12"/>
    <w:rsid w:val="000C6D91"/>
    <w:rsid w:val="000C72ED"/>
    <w:rsid w:val="000C7643"/>
    <w:rsid w:val="000C7739"/>
    <w:rsid w:val="000C79FC"/>
    <w:rsid w:val="000D0B08"/>
    <w:rsid w:val="000D14CC"/>
    <w:rsid w:val="000D1B5A"/>
    <w:rsid w:val="000D2BDC"/>
    <w:rsid w:val="000D4231"/>
    <w:rsid w:val="000D4FF5"/>
    <w:rsid w:val="000D6455"/>
    <w:rsid w:val="000D6A48"/>
    <w:rsid w:val="000D6BF2"/>
    <w:rsid w:val="000D77ED"/>
    <w:rsid w:val="000E147A"/>
    <w:rsid w:val="000E22A8"/>
    <w:rsid w:val="000E23AB"/>
    <w:rsid w:val="000E2429"/>
    <w:rsid w:val="000E25A8"/>
    <w:rsid w:val="000E2D40"/>
    <w:rsid w:val="000E33D1"/>
    <w:rsid w:val="000E349B"/>
    <w:rsid w:val="000E5553"/>
    <w:rsid w:val="000E55E7"/>
    <w:rsid w:val="000E5816"/>
    <w:rsid w:val="000E5AB3"/>
    <w:rsid w:val="000E5DEC"/>
    <w:rsid w:val="000E671E"/>
    <w:rsid w:val="000E6F5E"/>
    <w:rsid w:val="000E7B2A"/>
    <w:rsid w:val="000E7CE2"/>
    <w:rsid w:val="000E7D6A"/>
    <w:rsid w:val="000F0384"/>
    <w:rsid w:val="000F0688"/>
    <w:rsid w:val="000F1D0C"/>
    <w:rsid w:val="000F1E84"/>
    <w:rsid w:val="000F246A"/>
    <w:rsid w:val="000F24CC"/>
    <w:rsid w:val="000F26A9"/>
    <w:rsid w:val="000F2B40"/>
    <w:rsid w:val="000F341A"/>
    <w:rsid w:val="000F3CD5"/>
    <w:rsid w:val="000F3D2B"/>
    <w:rsid w:val="000F4577"/>
    <w:rsid w:val="000F4BF8"/>
    <w:rsid w:val="000F7E57"/>
    <w:rsid w:val="00100C9D"/>
    <w:rsid w:val="001022F5"/>
    <w:rsid w:val="001037BE"/>
    <w:rsid w:val="00103942"/>
    <w:rsid w:val="00103A3D"/>
    <w:rsid w:val="00103F3E"/>
    <w:rsid w:val="001042FF"/>
    <w:rsid w:val="00106A2C"/>
    <w:rsid w:val="00106CC4"/>
    <w:rsid w:val="00107779"/>
    <w:rsid w:val="00107A1D"/>
    <w:rsid w:val="00110E44"/>
    <w:rsid w:val="0011128C"/>
    <w:rsid w:val="00111294"/>
    <w:rsid w:val="0011146E"/>
    <w:rsid w:val="001150D6"/>
    <w:rsid w:val="0011584E"/>
    <w:rsid w:val="00116154"/>
    <w:rsid w:val="00116198"/>
    <w:rsid w:val="00116FE3"/>
    <w:rsid w:val="001173C6"/>
    <w:rsid w:val="00117A57"/>
    <w:rsid w:val="00117B0F"/>
    <w:rsid w:val="001209A4"/>
    <w:rsid w:val="001212B9"/>
    <w:rsid w:val="00122339"/>
    <w:rsid w:val="00123B69"/>
    <w:rsid w:val="0012468B"/>
    <w:rsid w:val="0012504C"/>
    <w:rsid w:val="00126556"/>
    <w:rsid w:val="001272BA"/>
    <w:rsid w:val="00127FDE"/>
    <w:rsid w:val="00130FED"/>
    <w:rsid w:val="001311C8"/>
    <w:rsid w:val="00133BCB"/>
    <w:rsid w:val="001346AB"/>
    <w:rsid w:val="00135182"/>
    <w:rsid w:val="00135573"/>
    <w:rsid w:val="00135BD6"/>
    <w:rsid w:val="001371EE"/>
    <w:rsid w:val="00137350"/>
    <w:rsid w:val="00137442"/>
    <w:rsid w:val="00141457"/>
    <w:rsid w:val="00141519"/>
    <w:rsid w:val="00141C09"/>
    <w:rsid w:val="00141CEE"/>
    <w:rsid w:val="00142943"/>
    <w:rsid w:val="001429BF"/>
    <w:rsid w:val="00142CCF"/>
    <w:rsid w:val="001435F3"/>
    <w:rsid w:val="0014427F"/>
    <w:rsid w:val="0014486F"/>
    <w:rsid w:val="00144BB5"/>
    <w:rsid w:val="00145951"/>
    <w:rsid w:val="00145CE1"/>
    <w:rsid w:val="00146D8D"/>
    <w:rsid w:val="00146FCD"/>
    <w:rsid w:val="00147443"/>
    <w:rsid w:val="001500CD"/>
    <w:rsid w:val="001503FD"/>
    <w:rsid w:val="00150F67"/>
    <w:rsid w:val="00151698"/>
    <w:rsid w:val="00151C78"/>
    <w:rsid w:val="00151ECD"/>
    <w:rsid w:val="001523D4"/>
    <w:rsid w:val="00153621"/>
    <w:rsid w:val="0015451C"/>
    <w:rsid w:val="00154930"/>
    <w:rsid w:val="0015520C"/>
    <w:rsid w:val="001555E5"/>
    <w:rsid w:val="00155C3C"/>
    <w:rsid w:val="00156118"/>
    <w:rsid w:val="00156C68"/>
    <w:rsid w:val="00157DF5"/>
    <w:rsid w:val="00160690"/>
    <w:rsid w:val="00160A4D"/>
    <w:rsid w:val="00161EDD"/>
    <w:rsid w:val="0016277C"/>
    <w:rsid w:val="00162CE0"/>
    <w:rsid w:val="00162F47"/>
    <w:rsid w:val="00163226"/>
    <w:rsid w:val="0016335B"/>
    <w:rsid w:val="00163583"/>
    <w:rsid w:val="00163829"/>
    <w:rsid w:val="00163DAF"/>
    <w:rsid w:val="00164EA3"/>
    <w:rsid w:val="001653F8"/>
    <w:rsid w:val="00165EA2"/>
    <w:rsid w:val="001662DF"/>
    <w:rsid w:val="00166C82"/>
    <w:rsid w:val="001673DD"/>
    <w:rsid w:val="001674CC"/>
    <w:rsid w:val="00167584"/>
    <w:rsid w:val="00167CF8"/>
    <w:rsid w:val="0017044A"/>
    <w:rsid w:val="00170783"/>
    <w:rsid w:val="001712E5"/>
    <w:rsid w:val="00171D41"/>
    <w:rsid w:val="001734E1"/>
    <w:rsid w:val="00173ADB"/>
    <w:rsid w:val="0017413A"/>
    <w:rsid w:val="00176163"/>
    <w:rsid w:val="0017682C"/>
    <w:rsid w:val="0018128B"/>
    <w:rsid w:val="001817C7"/>
    <w:rsid w:val="00182B20"/>
    <w:rsid w:val="00183D0D"/>
    <w:rsid w:val="00184D9B"/>
    <w:rsid w:val="00185066"/>
    <w:rsid w:val="001853C1"/>
    <w:rsid w:val="00185858"/>
    <w:rsid w:val="00185B30"/>
    <w:rsid w:val="00185F48"/>
    <w:rsid w:val="00186557"/>
    <w:rsid w:val="00186FD9"/>
    <w:rsid w:val="00187155"/>
    <w:rsid w:val="00187505"/>
    <w:rsid w:val="0018775B"/>
    <w:rsid w:val="00190754"/>
    <w:rsid w:val="00190EF3"/>
    <w:rsid w:val="00191BBB"/>
    <w:rsid w:val="00192C3F"/>
    <w:rsid w:val="00193288"/>
    <w:rsid w:val="001939E8"/>
    <w:rsid w:val="00193F05"/>
    <w:rsid w:val="00194864"/>
    <w:rsid w:val="001948B4"/>
    <w:rsid w:val="001948EB"/>
    <w:rsid w:val="001949C0"/>
    <w:rsid w:val="00194BEF"/>
    <w:rsid w:val="0019526A"/>
    <w:rsid w:val="001955A7"/>
    <w:rsid w:val="00197827"/>
    <w:rsid w:val="00197AC7"/>
    <w:rsid w:val="00197EC9"/>
    <w:rsid w:val="001A03D2"/>
    <w:rsid w:val="001A0861"/>
    <w:rsid w:val="001A1049"/>
    <w:rsid w:val="001A1353"/>
    <w:rsid w:val="001A1C51"/>
    <w:rsid w:val="001A1EC3"/>
    <w:rsid w:val="001A302E"/>
    <w:rsid w:val="001A3BFC"/>
    <w:rsid w:val="001A3F3E"/>
    <w:rsid w:val="001A5332"/>
    <w:rsid w:val="001A5366"/>
    <w:rsid w:val="001A5731"/>
    <w:rsid w:val="001A7387"/>
    <w:rsid w:val="001B03A8"/>
    <w:rsid w:val="001B0861"/>
    <w:rsid w:val="001B0BA1"/>
    <w:rsid w:val="001B0D0D"/>
    <w:rsid w:val="001B175D"/>
    <w:rsid w:val="001B19A8"/>
    <w:rsid w:val="001B267E"/>
    <w:rsid w:val="001B2D22"/>
    <w:rsid w:val="001B3342"/>
    <w:rsid w:val="001B3BCD"/>
    <w:rsid w:val="001B400A"/>
    <w:rsid w:val="001B42A4"/>
    <w:rsid w:val="001B446C"/>
    <w:rsid w:val="001B476D"/>
    <w:rsid w:val="001B4AA3"/>
    <w:rsid w:val="001B5894"/>
    <w:rsid w:val="001B62E1"/>
    <w:rsid w:val="001B6752"/>
    <w:rsid w:val="001B7173"/>
    <w:rsid w:val="001B7759"/>
    <w:rsid w:val="001B7F53"/>
    <w:rsid w:val="001C05AE"/>
    <w:rsid w:val="001C0818"/>
    <w:rsid w:val="001C0AB5"/>
    <w:rsid w:val="001C0BF2"/>
    <w:rsid w:val="001C0DE3"/>
    <w:rsid w:val="001C0F8B"/>
    <w:rsid w:val="001C10C7"/>
    <w:rsid w:val="001C1697"/>
    <w:rsid w:val="001C2020"/>
    <w:rsid w:val="001C2F79"/>
    <w:rsid w:val="001C3CFE"/>
    <w:rsid w:val="001C45B4"/>
    <w:rsid w:val="001C49BB"/>
    <w:rsid w:val="001C4B86"/>
    <w:rsid w:val="001C5505"/>
    <w:rsid w:val="001C5733"/>
    <w:rsid w:val="001C5AA2"/>
    <w:rsid w:val="001C6FE5"/>
    <w:rsid w:val="001C738D"/>
    <w:rsid w:val="001D031D"/>
    <w:rsid w:val="001D05BB"/>
    <w:rsid w:val="001D07E5"/>
    <w:rsid w:val="001D15C2"/>
    <w:rsid w:val="001D1CE3"/>
    <w:rsid w:val="001D244D"/>
    <w:rsid w:val="001D2977"/>
    <w:rsid w:val="001D31FC"/>
    <w:rsid w:val="001D3EC0"/>
    <w:rsid w:val="001D4A12"/>
    <w:rsid w:val="001D4B5E"/>
    <w:rsid w:val="001D645D"/>
    <w:rsid w:val="001D6B40"/>
    <w:rsid w:val="001D6C37"/>
    <w:rsid w:val="001D6DC6"/>
    <w:rsid w:val="001D6E4D"/>
    <w:rsid w:val="001D6E80"/>
    <w:rsid w:val="001D733A"/>
    <w:rsid w:val="001D75DB"/>
    <w:rsid w:val="001D76F5"/>
    <w:rsid w:val="001D7AD7"/>
    <w:rsid w:val="001D7F53"/>
    <w:rsid w:val="001E0397"/>
    <w:rsid w:val="001E1A3A"/>
    <w:rsid w:val="001E2D65"/>
    <w:rsid w:val="001E3443"/>
    <w:rsid w:val="001E36F9"/>
    <w:rsid w:val="001E3C21"/>
    <w:rsid w:val="001E401A"/>
    <w:rsid w:val="001E40A8"/>
    <w:rsid w:val="001E4192"/>
    <w:rsid w:val="001E4D67"/>
    <w:rsid w:val="001E6265"/>
    <w:rsid w:val="001E7EF4"/>
    <w:rsid w:val="001E7F30"/>
    <w:rsid w:val="001F05AE"/>
    <w:rsid w:val="001F2AED"/>
    <w:rsid w:val="001F301A"/>
    <w:rsid w:val="001F3155"/>
    <w:rsid w:val="001F46D7"/>
    <w:rsid w:val="001F56D7"/>
    <w:rsid w:val="001F595A"/>
    <w:rsid w:val="001F679E"/>
    <w:rsid w:val="001F68F7"/>
    <w:rsid w:val="001F72C7"/>
    <w:rsid w:val="001F75B3"/>
    <w:rsid w:val="001F7637"/>
    <w:rsid w:val="002003BE"/>
    <w:rsid w:val="00200439"/>
    <w:rsid w:val="00202234"/>
    <w:rsid w:val="002035C6"/>
    <w:rsid w:val="002039B6"/>
    <w:rsid w:val="00204154"/>
    <w:rsid w:val="00204355"/>
    <w:rsid w:val="00204906"/>
    <w:rsid w:val="00205E5A"/>
    <w:rsid w:val="00206CD8"/>
    <w:rsid w:val="00207B3A"/>
    <w:rsid w:val="00210F51"/>
    <w:rsid w:val="0021168A"/>
    <w:rsid w:val="00211711"/>
    <w:rsid w:val="00212673"/>
    <w:rsid w:val="00213BA2"/>
    <w:rsid w:val="00214404"/>
    <w:rsid w:val="00214D78"/>
    <w:rsid w:val="00214FAD"/>
    <w:rsid w:val="002153F7"/>
    <w:rsid w:val="00216277"/>
    <w:rsid w:val="0021723D"/>
    <w:rsid w:val="00220547"/>
    <w:rsid w:val="00221978"/>
    <w:rsid w:val="0022398E"/>
    <w:rsid w:val="00223B59"/>
    <w:rsid w:val="0022623F"/>
    <w:rsid w:val="0022626E"/>
    <w:rsid w:val="002262B8"/>
    <w:rsid w:val="00226A6C"/>
    <w:rsid w:val="00226ACC"/>
    <w:rsid w:val="002276B6"/>
    <w:rsid w:val="002277AB"/>
    <w:rsid w:val="002300A2"/>
    <w:rsid w:val="0023029B"/>
    <w:rsid w:val="00231500"/>
    <w:rsid w:val="002318A8"/>
    <w:rsid w:val="00231C34"/>
    <w:rsid w:val="00233174"/>
    <w:rsid w:val="0023367F"/>
    <w:rsid w:val="002370AD"/>
    <w:rsid w:val="0023739F"/>
    <w:rsid w:val="00237DBD"/>
    <w:rsid w:val="002402E1"/>
    <w:rsid w:val="0024044F"/>
    <w:rsid w:val="002407BA"/>
    <w:rsid w:val="00240801"/>
    <w:rsid w:val="00241B55"/>
    <w:rsid w:val="00241D27"/>
    <w:rsid w:val="00242402"/>
    <w:rsid w:val="00242CAE"/>
    <w:rsid w:val="00243CA4"/>
    <w:rsid w:val="002445D8"/>
    <w:rsid w:val="00244D29"/>
    <w:rsid w:val="002461B3"/>
    <w:rsid w:val="002461E0"/>
    <w:rsid w:val="002470C5"/>
    <w:rsid w:val="0024722F"/>
    <w:rsid w:val="00247630"/>
    <w:rsid w:val="00247864"/>
    <w:rsid w:val="0025059A"/>
    <w:rsid w:val="0025062B"/>
    <w:rsid w:val="00250DD1"/>
    <w:rsid w:val="00250E25"/>
    <w:rsid w:val="00251DC5"/>
    <w:rsid w:val="0025278C"/>
    <w:rsid w:val="00252E25"/>
    <w:rsid w:val="002533A1"/>
    <w:rsid w:val="0025385C"/>
    <w:rsid w:val="00253916"/>
    <w:rsid w:val="0025586B"/>
    <w:rsid w:val="002559E9"/>
    <w:rsid w:val="00255A01"/>
    <w:rsid w:val="00256450"/>
    <w:rsid w:val="00257144"/>
    <w:rsid w:val="002620A2"/>
    <w:rsid w:val="00262E34"/>
    <w:rsid w:val="00262EEC"/>
    <w:rsid w:val="002656F0"/>
    <w:rsid w:val="00265E82"/>
    <w:rsid w:val="00266CDC"/>
    <w:rsid w:val="002679AE"/>
    <w:rsid w:val="00271A75"/>
    <w:rsid w:val="00271F0A"/>
    <w:rsid w:val="00272396"/>
    <w:rsid w:val="00272E48"/>
    <w:rsid w:val="00272EE9"/>
    <w:rsid w:val="002736AE"/>
    <w:rsid w:val="002736E8"/>
    <w:rsid w:val="00273724"/>
    <w:rsid w:val="00273DA8"/>
    <w:rsid w:val="00274AEA"/>
    <w:rsid w:val="00275657"/>
    <w:rsid w:val="002759A6"/>
    <w:rsid w:val="00275C79"/>
    <w:rsid w:val="002763B1"/>
    <w:rsid w:val="002812D3"/>
    <w:rsid w:val="00281329"/>
    <w:rsid w:val="00281806"/>
    <w:rsid w:val="00281B26"/>
    <w:rsid w:val="00282865"/>
    <w:rsid w:val="0028330E"/>
    <w:rsid w:val="00283972"/>
    <w:rsid w:val="00284250"/>
    <w:rsid w:val="00284562"/>
    <w:rsid w:val="00284C1E"/>
    <w:rsid w:val="0028537B"/>
    <w:rsid w:val="00285562"/>
    <w:rsid w:val="002858F5"/>
    <w:rsid w:val="00285D0C"/>
    <w:rsid w:val="002860DE"/>
    <w:rsid w:val="002874D8"/>
    <w:rsid w:val="002907B7"/>
    <w:rsid w:val="0029122C"/>
    <w:rsid w:val="002912DF"/>
    <w:rsid w:val="00291C1D"/>
    <w:rsid w:val="00291EFB"/>
    <w:rsid w:val="002923F0"/>
    <w:rsid w:val="00292588"/>
    <w:rsid w:val="00292C00"/>
    <w:rsid w:val="00293C0B"/>
    <w:rsid w:val="00293F52"/>
    <w:rsid w:val="00293FAD"/>
    <w:rsid w:val="00296233"/>
    <w:rsid w:val="00296679"/>
    <w:rsid w:val="00297556"/>
    <w:rsid w:val="0029769E"/>
    <w:rsid w:val="002A1141"/>
    <w:rsid w:val="002A1DFF"/>
    <w:rsid w:val="002A24EF"/>
    <w:rsid w:val="002A27D6"/>
    <w:rsid w:val="002A2DD0"/>
    <w:rsid w:val="002A31DB"/>
    <w:rsid w:val="002A3A48"/>
    <w:rsid w:val="002A3F83"/>
    <w:rsid w:val="002A4C86"/>
    <w:rsid w:val="002A5610"/>
    <w:rsid w:val="002A5853"/>
    <w:rsid w:val="002A59DC"/>
    <w:rsid w:val="002A64AD"/>
    <w:rsid w:val="002A6CA2"/>
    <w:rsid w:val="002A7176"/>
    <w:rsid w:val="002A77A4"/>
    <w:rsid w:val="002A77F7"/>
    <w:rsid w:val="002B0F6E"/>
    <w:rsid w:val="002B13F6"/>
    <w:rsid w:val="002B1524"/>
    <w:rsid w:val="002B43A2"/>
    <w:rsid w:val="002B5E7A"/>
    <w:rsid w:val="002B67D2"/>
    <w:rsid w:val="002B7DFF"/>
    <w:rsid w:val="002C0415"/>
    <w:rsid w:val="002C0B42"/>
    <w:rsid w:val="002C0C6D"/>
    <w:rsid w:val="002C0E9F"/>
    <w:rsid w:val="002C16C8"/>
    <w:rsid w:val="002C1737"/>
    <w:rsid w:val="002C17E9"/>
    <w:rsid w:val="002C1B93"/>
    <w:rsid w:val="002C247B"/>
    <w:rsid w:val="002C26E8"/>
    <w:rsid w:val="002C2799"/>
    <w:rsid w:val="002C299F"/>
    <w:rsid w:val="002C2AFF"/>
    <w:rsid w:val="002C2E09"/>
    <w:rsid w:val="002C403D"/>
    <w:rsid w:val="002C411A"/>
    <w:rsid w:val="002C42A6"/>
    <w:rsid w:val="002C5242"/>
    <w:rsid w:val="002C53D8"/>
    <w:rsid w:val="002C55B9"/>
    <w:rsid w:val="002C5BF0"/>
    <w:rsid w:val="002C5CBD"/>
    <w:rsid w:val="002C705D"/>
    <w:rsid w:val="002D01BF"/>
    <w:rsid w:val="002D093A"/>
    <w:rsid w:val="002D158F"/>
    <w:rsid w:val="002D27AE"/>
    <w:rsid w:val="002D30F0"/>
    <w:rsid w:val="002D330A"/>
    <w:rsid w:val="002D3E86"/>
    <w:rsid w:val="002D480F"/>
    <w:rsid w:val="002D487A"/>
    <w:rsid w:val="002D4D60"/>
    <w:rsid w:val="002D4DF6"/>
    <w:rsid w:val="002D5231"/>
    <w:rsid w:val="002D5680"/>
    <w:rsid w:val="002D56BD"/>
    <w:rsid w:val="002D649F"/>
    <w:rsid w:val="002D6585"/>
    <w:rsid w:val="002D6C7D"/>
    <w:rsid w:val="002D6EEE"/>
    <w:rsid w:val="002D71EF"/>
    <w:rsid w:val="002D78CC"/>
    <w:rsid w:val="002D7900"/>
    <w:rsid w:val="002E0DF3"/>
    <w:rsid w:val="002E16A1"/>
    <w:rsid w:val="002E24E4"/>
    <w:rsid w:val="002E336A"/>
    <w:rsid w:val="002E34E4"/>
    <w:rsid w:val="002E4199"/>
    <w:rsid w:val="002E43C4"/>
    <w:rsid w:val="002E4EAC"/>
    <w:rsid w:val="002E4FAD"/>
    <w:rsid w:val="002E51E6"/>
    <w:rsid w:val="002E56C8"/>
    <w:rsid w:val="002E621A"/>
    <w:rsid w:val="002E7379"/>
    <w:rsid w:val="002E761D"/>
    <w:rsid w:val="002E7EA4"/>
    <w:rsid w:val="002F04E2"/>
    <w:rsid w:val="002F0663"/>
    <w:rsid w:val="002F1C8C"/>
    <w:rsid w:val="002F27DD"/>
    <w:rsid w:val="002F2CF0"/>
    <w:rsid w:val="002F37AC"/>
    <w:rsid w:val="002F38E2"/>
    <w:rsid w:val="002F3A55"/>
    <w:rsid w:val="002F5B29"/>
    <w:rsid w:val="002F5B80"/>
    <w:rsid w:val="00300313"/>
    <w:rsid w:val="00300327"/>
    <w:rsid w:val="00300594"/>
    <w:rsid w:val="00300AF8"/>
    <w:rsid w:val="00300CA9"/>
    <w:rsid w:val="003031E3"/>
    <w:rsid w:val="00303968"/>
    <w:rsid w:val="00303FE4"/>
    <w:rsid w:val="0030436E"/>
    <w:rsid w:val="00304FFA"/>
    <w:rsid w:val="0030521F"/>
    <w:rsid w:val="00305960"/>
    <w:rsid w:val="003072E8"/>
    <w:rsid w:val="00307391"/>
    <w:rsid w:val="003073A1"/>
    <w:rsid w:val="003079EC"/>
    <w:rsid w:val="00307CEF"/>
    <w:rsid w:val="003114C6"/>
    <w:rsid w:val="003115F3"/>
    <w:rsid w:val="00311B84"/>
    <w:rsid w:val="00311FBD"/>
    <w:rsid w:val="00313665"/>
    <w:rsid w:val="0031371D"/>
    <w:rsid w:val="00314058"/>
    <w:rsid w:val="00314318"/>
    <w:rsid w:val="00315302"/>
    <w:rsid w:val="00315347"/>
    <w:rsid w:val="00315545"/>
    <w:rsid w:val="00315974"/>
    <w:rsid w:val="00315C9D"/>
    <w:rsid w:val="00315DD5"/>
    <w:rsid w:val="003164B2"/>
    <w:rsid w:val="00316559"/>
    <w:rsid w:val="003200CF"/>
    <w:rsid w:val="00320844"/>
    <w:rsid w:val="00320EF4"/>
    <w:rsid w:val="00322DA1"/>
    <w:rsid w:val="003234B2"/>
    <w:rsid w:val="00323CC0"/>
    <w:rsid w:val="003258BF"/>
    <w:rsid w:val="00326E41"/>
    <w:rsid w:val="003317AA"/>
    <w:rsid w:val="00332CC7"/>
    <w:rsid w:val="00332DB6"/>
    <w:rsid w:val="003338F1"/>
    <w:rsid w:val="0033488E"/>
    <w:rsid w:val="003352CA"/>
    <w:rsid w:val="0033590B"/>
    <w:rsid w:val="00335E39"/>
    <w:rsid w:val="00336BC1"/>
    <w:rsid w:val="00337923"/>
    <w:rsid w:val="003402FA"/>
    <w:rsid w:val="00340918"/>
    <w:rsid w:val="00341549"/>
    <w:rsid w:val="00342B68"/>
    <w:rsid w:val="00343833"/>
    <w:rsid w:val="00343B89"/>
    <w:rsid w:val="00343CCF"/>
    <w:rsid w:val="00343F31"/>
    <w:rsid w:val="00344527"/>
    <w:rsid w:val="00345D79"/>
    <w:rsid w:val="00350190"/>
    <w:rsid w:val="003509E7"/>
    <w:rsid w:val="00350B0D"/>
    <w:rsid w:val="00350C47"/>
    <w:rsid w:val="00350E42"/>
    <w:rsid w:val="0035277D"/>
    <w:rsid w:val="003531E9"/>
    <w:rsid w:val="00354616"/>
    <w:rsid w:val="003548D8"/>
    <w:rsid w:val="003561AB"/>
    <w:rsid w:val="00356958"/>
    <w:rsid w:val="00356B48"/>
    <w:rsid w:val="0035723E"/>
    <w:rsid w:val="00357808"/>
    <w:rsid w:val="00362518"/>
    <w:rsid w:val="0036291D"/>
    <w:rsid w:val="00363355"/>
    <w:rsid w:val="0036592C"/>
    <w:rsid w:val="00365DA9"/>
    <w:rsid w:val="00366F45"/>
    <w:rsid w:val="00367260"/>
    <w:rsid w:val="0036728F"/>
    <w:rsid w:val="0036752F"/>
    <w:rsid w:val="00370013"/>
    <w:rsid w:val="00370258"/>
    <w:rsid w:val="00370972"/>
    <w:rsid w:val="00371EBB"/>
    <w:rsid w:val="0037240B"/>
    <w:rsid w:val="0037256C"/>
    <w:rsid w:val="003748EA"/>
    <w:rsid w:val="00374924"/>
    <w:rsid w:val="00374BBA"/>
    <w:rsid w:val="0037591E"/>
    <w:rsid w:val="00375B79"/>
    <w:rsid w:val="00377A71"/>
    <w:rsid w:val="00383368"/>
    <w:rsid w:val="003834E3"/>
    <w:rsid w:val="003835F4"/>
    <w:rsid w:val="00385870"/>
    <w:rsid w:val="0038591C"/>
    <w:rsid w:val="00385D34"/>
    <w:rsid w:val="0038742E"/>
    <w:rsid w:val="00390429"/>
    <w:rsid w:val="00390675"/>
    <w:rsid w:val="0039159C"/>
    <w:rsid w:val="00391B3D"/>
    <w:rsid w:val="003921BA"/>
    <w:rsid w:val="00393266"/>
    <w:rsid w:val="003932FC"/>
    <w:rsid w:val="003943B9"/>
    <w:rsid w:val="00394844"/>
    <w:rsid w:val="0039534A"/>
    <w:rsid w:val="003957B5"/>
    <w:rsid w:val="00395896"/>
    <w:rsid w:val="00395D71"/>
    <w:rsid w:val="00395E7C"/>
    <w:rsid w:val="003960D8"/>
    <w:rsid w:val="00396137"/>
    <w:rsid w:val="00396D0F"/>
    <w:rsid w:val="0039719F"/>
    <w:rsid w:val="00397419"/>
    <w:rsid w:val="00397717"/>
    <w:rsid w:val="00397819"/>
    <w:rsid w:val="0039793D"/>
    <w:rsid w:val="00397FFE"/>
    <w:rsid w:val="003A0189"/>
    <w:rsid w:val="003A0590"/>
    <w:rsid w:val="003A0740"/>
    <w:rsid w:val="003A1322"/>
    <w:rsid w:val="003A1787"/>
    <w:rsid w:val="003A189C"/>
    <w:rsid w:val="003A18B8"/>
    <w:rsid w:val="003A3076"/>
    <w:rsid w:val="003A3438"/>
    <w:rsid w:val="003A3C01"/>
    <w:rsid w:val="003A3D6C"/>
    <w:rsid w:val="003A5D78"/>
    <w:rsid w:val="003A5D8E"/>
    <w:rsid w:val="003A5DAF"/>
    <w:rsid w:val="003A6D3D"/>
    <w:rsid w:val="003B0463"/>
    <w:rsid w:val="003B0680"/>
    <w:rsid w:val="003B0C75"/>
    <w:rsid w:val="003B17E4"/>
    <w:rsid w:val="003B253D"/>
    <w:rsid w:val="003B27E1"/>
    <w:rsid w:val="003B2920"/>
    <w:rsid w:val="003B36D9"/>
    <w:rsid w:val="003B3E7A"/>
    <w:rsid w:val="003B3EDB"/>
    <w:rsid w:val="003B4022"/>
    <w:rsid w:val="003B4339"/>
    <w:rsid w:val="003B46D9"/>
    <w:rsid w:val="003B4996"/>
    <w:rsid w:val="003B5115"/>
    <w:rsid w:val="003B541A"/>
    <w:rsid w:val="003B59CA"/>
    <w:rsid w:val="003B5A70"/>
    <w:rsid w:val="003B681E"/>
    <w:rsid w:val="003B68D8"/>
    <w:rsid w:val="003B690F"/>
    <w:rsid w:val="003B7466"/>
    <w:rsid w:val="003B762E"/>
    <w:rsid w:val="003C0FE3"/>
    <w:rsid w:val="003C2777"/>
    <w:rsid w:val="003C3DC9"/>
    <w:rsid w:val="003C3F78"/>
    <w:rsid w:val="003C40F5"/>
    <w:rsid w:val="003C5FCA"/>
    <w:rsid w:val="003C654D"/>
    <w:rsid w:val="003C6606"/>
    <w:rsid w:val="003C6F64"/>
    <w:rsid w:val="003C718F"/>
    <w:rsid w:val="003C781A"/>
    <w:rsid w:val="003D23C0"/>
    <w:rsid w:val="003D2A15"/>
    <w:rsid w:val="003D2F99"/>
    <w:rsid w:val="003D333F"/>
    <w:rsid w:val="003D41B1"/>
    <w:rsid w:val="003D4C61"/>
    <w:rsid w:val="003D50E7"/>
    <w:rsid w:val="003D55AE"/>
    <w:rsid w:val="003D62D2"/>
    <w:rsid w:val="003D681E"/>
    <w:rsid w:val="003D6E33"/>
    <w:rsid w:val="003D7791"/>
    <w:rsid w:val="003D7AB8"/>
    <w:rsid w:val="003E1021"/>
    <w:rsid w:val="003E158B"/>
    <w:rsid w:val="003E19DE"/>
    <w:rsid w:val="003E2957"/>
    <w:rsid w:val="003E3295"/>
    <w:rsid w:val="003E38B3"/>
    <w:rsid w:val="003E3C7F"/>
    <w:rsid w:val="003E406B"/>
    <w:rsid w:val="003E482A"/>
    <w:rsid w:val="003E4BFC"/>
    <w:rsid w:val="003E5263"/>
    <w:rsid w:val="003E73FA"/>
    <w:rsid w:val="003E7F10"/>
    <w:rsid w:val="003F0179"/>
    <w:rsid w:val="003F2644"/>
    <w:rsid w:val="003F38A3"/>
    <w:rsid w:val="003F3E1A"/>
    <w:rsid w:val="003F49CF"/>
    <w:rsid w:val="003F64C0"/>
    <w:rsid w:val="003F6BE1"/>
    <w:rsid w:val="003F6E9A"/>
    <w:rsid w:val="003F7C58"/>
    <w:rsid w:val="003F7C6F"/>
    <w:rsid w:val="004004AF"/>
    <w:rsid w:val="00400BD6"/>
    <w:rsid w:val="00401557"/>
    <w:rsid w:val="00401EC9"/>
    <w:rsid w:val="004023FF"/>
    <w:rsid w:val="00402B96"/>
    <w:rsid w:val="004039CC"/>
    <w:rsid w:val="00404886"/>
    <w:rsid w:val="00407AD1"/>
    <w:rsid w:val="0041174C"/>
    <w:rsid w:val="00411911"/>
    <w:rsid w:val="0041233C"/>
    <w:rsid w:val="00412CAA"/>
    <w:rsid w:val="00412CC2"/>
    <w:rsid w:val="0041304F"/>
    <w:rsid w:val="004133B1"/>
    <w:rsid w:val="00413596"/>
    <w:rsid w:val="00415253"/>
    <w:rsid w:val="004154A7"/>
    <w:rsid w:val="0041582A"/>
    <w:rsid w:val="004158F0"/>
    <w:rsid w:val="00415CC1"/>
    <w:rsid w:val="004161C8"/>
    <w:rsid w:val="0041644E"/>
    <w:rsid w:val="0041687A"/>
    <w:rsid w:val="0041726A"/>
    <w:rsid w:val="00417545"/>
    <w:rsid w:val="00420BE4"/>
    <w:rsid w:val="00421028"/>
    <w:rsid w:val="00422D69"/>
    <w:rsid w:val="00422FBC"/>
    <w:rsid w:val="00424208"/>
    <w:rsid w:val="004244D4"/>
    <w:rsid w:val="004245FA"/>
    <w:rsid w:val="00424FBA"/>
    <w:rsid w:val="0042500C"/>
    <w:rsid w:val="00425B8B"/>
    <w:rsid w:val="00427380"/>
    <w:rsid w:val="00427E7A"/>
    <w:rsid w:val="004307C8"/>
    <w:rsid w:val="004326F1"/>
    <w:rsid w:val="004329AA"/>
    <w:rsid w:val="00432A99"/>
    <w:rsid w:val="00432D6B"/>
    <w:rsid w:val="00433230"/>
    <w:rsid w:val="00433538"/>
    <w:rsid w:val="00433AD8"/>
    <w:rsid w:val="00433BB5"/>
    <w:rsid w:val="004345B2"/>
    <w:rsid w:val="00434712"/>
    <w:rsid w:val="00434D5C"/>
    <w:rsid w:val="00434E56"/>
    <w:rsid w:val="00435604"/>
    <w:rsid w:val="00436DAD"/>
    <w:rsid w:val="004371E1"/>
    <w:rsid w:val="0043739D"/>
    <w:rsid w:val="00437C47"/>
    <w:rsid w:val="00437C94"/>
    <w:rsid w:val="004409BD"/>
    <w:rsid w:val="00442442"/>
    <w:rsid w:val="00443AC0"/>
    <w:rsid w:val="00445187"/>
    <w:rsid w:val="00445C8D"/>
    <w:rsid w:val="00445F9E"/>
    <w:rsid w:val="0044621C"/>
    <w:rsid w:val="0044660F"/>
    <w:rsid w:val="004479B6"/>
    <w:rsid w:val="00447F68"/>
    <w:rsid w:val="00450E3D"/>
    <w:rsid w:val="0045118C"/>
    <w:rsid w:val="004514F5"/>
    <w:rsid w:val="00451891"/>
    <w:rsid w:val="00451958"/>
    <w:rsid w:val="00451DCE"/>
    <w:rsid w:val="00452447"/>
    <w:rsid w:val="004526F5"/>
    <w:rsid w:val="00453EF7"/>
    <w:rsid w:val="0045458F"/>
    <w:rsid w:val="00454C55"/>
    <w:rsid w:val="00454C89"/>
    <w:rsid w:val="00455A4A"/>
    <w:rsid w:val="00456879"/>
    <w:rsid w:val="00457055"/>
    <w:rsid w:val="004570A9"/>
    <w:rsid w:val="0046212F"/>
    <w:rsid w:val="00462F8F"/>
    <w:rsid w:val="00463E66"/>
    <w:rsid w:val="004656C7"/>
    <w:rsid w:val="00465AE7"/>
    <w:rsid w:val="00466191"/>
    <w:rsid w:val="0046648C"/>
    <w:rsid w:val="00466929"/>
    <w:rsid w:val="004671B1"/>
    <w:rsid w:val="00470CAB"/>
    <w:rsid w:val="00470D7B"/>
    <w:rsid w:val="00471A93"/>
    <w:rsid w:val="00471E3F"/>
    <w:rsid w:val="00472573"/>
    <w:rsid w:val="00473406"/>
    <w:rsid w:val="00473C52"/>
    <w:rsid w:val="00475389"/>
    <w:rsid w:val="0047555A"/>
    <w:rsid w:val="00475E56"/>
    <w:rsid w:val="004777D4"/>
    <w:rsid w:val="00480238"/>
    <w:rsid w:val="00480991"/>
    <w:rsid w:val="00481316"/>
    <w:rsid w:val="00481A40"/>
    <w:rsid w:val="00483023"/>
    <w:rsid w:val="0048355B"/>
    <w:rsid w:val="00483F3D"/>
    <w:rsid w:val="00484C97"/>
    <w:rsid w:val="00485C11"/>
    <w:rsid w:val="00485D55"/>
    <w:rsid w:val="00486CC6"/>
    <w:rsid w:val="00491936"/>
    <w:rsid w:val="00491B81"/>
    <w:rsid w:val="0049238F"/>
    <w:rsid w:val="0049243A"/>
    <w:rsid w:val="00493483"/>
    <w:rsid w:val="00494137"/>
    <w:rsid w:val="004944B3"/>
    <w:rsid w:val="004948C8"/>
    <w:rsid w:val="004963FC"/>
    <w:rsid w:val="00496538"/>
    <w:rsid w:val="00496D9B"/>
    <w:rsid w:val="00497519"/>
    <w:rsid w:val="004979BC"/>
    <w:rsid w:val="004A0C89"/>
    <w:rsid w:val="004A1387"/>
    <w:rsid w:val="004A1CF7"/>
    <w:rsid w:val="004A1E4C"/>
    <w:rsid w:val="004A2342"/>
    <w:rsid w:val="004A3072"/>
    <w:rsid w:val="004A452B"/>
    <w:rsid w:val="004A500A"/>
    <w:rsid w:val="004A5608"/>
    <w:rsid w:val="004A5687"/>
    <w:rsid w:val="004A5A3F"/>
    <w:rsid w:val="004A7B87"/>
    <w:rsid w:val="004B02C3"/>
    <w:rsid w:val="004B0C07"/>
    <w:rsid w:val="004B29C0"/>
    <w:rsid w:val="004B35FA"/>
    <w:rsid w:val="004B3D3F"/>
    <w:rsid w:val="004B4EF3"/>
    <w:rsid w:val="004B6100"/>
    <w:rsid w:val="004B6D73"/>
    <w:rsid w:val="004B745A"/>
    <w:rsid w:val="004C0073"/>
    <w:rsid w:val="004C0136"/>
    <w:rsid w:val="004C05FD"/>
    <w:rsid w:val="004C2C98"/>
    <w:rsid w:val="004C2F80"/>
    <w:rsid w:val="004C2FB7"/>
    <w:rsid w:val="004C3093"/>
    <w:rsid w:val="004C4055"/>
    <w:rsid w:val="004C4CC7"/>
    <w:rsid w:val="004C694D"/>
    <w:rsid w:val="004C6A07"/>
    <w:rsid w:val="004C6AB0"/>
    <w:rsid w:val="004C7058"/>
    <w:rsid w:val="004C753E"/>
    <w:rsid w:val="004C7915"/>
    <w:rsid w:val="004C7BF0"/>
    <w:rsid w:val="004D05A2"/>
    <w:rsid w:val="004D2412"/>
    <w:rsid w:val="004D3B36"/>
    <w:rsid w:val="004D4115"/>
    <w:rsid w:val="004D4F7F"/>
    <w:rsid w:val="004D503C"/>
    <w:rsid w:val="004D52C4"/>
    <w:rsid w:val="004D5968"/>
    <w:rsid w:val="004D5C4B"/>
    <w:rsid w:val="004D7043"/>
    <w:rsid w:val="004D74D2"/>
    <w:rsid w:val="004E1CFF"/>
    <w:rsid w:val="004E3636"/>
    <w:rsid w:val="004E38B3"/>
    <w:rsid w:val="004E4280"/>
    <w:rsid w:val="004E540A"/>
    <w:rsid w:val="004E56BA"/>
    <w:rsid w:val="004E582B"/>
    <w:rsid w:val="004E5E6E"/>
    <w:rsid w:val="004E5EE5"/>
    <w:rsid w:val="004E5FB2"/>
    <w:rsid w:val="004E6190"/>
    <w:rsid w:val="004E61E1"/>
    <w:rsid w:val="004E7875"/>
    <w:rsid w:val="004E788C"/>
    <w:rsid w:val="004E7932"/>
    <w:rsid w:val="004E7FAC"/>
    <w:rsid w:val="004F03A5"/>
    <w:rsid w:val="004F0B80"/>
    <w:rsid w:val="004F0BDC"/>
    <w:rsid w:val="004F13EE"/>
    <w:rsid w:val="004F1E03"/>
    <w:rsid w:val="004F21E4"/>
    <w:rsid w:val="004F273D"/>
    <w:rsid w:val="004F294F"/>
    <w:rsid w:val="004F2D0F"/>
    <w:rsid w:val="004F2F1C"/>
    <w:rsid w:val="004F2F44"/>
    <w:rsid w:val="004F31E9"/>
    <w:rsid w:val="004F34BB"/>
    <w:rsid w:val="004F3CBB"/>
    <w:rsid w:val="004F4229"/>
    <w:rsid w:val="004F430B"/>
    <w:rsid w:val="004F4769"/>
    <w:rsid w:val="004F4B96"/>
    <w:rsid w:val="004F574C"/>
    <w:rsid w:val="004F5BA6"/>
    <w:rsid w:val="004F68AA"/>
    <w:rsid w:val="004F6F2F"/>
    <w:rsid w:val="004F7092"/>
    <w:rsid w:val="00500196"/>
    <w:rsid w:val="00500214"/>
    <w:rsid w:val="005010F9"/>
    <w:rsid w:val="0050116B"/>
    <w:rsid w:val="00501286"/>
    <w:rsid w:val="00501D43"/>
    <w:rsid w:val="00501F24"/>
    <w:rsid w:val="005034B6"/>
    <w:rsid w:val="00503B9A"/>
    <w:rsid w:val="00504C14"/>
    <w:rsid w:val="00504EF3"/>
    <w:rsid w:val="00505CEE"/>
    <w:rsid w:val="0050637A"/>
    <w:rsid w:val="00506DAC"/>
    <w:rsid w:val="00507147"/>
    <w:rsid w:val="005077E8"/>
    <w:rsid w:val="00510311"/>
    <w:rsid w:val="0051062D"/>
    <w:rsid w:val="00510E25"/>
    <w:rsid w:val="00511133"/>
    <w:rsid w:val="0051174A"/>
    <w:rsid w:val="005127A7"/>
    <w:rsid w:val="00512EB9"/>
    <w:rsid w:val="00513730"/>
    <w:rsid w:val="00513BD0"/>
    <w:rsid w:val="00515755"/>
    <w:rsid w:val="0051597F"/>
    <w:rsid w:val="005162C1"/>
    <w:rsid w:val="005176F9"/>
    <w:rsid w:val="00517AA1"/>
    <w:rsid w:val="00520557"/>
    <w:rsid w:val="00520931"/>
    <w:rsid w:val="00520BB8"/>
    <w:rsid w:val="00521F62"/>
    <w:rsid w:val="00522028"/>
    <w:rsid w:val="00522CC5"/>
    <w:rsid w:val="0052361C"/>
    <w:rsid w:val="00523966"/>
    <w:rsid w:val="00523976"/>
    <w:rsid w:val="00523A1D"/>
    <w:rsid w:val="00524B9A"/>
    <w:rsid w:val="00524C2F"/>
    <w:rsid w:val="005254B3"/>
    <w:rsid w:val="005255CF"/>
    <w:rsid w:val="0052586C"/>
    <w:rsid w:val="00525B72"/>
    <w:rsid w:val="00526064"/>
    <w:rsid w:val="00526942"/>
    <w:rsid w:val="00526E95"/>
    <w:rsid w:val="00526EF8"/>
    <w:rsid w:val="00526FED"/>
    <w:rsid w:val="0052709D"/>
    <w:rsid w:val="00527D37"/>
    <w:rsid w:val="005305EC"/>
    <w:rsid w:val="0053155B"/>
    <w:rsid w:val="00531855"/>
    <w:rsid w:val="00532277"/>
    <w:rsid w:val="0053233F"/>
    <w:rsid w:val="00532BBA"/>
    <w:rsid w:val="00532D7C"/>
    <w:rsid w:val="00533232"/>
    <w:rsid w:val="005357DA"/>
    <w:rsid w:val="00535A65"/>
    <w:rsid w:val="00535C06"/>
    <w:rsid w:val="00535F41"/>
    <w:rsid w:val="005362F0"/>
    <w:rsid w:val="00540054"/>
    <w:rsid w:val="00540714"/>
    <w:rsid w:val="00540D25"/>
    <w:rsid w:val="0054157B"/>
    <w:rsid w:val="00541DD5"/>
    <w:rsid w:val="00542679"/>
    <w:rsid w:val="00542C0B"/>
    <w:rsid w:val="0054375E"/>
    <w:rsid w:val="0054433E"/>
    <w:rsid w:val="00544779"/>
    <w:rsid w:val="00546630"/>
    <w:rsid w:val="005467F5"/>
    <w:rsid w:val="005468BA"/>
    <w:rsid w:val="00546DB6"/>
    <w:rsid w:val="00547217"/>
    <w:rsid w:val="00547CDC"/>
    <w:rsid w:val="00550E80"/>
    <w:rsid w:val="0055132D"/>
    <w:rsid w:val="0055156A"/>
    <w:rsid w:val="00551EDA"/>
    <w:rsid w:val="0055235B"/>
    <w:rsid w:val="0055259F"/>
    <w:rsid w:val="00552B00"/>
    <w:rsid w:val="00553E40"/>
    <w:rsid w:val="00553E98"/>
    <w:rsid w:val="0055540C"/>
    <w:rsid w:val="00555A1C"/>
    <w:rsid w:val="00555B45"/>
    <w:rsid w:val="005572A5"/>
    <w:rsid w:val="0056050C"/>
    <w:rsid w:val="00560EE3"/>
    <w:rsid w:val="005612D2"/>
    <w:rsid w:val="005624BB"/>
    <w:rsid w:val="00562F4D"/>
    <w:rsid w:val="00563459"/>
    <w:rsid w:val="00564325"/>
    <w:rsid w:val="00565163"/>
    <w:rsid w:val="005659C7"/>
    <w:rsid w:val="00565B20"/>
    <w:rsid w:val="00565E77"/>
    <w:rsid w:val="00566227"/>
    <w:rsid w:val="0056733D"/>
    <w:rsid w:val="005675BB"/>
    <w:rsid w:val="0056780C"/>
    <w:rsid w:val="0056789C"/>
    <w:rsid w:val="00567AB3"/>
    <w:rsid w:val="005717F1"/>
    <w:rsid w:val="00571916"/>
    <w:rsid w:val="00572BF6"/>
    <w:rsid w:val="00573351"/>
    <w:rsid w:val="00573409"/>
    <w:rsid w:val="00574127"/>
    <w:rsid w:val="00575B18"/>
    <w:rsid w:val="00576484"/>
    <w:rsid w:val="00576B8A"/>
    <w:rsid w:val="00576C97"/>
    <w:rsid w:val="00577D7D"/>
    <w:rsid w:val="00580ED4"/>
    <w:rsid w:val="0058146D"/>
    <w:rsid w:val="0058202C"/>
    <w:rsid w:val="005823E7"/>
    <w:rsid w:val="00582CE7"/>
    <w:rsid w:val="00582EEE"/>
    <w:rsid w:val="00582FA9"/>
    <w:rsid w:val="0058351B"/>
    <w:rsid w:val="00583DEC"/>
    <w:rsid w:val="005843B5"/>
    <w:rsid w:val="005847E1"/>
    <w:rsid w:val="00584B37"/>
    <w:rsid w:val="005860E2"/>
    <w:rsid w:val="0058761B"/>
    <w:rsid w:val="00590922"/>
    <w:rsid w:val="00590BC5"/>
    <w:rsid w:val="00591301"/>
    <w:rsid w:val="0059202E"/>
    <w:rsid w:val="00592042"/>
    <w:rsid w:val="00593B24"/>
    <w:rsid w:val="00594239"/>
    <w:rsid w:val="00594C8C"/>
    <w:rsid w:val="00594F83"/>
    <w:rsid w:val="00595291"/>
    <w:rsid w:val="005958B1"/>
    <w:rsid w:val="00595B12"/>
    <w:rsid w:val="005962DE"/>
    <w:rsid w:val="005965A9"/>
    <w:rsid w:val="0059769F"/>
    <w:rsid w:val="005A0192"/>
    <w:rsid w:val="005A10EB"/>
    <w:rsid w:val="005A176F"/>
    <w:rsid w:val="005A1B2B"/>
    <w:rsid w:val="005A1F03"/>
    <w:rsid w:val="005A2149"/>
    <w:rsid w:val="005A2362"/>
    <w:rsid w:val="005A2C97"/>
    <w:rsid w:val="005A33F6"/>
    <w:rsid w:val="005A3AFA"/>
    <w:rsid w:val="005A4BC7"/>
    <w:rsid w:val="005A60F4"/>
    <w:rsid w:val="005A6DB2"/>
    <w:rsid w:val="005A7002"/>
    <w:rsid w:val="005A7015"/>
    <w:rsid w:val="005A744D"/>
    <w:rsid w:val="005A75BF"/>
    <w:rsid w:val="005B04DB"/>
    <w:rsid w:val="005B12A5"/>
    <w:rsid w:val="005B20C1"/>
    <w:rsid w:val="005B243A"/>
    <w:rsid w:val="005B2CEA"/>
    <w:rsid w:val="005B35C3"/>
    <w:rsid w:val="005B3DDA"/>
    <w:rsid w:val="005B5406"/>
    <w:rsid w:val="005B5459"/>
    <w:rsid w:val="005B5BC4"/>
    <w:rsid w:val="005B5C32"/>
    <w:rsid w:val="005B6351"/>
    <w:rsid w:val="005B65A0"/>
    <w:rsid w:val="005B78F6"/>
    <w:rsid w:val="005C0259"/>
    <w:rsid w:val="005C1232"/>
    <w:rsid w:val="005C1ED0"/>
    <w:rsid w:val="005C25CA"/>
    <w:rsid w:val="005C34DA"/>
    <w:rsid w:val="005C440E"/>
    <w:rsid w:val="005C4820"/>
    <w:rsid w:val="005C4ACF"/>
    <w:rsid w:val="005C501E"/>
    <w:rsid w:val="005C5B65"/>
    <w:rsid w:val="005C5E28"/>
    <w:rsid w:val="005C6CAE"/>
    <w:rsid w:val="005C7552"/>
    <w:rsid w:val="005D11F7"/>
    <w:rsid w:val="005D2DE6"/>
    <w:rsid w:val="005D46A4"/>
    <w:rsid w:val="005D51D9"/>
    <w:rsid w:val="005D60A3"/>
    <w:rsid w:val="005D78B6"/>
    <w:rsid w:val="005D7A63"/>
    <w:rsid w:val="005E128F"/>
    <w:rsid w:val="005E1CB5"/>
    <w:rsid w:val="005E2440"/>
    <w:rsid w:val="005E3A55"/>
    <w:rsid w:val="005E3DCE"/>
    <w:rsid w:val="005E5C71"/>
    <w:rsid w:val="005E69D5"/>
    <w:rsid w:val="005E7F3A"/>
    <w:rsid w:val="005F0471"/>
    <w:rsid w:val="005F11A5"/>
    <w:rsid w:val="005F34C1"/>
    <w:rsid w:val="005F3990"/>
    <w:rsid w:val="005F497F"/>
    <w:rsid w:val="005F52DE"/>
    <w:rsid w:val="005F570F"/>
    <w:rsid w:val="005F59E9"/>
    <w:rsid w:val="005F5D75"/>
    <w:rsid w:val="005F6197"/>
    <w:rsid w:val="005F61B5"/>
    <w:rsid w:val="005F7416"/>
    <w:rsid w:val="005F7484"/>
    <w:rsid w:val="00600EC7"/>
    <w:rsid w:val="00601EE2"/>
    <w:rsid w:val="00602645"/>
    <w:rsid w:val="0060291B"/>
    <w:rsid w:val="00603541"/>
    <w:rsid w:val="00604E4E"/>
    <w:rsid w:val="00605168"/>
    <w:rsid w:val="0060566C"/>
    <w:rsid w:val="006057A8"/>
    <w:rsid w:val="00605FE2"/>
    <w:rsid w:val="006060F3"/>
    <w:rsid w:val="00610F04"/>
    <w:rsid w:val="0061104F"/>
    <w:rsid w:val="00611C54"/>
    <w:rsid w:val="00612C32"/>
    <w:rsid w:val="00613241"/>
    <w:rsid w:val="00613A48"/>
    <w:rsid w:val="006143D1"/>
    <w:rsid w:val="00614C0D"/>
    <w:rsid w:val="00614E47"/>
    <w:rsid w:val="00615642"/>
    <w:rsid w:val="00615E1F"/>
    <w:rsid w:val="006163F6"/>
    <w:rsid w:val="00616F8F"/>
    <w:rsid w:val="00617C6A"/>
    <w:rsid w:val="00617CA5"/>
    <w:rsid w:val="00620484"/>
    <w:rsid w:val="00620BC3"/>
    <w:rsid w:val="00620F74"/>
    <w:rsid w:val="00621503"/>
    <w:rsid w:val="006217A0"/>
    <w:rsid w:val="006219D6"/>
    <w:rsid w:val="00622469"/>
    <w:rsid w:val="00622C1F"/>
    <w:rsid w:val="006230E6"/>
    <w:rsid w:val="00624F13"/>
    <w:rsid w:val="006250F6"/>
    <w:rsid w:val="00625C80"/>
    <w:rsid w:val="006265D1"/>
    <w:rsid w:val="00630C6B"/>
    <w:rsid w:val="00631FAA"/>
    <w:rsid w:val="00634058"/>
    <w:rsid w:val="00634E1A"/>
    <w:rsid w:val="00634F27"/>
    <w:rsid w:val="00635A19"/>
    <w:rsid w:val="0063624D"/>
    <w:rsid w:val="00637C97"/>
    <w:rsid w:val="00641457"/>
    <w:rsid w:val="006414E5"/>
    <w:rsid w:val="00641BD8"/>
    <w:rsid w:val="00641E84"/>
    <w:rsid w:val="006423A1"/>
    <w:rsid w:val="006424B1"/>
    <w:rsid w:val="00642EBE"/>
    <w:rsid w:val="00643205"/>
    <w:rsid w:val="00644ADE"/>
    <w:rsid w:val="00644E67"/>
    <w:rsid w:val="00644EB5"/>
    <w:rsid w:val="00645090"/>
    <w:rsid w:val="006502F5"/>
    <w:rsid w:val="00650A85"/>
    <w:rsid w:val="006510C9"/>
    <w:rsid w:val="00651669"/>
    <w:rsid w:val="0065178A"/>
    <w:rsid w:val="006550B3"/>
    <w:rsid w:val="0066087F"/>
    <w:rsid w:val="006611CE"/>
    <w:rsid w:val="00661AE2"/>
    <w:rsid w:val="00661D28"/>
    <w:rsid w:val="006623B1"/>
    <w:rsid w:val="00662C17"/>
    <w:rsid w:val="006630C5"/>
    <w:rsid w:val="00663BEA"/>
    <w:rsid w:val="006640F9"/>
    <w:rsid w:val="00664711"/>
    <w:rsid w:val="006649B7"/>
    <w:rsid w:val="00664EC1"/>
    <w:rsid w:val="00665086"/>
    <w:rsid w:val="00666ABB"/>
    <w:rsid w:val="00666CAC"/>
    <w:rsid w:val="006678D6"/>
    <w:rsid w:val="00667B87"/>
    <w:rsid w:val="00667BCF"/>
    <w:rsid w:val="00670299"/>
    <w:rsid w:val="00670A74"/>
    <w:rsid w:val="00670B69"/>
    <w:rsid w:val="006716FB"/>
    <w:rsid w:val="006717AF"/>
    <w:rsid w:val="00673F87"/>
    <w:rsid w:val="006740F3"/>
    <w:rsid w:val="00674C24"/>
    <w:rsid w:val="006751A4"/>
    <w:rsid w:val="006752D7"/>
    <w:rsid w:val="006754FE"/>
    <w:rsid w:val="006775D0"/>
    <w:rsid w:val="00680222"/>
    <w:rsid w:val="0068085B"/>
    <w:rsid w:val="006809FA"/>
    <w:rsid w:val="0068264C"/>
    <w:rsid w:val="00682C13"/>
    <w:rsid w:val="00682C6C"/>
    <w:rsid w:val="0068467C"/>
    <w:rsid w:val="006848DD"/>
    <w:rsid w:val="006860BD"/>
    <w:rsid w:val="00686406"/>
    <w:rsid w:val="006865E5"/>
    <w:rsid w:val="00686A83"/>
    <w:rsid w:val="00687D92"/>
    <w:rsid w:val="0069066A"/>
    <w:rsid w:val="0069077B"/>
    <w:rsid w:val="00691084"/>
    <w:rsid w:val="0069119B"/>
    <w:rsid w:val="006919FD"/>
    <w:rsid w:val="00691A30"/>
    <w:rsid w:val="0069252B"/>
    <w:rsid w:val="00692562"/>
    <w:rsid w:val="006925B6"/>
    <w:rsid w:val="0069392E"/>
    <w:rsid w:val="00694A40"/>
    <w:rsid w:val="00695F01"/>
    <w:rsid w:val="00696206"/>
    <w:rsid w:val="00697674"/>
    <w:rsid w:val="006977F4"/>
    <w:rsid w:val="00697C12"/>
    <w:rsid w:val="0069957A"/>
    <w:rsid w:val="006A0598"/>
    <w:rsid w:val="006A110E"/>
    <w:rsid w:val="006A16CF"/>
    <w:rsid w:val="006A1BDB"/>
    <w:rsid w:val="006A24E9"/>
    <w:rsid w:val="006A2EA6"/>
    <w:rsid w:val="006A3495"/>
    <w:rsid w:val="006A45A8"/>
    <w:rsid w:val="006A4FDA"/>
    <w:rsid w:val="006A6025"/>
    <w:rsid w:val="006A6B0F"/>
    <w:rsid w:val="006A7E17"/>
    <w:rsid w:val="006B0C0A"/>
    <w:rsid w:val="006B1632"/>
    <w:rsid w:val="006B1C2D"/>
    <w:rsid w:val="006B1F50"/>
    <w:rsid w:val="006B279C"/>
    <w:rsid w:val="006B2CFB"/>
    <w:rsid w:val="006B2E14"/>
    <w:rsid w:val="006B30CB"/>
    <w:rsid w:val="006B30F8"/>
    <w:rsid w:val="006B374F"/>
    <w:rsid w:val="006B3A59"/>
    <w:rsid w:val="006B3C84"/>
    <w:rsid w:val="006B4708"/>
    <w:rsid w:val="006B4CBE"/>
    <w:rsid w:val="006B4FF6"/>
    <w:rsid w:val="006B5088"/>
    <w:rsid w:val="006B6A1C"/>
    <w:rsid w:val="006B74D0"/>
    <w:rsid w:val="006B7A52"/>
    <w:rsid w:val="006C0D33"/>
    <w:rsid w:val="006C123C"/>
    <w:rsid w:val="006C1D8A"/>
    <w:rsid w:val="006C1E18"/>
    <w:rsid w:val="006C3BB3"/>
    <w:rsid w:val="006C3DF6"/>
    <w:rsid w:val="006C4CEC"/>
    <w:rsid w:val="006C5240"/>
    <w:rsid w:val="006C5F84"/>
    <w:rsid w:val="006C705F"/>
    <w:rsid w:val="006C7CB4"/>
    <w:rsid w:val="006D0608"/>
    <w:rsid w:val="006D0FAC"/>
    <w:rsid w:val="006D2BF0"/>
    <w:rsid w:val="006D342F"/>
    <w:rsid w:val="006D3CC8"/>
    <w:rsid w:val="006D472B"/>
    <w:rsid w:val="006D55A9"/>
    <w:rsid w:val="006D5A96"/>
    <w:rsid w:val="006E0020"/>
    <w:rsid w:val="006E098A"/>
    <w:rsid w:val="006E2DFD"/>
    <w:rsid w:val="006E3170"/>
    <w:rsid w:val="006E37EF"/>
    <w:rsid w:val="006E3A42"/>
    <w:rsid w:val="006E4477"/>
    <w:rsid w:val="006E4CB8"/>
    <w:rsid w:val="006E5A85"/>
    <w:rsid w:val="006E5C28"/>
    <w:rsid w:val="006E6412"/>
    <w:rsid w:val="006F0349"/>
    <w:rsid w:val="006F12A8"/>
    <w:rsid w:val="006F28DE"/>
    <w:rsid w:val="006F3D9B"/>
    <w:rsid w:val="006F3E6E"/>
    <w:rsid w:val="006F4145"/>
    <w:rsid w:val="006F5439"/>
    <w:rsid w:val="006F5911"/>
    <w:rsid w:val="006F5C98"/>
    <w:rsid w:val="006F6C6B"/>
    <w:rsid w:val="006F6DB1"/>
    <w:rsid w:val="006F7057"/>
    <w:rsid w:val="00701349"/>
    <w:rsid w:val="0070157E"/>
    <w:rsid w:val="0070197A"/>
    <w:rsid w:val="00701CC0"/>
    <w:rsid w:val="007022FA"/>
    <w:rsid w:val="00703323"/>
    <w:rsid w:val="00704567"/>
    <w:rsid w:val="00704972"/>
    <w:rsid w:val="00705C5A"/>
    <w:rsid w:val="00705D0E"/>
    <w:rsid w:val="00706510"/>
    <w:rsid w:val="00706A66"/>
    <w:rsid w:val="00711A53"/>
    <w:rsid w:val="007127BF"/>
    <w:rsid w:val="00713598"/>
    <w:rsid w:val="00713B1A"/>
    <w:rsid w:val="007148D0"/>
    <w:rsid w:val="007159AE"/>
    <w:rsid w:val="00715B07"/>
    <w:rsid w:val="00720630"/>
    <w:rsid w:val="007215BA"/>
    <w:rsid w:val="007236A4"/>
    <w:rsid w:val="0072526B"/>
    <w:rsid w:val="00725421"/>
    <w:rsid w:val="00725734"/>
    <w:rsid w:val="007261F7"/>
    <w:rsid w:val="00726690"/>
    <w:rsid w:val="00726B5E"/>
    <w:rsid w:val="00726CA5"/>
    <w:rsid w:val="0073045B"/>
    <w:rsid w:val="00730853"/>
    <w:rsid w:val="007308FD"/>
    <w:rsid w:val="00730E31"/>
    <w:rsid w:val="00731357"/>
    <w:rsid w:val="007315E0"/>
    <w:rsid w:val="007317B2"/>
    <w:rsid w:val="007323F3"/>
    <w:rsid w:val="0073252C"/>
    <w:rsid w:val="00732E49"/>
    <w:rsid w:val="00733FD8"/>
    <w:rsid w:val="00734559"/>
    <w:rsid w:val="00734AAA"/>
    <w:rsid w:val="00734E0E"/>
    <w:rsid w:val="00735227"/>
    <w:rsid w:val="007353E0"/>
    <w:rsid w:val="00736170"/>
    <w:rsid w:val="00736559"/>
    <w:rsid w:val="0073758D"/>
    <w:rsid w:val="00737CA8"/>
    <w:rsid w:val="0074042C"/>
    <w:rsid w:val="00740BF2"/>
    <w:rsid w:val="007416D2"/>
    <w:rsid w:val="00741BB8"/>
    <w:rsid w:val="0074236F"/>
    <w:rsid w:val="00742F75"/>
    <w:rsid w:val="0074335F"/>
    <w:rsid w:val="00745C98"/>
    <w:rsid w:val="00745E65"/>
    <w:rsid w:val="007466C0"/>
    <w:rsid w:val="00746F32"/>
    <w:rsid w:val="0075128F"/>
    <w:rsid w:val="00751298"/>
    <w:rsid w:val="00751ADC"/>
    <w:rsid w:val="007524D3"/>
    <w:rsid w:val="00753168"/>
    <w:rsid w:val="00754453"/>
    <w:rsid w:val="007544FC"/>
    <w:rsid w:val="00755A91"/>
    <w:rsid w:val="00756D0C"/>
    <w:rsid w:val="00757ED6"/>
    <w:rsid w:val="00760179"/>
    <w:rsid w:val="00762EB0"/>
    <w:rsid w:val="00763AEC"/>
    <w:rsid w:val="00763BB2"/>
    <w:rsid w:val="007647BE"/>
    <w:rsid w:val="00764B6D"/>
    <w:rsid w:val="00764DF8"/>
    <w:rsid w:val="00765192"/>
    <w:rsid w:val="00765776"/>
    <w:rsid w:val="00765B26"/>
    <w:rsid w:val="007661CA"/>
    <w:rsid w:val="007667CA"/>
    <w:rsid w:val="007676B7"/>
    <w:rsid w:val="00770883"/>
    <w:rsid w:val="00770FAD"/>
    <w:rsid w:val="007714C6"/>
    <w:rsid w:val="00771A14"/>
    <w:rsid w:val="00771B93"/>
    <w:rsid w:val="00772ECC"/>
    <w:rsid w:val="00773EF2"/>
    <w:rsid w:val="00773FA3"/>
    <w:rsid w:val="00775BBF"/>
    <w:rsid w:val="0077746F"/>
    <w:rsid w:val="00777F9F"/>
    <w:rsid w:val="00777FE8"/>
    <w:rsid w:val="00780F06"/>
    <w:rsid w:val="00782C81"/>
    <w:rsid w:val="00783F54"/>
    <w:rsid w:val="007844AB"/>
    <w:rsid w:val="00784A1E"/>
    <w:rsid w:val="007858A4"/>
    <w:rsid w:val="007861A7"/>
    <w:rsid w:val="00786A7D"/>
    <w:rsid w:val="00786D13"/>
    <w:rsid w:val="00787866"/>
    <w:rsid w:val="00787991"/>
    <w:rsid w:val="00787D87"/>
    <w:rsid w:val="0079026D"/>
    <w:rsid w:val="007938AC"/>
    <w:rsid w:val="00793C40"/>
    <w:rsid w:val="007941CE"/>
    <w:rsid w:val="00794926"/>
    <w:rsid w:val="00794B3D"/>
    <w:rsid w:val="00795B68"/>
    <w:rsid w:val="00796245"/>
    <w:rsid w:val="007967D4"/>
    <w:rsid w:val="00797654"/>
    <w:rsid w:val="00797C5F"/>
    <w:rsid w:val="007A0F72"/>
    <w:rsid w:val="007A16A1"/>
    <w:rsid w:val="007A1FBC"/>
    <w:rsid w:val="007A211D"/>
    <w:rsid w:val="007A27ED"/>
    <w:rsid w:val="007A2826"/>
    <w:rsid w:val="007A2A0F"/>
    <w:rsid w:val="007A3716"/>
    <w:rsid w:val="007A43DF"/>
    <w:rsid w:val="007A461D"/>
    <w:rsid w:val="007A515B"/>
    <w:rsid w:val="007A5425"/>
    <w:rsid w:val="007A5CC0"/>
    <w:rsid w:val="007A76F8"/>
    <w:rsid w:val="007A7770"/>
    <w:rsid w:val="007A7DB8"/>
    <w:rsid w:val="007B02BF"/>
    <w:rsid w:val="007B0499"/>
    <w:rsid w:val="007B0665"/>
    <w:rsid w:val="007B3B70"/>
    <w:rsid w:val="007B3D89"/>
    <w:rsid w:val="007B4244"/>
    <w:rsid w:val="007B4E80"/>
    <w:rsid w:val="007B51CB"/>
    <w:rsid w:val="007B52F9"/>
    <w:rsid w:val="007B53BF"/>
    <w:rsid w:val="007B5448"/>
    <w:rsid w:val="007B5B96"/>
    <w:rsid w:val="007B6C78"/>
    <w:rsid w:val="007B7211"/>
    <w:rsid w:val="007B78B5"/>
    <w:rsid w:val="007C0306"/>
    <w:rsid w:val="007C139A"/>
    <w:rsid w:val="007C16C3"/>
    <w:rsid w:val="007C28CD"/>
    <w:rsid w:val="007C336B"/>
    <w:rsid w:val="007C511D"/>
    <w:rsid w:val="007C554B"/>
    <w:rsid w:val="007C6627"/>
    <w:rsid w:val="007C68D3"/>
    <w:rsid w:val="007C6A64"/>
    <w:rsid w:val="007C7104"/>
    <w:rsid w:val="007D0333"/>
    <w:rsid w:val="007D08BF"/>
    <w:rsid w:val="007D094F"/>
    <w:rsid w:val="007D0BBE"/>
    <w:rsid w:val="007D0CDC"/>
    <w:rsid w:val="007D1A28"/>
    <w:rsid w:val="007D2502"/>
    <w:rsid w:val="007D3537"/>
    <w:rsid w:val="007D440F"/>
    <w:rsid w:val="007D4457"/>
    <w:rsid w:val="007D5071"/>
    <w:rsid w:val="007D60F5"/>
    <w:rsid w:val="007D69FA"/>
    <w:rsid w:val="007D6E74"/>
    <w:rsid w:val="007D7593"/>
    <w:rsid w:val="007D7BF9"/>
    <w:rsid w:val="007E0280"/>
    <w:rsid w:val="007E0344"/>
    <w:rsid w:val="007E05F4"/>
    <w:rsid w:val="007E0AB4"/>
    <w:rsid w:val="007E3516"/>
    <w:rsid w:val="007E37B7"/>
    <w:rsid w:val="007E3A0D"/>
    <w:rsid w:val="007E4BCE"/>
    <w:rsid w:val="007E52CE"/>
    <w:rsid w:val="007E5589"/>
    <w:rsid w:val="007E5976"/>
    <w:rsid w:val="007E5D0C"/>
    <w:rsid w:val="007E7053"/>
    <w:rsid w:val="007E705C"/>
    <w:rsid w:val="007F1C51"/>
    <w:rsid w:val="007F2366"/>
    <w:rsid w:val="007F2D1B"/>
    <w:rsid w:val="007F3E18"/>
    <w:rsid w:val="007F4082"/>
    <w:rsid w:val="007F4790"/>
    <w:rsid w:val="007F5190"/>
    <w:rsid w:val="007F59D3"/>
    <w:rsid w:val="007F5BD3"/>
    <w:rsid w:val="007F5C18"/>
    <w:rsid w:val="007F6299"/>
    <w:rsid w:val="007F64FF"/>
    <w:rsid w:val="007F66AC"/>
    <w:rsid w:val="007F689F"/>
    <w:rsid w:val="007F7045"/>
    <w:rsid w:val="007F7DF2"/>
    <w:rsid w:val="0080047B"/>
    <w:rsid w:val="0080053F"/>
    <w:rsid w:val="00800CD1"/>
    <w:rsid w:val="00801BEE"/>
    <w:rsid w:val="00801C17"/>
    <w:rsid w:val="0080251C"/>
    <w:rsid w:val="00802C89"/>
    <w:rsid w:val="00802E21"/>
    <w:rsid w:val="008038EA"/>
    <w:rsid w:val="00804DC9"/>
    <w:rsid w:val="0080522C"/>
    <w:rsid w:val="00805699"/>
    <w:rsid w:val="00805CB7"/>
    <w:rsid w:val="008061E2"/>
    <w:rsid w:val="00806AA3"/>
    <w:rsid w:val="0081334B"/>
    <w:rsid w:val="00813A5D"/>
    <w:rsid w:val="008141B8"/>
    <w:rsid w:val="008151CB"/>
    <w:rsid w:val="0081532E"/>
    <w:rsid w:val="00815B50"/>
    <w:rsid w:val="00816093"/>
    <w:rsid w:val="00816449"/>
    <w:rsid w:val="00816B09"/>
    <w:rsid w:val="00817107"/>
    <w:rsid w:val="008175B5"/>
    <w:rsid w:val="00817CB4"/>
    <w:rsid w:val="00820697"/>
    <w:rsid w:val="00820792"/>
    <w:rsid w:val="0082137B"/>
    <w:rsid w:val="00822948"/>
    <w:rsid w:val="0082315D"/>
    <w:rsid w:val="00823403"/>
    <w:rsid w:val="00823DCE"/>
    <w:rsid w:val="00823DF1"/>
    <w:rsid w:val="00825179"/>
    <w:rsid w:val="008253EE"/>
    <w:rsid w:val="0082547F"/>
    <w:rsid w:val="008258CB"/>
    <w:rsid w:val="00826D63"/>
    <w:rsid w:val="00827458"/>
    <w:rsid w:val="00827F58"/>
    <w:rsid w:val="008306F0"/>
    <w:rsid w:val="0083108B"/>
    <w:rsid w:val="00831939"/>
    <w:rsid w:val="008319E5"/>
    <w:rsid w:val="00832C05"/>
    <w:rsid w:val="0083355B"/>
    <w:rsid w:val="0083396B"/>
    <w:rsid w:val="00833FB2"/>
    <w:rsid w:val="00834FC3"/>
    <w:rsid w:val="008364D1"/>
    <w:rsid w:val="0084059E"/>
    <w:rsid w:val="008421F6"/>
    <w:rsid w:val="0084246A"/>
    <w:rsid w:val="00842924"/>
    <w:rsid w:val="00843080"/>
    <w:rsid w:val="0084390E"/>
    <w:rsid w:val="00843D45"/>
    <w:rsid w:val="00844021"/>
    <w:rsid w:val="00844096"/>
    <w:rsid w:val="008441A4"/>
    <w:rsid w:val="008441AD"/>
    <w:rsid w:val="00844443"/>
    <w:rsid w:val="00844530"/>
    <w:rsid w:val="00845899"/>
    <w:rsid w:val="00845968"/>
    <w:rsid w:val="00845E13"/>
    <w:rsid w:val="0084684E"/>
    <w:rsid w:val="0084699A"/>
    <w:rsid w:val="008479F9"/>
    <w:rsid w:val="008503CF"/>
    <w:rsid w:val="00850AC1"/>
    <w:rsid w:val="00850EBA"/>
    <w:rsid w:val="00851177"/>
    <w:rsid w:val="008515F6"/>
    <w:rsid w:val="00852392"/>
    <w:rsid w:val="00852DE7"/>
    <w:rsid w:val="00852F0E"/>
    <w:rsid w:val="008534B1"/>
    <w:rsid w:val="00853B77"/>
    <w:rsid w:val="008550E2"/>
    <w:rsid w:val="00855933"/>
    <w:rsid w:val="008562E2"/>
    <w:rsid w:val="00856F3D"/>
    <w:rsid w:val="00857474"/>
    <w:rsid w:val="00857EAD"/>
    <w:rsid w:val="008607BF"/>
    <w:rsid w:val="00862557"/>
    <w:rsid w:val="00863069"/>
    <w:rsid w:val="00863A1C"/>
    <w:rsid w:val="00864E4B"/>
    <w:rsid w:val="00864FB4"/>
    <w:rsid w:val="00865346"/>
    <w:rsid w:val="00866DCB"/>
    <w:rsid w:val="00866E01"/>
    <w:rsid w:val="00870866"/>
    <w:rsid w:val="00872A4B"/>
    <w:rsid w:val="00873A05"/>
    <w:rsid w:val="00873F8C"/>
    <w:rsid w:val="008748AA"/>
    <w:rsid w:val="00874E5B"/>
    <w:rsid w:val="00875C09"/>
    <w:rsid w:val="008766DA"/>
    <w:rsid w:val="00877215"/>
    <w:rsid w:val="00877366"/>
    <w:rsid w:val="008774AA"/>
    <w:rsid w:val="008775C8"/>
    <w:rsid w:val="00877BD5"/>
    <w:rsid w:val="00877DEB"/>
    <w:rsid w:val="0088114F"/>
    <w:rsid w:val="00881978"/>
    <w:rsid w:val="0088244A"/>
    <w:rsid w:val="00882910"/>
    <w:rsid w:val="00884FB3"/>
    <w:rsid w:val="008850EC"/>
    <w:rsid w:val="008867D8"/>
    <w:rsid w:val="00886C3F"/>
    <w:rsid w:val="008876B3"/>
    <w:rsid w:val="008877F7"/>
    <w:rsid w:val="008879CA"/>
    <w:rsid w:val="00887F7C"/>
    <w:rsid w:val="00890264"/>
    <w:rsid w:val="00890265"/>
    <w:rsid w:val="0089028B"/>
    <w:rsid w:val="00890AA4"/>
    <w:rsid w:val="0089184D"/>
    <w:rsid w:val="008918F1"/>
    <w:rsid w:val="00891C26"/>
    <w:rsid w:val="0089243F"/>
    <w:rsid w:val="008941BF"/>
    <w:rsid w:val="00894A47"/>
    <w:rsid w:val="0089555F"/>
    <w:rsid w:val="008956B0"/>
    <w:rsid w:val="008965A1"/>
    <w:rsid w:val="00897288"/>
    <w:rsid w:val="00897CB9"/>
    <w:rsid w:val="008A1CCE"/>
    <w:rsid w:val="008A340B"/>
    <w:rsid w:val="008A4D05"/>
    <w:rsid w:val="008A4D10"/>
    <w:rsid w:val="008A50BE"/>
    <w:rsid w:val="008A542A"/>
    <w:rsid w:val="008A5459"/>
    <w:rsid w:val="008A54E1"/>
    <w:rsid w:val="008A5858"/>
    <w:rsid w:val="008A6C84"/>
    <w:rsid w:val="008A719F"/>
    <w:rsid w:val="008A7236"/>
    <w:rsid w:val="008A7333"/>
    <w:rsid w:val="008A741F"/>
    <w:rsid w:val="008A7607"/>
    <w:rsid w:val="008A7872"/>
    <w:rsid w:val="008A7BEC"/>
    <w:rsid w:val="008A7EA5"/>
    <w:rsid w:val="008B031A"/>
    <w:rsid w:val="008B05A0"/>
    <w:rsid w:val="008B06E0"/>
    <w:rsid w:val="008B1E29"/>
    <w:rsid w:val="008B2041"/>
    <w:rsid w:val="008B2528"/>
    <w:rsid w:val="008B2F42"/>
    <w:rsid w:val="008B3A30"/>
    <w:rsid w:val="008B424B"/>
    <w:rsid w:val="008B4815"/>
    <w:rsid w:val="008B530A"/>
    <w:rsid w:val="008B6039"/>
    <w:rsid w:val="008B6277"/>
    <w:rsid w:val="008B62E2"/>
    <w:rsid w:val="008B64E3"/>
    <w:rsid w:val="008B7018"/>
    <w:rsid w:val="008B7AC9"/>
    <w:rsid w:val="008B7F1E"/>
    <w:rsid w:val="008B7FFA"/>
    <w:rsid w:val="008C0286"/>
    <w:rsid w:val="008C0AB1"/>
    <w:rsid w:val="008C0E63"/>
    <w:rsid w:val="008C22A4"/>
    <w:rsid w:val="008C3AF6"/>
    <w:rsid w:val="008C436C"/>
    <w:rsid w:val="008C483F"/>
    <w:rsid w:val="008C50DF"/>
    <w:rsid w:val="008C58EB"/>
    <w:rsid w:val="008C5C61"/>
    <w:rsid w:val="008C5CA3"/>
    <w:rsid w:val="008C5F74"/>
    <w:rsid w:val="008C72B8"/>
    <w:rsid w:val="008D0A09"/>
    <w:rsid w:val="008D1723"/>
    <w:rsid w:val="008D1E60"/>
    <w:rsid w:val="008D2EC0"/>
    <w:rsid w:val="008D39DA"/>
    <w:rsid w:val="008D3D5A"/>
    <w:rsid w:val="008D407A"/>
    <w:rsid w:val="008D4EA6"/>
    <w:rsid w:val="008D51C2"/>
    <w:rsid w:val="008D5480"/>
    <w:rsid w:val="008D557C"/>
    <w:rsid w:val="008D5C08"/>
    <w:rsid w:val="008D5DD1"/>
    <w:rsid w:val="008D5DFA"/>
    <w:rsid w:val="008D6828"/>
    <w:rsid w:val="008D682A"/>
    <w:rsid w:val="008D7F7D"/>
    <w:rsid w:val="008E014D"/>
    <w:rsid w:val="008E0200"/>
    <w:rsid w:val="008E08EF"/>
    <w:rsid w:val="008E0FE9"/>
    <w:rsid w:val="008E1AAE"/>
    <w:rsid w:val="008E1BA4"/>
    <w:rsid w:val="008E245B"/>
    <w:rsid w:val="008E2561"/>
    <w:rsid w:val="008E3300"/>
    <w:rsid w:val="008E33CD"/>
    <w:rsid w:val="008E44F8"/>
    <w:rsid w:val="008E49B9"/>
    <w:rsid w:val="008E5163"/>
    <w:rsid w:val="008E7244"/>
    <w:rsid w:val="008E75FA"/>
    <w:rsid w:val="008F0131"/>
    <w:rsid w:val="008F07E7"/>
    <w:rsid w:val="008F1BE2"/>
    <w:rsid w:val="008F1CDF"/>
    <w:rsid w:val="008F1E78"/>
    <w:rsid w:val="008F28BD"/>
    <w:rsid w:val="008F2AE8"/>
    <w:rsid w:val="008F2EC1"/>
    <w:rsid w:val="008F4C27"/>
    <w:rsid w:val="008F583B"/>
    <w:rsid w:val="008F627F"/>
    <w:rsid w:val="008F63CC"/>
    <w:rsid w:val="008F7D5F"/>
    <w:rsid w:val="009003EA"/>
    <w:rsid w:val="009006D0"/>
    <w:rsid w:val="009008CB"/>
    <w:rsid w:val="00900CEB"/>
    <w:rsid w:val="00901119"/>
    <w:rsid w:val="00901AC1"/>
    <w:rsid w:val="0090205B"/>
    <w:rsid w:val="0090218A"/>
    <w:rsid w:val="00902BC6"/>
    <w:rsid w:val="0090476C"/>
    <w:rsid w:val="00905AAD"/>
    <w:rsid w:val="00905ACE"/>
    <w:rsid w:val="00907827"/>
    <w:rsid w:val="0091116A"/>
    <w:rsid w:val="0091126A"/>
    <w:rsid w:val="00911E12"/>
    <w:rsid w:val="009135B5"/>
    <w:rsid w:val="009142C6"/>
    <w:rsid w:val="0091437C"/>
    <w:rsid w:val="00914E48"/>
    <w:rsid w:val="0091594C"/>
    <w:rsid w:val="00915F4E"/>
    <w:rsid w:val="009175A9"/>
    <w:rsid w:val="0091794A"/>
    <w:rsid w:val="009206E2"/>
    <w:rsid w:val="00920B19"/>
    <w:rsid w:val="00920C18"/>
    <w:rsid w:val="00920FB9"/>
    <w:rsid w:val="00921640"/>
    <w:rsid w:val="00921728"/>
    <w:rsid w:val="00921DA9"/>
    <w:rsid w:val="009227E4"/>
    <w:rsid w:val="0092319E"/>
    <w:rsid w:val="00923D56"/>
    <w:rsid w:val="00923EF0"/>
    <w:rsid w:val="00924430"/>
    <w:rsid w:val="00924AB7"/>
    <w:rsid w:val="00925B23"/>
    <w:rsid w:val="009261E2"/>
    <w:rsid w:val="00926689"/>
    <w:rsid w:val="0093001A"/>
    <w:rsid w:val="00932042"/>
    <w:rsid w:val="00932197"/>
    <w:rsid w:val="00932BD0"/>
    <w:rsid w:val="00932D90"/>
    <w:rsid w:val="00933898"/>
    <w:rsid w:val="009369AC"/>
    <w:rsid w:val="009375E5"/>
    <w:rsid w:val="00937721"/>
    <w:rsid w:val="00937B7F"/>
    <w:rsid w:val="00941473"/>
    <w:rsid w:val="00941DF7"/>
    <w:rsid w:val="00941F54"/>
    <w:rsid w:val="009426C5"/>
    <w:rsid w:val="009427E6"/>
    <w:rsid w:val="0094293C"/>
    <w:rsid w:val="00942BE7"/>
    <w:rsid w:val="00943DE5"/>
    <w:rsid w:val="0094441A"/>
    <w:rsid w:val="0094596D"/>
    <w:rsid w:val="009459BC"/>
    <w:rsid w:val="009459CA"/>
    <w:rsid w:val="009464CC"/>
    <w:rsid w:val="00946984"/>
    <w:rsid w:val="009474DA"/>
    <w:rsid w:val="00947D73"/>
    <w:rsid w:val="00947E93"/>
    <w:rsid w:val="009503F8"/>
    <w:rsid w:val="009519D0"/>
    <w:rsid w:val="00951B71"/>
    <w:rsid w:val="00952F67"/>
    <w:rsid w:val="0095331C"/>
    <w:rsid w:val="0095488A"/>
    <w:rsid w:val="0095530D"/>
    <w:rsid w:val="00955AD0"/>
    <w:rsid w:val="00956E37"/>
    <w:rsid w:val="009572B1"/>
    <w:rsid w:val="00957920"/>
    <w:rsid w:val="00957ED2"/>
    <w:rsid w:val="00960634"/>
    <w:rsid w:val="00960877"/>
    <w:rsid w:val="00962544"/>
    <w:rsid w:val="00963AE1"/>
    <w:rsid w:val="00964CF7"/>
    <w:rsid w:val="00965889"/>
    <w:rsid w:val="0096798C"/>
    <w:rsid w:val="0097027F"/>
    <w:rsid w:val="0097160E"/>
    <w:rsid w:val="00971EBD"/>
    <w:rsid w:val="0097310B"/>
    <w:rsid w:val="009731F7"/>
    <w:rsid w:val="009734DF"/>
    <w:rsid w:val="00973812"/>
    <w:rsid w:val="009751FE"/>
    <w:rsid w:val="0097542F"/>
    <w:rsid w:val="00975901"/>
    <w:rsid w:val="00975C61"/>
    <w:rsid w:val="00975EFE"/>
    <w:rsid w:val="0097790C"/>
    <w:rsid w:val="009801BF"/>
    <w:rsid w:val="009842BB"/>
    <w:rsid w:val="00984ED0"/>
    <w:rsid w:val="0098540E"/>
    <w:rsid w:val="00985593"/>
    <w:rsid w:val="00986CAE"/>
    <w:rsid w:val="00986D66"/>
    <w:rsid w:val="00990589"/>
    <w:rsid w:val="00990A9E"/>
    <w:rsid w:val="00991859"/>
    <w:rsid w:val="00991B9A"/>
    <w:rsid w:val="009921CD"/>
    <w:rsid w:val="00992724"/>
    <w:rsid w:val="009927C8"/>
    <w:rsid w:val="00992887"/>
    <w:rsid w:val="0099371B"/>
    <w:rsid w:val="00993C84"/>
    <w:rsid w:val="00994927"/>
    <w:rsid w:val="00994AB1"/>
    <w:rsid w:val="00994BB8"/>
    <w:rsid w:val="00994E0A"/>
    <w:rsid w:val="0099523D"/>
    <w:rsid w:val="00995332"/>
    <w:rsid w:val="009954E9"/>
    <w:rsid w:val="00996C0B"/>
    <w:rsid w:val="00997F33"/>
    <w:rsid w:val="009A08A7"/>
    <w:rsid w:val="009A1D1E"/>
    <w:rsid w:val="009A22B1"/>
    <w:rsid w:val="009A2F04"/>
    <w:rsid w:val="009A3824"/>
    <w:rsid w:val="009A473B"/>
    <w:rsid w:val="009A499A"/>
    <w:rsid w:val="009A568E"/>
    <w:rsid w:val="009A56C3"/>
    <w:rsid w:val="009A6669"/>
    <w:rsid w:val="009A68B5"/>
    <w:rsid w:val="009A7AC1"/>
    <w:rsid w:val="009A7DF1"/>
    <w:rsid w:val="009B02F7"/>
    <w:rsid w:val="009B0FC4"/>
    <w:rsid w:val="009B176C"/>
    <w:rsid w:val="009B1898"/>
    <w:rsid w:val="009B201D"/>
    <w:rsid w:val="009B3133"/>
    <w:rsid w:val="009B350F"/>
    <w:rsid w:val="009B35CB"/>
    <w:rsid w:val="009B49A3"/>
    <w:rsid w:val="009B4DAF"/>
    <w:rsid w:val="009B4DE2"/>
    <w:rsid w:val="009B6984"/>
    <w:rsid w:val="009B7C36"/>
    <w:rsid w:val="009C01BF"/>
    <w:rsid w:val="009C023A"/>
    <w:rsid w:val="009C04C3"/>
    <w:rsid w:val="009C0768"/>
    <w:rsid w:val="009C0BF5"/>
    <w:rsid w:val="009C118A"/>
    <w:rsid w:val="009C2EA1"/>
    <w:rsid w:val="009C3051"/>
    <w:rsid w:val="009C35C5"/>
    <w:rsid w:val="009C42A6"/>
    <w:rsid w:val="009C4615"/>
    <w:rsid w:val="009C4D47"/>
    <w:rsid w:val="009C5315"/>
    <w:rsid w:val="009C57A9"/>
    <w:rsid w:val="009C5E31"/>
    <w:rsid w:val="009C6827"/>
    <w:rsid w:val="009C6D4A"/>
    <w:rsid w:val="009C6E6C"/>
    <w:rsid w:val="009C6EDB"/>
    <w:rsid w:val="009D011F"/>
    <w:rsid w:val="009D0ED8"/>
    <w:rsid w:val="009D0F86"/>
    <w:rsid w:val="009D241C"/>
    <w:rsid w:val="009D443B"/>
    <w:rsid w:val="009D5069"/>
    <w:rsid w:val="009D51B5"/>
    <w:rsid w:val="009D552B"/>
    <w:rsid w:val="009D5DB7"/>
    <w:rsid w:val="009D5FB0"/>
    <w:rsid w:val="009D69E4"/>
    <w:rsid w:val="009D7758"/>
    <w:rsid w:val="009E0D2C"/>
    <w:rsid w:val="009E1180"/>
    <w:rsid w:val="009E12DA"/>
    <w:rsid w:val="009E13CD"/>
    <w:rsid w:val="009E1E41"/>
    <w:rsid w:val="009E2417"/>
    <w:rsid w:val="009E2F09"/>
    <w:rsid w:val="009E2F67"/>
    <w:rsid w:val="009E30CD"/>
    <w:rsid w:val="009E44B3"/>
    <w:rsid w:val="009E4AB9"/>
    <w:rsid w:val="009E4D33"/>
    <w:rsid w:val="009E5C01"/>
    <w:rsid w:val="009E5D55"/>
    <w:rsid w:val="009E7701"/>
    <w:rsid w:val="009E781D"/>
    <w:rsid w:val="009E7FFD"/>
    <w:rsid w:val="009F0056"/>
    <w:rsid w:val="009F1244"/>
    <w:rsid w:val="009F30A4"/>
    <w:rsid w:val="009F30CF"/>
    <w:rsid w:val="009F3304"/>
    <w:rsid w:val="009F373C"/>
    <w:rsid w:val="009F495C"/>
    <w:rsid w:val="009F4DCC"/>
    <w:rsid w:val="009F4FC0"/>
    <w:rsid w:val="009F5C21"/>
    <w:rsid w:val="009F6ACA"/>
    <w:rsid w:val="009F72B9"/>
    <w:rsid w:val="009F7FC1"/>
    <w:rsid w:val="00A0223C"/>
    <w:rsid w:val="00A02A3F"/>
    <w:rsid w:val="00A02BB7"/>
    <w:rsid w:val="00A02F87"/>
    <w:rsid w:val="00A039B4"/>
    <w:rsid w:val="00A046AD"/>
    <w:rsid w:val="00A04DCF"/>
    <w:rsid w:val="00A069F0"/>
    <w:rsid w:val="00A07045"/>
    <w:rsid w:val="00A07992"/>
    <w:rsid w:val="00A105EB"/>
    <w:rsid w:val="00A11DF5"/>
    <w:rsid w:val="00A11F1A"/>
    <w:rsid w:val="00A12440"/>
    <w:rsid w:val="00A12747"/>
    <w:rsid w:val="00A13290"/>
    <w:rsid w:val="00A1395E"/>
    <w:rsid w:val="00A142A1"/>
    <w:rsid w:val="00A14608"/>
    <w:rsid w:val="00A1472A"/>
    <w:rsid w:val="00A14A8F"/>
    <w:rsid w:val="00A15E26"/>
    <w:rsid w:val="00A162AA"/>
    <w:rsid w:val="00A16DBE"/>
    <w:rsid w:val="00A17984"/>
    <w:rsid w:val="00A205E2"/>
    <w:rsid w:val="00A20989"/>
    <w:rsid w:val="00A20A78"/>
    <w:rsid w:val="00A213B6"/>
    <w:rsid w:val="00A21509"/>
    <w:rsid w:val="00A23858"/>
    <w:rsid w:val="00A24707"/>
    <w:rsid w:val="00A2470F"/>
    <w:rsid w:val="00A24EC8"/>
    <w:rsid w:val="00A251D7"/>
    <w:rsid w:val="00A2605A"/>
    <w:rsid w:val="00A26F2F"/>
    <w:rsid w:val="00A2712A"/>
    <w:rsid w:val="00A2719C"/>
    <w:rsid w:val="00A27DD1"/>
    <w:rsid w:val="00A302F7"/>
    <w:rsid w:val="00A30E85"/>
    <w:rsid w:val="00A3141C"/>
    <w:rsid w:val="00A31BAF"/>
    <w:rsid w:val="00A32D32"/>
    <w:rsid w:val="00A32D51"/>
    <w:rsid w:val="00A34C2C"/>
    <w:rsid w:val="00A35EED"/>
    <w:rsid w:val="00A367CE"/>
    <w:rsid w:val="00A37319"/>
    <w:rsid w:val="00A377B0"/>
    <w:rsid w:val="00A37E6E"/>
    <w:rsid w:val="00A41559"/>
    <w:rsid w:val="00A418C1"/>
    <w:rsid w:val="00A43E08"/>
    <w:rsid w:val="00A507BB"/>
    <w:rsid w:val="00A5091C"/>
    <w:rsid w:val="00A5101E"/>
    <w:rsid w:val="00A51CF9"/>
    <w:rsid w:val="00A5235D"/>
    <w:rsid w:val="00A534FD"/>
    <w:rsid w:val="00A53E95"/>
    <w:rsid w:val="00A54281"/>
    <w:rsid w:val="00A54B63"/>
    <w:rsid w:val="00A54E55"/>
    <w:rsid w:val="00A54F21"/>
    <w:rsid w:val="00A55E94"/>
    <w:rsid w:val="00A56963"/>
    <w:rsid w:val="00A56B6E"/>
    <w:rsid w:val="00A573BC"/>
    <w:rsid w:val="00A57E19"/>
    <w:rsid w:val="00A60094"/>
    <w:rsid w:val="00A607C2"/>
    <w:rsid w:val="00A60AED"/>
    <w:rsid w:val="00A60DE2"/>
    <w:rsid w:val="00A60EA6"/>
    <w:rsid w:val="00A61B8D"/>
    <w:rsid w:val="00A62134"/>
    <w:rsid w:val="00A63881"/>
    <w:rsid w:val="00A63B52"/>
    <w:rsid w:val="00A6416F"/>
    <w:rsid w:val="00A65053"/>
    <w:rsid w:val="00A65868"/>
    <w:rsid w:val="00A670F3"/>
    <w:rsid w:val="00A67B60"/>
    <w:rsid w:val="00A70BEA"/>
    <w:rsid w:val="00A70F90"/>
    <w:rsid w:val="00A70FF9"/>
    <w:rsid w:val="00A7190E"/>
    <w:rsid w:val="00A71B6B"/>
    <w:rsid w:val="00A71E5C"/>
    <w:rsid w:val="00A73A4C"/>
    <w:rsid w:val="00A73DE2"/>
    <w:rsid w:val="00A7467F"/>
    <w:rsid w:val="00A746EF"/>
    <w:rsid w:val="00A75072"/>
    <w:rsid w:val="00A75946"/>
    <w:rsid w:val="00A75AA1"/>
    <w:rsid w:val="00A76455"/>
    <w:rsid w:val="00A76DFC"/>
    <w:rsid w:val="00A7743A"/>
    <w:rsid w:val="00A77B08"/>
    <w:rsid w:val="00A812F2"/>
    <w:rsid w:val="00A81310"/>
    <w:rsid w:val="00A825DC"/>
    <w:rsid w:val="00A82B9B"/>
    <w:rsid w:val="00A83212"/>
    <w:rsid w:val="00A83D05"/>
    <w:rsid w:val="00A83D81"/>
    <w:rsid w:val="00A84451"/>
    <w:rsid w:val="00A848C8"/>
    <w:rsid w:val="00A84CC5"/>
    <w:rsid w:val="00A85BC4"/>
    <w:rsid w:val="00A863FD"/>
    <w:rsid w:val="00A87ED6"/>
    <w:rsid w:val="00A87EDE"/>
    <w:rsid w:val="00A90789"/>
    <w:rsid w:val="00A90C0E"/>
    <w:rsid w:val="00A9171E"/>
    <w:rsid w:val="00A920B1"/>
    <w:rsid w:val="00A92506"/>
    <w:rsid w:val="00A92F34"/>
    <w:rsid w:val="00A93024"/>
    <w:rsid w:val="00A9454C"/>
    <w:rsid w:val="00A94CA5"/>
    <w:rsid w:val="00A9500C"/>
    <w:rsid w:val="00A96147"/>
    <w:rsid w:val="00A96962"/>
    <w:rsid w:val="00A97AD7"/>
    <w:rsid w:val="00A97EFE"/>
    <w:rsid w:val="00AA0356"/>
    <w:rsid w:val="00AA0A8D"/>
    <w:rsid w:val="00AA0D57"/>
    <w:rsid w:val="00AA1038"/>
    <w:rsid w:val="00AA190E"/>
    <w:rsid w:val="00AA3009"/>
    <w:rsid w:val="00AA30C1"/>
    <w:rsid w:val="00AA40B1"/>
    <w:rsid w:val="00AA4BF3"/>
    <w:rsid w:val="00AA5DDA"/>
    <w:rsid w:val="00AB02AE"/>
    <w:rsid w:val="00AB03A3"/>
    <w:rsid w:val="00AB0AE2"/>
    <w:rsid w:val="00AB0EA4"/>
    <w:rsid w:val="00AB1400"/>
    <w:rsid w:val="00AB1766"/>
    <w:rsid w:val="00AB255F"/>
    <w:rsid w:val="00AB2C3D"/>
    <w:rsid w:val="00AB2F9D"/>
    <w:rsid w:val="00AB3133"/>
    <w:rsid w:val="00AB3728"/>
    <w:rsid w:val="00AB3E39"/>
    <w:rsid w:val="00AB4B2B"/>
    <w:rsid w:val="00AB51A2"/>
    <w:rsid w:val="00AB64F8"/>
    <w:rsid w:val="00AB6FA5"/>
    <w:rsid w:val="00AB7422"/>
    <w:rsid w:val="00AB76A4"/>
    <w:rsid w:val="00AB7BEB"/>
    <w:rsid w:val="00AB7DE0"/>
    <w:rsid w:val="00AC0064"/>
    <w:rsid w:val="00AC0C69"/>
    <w:rsid w:val="00AC106B"/>
    <w:rsid w:val="00AC1A32"/>
    <w:rsid w:val="00AC1B50"/>
    <w:rsid w:val="00AC2284"/>
    <w:rsid w:val="00AC2B86"/>
    <w:rsid w:val="00AC3661"/>
    <w:rsid w:val="00AC37B3"/>
    <w:rsid w:val="00AC3CFE"/>
    <w:rsid w:val="00AC40FC"/>
    <w:rsid w:val="00AC4128"/>
    <w:rsid w:val="00AC4671"/>
    <w:rsid w:val="00AC46F1"/>
    <w:rsid w:val="00AC67A3"/>
    <w:rsid w:val="00AD0CF5"/>
    <w:rsid w:val="00AD26E3"/>
    <w:rsid w:val="00AD3448"/>
    <w:rsid w:val="00AD4E53"/>
    <w:rsid w:val="00AD5BF3"/>
    <w:rsid w:val="00AD6604"/>
    <w:rsid w:val="00AD70FF"/>
    <w:rsid w:val="00AD7E85"/>
    <w:rsid w:val="00AE037C"/>
    <w:rsid w:val="00AE1804"/>
    <w:rsid w:val="00AE19E1"/>
    <w:rsid w:val="00AE1B3A"/>
    <w:rsid w:val="00AE1C2A"/>
    <w:rsid w:val="00AE2340"/>
    <w:rsid w:val="00AE25D5"/>
    <w:rsid w:val="00AE262F"/>
    <w:rsid w:val="00AE2706"/>
    <w:rsid w:val="00AE4E9F"/>
    <w:rsid w:val="00AE54EE"/>
    <w:rsid w:val="00AE5AD4"/>
    <w:rsid w:val="00AE7764"/>
    <w:rsid w:val="00AE776C"/>
    <w:rsid w:val="00AE7C72"/>
    <w:rsid w:val="00AE7EDC"/>
    <w:rsid w:val="00AF09A6"/>
    <w:rsid w:val="00AF101F"/>
    <w:rsid w:val="00AF121B"/>
    <w:rsid w:val="00AF16EF"/>
    <w:rsid w:val="00AF1EF1"/>
    <w:rsid w:val="00AF20F1"/>
    <w:rsid w:val="00AF29D7"/>
    <w:rsid w:val="00AF3007"/>
    <w:rsid w:val="00AF423C"/>
    <w:rsid w:val="00AF56C6"/>
    <w:rsid w:val="00AF633D"/>
    <w:rsid w:val="00AF6846"/>
    <w:rsid w:val="00AF71F9"/>
    <w:rsid w:val="00B0004A"/>
    <w:rsid w:val="00B006FE"/>
    <w:rsid w:val="00B0082B"/>
    <w:rsid w:val="00B00E38"/>
    <w:rsid w:val="00B02891"/>
    <w:rsid w:val="00B03569"/>
    <w:rsid w:val="00B036C8"/>
    <w:rsid w:val="00B04ED4"/>
    <w:rsid w:val="00B05066"/>
    <w:rsid w:val="00B056B8"/>
    <w:rsid w:val="00B0590A"/>
    <w:rsid w:val="00B05BA5"/>
    <w:rsid w:val="00B05CE7"/>
    <w:rsid w:val="00B0608E"/>
    <w:rsid w:val="00B06920"/>
    <w:rsid w:val="00B0706F"/>
    <w:rsid w:val="00B10CAD"/>
    <w:rsid w:val="00B11E3F"/>
    <w:rsid w:val="00B11EC3"/>
    <w:rsid w:val="00B12544"/>
    <w:rsid w:val="00B13E1F"/>
    <w:rsid w:val="00B141C4"/>
    <w:rsid w:val="00B14A2E"/>
    <w:rsid w:val="00B14C3D"/>
    <w:rsid w:val="00B16241"/>
    <w:rsid w:val="00B16790"/>
    <w:rsid w:val="00B1680C"/>
    <w:rsid w:val="00B16A4B"/>
    <w:rsid w:val="00B1700B"/>
    <w:rsid w:val="00B17758"/>
    <w:rsid w:val="00B20861"/>
    <w:rsid w:val="00B2156D"/>
    <w:rsid w:val="00B21835"/>
    <w:rsid w:val="00B22379"/>
    <w:rsid w:val="00B2240C"/>
    <w:rsid w:val="00B22DD1"/>
    <w:rsid w:val="00B2322C"/>
    <w:rsid w:val="00B235BF"/>
    <w:rsid w:val="00B2439C"/>
    <w:rsid w:val="00B2552F"/>
    <w:rsid w:val="00B26363"/>
    <w:rsid w:val="00B2781E"/>
    <w:rsid w:val="00B27D21"/>
    <w:rsid w:val="00B303D5"/>
    <w:rsid w:val="00B3094E"/>
    <w:rsid w:val="00B314A1"/>
    <w:rsid w:val="00B31A4C"/>
    <w:rsid w:val="00B338F0"/>
    <w:rsid w:val="00B349F8"/>
    <w:rsid w:val="00B34F70"/>
    <w:rsid w:val="00B36215"/>
    <w:rsid w:val="00B40C6A"/>
    <w:rsid w:val="00B40CDD"/>
    <w:rsid w:val="00B434F1"/>
    <w:rsid w:val="00B44592"/>
    <w:rsid w:val="00B454FD"/>
    <w:rsid w:val="00B460C6"/>
    <w:rsid w:val="00B46A01"/>
    <w:rsid w:val="00B476E1"/>
    <w:rsid w:val="00B50590"/>
    <w:rsid w:val="00B50AD6"/>
    <w:rsid w:val="00B515BD"/>
    <w:rsid w:val="00B51D8C"/>
    <w:rsid w:val="00B52093"/>
    <w:rsid w:val="00B55253"/>
    <w:rsid w:val="00B55597"/>
    <w:rsid w:val="00B562D1"/>
    <w:rsid w:val="00B56384"/>
    <w:rsid w:val="00B56837"/>
    <w:rsid w:val="00B569A3"/>
    <w:rsid w:val="00B57772"/>
    <w:rsid w:val="00B57C28"/>
    <w:rsid w:val="00B57DD8"/>
    <w:rsid w:val="00B60083"/>
    <w:rsid w:val="00B61289"/>
    <w:rsid w:val="00B612DA"/>
    <w:rsid w:val="00B6148F"/>
    <w:rsid w:val="00B61517"/>
    <w:rsid w:val="00B61F2A"/>
    <w:rsid w:val="00B62DA9"/>
    <w:rsid w:val="00B62E3E"/>
    <w:rsid w:val="00B63165"/>
    <w:rsid w:val="00B63470"/>
    <w:rsid w:val="00B64116"/>
    <w:rsid w:val="00B645CE"/>
    <w:rsid w:val="00B64688"/>
    <w:rsid w:val="00B65873"/>
    <w:rsid w:val="00B65D27"/>
    <w:rsid w:val="00B67061"/>
    <w:rsid w:val="00B6709A"/>
    <w:rsid w:val="00B672C7"/>
    <w:rsid w:val="00B677C6"/>
    <w:rsid w:val="00B7185F"/>
    <w:rsid w:val="00B7320F"/>
    <w:rsid w:val="00B73414"/>
    <w:rsid w:val="00B7466B"/>
    <w:rsid w:val="00B74780"/>
    <w:rsid w:val="00B74F28"/>
    <w:rsid w:val="00B751CF"/>
    <w:rsid w:val="00B75E8B"/>
    <w:rsid w:val="00B75F1A"/>
    <w:rsid w:val="00B77461"/>
    <w:rsid w:val="00B77862"/>
    <w:rsid w:val="00B80CB0"/>
    <w:rsid w:val="00B80E70"/>
    <w:rsid w:val="00B8221F"/>
    <w:rsid w:val="00B8242C"/>
    <w:rsid w:val="00B8296E"/>
    <w:rsid w:val="00B829B5"/>
    <w:rsid w:val="00B834EF"/>
    <w:rsid w:val="00B83EC7"/>
    <w:rsid w:val="00B847AF"/>
    <w:rsid w:val="00B84CAB"/>
    <w:rsid w:val="00B852CC"/>
    <w:rsid w:val="00B8573D"/>
    <w:rsid w:val="00B86AB6"/>
    <w:rsid w:val="00B86AE6"/>
    <w:rsid w:val="00B9026B"/>
    <w:rsid w:val="00B9092A"/>
    <w:rsid w:val="00B90A65"/>
    <w:rsid w:val="00B91DA0"/>
    <w:rsid w:val="00B9200A"/>
    <w:rsid w:val="00B921B5"/>
    <w:rsid w:val="00B92AAC"/>
    <w:rsid w:val="00B92C83"/>
    <w:rsid w:val="00B9336F"/>
    <w:rsid w:val="00B934CF"/>
    <w:rsid w:val="00B93793"/>
    <w:rsid w:val="00B9546A"/>
    <w:rsid w:val="00B95969"/>
    <w:rsid w:val="00B9690D"/>
    <w:rsid w:val="00B96910"/>
    <w:rsid w:val="00B96C12"/>
    <w:rsid w:val="00B977E4"/>
    <w:rsid w:val="00BA0E03"/>
    <w:rsid w:val="00BA1285"/>
    <w:rsid w:val="00BA286A"/>
    <w:rsid w:val="00BA4643"/>
    <w:rsid w:val="00BA4C2B"/>
    <w:rsid w:val="00BA5228"/>
    <w:rsid w:val="00BA601F"/>
    <w:rsid w:val="00BA6885"/>
    <w:rsid w:val="00BA74EA"/>
    <w:rsid w:val="00BA7777"/>
    <w:rsid w:val="00BB0220"/>
    <w:rsid w:val="00BB09D4"/>
    <w:rsid w:val="00BB1077"/>
    <w:rsid w:val="00BB16BA"/>
    <w:rsid w:val="00BB2BC6"/>
    <w:rsid w:val="00BB39E4"/>
    <w:rsid w:val="00BB4252"/>
    <w:rsid w:val="00BB451E"/>
    <w:rsid w:val="00BB4D0E"/>
    <w:rsid w:val="00BB660B"/>
    <w:rsid w:val="00BB7B2E"/>
    <w:rsid w:val="00BB7E76"/>
    <w:rsid w:val="00BC0395"/>
    <w:rsid w:val="00BC048F"/>
    <w:rsid w:val="00BC170B"/>
    <w:rsid w:val="00BC2448"/>
    <w:rsid w:val="00BC38BB"/>
    <w:rsid w:val="00BC5A03"/>
    <w:rsid w:val="00BC65E9"/>
    <w:rsid w:val="00BC6D89"/>
    <w:rsid w:val="00BD1369"/>
    <w:rsid w:val="00BD1C0E"/>
    <w:rsid w:val="00BD2212"/>
    <w:rsid w:val="00BD3768"/>
    <w:rsid w:val="00BD3FFE"/>
    <w:rsid w:val="00BD5959"/>
    <w:rsid w:val="00BD605F"/>
    <w:rsid w:val="00BD677F"/>
    <w:rsid w:val="00BD78AB"/>
    <w:rsid w:val="00BD7ABE"/>
    <w:rsid w:val="00BD7EA6"/>
    <w:rsid w:val="00BE03E7"/>
    <w:rsid w:val="00BE096B"/>
    <w:rsid w:val="00BE0CB8"/>
    <w:rsid w:val="00BE1303"/>
    <w:rsid w:val="00BE198F"/>
    <w:rsid w:val="00BE35DF"/>
    <w:rsid w:val="00BE3777"/>
    <w:rsid w:val="00BE3B2C"/>
    <w:rsid w:val="00BE4569"/>
    <w:rsid w:val="00BE4571"/>
    <w:rsid w:val="00BE49F3"/>
    <w:rsid w:val="00BE54AA"/>
    <w:rsid w:val="00BE5762"/>
    <w:rsid w:val="00BE5CD2"/>
    <w:rsid w:val="00BE5EB6"/>
    <w:rsid w:val="00BE620C"/>
    <w:rsid w:val="00BE6330"/>
    <w:rsid w:val="00BE6863"/>
    <w:rsid w:val="00BE6A8C"/>
    <w:rsid w:val="00BF246A"/>
    <w:rsid w:val="00BF28D4"/>
    <w:rsid w:val="00BF28F8"/>
    <w:rsid w:val="00BF293A"/>
    <w:rsid w:val="00BF2F2B"/>
    <w:rsid w:val="00BF35D1"/>
    <w:rsid w:val="00BF3B4A"/>
    <w:rsid w:val="00BF6C5B"/>
    <w:rsid w:val="00BF709D"/>
    <w:rsid w:val="00BF71C4"/>
    <w:rsid w:val="00BF740F"/>
    <w:rsid w:val="00BF765C"/>
    <w:rsid w:val="00BF7E5A"/>
    <w:rsid w:val="00C0032A"/>
    <w:rsid w:val="00C00525"/>
    <w:rsid w:val="00C03D5D"/>
    <w:rsid w:val="00C04129"/>
    <w:rsid w:val="00C064DE"/>
    <w:rsid w:val="00C06870"/>
    <w:rsid w:val="00C07136"/>
    <w:rsid w:val="00C07263"/>
    <w:rsid w:val="00C077FC"/>
    <w:rsid w:val="00C07AAE"/>
    <w:rsid w:val="00C10524"/>
    <w:rsid w:val="00C10531"/>
    <w:rsid w:val="00C110C7"/>
    <w:rsid w:val="00C1115F"/>
    <w:rsid w:val="00C11229"/>
    <w:rsid w:val="00C1181F"/>
    <w:rsid w:val="00C119EC"/>
    <w:rsid w:val="00C11AF7"/>
    <w:rsid w:val="00C122DE"/>
    <w:rsid w:val="00C1588F"/>
    <w:rsid w:val="00C169B4"/>
    <w:rsid w:val="00C17ABA"/>
    <w:rsid w:val="00C17CE0"/>
    <w:rsid w:val="00C21252"/>
    <w:rsid w:val="00C2173F"/>
    <w:rsid w:val="00C21758"/>
    <w:rsid w:val="00C21B30"/>
    <w:rsid w:val="00C22FC8"/>
    <w:rsid w:val="00C24187"/>
    <w:rsid w:val="00C2448E"/>
    <w:rsid w:val="00C24A75"/>
    <w:rsid w:val="00C24E96"/>
    <w:rsid w:val="00C25FA6"/>
    <w:rsid w:val="00C26D18"/>
    <w:rsid w:val="00C26DA3"/>
    <w:rsid w:val="00C275F2"/>
    <w:rsid w:val="00C278A9"/>
    <w:rsid w:val="00C27980"/>
    <w:rsid w:val="00C30FEC"/>
    <w:rsid w:val="00C31BC4"/>
    <w:rsid w:val="00C32DE9"/>
    <w:rsid w:val="00C35CAD"/>
    <w:rsid w:val="00C40AA5"/>
    <w:rsid w:val="00C40B03"/>
    <w:rsid w:val="00C41251"/>
    <w:rsid w:val="00C41A94"/>
    <w:rsid w:val="00C41CD8"/>
    <w:rsid w:val="00C421DB"/>
    <w:rsid w:val="00C42451"/>
    <w:rsid w:val="00C42E93"/>
    <w:rsid w:val="00C42F08"/>
    <w:rsid w:val="00C43C93"/>
    <w:rsid w:val="00C4459E"/>
    <w:rsid w:val="00C446DE"/>
    <w:rsid w:val="00C455E3"/>
    <w:rsid w:val="00C4582E"/>
    <w:rsid w:val="00C458C9"/>
    <w:rsid w:val="00C45D0A"/>
    <w:rsid w:val="00C4745D"/>
    <w:rsid w:val="00C47462"/>
    <w:rsid w:val="00C474C6"/>
    <w:rsid w:val="00C474ED"/>
    <w:rsid w:val="00C47C7D"/>
    <w:rsid w:val="00C5000E"/>
    <w:rsid w:val="00C508AB"/>
    <w:rsid w:val="00C51364"/>
    <w:rsid w:val="00C5227D"/>
    <w:rsid w:val="00C52FD5"/>
    <w:rsid w:val="00C531E6"/>
    <w:rsid w:val="00C53299"/>
    <w:rsid w:val="00C534B4"/>
    <w:rsid w:val="00C536C7"/>
    <w:rsid w:val="00C537E8"/>
    <w:rsid w:val="00C54521"/>
    <w:rsid w:val="00C549AB"/>
    <w:rsid w:val="00C54EC5"/>
    <w:rsid w:val="00C55311"/>
    <w:rsid w:val="00C5541D"/>
    <w:rsid w:val="00C55D54"/>
    <w:rsid w:val="00C56107"/>
    <w:rsid w:val="00C56196"/>
    <w:rsid w:val="00C561DD"/>
    <w:rsid w:val="00C56287"/>
    <w:rsid w:val="00C56943"/>
    <w:rsid w:val="00C579DD"/>
    <w:rsid w:val="00C57A47"/>
    <w:rsid w:val="00C608C6"/>
    <w:rsid w:val="00C60E6B"/>
    <w:rsid w:val="00C6100D"/>
    <w:rsid w:val="00C61337"/>
    <w:rsid w:val="00C613B6"/>
    <w:rsid w:val="00C613EB"/>
    <w:rsid w:val="00C61DE0"/>
    <w:rsid w:val="00C61F66"/>
    <w:rsid w:val="00C61F9C"/>
    <w:rsid w:val="00C61FD6"/>
    <w:rsid w:val="00C62344"/>
    <w:rsid w:val="00C62821"/>
    <w:rsid w:val="00C63767"/>
    <w:rsid w:val="00C63B93"/>
    <w:rsid w:val="00C64518"/>
    <w:rsid w:val="00C645F4"/>
    <w:rsid w:val="00C660E6"/>
    <w:rsid w:val="00C662DC"/>
    <w:rsid w:val="00C66C15"/>
    <w:rsid w:val="00C7046B"/>
    <w:rsid w:val="00C70663"/>
    <w:rsid w:val="00C70717"/>
    <w:rsid w:val="00C71A48"/>
    <w:rsid w:val="00C72181"/>
    <w:rsid w:val="00C72BC6"/>
    <w:rsid w:val="00C735ED"/>
    <w:rsid w:val="00C73F22"/>
    <w:rsid w:val="00C7443A"/>
    <w:rsid w:val="00C74562"/>
    <w:rsid w:val="00C74E54"/>
    <w:rsid w:val="00C75D69"/>
    <w:rsid w:val="00C766E4"/>
    <w:rsid w:val="00C77A8B"/>
    <w:rsid w:val="00C80059"/>
    <w:rsid w:val="00C8071E"/>
    <w:rsid w:val="00C80FB3"/>
    <w:rsid w:val="00C81A88"/>
    <w:rsid w:val="00C822BE"/>
    <w:rsid w:val="00C822FD"/>
    <w:rsid w:val="00C82CA7"/>
    <w:rsid w:val="00C82E5C"/>
    <w:rsid w:val="00C8392E"/>
    <w:rsid w:val="00C84DAD"/>
    <w:rsid w:val="00C84F90"/>
    <w:rsid w:val="00C8596C"/>
    <w:rsid w:val="00C86CDB"/>
    <w:rsid w:val="00C874E3"/>
    <w:rsid w:val="00C8785C"/>
    <w:rsid w:val="00C87EE2"/>
    <w:rsid w:val="00C905A4"/>
    <w:rsid w:val="00C90CA9"/>
    <w:rsid w:val="00C912FE"/>
    <w:rsid w:val="00C915FA"/>
    <w:rsid w:val="00C93A3A"/>
    <w:rsid w:val="00C93EBF"/>
    <w:rsid w:val="00C94148"/>
    <w:rsid w:val="00C946BD"/>
    <w:rsid w:val="00C94D26"/>
    <w:rsid w:val="00C94FC9"/>
    <w:rsid w:val="00C95E98"/>
    <w:rsid w:val="00C96973"/>
    <w:rsid w:val="00C971AF"/>
    <w:rsid w:val="00C976BB"/>
    <w:rsid w:val="00C97D35"/>
    <w:rsid w:val="00CA0A26"/>
    <w:rsid w:val="00CA1712"/>
    <w:rsid w:val="00CA1DAB"/>
    <w:rsid w:val="00CA2150"/>
    <w:rsid w:val="00CA2CF5"/>
    <w:rsid w:val="00CA2FFA"/>
    <w:rsid w:val="00CA4C6A"/>
    <w:rsid w:val="00CA5A00"/>
    <w:rsid w:val="00CA5B64"/>
    <w:rsid w:val="00CA6739"/>
    <w:rsid w:val="00CA6888"/>
    <w:rsid w:val="00CA79B4"/>
    <w:rsid w:val="00CA7E16"/>
    <w:rsid w:val="00CB15E7"/>
    <w:rsid w:val="00CB1F34"/>
    <w:rsid w:val="00CB2E81"/>
    <w:rsid w:val="00CB2F86"/>
    <w:rsid w:val="00CB3C12"/>
    <w:rsid w:val="00CB4B0B"/>
    <w:rsid w:val="00CB5126"/>
    <w:rsid w:val="00CB5CB5"/>
    <w:rsid w:val="00CB72D7"/>
    <w:rsid w:val="00CB75EE"/>
    <w:rsid w:val="00CB7A6B"/>
    <w:rsid w:val="00CC0969"/>
    <w:rsid w:val="00CC109A"/>
    <w:rsid w:val="00CC1C00"/>
    <w:rsid w:val="00CC2237"/>
    <w:rsid w:val="00CC2A1D"/>
    <w:rsid w:val="00CC2A83"/>
    <w:rsid w:val="00CC307E"/>
    <w:rsid w:val="00CC39AB"/>
    <w:rsid w:val="00CC3F17"/>
    <w:rsid w:val="00CC401D"/>
    <w:rsid w:val="00CC5451"/>
    <w:rsid w:val="00CC54CF"/>
    <w:rsid w:val="00CC576E"/>
    <w:rsid w:val="00CC580F"/>
    <w:rsid w:val="00CC5949"/>
    <w:rsid w:val="00CC64B8"/>
    <w:rsid w:val="00CC6823"/>
    <w:rsid w:val="00CC7A99"/>
    <w:rsid w:val="00CC7B25"/>
    <w:rsid w:val="00CD0B7D"/>
    <w:rsid w:val="00CD0C09"/>
    <w:rsid w:val="00CD16BD"/>
    <w:rsid w:val="00CD171D"/>
    <w:rsid w:val="00CD1C36"/>
    <w:rsid w:val="00CD1E85"/>
    <w:rsid w:val="00CD213B"/>
    <w:rsid w:val="00CD2B4F"/>
    <w:rsid w:val="00CD54B4"/>
    <w:rsid w:val="00CD57A7"/>
    <w:rsid w:val="00CD638A"/>
    <w:rsid w:val="00CD6711"/>
    <w:rsid w:val="00CD6FC0"/>
    <w:rsid w:val="00CD7240"/>
    <w:rsid w:val="00CD72C9"/>
    <w:rsid w:val="00CD7D59"/>
    <w:rsid w:val="00CDC8D4"/>
    <w:rsid w:val="00CE0C23"/>
    <w:rsid w:val="00CE2F18"/>
    <w:rsid w:val="00CE5AE8"/>
    <w:rsid w:val="00CE61FF"/>
    <w:rsid w:val="00CE7496"/>
    <w:rsid w:val="00CE7A25"/>
    <w:rsid w:val="00CE7B7A"/>
    <w:rsid w:val="00CE7F1D"/>
    <w:rsid w:val="00CF0366"/>
    <w:rsid w:val="00CF03AB"/>
    <w:rsid w:val="00CF1F69"/>
    <w:rsid w:val="00CF2CF0"/>
    <w:rsid w:val="00CF31A8"/>
    <w:rsid w:val="00CF3355"/>
    <w:rsid w:val="00CF3CD8"/>
    <w:rsid w:val="00CF40FC"/>
    <w:rsid w:val="00CF47C4"/>
    <w:rsid w:val="00CF521D"/>
    <w:rsid w:val="00CF6CEA"/>
    <w:rsid w:val="00CF704F"/>
    <w:rsid w:val="00CF72A0"/>
    <w:rsid w:val="00CF75F0"/>
    <w:rsid w:val="00CF78B8"/>
    <w:rsid w:val="00CF7925"/>
    <w:rsid w:val="00CF7FD5"/>
    <w:rsid w:val="00D00608"/>
    <w:rsid w:val="00D01267"/>
    <w:rsid w:val="00D01C49"/>
    <w:rsid w:val="00D026BC"/>
    <w:rsid w:val="00D057D9"/>
    <w:rsid w:val="00D06618"/>
    <w:rsid w:val="00D069A3"/>
    <w:rsid w:val="00D06FDA"/>
    <w:rsid w:val="00D0766B"/>
    <w:rsid w:val="00D07B98"/>
    <w:rsid w:val="00D10B7F"/>
    <w:rsid w:val="00D10BED"/>
    <w:rsid w:val="00D11558"/>
    <w:rsid w:val="00D11C85"/>
    <w:rsid w:val="00D11ED5"/>
    <w:rsid w:val="00D11F85"/>
    <w:rsid w:val="00D13167"/>
    <w:rsid w:val="00D1334D"/>
    <w:rsid w:val="00D139BC"/>
    <w:rsid w:val="00D14180"/>
    <w:rsid w:val="00D1512C"/>
    <w:rsid w:val="00D151FC"/>
    <w:rsid w:val="00D15D54"/>
    <w:rsid w:val="00D15DB7"/>
    <w:rsid w:val="00D15F0C"/>
    <w:rsid w:val="00D16765"/>
    <w:rsid w:val="00D17E26"/>
    <w:rsid w:val="00D204BF"/>
    <w:rsid w:val="00D204F0"/>
    <w:rsid w:val="00D211E2"/>
    <w:rsid w:val="00D232BA"/>
    <w:rsid w:val="00D23361"/>
    <w:rsid w:val="00D24431"/>
    <w:rsid w:val="00D25008"/>
    <w:rsid w:val="00D25430"/>
    <w:rsid w:val="00D257A6"/>
    <w:rsid w:val="00D265F6"/>
    <w:rsid w:val="00D26EDC"/>
    <w:rsid w:val="00D273CD"/>
    <w:rsid w:val="00D279F5"/>
    <w:rsid w:val="00D27D9A"/>
    <w:rsid w:val="00D3056A"/>
    <w:rsid w:val="00D310AA"/>
    <w:rsid w:val="00D3164A"/>
    <w:rsid w:val="00D318F0"/>
    <w:rsid w:val="00D3267D"/>
    <w:rsid w:val="00D327A4"/>
    <w:rsid w:val="00D32A29"/>
    <w:rsid w:val="00D33DBB"/>
    <w:rsid w:val="00D34957"/>
    <w:rsid w:val="00D35744"/>
    <w:rsid w:val="00D358F8"/>
    <w:rsid w:val="00D35A3B"/>
    <w:rsid w:val="00D3679A"/>
    <w:rsid w:val="00D36BFA"/>
    <w:rsid w:val="00D40ECA"/>
    <w:rsid w:val="00D42330"/>
    <w:rsid w:val="00D431BF"/>
    <w:rsid w:val="00D43D9C"/>
    <w:rsid w:val="00D43F07"/>
    <w:rsid w:val="00D449A4"/>
    <w:rsid w:val="00D45A69"/>
    <w:rsid w:val="00D461C8"/>
    <w:rsid w:val="00D46DED"/>
    <w:rsid w:val="00D47565"/>
    <w:rsid w:val="00D50523"/>
    <w:rsid w:val="00D50739"/>
    <w:rsid w:val="00D51510"/>
    <w:rsid w:val="00D51793"/>
    <w:rsid w:val="00D51C55"/>
    <w:rsid w:val="00D51D0A"/>
    <w:rsid w:val="00D5219D"/>
    <w:rsid w:val="00D52750"/>
    <w:rsid w:val="00D52D0C"/>
    <w:rsid w:val="00D53981"/>
    <w:rsid w:val="00D53A4F"/>
    <w:rsid w:val="00D54253"/>
    <w:rsid w:val="00D548FC"/>
    <w:rsid w:val="00D54950"/>
    <w:rsid w:val="00D54CC8"/>
    <w:rsid w:val="00D5514D"/>
    <w:rsid w:val="00D560DC"/>
    <w:rsid w:val="00D565F0"/>
    <w:rsid w:val="00D571DC"/>
    <w:rsid w:val="00D574E2"/>
    <w:rsid w:val="00D57D0C"/>
    <w:rsid w:val="00D5C1CC"/>
    <w:rsid w:val="00D60047"/>
    <w:rsid w:val="00D603BF"/>
    <w:rsid w:val="00D604B5"/>
    <w:rsid w:val="00D6182F"/>
    <w:rsid w:val="00D61A6D"/>
    <w:rsid w:val="00D621B2"/>
    <w:rsid w:val="00D62E90"/>
    <w:rsid w:val="00D63167"/>
    <w:rsid w:val="00D63208"/>
    <w:rsid w:val="00D6369F"/>
    <w:rsid w:val="00D638CE"/>
    <w:rsid w:val="00D63B4F"/>
    <w:rsid w:val="00D63F98"/>
    <w:rsid w:val="00D64CA5"/>
    <w:rsid w:val="00D6657B"/>
    <w:rsid w:val="00D66D6D"/>
    <w:rsid w:val="00D674BC"/>
    <w:rsid w:val="00D67A9F"/>
    <w:rsid w:val="00D67D1B"/>
    <w:rsid w:val="00D67E06"/>
    <w:rsid w:val="00D72B53"/>
    <w:rsid w:val="00D73F01"/>
    <w:rsid w:val="00D740AE"/>
    <w:rsid w:val="00D74252"/>
    <w:rsid w:val="00D74452"/>
    <w:rsid w:val="00D74A5C"/>
    <w:rsid w:val="00D74D2B"/>
    <w:rsid w:val="00D7529F"/>
    <w:rsid w:val="00D75AB0"/>
    <w:rsid w:val="00D75DB6"/>
    <w:rsid w:val="00D76419"/>
    <w:rsid w:val="00D76B56"/>
    <w:rsid w:val="00D76CEA"/>
    <w:rsid w:val="00D76DD6"/>
    <w:rsid w:val="00D76F6F"/>
    <w:rsid w:val="00D770F3"/>
    <w:rsid w:val="00D778C3"/>
    <w:rsid w:val="00D779FA"/>
    <w:rsid w:val="00D77C6F"/>
    <w:rsid w:val="00D801ED"/>
    <w:rsid w:val="00D801F5"/>
    <w:rsid w:val="00D8030F"/>
    <w:rsid w:val="00D80444"/>
    <w:rsid w:val="00D80952"/>
    <w:rsid w:val="00D825CB"/>
    <w:rsid w:val="00D83C0C"/>
    <w:rsid w:val="00D83C95"/>
    <w:rsid w:val="00D84131"/>
    <w:rsid w:val="00D842EF"/>
    <w:rsid w:val="00D84A4F"/>
    <w:rsid w:val="00D84C4C"/>
    <w:rsid w:val="00D854A3"/>
    <w:rsid w:val="00D85D59"/>
    <w:rsid w:val="00D87B75"/>
    <w:rsid w:val="00D90550"/>
    <w:rsid w:val="00D93B66"/>
    <w:rsid w:val="00D941C5"/>
    <w:rsid w:val="00D94266"/>
    <w:rsid w:val="00D94449"/>
    <w:rsid w:val="00D95228"/>
    <w:rsid w:val="00D95794"/>
    <w:rsid w:val="00D95CB7"/>
    <w:rsid w:val="00D96CAD"/>
    <w:rsid w:val="00DA0159"/>
    <w:rsid w:val="00DA1355"/>
    <w:rsid w:val="00DA18C9"/>
    <w:rsid w:val="00DA1B0A"/>
    <w:rsid w:val="00DA1F9C"/>
    <w:rsid w:val="00DA2546"/>
    <w:rsid w:val="00DA262B"/>
    <w:rsid w:val="00DA2C41"/>
    <w:rsid w:val="00DA2F88"/>
    <w:rsid w:val="00DA3861"/>
    <w:rsid w:val="00DA3AE6"/>
    <w:rsid w:val="00DA4761"/>
    <w:rsid w:val="00DA4826"/>
    <w:rsid w:val="00DA4DC8"/>
    <w:rsid w:val="00DA4F36"/>
    <w:rsid w:val="00DA5110"/>
    <w:rsid w:val="00DA537B"/>
    <w:rsid w:val="00DA540A"/>
    <w:rsid w:val="00DA5C4D"/>
    <w:rsid w:val="00DA7260"/>
    <w:rsid w:val="00DA7381"/>
    <w:rsid w:val="00DB0470"/>
    <w:rsid w:val="00DB0838"/>
    <w:rsid w:val="00DB1EB2"/>
    <w:rsid w:val="00DB2A7A"/>
    <w:rsid w:val="00DB2F0D"/>
    <w:rsid w:val="00DB314B"/>
    <w:rsid w:val="00DB4606"/>
    <w:rsid w:val="00DB4DCF"/>
    <w:rsid w:val="00DB4E5A"/>
    <w:rsid w:val="00DB5904"/>
    <w:rsid w:val="00DB5D01"/>
    <w:rsid w:val="00DB5E98"/>
    <w:rsid w:val="00DB6226"/>
    <w:rsid w:val="00DB6742"/>
    <w:rsid w:val="00DB68A7"/>
    <w:rsid w:val="00DB73E3"/>
    <w:rsid w:val="00DB786A"/>
    <w:rsid w:val="00DB7F03"/>
    <w:rsid w:val="00DC0604"/>
    <w:rsid w:val="00DC0D28"/>
    <w:rsid w:val="00DC1FB1"/>
    <w:rsid w:val="00DC22C2"/>
    <w:rsid w:val="00DC2340"/>
    <w:rsid w:val="00DC2F14"/>
    <w:rsid w:val="00DC44AB"/>
    <w:rsid w:val="00DC4888"/>
    <w:rsid w:val="00DC5E58"/>
    <w:rsid w:val="00DC6348"/>
    <w:rsid w:val="00DC743F"/>
    <w:rsid w:val="00DC75FD"/>
    <w:rsid w:val="00DC7EA6"/>
    <w:rsid w:val="00DD015F"/>
    <w:rsid w:val="00DD13A8"/>
    <w:rsid w:val="00DD1565"/>
    <w:rsid w:val="00DD1926"/>
    <w:rsid w:val="00DD1F9A"/>
    <w:rsid w:val="00DD2748"/>
    <w:rsid w:val="00DD27A6"/>
    <w:rsid w:val="00DD2E29"/>
    <w:rsid w:val="00DD3DB0"/>
    <w:rsid w:val="00DD4578"/>
    <w:rsid w:val="00DD49D9"/>
    <w:rsid w:val="00DD5C72"/>
    <w:rsid w:val="00DD61C2"/>
    <w:rsid w:val="00DD6DEF"/>
    <w:rsid w:val="00DD7614"/>
    <w:rsid w:val="00DE0504"/>
    <w:rsid w:val="00DE0B73"/>
    <w:rsid w:val="00DE0C65"/>
    <w:rsid w:val="00DE2689"/>
    <w:rsid w:val="00DE3246"/>
    <w:rsid w:val="00DE3672"/>
    <w:rsid w:val="00DE44FE"/>
    <w:rsid w:val="00DE63C9"/>
    <w:rsid w:val="00DE678E"/>
    <w:rsid w:val="00DE7743"/>
    <w:rsid w:val="00DE7D6C"/>
    <w:rsid w:val="00DE7EA6"/>
    <w:rsid w:val="00DF0378"/>
    <w:rsid w:val="00DF0402"/>
    <w:rsid w:val="00DF1BFE"/>
    <w:rsid w:val="00DF3233"/>
    <w:rsid w:val="00DF443A"/>
    <w:rsid w:val="00DF4C0C"/>
    <w:rsid w:val="00DF559F"/>
    <w:rsid w:val="00DF627D"/>
    <w:rsid w:val="00DF666F"/>
    <w:rsid w:val="00DF75CD"/>
    <w:rsid w:val="00E00AF6"/>
    <w:rsid w:val="00E0199B"/>
    <w:rsid w:val="00E02559"/>
    <w:rsid w:val="00E029D4"/>
    <w:rsid w:val="00E0322F"/>
    <w:rsid w:val="00E03EA3"/>
    <w:rsid w:val="00E04015"/>
    <w:rsid w:val="00E0432F"/>
    <w:rsid w:val="00E04DDE"/>
    <w:rsid w:val="00E05270"/>
    <w:rsid w:val="00E0673C"/>
    <w:rsid w:val="00E06836"/>
    <w:rsid w:val="00E06B0E"/>
    <w:rsid w:val="00E06BD2"/>
    <w:rsid w:val="00E06E79"/>
    <w:rsid w:val="00E06FAF"/>
    <w:rsid w:val="00E070BF"/>
    <w:rsid w:val="00E073DE"/>
    <w:rsid w:val="00E106B1"/>
    <w:rsid w:val="00E11660"/>
    <w:rsid w:val="00E128A8"/>
    <w:rsid w:val="00E1309B"/>
    <w:rsid w:val="00E13AF4"/>
    <w:rsid w:val="00E13EBF"/>
    <w:rsid w:val="00E13FD8"/>
    <w:rsid w:val="00E15101"/>
    <w:rsid w:val="00E15513"/>
    <w:rsid w:val="00E15A17"/>
    <w:rsid w:val="00E15E25"/>
    <w:rsid w:val="00E16127"/>
    <w:rsid w:val="00E161F4"/>
    <w:rsid w:val="00E173D8"/>
    <w:rsid w:val="00E17B74"/>
    <w:rsid w:val="00E17C07"/>
    <w:rsid w:val="00E205F5"/>
    <w:rsid w:val="00E208CC"/>
    <w:rsid w:val="00E2115C"/>
    <w:rsid w:val="00E220B4"/>
    <w:rsid w:val="00E234B9"/>
    <w:rsid w:val="00E237D7"/>
    <w:rsid w:val="00E24704"/>
    <w:rsid w:val="00E24909"/>
    <w:rsid w:val="00E2513A"/>
    <w:rsid w:val="00E25D64"/>
    <w:rsid w:val="00E25DB2"/>
    <w:rsid w:val="00E26281"/>
    <w:rsid w:val="00E26457"/>
    <w:rsid w:val="00E26513"/>
    <w:rsid w:val="00E26AE6"/>
    <w:rsid w:val="00E27242"/>
    <w:rsid w:val="00E272B2"/>
    <w:rsid w:val="00E30D45"/>
    <w:rsid w:val="00E3100A"/>
    <w:rsid w:val="00E317ED"/>
    <w:rsid w:val="00E31829"/>
    <w:rsid w:val="00E31B0D"/>
    <w:rsid w:val="00E31EC5"/>
    <w:rsid w:val="00E32392"/>
    <w:rsid w:val="00E32A38"/>
    <w:rsid w:val="00E32F11"/>
    <w:rsid w:val="00E32FFD"/>
    <w:rsid w:val="00E348C8"/>
    <w:rsid w:val="00E35558"/>
    <w:rsid w:val="00E35635"/>
    <w:rsid w:val="00E36AAE"/>
    <w:rsid w:val="00E37B2C"/>
    <w:rsid w:val="00E403EA"/>
    <w:rsid w:val="00E40C02"/>
    <w:rsid w:val="00E40F6B"/>
    <w:rsid w:val="00E41F62"/>
    <w:rsid w:val="00E421AC"/>
    <w:rsid w:val="00E421C5"/>
    <w:rsid w:val="00E42B7C"/>
    <w:rsid w:val="00E431CA"/>
    <w:rsid w:val="00E436AF"/>
    <w:rsid w:val="00E43ACE"/>
    <w:rsid w:val="00E43D3F"/>
    <w:rsid w:val="00E44CFD"/>
    <w:rsid w:val="00E44D1F"/>
    <w:rsid w:val="00E471EB"/>
    <w:rsid w:val="00E47508"/>
    <w:rsid w:val="00E475DF"/>
    <w:rsid w:val="00E47880"/>
    <w:rsid w:val="00E47AC9"/>
    <w:rsid w:val="00E47DB5"/>
    <w:rsid w:val="00E47EE2"/>
    <w:rsid w:val="00E500F2"/>
    <w:rsid w:val="00E50B07"/>
    <w:rsid w:val="00E51115"/>
    <w:rsid w:val="00E51D71"/>
    <w:rsid w:val="00E52001"/>
    <w:rsid w:val="00E52CEB"/>
    <w:rsid w:val="00E53982"/>
    <w:rsid w:val="00E549DA"/>
    <w:rsid w:val="00E55567"/>
    <w:rsid w:val="00E560B4"/>
    <w:rsid w:val="00E56325"/>
    <w:rsid w:val="00E56D56"/>
    <w:rsid w:val="00E57135"/>
    <w:rsid w:val="00E5772E"/>
    <w:rsid w:val="00E60A2D"/>
    <w:rsid w:val="00E60F95"/>
    <w:rsid w:val="00E611DA"/>
    <w:rsid w:val="00E615C7"/>
    <w:rsid w:val="00E61ECF"/>
    <w:rsid w:val="00E62EEF"/>
    <w:rsid w:val="00E63118"/>
    <w:rsid w:val="00E63195"/>
    <w:rsid w:val="00E631E3"/>
    <w:rsid w:val="00E642CE"/>
    <w:rsid w:val="00E6495A"/>
    <w:rsid w:val="00E64ADF"/>
    <w:rsid w:val="00E64FD4"/>
    <w:rsid w:val="00E64FEE"/>
    <w:rsid w:val="00E65022"/>
    <w:rsid w:val="00E6727B"/>
    <w:rsid w:val="00E67B56"/>
    <w:rsid w:val="00E67CE1"/>
    <w:rsid w:val="00E71039"/>
    <w:rsid w:val="00E71D05"/>
    <w:rsid w:val="00E743C0"/>
    <w:rsid w:val="00E74B9E"/>
    <w:rsid w:val="00E74FFE"/>
    <w:rsid w:val="00E75187"/>
    <w:rsid w:val="00E755D7"/>
    <w:rsid w:val="00E7573A"/>
    <w:rsid w:val="00E758B2"/>
    <w:rsid w:val="00E76EFD"/>
    <w:rsid w:val="00E80191"/>
    <w:rsid w:val="00E805A1"/>
    <w:rsid w:val="00E81ECC"/>
    <w:rsid w:val="00E82210"/>
    <w:rsid w:val="00E83446"/>
    <w:rsid w:val="00E8346B"/>
    <w:rsid w:val="00E8499A"/>
    <w:rsid w:val="00E8578D"/>
    <w:rsid w:val="00E85865"/>
    <w:rsid w:val="00E8634E"/>
    <w:rsid w:val="00E8667A"/>
    <w:rsid w:val="00E86CEF"/>
    <w:rsid w:val="00E90447"/>
    <w:rsid w:val="00E90888"/>
    <w:rsid w:val="00E91105"/>
    <w:rsid w:val="00E9165C"/>
    <w:rsid w:val="00E924C2"/>
    <w:rsid w:val="00E9304E"/>
    <w:rsid w:val="00E93E4E"/>
    <w:rsid w:val="00E944D6"/>
    <w:rsid w:val="00E946C2"/>
    <w:rsid w:val="00E94703"/>
    <w:rsid w:val="00E94A5F"/>
    <w:rsid w:val="00E94ED2"/>
    <w:rsid w:val="00E96C00"/>
    <w:rsid w:val="00E96C26"/>
    <w:rsid w:val="00E96C35"/>
    <w:rsid w:val="00E976DE"/>
    <w:rsid w:val="00E976E3"/>
    <w:rsid w:val="00E97D38"/>
    <w:rsid w:val="00EA0EE4"/>
    <w:rsid w:val="00EA1903"/>
    <w:rsid w:val="00EA199C"/>
    <w:rsid w:val="00EA296F"/>
    <w:rsid w:val="00EA2B66"/>
    <w:rsid w:val="00EA38A8"/>
    <w:rsid w:val="00EA4846"/>
    <w:rsid w:val="00EA4C24"/>
    <w:rsid w:val="00EA4F75"/>
    <w:rsid w:val="00EA5924"/>
    <w:rsid w:val="00EA5EBE"/>
    <w:rsid w:val="00EA5EFF"/>
    <w:rsid w:val="00EA5F41"/>
    <w:rsid w:val="00EA660B"/>
    <w:rsid w:val="00EA79FE"/>
    <w:rsid w:val="00EB03CB"/>
    <w:rsid w:val="00EB0A08"/>
    <w:rsid w:val="00EB0B41"/>
    <w:rsid w:val="00EB0C78"/>
    <w:rsid w:val="00EB1100"/>
    <w:rsid w:val="00EB11AE"/>
    <w:rsid w:val="00EB1A76"/>
    <w:rsid w:val="00EB1DF4"/>
    <w:rsid w:val="00EB2346"/>
    <w:rsid w:val="00EB407D"/>
    <w:rsid w:val="00EB4DC6"/>
    <w:rsid w:val="00EB7216"/>
    <w:rsid w:val="00EB744F"/>
    <w:rsid w:val="00EC0C41"/>
    <w:rsid w:val="00EC1548"/>
    <w:rsid w:val="00EC190B"/>
    <w:rsid w:val="00EC23E3"/>
    <w:rsid w:val="00EC2BE5"/>
    <w:rsid w:val="00EC3BE9"/>
    <w:rsid w:val="00EC54AC"/>
    <w:rsid w:val="00EC61B5"/>
    <w:rsid w:val="00ED010D"/>
    <w:rsid w:val="00ED0A6C"/>
    <w:rsid w:val="00ED22BE"/>
    <w:rsid w:val="00ED24C1"/>
    <w:rsid w:val="00ED25B4"/>
    <w:rsid w:val="00ED2F56"/>
    <w:rsid w:val="00ED32C8"/>
    <w:rsid w:val="00ED3CB9"/>
    <w:rsid w:val="00ED4181"/>
    <w:rsid w:val="00ED4390"/>
    <w:rsid w:val="00ED49F5"/>
    <w:rsid w:val="00ED4D2C"/>
    <w:rsid w:val="00ED52AA"/>
    <w:rsid w:val="00ED5CD0"/>
    <w:rsid w:val="00ED5D89"/>
    <w:rsid w:val="00ED78C3"/>
    <w:rsid w:val="00ED7EF7"/>
    <w:rsid w:val="00ED7FAB"/>
    <w:rsid w:val="00EE04F4"/>
    <w:rsid w:val="00EE1092"/>
    <w:rsid w:val="00EE1A37"/>
    <w:rsid w:val="00EE1AD0"/>
    <w:rsid w:val="00EE1DAB"/>
    <w:rsid w:val="00EE2F6D"/>
    <w:rsid w:val="00EE2FC6"/>
    <w:rsid w:val="00EE32CA"/>
    <w:rsid w:val="00EE44C6"/>
    <w:rsid w:val="00EE50A6"/>
    <w:rsid w:val="00EE5FC7"/>
    <w:rsid w:val="00EE646F"/>
    <w:rsid w:val="00EE657E"/>
    <w:rsid w:val="00EE6BBF"/>
    <w:rsid w:val="00EE7394"/>
    <w:rsid w:val="00EE76E0"/>
    <w:rsid w:val="00EE7FCC"/>
    <w:rsid w:val="00EF06C0"/>
    <w:rsid w:val="00EF0FAD"/>
    <w:rsid w:val="00EF1534"/>
    <w:rsid w:val="00EF16B7"/>
    <w:rsid w:val="00EF16FC"/>
    <w:rsid w:val="00EF1E96"/>
    <w:rsid w:val="00EF2C22"/>
    <w:rsid w:val="00EF33BD"/>
    <w:rsid w:val="00EF4654"/>
    <w:rsid w:val="00EF4A95"/>
    <w:rsid w:val="00EF4D85"/>
    <w:rsid w:val="00EF5958"/>
    <w:rsid w:val="00EF6E89"/>
    <w:rsid w:val="00EF7EC7"/>
    <w:rsid w:val="00EF7F73"/>
    <w:rsid w:val="00F00750"/>
    <w:rsid w:val="00F01112"/>
    <w:rsid w:val="00F019FC"/>
    <w:rsid w:val="00F02715"/>
    <w:rsid w:val="00F028FB"/>
    <w:rsid w:val="00F031F7"/>
    <w:rsid w:val="00F03A68"/>
    <w:rsid w:val="00F0523E"/>
    <w:rsid w:val="00F067C2"/>
    <w:rsid w:val="00F06845"/>
    <w:rsid w:val="00F06DF2"/>
    <w:rsid w:val="00F10879"/>
    <w:rsid w:val="00F10D18"/>
    <w:rsid w:val="00F11F61"/>
    <w:rsid w:val="00F12682"/>
    <w:rsid w:val="00F131FC"/>
    <w:rsid w:val="00F13213"/>
    <w:rsid w:val="00F13614"/>
    <w:rsid w:val="00F13A84"/>
    <w:rsid w:val="00F14495"/>
    <w:rsid w:val="00F1455F"/>
    <w:rsid w:val="00F14917"/>
    <w:rsid w:val="00F15BE6"/>
    <w:rsid w:val="00F15FFC"/>
    <w:rsid w:val="00F16452"/>
    <w:rsid w:val="00F17162"/>
    <w:rsid w:val="00F17510"/>
    <w:rsid w:val="00F178A0"/>
    <w:rsid w:val="00F20A54"/>
    <w:rsid w:val="00F21F98"/>
    <w:rsid w:val="00F22BE1"/>
    <w:rsid w:val="00F23A4E"/>
    <w:rsid w:val="00F246F4"/>
    <w:rsid w:val="00F249F0"/>
    <w:rsid w:val="00F25BB9"/>
    <w:rsid w:val="00F26762"/>
    <w:rsid w:val="00F2694D"/>
    <w:rsid w:val="00F27E93"/>
    <w:rsid w:val="00F30CDA"/>
    <w:rsid w:val="00F31148"/>
    <w:rsid w:val="00F31A58"/>
    <w:rsid w:val="00F324D2"/>
    <w:rsid w:val="00F32AEC"/>
    <w:rsid w:val="00F33464"/>
    <w:rsid w:val="00F334AC"/>
    <w:rsid w:val="00F33F34"/>
    <w:rsid w:val="00F34F2D"/>
    <w:rsid w:val="00F352AE"/>
    <w:rsid w:val="00F356BE"/>
    <w:rsid w:val="00F35770"/>
    <w:rsid w:val="00F35F42"/>
    <w:rsid w:val="00F374C9"/>
    <w:rsid w:val="00F376DB"/>
    <w:rsid w:val="00F37F2C"/>
    <w:rsid w:val="00F40083"/>
    <w:rsid w:val="00F40723"/>
    <w:rsid w:val="00F408DC"/>
    <w:rsid w:val="00F42F48"/>
    <w:rsid w:val="00F431AE"/>
    <w:rsid w:val="00F44DED"/>
    <w:rsid w:val="00F45958"/>
    <w:rsid w:val="00F45DD0"/>
    <w:rsid w:val="00F50F2C"/>
    <w:rsid w:val="00F5154F"/>
    <w:rsid w:val="00F51FFE"/>
    <w:rsid w:val="00F526F3"/>
    <w:rsid w:val="00F52C02"/>
    <w:rsid w:val="00F5351C"/>
    <w:rsid w:val="00F53840"/>
    <w:rsid w:val="00F5479A"/>
    <w:rsid w:val="00F54E68"/>
    <w:rsid w:val="00F56AF9"/>
    <w:rsid w:val="00F56B10"/>
    <w:rsid w:val="00F57682"/>
    <w:rsid w:val="00F609FF"/>
    <w:rsid w:val="00F60CBE"/>
    <w:rsid w:val="00F611CF"/>
    <w:rsid w:val="00F62279"/>
    <w:rsid w:val="00F64FDB"/>
    <w:rsid w:val="00F6506E"/>
    <w:rsid w:val="00F65273"/>
    <w:rsid w:val="00F65EF1"/>
    <w:rsid w:val="00F66797"/>
    <w:rsid w:val="00F6688D"/>
    <w:rsid w:val="00F677DB"/>
    <w:rsid w:val="00F70D27"/>
    <w:rsid w:val="00F711D2"/>
    <w:rsid w:val="00F71F72"/>
    <w:rsid w:val="00F72658"/>
    <w:rsid w:val="00F72C2B"/>
    <w:rsid w:val="00F73A7C"/>
    <w:rsid w:val="00F74A54"/>
    <w:rsid w:val="00F7578E"/>
    <w:rsid w:val="00F75890"/>
    <w:rsid w:val="00F76360"/>
    <w:rsid w:val="00F76D45"/>
    <w:rsid w:val="00F76E2A"/>
    <w:rsid w:val="00F76E9D"/>
    <w:rsid w:val="00F80882"/>
    <w:rsid w:val="00F80CF2"/>
    <w:rsid w:val="00F8159A"/>
    <w:rsid w:val="00F82062"/>
    <w:rsid w:val="00F82A44"/>
    <w:rsid w:val="00F82EE7"/>
    <w:rsid w:val="00F8300A"/>
    <w:rsid w:val="00F830B0"/>
    <w:rsid w:val="00F83521"/>
    <w:rsid w:val="00F84C7B"/>
    <w:rsid w:val="00F85686"/>
    <w:rsid w:val="00F863CC"/>
    <w:rsid w:val="00F864BE"/>
    <w:rsid w:val="00F86A77"/>
    <w:rsid w:val="00F8718E"/>
    <w:rsid w:val="00F9031C"/>
    <w:rsid w:val="00F90E78"/>
    <w:rsid w:val="00F91359"/>
    <w:rsid w:val="00F91A01"/>
    <w:rsid w:val="00F92562"/>
    <w:rsid w:val="00F92ABA"/>
    <w:rsid w:val="00F92C77"/>
    <w:rsid w:val="00F93E7F"/>
    <w:rsid w:val="00F94033"/>
    <w:rsid w:val="00F948AB"/>
    <w:rsid w:val="00F95591"/>
    <w:rsid w:val="00F958D4"/>
    <w:rsid w:val="00F9599E"/>
    <w:rsid w:val="00F96838"/>
    <w:rsid w:val="00F96B79"/>
    <w:rsid w:val="00F96C64"/>
    <w:rsid w:val="00FA18E5"/>
    <w:rsid w:val="00FA1A52"/>
    <w:rsid w:val="00FA1D67"/>
    <w:rsid w:val="00FA3109"/>
    <w:rsid w:val="00FA4189"/>
    <w:rsid w:val="00FA47D1"/>
    <w:rsid w:val="00FA481E"/>
    <w:rsid w:val="00FA488E"/>
    <w:rsid w:val="00FA59B5"/>
    <w:rsid w:val="00FA7242"/>
    <w:rsid w:val="00FA735F"/>
    <w:rsid w:val="00FA74F1"/>
    <w:rsid w:val="00FA7658"/>
    <w:rsid w:val="00FA7764"/>
    <w:rsid w:val="00FA7930"/>
    <w:rsid w:val="00FA7DBD"/>
    <w:rsid w:val="00FB0DE1"/>
    <w:rsid w:val="00FB148C"/>
    <w:rsid w:val="00FB19F4"/>
    <w:rsid w:val="00FB1D7F"/>
    <w:rsid w:val="00FB2642"/>
    <w:rsid w:val="00FB2EF3"/>
    <w:rsid w:val="00FB38B3"/>
    <w:rsid w:val="00FB4001"/>
    <w:rsid w:val="00FB4C6C"/>
    <w:rsid w:val="00FB5064"/>
    <w:rsid w:val="00FB52ED"/>
    <w:rsid w:val="00FB6BB2"/>
    <w:rsid w:val="00FB737D"/>
    <w:rsid w:val="00FB7B17"/>
    <w:rsid w:val="00FB7C1E"/>
    <w:rsid w:val="00FC0215"/>
    <w:rsid w:val="00FC048F"/>
    <w:rsid w:val="00FC054C"/>
    <w:rsid w:val="00FC1C98"/>
    <w:rsid w:val="00FC262E"/>
    <w:rsid w:val="00FC3AE5"/>
    <w:rsid w:val="00FC3FAA"/>
    <w:rsid w:val="00FC4A1C"/>
    <w:rsid w:val="00FC4DA0"/>
    <w:rsid w:val="00FC5066"/>
    <w:rsid w:val="00FC5149"/>
    <w:rsid w:val="00FC52B7"/>
    <w:rsid w:val="00FC5625"/>
    <w:rsid w:val="00FC639D"/>
    <w:rsid w:val="00FC70B2"/>
    <w:rsid w:val="00FC7110"/>
    <w:rsid w:val="00FC72D3"/>
    <w:rsid w:val="00FC75CD"/>
    <w:rsid w:val="00FD01D2"/>
    <w:rsid w:val="00FD11F2"/>
    <w:rsid w:val="00FD1AFF"/>
    <w:rsid w:val="00FD1C24"/>
    <w:rsid w:val="00FD2019"/>
    <w:rsid w:val="00FD27FA"/>
    <w:rsid w:val="00FD3910"/>
    <w:rsid w:val="00FD426A"/>
    <w:rsid w:val="00FD4E53"/>
    <w:rsid w:val="00FD5DFB"/>
    <w:rsid w:val="00FD5F06"/>
    <w:rsid w:val="00FD6825"/>
    <w:rsid w:val="00FD693C"/>
    <w:rsid w:val="00FD6997"/>
    <w:rsid w:val="00FD69D8"/>
    <w:rsid w:val="00FD7C6E"/>
    <w:rsid w:val="00FE0795"/>
    <w:rsid w:val="00FE1126"/>
    <w:rsid w:val="00FE2027"/>
    <w:rsid w:val="00FE377E"/>
    <w:rsid w:val="00FE3A20"/>
    <w:rsid w:val="00FE3E41"/>
    <w:rsid w:val="00FE3E78"/>
    <w:rsid w:val="00FE40E8"/>
    <w:rsid w:val="00FE5C3D"/>
    <w:rsid w:val="00FE65F8"/>
    <w:rsid w:val="00FE6BF1"/>
    <w:rsid w:val="00FF0215"/>
    <w:rsid w:val="00FF03C1"/>
    <w:rsid w:val="00FF0D1D"/>
    <w:rsid w:val="00FF160C"/>
    <w:rsid w:val="00FF1F02"/>
    <w:rsid w:val="00FF2311"/>
    <w:rsid w:val="00FF34ED"/>
    <w:rsid w:val="00FF4664"/>
    <w:rsid w:val="00FF498F"/>
    <w:rsid w:val="00FF4D42"/>
    <w:rsid w:val="00FF57FD"/>
    <w:rsid w:val="00FF5A04"/>
    <w:rsid w:val="00FF5DFB"/>
    <w:rsid w:val="00FF6E67"/>
    <w:rsid w:val="00FF6F4A"/>
    <w:rsid w:val="00FF7EE7"/>
    <w:rsid w:val="013FA67B"/>
    <w:rsid w:val="014F81EE"/>
    <w:rsid w:val="01619BCC"/>
    <w:rsid w:val="016F7C30"/>
    <w:rsid w:val="017521E5"/>
    <w:rsid w:val="019B1B04"/>
    <w:rsid w:val="01C3761C"/>
    <w:rsid w:val="02091B33"/>
    <w:rsid w:val="020E2D16"/>
    <w:rsid w:val="02527E6A"/>
    <w:rsid w:val="025871CE"/>
    <w:rsid w:val="026E9AC4"/>
    <w:rsid w:val="036CE01A"/>
    <w:rsid w:val="03F437DE"/>
    <w:rsid w:val="041344D8"/>
    <w:rsid w:val="042FBD18"/>
    <w:rsid w:val="04515E5F"/>
    <w:rsid w:val="045396CF"/>
    <w:rsid w:val="04778F3F"/>
    <w:rsid w:val="04D77E2B"/>
    <w:rsid w:val="04E47B63"/>
    <w:rsid w:val="051F49AF"/>
    <w:rsid w:val="05235AF5"/>
    <w:rsid w:val="05585F1B"/>
    <w:rsid w:val="05826B48"/>
    <w:rsid w:val="05AAF708"/>
    <w:rsid w:val="05CE73B8"/>
    <w:rsid w:val="05CFCC8B"/>
    <w:rsid w:val="05F4B22D"/>
    <w:rsid w:val="06058AE2"/>
    <w:rsid w:val="064DC36A"/>
    <w:rsid w:val="06AFE40C"/>
    <w:rsid w:val="06D95625"/>
    <w:rsid w:val="071C0619"/>
    <w:rsid w:val="07217490"/>
    <w:rsid w:val="0737F48A"/>
    <w:rsid w:val="074F3935"/>
    <w:rsid w:val="07E00E19"/>
    <w:rsid w:val="08559C22"/>
    <w:rsid w:val="08B470DE"/>
    <w:rsid w:val="08BCBA8F"/>
    <w:rsid w:val="08BDDB02"/>
    <w:rsid w:val="08BFE144"/>
    <w:rsid w:val="08C2FFC1"/>
    <w:rsid w:val="090B37EC"/>
    <w:rsid w:val="092E7DD1"/>
    <w:rsid w:val="093E784F"/>
    <w:rsid w:val="0974F861"/>
    <w:rsid w:val="0A2062B5"/>
    <w:rsid w:val="0A463290"/>
    <w:rsid w:val="0A60D457"/>
    <w:rsid w:val="0A99E425"/>
    <w:rsid w:val="0AD4360D"/>
    <w:rsid w:val="0AECFF8A"/>
    <w:rsid w:val="0B2C0C9B"/>
    <w:rsid w:val="0B5906B5"/>
    <w:rsid w:val="0BBA2617"/>
    <w:rsid w:val="0C089640"/>
    <w:rsid w:val="0C28E917"/>
    <w:rsid w:val="0C9F6F3A"/>
    <w:rsid w:val="0CE1DA16"/>
    <w:rsid w:val="0CF8B3DA"/>
    <w:rsid w:val="0D3C9C2D"/>
    <w:rsid w:val="0D737E36"/>
    <w:rsid w:val="0DEBC228"/>
    <w:rsid w:val="0E0DB29B"/>
    <w:rsid w:val="0E25DDDA"/>
    <w:rsid w:val="0E2DEAA2"/>
    <w:rsid w:val="0EF23762"/>
    <w:rsid w:val="0F0ABEB9"/>
    <w:rsid w:val="10189A1E"/>
    <w:rsid w:val="107A1203"/>
    <w:rsid w:val="1084A213"/>
    <w:rsid w:val="10AB3836"/>
    <w:rsid w:val="112AEF97"/>
    <w:rsid w:val="115ED62A"/>
    <w:rsid w:val="1214E0B8"/>
    <w:rsid w:val="12E82548"/>
    <w:rsid w:val="1333DF9D"/>
    <w:rsid w:val="1383F557"/>
    <w:rsid w:val="13A39D17"/>
    <w:rsid w:val="13B262D7"/>
    <w:rsid w:val="13DE52B5"/>
    <w:rsid w:val="13E6EB02"/>
    <w:rsid w:val="1441C34A"/>
    <w:rsid w:val="1442C8FD"/>
    <w:rsid w:val="14472798"/>
    <w:rsid w:val="14563CEA"/>
    <w:rsid w:val="146DD7E1"/>
    <w:rsid w:val="14B37B9A"/>
    <w:rsid w:val="14BE0AE8"/>
    <w:rsid w:val="14C894FE"/>
    <w:rsid w:val="15022A50"/>
    <w:rsid w:val="1545316A"/>
    <w:rsid w:val="1546260E"/>
    <w:rsid w:val="15A2A0E2"/>
    <w:rsid w:val="15E0C158"/>
    <w:rsid w:val="15EB3BB2"/>
    <w:rsid w:val="15EDE5DE"/>
    <w:rsid w:val="15F6DFE8"/>
    <w:rsid w:val="165438EC"/>
    <w:rsid w:val="167AE1AF"/>
    <w:rsid w:val="16901557"/>
    <w:rsid w:val="16C058EF"/>
    <w:rsid w:val="173D0C7A"/>
    <w:rsid w:val="173FF03F"/>
    <w:rsid w:val="175FF970"/>
    <w:rsid w:val="1775BE38"/>
    <w:rsid w:val="178D50D5"/>
    <w:rsid w:val="17DA13FA"/>
    <w:rsid w:val="17E02CCD"/>
    <w:rsid w:val="17F2EB65"/>
    <w:rsid w:val="17FE27FE"/>
    <w:rsid w:val="181AC2C6"/>
    <w:rsid w:val="182E39AF"/>
    <w:rsid w:val="18A16787"/>
    <w:rsid w:val="18A23F96"/>
    <w:rsid w:val="18C331DE"/>
    <w:rsid w:val="18D123B8"/>
    <w:rsid w:val="18E656D6"/>
    <w:rsid w:val="18FCFA05"/>
    <w:rsid w:val="19630304"/>
    <w:rsid w:val="198611D7"/>
    <w:rsid w:val="19AB5F79"/>
    <w:rsid w:val="19B357DB"/>
    <w:rsid w:val="19B3F2B2"/>
    <w:rsid w:val="19BADB7B"/>
    <w:rsid w:val="19CF05DA"/>
    <w:rsid w:val="19DDFC44"/>
    <w:rsid w:val="1A5D31C0"/>
    <w:rsid w:val="1A82CE91"/>
    <w:rsid w:val="1AB8985A"/>
    <w:rsid w:val="1AD9D827"/>
    <w:rsid w:val="1AEC71A4"/>
    <w:rsid w:val="1AF964A0"/>
    <w:rsid w:val="1AFCED49"/>
    <w:rsid w:val="1B7C6911"/>
    <w:rsid w:val="1BB9338B"/>
    <w:rsid w:val="1BCAFDAC"/>
    <w:rsid w:val="1BEECD7D"/>
    <w:rsid w:val="1C013D97"/>
    <w:rsid w:val="1C1019EF"/>
    <w:rsid w:val="1C50ABA2"/>
    <w:rsid w:val="1C85A835"/>
    <w:rsid w:val="1CB0E443"/>
    <w:rsid w:val="1CC995DB"/>
    <w:rsid w:val="1CCF7DB7"/>
    <w:rsid w:val="1CE53821"/>
    <w:rsid w:val="1D0AFA01"/>
    <w:rsid w:val="1D23F473"/>
    <w:rsid w:val="1D435A6B"/>
    <w:rsid w:val="1D43A3B1"/>
    <w:rsid w:val="1D7EC72E"/>
    <w:rsid w:val="1D8ED08A"/>
    <w:rsid w:val="1DA6A683"/>
    <w:rsid w:val="1E055B59"/>
    <w:rsid w:val="1E17E8ED"/>
    <w:rsid w:val="1E7ADAE0"/>
    <w:rsid w:val="1E8FD997"/>
    <w:rsid w:val="1EB5D2D2"/>
    <w:rsid w:val="1EB5EF1D"/>
    <w:rsid w:val="1EC207AE"/>
    <w:rsid w:val="1EE02B4B"/>
    <w:rsid w:val="1EE72B6C"/>
    <w:rsid w:val="1F08A082"/>
    <w:rsid w:val="1F08BF2F"/>
    <w:rsid w:val="1F11EFD8"/>
    <w:rsid w:val="1F18D4B2"/>
    <w:rsid w:val="1F46A986"/>
    <w:rsid w:val="1F4F72E7"/>
    <w:rsid w:val="1F5F7A22"/>
    <w:rsid w:val="1F6AE195"/>
    <w:rsid w:val="1FA8C71B"/>
    <w:rsid w:val="1FC4989F"/>
    <w:rsid w:val="202A0095"/>
    <w:rsid w:val="206F90BB"/>
    <w:rsid w:val="2092F90E"/>
    <w:rsid w:val="209C768E"/>
    <w:rsid w:val="20B280DD"/>
    <w:rsid w:val="20C447FA"/>
    <w:rsid w:val="20C7FBAE"/>
    <w:rsid w:val="20D39EEE"/>
    <w:rsid w:val="21089C64"/>
    <w:rsid w:val="210D350A"/>
    <w:rsid w:val="21524F87"/>
    <w:rsid w:val="21627D3E"/>
    <w:rsid w:val="218D2A99"/>
    <w:rsid w:val="21D815E6"/>
    <w:rsid w:val="21F497EB"/>
    <w:rsid w:val="221D89F2"/>
    <w:rsid w:val="224BD1B5"/>
    <w:rsid w:val="22702436"/>
    <w:rsid w:val="227AF040"/>
    <w:rsid w:val="22F104B3"/>
    <w:rsid w:val="23220A31"/>
    <w:rsid w:val="23AF5E52"/>
    <w:rsid w:val="23E54EE2"/>
    <w:rsid w:val="2474B754"/>
    <w:rsid w:val="25EA9F1A"/>
    <w:rsid w:val="25FCE2AD"/>
    <w:rsid w:val="26071668"/>
    <w:rsid w:val="2638CDAD"/>
    <w:rsid w:val="2664DE9C"/>
    <w:rsid w:val="266A5386"/>
    <w:rsid w:val="26E31A3E"/>
    <w:rsid w:val="27035FD5"/>
    <w:rsid w:val="27409858"/>
    <w:rsid w:val="27C8511D"/>
    <w:rsid w:val="2812F8B4"/>
    <w:rsid w:val="28785194"/>
    <w:rsid w:val="28BBD0F3"/>
    <w:rsid w:val="28DB6D85"/>
    <w:rsid w:val="28F783D3"/>
    <w:rsid w:val="28FD4128"/>
    <w:rsid w:val="29020B23"/>
    <w:rsid w:val="291FA335"/>
    <w:rsid w:val="292F0090"/>
    <w:rsid w:val="297D5E34"/>
    <w:rsid w:val="2995BFE2"/>
    <w:rsid w:val="29E3E467"/>
    <w:rsid w:val="29EABFF4"/>
    <w:rsid w:val="2A327A98"/>
    <w:rsid w:val="2A3D6967"/>
    <w:rsid w:val="2A7C618D"/>
    <w:rsid w:val="2AA4D262"/>
    <w:rsid w:val="2AF9A9DD"/>
    <w:rsid w:val="2B1E11C8"/>
    <w:rsid w:val="2B3A1665"/>
    <w:rsid w:val="2B4F593F"/>
    <w:rsid w:val="2B82462E"/>
    <w:rsid w:val="2B84BFF5"/>
    <w:rsid w:val="2BA75EA0"/>
    <w:rsid w:val="2BAC4AA1"/>
    <w:rsid w:val="2BBF5742"/>
    <w:rsid w:val="2BCB20E6"/>
    <w:rsid w:val="2BF0052C"/>
    <w:rsid w:val="2BFAC88F"/>
    <w:rsid w:val="2C0680EE"/>
    <w:rsid w:val="2C1ADD59"/>
    <w:rsid w:val="2C4DF237"/>
    <w:rsid w:val="2C4F7D9A"/>
    <w:rsid w:val="2CBF80EA"/>
    <w:rsid w:val="2D17CA88"/>
    <w:rsid w:val="2D237DA7"/>
    <w:rsid w:val="2D276389"/>
    <w:rsid w:val="2D42BAC5"/>
    <w:rsid w:val="2D4AA001"/>
    <w:rsid w:val="2D74CB16"/>
    <w:rsid w:val="2E249827"/>
    <w:rsid w:val="2E249FF4"/>
    <w:rsid w:val="2E46B515"/>
    <w:rsid w:val="2E6B570A"/>
    <w:rsid w:val="2F3BC36B"/>
    <w:rsid w:val="2F429C9A"/>
    <w:rsid w:val="2F6B83CB"/>
    <w:rsid w:val="2F7F3CC9"/>
    <w:rsid w:val="2F9758C4"/>
    <w:rsid w:val="304F54F5"/>
    <w:rsid w:val="30751FD8"/>
    <w:rsid w:val="3076FF0E"/>
    <w:rsid w:val="30A1C177"/>
    <w:rsid w:val="30C54FF4"/>
    <w:rsid w:val="30D03071"/>
    <w:rsid w:val="3157B160"/>
    <w:rsid w:val="315A4C8A"/>
    <w:rsid w:val="317D2A7D"/>
    <w:rsid w:val="31A23E10"/>
    <w:rsid w:val="31C83A37"/>
    <w:rsid w:val="31F92C5F"/>
    <w:rsid w:val="3235C72C"/>
    <w:rsid w:val="327B2240"/>
    <w:rsid w:val="3280C125"/>
    <w:rsid w:val="32835C10"/>
    <w:rsid w:val="328A8CD4"/>
    <w:rsid w:val="32BC3C3C"/>
    <w:rsid w:val="330498F2"/>
    <w:rsid w:val="3312CDA9"/>
    <w:rsid w:val="33305D7D"/>
    <w:rsid w:val="334DD10B"/>
    <w:rsid w:val="336E84F9"/>
    <w:rsid w:val="337082BC"/>
    <w:rsid w:val="338D4692"/>
    <w:rsid w:val="33C65BEF"/>
    <w:rsid w:val="33CBCC8C"/>
    <w:rsid w:val="33CE9CA0"/>
    <w:rsid w:val="345C11D4"/>
    <w:rsid w:val="34A7EB4B"/>
    <w:rsid w:val="34BCFDAA"/>
    <w:rsid w:val="34CA83FC"/>
    <w:rsid w:val="34CE5561"/>
    <w:rsid w:val="35067ADA"/>
    <w:rsid w:val="3508D404"/>
    <w:rsid w:val="3540EB94"/>
    <w:rsid w:val="3597ACD1"/>
    <w:rsid w:val="35BFF16A"/>
    <w:rsid w:val="35ECC052"/>
    <w:rsid w:val="362C126B"/>
    <w:rsid w:val="36968C79"/>
    <w:rsid w:val="36BFA7C5"/>
    <w:rsid w:val="36DE8F94"/>
    <w:rsid w:val="36E38D5C"/>
    <w:rsid w:val="36F3A297"/>
    <w:rsid w:val="370684C9"/>
    <w:rsid w:val="37265209"/>
    <w:rsid w:val="375DD0E6"/>
    <w:rsid w:val="3788DF5D"/>
    <w:rsid w:val="37D9AA52"/>
    <w:rsid w:val="37E8D96F"/>
    <w:rsid w:val="37F6C190"/>
    <w:rsid w:val="381A1F63"/>
    <w:rsid w:val="383E587D"/>
    <w:rsid w:val="3855F95D"/>
    <w:rsid w:val="387564B7"/>
    <w:rsid w:val="3876C822"/>
    <w:rsid w:val="38868DBE"/>
    <w:rsid w:val="38A08D7F"/>
    <w:rsid w:val="39656858"/>
    <w:rsid w:val="39769C43"/>
    <w:rsid w:val="39A5DB84"/>
    <w:rsid w:val="3A14C7BC"/>
    <w:rsid w:val="3A404D41"/>
    <w:rsid w:val="3A58759E"/>
    <w:rsid w:val="3B1A3A47"/>
    <w:rsid w:val="3B1B9542"/>
    <w:rsid w:val="3B332BA5"/>
    <w:rsid w:val="3B5013F8"/>
    <w:rsid w:val="3BA9C8C2"/>
    <w:rsid w:val="3BAF1C85"/>
    <w:rsid w:val="3BB1C033"/>
    <w:rsid w:val="3BD104E5"/>
    <w:rsid w:val="3C214DA7"/>
    <w:rsid w:val="3C2F373E"/>
    <w:rsid w:val="3C604959"/>
    <w:rsid w:val="3C6A2CE5"/>
    <w:rsid w:val="3CE28B0E"/>
    <w:rsid w:val="3D1DE88D"/>
    <w:rsid w:val="3D71E409"/>
    <w:rsid w:val="3D720776"/>
    <w:rsid w:val="3D978CA0"/>
    <w:rsid w:val="3E1B6B4B"/>
    <w:rsid w:val="3E34338F"/>
    <w:rsid w:val="3E644DF2"/>
    <w:rsid w:val="3E6E67BD"/>
    <w:rsid w:val="3E9AFA18"/>
    <w:rsid w:val="3ED26A7A"/>
    <w:rsid w:val="3F1716E7"/>
    <w:rsid w:val="3FB3B0CB"/>
    <w:rsid w:val="3FCCA16E"/>
    <w:rsid w:val="3FD512BF"/>
    <w:rsid w:val="401914F7"/>
    <w:rsid w:val="4029335A"/>
    <w:rsid w:val="402B8DC7"/>
    <w:rsid w:val="40993252"/>
    <w:rsid w:val="40A467A5"/>
    <w:rsid w:val="40A4D877"/>
    <w:rsid w:val="40D49B2B"/>
    <w:rsid w:val="411F99B5"/>
    <w:rsid w:val="423E44A6"/>
    <w:rsid w:val="427D0B5E"/>
    <w:rsid w:val="429A7529"/>
    <w:rsid w:val="429A8706"/>
    <w:rsid w:val="42D26B76"/>
    <w:rsid w:val="42EB6FAE"/>
    <w:rsid w:val="42FDDEED"/>
    <w:rsid w:val="431DEA01"/>
    <w:rsid w:val="435D81E2"/>
    <w:rsid w:val="4360B0F7"/>
    <w:rsid w:val="43693CC9"/>
    <w:rsid w:val="43C6DD14"/>
    <w:rsid w:val="43DFA8C5"/>
    <w:rsid w:val="4452CF4B"/>
    <w:rsid w:val="4471EB1F"/>
    <w:rsid w:val="453A4E23"/>
    <w:rsid w:val="45574D4E"/>
    <w:rsid w:val="45612A59"/>
    <w:rsid w:val="4565CF95"/>
    <w:rsid w:val="45865A23"/>
    <w:rsid w:val="458CF486"/>
    <w:rsid w:val="45A99D09"/>
    <w:rsid w:val="45C7E68F"/>
    <w:rsid w:val="45E053F4"/>
    <w:rsid w:val="460BDFDA"/>
    <w:rsid w:val="46910DFA"/>
    <w:rsid w:val="46C05305"/>
    <w:rsid w:val="46CD9C5F"/>
    <w:rsid w:val="46EBB13B"/>
    <w:rsid w:val="4743E633"/>
    <w:rsid w:val="47552A31"/>
    <w:rsid w:val="4786D25A"/>
    <w:rsid w:val="4788B841"/>
    <w:rsid w:val="478A4DEB"/>
    <w:rsid w:val="47979891"/>
    <w:rsid w:val="47D3B767"/>
    <w:rsid w:val="47E1E412"/>
    <w:rsid w:val="47FF5376"/>
    <w:rsid w:val="480A6805"/>
    <w:rsid w:val="485D7D98"/>
    <w:rsid w:val="48D04322"/>
    <w:rsid w:val="48DA2800"/>
    <w:rsid w:val="48EBCE6B"/>
    <w:rsid w:val="49173CEB"/>
    <w:rsid w:val="493288F3"/>
    <w:rsid w:val="49642202"/>
    <w:rsid w:val="496B87F3"/>
    <w:rsid w:val="49899BDF"/>
    <w:rsid w:val="499351DC"/>
    <w:rsid w:val="49AC5DEA"/>
    <w:rsid w:val="49F759E9"/>
    <w:rsid w:val="4A06B53F"/>
    <w:rsid w:val="4A099D8A"/>
    <w:rsid w:val="4A4514D7"/>
    <w:rsid w:val="4A455F35"/>
    <w:rsid w:val="4A55C1C3"/>
    <w:rsid w:val="4A5CA357"/>
    <w:rsid w:val="4A95DDD7"/>
    <w:rsid w:val="4AD0BE07"/>
    <w:rsid w:val="4B18DE61"/>
    <w:rsid w:val="4B3432CE"/>
    <w:rsid w:val="4B440475"/>
    <w:rsid w:val="4B63AE4D"/>
    <w:rsid w:val="4B6C5787"/>
    <w:rsid w:val="4BB8EBE7"/>
    <w:rsid w:val="4BC4F270"/>
    <w:rsid w:val="4BC8AAE0"/>
    <w:rsid w:val="4BEAA746"/>
    <w:rsid w:val="4BF46C1A"/>
    <w:rsid w:val="4C05EBAE"/>
    <w:rsid w:val="4C254D69"/>
    <w:rsid w:val="4C2F4DD2"/>
    <w:rsid w:val="4C30D454"/>
    <w:rsid w:val="4C3C997A"/>
    <w:rsid w:val="4C3F9C51"/>
    <w:rsid w:val="4C760DF0"/>
    <w:rsid w:val="4CBD2048"/>
    <w:rsid w:val="4CBE1AFD"/>
    <w:rsid w:val="4D0924C0"/>
    <w:rsid w:val="4D14AC24"/>
    <w:rsid w:val="4D15A1F9"/>
    <w:rsid w:val="4D1A865C"/>
    <w:rsid w:val="4D716080"/>
    <w:rsid w:val="4D78211C"/>
    <w:rsid w:val="4DB9C800"/>
    <w:rsid w:val="4E658B98"/>
    <w:rsid w:val="4E974168"/>
    <w:rsid w:val="4E9B5887"/>
    <w:rsid w:val="4E9FB2B5"/>
    <w:rsid w:val="4EC00011"/>
    <w:rsid w:val="4F328D2F"/>
    <w:rsid w:val="4F41D0FF"/>
    <w:rsid w:val="4F9C3920"/>
    <w:rsid w:val="4FB6D54E"/>
    <w:rsid w:val="4FCCA17E"/>
    <w:rsid w:val="503FD9D7"/>
    <w:rsid w:val="504B7BAE"/>
    <w:rsid w:val="505A2067"/>
    <w:rsid w:val="505C2309"/>
    <w:rsid w:val="50C064DE"/>
    <w:rsid w:val="50D5BB1F"/>
    <w:rsid w:val="50EEBB1D"/>
    <w:rsid w:val="5143D4C2"/>
    <w:rsid w:val="51CB7AA8"/>
    <w:rsid w:val="51EB7BC5"/>
    <w:rsid w:val="52921BD6"/>
    <w:rsid w:val="52B8E1BE"/>
    <w:rsid w:val="52C9C0A5"/>
    <w:rsid w:val="52CFDB2C"/>
    <w:rsid w:val="53161AD1"/>
    <w:rsid w:val="533D3AD2"/>
    <w:rsid w:val="534F7C58"/>
    <w:rsid w:val="53523BA9"/>
    <w:rsid w:val="5381A5DD"/>
    <w:rsid w:val="5386C15C"/>
    <w:rsid w:val="53A3FE55"/>
    <w:rsid w:val="543D84F8"/>
    <w:rsid w:val="54593950"/>
    <w:rsid w:val="5479EABD"/>
    <w:rsid w:val="5490A2AD"/>
    <w:rsid w:val="54B03070"/>
    <w:rsid w:val="55012F9A"/>
    <w:rsid w:val="5515F6C0"/>
    <w:rsid w:val="559751B4"/>
    <w:rsid w:val="559F69D4"/>
    <w:rsid w:val="55B415C9"/>
    <w:rsid w:val="55D627F1"/>
    <w:rsid w:val="5610452F"/>
    <w:rsid w:val="563D3C40"/>
    <w:rsid w:val="563EB9BE"/>
    <w:rsid w:val="5650892B"/>
    <w:rsid w:val="565392C9"/>
    <w:rsid w:val="567AC170"/>
    <w:rsid w:val="56F938D8"/>
    <w:rsid w:val="576DD451"/>
    <w:rsid w:val="5786132E"/>
    <w:rsid w:val="57B5DAE1"/>
    <w:rsid w:val="57E8C92B"/>
    <w:rsid w:val="5801BEAD"/>
    <w:rsid w:val="584982A9"/>
    <w:rsid w:val="5850A050"/>
    <w:rsid w:val="585C85AD"/>
    <w:rsid w:val="588FEF2A"/>
    <w:rsid w:val="58B01383"/>
    <w:rsid w:val="58BD9991"/>
    <w:rsid w:val="58F882A0"/>
    <w:rsid w:val="5970D632"/>
    <w:rsid w:val="598CE506"/>
    <w:rsid w:val="59ABC474"/>
    <w:rsid w:val="59C19CFB"/>
    <w:rsid w:val="59C85E8A"/>
    <w:rsid w:val="5A1037D9"/>
    <w:rsid w:val="5A3342D8"/>
    <w:rsid w:val="5A3B826C"/>
    <w:rsid w:val="5A68E3B5"/>
    <w:rsid w:val="5A845AA0"/>
    <w:rsid w:val="5A8F1027"/>
    <w:rsid w:val="5AE48831"/>
    <w:rsid w:val="5AEDE37D"/>
    <w:rsid w:val="5B51D6F9"/>
    <w:rsid w:val="5B5FBD8D"/>
    <w:rsid w:val="5B806E6F"/>
    <w:rsid w:val="5BC1A79C"/>
    <w:rsid w:val="5BD7631B"/>
    <w:rsid w:val="5C04CB86"/>
    <w:rsid w:val="5C35F4E3"/>
    <w:rsid w:val="5C76CE97"/>
    <w:rsid w:val="5C7DEB94"/>
    <w:rsid w:val="5CECA041"/>
    <w:rsid w:val="5D008073"/>
    <w:rsid w:val="5D2176C8"/>
    <w:rsid w:val="5D770F01"/>
    <w:rsid w:val="5D8F3F6F"/>
    <w:rsid w:val="5DBF3FCD"/>
    <w:rsid w:val="5DF6ADA0"/>
    <w:rsid w:val="5E07228F"/>
    <w:rsid w:val="5E16A320"/>
    <w:rsid w:val="5E221D1C"/>
    <w:rsid w:val="5E4B1BD7"/>
    <w:rsid w:val="5E58B131"/>
    <w:rsid w:val="5E6AE987"/>
    <w:rsid w:val="5E9F959E"/>
    <w:rsid w:val="5F27A6A3"/>
    <w:rsid w:val="5F5CD9F1"/>
    <w:rsid w:val="5F630FB3"/>
    <w:rsid w:val="5F724510"/>
    <w:rsid w:val="5F76E7EC"/>
    <w:rsid w:val="5F96433F"/>
    <w:rsid w:val="5FDA8E02"/>
    <w:rsid w:val="5FE67B39"/>
    <w:rsid w:val="5FF9B921"/>
    <w:rsid w:val="60300C28"/>
    <w:rsid w:val="60A3A0AE"/>
    <w:rsid w:val="611CDE77"/>
    <w:rsid w:val="6135E840"/>
    <w:rsid w:val="614F9E41"/>
    <w:rsid w:val="61716D05"/>
    <w:rsid w:val="6191BE83"/>
    <w:rsid w:val="61B0DEDE"/>
    <w:rsid w:val="623BA8AB"/>
    <w:rsid w:val="62A1C061"/>
    <w:rsid w:val="62D8C1CE"/>
    <w:rsid w:val="63037EF7"/>
    <w:rsid w:val="63402EA9"/>
    <w:rsid w:val="634E04BB"/>
    <w:rsid w:val="6356C5AE"/>
    <w:rsid w:val="635DBD81"/>
    <w:rsid w:val="63615EAA"/>
    <w:rsid w:val="63BF7771"/>
    <w:rsid w:val="6427FCFB"/>
    <w:rsid w:val="6479C105"/>
    <w:rsid w:val="64C25F97"/>
    <w:rsid w:val="64F90046"/>
    <w:rsid w:val="651EE986"/>
    <w:rsid w:val="65D06D59"/>
    <w:rsid w:val="660507BE"/>
    <w:rsid w:val="6655B487"/>
    <w:rsid w:val="667A8105"/>
    <w:rsid w:val="6780F307"/>
    <w:rsid w:val="67AFD4CA"/>
    <w:rsid w:val="67E9CFCE"/>
    <w:rsid w:val="67FC398A"/>
    <w:rsid w:val="68347406"/>
    <w:rsid w:val="68638CD6"/>
    <w:rsid w:val="686C8879"/>
    <w:rsid w:val="68929EC4"/>
    <w:rsid w:val="68A43D82"/>
    <w:rsid w:val="68B75597"/>
    <w:rsid w:val="68FC8185"/>
    <w:rsid w:val="692F58CC"/>
    <w:rsid w:val="6968BB3F"/>
    <w:rsid w:val="697FA827"/>
    <w:rsid w:val="699ECE3B"/>
    <w:rsid w:val="69B3A78E"/>
    <w:rsid w:val="69E59A3B"/>
    <w:rsid w:val="6A0EA538"/>
    <w:rsid w:val="6A3D3D18"/>
    <w:rsid w:val="6A5D948C"/>
    <w:rsid w:val="6A64C620"/>
    <w:rsid w:val="6B2AE70E"/>
    <w:rsid w:val="6B5819AB"/>
    <w:rsid w:val="6B673610"/>
    <w:rsid w:val="6BDFC987"/>
    <w:rsid w:val="6BF6D514"/>
    <w:rsid w:val="6C0D5C5D"/>
    <w:rsid w:val="6C468F38"/>
    <w:rsid w:val="6C490AA9"/>
    <w:rsid w:val="6C58E1A7"/>
    <w:rsid w:val="6C74BA6E"/>
    <w:rsid w:val="6CA30712"/>
    <w:rsid w:val="6CAFBCB8"/>
    <w:rsid w:val="6D0C010C"/>
    <w:rsid w:val="6D19B059"/>
    <w:rsid w:val="6D4DE199"/>
    <w:rsid w:val="6D7BE2EF"/>
    <w:rsid w:val="6D8BD6E7"/>
    <w:rsid w:val="6D906EF6"/>
    <w:rsid w:val="6D908BA1"/>
    <w:rsid w:val="6DA44A83"/>
    <w:rsid w:val="6DAFFAD9"/>
    <w:rsid w:val="6DD280F7"/>
    <w:rsid w:val="6DEEE3C0"/>
    <w:rsid w:val="6DF3F951"/>
    <w:rsid w:val="6E10BFBB"/>
    <w:rsid w:val="6E65C13E"/>
    <w:rsid w:val="6E68D0AF"/>
    <w:rsid w:val="6E70D802"/>
    <w:rsid w:val="6E714F25"/>
    <w:rsid w:val="6EB2171C"/>
    <w:rsid w:val="6EE91C3F"/>
    <w:rsid w:val="6EED3D58"/>
    <w:rsid w:val="6F1E3081"/>
    <w:rsid w:val="6F1FFC86"/>
    <w:rsid w:val="6F4AD433"/>
    <w:rsid w:val="6F65A107"/>
    <w:rsid w:val="6F788F33"/>
    <w:rsid w:val="6F930BB4"/>
    <w:rsid w:val="6F97BAEE"/>
    <w:rsid w:val="707029FD"/>
    <w:rsid w:val="70799E4B"/>
    <w:rsid w:val="707E2BA5"/>
    <w:rsid w:val="70BEDBFD"/>
    <w:rsid w:val="711681C8"/>
    <w:rsid w:val="711B2721"/>
    <w:rsid w:val="71245680"/>
    <w:rsid w:val="712CDA3A"/>
    <w:rsid w:val="71BA98C0"/>
    <w:rsid w:val="71CB847D"/>
    <w:rsid w:val="72252A90"/>
    <w:rsid w:val="724F9A42"/>
    <w:rsid w:val="726FF802"/>
    <w:rsid w:val="728F757B"/>
    <w:rsid w:val="729DECE9"/>
    <w:rsid w:val="72CB0074"/>
    <w:rsid w:val="72CB070F"/>
    <w:rsid w:val="735319DB"/>
    <w:rsid w:val="73767231"/>
    <w:rsid w:val="737F2F45"/>
    <w:rsid w:val="737F4B34"/>
    <w:rsid w:val="73E3921E"/>
    <w:rsid w:val="73E5948E"/>
    <w:rsid w:val="74264B7E"/>
    <w:rsid w:val="74B7622E"/>
    <w:rsid w:val="74C91853"/>
    <w:rsid w:val="74CA6734"/>
    <w:rsid w:val="74EF7E1B"/>
    <w:rsid w:val="7559641C"/>
    <w:rsid w:val="7573BE34"/>
    <w:rsid w:val="757EC9B1"/>
    <w:rsid w:val="759C0EDD"/>
    <w:rsid w:val="75A66136"/>
    <w:rsid w:val="75AE7A4B"/>
    <w:rsid w:val="75CB7131"/>
    <w:rsid w:val="75EA7F2B"/>
    <w:rsid w:val="764805AD"/>
    <w:rsid w:val="76499F6E"/>
    <w:rsid w:val="7690AB84"/>
    <w:rsid w:val="769C930A"/>
    <w:rsid w:val="76AF0100"/>
    <w:rsid w:val="76B596EF"/>
    <w:rsid w:val="76F91977"/>
    <w:rsid w:val="773F5E9F"/>
    <w:rsid w:val="776D15CC"/>
    <w:rsid w:val="77862924"/>
    <w:rsid w:val="77AEB803"/>
    <w:rsid w:val="77B7CEAA"/>
    <w:rsid w:val="7885B1A5"/>
    <w:rsid w:val="78C8D97E"/>
    <w:rsid w:val="78C9B8D7"/>
    <w:rsid w:val="78D6E074"/>
    <w:rsid w:val="78F419B8"/>
    <w:rsid w:val="7910418B"/>
    <w:rsid w:val="7922FCE7"/>
    <w:rsid w:val="798CC6A5"/>
    <w:rsid w:val="799C30CF"/>
    <w:rsid w:val="79D7B425"/>
    <w:rsid w:val="7A137CBB"/>
    <w:rsid w:val="7A23AB56"/>
    <w:rsid w:val="7A568A7D"/>
    <w:rsid w:val="7A6C26E9"/>
    <w:rsid w:val="7A7E0725"/>
    <w:rsid w:val="7A7ED040"/>
    <w:rsid w:val="7A80373D"/>
    <w:rsid w:val="7AA5C1F0"/>
    <w:rsid w:val="7AC09EA0"/>
    <w:rsid w:val="7AE9714E"/>
    <w:rsid w:val="7B11D855"/>
    <w:rsid w:val="7B1BF0AB"/>
    <w:rsid w:val="7B5FF519"/>
    <w:rsid w:val="7B64FD98"/>
    <w:rsid w:val="7B756FF8"/>
    <w:rsid w:val="7B927CC0"/>
    <w:rsid w:val="7B9F88C7"/>
    <w:rsid w:val="7BB13CD6"/>
    <w:rsid w:val="7BC73820"/>
    <w:rsid w:val="7BD8B62B"/>
    <w:rsid w:val="7BE591BA"/>
    <w:rsid w:val="7BF1D718"/>
    <w:rsid w:val="7BFD91BC"/>
    <w:rsid w:val="7C08C6C5"/>
    <w:rsid w:val="7C11D4C9"/>
    <w:rsid w:val="7C220BE8"/>
    <w:rsid w:val="7C6D008B"/>
    <w:rsid w:val="7CB56E81"/>
    <w:rsid w:val="7CBFF095"/>
    <w:rsid w:val="7CFC6C26"/>
    <w:rsid w:val="7D2533C0"/>
    <w:rsid w:val="7D6BB038"/>
    <w:rsid w:val="7D82D156"/>
    <w:rsid w:val="7D82FC04"/>
    <w:rsid w:val="7D85D691"/>
    <w:rsid w:val="7DC55B2E"/>
    <w:rsid w:val="7DEF2ACC"/>
    <w:rsid w:val="7E5E512A"/>
    <w:rsid w:val="7E8EC441"/>
    <w:rsid w:val="7ED8CB72"/>
    <w:rsid w:val="7EDEF0B2"/>
    <w:rsid w:val="7F466A3E"/>
    <w:rsid w:val="7F8196B2"/>
    <w:rsid w:val="7FFDC8B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F114"/>
  <w15:chartTrackingRefBased/>
  <w15:docId w15:val="{A65A6D8B-188D-46E6-8D93-D7928D6E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66"/>
    <w:pPr>
      <w:spacing w:before="120" w:after="120" w:line="276" w:lineRule="auto"/>
    </w:pPr>
    <w:rPr>
      <w:rFonts w:ascii="Arial" w:hAnsi="Arial"/>
      <w:sz w:val="22"/>
    </w:rPr>
  </w:style>
  <w:style w:type="paragraph" w:styleId="Heading1">
    <w:name w:val="heading 1"/>
    <w:basedOn w:val="Normal"/>
    <w:next w:val="Normal"/>
    <w:link w:val="Heading1Char"/>
    <w:qFormat/>
    <w:rsid w:val="001F7637"/>
    <w:pPr>
      <w:keepNext/>
      <w:keepLines/>
      <w:numPr>
        <w:numId w:val="23"/>
      </w:numPr>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nhideWhenUsed/>
    <w:qFormat/>
    <w:rsid w:val="00BE6863"/>
    <w:pPr>
      <w:numPr>
        <w:ilvl w:val="1"/>
      </w:numPr>
      <w:spacing w:before="120" w:after="120" w:line="340" w:lineRule="atLeast"/>
      <w:outlineLvl w:val="1"/>
    </w:pPr>
    <w:rPr>
      <w:sz w:val="24"/>
      <w:szCs w:val="26"/>
    </w:rPr>
  </w:style>
  <w:style w:type="paragraph" w:styleId="Heading3">
    <w:name w:val="heading 3"/>
    <w:basedOn w:val="Heading2"/>
    <w:next w:val="Normal"/>
    <w:link w:val="Heading3Char"/>
    <w:unhideWhenUsed/>
    <w:qFormat/>
    <w:rsid w:val="00407AD1"/>
    <w:pPr>
      <w:numPr>
        <w:ilvl w:val="2"/>
      </w:numPr>
      <w:spacing w:line="280" w:lineRule="atLeast"/>
      <w:outlineLvl w:val="2"/>
    </w:pPr>
    <w:rPr>
      <w:szCs w:val="24"/>
    </w:rPr>
  </w:style>
  <w:style w:type="paragraph" w:styleId="Heading4">
    <w:name w:val="heading 4"/>
    <w:basedOn w:val="Heading3"/>
    <w:next w:val="Normal"/>
    <w:link w:val="Heading4Char"/>
    <w:uiPriority w:val="9"/>
    <w:unhideWhenUsed/>
    <w:qFormat/>
    <w:rsid w:val="00F64FDB"/>
    <w:pPr>
      <w:numPr>
        <w:ilvl w:val="3"/>
      </w:num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numPr>
        <w:ilvl w:val="4"/>
      </w:num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numPr>
        <w:ilvl w:val="5"/>
        <w:numId w:val="23"/>
      </w:numPr>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numPr>
        <w:ilvl w:val="6"/>
        <w:numId w:val="23"/>
      </w:numPr>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numPr>
        <w:ilvl w:val="7"/>
        <w:numId w:val="23"/>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numPr>
        <w:ilvl w:val="8"/>
        <w:numId w:val="23"/>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574127"/>
    <w:rPr>
      <w:rFonts w:ascii="Arial" w:hAnsi="Arial"/>
      <w:b/>
      <w:bCs/>
      <w:sz w:val="22"/>
    </w:rPr>
  </w:style>
  <w:style w:type="paragraph" w:styleId="Header">
    <w:name w:val="header"/>
    <w:basedOn w:val="Normal"/>
    <w:link w:val="HeaderChar"/>
    <w:unhideWhenUsed/>
    <w:qFormat/>
    <w:rsid w:val="00D560DC"/>
    <w:pPr>
      <w:spacing w:before="0" w:after="0"/>
    </w:pPr>
  </w:style>
  <w:style w:type="character" w:customStyle="1" w:styleId="HeaderChar">
    <w:name w:val="Header Char"/>
    <w:basedOn w:val="DefaultParagraphFont"/>
    <w:link w:val="Header"/>
    <w:rsid w:val="00D560DC"/>
    <w:rPr>
      <w:rFonts w:ascii="Arial" w:hAnsi="Arial"/>
    </w:rPr>
  </w:style>
  <w:style w:type="paragraph" w:styleId="Footer">
    <w:name w:val="footer"/>
    <w:basedOn w:val="Normal"/>
    <w:link w:val="FooterChar"/>
    <w:uiPriority w:val="99"/>
    <w:unhideWhenUsed/>
    <w:qFormat/>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qFormat/>
    <w:rsid w:val="00F64FDB"/>
    <w:pPr>
      <w:spacing w:before="0" w:after="320" w:line="560" w:lineRule="atLeast"/>
      <w:ind w:left="576" w:hanging="576"/>
    </w:pPr>
    <w:rPr>
      <w:color w:val="212A4C" w:themeColor="text2"/>
      <w:sz w:val="44"/>
      <w:szCs w:val="22"/>
    </w:rPr>
  </w:style>
  <w:style w:type="character" w:customStyle="1" w:styleId="SubtitleChar">
    <w:name w:val="Subtitle Char"/>
    <w:basedOn w:val="DefaultParagraphFont"/>
    <w:link w:val="Subtitle"/>
    <w:rsid w:val="00F64FDB"/>
    <w:rPr>
      <w:rFonts w:ascii="Arial" w:eastAsiaTheme="majorEastAsia" w:hAnsi="Arial" w:cstheme="majorBidi"/>
      <w:b/>
      <w:color w:val="212A4C" w:themeColor="text2"/>
      <w:sz w:val="44"/>
      <w:szCs w:val="22"/>
    </w:rPr>
  </w:style>
  <w:style w:type="paragraph" w:styleId="Title">
    <w:name w:val="Title"/>
    <w:next w:val="Normal"/>
    <w:link w:val="TitleChar"/>
    <w:qFormat/>
    <w:rsid w:val="0004758E"/>
    <w:pPr>
      <w:spacing w:before="0" w:after="0" w:line="240" w:lineRule="auto"/>
      <w:contextualSpacing/>
    </w:pPr>
    <w:rPr>
      <w:rFonts w:ascii="Arial" w:eastAsiaTheme="majorEastAsia" w:hAnsi="Arial" w:cstheme="majorBidi"/>
      <w:b/>
      <w:color w:val="3F4A75"/>
      <w:spacing w:val="-10"/>
      <w:kern w:val="28"/>
      <w:sz w:val="48"/>
      <w:szCs w:val="52"/>
      <w:lang w:eastAsia="en-US"/>
    </w:rPr>
  </w:style>
  <w:style w:type="character" w:customStyle="1" w:styleId="TitleChar">
    <w:name w:val="Title Char"/>
    <w:basedOn w:val="DefaultParagraphFont"/>
    <w:link w:val="Title"/>
    <w:rsid w:val="0004758E"/>
    <w:rPr>
      <w:rFonts w:ascii="Arial" w:eastAsiaTheme="majorEastAsia" w:hAnsi="Arial" w:cstheme="majorBidi"/>
      <w:b/>
      <w:color w:val="3F4A75"/>
      <w:spacing w:val="-10"/>
      <w:kern w:val="28"/>
      <w:sz w:val="48"/>
      <w:szCs w:val="52"/>
      <w:lang w:eastAsia="en-US"/>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rsid w:val="00BE6863"/>
    <w:rPr>
      <w:rFonts w:ascii="Arial" w:eastAsiaTheme="majorEastAsia" w:hAnsi="Arial" w:cstheme="majorBidi"/>
      <w:b/>
      <w:sz w:val="24"/>
      <w:szCs w:val="26"/>
    </w:rPr>
  </w:style>
  <w:style w:type="character" w:customStyle="1" w:styleId="Heading1Char">
    <w:name w:val="Heading 1 Char"/>
    <w:basedOn w:val="DefaultParagraphFont"/>
    <w:link w:val="Heading1"/>
    <w:rsid w:val="0004758E"/>
    <w:rPr>
      <w:rFonts w:ascii="Arial" w:eastAsiaTheme="majorEastAsia" w:hAnsi="Arial" w:cstheme="majorBidi"/>
      <w:b/>
      <w:sz w:val="32"/>
      <w:szCs w:val="32"/>
    </w:rPr>
  </w:style>
  <w:style w:type="character" w:customStyle="1" w:styleId="Heading3Char">
    <w:name w:val="Heading 3 Char"/>
    <w:basedOn w:val="DefaultParagraphFont"/>
    <w:link w:val="Heading3"/>
    <w:rsid w:val="00407AD1"/>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8A340B"/>
    <w:rPr>
      <w:rFonts w:ascii="Arial" w:eastAsiaTheme="majorEastAsia" w:hAnsi="Arial" w:cstheme="majorBidi"/>
      <w:iCs/>
      <w:color w:val="212A4C" w:themeColor="text2"/>
      <w:szCs w:val="24"/>
    </w:rPr>
  </w:style>
  <w:style w:type="paragraph" w:customStyle="1" w:styleId="Bullet1">
    <w:name w:val="Bullet 1"/>
    <w:basedOn w:val="Normal"/>
    <w:uiPriority w:val="2"/>
    <w:qFormat/>
    <w:rsid w:val="00061D6A"/>
    <w:pPr>
      <w:numPr>
        <w:numId w:val="2"/>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2"/>
      </w:numPr>
    </w:pPr>
  </w:style>
  <w:style w:type="paragraph" w:customStyle="1" w:styleId="NumberedList2">
    <w:name w:val="Numbered List 2"/>
    <w:basedOn w:val="Normal"/>
    <w:uiPriority w:val="2"/>
    <w:qFormat/>
    <w:rsid w:val="00574127"/>
    <w:pPr>
      <w:tabs>
        <w:tab w:val="num" w:pos="1440"/>
      </w:tabs>
      <w:spacing w:before="80"/>
      <w:ind w:left="1440" w:hanging="360"/>
    </w:pPr>
  </w:style>
  <w:style w:type="paragraph" w:customStyle="1" w:styleId="NumberedList3">
    <w:name w:val="Numbered List 3"/>
    <w:basedOn w:val="NumberedList2"/>
    <w:uiPriority w:val="2"/>
    <w:qFormat/>
    <w:rsid w:val="00F64FDB"/>
    <w:pPr>
      <w:tabs>
        <w:tab w:val="clear" w:pos="1440"/>
        <w:tab w:val="num" w:pos="2160"/>
      </w:tabs>
      <w:ind w:left="2160"/>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Arial" w:eastAsiaTheme="majorEastAsia" w:hAnsi="Arial" w:cstheme="majorBidi"/>
      <w:b/>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13"/>
      </w:numPr>
    </w:pPr>
  </w:style>
  <w:style w:type="table" w:styleId="TableGrid">
    <w:name w:val="Table Grid"/>
    <w:basedOn w:val="TableNormal"/>
    <w:uiPriority w:val="5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nhideWhenUsed/>
    <w:qFormat/>
    <w:rsid w:val="00E0199B"/>
    <w:pPr>
      <w:numPr>
        <w:numId w:val="3"/>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link w:val="NoSpacingChar"/>
    <w:uiPriority w:val="1"/>
    <w:qFormat/>
    <w:rsid w:val="00F62279"/>
    <w:pPr>
      <w:spacing w:before="0" w:after="0"/>
    </w:pPr>
    <w:rPr>
      <w:rFonts w:ascii="Arial" w:hAnsi="Arial"/>
    </w:rPr>
  </w:style>
  <w:style w:type="paragraph" w:styleId="TOCHeading">
    <w:name w:val="TOC Heading"/>
    <w:next w:val="Normal"/>
    <w:uiPriority w:val="39"/>
    <w:unhideWhenUsed/>
    <w:qFormat/>
    <w:rsid w:val="0004758E"/>
    <w:pPr>
      <w:spacing w:before="720"/>
    </w:pPr>
    <w:rPr>
      <w:rFonts w:ascii="Arial" w:eastAsiaTheme="majorEastAsia" w:hAnsi="Arial" w:cstheme="majorBidi"/>
      <w:b/>
      <w:sz w:val="32"/>
      <w:szCs w:val="32"/>
    </w:rPr>
  </w:style>
  <w:style w:type="paragraph" w:styleId="TOC1">
    <w:name w:val="toc 1"/>
    <w:basedOn w:val="Normal"/>
    <w:next w:val="Normal"/>
    <w:uiPriority w:val="39"/>
    <w:unhideWhenUsed/>
    <w:rsid w:val="0737F48A"/>
    <w:rPr>
      <w:b/>
      <w:bCs/>
      <w:u w:val="single"/>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qFormat/>
    <w:rsid w:val="0004758E"/>
    <w:rPr>
      <w:rFonts w:ascii="Arial" w:hAnsi="Arial"/>
      <w:color w:val="176CB5" w:themeColor="accent3"/>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2"/>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2"/>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customStyle="1" w:styleId="Guidelinessub">
    <w:name w:val="Guidelines sub"/>
    <w:basedOn w:val="Heading2"/>
    <w:link w:val="GuidelinessubChar"/>
    <w:qFormat/>
    <w:rsid w:val="00817CB4"/>
    <w:pPr>
      <w:spacing w:before="40" w:after="0" w:line="259" w:lineRule="auto"/>
      <w:ind w:left="720" w:hanging="720"/>
    </w:pPr>
    <w:rPr>
      <w:rFonts w:asciiTheme="minorHAnsi" w:hAnsiTheme="minorHAnsi"/>
      <w:bCs/>
      <w:color w:val="264F90" w:themeColor="accent2"/>
      <w:kern w:val="2"/>
      <w:sz w:val="28"/>
      <w:szCs w:val="28"/>
      <w:lang w:eastAsia="en-US"/>
      <w14:ligatures w14:val="standardContextual"/>
    </w:rPr>
  </w:style>
  <w:style w:type="paragraph" w:styleId="ListParagraph">
    <w:name w:val="List Paragraph"/>
    <w:aliases w:val="Bullet point,Recommendation,List Paragraph1,List Paragraph11,L,CV text,Table text,F5 List Paragraph,Dot pt,Colorful List - Accent 11,No Spacing1,List Paragraph Char Char Char,Indicator Text,Numbered Para 1,Bullet Points,1 heading"/>
    <w:basedOn w:val="Normal"/>
    <w:link w:val="ListParagraphChar"/>
    <w:uiPriority w:val="34"/>
    <w:qFormat/>
    <w:rsid w:val="00817CB4"/>
    <w:pPr>
      <w:spacing w:before="0" w:after="160" w:line="259" w:lineRule="auto"/>
      <w:ind w:left="720"/>
      <w:contextualSpacing/>
    </w:pPr>
    <w:rPr>
      <w:rFonts w:asciiTheme="minorHAnsi" w:eastAsiaTheme="minorHAnsi" w:hAnsiTheme="minorHAnsi" w:cs="Times New Roman"/>
      <w:color w:val="auto"/>
      <w:kern w:val="2"/>
      <w:szCs w:val="24"/>
      <w:lang w:eastAsia="en-US"/>
      <w14:ligatures w14:val="standardContextual"/>
    </w:rPr>
  </w:style>
  <w:style w:type="character" w:styleId="CommentReference">
    <w:name w:val="annotation reference"/>
    <w:basedOn w:val="DefaultParagraphFont"/>
    <w:uiPriority w:val="99"/>
    <w:semiHidden/>
    <w:unhideWhenUsed/>
    <w:rsid w:val="00817CB4"/>
    <w:rPr>
      <w:sz w:val="16"/>
      <w:szCs w:val="16"/>
    </w:rPr>
  </w:style>
  <w:style w:type="paragraph" w:styleId="CommentText">
    <w:name w:val="annotation text"/>
    <w:basedOn w:val="Normal"/>
    <w:link w:val="CommentTextChar"/>
    <w:uiPriority w:val="99"/>
    <w:unhideWhenUsed/>
    <w:rsid w:val="00817CB4"/>
    <w:pPr>
      <w:spacing w:before="0" w:after="160" w:line="240" w:lineRule="auto"/>
    </w:pPr>
    <w:rPr>
      <w:rFonts w:asciiTheme="minorHAnsi" w:eastAsiaTheme="minorHAnsi" w:hAnsiTheme="minorHAnsi" w:cs="Times New Roman"/>
      <w:color w:val="auto"/>
      <w:kern w:val="2"/>
      <w:sz w:val="20"/>
      <w:lang w:eastAsia="en-US"/>
      <w14:ligatures w14:val="standardContextual"/>
    </w:rPr>
  </w:style>
  <w:style w:type="character" w:customStyle="1" w:styleId="CommentTextChar">
    <w:name w:val="Comment Text Char"/>
    <w:basedOn w:val="DefaultParagraphFont"/>
    <w:link w:val="CommentText"/>
    <w:uiPriority w:val="99"/>
    <w:rsid w:val="00817CB4"/>
    <w:rPr>
      <w:rFonts w:eastAsiaTheme="minorHAnsi" w:cs="Times New Roman"/>
      <w:color w:val="auto"/>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817CB4"/>
    <w:rPr>
      <w:b/>
      <w:bCs/>
    </w:rPr>
  </w:style>
  <w:style w:type="character" w:customStyle="1" w:styleId="CommentSubjectChar">
    <w:name w:val="Comment Subject Char"/>
    <w:basedOn w:val="CommentTextChar"/>
    <w:link w:val="CommentSubject"/>
    <w:uiPriority w:val="99"/>
    <w:semiHidden/>
    <w:rsid w:val="00817CB4"/>
    <w:rPr>
      <w:rFonts w:eastAsiaTheme="minorHAnsi" w:cs="Times New Roman"/>
      <w:b/>
      <w:bCs/>
      <w:color w:val="auto"/>
      <w:kern w:val="2"/>
      <w:lang w:eastAsia="en-US"/>
      <w14:ligatures w14:val="standardContextual"/>
    </w:rPr>
  </w:style>
  <w:style w:type="paragraph" w:customStyle="1" w:styleId="Tablelistbullet">
    <w:name w:val="Table list bullet"/>
    <w:basedOn w:val="ListParagraph"/>
    <w:link w:val="TablelistbulletChar"/>
    <w:qFormat/>
    <w:rsid w:val="00877366"/>
    <w:pPr>
      <w:numPr>
        <w:numId w:val="18"/>
      </w:numPr>
      <w:spacing w:after="0" w:line="240" w:lineRule="auto"/>
      <w:textAlignment w:val="baseline"/>
    </w:pPr>
    <w:rPr>
      <w:rFonts w:ascii="Arial" w:hAnsi="Arial" w:cs="Arial"/>
      <w:szCs w:val="22"/>
    </w:rPr>
  </w:style>
  <w:style w:type="paragraph" w:styleId="NormalWeb">
    <w:name w:val="Normal (Web)"/>
    <w:basedOn w:val="Normal"/>
    <w:uiPriority w:val="99"/>
    <w:semiHidden/>
    <w:unhideWhenUsed/>
    <w:rsid w:val="00817CB4"/>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styleId="TOC3">
    <w:name w:val="toc 3"/>
    <w:basedOn w:val="Normal"/>
    <w:next w:val="Normal"/>
    <w:autoRedefine/>
    <w:uiPriority w:val="39"/>
    <w:unhideWhenUsed/>
    <w:rsid w:val="00817CB4"/>
    <w:pPr>
      <w:spacing w:before="0" w:after="0" w:line="259" w:lineRule="auto"/>
      <w:ind w:left="480"/>
    </w:pPr>
    <w:rPr>
      <w:rFonts w:asciiTheme="minorHAnsi" w:eastAsiaTheme="minorHAnsi" w:hAnsiTheme="minorHAnsi" w:cstheme="minorHAnsi"/>
      <w:i/>
      <w:iCs/>
      <w:color w:val="auto"/>
      <w:kern w:val="2"/>
      <w:sz w:val="20"/>
      <w:lang w:eastAsia="en-US"/>
      <w14:ligatures w14:val="standardContextual"/>
    </w:rPr>
  </w:style>
  <w:style w:type="paragraph" w:styleId="Revision">
    <w:name w:val="Revision"/>
    <w:hidden/>
    <w:uiPriority w:val="99"/>
    <w:semiHidden/>
    <w:rsid w:val="00817CB4"/>
    <w:pPr>
      <w:spacing w:before="0" w:after="0" w:line="240" w:lineRule="auto"/>
    </w:pPr>
    <w:rPr>
      <w:rFonts w:eastAsiaTheme="minorHAnsi" w:cs="Times New Roman"/>
      <w:color w:val="auto"/>
      <w:kern w:val="2"/>
      <w:sz w:val="24"/>
      <w:szCs w:val="24"/>
      <w:lang w:eastAsia="en-US"/>
      <w14:ligatures w14:val="standardContextual"/>
    </w:rPr>
  </w:style>
  <w:style w:type="paragraph" w:styleId="FootnoteText">
    <w:name w:val="footnote text"/>
    <w:basedOn w:val="Normal"/>
    <w:link w:val="FootnoteTextChar"/>
    <w:uiPriority w:val="99"/>
    <w:unhideWhenUsed/>
    <w:rsid w:val="00817CB4"/>
    <w:pPr>
      <w:spacing w:before="0" w:after="0" w:line="240" w:lineRule="auto"/>
    </w:pPr>
    <w:rPr>
      <w:rFonts w:asciiTheme="minorHAnsi" w:eastAsiaTheme="minorHAnsi" w:hAnsiTheme="minorHAnsi" w:cs="Times New Roman"/>
      <w:color w:val="auto"/>
      <w:kern w:val="2"/>
      <w:sz w:val="20"/>
      <w:lang w:eastAsia="en-US"/>
      <w14:ligatures w14:val="standardContextual"/>
    </w:rPr>
  </w:style>
  <w:style w:type="character" w:customStyle="1" w:styleId="FootnoteTextChar">
    <w:name w:val="Footnote Text Char"/>
    <w:basedOn w:val="DefaultParagraphFont"/>
    <w:link w:val="FootnoteText"/>
    <w:uiPriority w:val="99"/>
    <w:rsid w:val="00817CB4"/>
    <w:rPr>
      <w:rFonts w:eastAsiaTheme="minorHAnsi" w:cs="Times New Roman"/>
      <w:color w:val="auto"/>
      <w:kern w:val="2"/>
      <w:lang w:eastAsia="en-US"/>
      <w14:ligatures w14:val="standardContextual"/>
    </w:rPr>
  </w:style>
  <w:style w:type="character" w:styleId="FootnoteReference">
    <w:name w:val="footnote reference"/>
    <w:basedOn w:val="DefaultParagraphFont"/>
    <w:uiPriority w:val="99"/>
    <w:unhideWhenUsed/>
    <w:rsid w:val="00040ED1"/>
    <w:rPr>
      <w:b/>
      <w:color w:val="115087" w:themeColor="accent3" w:themeShade="BF"/>
      <w:vertAlign w:val="superscript"/>
    </w:rPr>
  </w:style>
  <w:style w:type="character" w:customStyle="1" w:styleId="TablelistbulletChar">
    <w:name w:val="Table list bullet Char"/>
    <w:basedOn w:val="ListParagraphChar"/>
    <w:link w:val="Tablelistbullet"/>
    <w:rsid w:val="00877366"/>
    <w:rPr>
      <w:rFonts w:ascii="Arial" w:eastAsiaTheme="minorHAnsi" w:hAnsi="Arial" w:cs="Arial"/>
      <w:color w:val="auto"/>
      <w:kern w:val="2"/>
      <w:sz w:val="22"/>
      <w:szCs w:val="22"/>
      <w:lang w:eastAsia="en-US"/>
      <w14:ligatures w14:val="standardContextual"/>
    </w:rPr>
  </w:style>
  <w:style w:type="character" w:customStyle="1" w:styleId="ListParagraphChar">
    <w:name w:val="List Paragraph Char"/>
    <w:aliases w:val="Bullet point Char,Recommendation Char,List Paragraph1 Char,List Paragraph11 Char,L Char,CV text Char,Table text Char,F5 List Paragraph Char,Dot pt Char,Colorful List - Accent 11 Char,No Spacing1 Char,Indicator Text Char"/>
    <w:basedOn w:val="DefaultParagraphFont"/>
    <w:link w:val="ListParagraph"/>
    <w:uiPriority w:val="34"/>
    <w:qFormat/>
    <w:rsid w:val="00817CB4"/>
    <w:rPr>
      <w:rFonts w:eastAsiaTheme="minorHAnsi" w:cs="Times New Roman"/>
      <w:color w:val="auto"/>
      <w:kern w:val="2"/>
      <w:sz w:val="24"/>
      <w:szCs w:val="24"/>
      <w:lang w:eastAsia="en-US"/>
      <w14:ligatures w14:val="standardContextual"/>
    </w:rPr>
  </w:style>
  <w:style w:type="paragraph" w:styleId="TOC4">
    <w:name w:val="toc 4"/>
    <w:basedOn w:val="Normal"/>
    <w:next w:val="Normal"/>
    <w:autoRedefine/>
    <w:uiPriority w:val="39"/>
    <w:unhideWhenUsed/>
    <w:rsid w:val="00817CB4"/>
    <w:pPr>
      <w:spacing w:before="0" w:after="0" w:line="259" w:lineRule="auto"/>
      <w:ind w:left="720"/>
    </w:pPr>
    <w:rPr>
      <w:rFonts w:asciiTheme="minorHAnsi" w:eastAsiaTheme="minorHAnsi" w:hAnsiTheme="minorHAnsi" w:cstheme="minorHAnsi"/>
      <w:color w:val="auto"/>
      <w:kern w:val="2"/>
      <w:sz w:val="18"/>
      <w:szCs w:val="18"/>
      <w:lang w:eastAsia="en-US"/>
      <w14:ligatures w14:val="standardContextual"/>
    </w:rPr>
  </w:style>
  <w:style w:type="paragraph" w:styleId="TOC5">
    <w:name w:val="toc 5"/>
    <w:basedOn w:val="Normal"/>
    <w:next w:val="Normal"/>
    <w:autoRedefine/>
    <w:uiPriority w:val="39"/>
    <w:unhideWhenUsed/>
    <w:rsid w:val="00817CB4"/>
    <w:pPr>
      <w:spacing w:before="0" w:after="0" w:line="259" w:lineRule="auto"/>
      <w:ind w:left="960"/>
    </w:pPr>
    <w:rPr>
      <w:rFonts w:asciiTheme="minorHAnsi" w:eastAsiaTheme="minorHAnsi" w:hAnsiTheme="minorHAnsi" w:cstheme="minorHAnsi"/>
      <w:color w:val="auto"/>
      <w:kern w:val="2"/>
      <w:sz w:val="18"/>
      <w:szCs w:val="18"/>
      <w:lang w:eastAsia="en-US"/>
      <w14:ligatures w14:val="standardContextual"/>
    </w:rPr>
  </w:style>
  <w:style w:type="paragraph" w:styleId="TOC6">
    <w:name w:val="toc 6"/>
    <w:basedOn w:val="Normal"/>
    <w:next w:val="Normal"/>
    <w:autoRedefine/>
    <w:uiPriority w:val="39"/>
    <w:unhideWhenUsed/>
    <w:rsid w:val="00817CB4"/>
    <w:pPr>
      <w:spacing w:before="0" w:after="0" w:line="259" w:lineRule="auto"/>
      <w:ind w:left="1200"/>
    </w:pPr>
    <w:rPr>
      <w:rFonts w:asciiTheme="minorHAnsi" w:eastAsiaTheme="minorHAnsi" w:hAnsiTheme="minorHAnsi" w:cstheme="minorHAnsi"/>
      <w:color w:val="auto"/>
      <w:kern w:val="2"/>
      <w:sz w:val="18"/>
      <w:szCs w:val="18"/>
      <w:lang w:eastAsia="en-US"/>
      <w14:ligatures w14:val="standardContextual"/>
    </w:rPr>
  </w:style>
  <w:style w:type="paragraph" w:styleId="TOC7">
    <w:name w:val="toc 7"/>
    <w:basedOn w:val="Normal"/>
    <w:next w:val="Normal"/>
    <w:autoRedefine/>
    <w:uiPriority w:val="39"/>
    <w:unhideWhenUsed/>
    <w:rsid w:val="00817CB4"/>
    <w:pPr>
      <w:spacing w:before="0" w:after="0" w:line="259" w:lineRule="auto"/>
      <w:ind w:left="1440"/>
    </w:pPr>
    <w:rPr>
      <w:rFonts w:asciiTheme="minorHAnsi" w:eastAsiaTheme="minorHAnsi" w:hAnsiTheme="minorHAnsi" w:cstheme="minorHAnsi"/>
      <w:color w:val="auto"/>
      <w:kern w:val="2"/>
      <w:sz w:val="18"/>
      <w:szCs w:val="18"/>
      <w:lang w:eastAsia="en-US"/>
      <w14:ligatures w14:val="standardContextual"/>
    </w:rPr>
  </w:style>
  <w:style w:type="paragraph" w:styleId="TOC8">
    <w:name w:val="toc 8"/>
    <w:basedOn w:val="Normal"/>
    <w:next w:val="Normal"/>
    <w:autoRedefine/>
    <w:uiPriority w:val="39"/>
    <w:unhideWhenUsed/>
    <w:rsid w:val="00817CB4"/>
    <w:pPr>
      <w:spacing w:before="0" w:after="0" w:line="259" w:lineRule="auto"/>
      <w:ind w:left="1680"/>
    </w:pPr>
    <w:rPr>
      <w:rFonts w:asciiTheme="minorHAnsi" w:eastAsiaTheme="minorHAnsi" w:hAnsiTheme="minorHAnsi" w:cstheme="minorHAnsi"/>
      <w:color w:val="auto"/>
      <w:kern w:val="2"/>
      <w:sz w:val="18"/>
      <w:szCs w:val="18"/>
      <w:lang w:eastAsia="en-US"/>
      <w14:ligatures w14:val="standardContextual"/>
    </w:rPr>
  </w:style>
  <w:style w:type="paragraph" w:styleId="TOC9">
    <w:name w:val="toc 9"/>
    <w:basedOn w:val="Normal"/>
    <w:next w:val="Normal"/>
    <w:autoRedefine/>
    <w:uiPriority w:val="39"/>
    <w:unhideWhenUsed/>
    <w:rsid w:val="00817CB4"/>
    <w:pPr>
      <w:spacing w:before="0" w:after="0" w:line="259" w:lineRule="auto"/>
      <w:ind w:left="1920"/>
    </w:pPr>
    <w:rPr>
      <w:rFonts w:asciiTheme="minorHAnsi" w:eastAsiaTheme="minorHAnsi" w:hAnsiTheme="minorHAnsi" w:cstheme="minorHAnsi"/>
      <w:color w:val="auto"/>
      <w:kern w:val="2"/>
      <w:sz w:val="18"/>
      <w:szCs w:val="18"/>
      <w:lang w:eastAsia="en-US"/>
      <w14:ligatures w14:val="standardContextual"/>
    </w:rPr>
  </w:style>
  <w:style w:type="paragraph" w:customStyle="1" w:styleId="GuidelinesHeading">
    <w:name w:val="Guidelines Heading"/>
    <w:basedOn w:val="Heading1"/>
    <w:link w:val="GuidelinesHeadingChar"/>
    <w:qFormat/>
    <w:rsid w:val="00817CB4"/>
    <w:pPr>
      <w:spacing w:before="240" w:after="0" w:line="259" w:lineRule="auto"/>
    </w:pPr>
    <w:rPr>
      <w:rFonts w:cstheme="minorHAnsi"/>
      <w:bCs/>
      <w:color w:val="212A4C" w:themeColor="accent1"/>
      <w:kern w:val="2"/>
      <w:sz w:val="28"/>
      <w:szCs w:val="28"/>
      <w:lang w:eastAsia="en-US"/>
      <w14:ligatures w14:val="standardContextual"/>
    </w:rPr>
  </w:style>
  <w:style w:type="character" w:customStyle="1" w:styleId="GuidelinesHeadingChar">
    <w:name w:val="Guidelines Heading Char"/>
    <w:basedOn w:val="Heading1Char"/>
    <w:link w:val="GuidelinesHeading"/>
    <w:rsid w:val="00817CB4"/>
    <w:rPr>
      <w:rFonts w:ascii="Arial" w:eastAsiaTheme="majorEastAsia" w:hAnsi="Arial" w:cstheme="minorHAnsi"/>
      <w:b/>
      <w:bCs/>
      <w:color w:val="212A4C" w:themeColor="accent1"/>
      <w:kern w:val="2"/>
      <w:sz w:val="28"/>
      <w:szCs w:val="28"/>
      <w:lang w:eastAsia="en-US"/>
      <w14:ligatures w14:val="standardContextual"/>
    </w:rPr>
  </w:style>
  <w:style w:type="paragraph" w:customStyle="1" w:styleId="Guidelines2">
    <w:name w:val="Guidelines 2"/>
    <w:basedOn w:val="Normal"/>
    <w:link w:val="Guidelines2Char"/>
    <w:qFormat/>
    <w:rsid w:val="00FC7110"/>
    <w:pPr>
      <w:spacing w:before="240" w:after="60" w:line="240" w:lineRule="auto"/>
      <w:ind w:left="792" w:hanging="432"/>
      <w:contextualSpacing/>
    </w:pPr>
    <w:rPr>
      <w:rFonts w:eastAsiaTheme="minorHAnsi" w:cs="Arial"/>
      <w:color w:val="358189"/>
      <w:kern w:val="2"/>
      <w:sz w:val="28"/>
      <w:szCs w:val="28"/>
      <w:lang w:eastAsia="en-US"/>
      <w14:ligatures w14:val="standardContextual"/>
    </w:rPr>
  </w:style>
  <w:style w:type="character" w:customStyle="1" w:styleId="Guidelines2Char">
    <w:name w:val="Guidelines 2 Char"/>
    <w:basedOn w:val="DefaultParagraphFont"/>
    <w:link w:val="Guidelines2"/>
    <w:rsid w:val="00FC7110"/>
    <w:rPr>
      <w:rFonts w:ascii="Arial" w:eastAsiaTheme="minorHAnsi" w:hAnsi="Arial" w:cs="Arial"/>
      <w:color w:val="358189"/>
      <w:kern w:val="2"/>
      <w:sz w:val="28"/>
      <w:szCs w:val="28"/>
      <w:lang w:eastAsia="en-US"/>
      <w14:ligatures w14:val="standardContextual"/>
    </w:rPr>
  </w:style>
  <w:style w:type="character" w:customStyle="1" w:styleId="GuidelinessubChar">
    <w:name w:val="Guidelines sub Char"/>
    <w:basedOn w:val="ListParagraphChar"/>
    <w:link w:val="Guidelinessub"/>
    <w:rsid w:val="00817CB4"/>
    <w:rPr>
      <w:rFonts w:eastAsiaTheme="majorEastAsia" w:cstheme="majorBidi"/>
      <w:b/>
      <w:bCs/>
      <w:color w:val="264F90" w:themeColor="accent2"/>
      <w:kern w:val="2"/>
      <w:sz w:val="28"/>
      <w:szCs w:val="28"/>
      <w:lang w:eastAsia="en-US"/>
      <w14:ligatures w14:val="standardContextual"/>
    </w:rPr>
  </w:style>
  <w:style w:type="paragraph" w:customStyle="1" w:styleId="Guidelinessub-sub">
    <w:name w:val="Guidelines sub-sub"/>
    <w:basedOn w:val="Heading3"/>
    <w:link w:val="Guidelinessub-subChar"/>
    <w:qFormat/>
    <w:rsid w:val="00817CB4"/>
    <w:pPr>
      <w:numPr>
        <w:numId w:val="5"/>
      </w:numPr>
      <w:spacing w:before="40" w:after="0" w:line="259" w:lineRule="auto"/>
    </w:pPr>
    <w:rPr>
      <w:b w:val="0"/>
      <w:color w:val="212A4C" w:themeColor="accent1"/>
      <w:kern w:val="2"/>
      <w:lang w:eastAsia="en-US"/>
      <w14:ligatures w14:val="standardContextual"/>
    </w:rPr>
  </w:style>
  <w:style w:type="character" w:customStyle="1" w:styleId="Guidelinessub-subChar">
    <w:name w:val="Guidelines sub-sub Char"/>
    <w:basedOn w:val="DefaultParagraphFont"/>
    <w:link w:val="Guidelinessub-sub"/>
    <w:rsid w:val="00FC7110"/>
    <w:rPr>
      <w:rFonts w:ascii="Arial" w:eastAsiaTheme="majorEastAsia" w:hAnsi="Arial" w:cstheme="majorBidi"/>
      <w:color w:val="212A4C" w:themeColor="accent1"/>
      <w:kern w:val="2"/>
      <w:sz w:val="24"/>
      <w:szCs w:val="24"/>
      <w:lang w:eastAsia="en-US"/>
      <w14:ligatures w14:val="standardContextual"/>
    </w:rPr>
  </w:style>
  <w:style w:type="paragraph" w:customStyle="1" w:styleId="Headingguidelines">
    <w:name w:val="Heading guidelines"/>
    <w:basedOn w:val="Heading1"/>
    <w:link w:val="HeadingguidelinesChar"/>
    <w:qFormat/>
    <w:rsid w:val="00817CB4"/>
    <w:pPr>
      <w:spacing w:before="240" w:after="0" w:line="259" w:lineRule="auto"/>
      <w:ind w:left="420" w:hanging="420"/>
    </w:pPr>
    <w:rPr>
      <w:rFonts w:eastAsia="Times New Roman" w:cs="Arial"/>
      <w:bCs/>
      <w:color w:val="3F4A75"/>
      <w:kern w:val="28"/>
      <w:sz w:val="36"/>
      <w:szCs w:val="28"/>
      <w:lang w:eastAsia="en-US"/>
    </w:rPr>
  </w:style>
  <w:style w:type="character" w:customStyle="1" w:styleId="HeadingguidelinesChar">
    <w:name w:val="Heading guidelines Char"/>
    <w:basedOn w:val="Heading1Char"/>
    <w:link w:val="Headingguidelines"/>
    <w:rsid w:val="00817CB4"/>
    <w:rPr>
      <w:rFonts w:ascii="Arial" w:eastAsia="Times New Roman" w:hAnsi="Arial" w:cs="Arial"/>
      <w:b/>
      <w:bCs/>
      <w:color w:val="3F4A75"/>
      <w:kern w:val="28"/>
      <w:sz w:val="36"/>
      <w:szCs w:val="28"/>
      <w:lang w:eastAsia="en-US"/>
    </w:rPr>
  </w:style>
  <w:style w:type="paragraph" w:customStyle="1" w:styleId="Subheading-Guidelines">
    <w:name w:val="Sub heading - Guidelines"/>
    <w:basedOn w:val="Heading2"/>
    <w:link w:val="Subheading-GuidelinesChar"/>
    <w:qFormat/>
    <w:rsid w:val="00817CB4"/>
    <w:pPr>
      <w:numPr>
        <w:numId w:val="4"/>
      </w:numPr>
      <w:spacing w:before="40" w:after="0" w:line="259" w:lineRule="auto"/>
    </w:pPr>
    <w:rPr>
      <w:b w:val="0"/>
      <w:bCs/>
      <w:color w:val="264F90" w:themeColor="accent2"/>
      <w:kern w:val="2"/>
      <w:sz w:val="28"/>
      <w:szCs w:val="28"/>
      <w:lang w:eastAsia="en-US"/>
      <w14:ligatures w14:val="standardContextual"/>
    </w:rPr>
  </w:style>
  <w:style w:type="character" w:customStyle="1" w:styleId="Subheading-GuidelinesChar">
    <w:name w:val="Sub heading - Guidelines Char"/>
    <w:basedOn w:val="GuidelinessubChar"/>
    <w:link w:val="Subheading-Guidelines"/>
    <w:rsid w:val="00817CB4"/>
    <w:rPr>
      <w:rFonts w:ascii="Arial" w:eastAsiaTheme="majorEastAsia" w:hAnsi="Arial" w:cstheme="majorBidi"/>
      <w:b w:val="0"/>
      <w:bCs/>
      <w:color w:val="264F90" w:themeColor="accent2"/>
      <w:kern w:val="2"/>
      <w:sz w:val="28"/>
      <w:szCs w:val="28"/>
      <w:lang w:eastAsia="en-US"/>
      <w14:ligatures w14:val="standardContextual"/>
    </w:rPr>
  </w:style>
  <w:style w:type="character" w:customStyle="1" w:styleId="StyleArial10pt">
    <w:name w:val="Style Arial 10 pt"/>
    <w:basedOn w:val="DefaultParagraphFont"/>
    <w:uiPriority w:val="99"/>
    <w:rsid w:val="00817CB4"/>
    <w:rPr>
      <w:rFonts w:ascii="Arial" w:hAnsi="Arial" w:cs="Arial" w:hint="default"/>
    </w:rPr>
  </w:style>
  <w:style w:type="character" w:styleId="Mention">
    <w:name w:val="Mention"/>
    <w:basedOn w:val="DefaultParagraphFont"/>
    <w:uiPriority w:val="99"/>
    <w:unhideWhenUsed/>
    <w:rsid w:val="00817CB4"/>
    <w:rPr>
      <w:color w:val="2B579A"/>
      <w:shd w:val="clear" w:color="auto" w:fill="E1DFDD"/>
    </w:rPr>
  </w:style>
  <w:style w:type="paragraph" w:customStyle="1" w:styleId="URL">
    <w:name w:val="URL"/>
    <w:basedOn w:val="Normal"/>
    <w:rsid w:val="00817CB4"/>
    <w:pPr>
      <w:spacing w:before="3120"/>
      <w:jc w:val="center"/>
    </w:pPr>
    <w:rPr>
      <w:rFonts w:eastAsia="Times New Roman" w:cs="Times New Roman"/>
      <w:b/>
      <w:bCs/>
      <w:lang w:eastAsia="en-US"/>
    </w:rPr>
  </w:style>
  <w:style w:type="character" w:customStyle="1" w:styleId="NoSpacingChar">
    <w:name w:val="No Spacing Char"/>
    <w:basedOn w:val="DefaultParagraphFont"/>
    <w:link w:val="NoSpacing"/>
    <w:uiPriority w:val="1"/>
    <w:rsid w:val="00817CB4"/>
    <w:rPr>
      <w:rFonts w:ascii="Arial" w:hAnsi="Arial"/>
    </w:rPr>
  </w:style>
  <w:style w:type="paragraph" w:customStyle="1" w:styleId="TableHeaderWhite">
    <w:name w:val="Table Header White"/>
    <w:basedOn w:val="Normal"/>
    <w:next w:val="Normal"/>
    <w:qFormat/>
    <w:rsid w:val="00817CB4"/>
    <w:pPr>
      <w:spacing w:before="80"/>
    </w:pPr>
    <w:rPr>
      <w:rFonts w:eastAsia="Cambria" w:cs="Times New Roman"/>
      <w:b/>
      <w:color w:val="FFFFFF" w:themeColor="background1"/>
      <w:szCs w:val="22"/>
      <w:lang w:val="en-US" w:eastAsia="en-US"/>
    </w:rPr>
  </w:style>
  <w:style w:type="paragraph" w:customStyle="1" w:styleId="Tabletextleft">
    <w:name w:val="Table text left"/>
    <w:autoRedefine/>
    <w:qFormat/>
    <w:locked/>
    <w:rsid w:val="00733FD8"/>
    <w:pPr>
      <w:spacing w:before="60" w:after="60" w:line="240" w:lineRule="auto"/>
    </w:pPr>
    <w:rPr>
      <w:rFonts w:ascii="Arial" w:eastAsia="Times New Roman" w:hAnsi="Arial" w:cs="Times New Roman"/>
      <w:sz w:val="22"/>
      <w:szCs w:val="22"/>
      <w:lang w:eastAsia="en-US"/>
    </w:rPr>
  </w:style>
  <w:style w:type="paragraph" w:customStyle="1" w:styleId="TableHeader">
    <w:name w:val="Table Header"/>
    <w:basedOn w:val="Normal"/>
    <w:next w:val="Tabletextleft"/>
    <w:qFormat/>
    <w:rsid w:val="00817CB4"/>
    <w:pPr>
      <w:spacing w:before="80"/>
    </w:pPr>
    <w:rPr>
      <w:rFonts w:eastAsia="Cambria" w:cs="Times New Roman"/>
      <w:b/>
      <w:color w:val="FFFFFF" w:themeColor="background1"/>
      <w:szCs w:val="22"/>
      <w:lang w:val="en-US" w:eastAsia="en-US"/>
    </w:rPr>
  </w:style>
  <w:style w:type="table" w:customStyle="1" w:styleId="DepartmentofHealthtable">
    <w:name w:val="Department of Health table"/>
    <w:basedOn w:val="TableNormal"/>
    <w:uiPriority w:val="99"/>
    <w:rsid w:val="00817CB4"/>
    <w:pPr>
      <w:spacing w:before="0" w:after="0" w:line="240" w:lineRule="auto"/>
    </w:pPr>
    <w:rPr>
      <w:rFonts w:ascii="Arial" w:eastAsia="Times New Roman" w:hAnsi="Arial" w:cs="Times New Roman"/>
      <w:sz w:val="21"/>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extright">
    <w:name w:val="Table text right"/>
    <w:basedOn w:val="Tabletextleft"/>
    <w:rsid w:val="00817CB4"/>
    <w:pPr>
      <w:jc w:val="right"/>
    </w:pPr>
  </w:style>
  <w:style w:type="paragraph" w:customStyle="1" w:styleId="Tabletextcentre">
    <w:name w:val="Table text centre"/>
    <w:basedOn w:val="Tabletextleft"/>
    <w:rsid w:val="00817CB4"/>
    <w:pPr>
      <w:jc w:val="center"/>
    </w:pPr>
  </w:style>
  <w:style w:type="paragraph" w:styleId="ListBullet2">
    <w:name w:val="List Bullet 2"/>
    <w:basedOn w:val="Normal"/>
    <w:uiPriority w:val="99"/>
    <w:unhideWhenUsed/>
    <w:rsid w:val="003748EA"/>
    <w:pPr>
      <w:numPr>
        <w:numId w:val="6"/>
      </w:numPr>
      <w:contextualSpacing/>
    </w:pPr>
  </w:style>
  <w:style w:type="paragraph" w:styleId="EndnoteText">
    <w:name w:val="endnote text"/>
    <w:basedOn w:val="Normal"/>
    <w:link w:val="EndnoteTextChar"/>
    <w:uiPriority w:val="99"/>
    <w:semiHidden/>
    <w:unhideWhenUsed/>
    <w:rsid w:val="00720630"/>
    <w:pPr>
      <w:spacing w:before="0" w:after="0" w:line="240" w:lineRule="auto"/>
    </w:pPr>
    <w:rPr>
      <w:sz w:val="20"/>
    </w:rPr>
  </w:style>
  <w:style w:type="character" w:customStyle="1" w:styleId="EndnoteTextChar">
    <w:name w:val="Endnote Text Char"/>
    <w:basedOn w:val="DefaultParagraphFont"/>
    <w:link w:val="EndnoteText"/>
    <w:uiPriority w:val="99"/>
    <w:semiHidden/>
    <w:rsid w:val="00720630"/>
    <w:rPr>
      <w:rFonts w:ascii="Arial" w:hAnsi="Arial"/>
    </w:rPr>
  </w:style>
  <w:style w:type="character" w:styleId="EndnoteReference">
    <w:name w:val="endnote reference"/>
    <w:basedOn w:val="DefaultParagraphFont"/>
    <w:uiPriority w:val="99"/>
    <w:semiHidden/>
    <w:unhideWhenUsed/>
    <w:rsid w:val="00720630"/>
    <w:rPr>
      <w:vertAlign w:val="superscript"/>
    </w:rPr>
  </w:style>
  <w:style w:type="character" w:customStyle="1" w:styleId="eop">
    <w:name w:val="eop"/>
    <w:basedOn w:val="DefaultParagraphFont"/>
    <w:rsid w:val="00AC46F1"/>
  </w:style>
  <w:style w:type="character" w:customStyle="1" w:styleId="superscript">
    <w:name w:val="superscript"/>
    <w:basedOn w:val="DefaultParagraphFont"/>
    <w:rsid w:val="005E1CB5"/>
  </w:style>
  <w:style w:type="table" w:styleId="GridTable1Light-Accent1">
    <w:name w:val="Grid Table 1 Light Accent 1"/>
    <w:basedOn w:val="TableNormal"/>
    <w:uiPriority w:val="46"/>
    <w:rsid w:val="00D139BC"/>
    <w:pPr>
      <w:spacing w:after="0" w:line="240" w:lineRule="auto"/>
    </w:pPr>
    <w:tblPr>
      <w:tblStyleRowBandSize w:val="1"/>
      <w:tblStyleColBandSize w:val="1"/>
      <w:tblBorders>
        <w:top w:val="single" w:sz="4" w:space="0" w:color="8F9CCE" w:themeColor="accent1" w:themeTint="66"/>
        <w:left w:val="single" w:sz="4" w:space="0" w:color="8F9CCE" w:themeColor="accent1" w:themeTint="66"/>
        <w:bottom w:val="single" w:sz="4" w:space="0" w:color="8F9CCE" w:themeColor="accent1" w:themeTint="66"/>
        <w:right w:val="single" w:sz="4" w:space="0" w:color="8F9CCE" w:themeColor="accent1" w:themeTint="66"/>
        <w:insideH w:val="single" w:sz="4" w:space="0" w:color="8F9CCE" w:themeColor="accent1" w:themeTint="66"/>
        <w:insideV w:val="single" w:sz="4" w:space="0" w:color="8F9CCE" w:themeColor="accent1" w:themeTint="66"/>
      </w:tblBorders>
    </w:tblPr>
    <w:tblStylePr w:type="firstRow">
      <w:rPr>
        <w:b/>
        <w:bCs/>
      </w:rPr>
      <w:tblPr/>
      <w:tcPr>
        <w:tcBorders>
          <w:bottom w:val="single" w:sz="12" w:space="0" w:color="576AB6" w:themeColor="accent1" w:themeTint="99"/>
        </w:tcBorders>
      </w:tcPr>
    </w:tblStylePr>
    <w:tblStylePr w:type="lastRow">
      <w:rPr>
        <w:b/>
        <w:bCs/>
      </w:rPr>
      <w:tblPr/>
      <w:tcPr>
        <w:tcBorders>
          <w:top w:val="double" w:sz="2" w:space="0" w:color="576AB6"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505">
      <w:bodyDiv w:val="1"/>
      <w:marLeft w:val="0"/>
      <w:marRight w:val="0"/>
      <w:marTop w:val="0"/>
      <w:marBottom w:val="0"/>
      <w:divBdr>
        <w:top w:val="none" w:sz="0" w:space="0" w:color="auto"/>
        <w:left w:val="none" w:sz="0" w:space="0" w:color="auto"/>
        <w:bottom w:val="none" w:sz="0" w:space="0" w:color="auto"/>
        <w:right w:val="none" w:sz="0" w:space="0" w:color="auto"/>
      </w:divBdr>
      <w:divsChild>
        <w:div w:id="183329867">
          <w:marLeft w:val="0"/>
          <w:marRight w:val="0"/>
          <w:marTop w:val="0"/>
          <w:marBottom w:val="0"/>
          <w:divBdr>
            <w:top w:val="none" w:sz="0" w:space="0" w:color="auto"/>
            <w:left w:val="none" w:sz="0" w:space="0" w:color="auto"/>
            <w:bottom w:val="none" w:sz="0" w:space="0" w:color="auto"/>
            <w:right w:val="none" w:sz="0" w:space="0" w:color="auto"/>
          </w:divBdr>
        </w:div>
        <w:div w:id="227545002">
          <w:marLeft w:val="0"/>
          <w:marRight w:val="0"/>
          <w:marTop w:val="0"/>
          <w:marBottom w:val="0"/>
          <w:divBdr>
            <w:top w:val="none" w:sz="0" w:space="0" w:color="auto"/>
            <w:left w:val="none" w:sz="0" w:space="0" w:color="auto"/>
            <w:bottom w:val="none" w:sz="0" w:space="0" w:color="auto"/>
            <w:right w:val="none" w:sz="0" w:space="0" w:color="auto"/>
          </w:divBdr>
        </w:div>
        <w:div w:id="283317856">
          <w:marLeft w:val="0"/>
          <w:marRight w:val="0"/>
          <w:marTop w:val="0"/>
          <w:marBottom w:val="0"/>
          <w:divBdr>
            <w:top w:val="none" w:sz="0" w:space="0" w:color="auto"/>
            <w:left w:val="none" w:sz="0" w:space="0" w:color="auto"/>
            <w:bottom w:val="none" w:sz="0" w:space="0" w:color="auto"/>
            <w:right w:val="none" w:sz="0" w:space="0" w:color="auto"/>
          </w:divBdr>
        </w:div>
        <w:div w:id="304743808">
          <w:marLeft w:val="0"/>
          <w:marRight w:val="0"/>
          <w:marTop w:val="0"/>
          <w:marBottom w:val="0"/>
          <w:divBdr>
            <w:top w:val="none" w:sz="0" w:space="0" w:color="auto"/>
            <w:left w:val="none" w:sz="0" w:space="0" w:color="auto"/>
            <w:bottom w:val="none" w:sz="0" w:space="0" w:color="auto"/>
            <w:right w:val="none" w:sz="0" w:space="0" w:color="auto"/>
          </w:divBdr>
        </w:div>
        <w:div w:id="912355943">
          <w:marLeft w:val="0"/>
          <w:marRight w:val="0"/>
          <w:marTop w:val="0"/>
          <w:marBottom w:val="0"/>
          <w:divBdr>
            <w:top w:val="none" w:sz="0" w:space="0" w:color="auto"/>
            <w:left w:val="none" w:sz="0" w:space="0" w:color="auto"/>
            <w:bottom w:val="none" w:sz="0" w:space="0" w:color="auto"/>
            <w:right w:val="none" w:sz="0" w:space="0" w:color="auto"/>
          </w:divBdr>
        </w:div>
        <w:div w:id="1740245473">
          <w:marLeft w:val="0"/>
          <w:marRight w:val="0"/>
          <w:marTop w:val="0"/>
          <w:marBottom w:val="0"/>
          <w:divBdr>
            <w:top w:val="none" w:sz="0" w:space="0" w:color="auto"/>
            <w:left w:val="none" w:sz="0" w:space="0" w:color="auto"/>
            <w:bottom w:val="none" w:sz="0" w:space="0" w:color="auto"/>
            <w:right w:val="none" w:sz="0" w:space="0" w:color="auto"/>
          </w:divBdr>
        </w:div>
      </w:divsChild>
    </w:div>
    <w:div w:id="11612980">
      <w:bodyDiv w:val="1"/>
      <w:marLeft w:val="0"/>
      <w:marRight w:val="0"/>
      <w:marTop w:val="0"/>
      <w:marBottom w:val="0"/>
      <w:divBdr>
        <w:top w:val="none" w:sz="0" w:space="0" w:color="auto"/>
        <w:left w:val="none" w:sz="0" w:space="0" w:color="auto"/>
        <w:bottom w:val="none" w:sz="0" w:space="0" w:color="auto"/>
        <w:right w:val="none" w:sz="0" w:space="0" w:color="auto"/>
      </w:divBdr>
      <w:divsChild>
        <w:div w:id="1668426">
          <w:marLeft w:val="0"/>
          <w:marRight w:val="0"/>
          <w:marTop w:val="0"/>
          <w:marBottom w:val="0"/>
          <w:divBdr>
            <w:top w:val="none" w:sz="0" w:space="0" w:color="auto"/>
            <w:left w:val="none" w:sz="0" w:space="0" w:color="auto"/>
            <w:bottom w:val="none" w:sz="0" w:space="0" w:color="auto"/>
            <w:right w:val="none" w:sz="0" w:space="0" w:color="auto"/>
          </w:divBdr>
        </w:div>
        <w:div w:id="1357270665">
          <w:marLeft w:val="0"/>
          <w:marRight w:val="0"/>
          <w:marTop w:val="0"/>
          <w:marBottom w:val="0"/>
          <w:divBdr>
            <w:top w:val="none" w:sz="0" w:space="0" w:color="auto"/>
            <w:left w:val="none" w:sz="0" w:space="0" w:color="auto"/>
            <w:bottom w:val="none" w:sz="0" w:space="0" w:color="auto"/>
            <w:right w:val="none" w:sz="0" w:space="0" w:color="auto"/>
          </w:divBdr>
        </w:div>
      </w:divsChild>
    </w:div>
    <w:div w:id="13193977">
      <w:bodyDiv w:val="1"/>
      <w:marLeft w:val="0"/>
      <w:marRight w:val="0"/>
      <w:marTop w:val="0"/>
      <w:marBottom w:val="0"/>
      <w:divBdr>
        <w:top w:val="none" w:sz="0" w:space="0" w:color="auto"/>
        <w:left w:val="none" w:sz="0" w:space="0" w:color="auto"/>
        <w:bottom w:val="none" w:sz="0" w:space="0" w:color="auto"/>
        <w:right w:val="none" w:sz="0" w:space="0" w:color="auto"/>
      </w:divBdr>
      <w:divsChild>
        <w:div w:id="6753739">
          <w:marLeft w:val="0"/>
          <w:marRight w:val="0"/>
          <w:marTop w:val="0"/>
          <w:marBottom w:val="0"/>
          <w:divBdr>
            <w:top w:val="none" w:sz="0" w:space="0" w:color="auto"/>
            <w:left w:val="none" w:sz="0" w:space="0" w:color="auto"/>
            <w:bottom w:val="none" w:sz="0" w:space="0" w:color="auto"/>
            <w:right w:val="none" w:sz="0" w:space="0" w:color="auto"/>
          </w:divBdr>
          <w:divsChild>
            <w:div w:id="1076591655">
              <w:marLeft w:val="0"/>
              <w:marRight w:val="0"/>
              <w:marTop w:val="0"/>
              <w:marBottom w:val="0"/>
              <w:divBdr>
                <w:top w:val="none" w:sz="0" w:space="0" w:color="auto"/>
                <w:left w:val="none" w:sz="0" w:space="0" w:color="auto"/>
                <w:bottom w:val="none" w:sz="0" w:space="0" w:color="auto"/>
                <w:right w:val="none" w:sz="0" w:space="0" w:color="auto"/>
              </w:divBdr>
            </w:div>
          </w:divsChild>
        </w:div>
        <w:div w:id="39405866">
          <w:marLeft w:val="0"/>
          <w:marRight w:val="0"/>
          <w:marTop w:val="0"/>
          <w:marBottom w:val="0"/>
          <w:divBdr>
            <w:top w:val="none" w:sz="0" w:space="0" w:color="auto"/>
            <w:left w:val="none" w:sz="0" w:space="0" w:color="auto"/>
            <w:bottom w:val="none" w:sz="0" w:space="0" w:color="auto"/>
            <w:right w:val="none" w:sz="0" w:space="0" w:color="auto"/>
          </w:divBdr>
          <w:divsChild>
            <w:div w:id="142360020">
              <w:marLeft w:val="0"/>
              <w:marRight w:val="0"/>
              <w:marTop w:val="0"/>
              <w:marBottom w:val="0"/>
              <w:divBdr>
                <w:top w:val="none" w:sz="0" w:space="0" w:color="auto"/>
                <w:left w:val="none" w:sz="0" w:space="0" w:color="auto"/>
                <w:bottom w:val="none" w:sz="0" w:space="0" w:color="auto"/>
                <w:right w:val="none" w:sz="0" w:space="0" w:color="auto"/>
              </w:divBdr>
            </w:div>
          </w:divsChild>
        </w:div>
        <w:div w:id="62997128">
          <w:marLeft w:val="0"/>
          <w:marRight w:val="0"/>
          <w:marTop w:val="0"/>
          <w:marBottom w:val="0"/>
          <w:divBdr>
            <w:top w:val="none" w:sz="0" w:space="0" w:color="auto"/>
            <w:left w:val="none" w:sz="0" w:space="0" w:color="auto"/>
            <w:bottom w:val="none" w:sz="0" w:space="0" w:color="auto"/>
            <w:right w:val="none" w:sz="0" w:space="0" w:color="auto"/>
          </w:divBdr>
          <w:divsChild>
            <w:div w:id="1964454288">
              <w:marLeft w:val="0"/>
              <w:marRight w:val="0"/>
              <w:marTop w:val="0"/>
              <w:marBottom w:val="0"/>
              <w:divBdr>
                <w:top w:val="none" w:sz="0" w:space="0" w:color="auto"/>
                <w:left w:val="none" w:sz="0" w:space="0" w:color="auto"/>
                <w:bottom w:val="none" w:sz="0" w:space="0" w:color="auto"/>
                <w:right w:val="none" w:sz="0" w:space="0" w:color="auto"/>
              </w:divBdr>
            </w:div>
          </w:divsChild>
        </w:div>
        <w:div w:id="79105058">
          <w:marLeft w:val="0"/>
          <w:marRight w:val="0"/>
          <w:marTop w:val="0"/>
          <w:marBottom w:val="0"/>
          <w:divBdr>
            <w:top w:val="none" w:sz="0" w:space="0" w:color="auto"/>
            <w:left w:val="none" w:sz="0" w:space="0" w:color="auto"/>
            <w:bottom w:val="none" w:sz="0" w:space="0" w:color="auto"/>
            <w:right w:val="none" w:sz="0" w:space="0" w:color="auto"/>
          </w:divBdr>
          <w:divsChild>
            <w:div w:id="1320772672">
              <w:marLeft w:val="0"/>
              <w:marRight w:val="0"/>
              <w:marTop w:val="0"/>
              <w:marBottom w:val="0"/>
              <w:divBdr>
                <w:top w:val="none" w:sz="0" w:space="0" w:color="auto"/>
                <w:left w:val="none" w:sz="0" w:space="0" w:color="auto"/>
                <w:bottom w:val="none" w:sz="0" w:space="0" w:color="auto"/>
                <w:right w:val="none" w:sz="0" w:space="0" w:color="auto"/>
              </w:divBdr>
            </w:div>
          </w:divsChild>
        </w:div>
        <w:div w:id="83191527">
          <w:marLeft w:val="0"/>
          <w:marRight w:val="0"/>
          <w:marTop w:val="0"/>
          <w:marBottom w:val="0"/>
          <w:divBdr>
            <w:top w:val="none" w:sz="0" w:space="0" w:color="auto"/>
            <w:left w:val="none" w:sz="0" w:space="0" w:color="auto"/>
            <w:bottom w:val="none" w:sz="0" w:space="0" w:color="auto"/>
            <w:right w:val="none" w:sz="0" w:space="0" w:color="auto"/>
          </w:divBdr>
          <w:divsChild>
            <w:div w:id="2041470479">
              <w:marLeft w:val="0"/>
              <w:marRight w:val="0"/>
              <w:marTop w:val="0"/>
              <w:marBottom w:val="0"/>
              <w:divBdr>
                <w:top w:val="none" w:sz="0" w:space="0" w:color="auto"/>
                <w:left w:val="none" w:sz="0" w:space="0" w:color="auto"/>
                <w:bottom w:val="none" w:sz="0" w:space="0" w:color="auto"/>
                <w:right w:val="none" w:sz="0" w:space="0" w:color="auto"/>
              </w:divBdr>
            </w:div>
          </w:divsChild>
        </w:div>
        <w:div w:id="183136529">
          <w:marLeft w:val="0"/>
          <w:marRight w:val="0"/>
          <w:marTop w:val="0"/>
          <w:marBottom w:val="0"/>
          <w:divBdr>
            <w:top w:val="none" w:sz="0" w:space="0" w:color="auto"/>
            <w:left w:val="none" w:sz="0" w:space="0" w:color="auto"/>
            <w:bottom w:val="none" w:sz="0" w:space="0" w:color="auto"/>
            <w:right w:val="none" w:sz="0" w:space="0" w:color="auto"/>
          </w:divBdr>
          <w:divsChild>
            <w:div w:id="1683776155">
              <w:marLeft w:val="0"/>
              <w:marRight w:val="0"/>
              <w:marTop w:val="0"/>
              <w:marBottom w:val="0"/>
              <w:divBdr>
                <w:top w:val="none" w:sz="0" w:space="0" w:color="auto"/>
                <w:left w:val="none" w:sz="0" w:space="0" w:color="auto"/>
                <w:bottom w:val="none" w:sz="0" w:space="0" w:color="auto"/>
                <w:right w:val="none" w:sz="0" w:space="0" w:color="auto"/>
              </w:divBdr>
            </w:div>
          </w:divsChild>
        </w:div>
        <w:div w:id="208491935">
          <w:marLeft w:val="0"/>
          <w:marRight w:val="0"/>
          <w:marTop w:val="0"/>
          <w:marBottom w:val="0"/>
          <w:divBdr>
            <w:top w:val="none" w:sz="0" w:space="0" w:color="auto"/>
            <w:left w:val="none" w:sz="0" w:space="0" w:color="auto"/>
            <w:bottom w:val="none" w:sz="0" w:space="0" w:color="auto"/>
            <w:right w:val="none" w:sz="0" w:space="0" w:color="auto"/>
          </w:divBdr>
          <w:divsChild>
            <w:div w:id="1874343747">
              <w:marLeft w:val="0"/>
              <w:marRight w:val="0"/>
              <w:marTop w:val="0"/>
              <w:marBottom w:val="0"/>
              <w:divBdr>
                <w:top w:val="none" w:sz="0" w:space="0" w:color="auto"/>
                <w:left w:val="none" w:sz="0" w:space="0" w:color="auto"/>
                <w:bottom w:val="none" w:sz="0" w:space="0" w:color="auto"/>
                <w:right w:val="none" w:sz="0" w:space="0" w:color="auto"/>
              </w:divBdr>
            </w:div>
          </w:divsChild>
        </w:div>
        <w:div w:id="222522002">
          <w:marLeft w:val="0"/>
          <w:marRight w:val="0"/>
          <w:marTop w:val="0"/>
          <w:marBottom w:val="0"/>
          <w:divBdr>
            <w:top w:val="none" w:sz="0" w:space="0" w:color="auto"/>
            <w:left w:val="none" w:sz="0" w:space="0" w:color="auto"/>
            <w:bottom w:val="none" w:sz="0" w:space="0" w:color="auto"/>
            <w:right w:val="none" w:sz="0" w:space="0" w:color="auto"/>
          </w:divBdr>
          <w:divsChild>
            <w:div w:id="499081984">
              <w:marLeft w:val="0"/>
              <w:marRight w:val="0"/>
              <w:marTop w:val="0"/>
              <w:marBottom w:val="0"/>
              <w:divBdr>
                <w:top w:val="none" w:sz="0" w:space="0" w:color="auto"/>
                <w:left w:val="none" w:sz="0" w:space="0" w:color="auto"/>
                <w:bottom w:val="none" w:sz="0" w:space="0" w:color="auto"/>
                <w:right w:val="none" w:sz="0" w:space="0" w:color="auto"/>
              </w:divBdr>
            </w:div>
          </w:divsChild>
        </w:div>
        <w:div w:id="239874731">
          <w:marLeft w:val="0"/>
          <w:marRight w:val="0"/>
          <w:marTop w:val="0"/>
          <w:marBottom w:val="0"/>
          <w:divBdr>
            <w:top w:val="none" w:sz="0" w:space="0" w:color="auto"/>
            <w:left w:val="none" w:sz="0" w:space="0" w:color="auto"/>
            <w:bottom w:val="none" w:sz="0" w:space="0" w:color="auto"/>
            <w:right w:val="none" w:sz="0" w:space="0" w:color="auto"/>
          </w:divBdr>
          <w:divsChild>
            <w:div w:id="383526211">
              <w:marLeft w:val="0"/>
              <w:marRight w:val="0"/>
              <w:marTop w:val="0"/>
              <w:marBottom w:val="0"/>
              <w:divBdr>
                <w:top w:val="none" w:sz="0" w:space="0" w:color="auto"/>
                <w:left w:val="none" w:sz="0" w:space="0" w:color="auto"/>
                <w:bottom w:val="none" w:sz="0" w:space="0" w:color="auto"/>
                <w:right w:val="none" w:sz="0" w:space="0" w:color="auto"/>
              </w:divBdr>
            </w:div>
          </w:divsChild>
        </w:div>
        <w:div w:id="268706835">
          <w:marLeft w:val="0"/>
          <w:marRight w:val="0"/>
          <w:marTop w:val="0"/>
          <w:marBottom w:val="0"/>
          <w:divBdr>
            <w:top w:val="none" w:sz="0" w:space="0" w:color="auto"/>
            <w:left w:val="none" w:sz="0" w:space="0" w:color="auto"/>
            <w:bottom w:val="none" w:sz="0" w:space="0" w:color="auto"/>
            <w:right w:val="none" w:sz="0" w:space="0" w:color="auto"/>
          </w:divBdr>
          <w:divsChild>
            <w:div w:id="1688942029">
              <w:marLeft w:val="0"/>
              <w:marRight w:val="0"/>
              <w:marTop w:val="0"/>
              <w:marBottom w:val="0"/>
              <w:divBdr>
                <w:top w:val="none" w:sz="0" w:space="0" w:color="auto"/>
                <w:left w:val="none" w:sz="0" w:space="0" w:color="auto"/>
                <w:bottom w:val="none" w:sz="0" w:space="0" w:color="auto"/>
                <w:right w:val="none" w:sz="0" w:space="0" w:color="auto"/>
              </w:divBdr>
            </w:div>
          </w:divsChild>
        </w:div>
        <w:div w:id="274407991">
          <w:marLeft w:val="0"/>
          <w:marRight w:val="0"/>
          <w:marTop w:val="0"/>
          <w:marBottom w:val="0"/>
          <w:divBdr>
            <w:top w:val="none" w:sz="0" w:space="0" w:color="auto"/>
            <w:left w:val="none" w:sz="0" w:space="0" w:color="auto"/>
            <w:bottom w:val="none" w:sz="0" w:space="0" w:color="auto"/>
            <w:right w:val="none" w:sz="0" w:space="0" w:color="auto"/>
          </w:divBdr>
          <w:divsChild>
            <w:div w:id="1498695432">
              <w:marLeft w:val="0"/>
              <w:marRight w:val="0"/>
              <w:marTop w:val="0"/>
              <w:marBottom w:val="0"/>
              <w:divBdr>
                <w:top w:val="none" w:sz="0" w:space="0" w:color="auto"/>
                <w:left w:val="none" w:sz="0" w:space="0" w:color="auto"/>
                <w:bottom w:val="none" w:sz="0" w:space="0" w:color="auto"/>
                <w:right w:val="none" w:sz="0" w:space="0" w:color="auto"/>
              </w:divBdr>
            </w:div>
          </w:divsChild>
        </w:div>
        <w:div w:id="280694014">
          <w:marLeft w:val="0"/>
          <w:marRight w:val="0"/>
          <w:marTop w:val="0"/>
          <w:marBottom w:val="0"/>
          <w:divBdr>
            <w:top w:val="none" w:sz="0" w:space="0" w:color="auto"/>
            <w:left w:val="none" w:sz="0" w:space="0" w:color="auto"/>
            <w:bottom w:val="none" w:sz="0" w:space="0" w:color="auto"/>
            <w:right w:val="none" w:sz="0" w:space="0" w:color="auto"/>
          </w:divBdr>
          <w:divsChild>
            <w:div w:id="1016616082">
              <w:marLeft w:val="0"/>
              <w:marRight w:val="0"/>
              <w:marTop w:val="0"/>
              <w:marBottom w:val="0"/>
              <w:divBdr>
                <w:top w:val="none" w:sz="0" w:space="0" w:color="auto"/>
                <w:left w:val="none" w:sz="0" w:space="0" w:color="auto"/>
                <w:bottom w:val="none" w:sz="0" w:space="0" w:color="auto"/>
                <w:right w:val="none" w:sz="0" w:space="0" w:color="auto"/>
              </w:divBdr>
            </w:div>
          </w:divsChild>
        </w:div>
        <w:div w:id="399181596">
          <w:marLeft w:val="0"/>
          <w:marRight w:val="0"/>
          <w:marTop w:val="0"/>
          <w:marBottom w:val="0"/>
          <w:divBdr>
            <w:top w:val="none" w:sz="0" w:space="0" w:color="auto"/>
            <w:left w:val="none" w:sz="0" w:space="0" w:color="auto"/>
            <w:bottom w:val="none" w:sz="0" w:space="0" w:color="auto"/>
            <w:right w:val="none" w:sz="0" w:space="0" w:color="auto"/>
          </w:divBdr>
          <w:divsChild>
            <w:div w:id="454250092">
              <w:marLeft w:val="0"/>
              <w:marRight w:val="0"/>
              <w:marTop w:val="0"/>
              <w:marBottom w:val="0"/>
              <w:divBdr>
                <w:top w:val="none" w:sz="0" w:space="0" w:color="auto"/>
                <w:left w:val="none" w:sz="0" w:space="0" w:color="auto"/>
                <w:bottom w:val="none" w:sz="0" w:space="0" w:color="auto"/>
                <w:right w:val="none" w:sz="0" w:space="0" w:color="auto"/>
              </w:divBdr>
            </w:div>
          </w:divsChild>
        </w:div>
        <w:div w:id="406001958">
          <w:marLeft w:val="0"/>
          <w:marRight w:val="0"/>
          <w:marTop w:val="0"/>
          <w:marBottom w:val="0"/>
          <w:divBdr>
            <w:top w:val="none" w:sz="0" w:space="0" w:color="auto"/>
            <w:left w:val="none" w:sz="0" w:space="0" w:color="auto"/>
            <w:bottom w:val="none" w:sz="0" w:space="0" w:color="auto"/>
            <w:right w:val="none" w:sz="0" w:space="0" w:color="auto"/>
          </w:divBdr>
          <w:divsChild>
            <w:div w:id="875852872">
              <w:marLeft w:val="0"/>
              <w:marRight w:val="0"/>
              <w:marTop w:val="0"/>
              <w:marBottom w:val="0"/>
              <w:divBdr>
                <w:top w:val="none" w:sz="0" w:space="0" w:color="auto"/>
                <w:left w:val="none" w:sz="0" w:space="0" w:color="auto"/>
                <w:bottom w:val="none" w:sz="0" w:space="0" w:color="auto"/>
                <w:right w:val="none" w:sz="0" w:space="0" w:color="auto"/>
              </w:divBdr>
            </w:div>
          </w:divsChild>
        </w:div>
        <w:div w:id="467238581">
          <w:marLeft w:val="0"/>
          <w:marRight w:val="0"/>
          <w:marTop w:val="0"/>
          <w:marBottom w:val="0"/>
          <w:divBdr>
            <w:top w:val="none" w:sz="0" w:space="0" w:color="auto"/>
            <w:left w:val="none" w:sz="0" w:space="0" w:color="auto"/>
            <w:bottom w:val="none" w:sz="0" w:space="0" w:color="auto"/>
            <w:right w:val="none" w:sz="0" w:space="0" w:color="auto"/>
          </w:divBdr>
          <w:divsChild>
            <w:div w:id="1565481310">
              <w:marLeft w:val="0"/>
              <w:marRight w:val="0"/>
              <w:marTop w:val="0"/>
              <w:marBottom w:val="0"/>
              <w:divBdr>
                <w:top w:val="none" w:sz="0" w:space="0" w:color="auto"/>
                <w:left w:val="none" w:sz="0" w:space="0" w:color="auto"/>
                <w:bottom w:val="none" w:sz="0" w:space="0" w:color="auto"/>
                <w:right w:val="none" w:sz="0" w:space="0" w:color="auto"/>
              </w:divBdr>
            </w:div>
          </w:divsChild>
        </w:div>
        <w:div w:id="469632968">
          <w:marLeft w:val="0"/>
          <w:marRight w:val="0"/>
          <w:marTop w:val="0"/>
          <w:marBottom w:val="0"/>
          <w:divBdr>
            <w:top w:val="none" w:sz="0" w:space="0" w:color="auto"/>
            <w:left w:val="none" w:sz="0" w:space="0" w:color="auto"/>
            <w:bottom w:val="none" w:sz="0" w:space="0" w:color="auto"/>
            <w:right w:val="none" w:sz="0" w:space="0" w:color="auto"/>
          </w:divBdr>
          <w:divsChild>
            <w:div w:id="1817255699">
              <w:marLeft w:val="0"/>
              <w:marRight w:val="0"/>
              <w:marTop w:val="0"/>
              <w:marBottom w:val="0"/>
              <w:divBdr>
                <w:top w:val="none" w:sz="0" w:space="0" w:color="auto"/>
                <w:left w:val="none" w:sz="0" w:space="0" w:color="auto"/>
                <w:bottom w:val="none" w:sz="0" w:space="0" w:color="auto"/>
                <w:right w:val="none" w:sz="0" w:space="0" w:color="auto"/>
              </w:divBdr>
            </w:div>
          </w:divsChild>
        </w:div>
        <w:div w:id="481122216">
          <w:marLeft w:val="0"/>
          <w:marRight w:val="0"/>
          <w:marTop w:val="0"/>
          <w:marBottom w:val="0"/>
          <w:divBdr>
            <w:top w:val="none" w:sz="0" w:space="0" w:color="auto"/>
            <w:left w:val="none" w:sz="0" w:space="0" w:color="auto"/>
            <w:bottom w:val="none" w:sz="0" w:space="0" w:color="auto"/>
            <w:right w:val="none" w:sz="0" w:space="0" w:color="auto"/>
          </w:divBdr>
          <w:divsChild>
            <w:div w:id="479348405">
              <w:marLeft w:val="0"/>
              <w:marRight w:val="0"/>
              <w:marTop w:val="0"/>
              <w:marBottom w:val="0"/>
              <w:divBdr>
                <w:top w:val="none" w:sz="0" w:space="0" w:color="auto"/>
                <w:left w:val="none" w:sz="0" w:space="0" w:color="auto"/>
                <w:bottom w:val="none" w:sz="0" w:space="0" w:color="auto"/>
                <w:right w:val="none" w:sz="0" w:space="0" w:color="auto"/>
              </w:divBdr>
            </w:div>
          </w:divsChild>
        </w:div>
        <w:div w:id="519664608">
          <w:marLeft w:val="0"/>
          <w:marRight w:val="0"/>
          <w:marTop w:val="0"/>
          <w:marBottom w:val="0"/>
          <w:divBdr>
            <w:top w:val="none" w:sz="0" w:space="0" w:color="auto"/>
            <w:left w:val="none" w:sz="0" w:space="0" w:color="auto"/>
            <w:bottom w:val="none" w:sz="0" w:space="0" w:color="auto"/>
            <w:right w:val="none" w:sz="0" w:space="0" w:color="auto"/>
          </w:divBdr>
          <w:divsChild>
            <w:div w:id="2028939461">
              <w:marLeft w:val="0"/>
              <w:marRight w:val="0"/>
              <w:marTop w:val="0"/>
              <w:marBottom w:val="0"/>
              <w:divBdr>
                <w:top w:val="none" w:sz="0" w:space="0" w:color="auto"/>
                <w:left w:val="none" w:sz="0" w:space="0" w:color="auto"/>
                <w:bottom w:val="none" w:sz="0" w:space="0" w:color="auto"/>
                <w:right w:val="none" w:sz="0" w:space="0" w:color="auto"/>
              </w:divBdr>
            </w:div>
          </w:divsChild>
        </w:div>
        <w:div w:id="524829405">
          <w:marLeft w:val="0"/>
          <w:marRight w:val="0"/>
          <w:marTop w:val="0"/>
          <w:marBottom w:val="0"/>
          <w:divBdr>
            <w:top w:val="none" w:sz="0" w:space="0" w:color="auto"/>
            <w:left w:val="none" w:sz="0" w:space="0" w:color="auto"/>
            <w:bottom w:val="none" w:sz="0" w:space="0" w:color="auto"/>
            <w:right w:val="none" w:sz="0" w:space="0" w:color="auto"/>
          </w:divBdr>
          <w:divsChild>
            <w:div w:id="920453684">
              <w:marLeft w:val="0"/>
              <w:marRight w:val="0"/>
              <w:marTop w:val="0"/>
              <w:marBottom w:val="0"/>
              <w:divBdr>
                <w:top w:val="none" w:sz="0" w:space="0" w:color="auto"/>
                <w:left w:val="none" w:sz="0" w:space="0" w:color="auto"/>
                <w:bottom w:val="none" w:sz="0" w:space="0" w:color="auto"/>
                <w:right w:val="none" w:sz="0" w:space="0" w:color="auto"/>
              </w:divBdr>
            </w:div>
          </w:divsChild>
        </w:div>
        <w:div w:id="565802534">
          <w:marLeft w:val="0"/>
          <w:marRight w:val="0"/>
          <w:marTop w:val="0"/>
          <w:marBottom w:val="0"/>
          <w:divBdr>
            <w:top w:val="none" w:sz="0" w:space="0" w:color="auto"/>
            <w:left w:val="none" w:sz="0" w:space="0" w:color="auto"/>
            <w:bottom w:val="none" w:sz="0" w:space="0" w:color="auto"/>
            <w:right w:val="none" w:sz="0" w:space="0" w:color="auto"/>
          </w:divBdr>
          <w:divsChild>
            <w:div w:id="105856092">
              <w:marLeft w:val="0"/>
              <w:marRight w:val="0"/>
              <w:marTop w:val="0"/>
              <w:marBottom w:val="0"/>
              <w:divBdr>
                <w:top w:val="none" w:sz="0" w:space="0" w:color="auto"/>
                <w:left w:val="none" w:sz="0" w:space="0" w:color="auto"/>
                <w:bottom w:val="none" w:sz="0" w:space="0" w:color="auto"/>
                <w:right w:val="none" w:sz="0" w:space="0" w:color="auto"/>
              </w:divBdr>
            </w:div>
          </w:divsChild>
        </w:div>
        <w:div w:id="637027763">
          <w:marLeft w:val="0"/>
          <w:marRight w:val="0"/>
          <w:marTop w:val="0"/>
          <w:marBottom w:val="0"/>
          <w:divBdr>
            <w:top w:val="none" w:sz="0" w:space="0" w:color="auto"/>
            <w:left w:val="none" w:sz="0" w:space="0" w:color="auto"/>
            <w:bottom w:val="none" w:sz="0" w:space="0" w:color="auto"/>
            <w:right w:val="none" w:sz="0" w:space="0" w:color="auto"/>
          </w:divBdr>
          <w:divsChild>
            <w:div w:id="1327249383">
              <w:marLeft w:val="0"/>
              <w:marRight w:val="0"/>
              <w:marTop w:val="0"/>
              <w:marBottom w:val="0"/>
              <w:divBdr>
                <w:top w:val="none" w:sz="0" w:space="0" w:color="auto"/>
                <w:left w:val="none" w:sz="0" w:space="0" w:color="auto"/>
                <w:bottom w:val="none" w:sz="0" w:space="0" w:color="auto"/>
                <w:right w:val="none" w:sz="0" w:space="0" w:color="auto"/>
              </w:divBdr>
            </w:div>
          </w:divsChild>
        </w:div>
        <w:div w:id="637028606">
          <w:marLeft w:val="0"/>
          <w:marRight w:val="0"/>
          <w:marTop w:val="0"/>
          <w:marBottom w:val="0"/>
          <w:divBdr>
            <w:top w:val="none" w:sz="0" w:space="0" w:color="auto"/>
            <w:left w:val="none" w:sz="0" w:space="0" w:color="auto"/>
            <w:bottom w:val="none" w:sz="0" w:space="0" w:color="auto"/>
            <w:right w:val="none" w:sz="0" w:space="0" w:color="auto"/>
          </w:divBdr>
          <w:divsChild>
            <w:div w:id="2092969224">
              <w:marLeft w:val="0"/>
              <w:marRight w:val="0"/>
              <w:marTop w:val="0"/>
              <w:marBottom w:val="0"/>
              <w:divBdr>
                <w:top w:val="none" w:sz="0" w:space="0" w:color="auto"/>
                <w:left w:val="none" w:sz="0" w:space="0" w:color="auto"/>
                <w:bottom w:val="none" w:sz="0" w:space="0" w:color="auto"/>
                <w:right w:val="none" w:sz="0" w:space="0" w:color="auto"/>
              </w:divBdr>
            </w:div>
          </w:divsChild>
        </w:div>
        <w:div w:id="641276011">
          <w:marLeft w:val="0"/>
          <w:marRight w:val="0"/>
          <w:marTop w:val="0"/>
          <w:marBottom w:val="0"/>
          <w:divBdr>
            <w:top w:val="none" w:sz="0" w:space="0" w:color="auto"/>
            <w:left w:val="none" w:sz="0" w:space="0" w:color="auto"/>
            <w:bottom w:val="none" w:sz="0" w:space="0" w:color="auto"/>
            <w:right w:val="none" w:sz="0" w:space="0" w:color="auto"/>
          </w:divBdr>
          <w:divsChild>
            <w:div w:id="977959315">
              <w:marLeft w:val="0"/>
              <w:marRight w:val="0"/>
              <w:marTop w:val="0"/>
              <w:marBottom w:val="0"/>
              <w:divBdr>
                <w:top w:val="none" w:sz="0" w:space="0" w:color="auto"/>
                <w:left w:val="none" w:sz="0" w:space="0" w:color="auto"/>
                <w:bottom w:val="none" w:sz="0" w:space="0" w:color="auto"/>
                <w:right w:val="none" w:sz="0" w:space="0" w:color="auto"/>
              </w:divBdr>
            </w:div>
          </w:divsChild>
        </w:div>
        <w:div w:id="756246410">
          <w:marLeft w:val="0"/>
          <w:marRight w:val="0"/>
          <w:marTop w:val="0"/>
          <w:marBottom w:val="0"/>
          <w:divBdr>
            <w:top w:val="none" w:sz="0" w:space="0" w:color="auto"/>
            <w:left w:val="none" w:sz="0" w:space="0" w:color="auto"/>
            <w:bottom w:val="none" w:sz="0" w:space="0" w:color="auto"/>
            <w:right w:val="none" w:sz="0" w:space="0" w:color="auto"/>
          </w:divBdr>
          <w:divsChild>
            <w:div w:id="1953392141">
              <w:marLeft w:val="0"/>
              <w:marRight w:val="0"/>
              <w:marTop w:val="0"/>
              <w:marBottom w:val="0"/>
              <w:divBdr>
                <w:top w:val="none" w:sz="0" w:space="0" w:color="auto"/>
                <w:left w:val="none" w:sz="0" w:space="0" w:color="auto"/>
                <w:bottom w:val="none" w:sz="0" w:space="0" w:color="auto"/>
                <w:right w:val="none" w:sz="0" w:space="0" w:color="auto"/>
              </w:divBdr>
            </w:div>
          </w:divsChild>
        </w:div>
        <w:div w:id="832572312">
          <w:marLeft w:val="0"/>
          <w:marRight w:val="0"/>
          <w:marTop w:val="0"/>
          <w:marBottom w:val="0"/>
          <w:divBdr>
            <w:top w:val="none" w:sz="0" w:space="0" w:color="auto"/>
            <w:left w:val="none" w:sz="0" w:space="0" w:color="auto"/>
            <w:bottom w:val="none" w:sz="0" w:space="0" w:color="auto"/>
            <w:right w:val="none" w:sz="0" w:space="0" w:color="auto"/>
          </w:divBdr>
          <w:divsChild>
            <w:div w:id="1203711000">
              <w:marLeft w:val="0"/>
              <w:marRight w:val="0"/>
              <w:marTop w:val="0"/>
              <w:marBottom w:val="0"/>
              <w:divBdr>
                <w:top w:val="none" w:sz="0" w:space="0" w:color="auto"/>
                <w:left w:val="none" w:sz="0" w:space="0" w:color="auto"/>
                <w:bottom w:val="none" w:sz="0" w:space="0" w:color="auto"/>
                <w:right w:val="none" w:sz="0" w:space="0" w:color="auto"/>
              </w:divBdr>
            </w:div>
          </w:divsChild>
        </w:div>
        <w:div w:id="851804032">
          <w:marLeft w:val="0"/>
          <w:marRight w:val="0"/>
          <w:marTop w:val="0"/>
          <w:marBottom w:val="0"/>
          <w:divBdr>
            <w:top w:val="none" w:sz="0" w:space="0" w:color="auto"/>
            <w:left w:val="none" w:sz="0" w:space="0" w:color="auto"/>
            <w:bottom w:val="none" w:sz="0" w:space="0" w:color="auto"/>
            <w:right w:val="none" w:sz="0" w:space="0" w:color="auto"/>
          </w:divBdr>
          <w:divsChild>
            <w:div w:id="82116779">
              <w:marLeft w:val="0"/>
              <w:marRight w:val="0"/>
              <w:marTop w:val="0"/>
              <w:marBottom w:val="0"/>
              <w:divBdr>
                <w:top w:val="none" w:sz="0" w:space="0" w:color="auto"/>
                <w:left w:val="none" w:sz="0" w:space="0" w:color="auto"/>
                <w:bottom w:val="none" w:sz="0" w:space="0" w:color="auto"/>
                <w:right w:val="none" w:sz="0" w:space="0" w:color="auto"/>
              </w:divBdr>
            </w:div>
          </w:divsChild>
        </w:div>
        <w:div w:id="871914576">
          <w:marLeft w:val="0"/>
          <w:marRight w:val="0"/>
          <w:marTop w:val="0"/>
          <w:marBottom w:val="0"/>
          <w:divBdr>
            <w:top w:val="none" w:sz="0" w:space="0" w:color="auto"/>
            <w:left w:val="none" w:sz="0" w:space="0" w:color="auto"/>
            <w:bottom w:val="none" w:sz="0" w:space="0" w:color="auto"/>
            <w:right w:val="none" w:sz="0" w:space="0" w:color="auto"/>
          </w:divBdr>
          <w:divsChild>
            <w:div w:id="1831679855">
              <w:marLeft w:val="0"/>
              <w:marRight w:val="0"/>
              <w:marTop w:val="0"/>
              <w:marBottom w:val="0"/>
              <w:divBdr>
                <w:top w:val="none" w:sz="0" w:space="0" w:color="auto"/>
                <w:left w:val="none" w:sz="0" w:space="0" w:color="auto"/>
                <w:bottom w:val="none" w:sz="0" w:space="0" w:color="auto"/>
                <w:right w:val="none" w:sz="0" w:space="0" w:color="auto"/>
              </w:divBdr>
            </w:div>
          </w:divsChild>
        </w:div>
        <w:div w:id="877008510">
          <w:marLeft w:val="0"/>
          <w:marRight w:val="0"/>
          <w:marTop w:val="0"/>
          <w:marBottom w:val="0"/>
          <w:divBdr>
            <w:top w:val="none" w:sz="0" w:space="0" w:color="auto"/>
            <w:left w:val="none" w:sz="0" w:space="0" w:color="auto"/>
            <w:bottom w:val="none" w:sz="0" w:space="0" w:color="auto"/>
            <w:right w:val="none" w:sz="0" w:space="0" w:color="auto"/>
          </w:divBdr>
          <w:divsChild>
            <w:div w:id="1780294533">
              <w:marLeft w:val="0"/>
              <w:marRight w:val="0"/>
              <w:marTop w:val="0"/>
              <w:marBottom w:val="0"/>
              <w:divBdr>
                <w:top w:val="none" w:sz="0" w:space="0" w:color="auto"/>
                <w:left w:val="none" w:sz="0" w:space="0" w:color="auto"/>
                <w:bottom w:val="none" w:sz="0" w:space="0" w:color="auto"/>
                <w:right w:val="none" w:sz="0" w:space="0" w:color="auto"/>
              </w:divBdr>
            </w:div>
          </w:divsChild>
        </w:div>
        <w:div w:id="927617874">
          <w:marLeft w:val="0"/>
          <w:marRight w:val="0"/>
          <w:marTop w:val="0"/>
          <w:marBottom w:val="0"/>
          <w:divBdr>
            <w:top w:val="none" w:sz="0" w:space="0" w:color="auto"/>
            <w:left w:val="none" w:sz="0" w:space="0" w:color="auto"/>
            <w:bottom w:val="none" w:sz="0" w:space="0" w:color="auto"/>
            <w:right w:val="none" w:sz="0" w:space="0" w:color="auto"/>
          </w:divBdr>
          <w:divsChild>
            <w:div w:id="922489038">
              <w:marLeft w:val="0"/>
              <w:marRight w:val="0"/>
              <w:marTop w:val="0"/>
              <w:marBottom w:val="0"/>
              <w:divBdr>
                <w:top w:val="none" w:sz="0" w:space="0" w:color="auto"/>
                <w:left w:val="none" w:sz="0" w:space="0" w:color="auto"/>
                <w:bottom w:val="none" w:sz="0" w:space="0" w:color="auto"/>
                <w:right w:val="none" w:sz="0" w:space="0" w:color="auto"/>
              </w:divBdr>
            </w:div>
          </w:divsChild>
        </w:div>
        <w:div w:id="1043140328">
          <w:marLeft w:val="0"/>
          <w:marRight w:val="0"/>
          <w:marTop w:val="0"/>
          <w:marBottom w:val="0"/>
          <w:divBdr>
            <w:top w:val="none" w:sz="0" w:space="0" w:color="auto"/>
            <w:left w:val="none" w:sz="0" w:space="0" w:color="auto"/>
            <w:bottom w:val="none" w:sz="0" w:space="0" w:color="auto"/>
            <w:right w:val="none" w:sz="0" w:space="0" w:color="auto"/>
          </w:divBdr>
          <w:divsChild>
            <w:div w:id="1207453209">
              <w:marLeft w:val="0"/>
              <w:marRight w:val="0"/>
              <w:marTop w:val="0"/>
              <w:marBottom w:val="0"/>
              <w:divBdr>
                <w:top w:val="none" w:sz="0" w:space="0" w:color="auto"/>
                <w:left w:val="none" w:sz="0" w:space="0" w:color="auto"/>
                <w:bottom w:val="none" w:sz="0" w:space="0" w:color="auto"/>
                <w:right w:val="none" w:sz="0" w:space="0" w:color="auto"/>
              </w:divBdr>
            </w:div>
          </w:divsChild>
        </w:div>
        <w:div w:id="1049768369">
          <w:marLeft w:val="0"/>
          <w:marRight w:val="0"/>
          <w:marTop w:val="0"/>
          <w:marBottom w:val="0"/>
          <w:divBdr>
            <w:top w:val="none" w:sz="0" w:space="0" w:color="auto"/>
            <w:left w:val="none" w:sz="0" w:space="0" w:color="auto"/>
            <w:bottom w:val="none" w:sz="0" w:space="0" w:color="auto"/>
            <w:right w:val="none" w:sz="0" w:space="0" w:color="auto"/>
          </w:divBdr>
          <w:divsChild>
            <w:div w:id="864831675">
              <w:marLeft w:val="0"/>
              <w:marRight w:val="0"/>
              <w:marTop w:val="0"/>
              <w:marBottom w:val="0"/>
              <w:divBdr>
                <w:top w:val="none" w:sz="0" w:space="0" w:color="auto"/>
                <w:left w:val="none" w:sz="0" w:space="0" w:color="auto"/>
                <w:bottom w:val="none" w:sz="0" w:space="0" w:color="auto"/>
                <w:right w:val="none" w:sz="0" w:space="0" w:color="auto"/>
              </w:divBdr>
            </w:div>
          </w:divsChild>
        </w:div>
        <w:div w:id="1102456569">
          <w:marLeft w:val="0"/>
          <w:marRight w:val="0"/>
          <w:marTop w:val="0"/>
          <w:marBottom w:val="0"/>
          <w:divBdr>
            <w:top w:val="none" w:sz="0" w:space="0" w:color="auto"/>
            <w:left w:val="none" w:sz="0" w:space="0" w:color="auto"/>
            <w:bottom w:val="none" w:sz="0" w:space="0" w:color="auto"/>
            <w:right w:val="none" w:sz="0" w:space="0" w:color="auto"/>
          </w:divBdr>
          <w:divsChild>
            <w:div w:id="1204635361">
              <w:marLeft w:val="0"/>
              <w:marRight w:val="0"/>
              <w:marTop w:val="0"/>
              <w:marBottom w:val="0"/>
              <w:divBdr>
                <w:top w:val="none" w:sz="0" w:space="0" w:color="auto"/>
                <w:left w:val="none" w:sz="0" w:space="0" w:color="auto"/>
                <w:bottom w:val="none" w:sz="0" w:space="0" w:color="auto"/>
                <w:right w:val="none" w:sz="0" w:space="0" w:color="auto"/>
              </w:divBdr>
            </w:div>
          </w:divsChild>
        </w:div>
        <w:div w:id="1112240424">
          <w:marLeft w:val="0"/>
          <w:marRight w:val="0"/>
          <w:marTop w:val="0"/>
          <w:marBottom w:val="0"/>
          <w:divBdr>
            <w:top w:val="none" w:sz="0" w:space="0" w:color="auto"/>
            <w:left w:val="none" w:sz="0" w:space="0" w:color="auto"/>
            <w:bottom w:val="none" w:sz="0" w:space="0" w:color="auto"/>
            <w:right w:val="none" w:sz="0" w:space="0" w:color="auto"/>
          </w:divBdr>
          <w:divsChild>
            <w:div w:id="1355157990">
              <w:marLeft w:val="0"/>
              <w:marRight w:val="0"/>
              <w:marTop w:val="0"/>
              <w:marBottom w:val="0"/>
              <w:divBdr>
                <w:top w:val="none" w:sz="0" w:space="0" w:color="auto"/>
                <w:left w:val="none" w:sz="0" w:space="0" w:color="auto"/>
                <w:bottom w:val="none" w:sz="0" w:space="0" w:color="auto"/>
                <w:right w:val="none" w:sz="0" w:space="0" w:color="auto"/>
              </w:divBdr>
            </w:div>
          </w:divsChild>
        </w:div>
        <w:div w:id="1134248785">
          <w:marLeft w:val="0"/>
          <w:marRight w:val="0"/>
          <w:marTop w:val="0"/>
          <w:marBottom w:val="0"/>
          <w:divBdr>
            <w:top w:val="none" w:sz="0" w:space="0" w:color="auto"/>
            <w:left w:val="none" w:sz="0" w:space="0" w:color="auto"/>
            <w:bottom w:val="none" w:sz="0" w:space="0" w:color="auto"/>
            <w:right w:val="none" w:sz="0" w:space="0" w:color="auto"/>
          </w:divBdr>
          <w:divsChild>
            <w:div w:id="2135295468">
              <w:marLeft w:val="0"/>
              <w:marRight w:val="0"/>
              <w:marTop w:val="0"/>
              <w:marBottom w:val="0"/>
              <w:divBdr>
                <w:top w:val="none" w:sz="0" w:space="0" w:color="auto"/>
                <w:left w:val="none" w:sz="0" w:space="0" w:color="auto"/>
                <w:bottom w:val="none" w:sz="0" w:space="0" w:color="auto"/>
                <w:right w:val="none" w:sz="0" w:space="0" w:color="auto"/>
              </w:divBdr>
            </w:div>
          </w:divsChild>
        </w:div>
        <w:div w:id="1194418979">
          <w:marLeft w:val="0"/>
          <w:marRight w:val="0"/>
          <w:marTop w:val="0"/>
          <w:marBottom w:val="0"/>
          <w:divBdr>
            <w:top w:val="none" w:sz="0" w:space="0" w:color="auto"/>
            <w:left w:val="none" w:sz="0" w:space="0" w:color="auto"/>
            <w:bottom w:val="none" w:sz="0" w:space="0" w:color="auto"/>
            <w:right w:val="none" w:sz="0" w:space="0" w:color="auto"/>
          </w:divBdr>
          <w:divsChild>
            <w:div w:id="289361343">
              <w:marLeft w:val="0"/>
              <w:marRight w:val="0"/>
              <w:marTop w:val="0"/>
              <w:marBottom w:val="0"/>
              <w:divBdr>
                <w:top w:val="none" w:sz="0" w:space="0" w:color="auto"/>
                <w:left w:val="none" w:sz="0" w:space="0" w:color="auto"/>
                <w:bottom w:val="none" w:sz="0" w:space="0" w:color="auto"/>
                <w:right w:val="none" w:sz="0" w:space="0" w:color="auto"/>
              </w:divBdr>
            </w:div>
          </w:divsChild>
        </w:div>
        <w:div w:id="1200823347">
          <w:marLeft w:val="0"/>
          <w:marRight w:val="0"/>
          <w:marTop w:val="0"/>
          <w:marBottom w:val="0"/>
          <w:divBdr>
            <w:top w:val="none" w:sz="0" w:space="0" w:color="auto"/>
            <w:left w:val="none" w:sz="0" w:space="0" w:color="auto"/>
            <w:bottom w:val="none" w:sz="0" w:space="0" w:color="auto"/>
            <w:right w:val="none" w:sz="0" w:space="0" w:color="auto"/>
          </w:divBdr>
          <w:divsChild>
            <w:div w:id="668798905">
              <w:marLeft w:val="0"/>
              <w:marRight w:val="0"/>
              <w:marTop w:val="0"/>
              <w:marBottom w:val="0"/>
              <w:divBdr>
                <w:top w:val="none" w:sz="0" w:space="0" w:color="auto"/>
                <w:left w:val="none" w:sz="0" w:space="0" w:color="auto"/>
                <w:bottom w:val="none" w:sz="0" w:space="0" w:color="auto"/>
                <w:right w:val="none" w:sz="0" w:space="0" w:color="auto"/>
              </w:divBdr>
            </w:div>
          </w:divsChild>
        </w:div>
        <w:div w:id="1210261841">
          <w:marLeft w:val="0"/>
          <w:marRight w:val="0"/>
          <w:marTop w:val="0"/>
          <w:marBottom w:val="0"/>
          <w:divBdr>
            <w:top w:val="none" w:sz="0" w:space="0" w:color="auto"/>
            <w:left w:val="none" w:sz="0" w:space="0" w:color="auto"/>
            <w:bottom w:val="none" w:sz="0" w:space="0" w:color="auto"/>
            <w:right w:val="none" w:sz="0" w:space="0" w:color="auto"/>
          </w:divBdr>
          <w:divsChild>
            <w:div w:id="1090852200">
              <w:marLeft w:val="0"/>
              <w:marRight w:val="0"/>
              <w:marTop w:val="0"/>
              <w:marBottom w:val="0"/>
              <w:divBdr>
                <w:top w:val="none" w:sz="0" w:space="0" w:color="auto"/>
                <w:left w:val="none" w:sz="0" w:space="0" w:color="auto"/>
                <w:bottom w:val="none" w:sz="0" w:space="0" w:color="auto"/>
                <w:right w:val="none" w:sz="0" w:space="0" w:color="auto"/>
              </w:divBdr>
            </w:div>
          </w:divsChild>
        </w:div>
        <w:div w:id="1235748046">
          <w:marLeft w:val="0"/>
          <w:marRight w:val="0"/>
          <w:marTop w:val="0"/>
          <w:marBottom w:val="0"/>
          <w:divBdr>
            <w:top w:val="none" w:sz="0" w:space="0" w:color="auto"/>
            <w:left w:val="none" w:sz="0" w:space="0" w:color="auto"/>
            <w:bottom w:val="none" w:sz="0" w:space="0" w:color="auto"/>
            <w:right w:val="none" w:sz="0" w:space="0" w:color="auto"/>
          </w:divBdr>
          <w:divsChild>
            <w:div w:id="847134966">
              <w:marLeft w:val="0"/>
              <w:marRight w:val="0"/>
              <w:marTop w:val="0"/>
              <w:marBottom w:val="0"/>
              <w:divBdr>
                <w:top w:val="none" w:sz="0" w:space="0" w:color="auto"/>
                <w:left w:val="none" w:sz="0" w:space="0" w:color="auto"/>
                <w:bottom w:val="none" w:sz="0" w:space="0" w:color="auto"/>
                <w:right w:val="none" w:sz="0" w:space="0" w:color="auto"/>
              </w:divBdr>
            </w:div>
          </w:divsChild>
        </w:div>
        <w:div w:id="1268781075">
          <w:marLeft w:val="0"/>
          <w:marRight w:val="0"/>
          <w:marTop w:val="0"/>
          <w:marBottom w:val="0"/>
          <w:divBdr>
            <w:top w:val="none" w:sz="0" w:space="0" w:color="auto"/>
            <w:left w:val="none" w:sz="0" w:space="0" w:color="auto"/>
            <w:bottom w:val="none" w:sz="0" w:space="0" w:color="auto"/>
            <w:right w:val="none" w:sz="0" w:space="0" w:color="auto"/>
          </w:divBdr>
          <w:divsChild>
            <w:div w:id="1710177820">
              <w:marLeft w:val="0"/>
              <w:marRight w:val="0"/>
              <w:marTop w:val="0"/>
              <w:marBottom w:val="0"/>
              <w:divBdr>
                <w:top w:val="none" w:sz="0" w:space="0" w:color="auto"/>
                <w:left w:val="none" w:sz="0" w:space="0" w:color="auto"/>
                <w:bottom w:val="none" w:sz="0" w:space="0" w:color="auto"/>
                <w:right w:val="none" w:sz="0" w:space="0" w:color="auto"/>
              </w:divBdr>
            </w:div>
          </w:divsChild>
        </w:div>
        <w:div w:id="1284460800">
          <w:marLeft w:val="0"/>
          <w:marRight w:val="0"/>
          <w:marTop w:val="0"/>
          <w:marBottom w:val="0"/>
          <w:divBdr>
            <w:top w:val="none" w:sz="0" w:space="0" w:color="auto"/>
            <w:left w:val="none" w:sz="0" w:space="0" w:color="auto"/>
            <w:bottom w:val="none" w:sz="0" w:space="0" w:color="auto"/>
            <w:right w:val="none" w:sz="0" w:space="0" w:color="auto"/>
          </w:divBdr>
          <w:divsChild>
            <w:div w:id="1513304440">
              <w:marLeft w:val="0"/>
              <w:marRight w:val="0"/>
              <w:marTop w:val="0"/>
              <w:marBottom w:val="0"/>
              <w:divBdr>
                <w:top w:val="none" w:sz="0" w:space="0" w:color="auto"/>
                <w:left w:val="none" w:sz="0" w:space="0" w:color="auto"/>
                <w:bottom w:val="none" w:sz="0" w:space="0" w:color="auto"/>
                <w:right w:val="none" w:sz="0" w:space="0" w:color="auto"/>
              </w:divBdr>
            </w:div>
          </w:divsChild>
        </w:div>
        <w:div w:id="1321806399">
          <w:marLeft w:val="0"/>
          <w:marRight w:val="0"/>
          <w:marTop w:val="0"/>
          <w:marBottom w:val="0"/>
          <w:divBdr>
            <w:top w:val="none" w:sz="0" w:space="0" w:color="auto"/>
            <w:left w:val="none" w:sz="0" w:space="0" w:color="auto"/>
            <w:bottom w:val="none" w:sz="0" w:space="0" w:color="auto"/>
            <w:right w:val="none" w:sz="0" w:space="0" w:color="auto"/>
          </w:divBdr>
          <w:divsChild>
            <w:div w:id="1305307302">
              <w:marLeft w:val="0"/>
              <w:marRight w:val="0"/>
              <w:marTop w:val="0"/>
              <w:marBottom w:val="0"/>
              <w:divBdr>
                <w:top w:val="none" w:sz="0" w:space="0" w:color="auto"/>
                <w:left w:val="none" w:sz="0" w:space="0" w:color="auto"/>
                <w:bottom w:val="none" w:sz="0" w:space="0" w:color="auto"/>
                <w:right w:val="none" w:sz="0" w:space="0" w:color="auto"/>
              </w:divBdr>
            </w:div>
          </w:divsChild>
        </w:div>
        <w:div w:id="1324433294">
          <w:marLeft w:val="0"/>
          <w:marRight w:val="0"/>
          <w:marTop w:val="0"/>
          <w:marBottom w:val="0"/>
          <w:divBdr>
            <w:top w:val="none" w:sz="0" w:space="0" w:color="auto"/>
            <w:left w:val="none" w:sz="0" w:space="0" w:color="auto"/>
            <w:bottom w:val="none" w:sz="0" w:space="0" w:color="auto"/>
            <w:right w:val="none" w:sz="0" w:space="0" w:color="auto"/>
          </w:divBdr>
          <w:divsChild>
            <w:div w:id="1995453736">
              <w:marLeft w:val="0"/>
              <w:marRight w:val="0"/>
              <w:marTop w:val="0"/>
              <w:marBottom w:val="0"/>
              <w:divBdr>
                <w:top w:val="none" w:sz="0" w:space="0" w:color="auto"/>
                <w:left w:val="none" w:sz="0" w:space="0" w:color="auto"/>
                <w:bottom w:val="none" w:sz="0" w:space="0" w:color="auto"/>
                <w:right w:val="none" w:sz="0" w:space="0" w:color="auto"/>
              </w:divBdr>
            </w:div>
          </w:divsChild>
        </w:div>
        <w:div w:id="1369720228">
          <w:marLeft w:val="0"/>
          <w:marRight w:val="0"/>
          <w:marTop w:val="0"/>
          <w:marBottom w:val="0"/>
          <w:divBdr>
            <w:top w:val="none" w:sz="0" w:space="0" w:color="auto"/>
            <w:left w:val="none" w:sz="0" w:space="0" w:color="auto"/>
            <w:bottom w:val="none" w:sz="0" w:space="0" w:color="auto"/>
            <w:right w:val="none" w:sz="0" w:space="0" w:color="auto"/>
          </w:divBdr>
          <w:divsChild>
            <w:div w:id="1319578639">
              <w:marLeft w:val="0"/>
              <w:marRight w:val="0"/>
              <w:marTop w:val="0"/>
              <w:marBottom w:val="0"/>
              <w:divBdr>
                <w:top w:val="none" w:sz="0" w:space="0" w:color="auto"/>
                <w:left w:val="none" w:sz="0" w:space="0" w:color="auto"/>
                <w:bottom w:val="none" w:sz="0" w:space="0" w:color="auto"/>
                <w:right w:val="none" w:sz="0" w:space="0" w:color="auto"/>
              </w:divBdr>
            </w:div>
          </w:divsChild>
        </w:div>
        <w:div w:id="1382822540">
          <w:marLeft w:val="0"/>
          <w:marRight w:val="0"/>
          <w:marTop w:val="0"/>
          <w:marBottom w:val="0"/>
          <w:divBdr>
            <w:top w:val="none" w:sz="0" w:space="0" w:color="auto"/>
            <w:left w:val="none" w:sz="0" w:space="0" w:color="auto"/>
            <w:bottom w:val="none" w:sz="0" w:space="0" w:color="auto"/>
            <w:right w:val="none" w:sz="0" w:space="0" w:color="auto"/>
          </w:divBdr>
          <w:divsChild>
            <w:div w:id="951399923">
              <w:marLeft w:val="0"/>
              <w:marRight w:val="0"/>
              <w:marTop w:val="0"/>
              <w:marBottom w:val="0"/>
              <w:divBdr>
                <w:top w:val="none" w:sz="0" w:space="0" w:color="auto"/>
                <w:left w:val="none" w:sz="0" w:space="0" w:color="auto"/>
                <w:bottom w:val="none" w:sz="0" w:space="0" w:color="auto"/>
                <w:right w:val="none" w:sz="0" w:space="0" w:color="auto"/>
              </w:divBdr>
            </w:div>
          </w:divsChild>
        </w:div>
        <w:div w:id="1425414045">
          <w:marLeft w:val="0"/>
          <w:marRight w:val="0"/>
          <w:marTop w:val="0"/>
          <w:marBottom w:val="0"/>
          <w:divBdr>
            <w:top w:val="none" w:sz="0" w:space="0" w:color="auto"/>
            <w:left w:val="none" w:sz="0" w:space="0" w:color="auto"/>
            <w:bottom w:val="none" w:sz="0" w:space="0" w:color="auto"/>
            <w:right w:val="none" w:sz="0" w:space="0" w:color="auto"/>
          </w:divBdr>
          <w:divsChild>
            <w:div w:id="717438342">
              <w:marLeft w:val="0"/>
              <w:marRight w:val="0"/>
              <w:marTop w:val="0"/>
              <w:marBottom w:val="0"/>
              <w:divBdr>
                <w:top w:val="none" w:sz="0" w:space="0" w:color="auto"/>
                <w:left w:val="none" w:sz="0" w:space="0" w:color="auto"/>
                <w:bottom w:val="none" w:sz="0" w:space="0" w:color="auto"/>
                <w:right w:val="none" w:sz="0" w:space="0" w:color="auto"/>
              </w:divBdr>
            </w:div>
          </w:divsChild>
        </w:div>
        <w:div w:id="1508906278">
          <w:marLeft w:val="0"/>
          <w:marRight w:val="0"/>
          <w:marTop w:val="0"/>
          <w:marBottom w:val="0"/>
          <w:divBdr>
            <w:top w:val="none" w:sz="0" w:space="0" w:color="auto"/>
            <w:left w:val="none" w:sz="0" w:space="0" w:color="auto"/>
            <w:bottom w:val="none" w:sz="0" w:space="0" w:color="auto"/>
            <w:right w:val="none" w:sz="0" w:space="0" w:color="auto"/>
          </w:divBdr>
          <w:divsChild>
            <w:div w:id="127432698">
              <w:marLeft w:val="0"/>
              <w:marRight w:val="0"/>
              <w:marTop w:val="0"/>
              <w:marBottom w:val="0"/>
              <w:divBdr>
                <w:top w:val="none" w:sz="0" w:space="0" w:color="auto"/>
                <w:left w:val="none" w:sz="0" w:space="0" w:color="auto"/>
                <w:bottom w:val="none" w:sz="0" w:space="0" w:color="auto"/>
                <w:right w:val="none" w:sz="0" w:space="0" w:color="auto"/>
              </w:divBdr>
            </w:div>
          </w:divsChild>
        </w:div>
        <w:div w:id="1521119950">
          <w:marLeft w:val="0"/>
          <w:marRight w:val="0"/>
          <w:marTop w:val="0"/>
          <w:marBottom w:val="0"/>
          <w:divBdr>
            <w:top w:val="none" w:sz="0" w:space="0" w:color="auto"/>
            <w:left w:val="none" w:sz="0" w:space="0" w:color="auto"/>
            <w:bottom w:val="none" w:sz="0" w:space="0" w:color="auto"/>
            <w:right w:val="none" w:sz="0" w:space="0" w:color="auto"/>
          </w:divBdr>
          <w:divsChild>
            <w:div w:id="1464421330">
              <w:marLeft w:val="0"/>
              <w:marRight w:val="0"/>
              <w:marTop w:val="0"/>
              <w:marBottom w:val="0"/>
              <w:divBdr>
                <w:top w:val="none" w:sz="0" w:space="0" w:color="auto"/>
                <w:left w:val="none" w:sz="0" w:space="0" w:color="auto"/>
                <w:bottom w:val="none" w:sz="0" w:space="0" w:color="auto"/>
                <w:right w:val="none" w:sz="0" w:space="0" w:color="auto"/>
              </w:divBdr>
            </w:div>
          </w:divsChild>
        </w:div>
        <w:div w:id="1540360142">
          <w:marLeft w:val="0"/>
          <w:marRight w:val="0"/>
          <w:marTop w:val="0"/>
          <w:marBottom w:val="0"/>
          <w:divBdr>
            <w:top w:val="none" w:sz="0" w:space="0" w:color="auto"/>
            <w:left w:val="none" w:sz="0" w:space="0" w:color="auto"/>
            <w:bottom w:val="none" w:sz="0" w:space="0" w:color="auto"/>
            <w:right w:val="none" w:sz="0" w:space="0" w:color="auto"/>
          </w:divBdr>
          <w:divsChild>
            <w:div w:id="1088773442">
              <w:marLeft w:val="0"/>
              <w:marRight w:val="0"/>
              <w:marTop w:val="0"/>
              <w:marBottom w:val="0"/>
              <w:divBdr>
                <w:top w:val="none" w:sz="0" w:space="0" w:color="auto"/>
                <w:left w:val="none" w:sz="0" w:space="0" w:color="auto"/>
                <w:bottom w:val="none" w:sz="0" w:space="0" w:color="auto"/>
                <w:right w:val="none" w:sz="0" w:space="0" w:color="auto"/>
              </w:divBdr>
            </w:div>
          </w:divsChild>
        </w:div>
        <w:div w:id="1544362100">
          <w:marLeft w:val="0"/>
          <w:marRight w:val="0"/>
          <w:marTop w:val="0"/>
          <w:marBottom w:val="0"/>
          <w:divBdr>
            <w:top w:val="none" w:sz="0" w:space="0" w:color="auto"/>
            <w:left w:val="none" w:sz="0" w:space="0" w:color="auto"/>
            <w:bottom w:val="none" w:sz="0" w:space="0" w:color="auto"/>
            <w:right w:val="none" w:sz="0" w:space="0" w:color="auto"/>
          </w:divBdr>
          <w:divsChild>
            <w:div w:id="919339237">
              <w:marLeft w:val="0"/>
              <w:marRight w:val="0"/>
              <w:marTop w:val="0"/>
              <w:marBottom w:val="0"/>
              <w:divBdr>
                <w:top w:val="none" w:sz="0" w:space="0" w:color="auto"/>
                <w:left w:val="none" w:sz="0" w:space="0" w:color="auto"/>
                <w:bottom w:val="none" w:sz="0" w:space="0" w:color="auto"/>
                <w:right w:val="none" w:sz="0" w:space="0" w:color="auto"/>
              </w:divBdr>
            </w:div>
          </w:divsChild>
        </w:div>
        <w:div w:id="1545829129">
          <w:marLeft w:val="0"/>
          <w:marRight w:val="0"/>
          <w:marTop w:val="0"/>
          <w:marBottom w:val="0"/>
          <w:divBdr>
            <w:top w:val="none" w:sz="0" w:space="0" w:color="auto"/>
            <w:left w:val="none" w:sz="0" w:space="0" w:color="auto"/>
            <w:bottom w:val="none" w:sz="0" w:space="0" w:color="auto"/>
            <w:right w:val="none" w:sz="0" w:space="0" w:color="auto"/>
          </w:divBdr>
          <w:divsChild>
            <w:div w:id="1577393630">
              <w:marLeft w:val="0"/>
              <w:marRight w:val="0"/>
              <w:marTop w:val="0"/>
              <w:marBottom w:val="0"/>
              <w:divBdr>
                <w:top w:val="none" w:sz="0" w:space="0" w:color="auto"/>
                <w:left w:val="none" w:sz="0" w:space="0" w:color="auto"/>
                <w:bottom w:val="none" w:sz="0" w:space="0" w:color="auto"/>
                <w:right w:val="none" w:sz="0" w:space="0" w:color="auto"/>
              </w:divBdr>
            </w:div>
          </w:divsChild>
        </w:div>
        <w:div w:id="1587615307">
          <w:marLeft w:val="0"/>
          <w:marRight w:val="0"/>
          <w:marTop w:val="0"/>
          <w:marBottom w:val="0"/>
          <w:divBdr>
            <w:top w:val="none" w:sz="0" w:space="0" w:color="auto"/>
            <w:left w:val="none" w:sz="0" w:space="0" w:color="auto"/>
            <w:bottom w:val="none" w:sz="0" w:space="0" w:color="auto"/>
            <w:right w:val="none" w:sz="0" w:space="0" w:color="auto"/>
          </w:divBdr>
          <w:divsChild>
            <w:div w:id="2082293901">
              <w:marLeft w:val="0"/>
              <w:marRight w:val="0"/>
              <w:marTop w:val="0"/>
              <w:marBottom w:val="0"/>
              <w:divBdr>
                <w:top w:val="none" w:sz="0" w:space="0" w:color="auto"/>
                <w:left w:val="none" w:sz="0" w:space="0" w:color="auto"/>
                <w:bottom w:val="none" w:sz="0" w:space="0" w:color="auto"/>
                <w:right w:val="none" w:sz="0" w:space="0" w:color="auto"/>
              </w:divBdr>
            </w:div>
          </w:divsChild>
        </w:div>
        <w:div w:id="1600336546">
          <w:marLeft w:val="0"/>
          <w:marRight w:val="0"/>
          <w:marTop w:val="0"/>
          <w:marBottom w:val="0"/>
          <w:divBdr>
            <w:top w:val="none" w:sz="0" w:space="0" w:color="auto"/>
            <w:left w:val="none" w:sz="0" w:space="0" w:color="auto"/>
            <w:bottom w:val="none" w:sz="0" w:space="0" w:color="auto"/>
            <w:right w:val="none" w:sz="0" w:space="0" w:color="auto"/>
          </w:divBdr>
          <w:divsChild>
            <w:div w:id="1521817787">
              <w:marLeft w:val="0"/>
              <w:marRight w:val="0"/>
              <w:marTop w:val="0"/>
              <w:marBottom w:val="0"/>
              <w:divBdr>
                <w:top w:val="none" w:sz="0" w:space="0" w:color="auto"/>
                <w:left w:val="none" w:sz="0" w:space="0" w:color="auto"/>
                <w:bottom w:val="none" w:sz="0" w:space="0" w:color="auto"/>
                <w:right w:val="none" w:sz="0" w:space="0" w:color="auto"/>
              </w:divBdr>
            </w:div>
          </w:divsChild>
        </w:div>
        <w:div w:id="1631786067">
          <w:marLeft w:val="0"/>
          <w:marRight w:val="0"/>
          <w:marTop w:val="0"/>
          <w:marBottom w:val="0"/>
          <w:divBdr>
            <w:top w:val="none" w:sz="0" w:space="0" w:color="auto"/>
            <w:left w:val="none" w:sz="0" w:space="0" w:color="auto"/>
            <w:bottom w:val="none" w:sz="0" w:space="0" w:color="auto"/>
            <w:right w:val="none" w:sz="0" w:space="0" w:color="auto"/>
          </w:divBdr>
          <w:divsChild>
            <w:div w:id="1494487597">
              <w:marLeft w:val="0"/>
              <w:marRight w:val="0"/>
              <w:marTop w:val="0"/>
              <w:marBottom w:val="0"/>
              <w:divBdr>
                <w:top w:val="none" w:sz="0" w:space="0" w:color="auto"/>
                <w:left w:val="none" w:sz="0" w:space="0" w:color="auto"/>
                <w:bottom w:val="none" w:sz="0" w:space="0" w:color="auto"/>
                <w:right w:val="none" w:sz="0" w:space="0" w:color="auto"/>
              </w:divBdr>
            </w:div>
          </w:divsChild>
        </w:div>
        <w:div w:id="1640188289">
          <w:marLeft w:val="0"/>
          <w:marRight w:val="0"/>
          <w:marTop w:val="0"/>
          <w:marBottom w:val="0"/>
          <w:divBdr>
            <w:top w:val="none" w:sz="0" w:space="0" w:color="auto"/>
            <w:left w:val="none" w:sz="0" w:space="0" w:color="auto"/>
            <w:bottom w:val="none" w:sz="0" w:space="0" w:color="auto"/>
            <w:right w:val="none" w:sz="0" w:space="0" w:color="auto"/>
          </w:divBdr>
          <w:divsChild>
            <w:div w:id="306007979">
              <w:marLeft w:val="0"/>
              <w:marRight w:val="0"/>
              <w:marTop w:val="0"/>
              <w:marBottom w:val="0"/>
              <w:divBdr>
                <w:top w:val="none" w:sz="0" w:space="0" w:color="auto"/>
                <w:left w:val="none" w:sz="0" w:space="0" w:color="auto"/>
                <w:bottom w:val="none" w:sz="0" w:space="0" w:color="auto"/>
                <w:right w:val="none" w:sz="0" w:space="0" w:color="auto"/>
              </w:divBdr>
            </w:div>
          </w:divsChild>
        </w:div>
        <w:div w:id="1699770540">
          <w:marLeft w:val="0"/>
          <w:marRight w:val="0"/>
          <w:marTop w:val="0"/>
          <w:marBottom w:val="0"/>
          <w:divBdr>
            <w:top w:val="none" w:sz="0" w:space="0" w:color="auto"/>
            <w:left w:val="none" w:sz="0" w:space="0" w:color="auto"/>
            <w:bottom w:val="none" w:sz="0" w:space="0" w:color="auto"/>
            <w:right w:val="none" w:sz="0" w:space="0" w:color="auto"/>
          </w:divBdr>
          <w:divsChild>
            <w:div w:id="584387207">
              <w:marLeft w:val="0"/>
              <w:marRight w:val="0"/>
              <w:marTop w:val="0"/>
              <w:marBottom w:val="0"/>
              <w:divBdr>
                <w:top w:val="none" w:sz="0" w:space="0" w:color="auto"/>
                <w:left w:val="none" w:sz="0" w:space="0" w:color="auto"/>
                <w:bottom w:val="none" w:sz="0" w:space="0" w:color="auto"/>
                <w:right w:val="none" w:sz="0" w:space="0" w:color="auto"/>
              </w:divBdr>
            </w:div>
          </w:divsChild>
        </w:div>
        <w:div w:id="1839996866">
          <w:marLeft w:val="0"/>
          <w:marRight w:val="0"/>
          <w:marTop w:val="0"/>
          <w:marBottom w:val="0"/>
          <w:divBdr>
            <w:top w:val="none" w:sz="0" w:space="0" w:color="auto"/>
            <w:left w:val="none" w:sz="0" w:space="0" w:color="auto"/>
            <w:bottom w:val="none" w:sz="0" w:space="0" w:color="auto"/>
            <w:right w:val="none" w:sz="0" w:space="0" w:color="auto"/>
          </w:divBdr>
          <w:divsChild>
            <w:div w:id="1420442190">
              <w:marLeft w:val="0"/>
              <w:marRight w:val="0"/>
              <w:marTop w:val="0"/>
              <w:marBottom w:val="0"/>
              <w:divBdr>
                <w:top w:val="none" w:sz="0" w:space="0" w:color="auto"/>
                <w:left w:val="none" w:sz="0" w:space="0" w:color="auto"/>
                <w:bottom w:val="none" w:sz="0" w:space="0" w:color="auto"/>
                <w:right w:val="none" w:sz="0" w:space="0" w:color="auto"/>
              </w:divBdr>
            </w:div>
          </w:divsChild>
        </w:div>
        <w:div w:id="1878661998">
          <w:marLeft w:val="0"/>
          <w:marRight w:val="0"/>
          <w:marTop w:val="0"/>
          <w:marBottom w:val="0"/>
          <w:divBdr>
            <w:top w:val="none" w:sz="0" w:space="0" w:color="auto"/>
            <w:left w:val="none" w:sz="0" w:space="0" w:color="auto"/>
            <w:bottom w:val="none" w:sz="0" w:space="0" w:color="auto"/>
            <w:right w:val="none" w:sz="0" w:space="0" w:color="auto"/>
          </w:divBdr>
          <w:divsChild>
            <w:div w:id="1918854217">
              <w:marLeft w:val="0"/>
              <w:marRight w:val="0"/>
              <w:marTop w:val="0"/>
              <w:marBottom w:val="0"/>
              <w:divBdr>
                <w:top w:val="none" w:sz="0" w:space="0" w:color="auto"/>
                <w:left w:val="none" w:sz="0" w:space="0" w:color="auto"/>
                <w:bottom w:val="none" w:sz="0" w:space="0" w:color="auto"/>
                <w:right w:val="none" w:sz="0" w:space="0" w:color="auto"/>
              </w:divBdr>
            </w:div>
            <w:div w:id="2048488923">
              <w:marLeft w:val="0"/>
              <w:marRight w:val="0"/>
              <w:marTop w:val="0"/>
              <w:marBottom w:val="0"/>
              <w:divBdr>
                <w:top w:val="none" w:sz="0" w:space="0" w:color="auto"/>
                <w:left w:val="none" w:sz="0" w:space="0" w:color="auto"/>
                <w:bottom w:val="none" w:sz="0" w:space="0" w:color="auto"/>
                <w:right w:val="none" w:sz="0" w:space="0" w:color="auto"/>
              </w:divBdr>
            </w:div>
          </w:divsChild>
        </w:div>
        <w:div w:id="1891191431">
          <w:marLeft w:val="0"/>
          <w:marRight w:val="0"/>
          <w:marTop w:val="0"/>
          <w:marBottom w:val="0"/>
          <w:divBdr>
            <w:top w:val="none" w:sz="0" w:space="0" w:color="auto"/>
            <w:left w:val="none" w:sz="0" w:space="0" w:color="auto"/>
            <w:bottom w:val="none" w:sz="0" w:space="0" w:color="auto"/>
            <w:right w:val="none" w:sz="0" w:space="0" w:color="auto"/>
          </w:divBdr>
          <w:divsChild>
            <w:div w:id="402679771">
              <w:marLeft w:val="0"/>
              <w:marRight w:val="0"/>
              <w:marTop w:val="0"/>
              <w:marBottom w:val="0"/>
              <w:divBdr>
                <w:top w:val="none" w:sz="0" w:space="0" w:color="auto"/>
                <w:left w:val="none" w:sz="0" w:space="0" w:color="auto"/>
                <w:bottom w:val="none" w:sz="0" w:space="0" w:color="auto"/>
                <w:right w:val="none" w:sz="0" w:space="0" w:color="auto"/>
              </w:divBdr>
            </w:div>
          </w:divsChild>
        </w:div>
        <w:div w:id="1902253543">
          <w:marLeft w:val="0"/>
          <w:marRight w:val="0"/>
          <w:marTop w:val="0"/>
          <w:marBottom w:val="0"/>
          <w:divBdr>
            <w:top w:val="none" w:sz="0" w:space="0" w:color="auto"/>
            <w:left w:val="none" w:sz="0" w:space="0" w:color="auto"/>
            <w:bottom w:val="none" w:sz="0" w:space="0" w:color="auto"/>
            <w:right w:val="none" w:sz="0" w:space="0" w:color="auto"/>
          </w:divBdr>
          <w:divsChild>
            <w:div w:id="220405241">
              <w:marLeft w:val="0"/>
              <w:marRight w:val="0"/>
              <w:marTop w:val="0"/>
              <w:marBottom w:val="0"/>
              <w:divBdr>
                <w:top w:val="none" w:sz="0" w:space="0" w:color="auto"/>
                <w:left w:val="none" w:sz="0" w:space="0" w:color="auto"/>
                <w:bottom w:val="none" w:sz="0" w:space="0" w:color="auto"/>
                <w:right w:val="none" w:sz="0" w:space="0" w:color="auto"/>
              </w:divBdr>
            </w:div>
          </w:divsChild>
        </w:div>
        <w:div w:id="1906993372">
          <w:marLeft w:val="0"/>
          <w:marRight w:val="0"/>
          <w:marTop w:val="0"/>
          <w:marBottom w:val="0"/>
          <w:divBdr>
            <w:top w:val="none" w:sz="0" w:space="0" w:color="auto"/>
            <w:left w:val="none" w:sz="0" w:space="0" w:color="auto"/>
            <w:bottom w:val="none" w:sz="0" w:space="0" w:color="auto"/>
            <w:right w:val="none" w:sz="0" w:space="0" w:color="auto"/>
          </w:divBdr>
          <w:divsChild>
            <w:div w:id="1005786416">
              <w:marLeft w:val="0"/>
              <w:marRight w:val="0"/>
              <w:marTop w:val="0"/>
              <w:marBottom w:val="0"/>
              <w:divBdr>
                <w:top w:val="none" w:sz="0" w:space="0" w:color="auto"/>
                <w:left w:val="none" w:sz="0" w:space="0" w:color="auto"/>
                <w:bottom w:val="none" w:sz="0" w:space="0" w:color="auto"/>
                <w:right w:val="none" w:sz="0" w:space="0" w:color="auto"/>
              </w:divBdr>
            </w:div>
          </w:divsChild>
        </w:div>
        <w:div w:id="1952743235">
          <w:marLeft w:val="0"/>
          <w:marRight w:val="0"/>
          <w:marTop w:val="0"/>
          <w:marBottom w:val="0"/>
          <w:divBdr>
            <w:top w:val="none" w:sz="0" w:space="0" w:color="auto"/>
            <w:left w:val="none" w:sz="0" w:space="0" w:color="auto"/>
            <w:bottom w:val="none" w:sz="0" w:space="0" w:color="auto"/>
            <w:right w:val="none" w:sz="0" w:space="0" w:color="auto"/>
          </w:divBdr>
          <w:divsChild>
            <w:div w:id="996613832">
              <w:marLeft w:val="0"/>
              <w:marRight w:val="0"/>
              <w:marTop w:val="0"/>
              <w:marBottom w:val="0"/>
              <w:divBdr>
                <w:top w:val="none" w:sz="0" w:space="0" w:color="auto"/>
                <w:left w:val="none" w:sz="0" w:space="0" w:color="auto"/>
                <w:bottom w:val="none" w:sz="0" w:space="0" w:color="auto"/>
                <w:right w:val="none" w:sz="0" w:space="0" w:color="auto"/>
              </w:divBdr>
            </w:div>
          </w:divsChild>
        </w:div>
        <w:div w:id="2017532505">
          <w:marLeft w:val="0"/>
          <w:marRight w:val="0"/>
          <w:marTop w:val="0"/>
          <w:marBottom w:val="0"/>
          <w:divBdr>
            <w:top w:val="none" w:sz="0" w:space="0" w:color="auto"/>
            <w:left w:val="none" w:sz="0" w:space="0" w:color="auto"/>
            <w:bottom w:val="none" w:sz="0" w:space="0" w:color="auto"/>
            <w:right w:val="none" w:sz="0" w:space="0" w:color="auto"/>
          </w:divBdr>
          <w:divsChild>
            <w:div w:id="804665961">
              <w:marLeft w:val="0"/>
              <w:marRight w:val="0"/>
              <w:marTop w:val="0"/>
              <w:marBottom w:val="0"/>
              <w:divBdr>
                <w:top w:val="none" w:sz="0" w:space="0" w:color="auto"/>
                <w:left w:val="none" w:sz="0" w:space="0" w:color="auto"/>
                <w:bottom w:val="none" w:sz="0" w:space="0" w:color="auto"/>
                <w:right w:val="none" w:sz="0" w:space="0" w:color="auto"/>
              </w:divBdr>
            </w:div>
          </w:divsChild>
        </w:div>
        <w:div w:id="2021005425">
          <w:marLeft w:val="0"/>
          <w:marRight w:val="0"/>
          <w:marTop w:val="0"/>
          <w:marBottom w:val="0"/>
          <w:divBdr>
            <w:top w:val="none" w:sz="0" w:space="0" w:color="auto"/>
            <w:left w:val="none" w:sz="0" w:space="0" w:color="auto"/>
            <w:bottom w:val="none" w:sz="0" w:space="0" w:color="auto"/>
            <w:right w:val="none" w:sz="0" w:space="0" w:color="auto"/>
          </w:divBdr>
          <w:divsChild>
            <w:div w:id="1752048769">
              <w:marLeft w:val="0"/>
              <w:marRight w:val="0"/>
              <w:marTop w:val="0"/>
              <w:marBottom w:val="0"/>
              <w:divBdr>
                <w:top w:val="none" w:sz="0" w:space="0" w:color="auto"/>
                <w:left w:val="none" w:sz="0" w:space="0" w:color="auto"/>
                <w:bottom w:val="none" w:sz="0" w:space="0" w:color="auto"/>
                <w:right w:val="none" w:sz="0" w:space="0" w:color="auto"/>
              </w:divBdr>
            </w:div>
          </w:divsChild>
        </w:div>
        <w:div w:id="2033913277">
          <w:marLeft w:val="0"/>
          <w:marRight w:val="0"/>
          <w:marTop w:val="0"/>
          <w:marBottom w:val="0"/>
          <w:divBdr>
            <w:top w:val="none" w:sz="0" w:space="0" w:color="auto"/>
            <w:left w:val="none" w:sz="0" w:space="0" w:color="auto"/>
            <w:bottom w:val="none" w:sz="0" w:space="0" w:color="auto"/>
            <w:right w:val="none" w:sz="0" w:space="0" w:color="auto"/>
          </w:divBdr>
          <w:divsChild>
            <w:div w:id="1940673315">
              <w:marLeft w:val="0"/>
              <w:marRight w:val="0"/>
              <w:marTop w:val="0"/>
              <w:marBottom w:val="0"/>
              <w:divBdr>
                <w:top w:val="none" w:sz="0" w:space="0" w:color="auto"/>
                <w:left w:val="none" w:sz="0" w:space="0" w:color="auto"/>
                <w:bottom w:val="none" w:sz="0" w:space="0" w:color="auto"/>
                <w:right w:val="none" w:sz="0" w:space="0" w:color="auto"/>
              </w:divBdr>
            </w:div>
          </w:divsChild>
        </w:div>
        <w:div w:id="2055425831">
          <w:marLeft w:val="0"/>
          <w:marRight w:val="0"/>
          <w:marTop w:val="0"/>
          <w:marBottom w:val="0"/>
          <w:divBdr>
            <w:top w:val="none" w:sz="0" w:space="0" w:color="auto"/>
            <w:left w:val="none" w:sz="0" w:space="0" w:color="auto"/>
            <w:bottom w:val="none" w:sz="0" w:space="0" w:color="auto"/>
            <w:right w:val="none" w:sz="0" w:space="0" w:color="auto"/>
          </w:divBdr>
          <w:divsChild>
            <w:div w:id="1191798401">
              <w:marLeft w:val="0"/>
              <w:marRight w:val="0"/>
              <w:marTop w:val="0"/>
              <w:marBottom w:val="0"/>
              <w:divBdr>
                <w:top w:val="none" w:sz="0" w:space="0" w:color="auto"/>
                <w:left w:val="none" w:sz="0" w:space="0" w:color="auto"/>
                <w:bottom w:val="none" w:sz="0" w:space="0" w:color="auto"/>
                <w:right w:val="none" w:sz="0" w:space="0" w:color="auto"/>
              </w:divBdr>
            </w:div>
          </w:divsChild>
        </w:div>
        <w:div w:id="2055962321">
          <w:marLeft w:val="0"/>
          <w:marRight w:val="0"/>
          <w:marTop w:val="0"/>
          <w:marBottom w:val="0"/>
          <w:divBdr>
            <w:top w:val="none" w:sz="0" w:space="0" w:color="auto"/>
            <w:left w:val="none" w:sz="0" w:space="0" w:color="auto"/>
            <w:bottom w:val="none" w:sz="0" w:space="0" w:color="auto"/>
            <w:right w:val="none" w:sz="0" w:space="0" w:color="auto"/>
          </w:divBdr>
          <w:divsChild>
            <w:div w:id="1533958637">
              <w:marLeft w:val="0"/>
              <w:marRight w:val="0"/>
              <w:marTop w:val="0"/>
              <w:marBottom w:val="0"/>
              <w:divBdr>
                <w:top w:val="none" w:sz="0" w:space="0" w:color="auto"/>
                <w:left w:val="none" w:sz="0" w:space="0" w:color="auto"/>
                <w:bottom w:val="none" w:sz="0" w:space="0" w:color="auto"/>
                <w:right w:val="none" w:sz="0" w:space="0" w:color="auto"/>
              </w:divBdr>
            </w:div>
          </w:divsChild>
        </w:div>
        <w:div w:id="2080908379">
          <w:marLeft w:val="0"/>
          <w:marRight w:val="0"/>
          <w:marTop w:val="0"/>
          <w:marBottom w:val="0"/>
          <w:divBdr>
            <w:top w:val="none" w:sz="0" w:space="0" w:color="auto"/>
            <w:left w:val="none" w:sz="0" w:space="0" w:color="auto"/>
            <w:bottom w:val="none" w:sz="0" w:space="0" w:color="auto"/>
            <w:right w:val="none" w:sz="0" w:space="0" w:color="auto"/>
          </w:divBdr>
          <w:divsChild>
            <w:div w:id="1228611199">
              <w:marLeft w:val="0"/>
              <w:marRight w:val="0"/>
              <w:marTop w:val="0"/>
              <w:marBottom w:val="0"/>
              <w:divBdr>
                <w:top w:val="none" w:sz="0" w:space="0" w:color="auto"/>
                <w:left w:val="none" w:sz="0" w:space="0" w:color="auto"/>
                <w:bottom w:val="none" w:sz="0" w:space="0" w:color="auto"/>
                <w:right w:val="none" w:sz="0" w:space="0" w:color="auto"/>
              </w:divBdr>
            </w:div>
          </w:divsChild>
        </w:div>
        <w:div w:id="2132437759">
          <w:marLeft w:val="0"/>
          <w:marRight w:val="0"/>
          <w:marTop w:val="0"/>
          <w:marBottom w:val="0"/>
          <w:divBdr>
            <w:top w:val="none" w:sz="0" w:space="0" w:color="auto"/>
            <w:left w:val="none" w:sz="0" w:space="0" w:color="auto"/>
            <w:bottom w:val="none" w:sz="0" w:space="0" w:color="auto"/>
            <w:right w:val="none" w:sz="0" w:space="0" w:color="auto"/>
          </w:divBdr>
          <w:divsChild>
            <w:div w:id="139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1322">
      <w:bodyDiv w:val="1"/>
      <w:marLeft w:val="0"/>
      <w:marRight w:val="0"/>
      <w:marTop w:val="0"/>
      <w:marBottom w:val="0"/>
      <w:divBdr>
        <w:top w:val="none" w:sz="0" w:space="0" w:color="auto"/>
        <w:left w:val="none" w:sz="0" w:space="0" w:color="auto"/>
        <w:bottom w:val="none" w:sz="0" w:space="0" w:color="auto"/>
        <w:right w:val="none" w:sz="0" w:space="0" w:color="auto"/>
      </w:divBdr>
    </w:div>
    <w:div w:id="351303439">
      <w:bodyDiv w:val="1"/>
      <w:marLeft w:val="0"/>
      <w:marRight w:val="0"/>
      <w:marTop w:val="0"/>
      <w:marBottom w:val="0"/>
      <w:divBdr>
        <w:top w:val="none" w:sz="0" w:space="0" w:color="auto"/>
        <w:left w:val="none" w:sz="0" w:space="0" w:color="auto"/>
        <w:bottom w:val="none" w:sz="0" w:space="0" w:color="auto"/>
        <w:right w:val="none" w:sz="0" w:space="0" w:color="auto"/>
      </w:divBdr>
      <w:divsChild>
        <w:div w:id="202133690">
          <w:marLeft w:val="0"/>
          <w:marRight w:val="0"/>
          <w:marTop w:val="0"/>
          <w:marBottom w:val="0"/>
          <w:divBdr>
            <w:top w:val="none" w:sz="0" w:space="0" w:color="auto"/>
            <w:left w:val="none" w:sz="0" w:space="0" w:color="auto"/>
            <w:bottom w:val="none" w:sz="0" w:space="0" w:color="auto"/>
            <w:right w:val="none" w:sz="0" w:space="0" w:color="auto"/>
          </w:divBdr>
        </w:div>
        <w:div w:id="1720208896">
          <w:marLeft w:val="0"/>
          <w:marRight w:val="0"/>
          <w:marTop w:val="0"/>
          <w:marBottom w:val="0"/>
          <w:divBdr>
            <w:top w:val="none" w:sz="0" w:space="0" w:color="auto"/>
            <w:left w:val="none" w:sz="0" w:space="0" w:color="auto"/>
            <w:bottom w:val="none" w:sz="0" w:space="0" w:color="auto"/>
            <w:right w:val="none" w:sz="0" w:space="0" w:color="auto"/>
          </w:divBdr>
        </w:div>
        <w:div w:id="2000035482">
          <w:marLeft w:val="0"/>
          <w:marRight w:val="0"/>
          <w:marTop w:val="0"/>
          <w:marBottom w:val="0"/>
          <w:divBdr>
            <w:top w:val="none" w:sz="0" w:space="0" w:color="auto"/>
            <w:left w:val="none" w:sz="0" w:space="0" w:color="auto"/>
            <w:bottom w:val="none" w:sz="0" w:space="0" w:color="auto"/>
            <w:right w:val="none" w:sz="0" w:space="0" w:color="auto"/>
          </w:divBdr>
        </w:div>
      </w:divsChild>
    </w:div>
    <w:div w:id="406079675">
      <w:bodyDiv w:val="1"/>
      <w:marLeft w:val="0"/>
      <w:marRight w:val="0"/>
      <w:marTop w:val="0"/>
      <w:marBottom w:val="0"/>
      <w:divBdr>
        <w:top w:val="none" w:sz="0" w:space="0" w:color="auto"/>
        <w:left w:val="none" w:sz="0" w:space="0" w:color="auto"/>
        <w:bottom w:val="none" w:sz="0" w:space="0" w:color="auto"/>
        <w:right w:val="none" w:sz="0" w:space="0" w:color="auto"/>
      </w:divBdr>
      <w:divsChild>
        <w:div w:id="658851772">
          <w:marLeft w:val="0"/>
          <w:marRight w:val="0"/>
          <w:marTop w:val="0"/>
          <w:marBottom w:val="0"/>
          <w:divBdr>
            <w:top w:val="none" w:sz="0" w:space="0" w:color="auto"/>
            <w:left w:val="none" w:sz="0" w:space="0" w:color="auto"/>
            <w:bottom w:val="none" w:sz="0" w:space="0" w:color="auto"/>
            <w:right w:val="none" w:sz="0" w:space="0" w:color="auto"/>
          </w:divBdr>
        </w:div>
        <w:div w:id="1999963854">
          <w:marLeft w:val="0"/>
          <w:marRight w:val="0"/>
          <w:marTop w:val="0"/>
          <w:marBottom w:val="0"/>
          <w:divBdr>
            <w:top w:val="none" w:sz="0" w:space="0" w:color="auto"/>
            <w:left w:val="none" w:sz="0" w:space="0" w:color="auto"/>
            <w:bottom w:val="none" w:sz="0" w:space="0" w:color="auto"/>
            <w:right w:val="none" w:sz="0" w:space="0" w:color="auto"/>
          </w:divBdr>
        </w:div>
      </w:divsChild>
    </w:div>
    <w:div w:id="421411539">
      <w:bodyDiv w:val="1"/>
      <w:marLeft w:val="0"/>
      <w:marRight w:val="0"/>
      <w:marTop w:val="0"/>
      <w:marBottom w:val="0"/>
      <w:divBdr>
        <w:top w:val="none" w:sz="0" w:space="0" w:color="auto"/>
        <w:left w:val="none" w:sz="0" w:space="0" w:color="auto"/>
        <w:bottom w:val="none" w:sz="0" w:space="0" w:color="auto"/>
        <w:right w:val="none" w:sz="0" w:space="0" w:color="auto"/>
      </w:divBdr>
      <w:divsChild>
        <w:div w:id="1599950971">
          <w:marLeft w:val="0"/>
          <w:marRight w:val="0"/>
          <w:marTop w:val="0"/>
          <w:marBottom w:val="0"/>
          <w:divBdr>
            <w:top w:val="none" w:sz="0" w:space="0" w:color="auto"/>
            <w:left w:val="none" w:sz="0" w:space="0" w:color="auto"/>
            <w:bottom w:val="none" w:sz="0" w:space="0" w:color="auto"/>
            <w:right w:val="none" w:sz="0" w:space="0" w:color="auto"/>
          </w:divBdr>
        </w:div>
        <w:div w:id="1668553932">
          <w:marLeft w:val="0"/>
          <w:marRight w:val="0"/>
          <w:marTop w:val="0"/>
          <w:marBottom w:val="0"/>
          <w:divBdr>
            <w:top w:val="none" w:sz="0" w:space="0" w:color="auto"/>
            <w:left w:val="none" w:sz="0" w:space="0" w:color="auto"/>
            <w:bottom w:val="none" w:sz="0" w:space="0" w:color="auto"/>
            <w:right w:val="none" w:sz="0" w:space="0" w:color="auto"/>
          </w:divBdr>
        </w:div>
      </w:divsChild>
    </w:div>
    <w:div w:id="602538031">
      <w:bodyDiv w:val="1"/>
      <w:marLeft w:val="0"/>
      <w:marRight w:val="0"/>
      <w:marTop w:val="0"/>
      <w:marBottom w:val="0"/>
      <w:divBdr>
        <w:top w:val="none" w:sz="0" w:space="0" w:color="auto"/>
        <w:left w:val="none" w:sz="0" w:space="0" w:color="auto"/>
        <w:bottom w:val="none" w:sz="0" w:space="0" w:color="auto"/>
        <w:right w:val="none" w:sz="0" w:space="0" w:color="auto"/>
      </w:divBdr>
      <w:divsChild>
        <w:div w:id="96337937">
          <w:marLeft w:val="0"/>
          <w:marRight w:val="0"/>
          <w:marTop w:val="0"/>
          <w:marBottom w:val="0"/>
          <w:divBdr>
            <w:top w:val="none" w:sz="0" w:space="0" w:color="auto"/>
            <w:left w:val="none" w:sz="0" w:space="0" w:color="auto"/>
            <w:bottom w:val="none" w:sz="0" w:space="0" w:color="auto"/>
            <w:right w:val="none" w:sz="0" w:space="0" w:color="auto"/>
          </w:divBdr>
        </w:div>
        <w:div w:id="465005606">
          <w:marLeft w:val="0"/>
          <w:marRight w:val="0"/>
          <w:marTop w:val="0"/>
          <w:marBottom w:val="0"/>
          <w:divBdr>
            <w:top w:val="none" w:sz="0" w:space="0" w:color="auto"/>
            <w:left w:val="none" w:sz="0" w:space="0" w:color="auto"/>
            <w:bottom w:val="none" w:sz="0" w:space="0" w:color="auto"/>
            <w:right w:val="none" w:sz="0" w:space="0" w:color="auto"/>
          </w:divBdr>
        </w:div>
        <w:div w:id="719596446">
          <w:marLeft w:val="0"/>
          <w:marRight w:val="0"/>
          <w:marTop w:val="0"/>
          <w:marBottom w:val="0"/>
          <w:divBdr>
            <w:top w:val="none" w:sz="0" w:space="0" w:color="auto"/>
            <w:left w:val="none" w:sz="0" w:space="0" w:color="auto"/>
            <w:bottom w:val="none" w:sz="0" w:space="0" w:color="auto"/>
            <w:right w:val="none" w:sz="0" w:space="0" w:color="auto"/>
          </w:divBdr>
        </w:div>
        <w:div w:id="929195781">
          <w:marLeft w:val="0"/>
          <w:marRight w:val="0"/>
          <w:marTop w:val="0"/>
          <w:marBottom w:val="0"/>
          <w:divBdr>
            <w:top w:val="none" w:sz="0" w:space="0" w:color="auto"/>
            <w:left w:val="none" w:sz="0" w:space="0" w:color="auto"/>
            <w:bottom w:val="none" w:sz="0" w:space="0" w:color="auto"/>
            <w:right w:val="none" w:sz="0" w:space="0" w:color="auto"/>
          </w:divBdr>
        </w:div>
        <w:div w:id="980767061">
          <w:marLeft w:val="0"/>
          <w:marRight w:val="0"/>
          <w:marTop w:val="0"/>
          <w:marBottom w:val="0"/>
          <w:divBdr>
            <w:top w:val="none" w:sz="0" w:space="0" w:color="auto"/>
            <w:left w:val="none" w:sz="0" w:space="0" w:color="auto"/>
            <w:bottom w:val="none" w:sz="0" w:space="0" w:color="auto"/>
            <w:right w:val="none" w:sz="0" w:space="0" w:color="auto"/>
          </w:divBdr>
        </w:div>
        <w:div w:id="1726566322">
          <w:marLeft w:val="0"/>
          <w:marRight w:val="0"/>
          <w:marTop w:val="0"/>
          <w:marBottom w:val="0"/>
          <w:divBdr>
            <w:top w:val="none" w:sz="0" w:space="0" w:color="auto"/>
            <w:left w:val="none" w:sz="0" w:space="0" w:color="auto"/>
            <w:bottom w:val="none" w:sz="0" w:space="0" w:color="auto"/>
            <w:right w:val="none" w:sz="0" w:space="0" w:color="auto"/>
          </w:divBdr>
        </w:div>
        <w:div w:id="1800759690">
          <w:marLeft w:val="0"/>
          <w:marRight w:val="0"/>
          <w:marTop w:val="0"/>
          <w:marBottom w:val="0"/>
          <w:divBdr>
            <w:top w:val="none" w:sz="0" w:space="0" w:color="auto"/>
            <w:left w:val="none" w:sz="0" w:space="0" w:color="auto"/>
            <w:bottom w:val="none" w:sz="0" w:space="0" w:color="auto"/>
            <w:right w:val="none" w:sz="0" w:space="0" w:color="auto"/>
          </w:divBdr>
        </w:div>
        <w:div w:id="1849369348">
          <w:marLeft w:val="0"/>
          <w:marRight w:val="0"/>
          <w:marTop w:val="0"/>
          <w:marBottom w:val="0"/>
          <w:divBdr>
            <w:top w:val="none" w:sz="0" w:space="0" w:color="auto"/>
            <w:left w:val="none" w:sz="0" w:space="0" w:color="auto"/>
            <w:bottom w:val="none" w:sz="0" w:space="0" w:color="auto"/>
            <w:right w:val="none" w:sz="0" w:space="0" w:color="auto"/>
          </w:divBdr>
        </w:div>
      </w:divsChild>
    </w:div>
    <w:div w:id="621035922">
      <w:bodyDiv w:val="1"/>
      <w:marLeft w:val="0"/>
      <w:marRight w:val="0"/>
      <w:marTop w:val="0"/>
      <w:marBottom w:val="0"/>
      <w:divBdr>
        <w:top w:val="none" w:sz="0" w:space="0" w:color="auto"/>
        <w:left w:val="none" w:sz="0" w:space="0" w:color="auto"/>
        <w:bottom w:val="none" w:sz="0" w:space="0" w:color="auto"/>
        <w:right w:val="none" w:sz="0" w:space="0" w:color="auto"/>
      </w:divBdr>
    </w:div>
    <w:div w:id="675692128">
      <w:bodyDiv w:val="1"/>
      <w:marLeft w:val="0"/>
      <w:marRight w:val="0"/>
      <w:marTop w:val="0"/>
      <w:marBottom w:val="0"/>
      <w:divBdr>
        <w:top w:val="none" w:sz="0" w:space="0" w:color="auto"/>
        <w:left w:val="none" w:sz="0" w:space="0" w:color="auto"/>
        <w:bottom w:val="none" w:sz="0" w:space="0" w:color="auto"/>
        <w:right w:val="none" w:sz="0" w:space="0" w:color="auto"/>
      </w:divBdr>
      <w:divsChild>
        <w:div w:id="401683693">
          <w:marLeft w:val="0"/>
          <w:marRight w:val="0"/>
          <w:marTop w:val="0"/>
          <w:marBottom w:val="0"/>
          <w:divBdr>
            <w:top w:val="none" w:sz="0" w:space="0" w:color="auto"/>
            <w:left w:val="none" w:sz="0" w:space="0" w:color="auto"/>
            <w:bottom w:val="none" w:sz="0" w:space="0" w:color="auto"/>
            <w:right w:val="none" w:sz="0" w:space="0" w:color="auto"/>
          </w:divBdr>
        </w:div>
        <w:div w:id="1829243152">
          <w:marLeft w:val="0"/>
          <w:marRight w:val="0"/>
          <w:marTop w:val="0"/>
          <w:marBottom w:val="0"/>
          <w:divBdr>
            <w:top w:val="none" w:sz="0" w:space="0" w:color="auto"/>
            <w:left w:val="none" w:sz="0" w:space="0" w:color="auto"/>
            <w:bottom w:val="none" w:sz="0" w:space="0" w:color="auto"/>
            <w:right w:val="none" w:sz="0" w:space="0" w:color="auto"/>
          </w:divBdr>
        </w:div>
        <w:div w:id="2039578025">
          <w:marLeft w:val="0"/>
          <w:marRight w:val="0"/>
          <w:marTop w:val="0"/>
          <w:marBottom w:val="0"/>
          <w:divBdr>
            <w:top w:val="none" w:sz="0" w:space="0" w:color="auto"/>
            <w:left w:val="none" w:sz="0" w:space="0" w:color="auto"/>
            <w:bottom w:val="none" w:sz="0" w:space="0" w:color="auto"/>
            <w:right w:val="none" w:sz="0" w:space="0" w:color="auto"/>
          </w:divBdr>
        </w:div>
      </w:divsChild>
    </w:div>
    <w:div w:id="676152369">
      <w:bodyDiv w:val="1"/>
      <w:marLeft w:val="0"/>
      <w:marRight w:val="0"/>
      <w:marTop w:val="0"/>
      <w:marBottom w:val="0"/>
      <w:divBdr>
        <w:top w:val="none" w:sz="0" w:space="0" w:color="auto"/>
        <w:left w:val="none" w:sz="0" w:space="0" w:color="auto"/>
        <w:bottom w:val="none" w:sz="0" w:space="0" w:color="auto"/>
        <w:right w:val="none" w:sz="0" w:space="0" w:color="auto"/>
      </w:divBdr>
      <w:divsChild>
        <w:div w:id="277222028">
          <w:marLeft w:val="0"/>
          <w:marRight w:val="0"/>
          <w:marTop w:val="0"/>
          <w:marBottom w:val="0"/>
          <w:divBdr>
            <w:top w:val="none" w:sz="0" w:space="0" w:color="auto"/>
            <w:left w:val="none" w:sz="0" w:space="0" w:color="auto"/>
            <w:bottom w:val="none" w:sz="0" w:space="0" w:color="auto"/>
            <w:right w:val="none" w:sz="0" w:space="0" w:color="auto"/>
          </w:divBdr>
        </w:div>
        <w:div w:id="416554989">
          <w:marLeft w:val="0"/>
          <w:marRight w:val="0"/>
          <w:marTop w:val="0"/>
          <w:marBottom w:val="0"/>
          <w:divBdr>
            <w:top w:val="none" w:sz="0" w:space="0" w:color="auto"/>
            <w:left w:val="none" w:sz="0" w:space="0" w:color="auto"/>
            <w:bottom w:val="none" w:sz="0" w:space="0" w:color="auto"/>
            <w:right w:val="none" w:sz="0" w:space="0" w:color="auto"/>
          </w:divBdr>
        </w:div>
        <w:div w:id="452751378">
          <w:marLeft w:val="0"/>
          <w:marRight w:val="0"/>
          <w:marTop w:val="0"/>
          <w:marBottom w:val="0"/>
          <w:divBdr>
            <w:top w:val="none" w:sz="0" w:space="0" w:color="auto"/>
            <w:left w:val="none" w:sz="0" w:space="0" w:color="auto"/>
            <w:bottom w:val="none" w:sz="0" w:space="0" w:color="auto"/>
            <w:right w:val="none" w:sz="0" w:space="0" w:color="auto"/>
          </w:divBdr>
        </w:div>
        <w:div w:id="453256336">
          <w:marLeft w:val="0"/>
          <w:marRight w:val="0"/>
          <w:marTop w:val="0"/>
          <w:marBottom w:val="0"/>
          <w:divBdr>
            <w:top w:val="none" w:sz="0" w:space="0" w:color="auto"/>
            <w:left w:val="none" w:sz="0" w:space="0" w:color="auto"/>
            <w:bottom w:val="none" w:sz="0" w:space="0" w:color="auto"/>
            <w:right w:val="none" w:sz="0" w:space="0" w:color="auto"/>
          </w:divBdr>
        </w:div>
        <w:div w:id="488863038">
          <w:marLeft w:val="0"/>
          <w:marRight w:val="0"/>
          <w:marTop w:val="0"/>
          <w:marBottom w:val="0"/>
          <w:divBdr>
            <w:top w:val="none" w:sz="0" w:space="0" w:color="auto"/>
            <w:left w:val="none" w:sz="0" w:space="0" w:color="auto"/>
            <w:bottom w:val="none" w:sz="0" w:space="0" w:color="auto"/>
            <w:right w:val="none" w:sz="0" w:space="0" w:color="auto"/>
          </w:divBdr>
        </w:div>
        <w:div w:id="674235498">
          <w:marLeft w:val="0"/>
          <w:marRight w:val="0"/>
          <w:marTop w:val="0"/>
          <w:marBottom w:val="0"/>
          <w:divBdr>
            <w:top w:val="none" w:sz="0" w:space="0" w:color="auto"/>
            <w:left w:val="none" w:sz="0" w:space="0" w:color="auto"/>
            <w:bottom w:val="none" w:sz="0" w:space="0" w:color="auto"/>
            <w:right w:val="none" w:sz="0" w:space="0" w:color="auto"/>
          </w:divBdr>
        </w:div>
        <w:div w:id="707295111">
          <w:marLeft w:val="0"/>
          <w:marRight w:val="0"/>
          <w:marTop w:val="0"/>
          <w:marBottom w:val="0"/>
          <w:divBdr>
            <w:top w:val="none" w:sz="0" w:space="0" w:color="auto"/>
            <w:left w:val="none" w:sz="0" w:space="0" w:color="auto"/>
            <w:bottom w:val="none" w:sz="0" w:space="0" w:color="auto"/>
            <w:right w:val="none" w:sz="0" w:space="0" w:color="auto"/>
          </w:divBdr>
        </w:div>
        <w:div w:id="1161653525">
          <w:marLeft w:val="0"/>
          <w:marRight w:val="0"/>
          <w:marTop w:val="0"/>
          <w:marBottom w:val="0"/>
          <w:divBdr>
            <w:top w:val="none" w:sz="0" w:space="0" w:color="auto"/>
            <w:left w:val="none" w:sz="0" w:space="0" w:color="auto"/>
            <w:bottom w:val="none" w:sz="0" w:space="0" w:color="auto"/>
            <w:right w:val="none" w:sz="0" w:space="0" w:color="auto"/>
          </w:divBdr>
        </w:div>
        <w:div w:id="1172527254">
          <w:marLeft w:val="0"/>
          <w:marRight w:val="0"/>
          <w:marTop w:val="0"/>
          <w:marBottom w:val="0"/>
          <w:divBdr>
            <w:top w:val="none" w:sz="0" w:space="0" w:color="auto"/>
            <w:left w:val="none" w:sz="0" w:space="0" w:color="auto"/>
            <w:bottom w:val="none" w:sz="0" w:space="0" w:color="auto"/>
            <w:right w:val="none" w:sz="0" w:space="0" w:color="auto"/>
          </w:divBdr>
        </w:div>
        <w:div w:id="1364674794">
          <w:marLeft w:val="0"/>
          <w:marRight w:val="0"/>
          <w:marTop w:val="0"/>
          <w:marBottom w:val="0"/>
          <w:divBdr>
            <w:top w:val="none" w:sz="0" w:space="0" w:color="auto"/>
            <w:left w:val="none" w:sz="0" w:space="0" w:color="auto"/>
            <w:bottom w:val="none" w:sz="0" w:space="0" w:color="auto"/>
            <w:right w:val="none" w:sz="0" w:space="0" w:color="auto"/>
          </w:divBdr>
        </w:div>
        <w:div w:id="1432970911">
          <w:marLeft w:val="0"/>
          <w:marRight w:val="0"/>
          <w:marTop w:val="0"/>
          <w:marBottom w:val="0"/>
          <w:divBdr>
            <w:top w:val="none" w:sz="0" w:space="0" w:color="auto"/>
            <w:left w:val="none" w:sz="0" w:space="0" w:color="auto"/>
            <w:bottom w:val="none" w:sz="0" w:space="0" w:color="auto"/>
            <w:right w:val="none" w:sz="0" w:space="0" w:color="auto"/>
          </w:divBdr>
        </w:div>
        <w:div w:id="1451054100">
          <w:marLeft w:val="0"/>
          <w:marRight w:val="0"/>
          <w:marTop w:val="0"/>
          <w:marBottom w:val="0"/>
          <w:divBdr>
            <w:top w:val="none" w:sz="0" w:space="0" w:color="auto"/>
            <w:left w:val="none" w:sz="0" w:space="0" w:color="auto"/>
            <w:bottom w:val="none" w:sz="0" w:space="0" w:color="auto"/>
            <w:right w:val="none" w:sz="0" w:space="0" w:color="auto"/>
          </w:divBdr>
        </w:div>
        <w:div w:id="2084645914">
          <w:marLeft w:val="0"/>
          <w:marRight w:val="0"/>
          <w:marTop w:val="0"/>
          <w:marBottom w:val="0"/>
          <w:divBdr>
            <w:top w:val="none" w:sz="0" w:space="0" w:color="auto"/>
            <w:left w:val="none" w:sz="0" w:space="0" w:color="auto"/>
            <w:bottom w:val="none" w:sz="0" w:space="0" w:color="auto"/>
            <w:right w:val="none" w:sz="0" w:space="0" w:color="auto"/>
          </w:divBdr>
        </w:div>
      </w:divsChild>
    </w:div>
    <w:div w:id="739720112">
      <w:bodyDiv w:val="1"/>
      <w:marLeft w:val="0"/>
      <w:marRight w:val="0"/>
      <w:marTop w:val="0"/>
      <w:marBottom w:val="0"/>
      <w:divBdr>
        <w:top w:val="none" w:sz="0" w:space="0" w:color="auto"/>
        <w:left w:val="none" w:sz="0" w:space="0" w:color="auto"/>
        <w:bottom w:val="none" w:sz="0" w:space="0" w:color="auto"/>
        <w:right w:val="none" w:sz="0" w:space="0" w:color="auto"/>
      </w:divBdr>
      <w:divsChild>
        <w:div w:id="35551703">
          <w:marLeft w:val="0"/>
          <w:marRight w:val="0"/>
          <w:marTop w:val="0"/>
          <w:marBottom w:val="0"/>
          <w:divBdr>
            <w:top w:val="none" w:sz="0" w:space="0" w:color="auto"/>
            <w:left w:val="none" w:sz="0" w:space="0" w:color="auto"/>
            <w:bottom w:val="none" w:sz="0" w:space="0" w:color="auto"/>
            <w:right w:val="none" w:sz="0" w:space="0" w:color="auto"/>
          </w:divBdr>
        </w:div>
        <w:div w:id="112867945">
          <w:marLeft w:val="0"/>
          <w:marRight w:val="0"/>
          <w:marTop w:val="0"/>
          <w:marBottom w:val="0"/>
          <w:divBdr>
            <w:top w:val="none" w:sz="0" w:space="0" w:color="auto"/>
            <w:left w:val="none" w:sz="0" w:space="0" w:color="auto"/>
            <w:bottom w:val="none" w:sz="0" w:space="0" w:color="auto"/>
            <w:right w:val="none" w:sz="0" w:space="0" w:color="auto"/>
          </w:divBdr>
        </w:div>
        <w:div w:id="171840039">
          <w:marLeft w:val="0"/>
          <w:marRight w:val="0"/>
          <w:marTop w:val="0"/>
          <w:marBottom w:val="0"/>
          <w:divBdr>
            <w:top w:val="none" w:sz="0" w:space="0" w:color="auto"/>
            <w:left w:val="none" w:sz="0" w:space="0" w:color="auto"/>
            <w:bottom w:val="none" w:sz="0" w:space="0" w:color="auto"/>
            <w:right w:val="none" w:sz="0" w:space="0" w:color="auto"/>
          </w:divBdr>
        </w:div>
        <w:div w:id="206456324">
          <w:marLeft w:val="0"/>
          <w:marRight w:val="0"/>
          <w:marTop w:val="0"/>
          <w:marBottom w:val="0"/>
          <w:divBdr>
            <w:top w:val="none" w:sz="0" w:space="0" w:color="auto"/>
            <w:left w:val="none" w:sz="0" w:space="0" w:color="auto"/>
            <w:bottom w:val="none" w:sz="0" w:space="0" w:color="auto"/>
            <w:right w:val="none" w:sz="0" w:space="0" w:color="auto"/>
          </w:divBdr>
        </w:div>
        <w:div w:id="253825483">
          <w:marLeft w:val="0"/>
          <w:marRight w:val="0"/>
          <w:marTop w:val="0"/>
          <w:marBottom w:val="0"/>
          <w:divBdr>
            <w:top w:val="none" w:sz="0" w:space="0" w:color="auto"/>
            <w:left w:val="none" w:sz="0" w:space="0" w:color="auto"/>
            <w:bottom w:val="none" w:sz="0" w:space="0" w:color="auto"/>
            <w:right w:val="none" w:sz="0" w:space="0" w:color="auto"/>
          </w:divBdr>
        </w:div>
        <w:div w:id="361907247">
          <w:marLeft w:val="0"/>
          <w:marRight w:val="0"/>
          <w:marTop w:val="0"/>
          <w:marBottom w:val="0"/>
          <w:divBdr>
            <w:top w:val="none" w:sz="0" w:space="0" w:color="auto"/>
            <w:left w:val="none" w:sz="0" w:space="0" w:color="auto"/>
            <w:bottom w:val="none" w:sz="0" w:space="0" w:color="auto"/>
            <w:right w:val="none" w:sz="0" w:space="0" w:color="auto"/>
          </w:divBdr>
        </w:div>
        <w:div w:id="474106088">
          <w:marLeft w:val="0"/>
          <w:marRight w:val="0"/>
          <w:marTop w:val="0"/>
          <w:marBottom w:val="0"/>
          <w:divBdr>
            <w:top w:val="none" w:sz="0" w:space="0" w:color="auto"/>
            <w:left w:val="none" w:sz="0" w:space="0" w:color="auto"/>
            <w:bottom w:val="none" w:sz="0" w:space="0" w:color="auto"/>
            <w:right w:val="none" w:sz="0" w:space="0" w:color="auto"/>
          </w:divBdr>
        </w:div>
        <w:div w:id="713777228">
          <w:marLeft w:val="0"/>
          <w:marRight w:val="0"/>
          <w:marTop w:val="0"/>
          <w:marBottom w:val="0"/>
          <w:divBdr>
            <w:top w:val="none" w:sz="0" w:space="0" w:color="auto"/>
            <w:left w:val="none" w:sz="0" w:space="0" w:color="auto"/>
            <w:bottom w:val="none" w:sz="0" w:space="0" w:color="auto"/>
            <w:right w:val="none" w:sz="0" w:space="0" w:color="auto"/>
          </w:divBdr>
        </w:div>
        <w:div w:id="744958858">
          <w:marLeft w:val="0"/>
          <w:marRight w:val="0"/>
          <w:marTop w:val="0"/>
          <w:marBottom w:val="0"/>
          <w:divBdr>
            <w:top w:val="none" w:sz="0" w:space="0" w:color="auto"/>
            <w:left w:val="none" w:sz="0" w:space="0" w:color="auto"/>
            <w:bottom w:val="none" w:sz="0" w:space="0" w:color="auto"/>
            <w:right w:val="none" w:sz="0" w:space="0" w:color="auto"/>
          </w:divBdr>
        </w:div>
        <w:div w:id="1092386659">
          <w:marLeft w:val="0"/>
          <w:marRight w:val="0"/>
          <w:marTop w:val="0"/>
          <w:marBottom w:val="0"/>
          <w:divBdr>
            <w:top w:val="none" w:sz="0" w:space="0" w:color="auto"/>
            <w:left w:val="none" w:sz="0" w:space="0" w:color="auto"/>
            <w:bottom w:val="none" w:sz="0" w:space="0" w:color="auto"/>
            <w:right w:val="none" w:sz="0" w:space="0" w:color="auto"/>
          </w:divBdr>
        </w:div>
        <w:div w:id="1149790068">
          <w:marLeft w:val="0"/>
          <w:marRight w:val="0"/>
          <w:marTop w:val="0"/>
          <w:marBottom w:val="0"/>
          <w:divBdr>
            <w:top w:val="none" w:sz="0" w:space="0" w:color="auto"/>
            <w:left w:val="none" w:sz="0" w:space="0" w:color="auto"/>
            <w:bottom w:val="none" w:sz="0" w:space="0" w:color="auto"/>
            <w:right w:val="none" w:sz="0" w:space="0" w:color="auto"/>
          </w:divBdr>
        </w:div>
        <w:div w:id="1362130836">
          <w:marLeft w:val="0"/>
          <w:marRight w:val="0"/>
          <w:marTop w:val="0"/>
          <w:marBottom w:val="0"/>
          <w:divBdr>
            <w:top w:val="none" w:sz="0" w:space="0" w:color="auto"/>
            <w:left w:val="none" w:sz="0" w:space="0" w:color="auto"/>
            <w:bottom w:val="none" w:sz="0" w:space="0" w:color="auto"/>
            <w:right w:val="none" w:sz="0" w:space="0" w:color="auto"/>
          </w:divBdr>
        </w:div>
        <w:div w:id="2076194663">
          <w:marLeft w:val="0"/>
          <w:marRight w:val="0"/>
          <w:marTop w:val="0"/>
          <w:marBottom w:val="0"/>
          <w:divBdr>
            <w:top w:val="none" w:sz="0" w:space="0" w:color="auto"/>
            <w:left w:val="none" w:sz="0" w:space="0" w:color="auto"/>
            <w:bottom w:val="none" w:sz="0" w:space="0" w:color="auto"/>
            <w:right w:val="none" w:sz="0" w:space="0" w:color="auto"/>
          </w:divBdr>
        </w:div>
      </w:divsChild>
    </w:div>
    <w:div w:id="755320225">
      <w:bodyDiv w:val="1"/>
      <w:marLeft w:val="0"/>
      <w:marRight w:val="0"/>
      <w:marTop w:val="0"/>
      <w:marBottom w:val="0"/>
      <w:divBdr>
        <w:top w:val="none" w:sz="0" w:space="0" w:color="auto"/>
        <w:left w:val="none" w:sz="0" w:space="0" w:color="auto"/>
        <w:bottom w:val="none" w:sz="0" w:space="0" w:color="auto"/>
        <w:right w:val="none" w:sz="0" w:space="0" w:color="auto"/>
      </w:divBdr>
      <w:divsChild>
        <w:div w:id="92164176">
          <w:marLeft w:val="0"/>
          <w:marRight w:val="0"/>
          <w:marTop w:val="0"/>
          <w:marBottom w:val="0"/>
          <w:divBdr>
            <w:top w:val="none" w:sz="0" w:space="0" w:color="auto"/>
            <w:left w:val="none" w:sz="0" w:space="0" w:color="auto"/>
            <w:bottom w:val="none" w:sz="0" w:space="0" w:color="auto"/>
            <w:right w:val="none" w:sz="0" w:space="0" w:color="auto"/>
          </w:divBdr>
        </w:div>
        <w:div w:id="649477193">
          <w:marLeft w:val="0"/>
          <w:marRight w:val="0"/>
          <w:marTop w:val="0"/>
          <w:marBottom w:val="0"/>
          <w:divBdr>
            <w:top w:val="none" w:sz="0" w:space="0" w:color="auto"/>
            <w:left w:val="none" w:sz="0" w:space="0" w:color="auto"/>
            <w:bottom w:val="none" w:sz="0" w:space="0" w:color="auto"/>
            <w:right w:val="none" w:sz="0" w:space="0" w:color="auto"/>
          </w:divBdr>
        </w:div>
        <w:div w:id="669411425">
          <w:marLeft w:val="0"/>
          <w:marRight w:val="0"/>
          <w:marTop w:val="0"/>
          <w:marBottom w:val="0"/>
          <w:divBdr>
            <w:top w:val="none" w:sz="0" w:space="0" w:color="auto"/>
            <w:left w:val="none" w:sz="0" w:space="0" w:color="auto"/>
            <w:bottom w:val="none" w:sz="0" w:space="0" w:color="auto"/>
            <w:right w:val="none" w:sz="0" w:space="0" w:color="auto"/>
          </w:divBdr>
        </w:div>
        <w:div w:id="1383628008">
          <w:marLeft w:val="0"/>
          <w:marRight w:val="0"/>
          <w:marTop w:val="0"/>
          <w:marBottom w:val="0"/>
          <w:divBdr>
            <w:top w:val="none" w:sz="0" w:space="0" w:color="auto"/>
            <w:left w:val="none" w:sz="0" w:space="0" w:color="auto"/>
            <w:bottom w:val="none" w:sz="0" w:space="0" w:color="auto"/>
            <w:right w:val="none" w:sz="0" w:space="0" w:color="auto"/>
          </w:divBdr>
        </w:div>
        <w:div w:id="1408066376">
          <w:marLeft w:val="0"/>
          <w:marRight w:val="0"/>
          <w:marTop w:val="0"/>
          <w:marBottom w:val="0"/>
          <w:divBdr>
            <w:top w:val="none" w:sz="0" w:space="0" w:color="auto"/>
            <w:left w:val="none" w:sz="0" w:space="0" w:color="auto"/>
            <w:bottom w:val="none" w:sz="0" w:space="0" w:color="auto"/>
            <w:right w:val="none" w:sz="0" w:space="0" w:color="auto"/>
          </w:divBdr>
        </w:div>
        <w:div w:id="1968930242">
          <w:marLeft w:val="0"/>
          <w:marRight w:val="0"/>
          <w:marTop w:val="0"/>
          <w:marBottom w:val="0"/>
          <w:divBdr>
            <w:top w:val="none" w:sz="0" w:space="0" w:color="auto"/>
            <w:left w:val="none" w:sz="0" w:space="0" w:color="auto"/>
            <w:bottom w:val="none" w:sz="0" w:space="0" w:color="auto"/>
            <w:right w:val="none" w:sz="0" w:space="0" w:color="auto"/>
          </w:divBdr>
        </w:div>
      </w:divsChild>
    </w:div>
    <w:div w:id="770128348">
      <w:bodyDiv w:val="1"/>
      <w:marLeft w:val="0"/>
      <w:marRight w:val="0"/>
      <w:marTop w:val="0"/>
      <w:marBottom w:val="0"/>
      <w:divBdr>
        <w:top w:val="none" w:sz="0" w:space="0" w:color="auto"/>
        <w:left w:val="none" w:sz="0" w:space="0" w:color="auto"/>
        <w:bottom w:val="none" w:sz="0" w:space="0" w:color="auto"/>
        <w:right w:val="none" w:sz="0" w:space="0" w:color="auto"/>
      </w:divBdr>
      <w:divsChild>
        <w:div w:id="569652704">
          <w:marLeft w:val="0"/>
          <w:marRight w:val="0"/>
          <w:marTop w:val="0"/>
          <w:marBottom w:val="0"/>
          <w:divBdr>
            <w:top w:val="none" w:sz="0" w:space="0" w:color="auto"/>
            <w:left w:val="none" w:sz="0" w:space="0" w:color="auto"/>
            <w:bottom w:val="none" w:sz="0" w:space="0" w:color="auto"/>
            <w:right w:val="none" w:sz="0" w:space="0" w:color="auto"/>
          </w:divBdr>
        </w:div>
        <w:div w:id="599024092">
          <w:marLeft w:val="0"/>
          <w:marRight w:val="0"/>
          <w:marTop w:val="0"/>
          <w:marBottom w:val="0"/>
          <w:divBdr>
            <w:top w:val="none" w:sz="0" w:space="0" w:color="auto"/>
            <w:left w:val="none" w:sz="0" w:space="0" w:color="auto"/>
            <w:bottom w:val="none" w:sz="0" w:space="0" w:color="auto"/>
            <w:right w:val="none" w:sz="0" w:space="0" w:color="auto"/>
          </w:divBdr>
        </w:div>
        <w:div w:id="917790264">
          <w:marLeft w:val="0"/>
          <w:marRight w:val="0"/>
          <w:marTop w:val="0"/>
          <w:marBottom w:val="0"/>
          <w:divBdr>
            <w:top w:val="none" w:sz="0" w:space="0" w:color="auto"/>
            <w:left w:val="none" w:sz="0" w:space="0" w:color="auto"/>
            <w:bottom w:val="none" w:sz="0" w:space="0" w:color="auto"/>
            <w:right w:val="none" w:sz="0" w:space="0" w:color="auto"/>
          </w:divBdr>
        </w:div>
        <w:div w:id="1858884812">
          <w:marLeft w:val="0"/>
          <w:marRight w:val="0"/>
          <w:marTop w:val="0"/>
          <w:marBottom w:val="0"/>
          <w:divBdr>
            <w:top w:val="none" w:sz="0" w:space="0" w:color="auto"/>
            <w:left w:val="none" w:sz="0" w:space="0" w:color="auto"/>
            <w:bottom w:val="none" w:sz="0" w:space="0" w:color="auto"/>
            <w:right w:val="none" w:sz="0" w:space="0" w:color="auto"/>
          </w:divBdr>
        </w:div>
        <w:div w:id="2139256027">
          <w:marLeft w:val="0"/>
          <w:marRight w:val="0"/>
          <w:marTop w:val="0"/>
          <w:marBottom w:val="0"/>
          <w:divBdr>
            <w:top w:val="none" w:sz="0" w:space="0" w:color="auto"/>
            <w:left w:val="none" w:sz="0" w:space="0" w:color="auto"/>
            <w:bottom w:val="none" w:sz="0" w:space="0" w:color="auto"/>
            <w:right w:val="none" w:sz="0" w:space="0" w:color="auto"/>
          </w:divBdr>
        </w:div>
      </w:divsChild>
    </w:div>
    <w:div w:id="773403470">
      <w:bodyDiv w:val="1"/>
      <w:marLeft w:val="0"/>
      <w:marRight w:val="0"/>
      <w:marTop w:val="0"/>
      <w:marBottom w:val="0"/>
      <w:divBdr>
        <w:top w:val="none" w:sz="0" w:space="0" w:color="auto"/>
        <w:left w:val="none" w:sz="0" w:space="0" w:color="auto"/>
        <w:bottom w:val="none" w:sz="0" w:space="0" w:color="auto"/>
        <w:right w:val="none" w:sz="0" w:space="0" w:color="auto"/>
      </w:divBdr>
      <w:divsChild>
        <w:div w:id="1159036636">
          <w:marLeft w:val="0"/>
          <w:marRight w:val="0"/>
          <w:marTop w:val="0"/>
          <w:marBottom w:val="0"/>
          <w:divBdr>
            <w:top w:val="none" w:sz="0" w:space="0" w:color="auto"/>
            <w:left w:val="none" w:sz="0" w:space="0" w:color="auto"/>
            <w:bottom w:val="none" w:sz="0" w:space="0" w:color="auto"/>
            <w:right w:val="none" w:sz="0" w:space="0" w:color="auto"/>
          </w:divBdr>
        </w:div>
        <w:div w:id="2050033722">
          <w:marLeft w:val="0"/>
          <w:marRight w:val="0"/>
          <w:marTop w:val="0"/>
          <w:marBottom w:val="0"/>
          <w:divBdr>
            <w:top w:val="none" w:sz="0" w:space="0" w:color="auto"/>
            <w:left w:val="none" w:sz="0" w:space="0" w:color="auto"/>
            <w:bottom w:val="none" w:sz="0" w:space="0" w:color="auto"/>
            <w:right w:val="none" w:sz="0" w:space="0" w:color="auto"/>
          </w:divBdr>
        </w:div>
      </w:divsChild>
    </w:div>
    <w:div w:id="914976684">
      <w:bodyDiv w:val="1"/>
      <w:marLeft w:val="0"/>
      <w:marRight w:val="0"/>
      <w:marTop w:val="0"/>
      <w:marBottom w:val="0"/>
      <w:divBdr>
        <w:top w:val="none" w:sz="0" w:space="0" w:color="auto"/>
        <w:left w:val="none" w:sz="0" w:space="0" w:color="auto"/>
        <w:bottom w:val="none" w:sz="0" w:space="0" w:color="auto"/>
        <w:right w:val="none" w:sz="0" w:space="0" w:color="auto"/>
      </w:divBdr>
      <w:divsChild>
        <w:div w:id="601643432">
          <w:marLeft w:val="0"/>
          <w:marRight w:val="0"/>
          <w:marTop w:val="0"/>
          <w:marBottom w:val="0"/>
          <w:divBdr>
            <w:top w:val="none" w:sz="0" w:space="0" w:color="auto"/>
            <w:left w:val="none" w:sz="0" w:space="0" w:color="auto"/>
            <w:bottom w:val="none" w:sz="0" w:space="0" w:color="auto"/>
            <w:right w:val="none" w:sz="0" w:space="0" w:color="auto"/>
          </w:divBdr>
        </w:div>
        <w:div w:id="664362588">
          <w:marLeft w:val="0"/>
          <w:marRight w:val="0"/>
          <w:marTop w:val="0"/>
          <w:marBottom w:val="0"/>
          <w:divBdr>
            <w:top w:val="none" w:sz="0" w:space="0" w:color="auto"/>
            <w:left w:val="none" w:sz="0" w:space="0" w:color="auto"/>
            <w:bottom w:val="none" w:sz="0" w:space="0" w:color="auto"/>
            <w:right w:val="none" w:sz="0" w:space="0" w:color="auto"/>
          </w:divBdr>
        </w:div>
      </w:divsChild>
    </w:div>
    <w:div w:id="1012032338">
      <w:bodyDiv w:val="1"/>
      <w:marLeft w:val="0"/>
      <w:marRight w:val="0"/>
      <w:marTop w:val="0"/>
      <w:marBottom w:val="0"/>
      <w:divBdr>
        <w:top w:val="none" w:sz="0" w:space="0" w:color="auto"/>
        <w:left w:val="none" w:sz="0" w:space="0" w:color="auto"/>
        <w:bottom w:val="none" w:sz="0" w:space="0" w:color="auto"/>
        <w:right w:val="none" w:sz="0" w:space="0" w:color="auto"/>
      </w:divBdr>
      <w:divsChild>
        <w:div w:id="984117869">
          <w:marLeft w:val="0"/>
          <w:marRight w:val="0"/>
          <w:marTop w:val="0"/>
          <w:marBottom w:val="0"/>
          <w:divBdr>
            <w:top w:val="none" w:sz="0" w:space="0" w:color="auto"/>
            <w:left w:val="none" w:sz="0" w:space="0" w:color="auto"/>
            <w:bottom w:val="none" w:sz="0" w:space="0" w:color="auto"/>
            <w:right w:val="none" w:sz="0" w:space="0" w:color="auto"/>
          </w:divBdr>
          <w:divsChild>
            <w:div w:id="517357087">
              <w:marLeft w:val="0"/>
              <w:marRight w:val="0"/>
              <w:marTop w:val="0"/>
              <w:marBottom w:val="0"/>
              <w:divBdr>
                <w:top w:val="none" w:sz="0" w:space="0" w:color="auto"/>
                <w:left w:val="none" w:sz="0" w:space="0" w:color="auto"/>
                <w:bottom w:val="none" w:sz="0" w:space="0" w:color="auto"/>
                <w:right w:val="none" w:sz="0" w:space="0" w:color="auto"/>
              </w:divBdr>
            </w:div>
            <w:div w:id="1036000586">
              <w:marLeft w:val="0"/>
              <w:marRight w:val="0"/>
              <w:marTop w:val="0"/>
              <w:marBottom w:val="0"/>
              <w:divBdr>
                <w:top w:val="none" w:sz="0" w:space="0" w:color="auto"/>
                <w:left w:val="none" w:sz="0" w:space="0" w:color="auto"/>
                <w:bottom w:val="none" w:sz="0" w:space="0" w:color="auto"/>
                <w:right w:val="none" w:sz="0" w:space="0" w:color="auto"/>
              </w:divBdr>
            </w:div>
            <w:div w:id="2129623354">
              <w:marLeft w:val="0"/>
              <w:marRight w:val="0"/>
              <w:marTop w:val="0"/>
              <w:marBottom w:val="0"/>
              <w:divBdr>
                <w:top w:val="none" w:sz="0" w:space="0" w:color="auto"/>
                <w:left w:val="none" w:sz="0" w:space="0" w:color="auto"/>
                <w:bottom w:val="none" w:sz="0" w:space="0" w:color="auto"/>
                <w:right w:val="none" w:sz="0" w:space="0" w:color="auto"/>
              </w:divBdr>
            </w:div>
          </w:divsChild>
        </w:div>
        <w:div w:id="1067917743">
          <w:marLeft w:val="0"/>
          <w:marRight w:val="0"/>
          <w:marTop w:val="0"/>
          <w:marBottom w:val="0"/>
          <w:divBdr>
            <w:top w:val="none" w:sz="0" w:space="0" w:color="auto"/>
            <w:left w:val="none" w:sz="0" w:space="0" w:color="auto"/>
            <w:bottom w:val="none" w:sz="0" w:space="0" w:color="auto"/>
            <w:right w:val="none" w:sz="0" w:space="0" w:color="auto"/>
          </w:divBdr>
          <w:divsChild>
            <w:div w:id="164825585">
              <w:marLeft w:val="0"/>
              <w:marRight w:val="0"/>
              <w:marTop w:val="0"/>
              <w:marBottom w:val="0"/>
              <w:divBdr>
                <w:top w:val="none" w:sz="0" w:space="0" w:color="auto"/>
                <w:left w:val="none" w:sz="0" w:space="0" w:color="auto"/>
                <w:bottom w:val="none" w:sz="0" w:space="0" w:color="auto"/>
                <w:right w:val="none" w:sz="0" w:space="0" w:color="auto"/>
              </w:divBdr>
            </w:div>
            <w:div w:id="223492919">
              <w:marLeft w:val="0"/>
              <w:marRight w:val="0"/>
              <w:marTop w:val="0"/>
              <w:marBottom w:val="0"/>
              <w:divBdr>
                <w:top w:val="none" w:sz="0" w:space="0" w:color="auto"/>
                <w:left w:val="none" w:sz="0" w:space="0" w:color="auto"/>
                <w:bottom w:val="none" w:sz="0" w:space="0" w:color="auto"/>
                <w:right w:val="none" w:sz="0" w:space="0" w:color="auto"/>
              </w:divBdr>
            </w:div>
            <w:div w:id="339816585">
              <w:marLeft w:val="0"/>
              <w:marRight w:val="0"/>
              <w:marTop w:val="0"/>
              <w:marBottom w:val="0"/>
              <w:divBdr>
                <w:top w:val="none" w:sz="0" w:space="0" w:color="auto"/>
                <w:left w:val="none" w:sz="0" w:space="0" w:color="auto"/>
                <w:bottom w:val="none" w:sz="0" w:space="0" w:color="auto"/>
                <w:right w:val="none" w:sz="0" w:space="0" w:color="auto"/>
              </w:divBdr>
            </w:div>
            <w:div w:id="700400445">
              <w:marLeft w:val="0"/>
              <w:marRight w:val="0"/>
              <w:marTop w:val="0"/>
              <w:marBottom w:val="0"/>
              <w:divBdr>
                <w:top w:val="none" w:sz="0" w:space="0" w:color="auto"/>
                <w:left w:val="none" w:sz="0" w:space="0" w:color="auto"/>
                <w:bottom w:val="none" w:sz="0" w:space="0" w:color="auto"/>
                <w:right w:val="none" w:sz="0" w:space="0" w:color="auto"/>
              </w:divBdr>
            </w:div>
            <w:div w:id="1234773038">
              <w:marLeft w:val="0"/>
              <w:marRight w:val="0"/>
              <w:marTop w:val="0"/>
              <w:marBottom w:val="0"/>
              <w:divBdr>
                <w:top w:val="none" w:sz="0" w:space="0" w:color="auto"/>
                <w:left w:val="none" w:sz="0" w:space="0" w:color="auto"/>
                <w:bottom w:val="none" w:sz="0" w:space="0" w:color="auto"/>
                <w:right w:val="none" w:sz="0" w:space="0" w:color="auto"/>
              </w:divBdr>
            </w:div>
            <w:div w:id="1922567359">
              <w:marLeft w:val="0"/>
              <w:marRight w:val="0"/>
              <w:marTop w:val="0"/>
              <w:marBottom w:val="0"/>
              <w:divBdr>
                <w:top w:val="none" w:sz="0" w:space="0" w:color="auto"/>
                <w:left w:val="none" w:sz="0" w:space="0" w:color="auto"/>
                <w:bottom w:val="none" w:sz="0" w:space="0" w:color="auto"/>
                <w:right w:val="none" w:sz="0" w:space="0" w:color="auto"/>
              </w:divBdr>
            </w:div>
            <w:div w:id="193555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9839">
      <w:bodyDiv w:val="1"/>
      <w:marLeft w:val="0"/>
      <w:marRight w:val="0"/>
      <w:marTop w:val="0"/>
      <w:marBottom w:val="0"/>
      <w:divBdr>
        <w:top w:val="none" w:sz="0" w:space="0" w:color="auto"/>
        <w:left w:val="none" w:sz="0" w:space="0" w:color="auto"/>
        <w:bottom w:val="none" w:sz="0" w:space="0" w:color="auto"/>
        <w:right w:val="none" w:sz="0" w:space="0" w:color="auto"/>
      </w:divBdr>
      <w:divsChild>
        <w:div w:id="500120907">
          <w:marLeft w:val="0"/>
          <w:marRight w:val="0"/>
          <w:marTop w:val="0"/>
          <w:marBottom w:val="0"/>
          <w:divBdr>
            <w:top w:val="none" w:sz="0" w:space="0" w:color="auto"/>
            <w:left w:val="none" w:sz="0" w:space="0" w:color="auto"/>
            <w:bottom w:val="none" w:sz="0" w:space="0" w:color="auto"/>
            <w:right w:val="none" w:sz="0" w:space="0" w:color="auto"/>
          </w:divBdr>
        </w:div>
        <w:div w:id="1929804293">
          <w:marLeft w:val="0"/>
          <w:marRight w:val="0"/>
          <w:marTop w:val="0"/>
          <w:marBottom w:val="0"/>
          <w:divBdr>
            <w:top w:val="none" w:sz="0" w:space="0" w:color="auto"/>
            <w:left w:val="none" w:sz="0" w:space="0" w:color="auto"/>
            <w:bottom w:val="none" w:sz="0" w:space="0" w:color="auto"/>
            <w:right w:val="none" w:sz="0" w:space="0" w:color="auto"/>
          </w:divBdr>
        </w:div>
      </w:divsChild>
    </w:div>
    <w:div w:id="1030910692">
      <w:bodyDiv w:val="1"/>
      <w:marLeft w:val="0"/>
      <w:marRight w:val="0"/>
      <w:marTop w:val="0"/>
      <w:marBottom w:val="0"/>
      <w:divBdr>
        <w:top w:val="none" w:sz="0" w:space="0" w:color="auto"/>
        <w:left w:val="none" w:sz="0" w:space="0" w:color="auto"/>
        <w:bottom w:val="none" w:sz="0" w:space="0" w:color="auto"/>
        <w:right w:val="none" w:sz="0" w:space="0" w:color="auto"/>
      </w:divBdr>
      <w:divsChild>
        <w:div w:id="1127310238">
          <w:marLeft w:val="0"/>
          <w:marRight w:val="0"/>
          <w:marTop w:val="0"/>
          <w:marBottom w:val="0"/>
          <w:divBdr>
            <w:top w:val="none" w:sz="0" w:space="0" w:color="auto"/>
            <w:left w:val="none" w:sz="0" w:space="0" w:color="auto"/>
            <w:bottom w:val="none" w:sz="0" w:space="0" w:color="auto"/>
            <w:right w:val="none" w:sz="0" w:space="0" w:color="auto"/>
          </w:divBdr>
          <w:divsChild>
            <w:div w:id="208300194">
              <w:marLeft w:val="0"/>
              <w:marRight w:val="0"/>
              <w:marTop w:val="0"/>
              <w:marBottom w:val="0"/>
              <w:divBdr>
                <w:top w:val="none" w:sz="0" w:space="0" w:color="auto"/>
                <w:left w:val="none" w:sz="0" w:space="0" w:color="auto"/>
                <w:bottom w:val="none" w:sz="0" w:space="0" w:color="auto"/>
                <w:right w:val="none" w:sz="0" w:space="0" w:color="auto"/>
              </w:divBdr>
            </w:div>
            <w:div w:id="221907332">
              <w:marLeft w:val="0"/>
              <w:marRight w:val="0"/>
              <w:marTop w:val="0"/>
              <w:marBottom w:val="0"/>
              <w:divBdr>
                <w:top w:val="none" w:sz="0" w:space="0" w:color="auto"/>
                <w:left w:val="none" w:sz="0" w:space="0" w:color="auto"/>
                <w:bottom w:val="none" w:sz="0" w:space="0" w:color="auto"/>
                <w:right w:val="none" w:sz="0" w:space="0" w:color="auto"/>
              </w:divBdr>
            </w:div>
            <w:div w:id="992493357">
              <w:marLeft w:val="0"/>
              <w:marRight w:val="0"/>
              <w:marTop w:val="0"/>
              <w:marBottom w:val="0"/>
              <w:divBdr>
                <w:top w:val="none" w:sz="0" w:space="0" w:color="auto"/>
                <w:left w:val="none" w:sz="0" w:space="0" w:color="auto"/>
                <w:bottom w:val="none" w:sz="0" w:space="0" w:color="auto"/>
                <w:right w:val="none" w:sz="0" w:space="0" w:color="auto"/>
              </w:divBdr>
            </w:div>
            <w:div w:id="1048646391">
              <w:marLeft w:val="0"/>
              <w:marRight w:val="0"/>
              <w:marTop w:val="0"/>
              <w:marBottom w:val="0"/>
              <w:divBdr>
                <w:top w:val="none" w:sz="0" w:space="0" w:color="auto"/>
                <w:left w:val="none" w:sz="0" w:space="0" w:color="auto"/>
                <w:bottom w:val="none" w:sz="0" w:space="0" w:color="auto"/>
                <w:right w:val="none" w:sz="0" w:space="0" w:color="auto"/>
              </w:divBdr>
            </w:div>
            <w:div w:id="1241797332">
              <w:marLeft w:val="0"/>
              <w:marRight w:val="0"/>
              <w:marTop w:val="0"/>
              <w:marBottom w:val="0"/>
              <w:divBdr>
                <w:top w:val="none" w:sz="0" w:space="0" w:color="auto"/>
                <w:left w:val="none" w:sz="0" w:space="0" w:color="auto"/>
                <w:bottom w:val="none" w:sz="0" w:space="0" w:color="auto"/>
                <w:right w:val="none" w:sz="0" w:space="0" w:color="auto"/>
              </w:divBdr>
            </w:div>
            <w:div w:id="1913007758">
              <w:marLeft w:val="0"/>
              <w:marRight w:val="0"/>
              <w:marTop w:val="0"/>
              <w:marBottom w:val="0"/>
              <w:divBdr>
                <w:top w:val="none" w:sz="0" w:space="0" w:color="auto"/>
                <w:left w:val="none" w:sz="0" w:space="0" w:color="auto"/>
                <w:bottom w:val="none" w:sz="0" w:space="0" w:color="auto"/>
                <w:right w:val="none" w:sz="0" w:space="0" w:color="auto"/>
              </w:divBdr>
            </w:div>
            <w:div w:id="1938950070">
              <w:marLeft w:val="0"/>
              <w:marRight w:val="0"/>
              <w:marTop w:val="0"/>
              <w:marBottom w:val="0"/>
              <w:divBdr>
                <w:top w:val="none" w:sz="0" w:space="0" w:color="auto"/>
                <w:left w:val="none" w:sz="0" w:space="0" w:color="auto"/>
                <w:bottom w:val="none" w:sz="0" w:space="0" w:color="auto"/>
                <w:right w:val="none" w:sz="0" w:space="0" w:color="auto"/>
              </w:divBdr>
            </w:div>
          </w:divsChild>
        </w:div>
        <w:div w:id="1806121396">
          <w:marLeft w:val="0"/>
          <w:marRight w:val="0"/>
          <w:marTop w:val="0"/>
          <w:marBottom w:val="0"/>
          <w:divBdr>
            <w:top w:val="none" w:sz="0" w:space="0" w:color="auto"/>
            <w:left w:val="none" w:sz="0" w:space="0" w:color="auto"/>
            <w:bottom w:val="none" w:sz="0" w:space="0" w:color="auto"/>
            <w:right w:val="none" w:sz="0" w:space="0" w:color="auto"/>
          </w:divBdr>
          <w:divsChild>
            <w:div w:id="610630364">
              <w:marLeft w:val="0"/>
              <w:marRight w:val="0"/>
              <w:marTop w:val="0"/>
              <w:marBottom w:val="0"/>
              <w:divBdr>
                <w:top w:val="none" w:sz="0" w:space="0" w:color="auto"/>
                <w:left w:val="none" w:sz="0" w:space="0" w:color="auto"/>
                <w:bottom w:val="none" w:sz="0" w:space="0" w:color="auto"/>
                <w:right w:val="none" w:sz="0" w:space="0" w:color="auto"/>
              </w:divBdr>
            </w:div>
            <w:div w:id="771709766">
              <w:marLeft w:val="0"/>
              <w:marRight w:val="0"/>
              <w:marTop w:val="0"/>
              <w:marBottom w:val="0"/>
              <w:divBdr>
                <w:top w:val="none" w:sz="0" w:space="0" w:color="auto"/>
                <w:left w:val="none" w:sz="0" w:space="0" w:color="auto"/>
                <w:bottom w:val="none" w:sz="0" w:space="0" w:color="auto"/>
                <w:right w:val="none" w:sz="0" w:space="0" w:color="auto"/>
              </w:divBdr>
            </w:div>
            <w:div w:id="13096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72783">
      <w:bodyDiv w:val="1"/>
      <w:marLeft w:val="0"/>
      <w:marRight w:val="0"/>
      <w:marTop w:val="0"/>
      <w:marBottom w:val="0"/>
      <w:divBdr>
        <w:top w:val="none" w:sz="0" w:space="0" w:color="auto"/>
        <w:left w:val="none" w:sz="0" w:space="0" w:color="auto"/>
        <w:bottom w:val="none" w:sz="0" w:space="0" w:color="auto"/>
        <w:right w:val="none" w:sz="0" w:space="0" w:color="auto"/>
      </w:divBdr>
      <w:divsChild>
        <w:div w:id="79377934">
          <w:marLeft w:val="0"/>
          <w:marRight w:val="0"/>
          <w:marTop w:val="0"/>
          <w:marBottom w:val="0"/>
          <w:divBdr>
            <w:top w:val="none" w:sz="0" w:space="0" w:color="auto"/>
            <w:left w:val="none" w:sz="0" w:space="0" w:color="auto"/>
            <w:bottom w:val="none" w:sz="0" w:space="0" w:color="auto"/>
            <w:right w:val="none" w:sz="0" w:space="0" w:color="auto"/>
          </w:divBdr>
        </w:div>
        <w:div w:id="1522011627">
          <w:marLeft w:val="0"/>
          <w:marRight w:val="0"/>
          <w:marTop w:val="0"/>
          <w:marBottom w:val="0"/>
          <w:divBdr>
            <w:top w:val="none" w:sz="0" w:space="0" w:color="auto"/>
            <w:left w:val="none" w:sz="0" w:space="0" w:color="auto"/>
            <w:bottom w:val="none" w:sz="0" w:space="0" w:color="auto"/>
            <w:right w:val="none" w:sz="0" w:space="0" w:color="auto"/>
          </w:divBdr>
        </w:div>
        <w:div w:id="1936131134">
          <w:marLeft w:val="0"/>
          <w:marRight w:val="0"/>
          <w:marTop w:val="0"/>
          <w:marBottom w:val="0"/>
          <w:divBdr>
            <w:top w:val="none" w:sz="0" w:space="0" w:color="auto"/>
            <w:left w:val="none" w:sz="0" w:space="0" w:color="auto"/>
            <w:bottom w:val="none" w:sz="0" w:space="0" w:color="auto"/>
            <w:right w:val="none" w:sz="0" w:space="0" w:color="auto"/>
          </w:divBdr>
        </w:div>
      </w:divsChild>
    </w:div>
    <w:div w:id="1142693429">
      <w:bodyDiv w:val="1"/>
      <w:marLeft w:val="0"/>
      <w:marRight w:val="0"/>
      <w:marTop w:val="0"/>
      <w:marBottom w:val="0"/>
      <w:divBdr>
        <w:top w:val="none" w:sz="0" w:space="0" w:color="auto"/>
        <w:left w:val="none" w:sz="0" w:space="0" w:color="auto"/>
        <w:bottom w:val="none" w:sz="0" w:space="0" w:color="auto"/>
        <w:right w:val="none" w:sz="0" w:space="0" w:color="auto"/>
      </w:divBdr>
      <w:divsChild>
        <w:div w:id="488639698">
          <w:marLeft w:val="0"/>
          <w:marRight w:val="0"/>
          <w:marTop w:val="0"/>
          <w:marBottom w:val="0"/>
          <w:divBdr>
            <w:top w:val="none" w:sz="0" w:space="0" w:color="auto"/>
            <w:left w:val="none" w:sz="0" w:space="0" w:color="auto"/>
            <w:bottom w:val="none" w:sz="0" w:space="0" w:color="auto"/>
            <w:right w:val="none" w:sz="0" w:space="0" w:color="auto"/>
          </w:divBdr>
        </w:div>
        <w:div w:id="1444956730">
          <w:marLeft w:val="0"/>
          <w:marRight w:val="0"/>
          <w:marTop w:val="0"/>
          <w:marBottom w:val="0"/>
          <w:divBdr>
            <w:top w:val="none" w:sz="0" w:space="0" w:color="auto"/>
            <w:left w:val="none" w:sz="0" w:space="0" w:color="auto"/>
            <w:bottom w:val="none" w:sz="0" w:space="0" w:color="auto"/>
            <w:right w:val="none" w:sz="0" w:space="0" w:color="auto"/>
          </w:divBdr>
          <w:divsChild>
            <w:div w:id="678586945">
              <w:marLeft w:val="0"/>
              <w:marRight w:val="0"/>
              <w:marTop w:val="0"/>
              <w:marBottom w:val="0"/>
              <w:divBdr>
                <w:top w:val="none" w:sz="0" w:space="0" w:color="auto"/>
                <w:left w:val="none" w:sz="0" w:space="0" w:color="auto"/>
                <w:bottom w:val="none" w:sz="0" w:space="0" w:color="auto"/>
                <w:right w:val="none" w:sz="0" w:space="0" w:color="auto"/>
              </w:divBdr>
            </w:div>
            <w:div w:id="1126846927">
              <w:marLeft w:val="0"/>
              <w:marRight w:val="0"/>
              <w:marTop w:val="0"/>
              <w:marBottom w:val="0"/>
              <w:divBdr>
                <w:top w:val="none" w:sz="0" w:space="0" w:color="auto"/>
                <w:left w:val="none" w:sz="0" w:space="0" w:color="auto"/>
                <w:bottom w:val="none" w:sz="0" w:space="0" w:color="auto"/>
                <w:right w:val="none" w:sz="0" w:space="0" w:color="auto"/>
              </w:divBdr>
            </w:div>
            <w:div w:id="1369914157">
              <w:marLeft w:val="0"/>
              <w:marRight w:val="0"/>
              <w:marTop w:val="0"/>
              <w:marBottom w:val="0"/>
              <w:divBdr>
                <w:top w:val="none" w:sz="0" w:space="0" w:color="auto"/>
                <w:left w:val="none" w:sz="0" w:space="0" w:color="auto"/>
                <w:bottom w:val="none" w:sz="0" w:space="0" w:color="auto"/>
                <w:right w:val="none" w:sz="0" w:space="0" w:color="auto"/>
              </w:divBdr>
            </w:div>
            <w:div w:id="1455053395">
              <w:marLeft w:val="0"/>
              <w:marRight w:val="0"/>
              <w:marTop w:val="0"/>
              <w:marBottom w:val="0"/>
              <w:divBdr>
                <w:top w:val="none" w:sz="0" w:space="0" w:color="auto"/>
                <w:left w:val="none" w:sz="0" w:space="0" w:color="auto"/>
                <w:bottom w:val="none" w:sz="0" w:space="0" w:color="auto"/>
                <w:right w:val="none" w:sz="0" w:space="0" w:color="auto"/>
              </w:divBdr>
            </w:div>
            <w:div w:id="1637636235">
              <w:marLeft w:val="0"/>
              <w:marRight w:val="0"/>
              <w:marTop w:val="0"/>
              <w:marBottom w:val="0"/>
              <w:divBdr>
                <w:top w:val="none" w:sz="0" w:space="0" w:color="auto"/>
                <w:left w:val="none" w:sz="0" w:space="0" w:color="auto"/>
                <w:bottom w:val="none" w:sz="0" w:space="0" w:color="auto"/>
                <w:right w:val="none" w:sz="0" w:space="0" w:color="auto"/>
              </w:divBdr>
            </w:div>
            <w:div w:id="21374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98199">
      <w:bodyDiv w:val="1"/>
      <w:marLeft w:val="0"/>
      <w:marRight w:val="0"/>
      <w:marTop w:val="0"/>
      <w:marBottom w:val="0"/>
      <w:divBdr>
        <w:top w:val="none" w:sz="0" w:space="0" w:color="auto"/>
        <w:left w:val="none" w:sz="0" w:space="0" w:color="auto"/>
        <w:bottom w:val="none" w:sz="0" w:space="0" w:color="auto"/>
        <w:right w:val="none" w:sz="0" w:space="0" w:color="auto"/>
      </w:divBdr>
    </w:div>
    <w:div w:id="1254895017">
      <w:bodyDiv w:val="1"/>
      <w:marLeft w:val="0"/>
      <w:marRight w:val="0"/>
      <w:marTop w:val="0"/>
      <w:marBottom w:val="0"/>
      <w:divBdr>
        <w:top w:val="none" w:sz="0" w:space="0" w:color="auto"/>
        <w:left w:val="none" w:sz="0" w:space="0" w:color="auto"/>
        <w:bottom w:val="none" w:sz="0" w:space="0" w:color="auto"/>
        <w:right w:val="none" w:sz="0" w:space="0" w:color="auto"/>
      </w:divBdr>
      <w:divsChild>
        <w:div w:id="1708602954">
          <w:marLeft w:val="0"/>
          <w:marRight w:val="0"/>
          <w:marTop w:val="0"/>
          <w:marBottom w:val="0"/>
          <w:divBdr>
            <w:top w:val="none" w:sz="0" w:space="0" w:color="auto"/>
            <w:left w:val="none" w:sz="0" w:space="0" w:color="auto"/>
            <w:bottom w:val="none" w:sz="0" w:space="0" w:color="auto"/>
            <w:right w:val="none" w:sz="0" w:space="0" w:color="auto"/>
          </w:divBdr>
          <w:divsChild>
            <w:div w:id="27487088">
              <w:marLeft w:val="0"/>
              <w:marRight w:val="0"/>
              <w:marTop w:val="0"/>
              <w:marBottom w:val="0"/>
              <w:divBdr>
                <w:top w:val="none" w:sz="0" w:space="0" w:color="auto"/>
                <w:left w:val="none" w:sz="0" w:space="0" w:color="auto"/>
                <w:bottom w:val="none" w:sz="0" w:space="0" w:color="auto"/>
                <w:right w:val="none" w:sz="0" w:space="0" w:color="auto"/>
              </w:divBdr>
            </w:div>
            <w:div w:id="202905220">
              <w:marLeft w:val="0"/>
              <w:marRight w:val="0"/>
              <w:marTop w:val="0"/>
              <w:marBottom w:val="0"/>
              <w:divBdr>
                <w:top w:val="none" w:sz="0" w:space="0" w:color="auto"/>
                <w:left w:val="none" w:sz="0" w:space="0" w:color="auto"/>
                <w:bottom w:val="none" w:sz="0" w:space="0" w:color="auto"/>
                <w:right w:val="none" w:sz="0" w:space="0" w:color="auto"/>
              </w:divBdr>
            </w:div>
            <w:div w:id="804541587">
              <w:marLeft w:val="0"/>
              <w:marRight w:val="0"/>
              <w:marTop w:val="0"/>
              <w:marBottom w:val="0"/>
              <w:divBdr>
                <w:top w:val="none" w:sz="0" w:space="0" w:color="auto"/>
                <w:left w:val="none" w:sz="0" w:space="0" w:color="auto"/>
                <w:bottom w:val="none" w:sz="0" w:space="0" w:color="auto"/>
                <w:right w:val="none" w:sz="0" w:space="0" w:color="auto"/>
              </w:divBdr>
            </w:div>
            <w:div w:id="1098595481">
              <w:marLeft w:val="0"/>
              <w:marRight w:val="0"/>
              <w:marTop w:val="0"/>
              <w:marBottom w:val="0"/>
              <w:divBdr>
                <w:top w:val="none" w:sz="0" w:space="0" w:color="auto"/>
                <w:left w:val="none" w:sz="0" w:space="0" w:color="auto"/>
                <w:bottom w:val="none" w:sz="0" w:space="0" w:color="auto"/>
                <w:right w:val="none" w:sz="0" w:space="0" w:color="auto"/>
              </w:divBdr>
            </w:div>
            <w:div w:id="1242759213">
              <w:marLeft w:val="0"/>
              <w:marRight w:val="0"/>
              <w:marTop w:val="0"/>
              <w:marBottom w:val="0"/>
              <w:divBdr>
                <w:top w:val="none" w:sz="0" w:space="0" w:color="auto"/>
                <w:left w:val="none" w:sz="0" w:space="0" w:color="auto"/>
                <w:bottom w:val="none" w:sz="0" w:space="0" w:color="auto"/>
                <w:right w:val="none" w:sz="0" w:space="0" w:color="auto"/>
              </w:divBdr>
            </w:div>
            <w:div w:id="1420714534">
              <w:marLeft w:val="0"/>
              <w:marRight w:val="0"/>
              <w:marTop w:val="0"/>
              <w:marBottom w:val="0"/>
              <w:divBdr>
                <w:top w:val="none" w:sz="0" w:space="0" w:color="auto"/>
                <w:left w:val="none" w:sz="0" w:space="0" w:color="auto"/>
                <w:bottom w:val="none" w:sz="0" w:space="0" w:color="auto"/>
                <w:right w:val="none" w:sz="0" w:space="0" w:color="auto"/>
              </w:divBdr>
            </w:div>
            <w:div w:id="1585189473">
              <w:marLeft w:val="0"/>
              <w:marRight w:val="0"/>
              <w:marTop w:val="0"/>
              <w:marBottom w:val="0"/>
              <w:divBdr>
                <w:top w:val="none" w:sz="0" w:space="0" w:color="auto"/>
                <w:left w:val="none" w:sz="0" w:space="0" w:color="auto"/>
                <w:bottom w:val="none" w:sz="0" w:space="0" w:color="auto"/>
                <w:right w:val="none" w:sz="0" w:space="0" w:color="auto"/>
              </w:divBdr>
            </w:div>
          </w:divsChild>
        </w:div>
        <w:div w:id="1982803257">
          <w:marLeft w:val="0"/>
          <w:marRight w:val="0"/>
          <w:marTop w:val="0"/>
          <w:marBottom w:val="0"/>
          <w:divBdr>
            <w:top w:val="none" w:sz="0" w:space="0" w:color="auto"/>
            <w:left w:val="none" w:sz="0" w:space="0" w:color="auto"/>
            <w:bottom w:val="none" w:sz="0" w:space="0" w:color="auto"/>
            <w:right w:val="none" w:sz="0" w:space="0" w:color="auto"/>
          </w:divBdr>
          <w:divsChild>
            <w:div w:id="996148804">
              <w:marLeft w:val="0"/>
              <w:marRight w:val="0"/>
              <w:marTop w:val="0"/>
              <w:marBottom w:val="0"/>
              <w:divBdr>
                <w:top w:val="none" w:sz="0" w:space="0" w:color="auto"/>
                <w:left w:val="none" w:sz="0" w:space="0" w:color="auto"/>
                <w:bottom w:val="none" w:sz="0" w:space="0" w:color="auto"/>
                <w:right w:val="none" w:sz="0" w:space="0" w:color="auto"/>
              </w:divBdr>
            </w:div>
            <w:div w:id="1498181707">
              <w:marLeft w:val="0"/>
              <w:marRight w:val="0"/>
              <w:marTop w:val="0"/>
              <w:marBottom w:val="0"/>
              <w:divBdr>
                <w:top w:val="none" w:sz="0" w:space="0" w:color="auto"/>
                <w:left w:val="none" w:sz="0" w:space="0" w:color="auto"/>
                <w:bottom w:val="none" w:sz="0" w:space="0" w:color="auto"/>
                <w:right w:val="none" w:sz="0" w:space="0" w:color="auto"/>
              </w:divBdr>
            </w:div>
            <w:div w:id="156267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5051">
      <w:bodyDiv w:val="1"/>
      <w:marLeft w:val="0"/>
      <w:marRight w:val="0"/>
      <w:marTop w:val="0"/>
      <w:marBottom w:val="0"/>
      <w:divBdr>
        <w:top w:val="none" w:sz="0" w:space="0" w:color="auto"/>
        <w:left w:val="none" w:sz="0" w:space="0" w:color="auto"/>
        <w:bottom w:val="none" w:sz="0" w:space="0" w:color="auto"/>
        <w:right w:val="none" w:sz="0" w:space="0" w:color="auto"/>
      </w:divBdr>
    </w:div>
    <w:div w:id="1380014254">
      <w:bodyDiv w:val="1"/>
      <w:marLeft w:val="0"/>
      <w:marRight w:val="0"/>
      <w:marTop w:val="0"/>
      <w:marBottom w:val="0"/>
      <w:divBdr>
        <w:top w:val="none" w:sz="0" w:space="0" w:color="auto"/>
        <w:left w:val="none" w:sz="0" w:space="0" w:color="auto"/>
        <w:bottom w:val="none" w:sz="0" w:space="0" w:color="auto"/>
        <w:right w:val="none" w:sz="0" w:space="0" w:color="auto"/>
      </w:divBdr>
      <w:divsChild>
        <w:div w:id="156389011">
          <w:marLeft w:val="0"/>
          <w:marRight w:val="0"/>
          <w:marTop w:val="0"/>
          <w:marBottom w:val="0"/>
          <w:divBdr>
            <w:top w:val="none" w:sz="0" w:space="0" w:color="auto"/>
            <w:left w:val="none" w:sz="0" w:space="0" w:color="auto"/>
            <w:bottom w:val="none" w:sz="0" w:space="0" w:color="auto"/>
            <w:right w:val="none" w:sz="0" w:space="0" w:color="auto"/>
          </w:divBdr>
        </w:div>
        <w:div w:id="202400550">
          <w:marLeft w:val="0"/>
          <w:marRight w:val="0"/>
          <w:marTop w:val="0"/>
          <w:marBottom w:val="0"/>
          <w:divBdr>
            <w:top w:val="none" w:sz="0" w:space="0" w:color="auto"/>
            <w:left w:val="none" w:sz="0" w:space="0" w:color="auto"/>
            <w:bottom w:val="none" w:sz="0" w:space="0" w:color="auto"/>
            <w:right w:val="none" w:sz="0" w:space="0" w:color="auto"/>
          </w:divBdr>
        </w:div>
        <w:div w:id="239609090">
          <w:marLeft w:val="0"/>
          <w:marRight w:val="0"/>
          <w:marTop w:val="0"/>
          <w:marBottom w:val="0"/>
          <w:divBdr>
            <w:top w:val="none" w:sz="0" w:space="0" w:color="auto"/>
            <w:left w:val="none" w:sz="0" w:space="0" w:color="auto"/>
            <w:bottom w:val="none" w:sz="0" w:space="0" w:color="auto"/>
            <w:right w:val="none" w:sz="0" w:space="0" w:color="auto"/>
          </w:divBdr>
        </w:div>
        <w:div w:id="317811975">
          <w:marLeft w:val="0"/>
          <w:marRight w:val="0"/>
          <w:marTop w:val="0"/>
          <w:marBottom w:val="0"/>
          <w:divBdr>
            <w:top w:val="none" w:sz="0" w:space="0" w:color="auto"/>
            <w:left w:val="none" w:sz="0" w:space="0" w:color="auto"/>
            <w:bottom w:val="none" w:sz="0" w:space="0" w:color="auto"/>
            <w:right w:val="none" w:sz="0" w:space="0" w:color="auto"/>
          </w:divBdr>
        </w:div>
        <w:div w:id="1747725231">
          <w:marLeft w:val="0"/>
          <w:marRight w:val="0"/>
          <w:marTop w:val="0"/>
          <w:marBottom w:val="0"/>
          <w:divBdr>
            <w:top w:val="none" w:sz="0" w:space="0" w:color="auto"/>
            <w:left w:val="none" w:sz="0" w:space="0" w:color="auto"/>
            <w:bottom w:val="none" w:sz="0" w:space="0" w:color="auto"/>
            <w:right w:val="none" w:sz="0" w:space="0" w:color="auto"/>
          </w:divBdr>
        </w:div>
        <w:div w:id="1749305573">
          <w:marLeft w:val="0"/>
          <w:marRight w:val="0"/>
          <w:marTop w:val="0"/>
          <w:marBottom w:val="0"/>
          <w:divBdr>
            <w:top w:val="none" w:sz="0" w:space="0" w:color="auto"/>
            <w:left w:val="none" w:sz="0" w:space="0" w:color="auto"/>
            <w:bottom w:val="none" w:sz="0" w:space="0" w:color="auto"/>
            <w:right w:val="none" w:sz="0" w:space="0" w:color="auto"/>
          </w:divBdr>
        </w:div>
        <w:div w:id="2003510899">
          <w:marLeft w:val="0"/>
          <w:marRight w:val="0"/>
          <w:marTop w:val="0"/>
          <w:marBottom w:val="0"/>
          <w:divBdr>
            <w:top w:val="none" w:sz="0" w:space="0" w:color="auto"/>
            <w:left w:val="none" w:sz="0" w:space="0" w:color="auto"/>
            <w:bottom w:val="none" w:sz="0" w:space="0" w:color="auto"/>
            <w:right w:val="none" w:sz="0" w:space="0" w:color="auto"/>
          </w:divBdr>
        </w:div>
        <w:div w:id="2045133013">
          <w:marLeft w:val="0"/>
          <w:marRight w:val="0"/>
          <w:marTop w:val="0"/>
          <w:marBottom w:val="0"/>
          <w:divBdr>
            <w:top w:val="none" w:sz="0" w:space="0" w:color="auto"/>
            <w:left w:val="none" w:sz="0" w:space="0" w:color="auto"/>
            <w:bottom w:val="none" w:sz="0" w:space="0" w:color="auto"/>
            <w:right w:val="none" w:sz="0" w:space="0" w:color="auto"/>
          </w:divBdr>
        </w:div>
      </w:divsChild>
    </w:div>
    <w:div w:id="1422485586">
      <w:bodyDiv w:val="1"/>
      <w:marLeft w:val="0"/>
      <w:marRight w:val="0"/>
      <w:marTop w:val="0"/>
      <w:marBottom w:val="0"/>
      <w:divBdr>
        <w:top w:val="none" w:sz="0" w:space="0" w:color="auto"/>
        <w:left w:val="none" w:sz="0" w:space="0" w:color="auto"/>
        <w:bottom w:val="none" w:sz="0" w:space="0" w:color="auto"/>
        <w:right w:val="none" w:sz="0" w:space="0" w:color="auto"/>
      </w:divBdr>
    </w:div>
    <w:div w:id="1464470112">
      <w:bodyDiv w:val="1"/>
      <w:marLeft w:val="0"/>
      <w:marRight w:val="0"/>
      <w:marTop w:val="0"/>
      <w:marBottom w:val="0"/>
      <w:divBdr>
        <w:top w:val="none" w:sz="0" w:space="0" w:color="auto"/>
        <w:left w:val="none" w:sz="0" w:space="0" w:color="auto"/>
        <w:bottom w:val="none" w:sz="0" w:space="0" w:color="auto"/>
        <w:right w:val="none" w:sz="0" w:space="0" w:color="auto"/>
      </w:divBdr>
      <w:divsChild>
        <w:div w:id="957642002">
          <w:marLeft w:val="0"/>
          <w:marRight w:val="0"/>
          <w:marTop w:val="0"/>
          <w:marBottom w:val="0"/>
          <w:divBdr>
            <w:top w:val="none" w:sz="0" w:space="0" w:color="auto"/>
            <w:left w:val="none" w:sz="0" w:space="0" w:color="auto"/>
            <w:bottom w:val="none" w:sz="0" w:space="0" w:color="auto"/>
            <w:right w:val="none" w:sz="0" w:space="0" w:color="auto"/>
          </w:divBdr>
        </w:div>
        <w:div w:id="2113159941">
          <w:marLeft w:val="0"/>
          <w:marRight w:val="0"/>
          <w:marTop w:val="0"/>
          <w:marBottom w:val="0"/>
          <w:divBdr>
            <w:top w:val="none" w:sz="0" w:space="0" w:color="auto"/>
            <w:left w:val="none" w:sz="0" w:space="0" w:color="auto"/>
            <w:bottom w:val="none" w:sz="0" w:space="0" w:color="auto"/>
            <w:right w:val="none" w:sz="0" w:space="0" w:color="auto"/>
          </w:divBdr>
        </w:div>
      </w:divsChild>
    </w:div>
    <w:div w:id="1518815417">
      <w:bodyDiv w:val="1"/>
      <w:marLeft w:val="0"/>
      <w:marRight w:val="0"/>
      <w:marTop w:val="0"/>
      <w:marBottom w:val="0"/>
      <w:divBdr>
        <w:top w:val="none" w:sz="0" w:space="0" w:color="auto"/>
        <w:left w:val="none" w:sz="0" w:space="0" w:color="auto"/>
        <w:bottom w:val="none" w:sz="0" w:space="0" w:color="auto"/>
        <w:right w:val="none" w:sz="0" w:space="0" w:color="auto"/>
      </w:divBdr>
    </w:div>
    <w:div w:id="1571303095">
      <w:bodyDiv w:val="1"/>
      <w:marLeft w:val="0"/>
      <w:marRight w:val="0"/>
      <w:marTop w:val="0"/>
      <w:marBottom w:val="0"/>
      <w:divBdr>
        <w:top w:val="none" w:sz="0" w:space="0" w:color="auto"/>
        <w:left w:val="none" w:sz="0" w:space="0" w:color="auto"/>
        <w:bottom w:val="none" w:sz="0" w:space="0" w:color="auto"/>
        <w:right w:val="none" w:sz="0" w:space="0" w:color="auto"/>
      </w:divBdr>
    </w:div>
    <w:div w:id="1590769856">
      <w:bodyDiv w:val="1"/>
      <w:marLeft w:val="0"/>
      <w:marRight w:val="0"/>
      <w:marTop w:val="0"/>
      <w:marBottom w:val="0"/>
      <w:divBdr>
        <w:top w:val="none" w:sz="0" w:space="0" w:color="auto"/>
        <w:left w:val="none" w:sz="0" w:space="0" w:color="auto"/>
        <w:bottom w:val="none" w:sz="0" w:space="0" w:color="auto"/>
        <w:right w:val="none" w:sz="0" w:space="0" w:color="auto"/>
      </w:divBdr>
      <w:divsChild>
        <w:div w:id="10183113">
          <w:marLeft w:val="0"/>
          <w:marRight w:val="0"/>
          <w:marTop w:val="0"/>
          <w:marBottom w:val="0"/>
          <w:divBdr>
            <w:top w:val="none" w:sz="0" w:space="0" w:color="auto"/>
            <w:left w:val="none" w:sz="0" w:space="0" w:color="auto"/>
            <w:bottom w:val="none" w:sz="0" w:space="0" w:color="auto"/>
            <w:right w:val="none" w:sz="0" w:space="0" w:color="auto"/>
          </w:divBdr>
        </w:div>
        <w:div w:id="238758950">
          <w:marLeft w:val="0"/>
          <w:marRight w:val="0"/>
          <w:marTop w:val="0"/>
          <w:marBottom w:val="0"/>
          <w:divBdr>
            <w:top w:val="none" w:sz="0" w:space="0" w:color="auto"/>
            <w:left w:val="none" w:sz="0" w:space="0" w:color="auto"/>
            <w:bottom w:val="none" w:sz="0" w:space="0" w:color="auto"/>
            <w:right w:val="none" w:sz="0" w:space="0" w:color="auto"/>
          </w:divBdr>
        </w:div>
        <w:div w:id="1223516156">
          <w:marLeft w:val="0"/>
          <w:marRight w:val="0"/>
          <w:marTop w:val="0"/>
          <w:marBottom w:val="0"/>
          <w:divBdr>
            <w:top w:val="none" w:sz="0" w:space="0" w:color="auto"/>
            <w:left w:val="none" w:sz="0" w:space="0" w:color="auto"/>
            <w:bottom w:val="none" w:sz="0" w:space="0" w:color="auto"/>
            <w:right w:val="none" w:sz="0" w:space="0" w:color="auto"/>
          </w:divBdr>
        </w:div>
      </w:divsChild>
    </w:div>
    <w:div w:id="1652171363">
      <w:bodyDiv w:val="1"/>
      <w:marLeft w:val="0"/>
      <w:marRight w:val="0"/>
      <w:marTop w:val="0"/>
      <w:marBottom w:val="0"/>
      <w:divBdr>
        <w:top w:val="none" w:sz="0" w:space="0" w:color="auto"/>
        <w:left w:val="none" w:sz="0" w:space="0" w:color="auto"/>
        <w:bottom w:val="none" w:sz="0" w:space="0" w:color="auto"/>
        <w:right w:val="none" w:sz="0" w:space="0" w:color="auto"/>
      </w:divBdr>
    </w:div>
    <w:div w:id="1702171921">
      <w:bodyDiv w:val="1"/>
      <w:marLeft w:val="0"/>
      <w:marRight w:val="0"/>
      <w:marTop w:val="0"/>
      <w:marBottom w:val="0"/>
      <w:divBdr>
        <w:top w:val="none" w:sz="0" w:space="0" w:color="auto"/>
        <w:left w:val="none" w:sz="0" w:space="0" w:color="auto"/>
        <w:bottom w:val="none" w:sz="0" w:space="0" w:color="auto"/>
        <w:right w:val="none" w:sz="0" w:space="0" w:color="auto"/>
      </w:divBdr>
      <w:divsChild>
        <w:div w:id="1077896702">
          <w:marLeft w:val="0"/>
          <w:marRight w:val="0"/>
          <w:marTop w:val="0"/>
          <w:marBottom w:val="0"/>
          <w:divBdr>
            <w:top w:val="none" w:sz="0" w:space="0" w:color="auto"/>
            <w:left w:val="none" w:sz="0" w:space="0" w:color="auto"/>
            <w:bottom w:val="none" w:sz="0" w:space="0" w:color="auto"/>
            <w:right w:val="none" w:sz="0" w:space="0" w:color="auto"/>
          </w:divBdr>
        </w:div>
        <w:div w:id="1502810926">
          <w:marLeft w:val="0"/>
          <w:marRight w:val="0"/>
          <w:marTop w:val="0"/>
          <w:marBottom w:val="0"/>
          <w:divBdr>
            <w:top w:val="none" w:sz="0" w:space="0" w:color="auto"/>
            <w:left w:val="none" w:sz="0" w:space="0" w:color="auto"/>
            <w:bottom w:val="none" w:sz="0" w:space="0" w:color="auto"/>
            <w:right w:val="none" w:sz="0" w:space="0" w:color="auto"/>
          </w:divBdr>
        </w:div>
      </w:divsChild>
    </w:div>
    <w:div w:id="1716196697">
      <w:bodyDiv w:val="1"/>
      <w:marLeft w:val="0"/>
      <w:marRight w:val="0"/>
      <w:marTop w:val="0"/>
      <w:marBottom w:val="0"/>
      <w:divBdr>
        <w:top w:val="none" w:sz="0" w:space="0" w:color="auto"/>
        <w:left w:val="none" w:sz="0" w:space="0" w:color="auto"/>
        <w:bottom w:val="none" w:sz="0" w:space="0" w:color="auto"/>
        <w:right w:val="none" w:sz="0" w:space="0" w:color="auto"/>
      </w:divBdr>
      <w:divsChild>
        <w:div w:id="1017080158">
          <w:marLeft w:val="0"/>
          <w:marRight w:val="0"/>
          <w:marTop w:val="0"/>
          <w:marBottom w:val="0"/>
          <w:divBdr>
            <w:top w:val="none" w:sz="0" w:space="0" w:color="auto"/>
            <w:left w:val="none" w:sz="0" w:space="0" w:color="auto"/>
            <w:bottom w:val="none" w:sz="0" w:space="0" w:color="auto"/>
            <w:right w:val="none" w:sz="0" w:space="0" w:color="auto"/>
          </w:divBdr>
        </w:div>
        <w:div w:id="1206135005">
          <w:marLeft w:val="0"/>
          <w:marRight w:val="0"/>
          <w:marTop w:val="0"/>
          <w:marBottom w:val="0"/>
          <w:divBdr>
            <w:top w:val="none" w:sz="0" w:space="0" w:color="auto"/>
            <w:left w:val="none" w:sz="0" w:space="0" w:color="auto"/>
            <w:bottom w:val="none" w:sz="0" w:space="0" w:color="auto"/>
            <w:right w:val="none" w:sz="0" w:space="0" w:color="auto"/>
          </w:divBdr>
        </w:div>
      </w:divsChild>
    </w:div>
    <w:div w:id="1729765890">
      <w:bodyDiv w:val="1"/>
      <w:marLeft w:val="0"/>
      <w:marRight w:val="0"/>
      <w:marTop w:val="0"/>
      <w:marBottom w:val="0"/>
      <w:divBdr>
        <w:top w:val="none" w:sz="0" w:space="0" w:color="auto"/>
        <w:left w:val="none" w:sz="0" w:space="0" w:color="auto"/>
        <w:bottom w:val="none" w:sz="0" w:space="0" w:color="auto"/>
        <w:right w:val="none" w:sz="0" w:space="0" w:color="auto"/>
      </w:divBdr>
    </w:div>
    <w:div w:id="1846895639">
      <w:bodyDiv w:val="1"/>
      <w:marLeft w:val="0"/>
      <w:marRight w:val="0"/>
      <w:marTop w:val="0"/>
      <w:marBottom w:val="0"/>
      <w:divBdr>
        <w:top w:val="none" w:sz="0" w:space="0" w:color="auto"/>
        <w:left w:val="none" w:sz="0" w:space="0" w:color="auto"/>
        <w:bottom w:val="none" w:sz="0" w:space="0" w:color="auto"/>
        <w:right w:val="none" w:sz="0" w:space="0" w:color="auto"/>
      </w:divBdr>
      <w:divsChild>
        <w:div w:id="62871742">
          <w:marLeft w:val="0"/>
          <w:marRight w:val="0"/>
          <w:marTop w:val="0"/>
          <w:marBottom w:val="0"/>
          <w:divBdr>
            <w:top w:val="none" w:sz="0" w:space="0" w:color="auto"/>
            <w:left w:val="none" w:sz="0" w:space="0" w:color="auto"/>
            <w:bottom w:val="none" w:sz="0" w:space="0" w:color="auto"/>
            <w:right w:val="none" w:sz="0" w:space="0" w:color="auto"/>
          </w:divBdr>
        </w:div>
        <w:div w:id="152915594">
          <w:marLeft w:val="0"/>
          <w:marRight w:val="0"/>
          <w:marTop w:val="0"/>
          <w:marBottom w:val="0"/>
          <w:divBdr>
            <w:top w:val="none" w:sz="0" w:space="0" w:color="auto"/>
            <w:left w:val="none" w:sz="0" w:space="0" w:color="auto"/>
            <w:bottom w:val="none" w:sz="0" w:space="0" w:color="auto"/>
            <w:right w:val="none" w:sz="0" w:space="0" w:color="auto"/>
          </w:divBdr>
        </w:div>
        <w:div w:id="594556228">
          <w:marLeft w:val="0"/>
          <w:marRight w:val="0"/>
          <w:marTop w:val="0"/>
          <w:marBottom w:val="0"/>
          <w:divBdr>
            <w:top w:val="none" w:sz="0" w:space="0" w:color="auto"/>
            <w:left w:val="none" w:sz="0" w:space="0" w:color="auto"/>
            <w:bottom w:val="none" w:sz="0" w:space="0" w:color="auto"/>
            <w:right w:val="none" w:sz="0" w:space="0" w:color="auto"/>
          </w:divBdr>
        </w:div>
        <w:div w:id="679048203">
          <w:marLeft w:val="0"/>
          <w:marRight w:val="0"/>
          <w:marTop w:val="0"/>
          <w:marBottom w:val="0"/>
          <w:divBdr>
            <w:top w:val="none" w:sz="0" w:space="0" w:color="auto"/>
            <w:left w:val="none" w:sz="0" w:space="0" w:color="auto"/>
            <w:bottom w:val="none" w:sz="0" w:space="0" w:color="auto"/>
            <w:right w:val="none" w:sz="0" w:space="0" w:color="auto"/>
          </w:divBdr>
        </w:div>
        <w:div w:id="1533226764">
          <w:marLeft w:val="0"/>
          <w:marRight w:val="0"/>
          <w:marTop w:val="0"/>
          <w:marBottom w:val="0"/>
          <w:divBdr>
            <w:top w:val="none" w:sz="0" w:space="0" w:color="auto"/>
            <w:left w:val="none" w:sz="0" w:space="0" w:color="auto"/>
            <w:bottom w:val="none" w:sz="0" w:space="0" w:color="auto"/>
            <w:right w:val="none" w:sz="0" w:space="0" w:color="auto"/>
          </w:divBdr>
        </w:div>
      </w:divsChild>
    </w:div>
    <w:div w:id="1916283020">
      <w:bodyDiv w:val="1"/>
      <w:marLeft w:val="0"/>
      <w:marRight w:val="0"/>
      <w:marTop w:val="0"/>
      <w:marBottom w:val="0"/>
      <w:divBdr>
        <w:top w:val="none" w:sz="0" w:space="0" w:color="auto"/>
        <w:left w:val="none" w:sz="0" w:space="0" w:color="auto"/>
        <w:bottom w:val="none" w:sz="0" w:space="0" w:color="auto"/>
        <w:right w:val="none" w:sz="0" w:space="0" w:color="auto"/>
      </w:divBdr>
      <w:divsChild>
        <w:div w:id="134959489">
          <w:marLeft w:val="0"/>
          <w:marRight w:val="0"/>
          <w:marTop w:val="0"/>
          <w:marBottom w:val="0"/>
          <w:divBdr>
            <w:top w:val="none" w:sz="0" w:space="0" w:color="auto"/>
            <w:left w:val="none" w:sz="0" w:space="0" w:color="auto"/>
            <w:bottom w:val="none" w:sz="0" w:space="0" w:color="auto"/>
            <w:right w:val="none" w:sz="0" w:space="0" w:color="auto"/>
          </w:divBdr>
        </w:div>
        <w:div w:id="292441061">
          <w:marLeft w:val="0"/>
          <w:marRight w:val="0"/>
          <w:marTop w:val="0"/>
          <w:marBottom w:val="0"/>
          <w:divBdr>
            <w:top w:val="none" w:sz="0" w:space="0" w:color="auto"/>
            <w:left w:val="none" w:sz="0" w:space="0" w:color="auto"/>
            <w:bottom w:val="none" w:sz="0" w:space="0" w:color="auto"/>
            <w:right w:val="none" w:sz="0" w:space="0" w:color="auto"/>
          </w:divBdr>
        </w:div>
        <w:div w:id="587739643">
          <w:marLeft w:val="0"/>
          <w:marRight w:val="0"/>
          <w:marTop w:val="0"/>
          <w:marBottom w:val="0"/>
          <w:divBdr>
            <w:top w:val="none" w:sz="0" w:space="0" w:color="auto"/>
            <w:left w:val="none" w:sz="0" w:space="0" w:color="auto"/>
            <w:bottom w:val="none" w:sz="0" w:space="0" w:color="auto"/>
            <w:right w:val="none" w:sz="0" w:space="0" w:color="auto"/>
          </w:divBdr>
        </w:div>
        <w:div w:id="842084437">
          <w:marLeft w:val="0"/>
          <w:marRight w:val="0"/>
          <w:marTop w:val="0"/>
          <w:marBottom w:val="0"/>
          <w:divBdr>
            <w:top w:val="none" w:sz="0" w:space="0" w:color="auto"/>
            <w:left w:val="none" w:sz="0" w:space="0" w:color="auto"/>
            <w:bottom w:val="none" w:sz="0" w:space="0" w:color="auto"/>
            <w:right w:val="none" w:sz="0" w:space="0" w:color="auto"/>
          </w:divBdr>
        </w:div>
        <w:div w:id="929314269">
          <w:marLeft w:val="0"/>
          <w:marRight w:val="0"/>
          <w:marTop w:val="0"/>
          <w:marBottom w:val="0"/>
          <w:divBdr>
            <w:top w:val="none" w:sz="0" w:space="0" w:color="auto"/>
            <w:left w:val="none" w:sz="0" w:space="0" w:color="auto"/>
            <w:bottom w:val="none" w:sz="0" w:space="0" w:color="auto"/>
            <w:right w:val="none" w:sz="0" w:space="0" w:color="auto"/>
          </w:divBdr>
        </w:div>
        <w:div w:id="1099830443">
          <w:marLeft w:val="0"/>
          <w:marRight w:val="0"/>
          <w:marTop w:val="0"/>
          <w:marBottom w:val="0"/>
          <w:divBdr>
            <w:top w:val="none" w:sz="0" w:space="0" w:color="auto"/>
            <w:left w:val="none" w:sz="0" w:space="0" w:color="auto"/>
            <w:bottom w:val="none" w:sz="0" w:space="0" w:color="auto"/>
            <w:right w:val="none" w:sz="0" w:space="0" w:color="auto"/>
          </w:divBdr>
        </w:div>
        <w:div w:id="1153985134">
          <w:marLeft w:val="0"/>
          <w:marRight w:val="0"/>
          <w:marTop w:val="0"/>
          <w:marBottom w:val="0"/>
          <w:divBdr>
            <w:top w:val="none" w:sz="0" w:space="0" w:color="auto"/>
            <w:left w:val="none" w:sz="0" w:space="0" w:color="auto"/>
            <w:bottom w:val="none" w:sz="0" w:space="0" w:color="auto"/>
            <w:right w:val="none" w:sz="0" w:space="0" w:color="auto"/>
          </w:divBdr>
        </w:div>
        <w:div w:id="1494492440">
          <w:marLeft w:val="0"/>
          <w:marRight w:val="0"/>
          <w:marTop w:val="0"/>
          <w:marBottom w:val="0"/>
          <w:divBdr>
            <w:top w:val="none" w:sz="0" w:space="0" w:color="auto"/>
            <w:left w:val="none" w:sz="0" w:space="0" w:color="auto"/>
            <w:bottom w:val="none" w:sz="0" w:space="0" w:color="auto"/>
            <w:right w:val="none" w:sz="0" w:space="0" w:color="auto"/>
          </w:divBdr>
        </w:div>
        <w:div w:id="2029479238">
          <w:marLeft w:val="0"/>
          <w:marRight w:val="0"/>
          <w:marTop w:val="0"/>
          <w:marBottom w:val="0"/>
          <w:divBdr>
            <w:top w:val="none" w:sz="0" w:space="0" w:color="auto"/>
            <w:left w:val="none" w:sz="0" w:space="0" w:color="auto"/>
            <w:bottom w:val="none" w:sz="0" w:space="0" w:color="auto"/>
            <w:right w:val="none" w:sz="0" w:space="0" w:color="auto"/>
          </w:divBdr>
        </w:div>
      </w:divsChild>
    </w:div>
    <w:div w:id="2027438877">
      <w:bodyDiv w:val="1"/>
      <w:marLeft w:val="0"/>
      <w:marRight w:val="0"/>
      <w:marTop w:val="0"/>
      <w:marBottom w:val="0"/>
      <w:divBdr>
        <w:top w:val="none" w:sz="0" w:space="0" w:color="auto"/>
        <w:left w:val="none" w:sz="0" w:space="0" w:color="auto"/>
        <w:bottom w:val="none" w:sz="0" w:space="0" w:color="auto"/>
        <w:right w:val="none" w:sz="0" w:space="0" w:color="auto"/>
      </w:divBdr>
    </w:div>
    <w:div w:id="2113354944">
      <w:bodyDiv w:val="1"/>
      <w:marLeft w:val="0"/>
      <w:marRight w:val="0"/>
      <w:marTop w:val="0"/>
      <w:marBottom w:val="0"/>
      <w:divBdr>
        <w:top w:val="none" w:sz="0" w:space="0" w:color="auto"/>
        <w:left w:val="none" w:sz="0" w:space="0" w:color="auto"/>
        <w:bottom w:val="none" w:sz="0" w:space="0" w:color="auto"/>
        <w:right w:val="none" w:sz="0" w:space="0" w:color="auto"/>
      </w:divBdr>
      <w:divsChild>
        <w:div w:id="149251836">
          <w:marLeft w:val="0"/>
          <w:marRight w:val="0"/>
          <w:marTop w:val="0"/>
          <w:marBottom w:val="0"/>
          <w:divBdr>
            <w:top w:val="none" w:sz="0" w:space="0" w:color="auto"/>
            <w:left w:val="none" w:sz="0" w:space="0" w:color="auto"/>
            <w:bottom w:val="none" w:sz="0" w:space="0" w:color="auto"/>
            <w:right w:val="none" w:sz="0" w:space="0" w:color="auto"/>
          </w:divBdr>
        </w:div>
        <w:div w:id="815412651">
          <w:marLeft w:val="0"/>
          <w:marRight w:val="0"/>
          <w:marTop w:val="0"/>
          <w:marBottom w:val="0"/>
          <w:divBdr>
            <w:top w:val="none" w:sz="0" w:space="0" w:color="auto"/>
            <w:left w:val="none" w:sz="0" w:space="0" w:color="auto"/>
            <w:bottom w:val="none" w:sz="0" w:space="0" w:color="auto"/>
            <w:right w:val="none" w:sz="0" w:space="0" w:color="auto"/>
          </w:divBdr>
        </w:div>
        <w:div w:id="2132623899">
          <w:marLeft w:val="0"/>
          <w:marRight w:val="0"/>
          <w:marTop w:val="0"/>
          <w:marBottom w:val="0"/>
          <w:divBdr>
            <w:top w:val="none" w:sz="0" w:space="0" w:color="auto"/>
            <w:left w:val="none" w:sz="0" w:space="0" w:color="auto"/>
            <w:bottom w:val="none" w:sz="0" w:space="0" w:color="auto"/>
            <w:right w:val="none" w:sz="0" w:space="0" w:color="auto"/>
          </w:divBdr>
        </w:div>
      </w:divsChild>
    </w:div>
    <w:div w:id="2114284369">
      <w:bodyDiv w:val="1"/>
      <w:marLeft w:val="0"/>
      <w:marRight w:val="0"/>
      <w:marTop w:val="0"/>
      <w:marBottom w:val="0"/>
      <w:divBdr>
        <w:top w:val="none" w:sz="0" w:space="0" w:color="auto"/>
        <w:left w:val="none" w:sz="0" w:space="0" w:color="auto"/>
        <w:bottom w:val="none" w:sz="0" w:space="0" w:color="auto"/>
        <w:right w:val="none" w:sz="0" w:space="0" w:color="auto"/>
      </w:divBdr>
      <w:divsChild>
        <w:div w:id="190388299">
          <w:marLeft w:val="0"/>
          <w:marRight w:val="0"/>
          <w:marTop w:val="0"/>
          <w:marBottom w:val="0"/>
          <w:divBdr>
            <w:top w:val="none" w:sz="0" w:space="0" w:color="auto"/>
            <w:left w:val="none" w:sz="0" w:space="0" w:color="auto"/>
            <w:bottom w:val="none" w:sz="0" w:space="0" w:color="auto"/>
            <w:right w:val="none" w:sz="0" w:space="0" w:color="auto"/>
          </w:divBdr>
          <w:divsChild>
            <w:div w:id="495146481">
              <w:marLeft w:val="0"/>
              <w:marRight w:val="0"/>
              <w:marTop w:val="0"/>
              <w:marBottom w:val="0"/>
              <w:divBdr>
                <w:top w:val="none" w:sz="0" w:space="0" w:color="auto"/>
                <w:left w:val="none" w:sz="0" w:space="0" w:color="auto"/>
                <w:bottom w:val="none" w:sz="0" w:space="0" w:color="auto"/>
                <w:right w:val="none" w:sz="0" w:space="0" w:color="auto"/>
              </w:divBdr>
            </w:div>
            <w:div w:id="835917762">
              <w:marLeft w:val="0"/>
              <w:marRight w:val="0"/>
              <w:marTop w:val="0"/>
              <w:marBottom w:val="0"/>
              <w:divBdr>
                <w:top w:val="none" w:sz="0" w:space="0" w:color="auto"/>
                <w:left w:val="none" w:sz="0" w:space="0" w:color="auto"/>
                <w:bottom w:val="none" w:sz="0" w:space="0" w:color="auto"/>
                <w:right w:val="none" w:sz="0" w:space="0" w:color="auto"/>
              </w:divBdr>
            </w:div>
            <w:div w:id="1083143129">
              <w:marLeft w:val="0"/>
              <w:marRight w:val="0"/>
              <w:marTop w:val="0"/>
              <w:marBottom w:val="0"/>
              <w:divBdr>
                <w:top w:val="none" w:sz="0" w:space="0" w:color="auto"/>
                <w:left w:val="none" w:sz="0" w:space="0" w:color="auto"/>
                <w:bottom w:val="none" w:sz="0" w:space="0" w:color="auto"/>
                <w:right w:val="none" w:sz="0" w:space="0" w:color="auto"/>
              </w:divBdr>
            </w:div>
            <w:div w:id="1200046147">
              <w:marLeft w:val="0"/>
              <w:marRight w:val="0"/>
              <w:marTop w:val="0"/>
              <w:marBottom w:val="0"/>
              <w:divBdr>
                <w:top w:val="none" w:sz="0" w:space="0" w:color="auto"/>
                <w:left w:val="none" w:sz="0" w:space="0" w:color="auto"/>
                <w:bottom w:val="none" w:sz="0" w:space="0" w:color="auto"/>
                <w:right w:val="none" w:sz="0" w:space="0" w:color="auto"/>
              </w:divBdr>
            </w:div>
            <w:div w:id="1558280561">
              <w:marLeft w:val="0"/>
              <w:marRight w:val="0"/>
              <w:marTop w:val="0"/>
              <w:marBottom w:val="0"/>
              <w:divBdr>
                <w:top w:val="none" w:sz="0" w:space="0" w:color="auto"/>
                <w:left w:val="none" w:sz="0" w:space="0" w:color="auto"/>
                <w:bottom w:val="none" w:sz="0" w:space="0" w:color="auto"/>
                <w:right w:val="none" w:sz="0" w:space="0" w:color="auto"/>
              </w:divBdr>
            </w:div>
          </w:divsChild>
        </w:div>
        <w:div w:id="795874922">
          <w:marLeft w:val="0"/>
          <w:marRight w:val="0"/>
          <w:marTop w:val="0"/>
          <w:marBottom w:val="0"/>
          <w:divBdr>
            <w:top w:val="none" w:sz="0" w:space="0" w:color="auto"/>
            <w:left w:val="none" w:sz="0" w:space="0" w:color="auto"/>
            <w:bottom w:val="none" w:sz="0" w:space="0" w:color="auto"/>
            <w:right w:val="none" w:sz="0" w:space="0" w:color="auto"/>
          </w:divBdr>
          <w:divsChild>
            <w:div w:id="1000237655">
              <w:marLeft w:val="0"/>
              <w:marRight w:val="0"/>
              <w:marTop w:val="0"/>
              <w:marBottom w:val="0"/>
              <w:divBdr>
                <w:top w:val="none" w:sz="0" w:space="0" w:color="auto"/>
                <w:left w:val="none" w:sz="0" w:space="0" w:color="auto"/>
                <w:bottom w:val="none" w:sz="0" w:space="0" w:color="auto"/>
                <w:right w:val="none" w:sz="0" w:space="0" w:color="auto"/>
              </w:divBdr>
            </w:div>
            <w:div w:id="16423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strengthening-medicare-taskforce-report?language=en" TargetMode="External"/><Relationship Id="rId18" Type="http://schemas.openxmlformats.org/officeDocument/2006/relationships/hyperlink" Target="mailto:organisation.register@servicesaustralia.gov.au" TargetMode="External"/><Relationship Id="rId26" Type="http://schemas.openxmlformats.org/officeDocument/2006/relationships/hyperlink" Target="https://www.oaic.gov.au/privacy-law/privacy-act/australian-privacy-principles" TargetMode="External"/><Relationship Id="rId39" Type="http://schemas.openxmlformats.org/officeDocument/2006/relationships/hyperlink" Target="https://www.servicesaustralia.gov.au/organisation-register-for-general-practitioners-gps-and-health-professionals-privacy-notice?context=22" TargetMode="External"/><Relationship Id="rId21" Type="http://schemas.openxmlformats.org/officeDocument/2006/relationships/hyperlink" Target="https://www.digitalhealth.gov.au/initiatives-and-programs/my-health-record/manage-your-record/profile-and-settings" TargetMode="External"/><Relationship Id="rId34" Type="http://schemas.openxmlformats.org/officeDocument/2006/relationships/hyperlink" Target="https://www.servicesaustralia.gov.au/about-mymedicare-for-health-professionals?context=20" TargetMode="External"/><Relationship Id="rId42" Type="http://schemas.openxmlformats.org/officeDocument/2006/relationships/hyperlink" Target="https://www.servicesaustralia.gov.au/register-your-practice-for-mymedicare?context=20"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pe.servicesaustralia.gov.au/organisation-register.html" TargetMode="External"/><Relationship Id="rId29" Type="http://schemas.openxmlformats.org/officeDocument/2006/relationships/hyperlink" Target="https://www.digitalhealth.gov.au/about-us/policies-privacy-and-reporting/privacy-policy" TargetMode="External"/><Relationship Id="rId11" Type="http://schemas.openxmlformats.org/officeDocument/2006/relationships/hyperlink" Target="mailto:copyright@health.gov.au" TargetMode="External"/><Relationship Id="rId24" Type="http://schemas.openxmlformats.org/officeDocument/2006/relationships/hyperlink" Target="https://www.health.gov.au/our-work/mymedicare?utm_source=health.gov.au&amp;utm_medium=redirect&amp;utm_campaign=digital_transformation&amp;utm_content=mymedicare" TargetMode="External"/><Relationship Id="rId32" Type="http://schemas.openxmlformats.org/officeDocument/2006/relationships/hyperlink" Target="https://www.servicesaustralia.gov.au/organisation-register-for-general-practitioners-gps-and-health-professionals-privacy-notice?context=22" TargetMode="External"/><Relationship Id="rId37" Type="http://schemas.openxmlformats.org/officeDocument/2006/relationships/hyperlink" Target="https://www.servicesaustralia.gov.au/health-care-and-medicare?context=60092" TargetMode="External"/><Relationship Id="rId40" Type="http://schemas.openxmlformats.org/officeDocument/2006/relationships/hyperlink" Target="https://www.servicesaustralia.gov.au/register-for-mymedicare"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ealth.gov.au/topics/rural-health-workforce/classifications/mmm" TargetMode="External"/><Relationship Id="rId23" Type="http://schemas.openxmlformats.org/officeDocument/2006/relationships/hyperlink" Target="mailto:MyMedicare@Health.gov.au" TargetMode="External"/><Relationship Id="rId28" Type="http://schemas.openxmlformats.org/officeDocument/2006/relationships/hyperlink" Target="https://www.dva.gov.au/about/overview/legal-resources/dva-privacy-policy" TargetMode="External"/><Relationship Id="rId36" Type="http://schemas.openxmlformats.org/officeDocument/2006/relationships/hyperlink" Target="https://www.servicesaustralia.gov.au/general-practice-aged-care-incentive?context=20"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ealth.gov.au/our-work/mymedicare/patients" TargetMode="External"/><Relationship Id="rId31" Type="http://schemas.openxmlformats.org/officeDocument/2006/relationships/hyperlink" Target="https://www.health.gov.au/sites/default/files/2024-04/mymedicare-privacy-notice_0.pdf"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register-organisation-register-hpos?context=20" TargetMode="External"/><Relationship Id="rId22" Type="http://schemas.openxmlformats.org/officeDocument/2006/relationships/hyperlink" Target="https://www.servicesaustralia.gov.au/ip034" TargetMode="External"/><Relationship Id="rId27" Type="http://schemas.openxmlformats.org/officeDocument/2006/relationships/hyperlink" Target="https://www.servicesaustralia.gov.au/your-right-to-privacy?context=1" TargetMode="External"/><Relationship Id="rId30" Type="http://schemas.openxmlformats.org/officeDocument/2006/relationships/hyperlink" Target="https://www.health.gov.au/resources/publications/mymedicare-privacy-notice?language=en" TargetMode="External"/><Relationship Id="rId35" Type="http://schemas.openxmlformats.org/officeDocument/2006/relationships/hyperlink" Target="https://www.servicesaustralia.gov.au/features-organisation-register?context=20" TargetMode="External"/><Relationship Id="rId43" Type="http://schemas.openxmlformats.org/officeDocument/2006/relationships/hyperlink" Target="https://www.health.gov.au/our-work/mymedicare/resources"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health.gov.au/resources/publications/australias-primary-health-care-10-year-plan-2022-2032?language=en" TargetMode="External"/><Relationship Id="rId17" Type="http://schemas.openxmlformats.org/officeDocument/2006/relationships/hyperlink" Target="https://www.safetyandquality.gov.au/our-work/accreditation/national-general-practice-accreditation-scheme" TargetMode="External"/><Relationship Id="rId25" Type="http://schemas.openxmlformats.org/officeDocument/2006/relationships/hyperlink" Target="https://www.legislation.gov.au/C2004A03712/latest/versions" TargetMode="External"/><Relationship Id="rId33" Type="http://schemas.openxmlformats.org/officeDocument/2006/relationships/hyperlink" Target="https://www.servicesaustralia.gov.au/about-general-practice-aged-care-incentive?context=20" TargetMode="External"/><Relationship Id="rId38" Type="http://schemas.openxmlformats.org/officeDocument/2006/relationships/hyperlink" Target="https://www.servicesaustralia.gov.au/mymedicare-incentives?context=20" TargetMode="External"/><Relationship Id="rId46" Type="http://schemas.openxmlformats.org/officeDocument/2006/relationships/footer" Target="footer1.xml"/><Relationship Id="rId20" Type="http://schemas.openxmlformats.org/officeDocument/2006/relationships/hyperlink" Target="https://www.health.gov.au/resources/publications/general-practice-in-aged-care-incentive-program-guidelines-2024?language=en" TargetMode="External"/><Relationship Id="rId41" Type="http://schemas.openxmlformats.org/officeDocument/2006/relationships/hyperlink" Target="https://www.servicesaustralia.gov.au/register-individual-practitioner?context=20"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safetyandquality.gov.au/newsroom/national-standards-updates/advisory-gp2302-requests-extensions-and-appeals" TargetMode="External"/><Relationship Id="rId7" Type="http://schemas.openxmlformats.org/officeDocument/2006/relationships/hyperlink" Target="https://www.servicesaustralia.gov.au/medicare-representative-to-act-for-you?context=22201" TargetMode="External"/><Relationship Id="rId2" Type="http://schemas.openxmlformats.org/officeDocument/2006/relationships/hyperlink" Target="https://www.racgp.org.au/running-a-practice/practice-standards/standards-5th-edition/standards-for-general-practices-5th-ed/introduction-to-the-standards-for-general-practice/accreditation" TargetMode="External"/><Relationship Id="rId1" Type="http://schemas.openxmlformats.org/officeDocument/2006/relationships/hyperlink" Target="https://www.health.gov.au/resources/publications/general-practice-in-aged-care-incentive-program-guidelines-2024" TargetMode="External"/><Relationship Id="rId6" Type="http://schemas.openxmlformats.org/officeDocument/2006/relationships/hyperlink" Target="https://www.health.gov.au/sites/default/files/documents/2021/06/administrative-record-keeping-guidelines-for-health-professionals.pdf" TargetMode="External"/><Relationship Id="rId5" Type="http://schemas.openxmlformats.org/officeDocument/2006/relationships/hyperlink" Target="https://www.racgp.org.au/running-a-practice/practice-standards/standards-5th-edition/standards-for-general-practices-5th-ed/table-of-contents" TargetMode="External"/><Relationship Id="rId4" Type="http://schemas.openxmlformats.org/officeDocument/2006/relationships/hyperlink" Target="mailto:mymedicare@health.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169D5C2A3DC4497ABEA1DD5312E77"/>
        <w:category>
          <w:name w:val="General"/>
          <w:gallery w:val="placeholder"/>
        </w:category>
        <w:types>
          <w:type w:val="bbPlcHdr"/>
        </w:types>
        <w:behaviors>
          <w:behavior w:val="content"/>
        </w:behaviors>
        <w:guid w:val="{A62B231F-8E91-1B47-9D00-9007B5C77FEA}"/>
      </w:docPartPr>
      <w:docPartBody>
        <w:p w:rsidR="007572C0" w:rsidRDefault="00962544">
          <w:pPr>
            <w:pStyle w:val="F71169D5C2A3DC4497ABEA1DD5312E77"/>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7F"/>
    <w:rsid w:val="000128E3"/>
    <w:rsid w:val="000235A6"/>
    <w:rsid w:val="00061DE2"/>
    <w:rsid w:val="00076024"/>
    <w:rsid w:val="000761A5"/>
    <w:rsid w:val="00090105"/>
    <w:rsid w:val="00092245"/>
    <w:rsid w:val="00094F71"/>
    <w:rsid w:val="000B79B8"/>
    <w:rsid w:val="000C72ED"/>
    <w:rsid w:val="000D4231"/>
    <w:rsid w:val="0011146E"/>
    <w:rsid w:val="001173C6"/>
    <w:rsid w:val="001343FF"/>
    <w:rsid w:val="00147D88"/>
    <w:rsid w:val="00154F23"/>
    <w:rsid w:val="00160744"/>
    <w:rsid w:val="001914E8"/>
    <w:rsid w:val="0019409D"/>
    <w:rsid w:val="001B3BCD"/>
    <w:rsid w:val="001B688A"/>
    <w:rsid w:val="001D05BB"/>
    <w:rsid w:val="001F079A"/>
    <w:rsid w:val="001F41D7"/>
    <w:rsid w:val="00237DBD"/>
    <w:rsid w:val="002430EE"/>
    <w:rsid w:val="00251B82"/>
    <w:rsid w:val="0025586B"/>
    <w:rsid w:val="0029122C"/>
    <w:rsid w:val="002B205F"/>
    <w:rsid w:val="002B42BD"/>
    <w:rsid w:val="002D1030"/>
    <w:rsid w:val="0030436E"/>
    <w:rsid w:val="00315DD5"/>
    <w:rsid w:val="00323EDC"/>
    <w:rsid w:val="00333B85"/>
    <w:rsid w:val="0036718F"/>
    <w:rsid w:val="00370B0F"/>
    <w:rsid w:val="00394D39"/>
    <w:rsid w:val="003A3076"/>
    <w:rsid w:val="003A6642"/>
    <w:rsid w:val="003B0989"/>
    <w:rsid w:val="003F01CD"/>
    <w:rsid w:val="0041174C"/>
    <w:rsid w:val="0043625B"/>
    <w:rsid w:val="0044658F"/>
    <w:rsid w:val="0044660F"/>
    <w:rsid w:val="00455D64"/>
    <w:rsid w:val="00461B30"/>
    <w:rsid w:val="00462F8F"/>
    <w:rsid w:val="004A2342"/>
    <w:rsid w:val="004C2935"/>
    <w:rsid w:val="004D2072"/>
    <w:rsid w:val="004E132D"/>
    <w:rsid w:val="00504EF3"/>
    <w:rsid w:val="00550E80"/>
    <w:rsid w:val="005675BB"/>
    <w:rsid w:val="00583DEC"/>
    <w:rsid w:val="0058737C"/>
    <w:rsid w:val="005A2C97"/>
    <w:rsid w:val="005B5406"/>
    <w:rsid w:val="005C3716"/>
    <w:rsid w:val="005C5F8A"/>
    <w:rsid w:val="005F497F"/>
    <w:rsid w:val="00611C54"/>
    <w:rsid w:val="00620F74"/>
    <w:rsid w:val="006510C9"/>
    <w:rsid w:val="006649B7"/>
    <w:rsid w:val="00667708"/>
    <w:rsid w:val="006723C9"/>
    <w:rsid w:val="0068107A"/>
    <w:rsid w:val="00682C6C"/>
    <w:rsid w:val="006A0598"/>
    <w:rsid w:val="006A0C49"/>
    <w:rsid w:val="006E2FFB"/>
    <w:rsid w:val="0070592F"/>
    <w:rsid w:val="007572C0"/>
    <w:rsid w:val="007667CA"/>
    <w:rsid w:val="00771A17"/>
    <w:rsid w:val="007861A7"/>
    <w:rsid w:val="007F147F"/>
    <w:rsid w:val="00800002"/>
    <w:rsid w:val="00890264"/>
    <w:rsid w:val="008A211C"/>
    <w:rsid w:val="008A7FD9"/>
    <w:rsid w:val="008C7403"/>
    <w:rsid w:val="008D2385"/>
    <w:rsid w:val="008D51C2"/>
    <w:rsid w:val="008F0131"/>
    <w:rsid w:val="008F5505"/>
    <w:rsid w:val="009004FC"/>
    <w:rsid w:val="00905334"/>
    <w:rsid w:val="00907F4D"/>
    <w:rsid w:val="00923AF6"/>
    <w:rsid w:val="00923D6B"/>
    <w:rsid w:val="00926689"/>
    <w:rsid w:val="00962544"/>
    <w:rsid w:val="00976830"/>
    <w:rsid w:val="00991859"/>
    <w:rsid w:val="00992690"/>
    <w:rsid w:val="009E2F09"/>
    <w:rsid w:val="009F3830"/>
    <w:rsid w:val="00A02F87"/>
    <w:rsid w:val="00A34973"/>
    <w:rsid w:val="00A35B15"/>
    <w:rsid w:val="00A514D2"/>
    <w:rsid w:val="00A83F3E"/>
    <w:rsid w:val="00A84CC5"/>
    <w:rsid w:val="00AA0356"/>
    <w:rsid w:val="00AB7DE0"/>
    <w:rsid w:val="00AC24FB"/>
    <w:rsid w:val="00AC4128"/>
    <w:rsid w:val="00AE2706"/>
    <w:rsid w:val="00AF3C7E"/>
    <w:rsid w:val="00B612D7"/>
    <w:rsid w:val="00B7320F"/>
    <w:rsid w:val="00B8221F"/>
    <w:rsid w:val="00B829B5"/>
    <w:rsid w:val="00BA0E03"/>
    <w:rsid w:val="00BC65FE"/>
    <w:rsid w:val="00BE198F"/>
    <w:rsid w:val="00C1619B"/>
    <w:rsid w:val="00C22DA0"/>
    <w:rsid w:val="00C24E96"/>
    <w:rsid w:val="00C543F1"/>
    <w:rsid w:val="00C56196"/>
    <w:rsid w:val="00C56287"/>
    <w:rsid w:val="00C766E4"/>
    <w:rsid w:val="00C908A6"/>
    <w:rsid w:val="00CA1DAB"/>
    <w:rsid w:val="00CB3C12"/>
    <w:rsid w:val="00CF04A7"/>
    <w:rsid w:val="00D26EDC"/>
    <w:rsid w:val="00D34780"/>
    <w:rsid w:val="00D37109"/>
    <w:rsid w:val="00D42785"/>
    <w:rsid w:val="00D5123B"/>
    <w:rsid w:val="00D72961"/>
    <w:rsid w:val="00DA1355"/>
    <w:rsid w:val="00DC7EA6"/>
    <w:rsid w:val="00DD03E0"/>
    <w:rsid w:val="00ED7FAB"/>
    <w:rsid w:val="00EE1D10"/>
    <w:rsid w:val="00EF30FD"/>
    <w:rsid w:val="00F43628"/>
    <w:rsid w:val="00F51C66"/>
    <w:rsid w:val="00F570D0"/>
    <w:rsid w:val="00FA6979"/>
    <w:rsid w:val="00FD2537"/>
    <w:rsid w:val="00FE3E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9f254a-b9e3-4c7a-926f-76ec7f770886" xsi:nil="true"/>
    <lcf76f155ced4ddcb4097134ff3c332f xmlns="eed6a5a7-df4c-4f06-9f66-e2196ce308ad">
      <Terms xmlns="http://schemas.microsoft.com/office/infopath/2007/PartnerControls"/>
    </lcf76f155ced4ddcb4097134ff3c332f>
    <Comments xmlns="eed6a5a7-df4c-4f06-9f66-e2196ce308a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AAE7EC0B811B42B180F330F2A664A5" ma:contentTypeVersion="15" ma:contentTypeDescription="Create a new document." ma:contentTypeScope="" ma:versionID="2fcc7cf8d71551f344954010c4ba2ab6">
  <xsd:schema xmlns:xsd="http://www.w3.org/2001/XMLSchema" xmlns:xs="http://www.w3.org/2001/XMLSchema" xmlns:p="http://schemas.microsoft.com/office/2006/metadata/properties" xmlns:ns2="eed6a5a7-df4c-4f06-9f66-e2196ce308ad" xmlns:ns3="be9f254a-b9e3-4c7a-926f-76ec7f770886" targetNamespace="http://schemas.microsoft.com/office/2006/metadata/properties" ma:root="true" ma:fieldsID="aa0a30f424825294b341b96bf4dff51c" ns2:_="" ns3:_="">
    <xsd:import namespace="eed6a5a7-df4c-4f06-9f66-e2196ce308ad"/>
    <xsd:import namespace="be9f254a-b9e3-4c7a-926f-76ec7f7708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6a5a7-df4c-4f06-9f66-e2196ce30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9f254a-b9e3-4c7a-926f-76ec7f7708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5f362a-d7ea-4b16-87ac-61f09a5be356}" ma:internalName="TaxCatchAll" ma:showField="CatchAllData" ma:web="be9f254a-b9e3-4c7a-926f-76ec7f770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8C46B9-71BA-4114-AF20-7B6514AAEE7B}">
  <ds:schemaRefs>
    <ds:schemaRef ds:uri="http://schemas.microsoft.com/office/2006/metadata/properties"/>
    <ds:schemaRef ds:uri="http://schemas.microsoft.com/office/infopath/2007/PartnerControls"/>
    <ds:schemaRef ds:uri="be9f254a-b9e3-4c7a-926f-76ec7f770886"/>
    <ds:schemaRef ds:uri="eed6a5a7-df4c-4f06-9f66-e2196ce308ad"/>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6D209A8F-B4CB-4840-80AC-026E51667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6a5a7-df4c-4f06-9f66-e2196ce308ad"/>
    <ds:schemaRef ds:uri="be9f254a-b9e3-4c7a-926f-76ec7f770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427DD-31CC-4478-9152-877A989C5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9198</Words>
  <Characters>53154</Characters>
  <Application>Microsoft Office Word</Application>
  <DocSecurity>0</DocSecurity>
  <Lines>1126</Lines>
  <Paragraphs>658</Paragraphs>
  <ScaleCrop>false</ScaleCrop>
  <HeadingPairs>
    <vt:vector size="2" baseType="variant">
      <vt:variant>
        <vt:lpstr>Title</vt:lpstr>
      </vt:variant>
      <vt:variant>
        <vt:i4>1</vt:i4>
      </vt:variant>
    </vt:vector>
  </HeadingPairs>
  <TitlesOfParts>
    <vt:vector size="1" baseType="lpstr">
      <vt:lpstr>MyMedicare Program Guidelines</vt:lpstr>
    </vt:vector>
  </TitlesOfParts>
  <Manager/>
  <Company/>
  <LinksUpToDate>false</LinksUpToDate>
  <CharactersWithSpaces>61999</CharactersWithSpaces>
  <SharedDoc>false</SharedDoc>
  <HyperlinkBase/>
  <HLinks>
    <vt:vector size="684" baseType="variant">
      <vt:variant>
        <vt:i4>7143542</vt:i4>
      </vt:variant>
      <vt:variant>
        <vt:i4>540</vt:i4>
      </vt:variant>
      <vt:variant>
        <vt:i4>0</vt:i4>
      </vt:variant>
      <vt:variant>
        <vt:i4>5</vt:i4>
      </vt:variant>
      <vt:variant>
        <vt:lpwstr>https://www.health.gov.au/our-work/mymedicare/resources</vt:lpwstr>
      </vt:variant>
      <vt:variant>
        <vt:lpwstr/>
      </vt:variant>
      <vt:variant>
        <vt:i4>6094921</vt:i4>
      </vt:variant>
      <vt:variant>
        <vt:i4>537</vt:i4>
      </vt:variant>
      <vt:variant>
        <vt:i4>0</vt:i4>
      </vt:variant>
      <vt:variant>
        <vt:i4>5</vt:i4>
      </vt:variant>
      <vt:variant>
        <vt:lpwstr>https://www.servicesaustralia.gov.au/register-your-practice-for-mymedicare?context=20</vt:lpwstr>
      </vt:variant>
      <vt:variant>
        <vt:lpwstr/>
      </vt:variant>
      <vt:variant>
        <vt:i4>4915205</vt:i4>
      </vt:variant>
      <vt:variant>
        <vt:i4>534</vt:i4>
      </vt:variant>
      <vt:variant>
        <vt:i4>0</vt:i4>
      </vt:variant>
      <vt:variant>
        <vt:i4>5</vt:i4>
      </vt:variant>
      <vt:variant>
        <vt:lpwstr>https://www.servicesaustralia.gov.au/register-individual-practitioner?context=20</vt:lpwstr>
      </vt:variant>
      <vt:variant>
        <vt:lpwstr/>
      </vt:variant>
      <vt:variant>
        <vt:i4>4522004</vt:i4>
      </vt:variant>
      <vt:variant>
        <vt:i4>531</vt:i4>
      </vt:variant>
      <vt:variant>
        <vt:i4>0</vt:i4>
      </vt:variant>
      <vt:variant>
        <vt:i4>5</vt:i4>
      </vt:variant>
      <vt:variant>
        <vt:lpwstr>https://www.servicesaustralia.gov.au/register-for-mymedicare</vt:lpwstr>
      </vt:variant>
      <vt:variant>
        <vt:lpwstr/>
      </vt:variant>
      <vt:variant>
        <vt:i4>8192113</vt:i4>
      </vt:variant>
      <vt:variant>
        <vt:i4>528</vt:i4>
      </vt:variant>
      <vt:variant>
        <vt:i4>0</vt:i4>
      </vt:variant>
      <vt:variant>
        <vt:i4>5</vt:i4>
      </vt:variant>
      <vt:variant>
        <vt:lpwstr>https://www.servicesaustralia.gov.au/organisation-register-for-general-practitioners-gps-and-health-professionals-privacy-notice?context=22</vt:lpwstr>
      </vt:variant>
      <vt:variant>
        <vt:lpwstr/>
      </vt:variant>
      <vt:variant>
        <vt:i4>5505031</vt:i4>
      </vt:variant>
      <vt:variant>
        <vt:i4>525</vt:i4>
      </vt:variant>
      <vt:variant>
        <vt:i4>0</vt:i4>
      </vt:variant>
      <vt:variant>
        <vt:i4>5</vt:i4>
      </vt:variant>
      <vt:variant>
        <vt:lpwstr>https://www.servicesaustralia.gov.au/mymedicare-incentives?context=20</vt:lpwstr>
      </vt:variant>
      <vt:variant>
        <vt:lpwstr/>
      </vt:variant>
      <vt:variant>
        <vt:i4>7929971</vt:i4>
      </vt:variant>
      <vt:variant>
        <vt:i4>522</vt:i4>
      </vt:variant>
      <vt:variant>
        <vt:i4>0</vt:i4>
      </vt:variant>
      <vt:variant>
        <vt:i4>5</vt:i4>
      </vt:variant>
      <vt:variant>
        <vt:lpwstr>https://www.servicesaustralia.gov.au/health-care-and-medicare?context=60092</vt:lpwstr>
      </vt:variant>
      <vt:variant>
        <vt:lpwstr/>
      </vt:variant>
      <vt:variant>
        <vt:i4>196677</vt:i4>
      </vt:variant>
      <vt:variant>
        <vt:i4>519</vt:i4>
      </vt:variant>
      <vt:variant>
        <vt:i4>0</vt:i4>
      </vt:variant>
      <vt:variant>
        <vt:i4>5</vt:i4>
      </vt:variant>
      <vt:variant>
        <vt:lpwstr>https://www.servicesaustralia.gov.au/general-practice-aged-care-incentive?context=20</vt:lpwstr>
      </vt:variant>
      <vt:variant>
        <vt:lpwstr/>
      </vt:variant>
      <vt:variant>
        <vt:i4>2883688</vt:i4>
      </vt:variant>
      <vt:variant>
        <vt:i4>516</vt:i4>
      </vt:variant>
      <vt:variant>
        <vt:i4>0</vt:i4>
      </vt:variant>
      <vt:variant>
        <vt:i4>5</vt:i4>
      </vt:variant>
      <vt:variant>
        <vt:lpwstr>https://www.servicesaustralia.gov.au/features-organisation-register?context=20</vt:lpwstr>
      </vt:variant>
      <vt:variant>
        <vt:lpwstr/>
      </vt:variant>
      <vt:variant>
        <vt:i4>196637</vt:i4>
      </vt:variant>
      <vt:variant>
        <vt:i4>513</vt:i4>
      </vt:variant>
      <vt:variant>
        <vt:i4>0</vt:i4>
      </vt:variant>
      <vt:variant>
        <vt:i4>5</vt:i4>
      </vt:variant>
      <vt:variant>
        <vt:lpwstr>https://www.servicesaustralia.gov.au/about-mymedicare-for-health-professionals?context=20</vt:lpwstr>
      </vt:variant>
      <vt:variant>
        <vt:lpwstr/>
      </vt:variant>
      <vt:variant>
        <vt:i4>7929983</vt:i4>
      </vt:variant>
      <vt:variant>
        <vt:i4>510</vt:i4>
      </vt:variant>
      <vt:variant>
        <vt:i4>0</vt:i4>
      </vt:variant>
      <vt:variant>
        <vt:i4>5</vt:i4>
      </vt:variant>
      <vt:variant>
        <vt:lpwstr>https://www.servicesaustralia.gov.au/about-general-practice-aged-care-incentive?context=20</vt:lpwstr>
      </vt:variant>
      <vt:variant>
        <vt:lpwstr/>
      </vt:variant>
      <vt:variant>
        <vt:i4>8192113</vt:i4>
      </vt:variant>
      <vt:variant>
        <vt:i4>507</vt:i4>
      </vt:variant>
      <vt:variant>
        <vt:i4>0</vt:i4>
      </vt:variant>
      <vt:variant>
        <vt:i4>5</vt:i4>
      </vt:variant>
      <vt:variant>
        <vt:lpwstr>https://www.servicesaustralia.gov.au/organisation-register-for-general-practitioners-gps-and-health-professionals-privacy-notice?context=22</vt:lpwstr>
      </vt:variant>
      <vt:variant>
        <vt:lpwstr/>
      </vt:variant>
      <vt:variant>
        <vt:i4>3538945</vt:i4>
      </vt:variant>
      <vt:variant>
        <vt:i4>504</vt:i4>
      </vt:variant>
      <vt:variant>
        <vt:i4>0</vt:i4>
      </vt:variant>
      <vt:variant>
        <vt:i4>5</vt:i4>
      </vt:variant>
      <vt:variant>
        <vt:lpwstr>https://www.health.gov.au/sites/default/files/2024-04/mymedicare-privacy-notice_0.pdf</vt:lpwstr>
      </vt:variant>
      <vt:variant>
        <vt:lpwstr/>
      </vt:variant>
      <vt:variant>
        <vt:i4>6553632</vt:i4>
      </vt:variant>
      <vt:variant>
        <vt:i4>501</vt:i4>
      </vt:variant>
      <vt:variant>
        <vt:i4>0</vt:i4>
      </vt:variant>
      <vt:variant>
        <vt:i4>5</vt:i4>
      </vt:variant>
      <vt:variant>
        <vt:lpwstr>https://www.health.gov.au/resources/publications/mymedicare-privacy-notice?language=en</vt:lpwstr>
      </vt:variant>
      <vt:variant>
        <vt:lpwstr/>
      </vt:variant>
      <vt:variant>
        <vt:i4>7733345</vt:i4>
      </vt:variant>
      <vt:variant>
        <vt:i4>498</vt:i4>
      </vt:variant>
      <vt:variant>
        <vt:i4>0</vt:i4>
      </vt:variant>
      <vt:variant>
        <vt:i4>5</vt:i4>
      </vt:variant>
      <vt:variant>
        <vt:lpwstr>https://www.digitalhealth.gov.au/about-us/policies-privacy-and-reporting/privacy-policy</vt:lpwstr>
      </vt:variant>
      <vt:variant>
        <vt:lpwstr/>
      </vt:variant>
      <vt:variant>
        <vt:i4>7995449</vt:i4>
      </vt:variant>
      <vt:variant>
        <vt:i4>495</vt:i4>
      </vt:variant>
      <vt:variant>
        <vt:i4>0</vt:i4>
      </vt:variant>
      <vt:variant>
        <vt:i4>5</vt:i4>
      </vt:variant>
      <vt:variant>
        <vt:lpwstr>https://www.dva.gov.au/about/overview/legal-resources/dva-privacy-policy</vt:lpwstr>
      </vt:variant>
      <vt:variant>
        <vt:lpwstr>:~:text=DVA%20generally%20uses%20and%20discloses,authorised%20by%20the%20Privacy%20Act.</vt:lpwstr>
      </vt:variant>
      <vt:variant>
        <vt:i4>1441884</vt:i4>
      </vt:variant>
      <vt:variant>
        <vt:i4>492</vt:i4>
      </vt:variant>
      <vt:variant>
        <vt:i4>0</vt:i4>
      </vt:variant>
      <vt:variant>
        <vt:i4>5</vt:i4>
      </vt:variant>
      <vt:variant>
        <vt:lpwstr>https://www.servicesaustralia.gov.au/your-right-to-privacy?context=1</vt:lpwstr>
      </vt:variant>
      <vt:variant>
        <vt:lpwstr/>
      </vt:variant>
      <vt:variant>
        <vt:i4>1966145</vt:i4>
      </vt:variant>
      <vt:variant>
        <vt:i4>489</vt:i4>
      </vt:variant>
      <vt:variant>
        <vt:i4>0</vt:i4>
      </vt:variant>
      <vt:variant>
        <vt:i4>5</vt:i4>
      </vt:variant>
      <vt:variant>
        <vt:lpwstr>https://www.oaic.gov.au/privacy-law/privacy-act/australian-privacy-principles</vt:lpwstr>
      </vt:variant>
      <vt:variant>
        <vt:lpwstr/>
      </vt:variant>
      <vt:variant>
        <vt:i4>3473468</vt:i4>
      </vt:variant>
      <vt:variant>
        <vt:i4>486</vt:i4>
      </vt:variant>
      <vt:variant>
        <vt:i4>0</vt:i4>
      </vt:variant>
      <vt:variant>
        <vt:i4>5</vt:i4>
      </vt:variant>
      <vt:variant>
        <vt:lpwstr>https://www.legislation.gov.au/C2004A03712/latest/versions</vt:lpwstr>
      </vt:variant>
      <vt:variant>
        <vt:lpwstr/>
      </vt:variant>
      <vt:variant>
        <vt:i4>1835125</vt:i4>
      </vt:variant>
      <vt:variant>
        <vt:i4>483</vt:i4>
      </vt:variant>
      <vt:variant>
        <vt:i4>0</vt:i4>
      </vt:variant>
      <vt:variant>
        <vt:i4>5</vt:i4>
      </vt:variant>
      <vt:variant>
        <vt:lpwstr>https://www.health.gov.au/our-work/mymedicare?utm_source=health.gov.au&amp;utm_medium=redirect&amp;utm_campaign=digital_transformation&amp;utm_content=mymedicare</vt:lpwstr>
      </vt:variant>
      <vt:variant>
        <vt:lpwstr/>
      </vt:variant>
      <vt:variant>
        <vt:i4>4587561</vt:i4>
      </vt:variant>
      <vt:variant>
        <vt:i4>480</vt:i4>
      </vt:variant>
      <vt:variant>
        <vt:i4>0</vt:i4>
      </vt:variant>
      <vt:variant>
        <vt:i4>5</vt:i4>
      </vt:variant>
      <vt:variant>
        <vt:lpwstr>mailto:MyMedicare@Health.gov.au</vt:lpwstr>
      </vt:variant>
      <vt:variant>
        <vt:lpwstr/>
      </vt:variant>
      <vt:variant>
        <vt:i4>3473468</vt:i4>
      </vt:variant>
      <vt:variant>
        <vt:i4>477</vt:i4>
      </vt:variant>
      <vt:variant>
        <vt:i4>0</vt:i4>
      </vt:variant>
      <vt:variant>
        <vt:i4>5</vt:i4>
      </vt:variant>
      <vt:variant>
        <vt:lpwstr>https://www.servicesaustralia.gov.au/ip034</vt:lpwstr>
      </vt:variant>
      <vt:variant>
        <vt:lpwstr/>
      </vt:variant>
      <vt:variant>
        <vt:i4>3735587</vt:i4>
      </vt:variant>
      <vt:variant>
        <vt:i4>474</vt:i4>
      </vt:variant>
      <vt:variant>
        <vt:i4>0</vt:i4>
      </vt:variant>
      <vt:variant>
        <vt:i4>5</vt:i4>
      </vt:variant>
      <vt:variant>
        <vt:lpwstr>https://www.digitalhealth.gov.au/initiatives-and-programs/my-health-record/manage-your-record/profile-and-settings</vt:lpwstr>
      </vt:variant>
      <vt:variant>
        <vt:lpwstr/>
      </vt:variant>
      <vt:variant>
        <vt:i4>4980766</vt:i4>
      </vt:variant>
      <vt:variant>
        <vt:i4>471</vt:i4>
      </vt:variant>
      <vt:variant>
        <vt:i4>0</vt:i4>
      </vt:variant>
      <vt:variant>
        <vt:i4>5</vt:i4>
      </vt:variant>
      <vt:variant>
        <vt:lpwstr>https://www.health.gov.au/resources/publications/general-practice-in-aged-care-incentive-program-guidelines-2024?language=en</vt:lpwstr>
      </vt:variant>
      <vt:variant>
        <vt:lpwstr/>
      </vt:variant>
      <vt:variant>
        <vt:i4>5046352</vt:i4>
      </vt:variant>
      <vt:variant>
        <vt:i4>468</vt:i4>
      </vt:variant>
      <vt:variant>
        <vt:i4>0</vt:i4>
      </vt:variant>
      <vt:variant>
        <vt:i4>5</vt:i4>
      </vt:variant>
      <vt:variant>
        <vt:lpwstr>https://www.health.gov.au/our-work/mymedicare/patients</vt:lpwstr>
      </vt:variant>
      <vt:variant>
        <vt:lpwstr>how-to-register:~:text=People%20who%20are%20facing%20hardship%20will%20be%20exempt%20from%20all%20eligibility%20requirements.%20This%20includes%20people%20experiencing%20domestic%20and%20family%20violence%20and%20homelessness.</vt:lpwstr>
      </vt:variant>
      <vt:variant>
        <vt:i4>7733343</vt:i4>
      </vt:variant>
      <vt:variant>
        <vt:i4>465</vt:i4>
      </vt:variant>
      <vt:variant>
        <vt:i4>0</vt:i4>
      </vt:variant>
      <vt:variant>
        <vt:i4>5</vt:i4>
      </vt:variant>
      <vt:variant>
        <vt:lpwstr/>
      </vt:variant>
      <vt:variant>
        <vt:lpwstr>_Hub_and_Spoke</vt:lpwstr>
      </vt:variant>
      <vt:variant>
        <vt:i4>5767280</vt:i4>
      </vt:variant>
      <vt:variant>
        <vt:i4>462</vt:i4>
      </vt:variant>
      <vt:variant>
        <vt:i4>0</vt:i4>
      </vt:variant>
      <vt:variant>
        <vt:i4>5</vt:i4>
      </vt:variant>
      <vt:variant>
        <vt:lpwstr>mailto:organisation.register@servicesaustralia.gov.au</vt:lpwstr>
      </vt:variant>
      <vt:variant>
        <vt:lpwstr/>
      </vt:variant>
      <vt:variant>
        <vt:i4>4587606</vt:i4>
      </vt:variant>
      <vt:variant>
        <vt:i4>459</vt:i4>
      </vt:variant>
      <vt:variant>
        <vt:i4>0</vt:i4>
      </vt:variant>
      <vt:variant>
        <vt:i4>5</vt:i4>
      </vt:variant>
      <vt:variant>
        <vt:lpwstr>https://www.safetyandquality.gov.au/our-work/accreditation/national-general-practice-accreditation-scheme</vt:lpwstr>
      </vt:variant>
      <vt:variant>
        <vt:lpwstr/>
      </vt:variant>
      <vt:variant>
        <vt:i4>7536695</vt:i4>
      </vt:variant>
      <vt:variant>
        <vt:i4>456</vt:i4>
      </vt:variant>
      <vt:variant>
        <vt:i4>0</vt:i4>
      </vt:variant>
      <vt:variant>
        <vt:i4>5</vt:i4>
      </vt:variant>
      <vt:variant>
        <vt:lpwstr>https://hpe.servicesaustralia.gov.au/organisation-register.html</vt:lpwstr>
      </vt:variant>
      <vt:variant>
        <vt:lpwstr/>
      </vt:variant>
      <vt:variant>
        <vt:i4>2293810</vt:i4>
      </vt:variant>
      <vt:variant>
        <vt:i4>453</vt:i4>
      </vt:variant>
      <vt:variant>
        <vt:i4>0</vt:i4>
      </vt:variant>
      <vt:variant>
        <vt:i4>5</vt:i4>
      </vt:variant>
      <vt:variant>
        <vt:lpwstr>https://www.health.gov.au/topics/rural-health-workforce/classifications/mmm</vt:lpwstr>
      </vt:variant>
      <vt:variant>
        <vt:lpwstr/>
      </vt:variant>
      <vt:variant>
        <vt:i4>6881338</vt:i4>
      </vt:variant>
      <vt:variant>
        <vt:i4>450</vt:i4>
      </vt:variant>
      <vt:variant>
        <vt:i4>0</vt:i4>
      </vt:variant>
      <vt:variant>
        <vt:i4>5</vt:i4>
      </vt:variant>
      <vt:variant>
        <vt:lpwstr>https://www.servicesaustralia.gov.au/register-organisation-register-hpos?context=20</vt:lpwstr>
      </vt:variant>
      <vt:variant>
        <vt:lpwstr/>
      </vt:variant>
      <vt:variant>
        <vt:i4>327700</vt:i4>
      </vt:variant>
      <vt:variant>
        <vt:i4>447</vt:i4>
      </vt:variant>
      <vt:variant>
        <vt:i4>0</vt:i4>
      </vt:variant>
      <vt:variant>
        <vt:i4>5</vt:i4>
      </vt:variant>
      <vt:variant>
        <vt:lpwstr>https://www.health.gov.au/resources/publications/strengthening-medicare-taskforce-report?language=en</vt:lpwstr>
      </vt:variant>
      <vt:variant>
        <vt:lpwstr/>
      </vt:variant>
      <vt:variant>
        <vt:i4>6291506</vt:i4>
      </vt:variant>
      <vt:variant>
        <vt:i4>444</vt:i4>
      </vt:variant>
      <vt:variant>
        <vt:i4>0</vt:i4>
      </vt:variant>
      <vt:variant>
        <vt:i4>5</vt:i4>
      </vt:variant>
      <vt:variant>
        <vt:lpwstr>https://www.health.gov.au/resources/publications/australias-primary-health-care-10-year-plan-2022-2032?language=en</vt:lpwstr>
      </vt:variant>
      <vt:variant>
        <vt:lpwstr/>
      </vt:variant>
      <vt:variant>
        <vt:i4>7798796</vt:i4>
      </vt:variant>
      <vt:variant>
        <vt:i4>441</vt:i4>
      </vt:variant>
      <vt:variant>
        <vt:i4>0</vt:i4>
      </vt:variant>
      <vt:variant>
        <vt:i4>5</vt:i4>
      </vt:variant>
      <vt:variant>
        <vt:lpwstr>mailto:copyright@health.gov.au</vt:lpwstr>
      </vt:variant>
      <vt:variant>
        <vt:lpwstr/>
      </vt:variant>
      <vt:variant>
        <vt:i4>1441841</vt:i4>
      </vt:variant>
      <vt:variant>
        <vt:i4>434</vt:i4>
      </vt:variant>
      <vt:variant>
        <vt:i4>0</vt:i4>
      </vt:variant>
      <vt:variant>
        <vt:i4>5</vt:i4>
      </vt:variant>
      <vt:variant>
        <vt:lpwstr/>
      </vt:variant>
      <vt:variant>
        <vt:lpwstr>_Toc534657532</vt:lpwstr>
      </vt:variant>
      <vt:variant>
        <vt:i4>1179702</vt:i4>
      </vt:variant>
      <vt:variant>
        <vt:i4>428</vt:i4>
      </vt:variant>
      <vt:variant>
        <vt:i4>0</vt:i4>
      </vt:variant>
      <vt:variant>
        <vt:i4>5</vt:i4>
      </vt:variant>
      <vt:variant>
        <vt:lpwstr/>
      </vt:variant>
      <vt:variant>
        <vt:lpwstr>_Toc145811387</vt:lpwstr>
      </vt:variant>
      <vt:variant>
        <vt:i4>1769521</vt:i4>
      </vt:variant>
      <vt:variant>
        <vt:i4>422</vt:i4>
      </vt:variant>
      <vt:variant>
        <vt:i4>0</vt:i4>
      </vt:variant>
      <vt:variant>
        <vt:i4>5</vt:i4>
      </vt:variant>
      <vt:variant>
        <vt:lpwstr/>
      </vt:variant>
      <vt:variant>
        <vt:lpwstr>_Toc120856502</vt:lpwstr>
      </vt:variant>
      <vt:variant>
        <vt:i4>1572923</vt:i4>
      </vt:variant>
      <vt:variant>
        <vt:i4>416</vt:i4>
      </vt:variant>
      <vt:variant>
        <vt:i4>0</vt:i4>
      </vt:variant>
      <vt:variant>
        <vt:i4>5</vt:i4>
      </vt:variant>
      <vt:variant>
        <vt:lpwstr/>
      </vt:variant>
      <vt:variant>
        <vt:lpwstr>_Toc992460625</vt:lpwstr>
      </vt:variant>
      <vt:variant>
        <vt:i4>2097164</vt:i4>
      </vt:variant>
      <vt:variant>
        <vt:i4>410</vt:i4>
      </vt:variant>
      <vt:variant>
        <vt:i4>0</vt:i4>
      </vt:variant>
      <vt:variant>
        <vt:i4>5</vt:i4>
      </vt:variant>
      <vt:variant>
        <vt:lpwstr/>
      </vt:variant>
      <vt:variant>
        <vt:lpwstr>_Toc2127328370</vt:lpwstr>
      </vt:variant>
      <vt:variant>
        <vt:i4>1441851</vt:i4>
      </vt:variant>
      <vt:variant>
        <vt:i4>404</vt:i4>
      </vt:variant>
      <vt:variant>
        <vt:i4>0</vt:i4>
      </vt:variant>
      <vt:variant>
        <vt:i4>5</vt:i4>
      </vt:variant>
      <vt:variant>
        <vt:lpwstr/>
      </vt:variant>
      <vt:variant>
        <vt:lpwstr>_Toc956549080</vt:lpwstr>
      </vt:variant>
      <vt:variant>
        <vt:i4>2424832</vt:i4>
      </vt:variant>
      <vt:variant>
        <vt:i4>398</vt:i4>
      </vt:variant>
      <vt:variant>
        <vt:i4>0</vt:i4>
      </vt:variant>
      <vt:variant>
        <vt:i4>5</vt:i4>
      </vt:variant>
      <vt:variant>
        <vt:lpwstr/>
      </vt:variant>
      <vt:variant>
        <vt:lpwstr>_Toc1504980982</vt:lpwstr>
      </vt:variant>
      <vt:variant>
        <vt:i4>1507380</vt:i4>
      </vt:variant>
      <vt:variant>
        <vt:i4>392</vt:i4>
      </vt:variant>
      <vt:variant>
        <vt:i4>0</vt:i4>
      </vt:variant>
      <vt:variant>
        <vt:i4>5</vt:i4>
      </vt:variant>
      <vt:variant>
        <vt:lpwstr/>
      </vt:variant>
      <vt:variant>
        <vt:lpwstr>_Toc560503103</vt:lpwstr>
      </vt:variant>
      <vt:variant>
        <vt:i4>2162697</vt:i4>
      </vt:variant>
      <vt:variant>
        <vt:i4>386</vt:i4>
      </vt:variant>
      <vt:variant>
        <vt:i4>0</vt:i4>
      </vt:variant>
      <vt:variant>
        <vt:i4>5</vt:i4>
      </vt:variant>
      <vt:variant>
        <vt:lpwstr/>
      </vt:variant>
      <vt:variant>
        <vt:lpwstr>_Toc1101834540</vt:lpwstr>
      </vt:variant>
      <vt:variant>
        <vt:i4>1703987</vt:i4>
      </vt:variant>
      <vt:variant>
        <vt:i4>380</vt:i4>
      </vt:variant>
      <vt:variant>
        <vt:i4>0</vt:i4>
      </vt:variant>
      <vt:variant>
        <vt:i4>5</vt:i4>
      </vt:variant>
      <vt:variant>
        <vt:lpwstr/>
      </vt:variant>
      <vt:variant>
        <vt:lpwstr>_Toc585640739</vt:lpwstr>
      </vt:variant>
      <vt:variant>
        <vt:i4>2686985</vt:i4>
      </vt:variant>
      <vt:variant>
        <vt:i4>374</vt:i4>
      </vt:variant>
      <vt:variant>
        <vt:i4>0</vt:i4>
      </vt:variant>
      <vt:variant>
        <vt:i4>5</vt:i4>
      </vt:variant>
      <vt:variant>
        <vt:lpwstr/>
      </vt:variant>
      <vt:variant>
        <vt:lpwstr>_Toc1573027882</vt:lpwstr>
      </vt:variant>
      <vt:variant>
        <vt:i4>1638453</vt:i4>
      </vt:variant>
      <vt:variant>
        <vt:i4>368</vt:i4>
      </vt:variant>
      <vt:variant>
        <vt:i4>0</vt:i4>
      </vt:variant>
      <vt:variant>
        <vt:i4>5</vt:i4>
      </vt:variant>
      <vt:variant>
        <vt:lpwstr/>
      </vt:variant>
      <vt:variant>
        <vt:lpwstr>_Toc659381293</vt:lpwstr>
      </vt:variant>
      <vt:variant>
        <vt:i4>2162691</vt:i4>
      </vt:variant>
      <vt:variant>
        <vt:i4>362</vt:i4>
      </vt:variant>
      <vt:variant>
        <vt:i4>0</vt:i4>
      </vt:variant>
      <vt:variant>
        <vt:i4>5</vt:i4>
      </vt:variant>
      <vt:variant>
        <vt:lpwstr/>
      </vt:variant>
      <vt:variant>
        <vt:lpwstr>_Toc1978693806</vt:lpwstr>
      </vt:variant>
      <vt:variant>
        <vt:i4>2490368</vt:i4>
      </vt:variant>
      <vt:variant>
        <vt:i4>356</vt:i4>
      </vt:variant>
      <vt:variant>
        <vt:i4>0</vt:i4>
      </vt:variant>
      <vt:variant>
        <vt:i4>5</vt:i4>
      </vt:variant>
      <vt:variant>
        <vt:lpwstr/>
      </vt:variant>
      <vt:variant>
        <vt:lpwstr>_Toc1513555604</vt:lpwstr>
      </vt:variant>
      <vt:variant>
        <vt:i4>2555916</vt:i4>
      </vt:variant>
      <vt:variant>
        <vt:i4>350</vt:i4>
      </vt:variant>
      <vt:variant>
        <vt:i4>0</vt:i4>
      </vt:variant>
      <vt:variant>
        <vt:i4>5</vt:i4>
      </vt:variant>
      <vt:variant>
        <vt:lpwstr/>
      </vt:variant>
      <vt:variant>
        <vt:lpwstr>_Toc1741863626</vt:lpwstr>
      </vt:variant>
      <vt:variant>
        <vt:i4>1835058</vt:i4>
      </vt:variant>
      <vt:variant>
        <vt:i4>344</vt:i4>
      </vt:variant>
      <vt:variant>
        <vt:i4>0</vt:i4>
      </vt:variant>
      <vt:variant>
        <vt:i4>5</vt:i4>
      </vt:variant>
      <vt:variant>
        <vt:lpwstr/>
      </vt:variant>
      <vt:variant>
        <vt:lpwstr>_Toc736253691</vt:lpwstr>
      </vt:variant>
      <vt:variant>
        <vt:i4>2359305</vt:i4>
      </vt:variant>
      <vt:variant>
        <vt:i4>338</vt:i4>
      </vt:variant>
      <vt:variant>
        <vt:i4>0</vt:i4>
      </vt:variant>
      <vt:variant>
        <vt:i4>5</vt:i4>
      </vt:variant>
      <vt:variant>
        <vt:lpwstr/>
      </vt:variant>
      <vt:variant>
        <vt:lpwstr>_Toc1653401680</vt:lpwstr>
      </vt:variant>
      <vt:variant>
        <vt:i4>2359302</vt:i4>
      </vt:variant>
      <vt:variant>
        <vt:i4>332</vt:i4>
      </vt:variant>
      <vt:variant>
        <vt:i4>0</vt:i4>
      </vt:variant>
      <vt:variant>
        <vt:i4>5</vt:i4>
      </vt:variant>
      <vt:variant>
        <vt:lpwstr/>
      </vt:variant>
      <vt:variant>
        <vt:lpwstr>_Toc2055158784</vt:lpwstr>
      </vt:variant>
      <vt:variant>
        <vt:i4>1048626</vt:i4>
      </vt:variant>
      <vt:variant>
        <vt:i4>326</vt:i4>
      </vt:variant>
      <vt:variant>
        <vt:i4>0</vt:i4>
      </vt:variant>
      <vt:variant>
        <vt:i4>5</vt:i4>
      </vt:variant>
      <vt:variant>
        <vt:lpwstr/>
      </vt:variant>
      <vt:variant>
        <vt:lpwstr>_Toc860928803</vt:lpwstr>
      </vt:variant>
      <vt:variant>
        <vt:i4>1900598</vt:i4>
      </vt:variant>
      <vt:variant>
        <vt:i4>320</vt:i4>
      </vt:variant>
      <vt:variant>
        <vt:i4>0</vt:i4>
      </vt:variant>
      <vt:variant>
        <vt:i4>5</vt:i4>
      </vt:variant>
      <vt:variant>
        <vt:lpwstr/>
      </vt:variant>
      <vt:variant>
        <vt:lpwstr>_Toc712935078</vt:lpwstr>
      </vt:variant>
      <vt:variant>
        <vt:i4>2883595</vt:i4>
      </vt:variant>
      <vt:variant>
        <vt:i4>314</vt:i4>
      </vt:variant>
      <vt:variant>
        <vt:i4>0</vt:i4>
      </vt:variant>
      <vt:variant>
        <vt:i4>5</vt:i4>
      </vt:variant>
      <vt:variant>
        <vt:lpwstr/>
      </vt:variant>
      <vt:variant>
        <vt:lpwstr>_Toc1516599071</vt:lpwstr>
      </vt:variant>
      <vt:variant>
        <vt:i4>2031675</vt:i4>
      </vt:variant>
      <vt:variant>
        <vt:i4>308</vt:i4>
      </vt:variant>
      <vt:variant>
        <vt:i4>0</vt:i4>
      </vt:variant>
      <vt:variant>
        <vt:i4>5</vt:i4>
      </vt:variant>
      <vt:variant>
        <vt:lpwstr/>
      </vt:variant>
      <vt:variant>
        <vt:lpwstr>_Toc696685325</vt:lpwstr>
      </vt:variant>
      <vt:variant>
        <vt:i4>2949131</vt:i4>
      </vt:variant>
      <vt:variant>
        <vt:i4>302</vt:i4>
      </vt:variant>
      <vt:variant>
        <vt:i4>0</vt:i4>
      </vt:variant>
      <vt:variant>
        <vt:i4>5</vt:i4>
      </vt:variant>
      <vt:variant>
        <vt:lpwstr/>
      </vt:variant>
      <vt:variant>
        <vt:lpwstr>_Toc1943760690</vt:lpwstr>
      </vt:variant>
      <vt:variant>
        <vt:i4>1638457</vt:i4>
      </vt:variant>
      <vt:variant>
        <vt:i4>296</vt:i4>
      </vt:variant>
      <vt:variant>
        <vt:i4>0</vt:i4>
      </vt:variant>
      <vt:variant>
        <vt:i4>5</vt:i4>
      </vt:variant>
      <vt:variant>
        <vt:lpwstr/>
      </vt:variant>
      <vt:variant>
        <vt:lpwstr>_Toc20596483</vt:lpwstr>
      </vt:variant>
      <vt:variant>
        <vt:i4>2490373</vt:i4>
      </vt:variant>
      <vt:variant>
        <vt:i4>290</vt:i4>
      </vt:variant>
      <vt:variant>
        <vt:i4>0</vt:i4>
      </vt:variant>
      <vt:variant>
        <vt:i4>5</vt:i4>
      </vt:variant>
      <vt:variant>
        <vt:lpwstr/>
      </vt:variant>
      <vt:variant>
        <vt:lpwstr>_Toc2014477654</vt:lpwstr>
      </vt:variant>
      <vt:variant>
        <vt:i4>1245237</vt:i4>
      </vt:variant>
      <vt:variant>
        <vt:i4>284</vt:i4>
      </vt:variant>
      <vt:variant>
        <vt:i4>0</vt:i4>
      </vt:variant>
      <vt:variant>
        <vt:i4>5</vt:i4>
      </vt:variant>
      <vt:variant>
        <vt:lpwstr/>
      </vt:variant>
      <vt:variant>
        <vt:lpwstr>_Toc112217708</vt:lpwstr>
      </vt:variant>
      <vt:variant>
        <vt:i4>2752512</vt:i4>
      </vt:variant>
      <vt:variant>
        <vt:i4>278</vt:i4>
      </vt:variant>
      <vt:variant>
        <vt:i4>0</vt:i4>
      </vt:variant>
      <vt:variant>
        <vt:i4>5</vt:i4>
      </vt:variant>
      <vt:variant>
        <vt:lpwstr/>
      </vt:variant>
      <vt:variant>
        <vt:lpwstr>_Toc1019147969</vt:lpwstr>
      </vt:variant>
      <vt:variant>
        <vt:i4>1179710</vt:i4>
      </vt:variant>
      <vt:variant>
        <vt:i4>272</vt:i4>
      </vt:variant>
      <vt:variant>
        <vt:i4>0</vt:i4>
      </vt:variant>
      <vt:variant>
        <vt:i4>5</vt:i4>
      </vt:variant>
      <vt:variant>
        <vt:lpwstr/>
      </vt:variant>
      <vt:variant>
        <vt:lpwstr>_Toc113345823</vt:lpwstr>
      </vt:variant>
      <vt:variant>
        <vt:i4>2162692</vt:i4>
      </vt:variant>
      <vt:variant>
        <vt:i4>266</vt:i4>
      </vt:variant>
      <vt:variant>
        <vt:i4>0</vt:i4>
      </vt:variant>
      <vt:variant>
        <vt:i4>5</vt:i4>
      </vt:variant>
      <vt:variant>
        <vt:lpwstr/>
      </vt:variant>
      <vt:variant>
        <vt:lpwstr>_Toc1787349674</vt:lpwstr>
      </vt:variant>
      <vt:variant>
        <vt:i4>2621452</vt:i4>
      </vt:variant>
      <vt:variant>
        <vt:i4>260</vt:i4>
      </vt:variant>
      <vt:variant>
        <vt:i4>0</vt:i4>
      </vt:variant>
      <vt:variant>
        <vt:i4>5</vt:i4>
      </vt:variant>
      <vt:variant>
        <vt:lpwstr/>
      </vt:variant>
      <vt:variant>
        <vt:lpwstr>_Toc1476794490</vt:lpwstr>
      </vt:variant>
      <vt:variant>
        <vt:i4>2555908</vt:i4>
      </vt:variant>
      <vt:variant>
        <vt:i4>254</vt:i4>
      </vt:variant>
      <vt:variant>
        <vt:i4>0</vt:i4>
      </vt:variant>
      <vt:variant>
        <vt:i4>5</vt:i4>
      </vt:variant>
      <vt:variant>
        <vt:lpwstr/>
      </vt:variant>
      <vt:variant>
        <vt:lpwstr>_Toc1960681647</vt:lpwstr>
      </vt:variant>
      <vt:variant>
        <vt:i4>1638457</vt:i4>
      </vt:variant>
      <vt:variant>
        <vt:i4>248</vt:i4>
      </vt:variant>
      <vt:variant>
        <vt:i4>0</vt:i4>
      </vt:variant>
      <vt:variant>
        <vt:i4>5</vt:i4>
      </vt:variant>
      <vt:variant>
        <vt:lpwstr/>
      </vt:variant>
      <vt:variant>
        <vt:lpwstr>_Toc500492588</vt:lpwstr>
      </vt:variant>
      <vt:variant>
        <vt:i4>2883592</vt:i4>
      </vt:variant>
      <vt:variant>
        <vt:i4>242</vt:i4>
      </vt:variant>
      <vt:variant>
        <vt:i4>0</vt:i4>
      </vt:variant>
      <vt:variant>
        <vt:i4>5</vt:i4>
      </vt:variant>
      <vt:variant>
        <vt:lpwstr/>
      </vt:variant>
      <vt:variant>
        <vt:lpwstr>_Toc1687076578</vt:lpwstr>
      </vt:variant>
      <vt:variant>
        <vt:i4>2293775</vt:i4>
      </vt:variant>
      <vt:variant>
        <vt:i4>236</vt:i4>
      </vt:variant>
      <vt:variant>
        <vt:i4>0</vt:i4>
      </vt:variant>
      <vt:variant>
        <vt:i4>5</vt:i4>
      </vt:variant>
      <vt:variant>
        <vt:lpwstr/>
      </vt:variant>
      <vt:variant>
        <vt:lpwstr>_Toc1609479539</vt:lpwstr>
      </vt:variant>
      <vt:variant>
        <vt:i4>2424845</vt:i4>
      </vt:variant>
      <vt:variant>
        <vt:i4>230</vt:i4>
      </vt:variant>
      <vt:variant>
        <vt:i4>0</vt:i4>
      </vt:variant>
      <vt:variant>
        <vt:i4>5</vt:i4>
      </vt:variant>
      <vt:variant>
        <vt:lpwstr/>
      </vt:variant>
      <vt:variant>
        <vt:lpwstr>_Toc1646898388</vt:lpwstr>
      </vt:variant>
      <vt:variant>
        <vt:i4>1245242</vt:i4>
      </vt:variant>
      <vt:variant>
        <vt:i4>224</vt:i4>
      </vt:variant>
      <vt:variant>
        <vt:i4>0</vt:i4>
      </vt:variant>
      <vt:variant>
        <vt:i4>5</vt:i4>
      </vt:variant>
      <vt:variant>
        <vt:lpwstr/>
      </vt:variant>
      <vt:variant>
        <vt:lpwstr>_Toc178873483</vt:lpwstr>
      </vt:variant>
      <vt:variant>
        <vt:i4>2621448</vt:i4>
      </vt:variant>
      <vt:variant>
        <vt:i4>218</vt:i4>
      </vt:variant>
      <vt:variant>
        <vt:i4>0</vt:i4>
      </vt:variant>
      <vt:variant>
        <vt:i4>5</vt:i4>
      </vt:variant>
      <vt:variant>
        <vt:lpwstr/>
      </vt:variant>
      <vt:variant>
        <vt:lpwstr>_Toc1759004889</vt:lpwstr>
      </vt:variant>
      <vt:variant>
        <vt:i4>2818062</vt:i4>
      </vt:variant>
      <vt:variant>
        <vt:i4>212</vt:i4>
      </vt:variant>
      <vt:variant>
        <vt:i4>0</vt:i4>
      </vt:variant>
      <vt:variant>
        <vt:i4>5</vt:i4>
      </vt:variant>
      <vt:variant>
        <vt:lpwstr/>
      </vt:variant>
      <vt:variant>
        <vt:lpwstr>_Toc1430980959</vt:lpwstr>
      </vt:variant>
      <vt:variant>
        <vt:i4>1638454</vt:i4>
      </vt:variant>
      <vt:variant>
        <vt:i4>206</vt:i4>
      </vt:variant>
      <vt:variant>
        <vt:i4>0</vt:i4>
      </vt:variant>
      <vt:variant>
        <vt:i4>5</vt:i4>
      </vt:variant>
      <vt:variant>
        <vt:lpwstr/>
      </vt:variant>
      <vt:variant>
        <vt:lpwstr>_Toc72990184</vt:lpwstr>
      </vt:variant>
      <vt:variant>
        <vt:i4>1900604</vt:i4>
      </vt:variant>
      <vt:variant>
        <vt:i4>200</vt:i4>
      </vt:variant>
      <vt:variant>
        <vt:i4>0</vt:i4>
      </vt:variant>
      <vt:variant>
        <vt:i4>5</vt:i4>
      </vt:variant>
      <vt:variant>
        <vt:lpwstr/>
      </vt:variant>
      <vt:variant>
        <vt:lpwstr>_Toc312557894</vt:lpwstr>
      </vt:variant>
      <vt:variant>
        <vt:i4>1376310</vt:i4>
      </vt:variant>
      <vt:variant>
        <vt:i4>194</vt:i4>
      </vt:variant>
      <vt:variant>
        <vt:i4>0</vt:i4>
      </vt:variant>
      <vt:variant>
        <vt:i4>5</vt:i4>
      </vt:variant>
      <vt:variant>
        <vt:lpwstr/>
      </vt:variant>
      <vt:variant>
        <vt:lpwstr>_Toc957217929</vt:lpwstr>
      </vt:variant>
      <vt:variant>
        <vt:i4>1114172</vt:i4>
      </vt:variant>
      <vt:variant>
        <vt:i4>188</vt:i4>
      </vt:variant>
      <vt:variant>
        <vt:i4>0</vt:i4>
      </vt:variant>
      <vt:variant>
        <vt:i4>5</vt:i4>
      </vt:variant>
      <vt:variant>
        <vt:lpwstr/>
      </vt:variant>
      <vt:variant>
        <vt:lpwstr>_Toc748942790</vt:lpwstr>
      </vt:variant>
      <vt:variant>
        <vt:i4>2949120</vt:i4>
      </vt:variant>
      <vt:variant>
        <vt:i4>182</vt:i4>
      </vt:variant>
      <vt:variant>
        <vt:i4>0</vt:i4>
      </vt:variant>
      <vt:variant>
        <vt:i4>5</vt:i4>
      </vt:variant>
      <vt:variant>
        <vt:lpwstr/>
      </vt:variant>
      <vt:variant>
        <vt:lpwstr>_Toc1399908999</vt:lpwstr>
      </vt:variant>
      <vt:variant>
        <vt:i4>2490374</vt:i4>
      </vt:variant>
      <vt:variant>
        <vt:i4>176</vt:i4>
      </vt:variant>
      <vt:variant>
        <vt:i4>0</vt:i4>
      </vt:variant>
      <vt:variant>
        <vt:i4>5</vt:i4>
      </vt:variant>
      <vt:variant>
        <vt:lpwstr/>
      </vt:variant>
      <vt:variant>
        <vt:lpwstr>_Toc2082742394</vt:lpwstr>
      </vt:variant>
      <vt:variant>
        <vt:i4>1179703</vt:i4>
      </vt:variant>
      <vt:variant>
        <vt:i4>170</vt:i4>
      </vt:variant>
      <vt:variant>
        <vt:i4>0</vt:i4>
      </vt:variant>
      <vt:variant>
        <vt:i4>5</vt:i4>
      </vt:variant>
      <vt:variant>
        <vt:lpwstr/>
      </vt:variant>
      <vt:variant>
        <vt:lpwstr>_Toc277613375</vt:lpwstr>
      </vt:variant>
      <vt:variant>
        <vt:i4>1245236</vt:i4>
      </vt:variant>
      <vt:variant>
        <vt:i4>164</vt:i4>
      </vt:variant>
      <vt:variant>
        <vt:i4>0</vt:i4>
      </vt:variant>
      <vt:variant>
        <vt:i4>5</vt:i4>
      </vt:variant>
      <vt:variant>
        <vt:lpwstr/>
      </vt:variant>
      <vt:variant>
        <vt:lpwstr>_Toc196855605</vt:lpwstr>
      </vt:variant>
      <vt:variant>
        <vt:i4>2162689</vt:i4>
      </vt:variant>
      <vt:variant>
        <vt:i4>158</vt:i4>
      </vt:variant>
      <vt:variant>
        <vt:i4>0</vt:i4>
      </vt:variant>
      <vt:variant>
        <vt:i4>5</vt:i4>
      </vt:variant>
      <vt:variant>
        <vt:lpwstr/>
      </vt:variant>
      <vt:variant>
        <vt:lpwstr>_Toc2142733731</vt:lpwstr>
      </vt:variant>
      <vt:variant>
        <vt:i4>2293770</vt:i4>
      </vt:variant>
      <vt:variant>
        <vt:i4>152</vt:i4>
      </vt:variant>
      <vt:variant>
        <vt:i4>0</vt:i4>
      </vt:variant>
      <vt:variant>
        <vt:i4>5</vt:i4>
      </vt:variant>
      <vt:variant>
        <vt:lpwstr/>
      </vt:variant>
      <vt:variant>
        <vt:lpwstr>_Toc1431362790</vt:lpwstr>
      </vt:variant>
      <vt:variant>
        <vt:i4>2162689</vt:i4>
      </vt:variant>
      <vt:variant>
        <vt:i4>146</vt:i4>
      </vt:variant>
      <vt:variant>
        <vt:i4>0</vt:i4>
      </vt:variant>
      <vt:variant>
        <vt:i4>5</vt:i4>
      </vt:variant>
      <vt:variant>
        <vt:lpwstr/>
      </vt:variant>
      <vt:variant>
        <vt:lpwstr>_Toc1399719578</vt:lpwstr>
      </vt:variant>
      <vt:variant>
        <vt:i4>1441851</vt:i4>
      </vt:variant>
      <vt:variant>
        <vt:i4>140</vt:i4>
      </vt:variant>
      <vt:variant>
        <vt:i4>0</vt:i4>
      </vt:variant>
      <vt:variant>
        <vt:i4>5</vt:i4>
      </vt:variant>
      <vt:variant>
        <vt:lpwstr/>
      </vt:variant>
      <vt:variant>
        <vt:lpwstr>_Toc648450010</vt:lpwstr>
      </vt:variant>
      <vt:variant>
        <vt:i4>2621444</vt:i4>
      </vt:variant>
      <vt:variant>
        <vt:i4>134</vt:i4>
      </vt:variant>
      <vt:variant>
        <vt:i4>0</vt:i4>
      </vt:variant>
      <vt:variant>
        <vt:i4>5</vt:i4>
      </vt:variant>
      <vt:variant>
        <vt:lpwstr/>
      </vt:variant>
      <vt:variant>
        <vt:lpwstr>_Toc1067591677</vt:lpwstr>
      </vt:variant>
      <vt:variant>
        <vt:i4>1507380</vt:i4>
      </vt:variant>
      <vt:variant>
        <vt:i4>128</vt:i4>
      </vt:variant>
      <vt:variant>
        <vt:i4>0</vt:i4>
      </vt:variant>
      <vt:variant>
        <vt:i4>5</vt:i4>
      </vt:variant>
      <vt:variant>
        <vt:lpwstr/>
      </vt:variant>
      <vt:variant>
        <vt:lpwstr>_Toc934304943</vt:lpwstr>
      </vt:variant>
      <vt:variant>
        <vt:i4>2424833</vt:i4>
      </vt:variant>
      <vt:variant>
        <vt:i4>122</vt:i4>
      </vt:variant>
      <vt:variant>
        <vt:i4>0</vt:i4>
      </vt:variant>
      <vt:variant>
        <vt:i4>5</vt:i4>
      </vt:variant>
      <vt:variant>
        <vt:lpwstr/>
      </vt:variant>
      <vt:variant>
        <vt:lpwstr>_Toc1371327634</vt:lpwstr>
      </vt:variant>
      <vt:variant>
        <vt:i4>1900601</vt:i4>
      </vt:variant>
      <vt:variant>
        <vt:i4>116</vt:i4>
      </vt:variant>
      <vt:variant>
        <vt:i4>0</vt:i4>
      </vt:variant>
      <vt:variant>
        <vt:i4>5</vt:i4>
      </vt:variant>
      <vt:variant>
        <vt:lpwstr/>
      </vt:variant>
      <vt:variant>
        <vt:lpwstr>_Toc768367080</vt:lpwstr>
      </vt:variant>
      <vt:variant>
        <vt:i4>2490380</vt:i4>
      </vt:variant>
      <vt:variant>
        <vt:i4>110</vt:i4>
      </vt:variant>
      <vt:variant>
        <vt:i4>0</vt:i4>
      </vt:variant>
      <vt:variant>
        <vt:i4>5</vt:i4>
      </vt:variant>
      <vt:variant>
        <vt:lpwstr/>
      </vt:variant>
      <vt:variant>
        <vt:lpwstr>_Toc1110873275</vt:lpwstr>
      </vt:variant>
      <vt:variant>
        <vt:i4>1638456</vt:i4>
      </vt:variant>
      <vt:variant>
        <vt:i4>104</vt:i4>
      </vt:variant>
      <vt:variant>
        <vt:i4>0</vt:i4>
      </vt:variant>
      <vt:variant>
        <vt:i4>5</vt:i4>
      </vt:variant>
      <vt:variant>
        <vt:lpwstr/>
      </vt:variant>
      <vt:variant>
        <vt:lpwstr>_Toc843048724</vt:lpwstr>
      </vt:variant>
      <vt:variant>
        <vt:i4>1966135</vt:i4>
      </vt:variant>
      <vt:variant>
        <vt:i4>98</vt:i4>
      </vt:variant>
      <vt:variant>
        <vt:i4>0</vt:i4>
      </vt:variant>
      <vt:variant>
        <vt:i4>5</vt:i4>
      </vt:variant>
      <vt:variant>
        <vt:lpwstr/>
      </vt:variant>
      <vt:variant>
        <vt:lpwstr>_Toc495514710</vt:lpwstr>
      </vt:variant>
      <vt:variant>
        <vt:i4>3014671</vt:i4>
      </vt:variant>
      <vt:variant>
        <vt:i4>92</vt:i4>
      </vt:variant>
      <vt:variant>
        <vt:i4>0</vt:i4>
      </vt:variant>
      <vt:variant>
        <vt:i4>5</vt:i4>
      </vt:variant>
      <vt:variant>
        <vt:lpwstr/>
      </vt:variant>
      <vt:variant>
        <vt:lpwstr>_Toc1629658221</vt:lpwstr>
      </vt:variant>
      <vt:variant>
        <vt:i4>1703986</vt:i4>
      </vt:variant>
      <vt:variant>
        <vt:i4>86</vt:i4>
      </vt:variant>
      <vt:variant>
        <vt:i4>0</vt:i4>
      </vt:variant>
      <vt:variant>
        <vt:i4>5</vt:i4>
      </vt:variant>
      <vt:variant>
        <vt:lpwstr/>
      </vt:variant>
      <vt:variant>
        <vt:lpwstr>_Toc695701128</vt:lpwstr>
      </vt:variant>
      <vt:variant>
        <vt:i4>2621452</vt:i4>
      </vt:variant>
      <vt:variant>
        <vt:i4>80</vt:i4>
      </vt:variant>
      <vt:variant>
        <vt:i4>0</vt:i4>
      </vt:variant>
      <vt:variant>
        <vt:i4>5</vt:i4>
      </vt:variant>
      <vt:variant>
        <vt:lpwstr/>
      </vt:variant>
      <vt:variant>
        <vt:lpwstr>_Toc1338304692</vt:lpwstr>
      </vt:variant>
      <vt:variant>
        <vt:i4>1245247</vt:i4>
      </vt:variant>
      <vt:variant>
        <vt:i4>74</vt:i4>
      </vt:variant>
      <vt:variant>
        <vt:i4>0</vt:i4>
      </vt:variant>
      <vt:variant>
        <vt:i4>5</vt:i4>
      </vt:variant>
      <vt:variant>
        <vt:lpwstr/>
      </vt:variant>
      <vt:variant>
        <vt:lpwstr>_Toc897508007</vt:lpwstr>
      </vt:variant>
      <vt:variant>
        <vt:i4>1703995</vt:i4>
      </vt:variant>
      <vt:variant>
        <vt:i4>68</vt:i4>
      </vt:variant>
      <vt:variant>
        <vt:i4>0</vt:i4>
      </vt:variant>
      <vt:variant>
        <vt:i4>5</vt:i4>
      </vt:variant>
      <vt:variant>
        <vt:lpwstr/>
      </vt:variant>
      <vt:variant>
        <vt:lpwstr>_Toc926778300</vt:lpwstr>
      </vt:variant>
      <vt:variant>
        <vt:i4>2621440</vt:i4>
      </vt:variant>
      <vt:variant>
        <vt:i4>62</vt:i4>
      </vt:variant>
      <vt:variant>
        <vt:i4>0</vt:i4>
      </vt:variant>
      <vt:variant>
        <vt:i4>5</vt:i4>
      </vt:variant>
      <vt:variant>
        <vt:lpwstr/>
      </vt:variant>
      <vt:variant>
        <vt:lpwstr>_Toc1819584214</vt:lpwstr>
      </vt:variant>
      <vt:variant>
        <vt:i4>1441845</vt:i4>
      </vt:variant>
      <vt:variant>
        <vt:i4>56</vt:i4>
      </vt:variant>
      <vt:variant>
        <vt:i4>0</vt:i4>
      </vt:variant>
      <vt:variant>
        <vt:i4>5</vt:i4>
      </vt:variant>
      <vt:variant>
        <vt:lpwstr/>
      </vt:variant>
      <vt:variant>
        <vt:lpwstr>_Toc441762603</vt:lpwstr>
      </vt:variant>
      <vt:variant>
        <vt:i4>2293766</vt:i4>
      </vt:variant>
      <vt:variant>
        <vt:i4>50</vt:i4>
      </vt:variant>
      <vt:variant>
        <vt:i4>0</vt:i4>
      </vt:variant>
      <vt:variant>
        <vt:i4>5</vt:i4>
      </vt:variant>
      <vt:variant>
        <vt:lpwstr/>
      </vt:variant>
      <vt:variant>
        <vt:lpwstr>_Toc1337400</vt:lpwstr>
      </vt:variant>
      <vt:variant>
        <vt:i4>2228238</vt:i4>
      </vt:variant>
      <vt:variant>
        <vt:i4>44</vt:i4>
      </vt:variant>
      <vt:variant>
        <vt:i4>0</vt:i4>
      </vt:variant>
      <vt:variant>
        <vt:i4>5</vt:i4>
      </vt:variant>
      <vt:variant>
        <vt:lpwstr/>
      </vt:variant>
      <vt:variant>
        <vt:lpwstr>_Toc1360707791</vt:lpwstr>
      </vt:variant>
      <vt:variant>
        <vt:i4>1376306</vt:i4>
      </vt:variant>
      <vt:variant>
        <vt:i4>38</vt:i4>
      </vt:variant>
      <vt:variant>
        <vt:i4>0</vt:i4>
      </vt:variant>
      <vt:variant>
        <vt:i4>5</vt:i4>
      </vt:variant>
      <vt:variant>
        <vt:lpwstr/>
      </vt:variant>
      <vt:variant>
        <vt:lpwstr>_Toc403535626</vt:lpwstr>
      </vt:variant>
      <vt:variant>
        <vt:i4>2686982</vt:i4>
      </vt:variant>
      <vt:variant>
        <vt:i4>32</vt:i4>
      </vt:variant>
      <vt:variant>
        <vt:i4>0</vt:i4>
      </vt:variant>
      <vt:variant>
        <vt:i4>5</vt:i4>
      </vt:variant>
      <vt:variant>
        <vt:lpwstr/>
      </vt:variant>
      <vt:variant>
        <vt:lpwstr>_Toc1566092034</vt:lpwstr>
      </vt:variant>
      <vt:variant>
        <vt:i4>1376308</vt:i4>
      </vt:variant>
      <vt:variant>
        <vt:i4>26</vt:i4>
      </vt:variant>
      <vt:variant>
        <vt:i4>0</vt:i4>
      </vt:variant>
      <vt:variant>
        <vt:i4>5</vt:i4>
      </vt:variant>
      <vt:variant>
        <vt:lpwstr/>
      </vt:variant>
      <vt:variant>
        <vt:lpwstr>_Toc667206502</vt:lpwstr>
      </vt:variant>
      <vt:variant>
        <vt:i4>2097163</vt:i4>
      </vt:variant>
      <vt:variant>
        <vt:i4>20</vt:i4>
      </vt:variant>
      <vt:variant>
        <vt:i4>0</vt:i4>
      </vt:variant>
      <vt:variant>
        <vt:i4>5</vt:i4>
      </vt:variant>
      <vt:variant>
        <vt:lpwstr/>
      </vt:variant>
      <vt:variant>
        <vt:lpwstr>_Toc1567980855</vt:lpwstr>
      </vt:variant>
      <vt:variant>
        <vt:i4>1441842</vt:i4>
      </vt:variant>
      <vt:variant>
        <vt:i4>14</vt:i4>
      </vt:variant>
      <vt:variant>
        <vt:i4>0</vt:i4>
      </vt:variant>
      <vt:variant>
        <vt:i4>5</vt:i4>
      </vt:variant>
      <vt:variant>
        <vt:lpwstr/>
      </vt:variant>
      <vt:variant>
        <vt:lpwstr>_Toc160766560</vt:lpwstr>
      </vt:variant>
      <vt:variant>
        <vt:i4>2818057</vt:i4>
      </vt:variant>
      <vt:variant>
        <vt:i4>8</vt:i4>
      </vt:variant>
      <vt:variant>
        <vt:i4>0</vt:i4>
      </vt:variant>
      <vt:variant>
        <vt:i4>5</vt:i4>
      </vt:variant>
      <vt:variant>
        <vt:lpwstr/>
      </vt:variant>
      <vt:variant>
        <vt:lpwstr>_Toc2086567418</vt:lpwstr>
      </vt:variant>
      <vt:variant>
        <vt:i4>1835061</vt:i4>
      </vt:variant>
      <vt:variant>
        <vt:i4>2</vt:i4>
      </vt:variant>
      <vt:variant>
        <vt:i4>0</vt:i4>
      </vt:variant>
      <vt:variant>
        <vt:i4>5</vt:i4>
      </vt:variant>
      <vt:variant>
        <vt:lpwstr/>
      </vt:variant>
      <vt:variant>
        <vt:lpwstr>_Toc470961741</vt:lpwstr>
      </vt:variant>
      <vt:variant>
        <vt:i4>5439568</vt:i4>
      </vt:variant>
      <vt:variant>
        <vt:i4>18</vt:i4>
      </vt:variant>
      <vt:variant>
        <vt:i4>0</vt:i4>
      </vt:variant>
      <vt:variant>
        <vt:i4>5</vt:i4>
      </vt:variant>
      <vt:variant>
        <vt:lpwstr>https://www.servicesaustralia.gov.au/medicare-representative-to-act-for-you?context=22201</vt:lpwstr>
      </vt:variant>
      <vt:variant>
        <vt:lpwstr/>
      </vt:variant>
      <vt:variant>
        <vt:i4>786440</vt:i4>
      </vt:variant>
      <vt:variant>
        <vt:i4>15</vt:i4>
      </vt:variant>
      <vt:variant>
        <vt:i4>0</vt:i4>
      </vt:variant>
      <vt:variant>
        <vt:i4>5</vt:i4>
      </vt:variant>
      <vt:variant>
        <vt:lpwstr>https://www.health.gov.au/sites/default/files/documents/2021/06/administrative-record-keeping-guidelines-for-health-professionals.pdf</vt:lpwstr>
      </vt:variant>
      <vt:variant>
        <vt:lpwstr/>
      </vt:variant>
      <vt:variant>
        <vt:i4>1310810</vt:i4>
      </vt:variant>
      <vt:variant>
        <vt:i4>12</vt:i4>
      </vt:variant>
      <vt:variant>
        <vt:i4>0</vt:i4>
      </vt:variant>
      <vt:variant>
        <vt:i4>5</vt:i4>
      </vt:variant>
      <vt:variant>
        <vt:lpwstr>https://www.racgp.org.au/running-a-practice/practice-standards/standards-5th-edition/standards-for-general-practices-5th-ed/table-of-contents</vt:lpwstr>
      </vt:variant>
      <vt:variant>
        <vt:lpwstr/>
      </vt:variant>
      <vt:variant>
        <vt:i4>4587561</vt:i4>
      </vt:variant>
      <vt:variant>
        <vt:i4>9</vt:i4>
      </vt:variant>
      <vt:variant>
        <vt:i4>0</vt:i4>
      </vt:variant>
      <vt:variant>
        <vt:i4>5</vt:i4>
      </vt:variant>
      <vt:variant>
        <vt:lpwstr>mailto:mymedicare@health.gov.au</vt:lpwstr>
      </vt:variant>
      <vt:variant>
        <vt:lpwstr/>
      </vt:variant>
      <vt:variant>
        <vt:i4>7077985</vt:i4>
      </vt:variant>
      <vt:variant>
        <vt:i4>6</vt:i4>
      </vt:variant>
      <vt:variant>
        <vt:i4>0</vt:i4>
      </vt:variant>
      <vt:variant>
        <vt:i4>5</vt:i4>
      </vt:variant>
      <vt:variant>
        <vt:lpwstr>https://www.safetyandquality.gov.au/newsroom/national-standards-updates/advisory-gp2302-requests-extensions-and-appeals</vt:lpwstr>
      </vt:variant>
      <vt:variant>
        <vt:lpwstr/>
      </vt:variant>
      <vt:variant>
        <vt:i4>458774</vt:i4>
      </vt:variant>
      <vt:variant>
        <vt:i4>3</vt:i4>
      </vt:variant>
      <vt:variant>
        <vt:i4>0</vt:i4>
      </vt:variant>
      <vt:variant>
        <vt:i4>5</vt:i4>
      </vt:variant>
      <vt:variant>
        <vt:lpwstr>https://www.racgp.org.au/running-a-practice/practice-standards/standards-5th-edition/standards-for-general-practices-5th-ed/introduction-to-the-standards-for-general-practice/accreditation</vt:lpwstr>
      </vt:variant>
      <vt:variant>
        <vt:lpwstr/>
      </vt:variant>
      <vt:variant>
        <vt:i4>983110</vt:i4>
      </vt:variant>
      <vt:variant>
        <vt:i4>0</vt:i4>
      </vt:variant>
      <vt:variant>
        <vt:i4>0</vt:i4>
      </vt:variant>
      <vt:variant>
        <vt:i4>5</vt:i4>
      </vt:variant>
      <vt:variant>
        <vt:lpwstr>https://www.health.gov.au/resources/publications/general-practice-in-aged-care-incentive-program-guidelines-2024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MyMedicare Program Guidelines</dc:title>
  <dc:subject>MyMedicare</dc:subject>
  <dc:creator>Australian Government Department of Health and Aged Care</dc:creator>
  <cp:keywords>medicare; MyMedicare;</cp:keywords>
  <dc:description/>
  <cp:revision>6</cp:revision>
  <cp:lastPrinted>2025-05-09T19:10:00Z</cp:lastPrinted>
  <dcterms:created xsi:type="dcterms:W3CDTF">2026-01-14T06:34:00Z</dcterms:created>
  <dcterms:modified xsi:type="dcterms:W3CDTF">2026-01-14T23:50:00Z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4ddee8ca,79d274c2,5126a6e4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5ea579cb,737d6060,58838af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2025-07-29T04:40:15Z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80237de8-5904-4909-92a8-ebfd84c30da5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0x01010089AAE7EC0B811B42B180F330F2A664A5</vt:lpwstr>
  </property>
  <property fmtid="{D5CDD505-2E9C-101B-9397-08002B2CF9AE}" pid="17" name="MediaServiceImageTags">
    <vt:lpwstr/>
  </property>
  <property fmtid="{D5CDD505-2E9C-101B-9397-08002B2CF9AE}" pid="18" name="docLang">
    <vt:lpwstr>en</vt:lpwstr>
  </property>
</Properties>
</file>