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5"/>
        <w:tblW w:w="0" w:type="auto"/>
        <w:tblLook w:val="04A0" w:firstRow="1" w:lastRow="0" w:firstColumn="1" w:lastColumn="0" w:noHBand="0" w:noVBand="1"/>
      </w:tblPr>
      <w:tblGrid>
        <w:gridCol w:w="4508"/>
        <w:gridCol w:w="4508"/>
      </w:tblGrid>
      <w:tr w:rsidR="00692695" w14:paraId="38035278" w14:textId="77777777" w:rsidTr="001220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14:paraId="535DAB35" w14:textId="77777777" w:rsidR="00AD1571" w:rsidRPr="00BB50AE" w:rsidRDefault="00AD1571" w:rsidP="00122089">
            <w:pPr>
              <w:rPr>
                <w:rFonts w:ascii="Arial" w:hAnsi="Arial" w:cs="Arial"/>
                <w:b w:val="0"/>
                <w:bCs w:val="0"/>
              </w:rPr>
            </w:pPr>
            <w:r w:rsidRPr="00BB50AE">
              <w:rPr>
                <w:rFonts w:ascii="Arial" w:hAnsi="Arial" w:cs="Arial"/>
              </w:rPr>
              <w:t>Name</w:t>
            </w:r>
          </w:p>
        </w:tc>
        <w:tc>
          <w:tcPr>
            <w:tcW w:w="4508" w:type="dxa"/>
          </w:tcPr>
          <w:p w14:paraId="4B7DE692" w14:textId="77777777" w:rsidR="00AD1571" w:rsidRPr="00BB50AE" w:rsidRDefault="00AD1571" w:rsidP="00122089">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0AE">
              <w:rPr>
                <w:rFonts w:ascii="Arial" w:hAnsi="Arial" w:cs="Arial"/>
              </w:rPr>
              <w:t>Details</w:t>
            </w:r>
          </w:p>
        </w:tc>
      </w:tr>
      <w:tr w:rsidR="00692695" w14:paraId="6D418738"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7FA0DB" w14:textId="77777777" w:rsidR="00AD1571" w:rsidRPr="00D0722E" w:rsidRDefault="00AD1571" w:rsidP="00D0722E">
            <w:pPr>
              <w:pStyle w:val="Tabletextleft"/>
            </w:pPr>
            <w:r w:rsidRPr="00D0722E">
              <w:t>Conjoint Professor Anne Duggan (Chair)</w:t>
            </w:r>
          </w:p>
          <w:p w14:paraId="254AD48A" w14:textId="77777777" w:rsidR="00AD1571" w:rsidRDefault="00AD1571" w:rsidP="00122089">
            <w:r w:rsidRPr="00D15130">
              <w:rPr>
                <w:noProof/>
                <w:lang w:eastAsia="en-AU"/>
              </w:rPr>
              <w:drawing>
                <wp:inline distT="0" distB="0" distL="0" distR="0" wp14:anchorId="78E928A0" wp14:editId="23C88434">
                  <wp:extent cx="1440000" cy="1799544"/>
                  <wp:effectExtent l="0" t="0" r="825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40000" cy="1799544"/>
                          </a:xfrm>
                          <a:prstGeom prst="rect">
                            <a:avLst/>
                          </a:prstGeom>
                          <a:noFill/>
                          <a:ln>
                            <a:noFill/>
                          </a:ln>
                        </pic:spPr>
                      </pic:pic>
                    </a:graphicData>
                  </a:graphic>
                </wp:inline>
              </w:drawing>
            </w:r>
          </w:p>
        </w:tc>
        <w:tc>
          <w:tcPr>
            <w:tcW w:w="4508" w:type="dxa"/>
          </w:tcPr>
          <w:p w14:paraId="42C88A06"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Professor Duggan is Chief Executive Officer of the Australian Commission on Safety and Quality in Health Care, where she leads national improvements in the safety and quality of health care.</w:t>
            </w:r>
          </w:p>
          <w:p w14:paraId="2263E47E" w14:textId="77777777" w:rsidR="00AD1571"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Anne was previously the Commission’s Chief Medical Officer while also working as a gastroenterologist. She has a strong background in providing leadership to clinicians and colleagues to improve patient care and embed clinical governance frameworks.</w:t>
            </w:r>
          </w:p>
        </w:tc>
      </w:tr>
      <w:tr w:rsidR="00692695" w14:paraId="7C1C500D" w14:textId="77777777" w:rsidTr="00122089">
        <w:trPr>
          <w:trHeight w:val="3488"/>
        </w:trPr>
        <w:tc>
          <w:tcPr>
            <w:cnfStyle w:val="001000000000" w:firstRow="0" w:lastRow="0" w:firstColumn="1" w:lastColumn="0" w:oddVBand="0" w:evenVBand="0" w:oddHBand="0" w:evenHBand="0" w:firstRowFirstColumn="0" w:firstRowLastColumn="0" w:lastRowFirstColumn="0" w:lastRowLastColumn="0"/>
            <w:tcW w:w="4508" w:type="dxa"/>
          </w:tcPr>
          <w:p w14:paraId="05ED5A32" w14:textId="226851AD" w:rsidR="00AD1571" w:rsidRPr="00D0722E" w:rsidRDefault="00AD1571" w:rsidP="00D0722E">
            <w:pPr>
              <w:pStyle w:val="Tabletextleft"/>
            </w:pPr>
            <w:r w:rsidRPr="00D0722E">
              <w:t>Professor Sally Green (Deputy Chair)</w:t>
            </w:r>
          </w:p>
          <w:p w14:paraId="029A08F2" w14:textId="1A133A4C" w:rsidR="00AD1571" w:rsidRPr="00AD1571" w:rsidRDefault="00AD1571" w:rsidP="00AD1571">
            <w:r w:rsidRPr="00AD1571">
              <w:rPr>
                <w:noProof/>
              </w:rPr>
              <w:drawing>
                <wp:inline distT="0" distB="0" distL="0" distR="0" wp14:anchorId="30B749E1" wp14:editId="7462E33B">
                  <wp:extent cx="1413334" cy="1676400"/>
                  <wp:effectExtent l="0" t="0" r="0" b="0"/>
                  <wp:docPr id="1161356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18751" cy="1682825"/>
                          </a:xfrm>
                          <a:prstGeom prst="rect">
                            <a:avLst/>
                          </a:prstGeom>
                          <a:noFill/>
                          <a:ln>
                            <a:noFill/>
                          </a:ln>
                        </pic:spPr>
                      </pic:pic>
                    </a:graphicData>
                  </a:graphic>
                </wp:inline>
              </w:drawing>
            </w:r>
          </w:p>
          <w:p w14:paraId="7DA9E489" w14:textId="22715259" w:rsidR="00AD1571" w:rsidRPr="00BB50AE" w:rsidRDefault="00AD1571" w:rsidP="00122089"/>
        </w:tc>
        <w:tc>
          <w:tcPr>
            <w:tcW w:w="4508" w:type="dxa"/>
          </w:tcPr>
          <w:p w14:paraId="18D77A1B"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Sally Green is Co-Director of Cochrane Australia and Deputy Head (Research) of the School of Public Health and Preventive Medicine at Monash University. She holds a PhD in Epidemiology and Preventive Medicine from Monash. Professor Green’s research aims to improve health outcomes and strengthen health services through high quality, timely research synthesis and guideline development. Her work is focused on implementation of research into clinical practice and health policy.</w:t>
            </w:r>
          </w:p>
          <w:p w14:paraId="23F1537B" w14:textId="1D74230B" w:rsidR="00AD1571"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Green is a member of Cochrane’s international Governing Board.</w:t>
            </w:r>
          </w:p>
        </w:tc>
      </w:tr>
      <w:tr w:rsidR="00692695" w14:paraId="3D0B3A33" w14:textId="77777777" w:rsidTr="00122089">
        <w:trPr>
          <w:cnfStyle w:val="000000100000" w:firstRow="0" w:lastRow="0" w:firstColumn="0" w:lastColumn="0" w:oddVBand="0" w:evenVBand="0" w:oddHBand="1" w:evenHBand="0" w:firstRowFirstColumn="0" w:firstRowLastColumn="0" w:lastRowFirstColumn="0" w:lastRowLastColumn="0"/>
          <w:trHeight w:val="4789"/>
        </w:trPr>
        <w:tc>
          <w:tcPr>
            <w:cnfStyle w:val="001000000000" w:firstRow="0" w:lastRow="0" w:firstColumn="1" w:lastColumn="0" w:oddVBand="0" w:evenVBand="0" w:oddHBand="0" w:evenHBand="0" w:firstRowFirstColumn="0" w:firstRowLastColumn="0" w:lastRowFirstColumn="0" w:lastRowLastColumn="0"/>
            <w:tcW w:w="4508" w:type="dxa"/>
          </w:tcPr>
          <w:p w14:paraId="6537EFAB" w14:textId="77777777" w:rsidR="00AD1571" w:rsidRPr="00D0722E" w:rsidRDefault="00AD1571" w:rsidP="00D0722E">
            <w:pPr>
              <w:pStyle w:val="Tabletextleft"/>
            </w:pPr>
            <w:r w:rsidRPr="00D0722E">
              <w:t>Dr Jason Agostino</w:t>
            </w:r>
          </w:p>
          <w:p w14:paraId="2DF25128" w14:textId="77777777" w:rsidR="00AD1571" w:rsidRDefault="00AD1571" w:rsidP="00122089">
            <w:r>
              <w:rPr>
                <w:noProof/>
              </w:rPr>
              <w:drawing>
                <wp:inline distT="0" distB="0" distL="0" distR="0" wp14:anchorId="5C993C4F" wp14:editId="7DAB897F">
                  <wp:extent cx="1440000" cy="1800551"/>
                  <wp:effectExtent l="0" t="0" r="8255" b="0"/>
                  <wp:docPr id="139258830" name="Picture 13925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830" name="Picture 1392588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800551"/>
                          </a:xfrm>
                          <a:prstGeom prst="rect">
                            <a:avLst/>
                          </a:prstGeom>
                        </pic:spPr>
                      </pic:pic>
                    </a:graphicData>
                  </a:graphic>
                </wp:inline>
              </w:drawing>
            </w:r>
          </w:p>
        </w:tc>
        <w:tc>
          <w:tcPr>
            <w:tcW w:w="4508" w:type="dxa"/>
          </w:tcPr>
          <w:p w14:paraId="442043CC"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Dr Jason Agostino is a general practitioner and an epidemiologist with a focus on the health of Aboriginal and Torres Strait Islander peoples. He is the senior medical advisor at the National Aboriginal Community Controlled Health Organisation (NACCHO).</w:t>
            </w:r>
          </w:p>
          <w:p w14:paraId="24D5C1E7"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Dr Agostino is also a research fellow at the Australian National University where he leads work on improving early detection and management of cardiovascular disease risk for Aboriginal and Torres Strait Islander peoples and leads medical school teaching on evidence-based medicine. </w:t>
            </w:r>
          </w:p>
          <w:p w14:paraId="377C77C3"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He works clinically as a GP at Gurriny Yealamucka, an Aboriginal community-controlled health service in the community of Yarrabah in far north Queensland.</w:t>
            </w:r>
          </w:p>
        </w:tc>
      </w:tr>
      <w:tr w:rsidR="00692695" w14:paraId="5BD7C63E"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72C47F81" w14:textId="77777777" w:rsidR="00AD1571" w:rsidRPr="00D0722E" w:rsidRDefault="00AD1571" w:rsidP="00D0722E">
            <w:pPr>
              <w:pStyle w:val="Tabletextleft"/>
            </w:pPr>
            <w:r w:rsidRPr="00D0722E">
              <w:lastRenderedPageBreak/>
              <w:t>Professor John Atherton</w:t>
            </w:r>
          </w:p>
          <w:p w14:paraId="0B1AD18B" w14:textId="63A1284F" w:rsidR="00AD1571" w:rsidRPr="00AD1571" w:rsidRDefault="00AD1571" w:rsidP="00AD1571">
            <w:pPr>
              <w:rPr>
                <w:noProof/>
              </w:rPr>
            </w:pPr>
            <w:r w:rsidRPr="00AD1571">
              <w:rPr>
                <w:noProof/>
              </w:rPr>
              <w:drawing>
                <wp:inline distT="0" distB="0" distL="0" distR="0" wp14:anchorId="568A1A2B" wp14:editId="4D611749">
                  <wp:extent cx="1570398" cy="1963083"/>
                  <wp:effectExtent l="0" t="0" r="0" b="0"/>
                  <wp:docPr id="1127693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6639" cy="1983385"/>
                          </a:xfrm>
                          <a:prstGeom prst="rect">
                            <a:avLst/>
                          </a:prstGeom>
                          <a:noFill/>
                          <a:ln>
                            <a:noFill/>
                          </a:ln>
                        </pic:spPr>
                      </pic:pic>
                    </a:graphicData>
                  </a:graphic>
                </wp:inline>
              </w:drawing>
            </w:r>
          </w:p>
          <w:p w14:paraId="775C74EA" w14:textId="74AECB35" w:rsidR="00AD1571" w:rsidRPr="0012759D" w:rsidRDefault="00AD1571" w:rsidP="00122089">
            <w:pPr>
              <w:rPr>
                <w:noProof/>
              </w:rPr>
            </w:pPr>
          </w:p>
        </w:tc>
        <w:tc>
          <w:tcPr>
            <w:tcW w:w="4508" w:type="dxa"/>
          </w:tcPr>
          <w:p w14:paraId="30FE3B5B" w14:textId="47BE0585"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John Atherton is a Pre-eminent Staff Specialist and Director of Cardiology at the Royal Brisbane and Women’s Hospital (RBWH); Professor, Faculty of Medicine, University of Queensland; Adjunct Professor, Faculty of Health, Queensland University of Technology; and</w:t>
            </w:r>
            <w:r w:rsidR="00E01473" w:rsidRPr="00D0722E">
              <w:t xml:space="preserve"> was a </w:t>
            </w:r>
            <w:r w:rsidRPr="00D0722E">
              <w:t xml:space="preserve">member of the Australian Government Medical Services Advisory Committee. </w:t>
            </w:r>
          </w:p>
          <w:p w14:paraId="2437DFC3"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 xml:space="preserve">John was one of four non-European official content reviewers for the 2016 European Society of Cardiology Heart Failure Guidelines, chaired the 2018 National Heart Foundation of Australia/ Cardiac Society of Australia and New Zealand (CSANZ) Heart Failure Guidelines, and sits on the Therapeutic Guidelines Cardiovascular Expert Group. </w:t>
            </w:r>
          </w:p>
          <w:p w14:paraId="0E8FFD2E"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 xml:space="preserve">John recently co-authored the first universal definition of heart failure. He is Data Custodian for the Queensland Cardiac Outcomes Registry (QCOR)- Heart Failure and sits as a Director on the newly formed National Cardiac Registry Board. He co-developed the RBWH cardiac genetic clinic in collaboration with Genetic Health Queensland, which takes state-wide referrals. </w:t>
            </w:r>
          </w:p>
          <w:p w14:paraId="44F0902C"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John is part of a Metro North Genomic Institute working group that is investigating the feasibility of mainstreaming genetic services into cardiology practice in four hospitals in Queensland. His clinical and research interests include investigating novel methods to detect pre-symptomatic heart disease, heart failure disease management and cardiac genetics.</w:t>
            </w:r>
          </w:p>
        </w:tc>
      </w:tr>
      <w:tr w:rsidR="00692695" w14:paraId="0844EFDE"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DD25B1" w14:textId="77777777" w:rsidR="00AD1571" w:rsidRPr="00E01473" w:rsidRDefault="00AD1571" w:rsidP="00D0722E">
            <w:pPr>
              <w:pStyle w:val="Tabletextleft"/>
            </w:pPr>
            <w:r w:rsidRPr="00E01473">
              <w:lastRenderedPageBreak/>
              <w:t>Ms Jan Donovan</w:t>
            </w:r>
          </w:p>
          <w:p w14:paraId="338F9D19" w14:textId="2383F653" w:rsidR="00AD1571" w:rsidRPr="00AD1571" w:rsidRDefault="00AD1571" w:rsidP="00AD1571">
            <w:r w:rsidRPr="00AD1571">
              <w:rPr>
                <w:noProof/>
              </w:rPr>
              <w:drawing>
                <wp:inline distT="0" distB="0" distL="0" distR="0" wp14:anchorId="33934375" wp14:editId="62102BCC">
                  <wp:extent cx="1638300" cy="2047965"/>
                  <wp:effectExtent l="0" t="0" r="0" b="9525"/>
                  <wp:docPr id="1535260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00" cy="2059841"/>
                          </a:xfrm>
                          <a:prstGeom prst="rect">
                            <a:avLst/>
                          </a:prstGeom>
                          <a:noFill/>
                          <a:ln>
                            <a:noFill/>
                          </a:ln>
                        </pic:spPr>
                      </pic:pic>
                    </a:graphicData>
                  </a:graphic>
                </wp:inline>
              </w:drawing>
            </w:r>
          </w:p>
          <w:p w14:paraId="61FBEA17" w14:textId="10600C48" w:rsidR="00AD1571" w:rsidRDefault="00AD1571" w:rsidP="00122089"/>
        </w:tc>
        <w:tc>
          <w:tcPr>
            <w:tcW w:w="4508" w:type="dxa"/>
          </w:tcPr>
          <w:p w14:paraId="185058B0"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has participated in national policy forums at the strategic level for three decades, including through her eight years with COTA Australia. </w:t>
            </w:r>
          </w:p>
          <w:p w14:paraId="5D6713BB"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 is a passionate advocate for addressing health equity and the social determinants of health with a focus on people with chronic illness and disability. She has a strong interest in access to primary health care, the national medicines policy, health literacy, mental health, aged care and indigenous health.</w:t>
            </w:r>
          </w:p>
          <w:p w14:paraId="566CC4D3"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 has extensive experience in public policy, strategy and governance matters at board level, including as a member of:</w:t>
            </w:r>
          </w:p>
          <w:p w14:paraId="25C7AEF7"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Consumers Health Forum Board (2014 – current)</w:t>
            </w:r>
          </w:p>
          <w:p w14:paraId="78900B2D"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Board of the National Prescribing Service (NPS Medicines Wise) (1998-2007)</w:t>
            </w:r>
          </w:p>
          <w:p w14:paraId="4909A832"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 xml:space="preserve">Board of the Australian Primary Health Care Research Institute at ANU (2005-2009). </w:t>
            </w:r>
          </w:p>
          <w:p w14:paraId="128660E8"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Jan’s former roles as a health consumer representative include ministerial appointment to the National Medicines Policy Review Committee in 2021/22 and the Vision 2040 Strategic Advisory Committee, and as:</w:t>
            </w:r>
          </w:p>
          <w:p w14:paraId="4840567C"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Deputy Chair of the Health Technologies Assessment Consumer Consultative Committee</w:t>
            </w:r>
          </w:p>
          <w:p w14:paraId="6742A158"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Drug Utilization Sub Committee of the PBAC</w:t>
            </w:r>
          </w:p>
          <w:p w14:paraId="0234A60F"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Evaluation Committee of Health Care Homes</w:t>
            </w:r>
          </w:p>
          <w:p w14:paraId="38D32EF1"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Medicines Safety Committee for the Australian Digital Health Agency.</w:t>
            </w:r>
          </w:p>
          <w:p w14:paraId="18BCB4D0"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currently chairs the Community Reference Council of the Turner Institute for Brain and Mental Health at Monash University and the Project Steering Committee for the NSW Government – Sponsored Clinical Trail: Management of Urinary Tract Infections by Community Pharmacists. </w:t>
            </w:r>
          </w:p>
          <w:p w14:paraId="1A715134"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is a member of the Australian Institute for Health and Welfares Primary Care Committee and participates in several national research advisory groups including the Linked data Asset for Australian Health Research (LINDAHR), the Centre for Excellence in Medicines Intelligence at University of NSW, and the Dementia risk </w:t>
            </w:r>
            <w:r w:rsidRPr="00D0722E">
              <w:lastRenderedPageBreak/>
              <w:t>reduction in primary care: The Happi Mind Study at Monash University.</w:t>
            </w:r>
          </w:p>
        </w:tc>
      </w:tr>
      <w:tr w:rsidR="00692695" w14:paraId="3370D649"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57B2BF0F" w14:textId="77777777" w:rsidR="00AD1571" w:rsidRPr="00E01473" w:rsidRDefault="00AD1571" w:rsidP="00D0722E">
            <w:pPr>
              <w:pStyle w:val="Tabletextleft"/>
            </w:pPr>
            <w:r w:rsidRPr="00E01473">
              <w:lastRenderedPageBreak/>
              <w:t>Professor Adam Elshaug</w:t>
            </w:r>
          </w:p>
          <w:p w14:paraId="7F58911D" w14:textId="77777777" w:rsidR="00AD1571" w:rsidRDefault="00AD1571" w:rsidP="00D0722E">
            <w:pPr>
              <w:pStyle w:val="Tabletextleft"/>
            </w:pPr>
            <w:r w:rsidRPr="00D15130">
              <w:drawing>
                <wp:inline distT="0" distB="0" distL="0" distR="0" wp14:anchorId="44C71FC8" wp14:editId="261B03D0">
                  <wp:extent cx="1440000" cy="1800658"/>
                  <wp:effectExtent l="0" t="0" r="825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000" cy="1800658"/>
                          </a:xfrm>
                          <a:prstGeom prst="rect">
                            <a:avLst/>
                          </a:prstGeom>
                          <a:noFill/>
                          <a:ln>
                            <a:noFill/>
                          </a:ln>
                        </pic:spPr>
                      </pic:pic>
                    </a:graphicData>
                  </a:graphic>
                </wp:inline>
              </w:drawing>
            </w:r>
          </w:p>
        </w:tc>
        <w:tc>
          <w:tcPr>
            <w:tcW w:w="4508" w:type="dxa"/>
          </w:tcPr>
          <w:p w14:paraId="03C4109B"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Professor Adam Elshaug is a Director for the Centre for Health Policy, Melbourne School of Population and Global Health at the University of Melbourne</w:t>
            </w:r>
          </w:p>
          <w:p w14:paraId="13BDC295"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Adam is a health services and systems researcher, and policy advisor. He directs a program of research measuring health service utilisation with a particular focus on low-value or inappropriate healthcare. Partners include four state health departments, Veterans Affairs, four PHIs (representing ~68% of privately insured Australians), US Medicare, NICE and Thailand. For this program Adam has been awarded the HSRAANZ Impact Award and the Research Australia Data Innovation in Health and Medical Research Award.</w:t>
            </w:r>
          </w:p>
          <w:p w14:paraId="71DE9169"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Adam was a member of the MBS Review Taskforce and its Principles and Rules sub-committee. He is a Board Member of the NSW Bureau of Health Information (BHI), sits on the Expert Advisory Committee for Evidence-based Interventions (NICE and NHS England) and since 2014 he has been economic and policy advisor to Cancer Australia.</w:t>
            </w:r>
          </w:p>
          <w:p w14:paraId="027D6DB2"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 2010-11 Commonwealth Fund Harkness Fellow based at AHRQ (USA), then Sidney Sax Fellow at Harvard Medical School, for 2019-20 Adam was Visiting Fellow at The Brookings Institution in Washington DC.</w:t>
            </w:r>
          </w:p>
          <w:p w14:paraId="20E60595"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Prior to joining Melbourne in September 2020 Adam was Co-Director of the Menzies Centre for Health Policy at The University of Sydney.</w:t>
            </w:r>
          </w:p>
        </w:tc>
      </w:tr>
      <w:tr w:rsidR="00692695" w14:paraId="1EC07CAF"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D97EFF" w14:textId="5203D64E" w:rsidR="00AD1571" w:rsidRPr="00E01473" w:rsidRDefault="002F2F4E" w:rsidP="00D0722E">
            <w:pPr>
              <w:pStyle w:val="Tabletextleft"/>
            </w:pPr>
            <w:r w:rsidRPr="00E01473">
              <w:lastRenderedPageBreak/>
              <w:t>Dr Terence Heng</w:t>
            </w:r>
          </w:p>
          <w:p w14:paraId="3472E628" w14:textId="22E8FD47" w:rsidR="002F2F4E" w:rsidRPr="002F2F4E" w:rsidRDefault="002F2F4E" w:rsidP="002F2F4E">
            <w:r w:rsidRPr="002F2F4E">
              <w:rPr>
                <w:noProof/>
              </w:rPr>
              <w:drawing>
                <wp:inline distT="0" distB="0" distL="0" distR="0" wp14:anchorId="348A307C" wp14:editId="632A5135">
                  <wp:extent cx="1360669" cy="1700912"/>
                  <wp:effectExtent l="0" t="0" r="0" b="0"/>
                  <wp:docPr id="1825093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270" cy="1710413"/>
                          </a:xfrm>
                          <a:prstGeom prst="rect">
                            <a:avLst/>
                          </a:prstGeom>
                          <a:noFill/>
                          <a:ln>
                            <a:noFill/>
                          </a:ln>
                        </pic:spPr>
                      </pic:pic>
                    </a:graphicData>
                  </a:graphic>
                </wp:inline>
              </w:drawing>
            </w:r>
          </w:p>
          <w:p w14:paraId="54E9B342" w14:textId="78414639" w:rsidR="00AD1571" w:rsidRDefault="00AD1571" w:rsidP="00122089"/>
        </w:tc>
        <w:tc>
          <w:tcPr>
            <w:tcW w:w="4508" w:type="dxa"/>
          </w:tcPr>
          <w:p w14:paraId="4098AC87"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Heng has contributed extensively to medical education and clinical training at both undergraduate and postgraduate levels. He previously served as a Conjoint Clinical Senior Lecturer with the School of Medicine, Deakin University, and currently supervises medical students and GP registrars across all stages of training.</w:t>
            </w:r>
          </w:p>
          <w:p w14:paraId="3C1F881E"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Earlier in his career, Dr Heng was an invited lecturer in Public Health and Clinical Pharmacology at RMIT University. In collaboration with his local Primary Health Network, he helped develop clinical pathways and strengthen partnerships between local hospitals and general practice to improve outpatient access and continuity of care.</w:t>
            </w:r>
          </w:p>
          <w:p w14:paraId="20B5AEE8"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He continues to contribute to professional assessment and medical education as an Examiner for RACGP, with involvement in both the Clinical Competency Examination (CCE) and Pre-Employment Structured Clinical Interview (PESCI) assessments.</w:t>
            </w:r>
          </w:p>
          <w:p w14:paraId="16859C0E" w14:textId="3B121708" w:rsidR="00AD1571"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Heng currently lives and works as a Rural Generalist at Great Ocean Road Health, Apollo Bay (MM5), where he provides comprehensive general practice, urgent care, and aged care services to the local community.</w:t>
            </w:r>
          </w:p>
        </w:tc>
      </w:tr>
      <w:tr w:rsidR="00777435" w14:paraId="6362DA46"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C97944A" w14:textId="77777777" w:rsidR="00777435" w:rsidRPr="00E01473" w:rsidRDefault="00777435" w:rsidP="00D0722E">
            <w:pPr>
              <w:pStyle w:val="Tabletextleft"/>
            </w:pPr>
            <w:r w:rsidRPr="00E01473">
              <w:lastRenderedPageBreak/>
              <w:t>Dr Ronelle Hutchinson</w:t>
            </w:r>
          </w:p>
          <w:p w14:paraId="10972ED2" w14:textId="63EA6536" w:rsidR="00777435" w:rsidRPr="00777435" w:rsidRDefault="00777435" w:rsidP="00D0722E">
            <w:pPr>
              <w:pStyle w:val="Tabletextleft"/>
            </w:pPr>
            <w:r w:rsidRPr="00777435">
              <w:drawing>
                <wp:inline distT="0" distB="0" distL="0" distR="0" wp14:anchorId="2A72C909" wp14:editId="5CDB4389">
                  <wp:extent cx="1774423" cy="1816100"/>
                  <wp:effectExtent l="0" t="0" r="0" b="0"/>
                  <wp:docPr id="308116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423" cy="1816100"/>
                          </a:xfrm>
                          <a:prstGeom prst="rect">
                            <a:avLst/>
                          </a:prstGeom>
                          <a:noFill/>
                          <a:ln>
                            <a:noFill/>
                          </a:ln>
                        </pic:spPr>
                      </pic:pic>
                    </a:graphicData>
                  </a:graphic>
                </wp:inline>
              </w:drawing>
            </w:r>
          </w:p>
          <w:p w14:paraId="603E4D71" w14:textId="792B9557" w:rsidR="00777435" w:rsidRDefault="00777435" w:rsidP="00D0722E">
            <w:pPr>
              <w:pStyle w:val="Tabletextleft"/>
            </w:pPr>
          </w:p>
        </w:tc>
        <w:tc>
          <w:tcPr>
            <w:tcW w:w="4508" w:type="dxa"/>
          </w:tcPr>
          <w:p w14:paraId="390B7073" w14:textId="77777777"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Ronelle is a consumer member of the committee. She is an experienced consumer advocate in the health and disability sectors. Ronelle has a special interest in incorporating the lived experience of people who are blind or have low vision into health and service design and public policy and serves on a range of boards and advisory committees in the eye health sector in Australia. </w:t>
            </w:r>
          </w:p>
          <w:p w14:paraId="347CB6DE" w14:textId="77777777"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Ronelle is a person with disability and a frequent user of all levels of the health system. She is passionate about ensuring that people with difference, disability and disadvantage are able to access the health care they need.</w:t>
            </w:r>
          </w:p>
          <w:p w14:paraId="512DC171" w14:textId="24D283AC"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In her professional life, Ronelle has over two decades of experience in public policy in the health, aged care and disability sectors. She has worked for and with all levels of governments to design and evaluate a diverse range of health and human services policies. She has specific expertise in economic evaluation and quality and safety regulation in the general practice, aged care and allied health sectors and has worked in corporate consultancy, national health peak member organizations and for a national health provider. Ronelle serves on a range of boards and advisory committees in the not for profit and government sectors. Ronelle holds postgraduate qualifications in public health and social research and is a graduate of the Australian Institute of Company Directors. </w:t>
            </w:r>
          </w:p>
        </w:tc>
      </w:tr>
      <w:tr w:rsidR="00692695" w14:paraId="3DEDB22C"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97C16DF" w14:textId="77777777" w:rsidR="00AD1571" w:rsidRPr="00E01473" w:rsidRDefault="00AD1571" w:rsidP="00D0722E">
            <w:pPr>
              <w:pStyle w:val="Tabletextleft"/>
            </w:pPr>
            <w:r w:rsidRPr="00E01473">
              <w:lastRenderedPageBreak/>
              <w:t>Professor Raghu Lingam MBchB, MRCPCH, RACP, MSc, PhD</w:t>
            </w:r>
          </w:p>
          <w:p w14:paraId="088645ED" w14:textId="77777777" w:rsidR="00AD1571" w:rsidRDefault="00AD1571" w:rsidP="00122089">
            <w:r>
              <w:rPr>
                <w:noProof/>
              </w:rPr>
              <w:drawing>
                <wp:inline distT="0" distB="0" distL="0" distR="0" wp14:anchorId="5ED2EF4D" wp14:editId="5D33492B">
                  <wp:extent cx="1998000" cy="1332000"/>
                  <wp:effectExtent l="9207" t="0" r="0" b="0"/>
                  <wp:docPr id="2" name="Picture 1" descr="Professor Raghu 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fessor Raghu Lingam"/>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998000" cy="1332000"/>
                          </a:xfrm>
                          <a:prstGeom prst="rect">
                            <a:avLst/>
                          </a:prstGeom>
                        </pic:spPr>
                      </pic:pic>
                    </a:graphicData>
                  </a:graphic>
                </wp:inline>
              </w:drawing>
            </w:r>
          </w:p>
        </w:tc>
        <w:tc>
          <w:tcPr>
            <w:tcW w:w="4508" w:type="dxa"/>
          </w:tcPr>
          <w:p w14:paraId="22355191"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rPr>
                <w:shd w:val="clear" w:color="auto" w:fill="FFFFFF"/>
              </w:rPr>
            </w:pPr>
            <w:r w:rsidRPr="00E01473">
              <w:rPr>
                <w:shd w:val="clear" w:color="auto" w:fill="FFFFFF"/>
              </w:rPr>
              <w:t xml:space="preserve">Professor Lingam is a senior clinical academic with expertise in maternal and child health services research. He is Professor in Paediatric Population and Health Services Research at the University of New South Wales, Honorary Professor of Population </w:t>
            </w:r>
          </w:p>
          <w:p w14:paraId="7286F18D" w14:textId="163C5D43"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rPr>
                <w:shd w:val="clear" w:color="auto" w:fill="FFFFFF"/>
              </w:rPr>
            </w:pPr>
            <w:r w:rsidRPr="00E01473">
              <w:rPr>
                <w:shd w:val="clear" w:color="auto" w:fill="FFFFFF"/>
              </w:rPr>
              <w:t>Child Health at Kings College London and the Black Dog Institute (NSW), and a Consultant Paediatrician within the Sydney Children’s Hospital Network. He leads the Population Child Health and Health Services Research Group, UNSW Sydney, the NSW Centre for Child Health Services Research and Innovations (CHRIS) and its national counterpart Child Unlimited. He has developed and evaluated large-scale child health intervention programs in low- and high-income settings to optimize the health, growth and development of children and young people. He has extensive experience in experimental (individual, step wedge and cluster randomised controlled trials), quasi experimental child health services research and implementation evaluation studies.  He has over 140 research publications and has attracted over 45 million dollars in research funding in the last 5 years.</w:t>
            </w:r>
          </w:p>
        </w:tc>
      </w:tr>
      <w:tr w:rsidR="00692695" w14:paraId="64B9A1D5"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564CB939" w14:textId="77777777" w:rsidR="00AD1571" w:rsidRPr="00E01473" w:rsidRDefault="00AD1571" w:rsidP="00D0722E">
            <w:pPr>
              <w:pStyle w:val="Tabletextleft"/>
            </w:pPr>
            <w:r w:rsidRPr="00E01473">
              <w:lastRenderedPageBreak/>
              <w:t>Dr Sue Masel</w:t>
            </w:r>
          </w:p>
          <w:p w14:paraId="586AB09F" w14:textId="77777777" w:rsidR="00AD1571" w:rsidRDefault="00AD1571" w:rsidP="00122089">
            <w:pPr>
              <w:tabs>
                <w:tab w:val="left" w:pos="1065"/>
              </w:tabs>
            </w:pPr>
            <w:r>
              <w:rPr>
                <w:noProof/>
              </w:rPr>
              <w:drawing>
                <wp:inline distT="0" distB="0" distL="0" distR="0" wp14:anchorId="1D447BA6" wp14:editId="67484879">
                  <wp:extent cx="1440000" cy="1801301"/>
                  <wp:effectExtent l="0" t="0" r="8255" b="8890"/>
                  <wp:docPr id="1472050688" name="Picture 3" descr="Photograph of Dr Sue M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0688" name="Picture 3" descr="Photograph of Dr Sue Mas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801301"/>
                          </a:xfrm>
                          <a:prstGeom prst="rect">
                            <a:avLst/>
                          </a:prstGeom>
                          <a:noFill/>
                        </pic:spPr>
                      </pic:pic>
                    </a:graphicData>
                  </a:graphic>
                </wp:inline>
              </w:drawing>
            </w:r>
          </w:p>
        </w:tc>
        <w:tc>
          <w:tcPr>
            <w:tcW w:w="4508" w:type="dxa"/>
          </w:tcPr>
          <w:p w14:paraId="1006B9B4"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Dr Sue Masel is a GP based in Goondiwindi, Queensland. She is a Rural Generalist in procedural anaesthetic and obstetric practice, dividing her work time between Goondiwindi Medical Centre and Goondiwindi Hospital.</w:t>
            </w:r>
          </w:p>
          <w:p w14:paraId="6D0EDE1E"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Sue has been living and working in Goondiwindi for 23 years and has a keen interest in rural medicine. She is a medical educator, an advocate for training in local work teams, and has special interests in skin cancer medicine and women’s health. She and her husband Matt are GP colleagues and have 4 children.</w:t>
            </w:r>
          </w:p>
          <w:p w14:paraId="6E6C19C9"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bookmarkStart w:id="0" w:name="_Hlk146032275"/>
            <w:r w:rsidRPr="00E01473">
              <w:t>Sue’s current Medical Education roles include:</w:t>
            </w:r>
          </w:p>
          <w:p w14:paraId="44261BA5"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 xml:space="preserve">Rural Generalist trainer on RG workshops, </w:t>
            </w:r>
          </w:p>
          <w:p w14:paraId="04FF6AE0"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Supervisor Liaison Officer for RACGP Queensland</w:t>
            </w:r>
          </w:p>
          <w:p w14:paraId="55B3D65C"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GP Supervisor Goondiwindi Medical Centre</w:t>
            </w:r>
          </w:p>
          <w:p w14:paraId="6F337018"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PROMPT trainer on Goondiwindi Hospital team.</w:t>
            </w:r>
          </w:p>
          <w:p w14:paraId="23603F68"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bookmarkStart w:id="1" w:name="_Hlk146032200"/>
            <w:r w:rsidRPr="00E01473">
              <w:t>Sue’s current representation roles include:</w:t>
            </w:r>
          </w:p>
          <w:p w14:paraId="3E6D47D5"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 xml:space="preserve">Founding Director of Rural Doctors Foundation Ltd and has continued on the board since 2014. </w:t>
            </w:r>
          </w:p>
          <w:p w14:paraId="01698210"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Past President of Rural Doctors Association of Queensland (RDAQ Inc 2013-2014)</w:t>
            </w:r>
          </w:p>
          <w:p w14:paraId="47AF3E75"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 xml:space="preserve">Queensland representative for Rural </w:t>
            </w:r>
            <w:bookmarkEnd w:id="1"/>
            <w:r w:rsidRPr="00E01473">
              <w:t>Doctors Association of Australia (RDAA 2018 – present)</w:t>
            </w:r>
          </w:p>
          <w:p w14:paraId="28FBF383" w14:textId="77777777" w:rsidR="00AD1571" w:rsidRPr="00E01473" w:rsidRDefault="00AD1571" w:rsidP="00D0722E">
            <w:pPr>
              <w:pStyle w:val="Tablelistbullet"/>
              <w:cnfStyle w:val="000000000000" w:firstRow="0" w:lastRow="0" w:firstColumn="0" w:lastColumn="0" w:oddVBand="0" w:evenVBand="0" w:oddHBand="0" w:evenHBand="0" w:firstRowFirstColumn="0" w:firstRowLastColumn="0" w:lastRowFirstColumn="0" w:lastRowLastColumn="0"/>
            </w:pPr>
            <w:r w:rsidRPr="00E01473">
              <w:t>Member of the Gundy Muster Organising Committee (ongoing)</w:t>
            </w:r>
            <w:bookmarkEnd w:id="0"/>
          </w:p>
        </w:tc>
      </w:tr>
      <w:tr w:rsidR="00692695" w14:paraId="76D3E1CC"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825FE4" w14:textId="77777777" w:rsidR="00AD1571" w:rsidRDefault="00AD1571" w:rsidP="00D0722E">
            <w:pPr>
              <w:pStyle w:val="Tabletextleft"/>
            </w:pPr>
            <w:r>
              <w:lastRenderedPageBreak/>
              <w:t>Professor Hylton Menz</w:t>
            </w:r>
          </w:p>
          <w:p w14:paraId="550EBE61" w14:textId="52079AB9" w:rsidR="00AD1571" w:rsidRPr="00AD1571" w:rsidRDefault="00AD1571" w:rsidP="00AD1571">
            <w:r w:rsidRPr="00AD1571">
              <w:rPr>
                <w:noProof/>
              </w:rPr>
              <w:drawing>
                <wp:inline distT="0" distB="0" distL="0" distR="0" wp14:anchorId="54D39BD9" wp14:editId="207FCE0A">
                  <wp:extent cx="1523932" cy="1905000"/>
                  <wp:effectExtent l="0" t="0" r="635" b="0"/>
                  <wp:docPr id="433939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012" cy="1913850"/>
                          </a:xfrm>
                          <a:prstGeom prst="rect">
                            <a:avLst/>
                          </a:prstGeom>
                          <a:noFill/>
                          <a:ln>
                            <a:noFill/>
                          </a:ln>
                        </pic:spPr>
                      </pic:pic>
                    </a:graphicData>
                  </a:graphic>
                </wp:inline>
              </w:drawing>
            </w:r>
          </w:p>
          <w:p w14:paraId="64A57CCD" w14:textId="0F09657A" w:rsidR="00AD1571" w:rsidRDefault="00AD1571" w:rsidP="00122089"/>
        </w:tc>
        <w:tc>
          <w:tcPr>
            <w:tcW w:w="4508" w:type="dxa"/>
          </w:tcPr>
          <w:p w14:paraId="3BB1AF8C"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Professor Hylton Menz is a podiatrist at La Trobe University in Melbourne, Victoria. He graduated with first class Honours and the University Medal from La Trobe University in 1993 and completed his PhD in the Faculty of Medicine at the University of New South Wales in 2002. He received continual National Health and Medical Research Council of Australia fellowship funding between 2003 and 2022. Professor Menz's broad research disciplines are human movement, rehabilitation and rheumatology, with a particular focus on musculoskeletal foot problems in older people.</w:t>
            </w:r>
          </w:p>
          <w:p w14:paraId="2AA856FE"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Professor Menz has published over 380 journal publications, 3 books and 18 book chapters. His work has been cited over 20,000 times and his Scopus h-index is 76. He has won several awards for his research, including the Young Tall Poppy Award by the Australian Institute for Policy and Science, the La Trobe University Excellence in Research Award, first prize in the British Medical Association Book Awards, a Fulbright Senior Scholarship to Harvard University, a La Trobe University Excellence in Graduate Research Supervision Award and a La Trobe University Overall Research Excellence Award. In 2016, he was awarded a Doctor of Science from the University of New South Wales, and in 2020 he became the first podiatrist to be inducted into the Australian Academy of Health and Medical Sciences.</w:t>
            </w:r>
          </w:p>
          <w:p w14:paraId="171E0C8B" w14:textId="5386E5EC"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 xml:space="preserve">Professor Menz's current research focuses on the epidemiology and management of foot disorders in older people, with a particular emphasis on non-surgical treatments for osteoarthritis. He is currently co-chair of the Australian Foot and Ankle Research Network, co-chair of the Outcome Measures in Rheumatology (OMERACT) Foot and Ankle Working </w:t>
            </w:r>
            <w:r w:rsidR="00EA027A" w:rsidRPr="00E01473">
              <w:rPr>
                <w:sz w:val="21"/>
                <w:szCs w:val="21"/>
              </w:rPr>
              <w:t>Group and</w:t>
            </w:r>
            <w:r w:rsidRPr="00E01473">
              <w:rPr>
                <w:sz w:val="21"/>
                <w:szCs w:val="21"/>
              </w:rPr>
              <w:t xml:space="preserve"> serves on the steering committee of the International Foot and Ankle Osteoarthritis Consortium.</w:t>
            </w:r>
          </w:p>
        </w:tc>
      </w:tr>
      <w:tr w:rsidR="00692695" w14:paraId="28ED44E3"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0A147CA" w14:textId="77777777" w:rsidR="00AD1571" w:rsidRDefault="00AD1571" w:rsidP="00122089">
            <w:pPr>
              <w:rPr>
                <w:rFonts w:ascii="Arial" w:eastAsia="Times New Roman" w:hAnsi="Arial"/>
                <w:b w:val="0"/>
                <w:bCs w:val="0"/>
                <w:noProof/>
                <w:color w:val="000000" w:themeColor="text1"/>
                <w:sz w:val="21"/>
              </w:rPr>
            </w:pPr>
            <w:r w:rsidRPr="0012759D">
              <w:rPr>
                <w:rFonts w:ascii="Arial" w:eastAsia="Times New Roman" w:hAnsi="Arial"/>
                <w:noProof/>
                <w:color w:val="000000" w:themeColor="text1"/>
                <w:sz w:val="21"/>
              </w:rPr>
              <w:t>Dr Andrea Mosler</w:t>
            </w:r>
          </w:p>
          <w:p w14:paraId="064BDEFD" w14:textId="77777777" w:rsidR="00AD1571" w:rsidRPr="0060578E" w:rsidRDefault="00AD1571" w:rsidP="00122089">
            <w:r w:rsidRPr="006946C0">
              <w:rPr>
                <w:noProof/>
              </w:rPr>
              <w:lastRenderedPageBreak/>
              <w:drawing>
                <wp:inline distT="0" distB="0" distL="0" distR="0" wp14:anchorId="3698850D" wp14:editId="143519AB">
                  <wp:extent cx="1440000" cy="1800000"/>
                  <wp:effectExtent l="0" t="0" r="8255" b="0"/>
                  <wp:docPr id="2073659063" name="Picture 2" descr="Dr Andrea M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9063" name="Picture 2" descr="Dr Andrea Mosl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40000" cy="1800000"/>
                          </a:xfrm>
                          <a:prstGeom prst="rect">
                            <a:avLst/>
                          </a:prstGeom>
                          <a:noFill/>
                          <a:ln>
                            <a:noFill/>
                          </a:ln>
                        </pic:spPr>
                      </pic:pic>
                    </a:graphicData>
                  </a:graphic>
                </wp:inline>
              </w:drawing>
            </w:r>
          </w:p>
          <w:p w14:paraId="27B631C8" w14:textId="77777777" w:rsidR="00AD1571" w:rsidRPr="00BB50AE" w:rsidRDefault="00AD1571" w:rsidP="00122089">
            <w:pPr>
              <w:rPr>
                <w:rFonts w:ascii="Arial" w:hAnsi="Arial" w:cs="Arial"/>
                <w:b w:val="0"/>
                <w:bCs w:val="0"/>
                <w:color w:val="FFFFFF" w:themeColor="background1"/>
              </w:rPr>
            </w:pPr>
          </w:p>
        </w:tc>
        <w:tc>
          <w:tcPr>
            <w:tcW w:w="4508" w:type="dxa"/>
          </w:tcPr>
          <w:p w14:paraId="0EE9584D" w14:textId="60F0B8DA" w:rsidR="00AD1571" w:rsidRPr="00E01473" w:rsidRDefault="00D0722E" w:rsidP="00122089">
            <w:pPr>
              <w:cnfStyle w:val="000000000000" w:firstRow="0" w:lastRow="0" w:firstColumn="0" w:lastColumn="0" w:oddVBand="0" w:evenVBand="0" w:oddHBand="0" w:evenHBand="0" w:firstRowFirstColumn="0" w:firstRowLastColumn="0" w:lastRowFirstColumn="0" w:lastRowLastColumn="0"/>
              <w:rPr>
                <w:color w:val="111111"/>
                <w:spacing w:val="5"/>
                <w:sz w:val="21"/>
                <w:szCs w:val="21"/>
                <w:shd w:val="clear" w:color="auto" w:fill="FFFFFF"/>
              </w:rPr>
            </w:pPr>
            <w:r>
              <w:rPr>
                <w:color w:val="111111"/>
                <w:spacing w:val="5"/>
                <w:sz w:val="21"/>
                <w:szCs w:val="21"/>
                <w:shd w:val="clear" w:color="auto" w:fill="FFFFFF"/>
              </w:rPr>
              <w:lastRenderedPageBreak/>
              <w:t xml:space="preserve">Dr </w:t>
            </w:r>
            <w:r w:rsidR="00AD1571" w:rsidRPr="00E01473">
              <w:rPr>
                <w:color w:val="111111"/>
                <w:spacing w:val="5"/>
                <w:sz w:val="21"/>
                <w:szCs w:val="21"/>
                <w:shd w:val="clear" w:color="auto" w:fill="FFFFFF"/>
              </w:rPr>
              <w:t xml:space="preserve">Andrea Mosler is a Specialist Sports and Exercise Physiotherapist and Senior Research Fellow at La Trobe University and is currently working on injury prevention in football, hip/groin pain, and women in sport research projects. Her PhD, completed in 2018, investigated the risk factors for hip and groin pain in professional football players and was conducted while working at Aspetar, Qatar. Andrea previously worked for 18 years at the Australian Institute of Sport as a Senior Sports Physiotherapist and has been an Australian </w:t>
            </w:r>
            <w:r w:rsidR="00AD1571" w:rsidRPr="00E01473">
              <w:rPr>
                <w:color w:val="111111"/>
                <w:spacing w:val="5"/>
                <w:sz w:val="21"/>
                <w:szCs w:val="21"/>
                <w:shd w:val="clear" w:color="auto" w:fill="FFFFFF"/>
              </w:rPr>
              <w:lastRenderedPageBreak/>
              <w:t>team physiotherapist at many sporting events including the 2000, 2004 and 2008 Olympics Games and the 1998 Commonwealth Games. She is Deputy Editor of the British Journal of Sports Medicine, Associate Editor of the Journal of Science and Medicine in Sport and continues to practice clinically in conjunction with her research work.</w:t>
            </w:r>
          </w:p>
        </w:tc>
      </w:tr>
      <w:tr w:rsidR="00F549C9" w14:paraId="36FD9690"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6D71E25" w14:textId="6DB2B96B" w:rsidR="00F549C9" w:rsidRPr="00705C85" w:rsidRDefault="00204244" w:rsidP="00122089">
            <w:pPr>
              <w:rPr>
                <w:b w:val="0"/>
                <w:bCs w:val="0"/>
                <w:sz w:val="21"/>
                <w:szCs w:val="21"/>
              </w:rPr>
            </w:pPr>
            <w:r>
              <w:rPr>
                <w:sz w:val="21"/>
                <w:szCs w:val="21"/>
              </w:rPr>
              <w:lastRenderedPageBreak/>
              <w:t>Dr</w:t>
            </w:r>
            <w:r w:rsidR="00E01473" w:rsidRPr="00705C85">
              <w:rPr>
                <w:sz w:val="21"/>
                <w:szCs w:val="21"/>
              </w:rPr>
              <w:t xml:space="preserve"> </w:t>
            </w:r>
            <w:r w:rsidR="00F549C9" w:rsidRPr="00705C85">
              <w:rPr>
                <w:sz w:val="21"/>
                <w:szCs w:val="21"/>
              </w:rPr>
              <w:t>Tristan Nickless, PhD</w:t>
            </w:r>
          </w:p>
          <w:p w14:paraId="75AC36A2" w14:textId="77777777" w:rsidR="00F549C9" w:rsidRPr="00705C85" w:rsidRDefault="00F549C9" w:rsidP="00F549C9">
            <w:pPr>
              <w:rPr>
                <w:rFonts w:eastAsia="Calibri"/>
                <w:sz w:val="21"/>
                <w:szCs w:val="21"/>
                <w:lang w:eastAsia="en-AU"/>
                <w14:ligatures w14:val="standardContextual"/>
              </w:rPr>
            </w:pPr>
            <w:r w:rsidRPr="00705C85">
              <w:rPr>
                <w:rFonts w:eastAsia="Calibri"/>
                <w:sz w:val="21"/>
                <w:szCs w:val="21"/>
                <w:lang w:eastAsia="en-AU"/>
                <w14:ligatures w14:val="standardContextual"/>
              </w:rPr>
              <w:t>BA(Hons)/</w:t>
            </w:r>
            <w:proofErr w:type="spellStart"/>
            <w:proofErr w:type="gramStart"/>
            <w:r w:rsidRPr="00705C85">
              <w:rPr>
                <w:rFonts w:eastAsia="Calibri"/>
                <w:sz w:val="21"/>
                <w:szCs w:val="21"/>
                <w:lang w:eastAsia="en-AU"/>
                <w14:ligatures w14:val="standardContextual"/>
              </w:rPr>
              <w:t>BBus</w:t>
            </w:r>
            <w:proofErr w:type="spellEnd"/>
            <w:r w:rsidRPr="00705C85">
              <w:rPr>
                <w:rFonts w:eastAsia="Calibri"/>
                <w:sz w:val="21"/>
                <w:szCs w:val="21"/>
                <w:lang w:eastAsia="en-AU"/>
                <w14:ligatures w14:val="standardContextual"/>
              </w:rPr>
              <w:t>(</w:t>
            </w:r>
            <w:proofErr w:type="spellStart"/>
            <w:proofErr w:type="gramEnd"/>
            <w:r w:rsidRPr="00705C85">
              <w:rPr>
                <w:rFonts w:eastAsia="Calibri"/>
                <w:sz w:val="21"/>
                <w:szCs w:val="21"/>
                <w:lang w:eastAsia="en-AU"/>
                <w14:ligatures w14:val="standardContextual"/>
              </w:rPr>
              <w:t>Mgmt</w:t>
            </w:r>
            <w:proofErr w:type="spellEnd"/>
            <w:r w:rsidRPr="00705C85">
              <w:rPr>
                <w:rFonts w:eastAsia="Calibri"/>
                <w:sz w:val="21"/>
                <w:szCs w:val="21"/>
                <w:lang w:eastAsia="en-AU"/>
                <w14:ligatures w14:val="standardContextual"/>
              </w:rPr>
              <w:t xml:space="preserve">), </w:t>
            </w:r>
            <w:proofErr w:type="spellStart"/>
            <w:r w:rsidRPr="00705C85">
              <w:rPr>
                <w:rFonts w:eastAsia="Calibri"/>
                <w:sz w:val="21"/>
                <w:szCs w:val="21"/>
                <w:lang w:eastAsia="en-AU"/>
                <w14:ligatures w14:val="standardContextual"/>
              </w:rPr>
              <w:t>MSpPath</w:t>
            </w:r>
            <w:proofErr w:type="spellEnd"/>
            <w:r w:rsidRPr="00705C85">
              <w:rPr>
                <w:rFonts w:eastAsia="Calibri"/>
                <w:sz w:val="21"/>
                <w:szCs w:val="21"/>
                <w:lang w:eastAsia="en-AU"/>
                <w14:ligatures w14:val="standardContextual"/>
              </w:rPr>
              <w:t>, PhD, MSPAA, CPSP </w:t>
            </w:r>
          </w:p>
          <w:p w14:paraId="735F3978" w14:textId="2A22F866" w:rsidR="00F549C9" w:rsidRPr="00F549C9" w:rsidRDefault="00F549C9" w:rsidP="00F549C9">
            <w:pPr>
              <w:rPr>
                <w:rFonts w:ascii="Arial" w:hAnsi="Arial" w:cs="Arial"/>
                <w:sz w:val="21"/>
                <w:szCs w:val="21"/>
              </w:rPr>
            </w:pPr>
            <w:r w:rsidRPr="00F549C9">
              <w:rPr>
                <w:rFonts w:ascii="Arial" w:hAnsi="Arial" w:cs="Arial"/>
                <w:noProof/>
                <w:sz w:val="21"/>
                <w:szCs w:val="21"/>
              </w:rPr>
              <w:drawing>
                <wp:inline distT="0" distB="0" distL="0" distR="0" wp14:anchorId="5A1F0713" wp14:editId="3A0C7485">
                  <wp:extent cx="1454150" cy="1817768"/>
                  <wp:effectExtent l="0" t="0" r="0" b="0"/>
                  <wp:docPr id="58407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8914" cy="1823723"/>
                          </a:xfrm>
                          <a:prstGeom prst="rect">
                            <a:avLst/>
                          </a:prstGeom>
                          <a:noFill/>
                          <a:ln>
                            <a:noFill/>
                          </a:ln>
                        </pic:spPr>
                      </pic:pic>
                    </a:graphicData>
                  </a:graphic>
                </wp:inline>
              </w:drawing>
            </w:r>
          </w:p>
          <w:p w14:paraId="2088C528" w14:textId="659AE02C" w:rsidR="00F549C9" w:rsidRPr="004A14CB" w:rsidRDefault="00F549C9" w:rsidP="00122089">
            <w:pPr>
              <w:rPr>
                <w:rFonts w:ascii="Arial" w:hAnsi="Arial" w:cs="Arial"/>
                <w:sz w:val="21"/>
                <w:szCs w:val="21"/>
              </w:rPr>
            </w:pPr>
          </w:p>
        </w:tc>
        <w:tc>
          <w:tcPr>
            <w:tcW w:w="4508" w:type="dxa"/>
          </w:tcPr>
          <w:p w14:paraId="3FA7E355" w14:textId="26291A45"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 xml:space="preserve">Tristan Nickless has more than two decades of clinical experience in communication disorders, with special interests in developmental language disorder, speech sound disorders (including phonological disorders and Childhood Apraxia of Speech), stuttering, and specific learning difficulties such as dyslexia and dysgraphia. He serves as Principal Speech &amp; Language Pathologist at Word </w:t>
            </w:r>
            <w:proofErr w:type="gramStart"/>
            <w:r w:rsidRPr="00E01473">
              <w:rPr>
                <w:rFonts w:eastAsia="Calibri"/>
                <w:sz w:val="21"/>
                <w:szCs w:val="21"/>
                <w:lang w:eastAsia="en-AU"/>
                <w14:ligatures w14:val="standardContextual"/>
              </w:rPr>
              <w:t>By</w:t>
            </w:r>
            <w:proofErr w:type="gramEnd"/>
            <w:r w:rsidRPr="00E01473">
              <w:rPr>
                <w:rFonts w:eastAsia="Calibri"/>
                <w:sz w:val="21"/>
                <w:szCs w:val="21"/>
                <w:lang w:eastAsia="en-AU"/>
                <w14:ligatures w14:val="standardContextual"/>
              </w:rPr>
              <w:t xml:space="preserve"> Mouth Pty Ltd, a Melbourne-based independent practice providing clinic- and school-based services across metropolitan and regional schools, refugee and First Nations’ communities, within a Response-to-Intervention framework.</w:t>
            </w:r>
          </w:p>
          <w:p w14:paraId="26C91477" w14:textId="77777777"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Tristan has made significant contributions to the speech pathology profession through research, leadership, and national advocacy. As Speech Pathology Australia’s National Advisor – Private Practice (2005–2009), he oversaw the development of the profession’s inaugural public funding pathways across Medicare, Helping Children with Autism, and private health insurance. He served on the National Ethics Board from 2015 to 2021 and, in 2025, was appointed as one of five Senior Members of Speech Pathology Australia’s Ethics Board. Tristan’s international contributions were further recognised in 2025 when he was appointed to the Child Language Committee of the International Association of Communication Sciences and Disorders.</w:t>
            </w:r>
          </w:p>
          <w:p w14:paraId="0B22D1E1" w14:textId="77777777"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 xml:space="preserve">Tristan has been subject lead and advisor for the University of Melbourne’s Master of Speech Pathology program (2010 – 2018) and continues to mentor students through clinical education at Word </w:t>
            </w:r>
            <w:proofErr w:type="gramStart"/>
            <w:r w:rsidRPr="00E01473">
              <w:rPr>
                <w:rFonts w:eastAsia="Calibri"/>
                <w:sz w:val="21"/>
                <w:szCs w:val="21"/>
                <w:lang w:eastAsia="en-AU"/>
                <w14:ligatures w14:val="standardContextual"/>
              </w:rPr>
              <w:t>By</w:t>
            </w:r>
            <w:proofErr w:type="gramEnd"/>
            <w:r w:rsidRPr="00E01473">
              <w:rPr>
                <w:rFonts w:eastAsia="Calibri"/>
                <w:sz w:val="21"/>
                <w:szCs w:val="21"/>
                <w:lang w:eastAsia="en-AU"/>
                <w14:ligatures w14:val="standardContextual"/>
              </w:rPr>
              <w:t xml:space="preserve"> Mouth.</w:t>
            </w:r>
          </w:p>
          <w:p w14:paraId="3A004255" w14:textId="708B2C12" w:rsidR="00F549C9" w:rsidRPr="00E01473" w:rsidRDefault="00F549C9" w:rsidP="0012208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 xml:space="preserve">In 2025, he was awarded his PhD from the University of Melbourne for research analysing public funding models supporting access to independent speech-language pathology services </w:t>
            </w:r>
            <w:r w:rsidRPr="00E01473">
              <w:rPr>
                <w:rFonts w:eastAsia="Calibri"/>
                <w:sz w:val="21"/>
                <w:szCs w:val="21"/>
                <w:lang w:eastAsia="en-AU"/>
                <w14:ligatures w14:val="standardContextual"/>
              </w:rPr>
              <w:lastRenderedPageBreak/>
              <w:t>in Australia. His peer-reviewed publications further advance understanding of major funding mechanisms such as the NDIS and multiple Medicare Benefits Schedule item. Before pursuing a career in speech pathology, Tristan worked in international marketing, project management, and economic development.</w:t>
            </w:r>
          </w:p>
        </w:tc>
      </w:tr>
      <w:tr w:rsidR="002F2F4E" w14:paraId="7EB1CCFF"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65548F71" w14:textId="77777777" w:rsidR="002F2F4E" w:rsidRPr="00E01473" w:rsidRDefault="002F2F4E" w:rsidP="00122089">
            <w:pPr>
              <w:rPr>
                <w:b w:val="0"/>
                <w:bCs w:val="0"/>
                <w:sz w:val="21"/>
                <w:szCs w:val="21"/>
              </w:rPr>
            </w:pPr>
            <w:r w:rsidRPr="00E01473">
              <w:rPr>
                <w:sz w:val="21"/>
                <w:szCs w:val="21"/>
              </w:rPr>
              <w:lastRenderedPageBreak/>
              <w:t>Dr Jamie Nuttall</w:t>
            </w:r>
          </w:p>
          <w:p w14:paraId="67FEFE20" w14:textId="5913D1D0" w:rsidR="00671335" w:rsidRDefault="00671335" w:rsidP="00122089">
            <w:pPr>
              <w:rPr>
                <w:rFonts w:ascii="Arial" w:hAnsi="Arial" w:cs="Arial"/>
                <w:sz w:val="21"/>
                <w:szCs w:val="21"/>
              </w:rPr>
            </w:pPr>
            <w:r>
              <w:rPr>
                <w:rFonts w:ascii="Arial" w:hAnsi="Arial" w:cs="Arial"/>
                <w:noProof/>
                <w:sz w:val="21"/>
                <w:szCs w:val="21"/>
                <w14:ligatures w14:val="standardContextual"/>
              </w:rPr>
              <w:drawing>
                <wp:inline distT="0" distB="0" distL="0" distR="0" wp14:anchorId="6864F40C" wp14:editId="65B43D73">
                  <wp:extent cx="1463040" cy="1828800"/>
                  <wp:effectExtent l="0" t="0" r="3810" b="0"/>
                  <wp:docPr id="1241354730" name="Picture 8"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4730" name="Picture 8" descr="A person in a sui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p>
        </w:tc>
        <w:tc>
          <w:tcPr>
            <w:tcW w:w="4508" w:type="dxa"/>
          </w:tcPr>
          <w:p w14:paraId="3C680C6F" w14:textId="593FFE37" w:rsidR="002F2F4E" w:rsidRPr="00E01473" w:rsidRDefault="00D0722E"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Dr </w:t>
            </w:r>
            <w:r w:rsidR="002F2F4E" w:rsidRPr="00E01473">
              <w:rPr>
                <w:rFonts w:eastAsia="Calibri"/>
                <w:sz w:val="21"/>
                <w:szCs w:val="21"/>
                <w:lang w:eastAsia="en-AU"/>
                <w14:ligatures w14:val="standardContextual"/>
              </w:rPr>
              <w:t>Jamie Nuttall is a working General Practitioner based in Brisbane. He is Deputy Clinical Director at Inala Primary Care, a not-for-profit organisation devoted to health equity and quality primary care. He also sees patients at the Metro South Pain Rehabilitation Centre at Princess Alexandra Hospital. He has worked in general practice across private, public, non-profit, and Aboriginal Community Controlled Health Organisation settings. Jamie has clinical interests in persistent pain, migraine, mental health, and chronic disease management.</w:t>
            </w:r>
          </w:p>
        </w:tc>
      </w:tr>
      <w:tr w:rsidR="00D711DE" w14:paraId="21B4B29A"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BA9498" w14:textId="26526824" w:rsidR="00D711DE" w:rsidRPr="00E01473" w:rsidRDefault="00D711DE" w:rsidP="00D711DE">
            <w:pPr>
              <w:rPr>
                <w:b w:val="0"/>
                <w:bCs w:val="0"/>
                <w:sz w:val="21"/>
                <w:szCs w:val="21"/>
              </w:rPr>
            </w:pPr>
            <w:r w:rsidRPr="00D711DE">
              <w:rPr>
                <w:sz w:val="21"/>
                <w:szCs w:val="21"/>
              </w:rPr>
              <w:t>Adjunct Professor Chris Raftery</w:t>
            </w:r>
          </w:p>
          <w:p w14:paraId="2D4E0458" w14:textId="7126CE05" w:rsidR="00D711DE" w:rsidRPr="00D711DE" w:rsidRDefault="00D711DE" w:rsidP="00D711DE">
            <w:pPr>
              <w:rPr>
                <w:sz w:val="21"/>
                <w:szCs w:val="21"/>
              </w:rPr>
            </w:pPr>
            <w:proofErr w:type="spellStart"/>
            <w:r w:rsidRPr="00D711DE">
              <w:rPr>
                <w:sz w:val="21"/>
                <w:szCs w:val="21"/>
              </w:rPr>
              <w:t>BNur</w:t>
            </w:r>
            <w:proofErr w:type="spellEnd"/>
            <w:r w:rsidRPr="00D711DE">
              <w:rPr>
                <w:sz w:val="21"/>
                <w:szCs w:val="21"/>
              </w:rPr>
              <w:t xml:space="preserve">, </w:t>
            </w:r>
            <w:proofErr w:type="spellStart"/>
            <w:r w:rsidRPr="00D711DE">
              <w:rPr>
                <w:sz w:val="21"/>
                <w:szCs w:val="21"/>
              </w:rPr>
              <w:t>MEmergN</w:t>
            </w:r>
            <w:proofErr w:type="spellEnd"/>
            <w:r w:rsidRPr="00D711DE">
              <w:rPr>
                <w:sz w:val="21"/>
                <w:szCs w:val="21"/>
              </w:rPr>
              <w:t xml:space="preserve">, MBA(HSM), </w:t>
            </w:r>
            <w:proofErr w:type="spellStart"/>
            <w:proofErr w:type="gramStart"/>
            <w:r w:rsidRPr="00D711DE">
              <w:rPr>
                <w:sz w:val="21"/>
                <w:szCs w:val="21"/>
              </w:rPr>
              <w:t>MNSc</w:t>
            </w:r>
            <w:proofErr w:type="spellEnd"/>
            <w:r w:rsidRPr="00D711DE">
              <w:rPr>
                <w:sz w:val="21"/>
                <w:szCs w:val="21"/>
              </w:rPr>
              <w:t>(</w:t>
            </w:r>
            <w:proofErr w:type="gramEnd"/>
            <w:r w:rsidRPr="00D711DE">
              <w:rPr>
                <w:sz w:val="21"/>
                <w:szCs w:val="21"/>
              </w:rPr>
              <w:t>NP), PhD, MAICD, FACN, FACNP, FCHSM, CHE</w:t>
            </w:r>
          </w:p>
          <w:p w14:paraId="6F2C194F" w14:textId="01D116B7" w:rsidR="00D711DE" w:rsidRDefault="00D711DE" w:rsidP="00122089">
            <w:pPr>
              <w:rPr>
                <w:rFonts w:ascii="Arial" w:hAnsi="Arial" w:cs="Arial"/>
                <w:sz w:val="21"/>
                <w:szCs w:val="21"/>
              </w:rPr>
            </w:pPr>
            <w:r>
              <w:rPr>
                <w:noProof/>
              </w:rPr>
              <w:drawing>
                <wp:inline distT="0" distB="0" distL="0" distR="0" wp14:anchorId="5B46742F" wp14:editId="4EA09716">
                  <wp:extent cx="1534795" cy="1924685"/>
                  <wp:effectExtent l="0" t="0" r="8255" b="0"/>
                  <wp:docPr id="1374944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4795" cy="1924685"/>
                          </a:xfrm>
                          <a:prstGeom prst="rect">
                            <a:avLst/>
                          </a:prstGeom>
                          <a:noFill/>
                          <a:ln>
                            <a:noFill/>
                          </a:ln>
                        </pic:spPr>
                      </pic:pic>
                    </a:graphicData>
                  </a:graphic>
                </wp:inline>
              </w:drawing>
            </w:r>
          </w:p>
        </w:tc>
        <w:tc>
          <w:tcPr>
            <w:tcW w:w="4508" w:type="dxa"/>
          </w:tcPr>
          <w:p w14:paraId="31B6E452" w14:textId="11DA3F6A" w:rsidR="00D711DE" w:rsidRPr="00D711DE" w:rsidRDefault="00D0722E" w:rsidP="00D711DE">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Adjunct Professor </w:t>
            </w:r>
            <w:r w:rsidR="00D711DE" w:rsidRPr="00D711DE">
              <w:rPr>
                <w:rFonts w:eastAsia="Calibri"/>
                <w:sz w:val="21"/>
                <w:szCs w:val="21"/>
                <w:lang w:eastAsia="en-AU"/>
                <w14:ligatures w14:val="standardContextual"/>
              </w:rPr>
              <w:t>Chris</w:t>
            </w:r>
            <w:r w:rsidR="00E01473">
              <w:rPr>
                <w:rFonts w:eastAsia="Calibri"/>
                <w:sz w:val="21"/>
                <w:szCs w:val="21"/>
                <w:lang w:eastAsia="en-AU"/>
                <w14:ligatures w14:val="standardContextual"/>
              </w:rPr>
              <w:t xml:space="preserve"> Raftery</w:t>
            </w:r>
            <w:r w:rsidR="00D711DE" w:rsidRPr="00D711DE">
              <w:rPr>
                <w:rFonts w:eastAsia="Calibri"/>
                <w:sz w:val="21"/>
                <w:szCs w:val="21"/>
                <w:lang w:eastAsia="en-AU"/>
                <w14:ligatures w14:val="standardContextual"/>
              </w:rPr>
              <w:t xml:space="preserve"> is a national healthcare leader and practising Nurse Practitioner from Queensland, who has been part of the health sector for more than 25 years spanning across various clinical, operational management and strategic roles.  Having broad clinical and system leadership experience and influence at the local, state and national levels, through various board and committee appointments over the years, Chris is a leading identity on the nursing and midwifery workforce, advanced practice and nurse practitioners, health system planning, regulation, technology, economics and leadership.  Having worked with many health system leaders and agencies, academic and governing bodies, his contributions have informed policy, workforce strategy, practice innovation and health system reform.  Recognised for his professional eminence and contribution to education, clinical practice and policy, Chris also holds adjunct Professor of Nursing and Midwifery titles at Griffith University, Queensland University of Technology and Monash University.</w:t>
            </w:r>
          </w:p>
          <w:p w14:paraId="09D3E995" w14:textId="77777777" w:rsidR="00D711DE" w:rsidRPr="00E01473" w:rsidRDefault="00D711DE"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tc>
      </w:tr>
      <w:tr w:rsidR="00F549C9" w14:paraId="69E21441"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13994745" w14:textId="77777777" w:rsidR="00705C85" w:rsidRDefault="00705C85" w:rsidP="00122089">
            <w:pPr>
              <w:rPr>
                <w:b w:val="0"/>
                <w:bCs w:val="0"/>
                <w:sz w:val="21"/>
                <w:szCs w:val="21"/>
              </w:rPr>
            </w:pPr>
          </w:p>
          <w:p w14:paraId="659A51D4" w14:textId="77777777" w:rsidR="00705C85" w:rsidRDefault="00705C85" w:rsidP="00122089">
            <w:pPr>
              <w:rPr>
                <w:b w:val="0"/>
                <w:bCs w:val="0"/>
                <w:sz w:val="21"/>
                <w:szCs w:val="21"/>
              </w:rPr>
            </w:pPr>
          </w:p>
          <w:p w14:paraId="3E5490A4" w14:textId="77777777" w:rsidR="00705C85" w:rsidRDefault="00705C85" w:rsidP="00122089">
            <w:pPr>
              <w:rPr>
                <w:b w:val="0"/>
                <w:bCs w:val="0"/>
                <w:sz w:val="21"/>
                <w:szCs w:val="21"/>
              </w:rPr>
            </w:pPr>
          </w:p>
          <w:p w14:paraId="56CBEA32" w14:textId="77777777" w:rsidR="00705C85" w:rsidRDefault="00705C85" w:rsidP="00122089">
            <w:pPr>
              <w:rPr>
                <w:b w:val="0"/>
                <w:bCs w:val="0"/>
                <w:sz w:val="21"/>
                <w:szCs w:val="21"/>
              </w:rPr>
            </w:pPr>
          </w:p>
          <w:p w14:paraId="3DFBEE6F" w14:textId="77777777" w:rsidR="00705C85" w:rsidRDefault="00705C85" w:rsidP="00122089">
            <w:pPr>
              <w:rPr>
                <w:b w:val="0"/>
                <w:bCs w:val="0"/>
                <w:sz w:val="21"/>
                <w:szCs w:val="21"/>
              </w:rPr>
            </w:pPr>
          </w:p>
          <w:p w14:paraId="20332576" w14:textId="0AC7C27B" w:rsidR="00F549C9" w:rsidRDefault="002F2F4E" w:rsidP="00122089">
            <w:pPr>
              <w:rPr>
                <w:b w:val="0"/>
                <w:bCs w:val="0"/>
                <w:sz w:val="21"/>
                <w:szCs w:val="21"/>
              </w:rPr>
            </w:pPr>
            <w:r w:rsidRPr="00E01473">
              <w:rPr>
                <w:sz w:val="21"/>
                <w:szCs w:val="21"/>
              </w:rPr>
              <w:lastRenderedPageBreak/>
              <w:t>M</w:t>
            </w:r>
            <w:r w:rsidR="00803D00">
              <w:rPr>
                <w:sz w:val="21"/>
                <w:szCs w:val="21"/>
              </w:rPr>
              <w:t>r</w:t>
            </w:r>
            <w:r w:rsidRPr="00E01473">
              <w:rPr>
                <w:sz w:val="21"/>
                <w:szCs w:val="21"/>
              </w:rPr>
              <w:t xml:space="preserve">s </w:t>
            </w:r>
            <w:r w:rsidR="00F549C9" w:rsidRPr="00E01473">
              <w:rPr>
                <w:sz w:val="21"/>
                <w:szCs w:val="21"/>
              </w:rPr>
              <w:t>Sandy Robertson</w:t>
            </w:r>
          </w:p>
          <w:p w14:paraId="1FA6CBEF" w14:textId="77777777" w:rsidR="00705C85" w:rsidRDefault="00705C85" w:rsidP="00122089">
            <w:pPr>
              <w:rPr>
                <w:b w:val="0"/>
                <w:bCs w:val="0"/>
                <w:sz w:val="21"/>
                <w:szCs w:val="21"/>
              </w:rPr>
            </w:pPr>
          </w:p>
          <w:p w14:paraId="22F3A956" w14:textId="6C2EA2B9" w:rsidR="00705C85" w:rsidRDefault="00705C85" w:rsidP="00122089">
            <w:pPr>
              <w:rPr>
                <w:b w:val="0"/>
                <w:bCs w:val="0"/>
                <w:sz w:val="21"/>
                <w:szCs w:val="21"/>
              </w:rPr>
            </w:pPr>
            <w:r>
              <w:rPr>
                <w:noProof/>
                <w:sz w:val="21"/>
                <w:szCs w:val="21"/>
                <w14:ligatures w14:val="standardContextual"/>
              </w:rPr>
              <w:drawing>
                <wp:inline distT="0" distB="0" distL="0" distR="0" wp14:anchorId="54258B2B" wp14:editId="672DDE40">
                  <wp:extent cx="1283970" cy="1927860"/>
                  <wp:effectExtent l="0" t="0" r="0" b="0"/>
                  <wp:docPr id="1835482261" name="Picture 16" descr="A person in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82261" name="Picture 16" descr="A person in a black jack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3970" cy="1927860"/>
                          </a:xfrm>
                          <a:prstGeom prst="rect">
                            <a:avLst/>
                          </a:prstGeom>
                        </pic:spPr>
                      </pic:pic>
                    </a:graphicData>
                  </a:graphic>
                </wp:inline>
              </w:drawing>
            </w:r>
          </w:p>
          <w:p w14:paraId="2D4242B4" w14:textId="77777777" w:rsidR="00705C85" w:rsidRDefault="00705C85" w:rsidP="00122089">
            <w:pPr>
              <w:rPr>
                <w:b w:val="0"/>
                <w:bCs w:val="0"/>
                <w:sz w:val="21"/>
                <w:szCs w:val="21"/>
              </w:rPr>
            </w:pPr>
          </w:p>
          <w:p w14:paraId="13C1A08E" w14:textId="77777777" w:rsidR="00705C85" w:rsidRDefault="00705C85" w:rsidP="00122089">
            <w:pPr>
              <w:rPr>
                <w:b w:val="0"/>
                <w:bCs w:val="0"/>
                <w:sz w:val="21"/>
                <w:szCs w:val="21"/>
              </w:rPr>
            </w:pPr>
          </w:p>
          <w:p w14:paraId="5BD5182F" w14:textId="77777777" w:rsidR="00705C85" w:rsidRDefault="00705C85" w:rsidP="00122089">
            <w:pPr>
              <w:rPr>
                <w:b w:val="0"/>
                <w:bCs w:val="0"/>
                <w:sz w:val="21"/>
                <w:szCs w:val="21"/>
              </w:rPr>
            </w:pPr>
          </w:p>
          <w:p w14:paraId="3D576B81" w14:textId="77777777" w:rsidR="00705C85" w:rsidRDefault="00705C85" w:rsidP="00122089">
            <w:pPr>
              <w:rPr>
                <w:b w:val="0"/>
                <w:bCs w:val="0"/>
                <w:sz w:val="21"/>
                <w:szCs w:val="21"/>
              </w:rPr>
            </w:pPr>
          </w:p>
          <w:p w14:paraId="43FB5353" w14:textId="77777777" w:rsidR="00705C85" w:rsidRDefault="00705C85" w:rsidP="00122089">
            <w:pPr>
              <w:rPr>
                <w:b w:val="0"/>
                <w:bCs w:val="0"/>
                <w:sz w:val="21"/>
                <w:szCs w:val="21"/>
              </w:rPr>
            </w:pPr>
          </w:p>
          <w:p w14:paraId="4FA70A0B" w14:textId="637AFD9C" w:rsidR="00705C85" w:rsidRPr="00E01473" w:rsidRDefault="00705C85" w:rsidP="00122089">
            <w:pPr>
              <w:rPr>
                <w:sz w:val="21"/>
                <w:szCs w:val="21"/>
              </w:rPr>
            </w:pPr>
          </w:p>
        </w:tc>
        <w:tc>
          <w:tcPr>
            <w:tcW w:w="4508" w:type="dxa"/>
          </w:tcPr>
          <w:p w14:paraId="0EA41EBB"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0DF5211D"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08DCE71B"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52A8B700"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55CE8BB5" w14:textId="77777777" w:rsidR="00705C85" w:rsidRDefault="00705C85"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p w14:paraId="5C159659" w14:textId="2D81560A"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lastRenderedPageBreak/>
              <w:t>Sandy</w:t>
            </w:r>
            <w:r w:rsidR="00E01473">
              <w:rPr>
                <w:rFonts w:eastAsia="Calibri"/>
                <w:sz w:val="21"/>
                <w:szCs w:val="21"/>
                <w:lang w:eastAsia="en-AU"/>
                <w14:ligatures w14:val="standardContextual"/>
              </w:rPr>
              <w:t xml:space="preserve"> Robertson</w:t>
            </w:r>
            <w:r w:rsidRPr="00E01473">
              <w:rPr>
                <w:rFonts w:eastAsia="Calibri"/>
                <w:sz w:val="21"/>
                <w:szCs w:val="21"/>
                <w:lang w:eastAsia="en-AU"/>
                <w14:ligatures w14:val="standardContextual"/>
              </w:rPr>
              <w:t xml:space="preserve"> is a dedicated consumer advocate with over 10 years of experience, beginning with the </w:t>
            </w:r>
            <w:proofErr w:type="spellStart"/>
            <w:r w:rsidRPr="00E01473">
              <w:rPr>
                <w:rFonts w:eastAsia="Calibri"/>
                <w:sz w:val="21"/>
                <w:szCs w:val="21"/>
                <w:lang w:eastAsia="en-AU"/>
                <w14:ligatures w14:val="standardContextual"/>
              </w:rPr>
              <w:t>BreastScreen</w:t>
            </w:r>
            <w:proofErr w:type="spellEnd"/>
            <w:r w:rsidRPr="00E01473">
              <w:rPr>
                <w:rFonts w:eastAsia="Calibri"/>
                <w:sz w:val="21"/>
                <w:szCs w:val="21"/>
                <w:lang w:eastAsia="en-AU"/>
                <w14:ligatures w14:val="standardContextual"/>
              </w:rPr>
              <w:t xml:space="preserve"> Qld Committee after a personal breast cancer diagnosis. Committed to improving health communication and resources for women, with a focus on making information more accessible and consumer friendly.</w:t>
            </w:r>
          </w:p>
          <w:p w14:paraId="4335ADA6" w14:textId="77777777"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Professional experience with Medicare Australia over 22 years has provided her extensive knowledge of the Australian Health System. This knowledge has been shared with the health professionals within Aboriginal &amp; Torres Strait Islander Community Controlled Clinics in Queensland and throughout Australia over the past 18 years.</w:t>
            </w:r>
          </w:p>
          <w:p w14:paraId="761558F7" w14:textId="75EDEF85"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Sandy has provided consumer representation on the following significant initiatives: MBS Taskforce Review committee (Aboriginal &amp; Torres Strait Islander Reference Group)</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MBS Time Tiered Review, the implementation of Voluntary Assisted Dying in Qld</w:t>
            </w:r>
            <w:r w:rsidRPr="00E01473">
              <w:rPr>
                <w:rFonts w:eastAsia="Calibri"/>
                <w:b/>
                <w:bCs/>
                <w:sz w:val="21"/>
                <w:szCs w:val="21"/>
                <w:lang w:eastAsia="en-AU"/>
                <w14:ligatures w14:val="standardContextual"/>
              </w:rPr>
              <w:t xml:space="preserve">, </w:t>
            </w:r>
            <w:proofErr w:type="spellStart"/>
            <w:r w:rsidRPr="00E01473">
              <w:rPr>
                <w:rFonts w:eastAsia="Calibri"/>
                <w:sz w:val="21"/>
                <w:szCs w:val="21"/>
                <w:lang w:eastAsia="en-AU"/>
                <w14:ligatures w14:val="standardContextual"/>
              </w:rPr>
              <w:t>BreastScreen</w:t>
            </w:r>
            <w:proofErr w:type="spellEnd"/>
            <w:r w:rsidRPr="00E01473">
              <w:rPr>
                <w:rFonts w:eastAsia="Calibri"/>
                <w:sz w:val="21"/>
                <w:szCs w:val="21"/>
                <w:lang w:eastAsia="en-AU"/>
                <w14:ligatures w14:val="standardContextual"/>
              </w:rPr>
              <w:t xml:space="preserve"> Qld committee and Qld Dense Breast Study</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ACTMED research study (UQ), Qld Health Digital Informed Consent, Support Meds – De Prescribing Project (Monash Uni), Interprofessional Prescribing Advisory Group (UQ), Services Australia - New System Consumer feedback</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Qld Health - Patient Administration System modernisation</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Qld Health Cancer Carer Working Group, and</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Chronic Disease Prevention Advisory Group.</w:t>
            </w:r>
          </w:p>
          <w:p w14:paraId="2C02E6CE" w14:textId="77777777"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Sandy demonstrates a strong commitment to advancing the health system through meaningful consumer representation and collaborative improvement.</w:t>
            </w:r>
          </w:p>
          <w:p w14:paraId="563928E1" w14:textId="77777777" w:rsidR="00F549C9" w:rsidRPr="00E01473" w:rsidRDefault="00F549C9" w:rsidP="0012208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tc>
      </w:tr>
      <w:tr w:rsidR="00692695" w14:paraId="7FCB84BE"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7873CF" w14:textId="77777777" w:rsidR="00AD1571" w:rsidRPr="00E01473" w:rsidRDefault="00AD1571" w:rsidP="00122089">
            <w:pPr>
              <w:rPr>
                <w:sz w:val="21"/>
                <w:szCs w:val="21"/>
              </w:rPr>
            </w:pPr>
            <w:r w:rsidRPr="00E01473">
              <w:rPr>
                <w:sz w:val="21"/>
                <w:szCs w:val="21"/>
              </w:rPr>
              <w:lastRenderedPageBreak/>
              <w:t>Associate Professor Beverley Rowbotham AO, MD, MBBS (Hons 1), FRACP, FRCPA, FAICD</w:t>
            </w:r>
          </w:p>
          <w:p w14:paraId="74FFA0A4" w14:textId="77777777" w:rsidR="00AD1571" w:rsidRPr="007565F5" w:rsidRDefault="00AD1571" w:rsidP="00122089">
            <w:pPr>
              <w:spacing w:after="0"/>
              <w:rPr>
                <w:rFonts w:ascii="Arial" w:hAnsi="Arial" w:cs="Arial"/>
                <w:sz w:val="21"/>
                <w:szCs w:val="21"/>
              </w:rPr>
            </w:pPr>
            <w:r>
              <w:rPr>
                <w:rFonts w:ascii="Arial" w:hAnsi="Arial" w:cs="Arial"/>
                <w:noProof/>
                <w:sz w:val="21"/>
                <w:szCs w:val="21"/>
              </w:rPr>
              <w:drawing>
                <wp:inline distT="0" distB="0" distL="0" distR="0" wp14:anchorId="542675B5" wp14:editId="699DC826">
                  <wp:extent cx="2071788" cy="1521137"/>
                  <wp:effectExtent l="0" t="0" r="5080" b="3175"/>
                  <wp:docPr id="1087351268" name="Picture 5" descr="Photograph of Associate Professor Beverley Rowbotham AO, MD, MBBS (Hons 1), FRACP, FRCPA, FA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51268" name="Picture 5" descr="Photograph of Associate Professor Beverley Rowbotham AO, MD, MBBS (Hons 1), FRACP, FRCPA, FAIC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0074" cy="1534563"/>
                          </a:xfrm>
                          <a:prstGeom prst="rect">
                            <a:avLst/>
                          </a:prstGeom>
                          <a:noFill/>
                        </pic:spPr>
                      </pic:pic>
                    </a:graphicData>
                  </a:graphic>
                </wp:inline>
              </w:drawing>
            </w:r>
          </w:p>
        </w:tc>
        <w:tc>
          <w:tcPr>
            <w:tcW w:w="4508" w:type="dxa"/>
          </w:tcPr>
          <w:p w14:paraId="0DC2A89F" w14:textId="07C58A88" w:rsidR="00AD1571" w:rsidRPr="00E01473" w:rsidRDefault="00D0722E" w:rsidP="0012208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Associate Professor </w:t>
            </w:r>
            <w:r w:rsidR="00AD1571" w:rsidRPr="00E01473">
              <w:rPr>
                <w:rFonts w:eastAsia="Calibri"/>
                <w:sz w:val="21"/>
                <w:szCs w:val="21"/>
                <w:lang w:eastAsia="en-AU"/>
                <w14:ligatures w14:val="standardContextual"/>
              </w:rPr>
              <w:t xml:space="preserve">Beverley Rowbotham Is a haematologist and chairs the Federal Government’s National Pathology Accreditation Advisory Council.  She has a strong background in medical leadership and patient safety through her roles as President of the Royal College of Pathologists of Australasia, long serving Chair of Federal Council of the Australian Medical Association, and Chair of the medical indemnity company, Avant Mutual Group. She brings her experience as a member of many Federal Government advisory committee roles including the original MBS Review Taskforce. </w:t>
            </w:r>
          </w:p>
        </w:tc>
      </w:tr>
      <w:tr w:rsidR="00692695" w14:paraId="4FB20E30"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3DB07AF0" w14:textId="3678F95D" w:rsidR="00AD1571" w:rsidRPr="00E01473" w:rsidRDefault="00AD1571" w:rsidP="00D0722E">
            <w:pPr>
              <w:pStyle w:val="Tabletextleft"/>
            </w:pPr>
            <w:r w:rsidRPr="00E01473">
              <w:lastRenderedPageBreak/>
              <w:t>Mr Brady Schulz</w:t>
            </w:r>
          </w:p>
          <w:p w14:paraId="226C43DE" w14:textId="3566E2C7" w:rsidR="00AD1571" w:rsidRPr="00AD1571" w:rsidRDefault="00AD1571" w:rsidP="00D0722E">
            <w:pPr>
              <w:pStyle w:val="Tabletextleft"/>
            </w:pPr>
            <w:r w:rsidRPr="00AD1571">
              <w:drawing>
                <wp:inline distT="0" distB="0" distL="0" distR="0" wp14:anchorId="78B066FF" wp14:editId="48387C7C">
                  <wp:extent cx="1638300" cy="2047966"/>
                  <wp:effectExtent l="0" t="0" r="0" b="9525"/>
                  <wp:docPr id="12813938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932" cy="2061256"/>
                          </a:xfrm>
                          <a:prstGeom prst="rect">
                            <a:avLst/>
                          </a:prstGeom>
                          <a:noFill/>
                          <a:ln>
                            <a:noFill/>
                          </a:ln>
                        </pic:spPr>
                      </pic:pic>
                    </a:graphicData>
                  </a:graphic>
                </wp:inline>
              </w:drawing>
            </w:r>
          </w:p>
          <w:p w14:paraId="485E3F1E" w14:textId="77777777" w:rsidR="00AD1571" w:rsidRPr="00D15130" w:rsidRDefault="00AD1571" w:rsidP="00D0722E">
            <w:pPr>
              <w:pStyle w:val="Tabletextleft"/>
            </w:pPr>
          </w:p>
          <w:p w14:paraId="3669243A" w14:textId="4995858F" w:rsidR="00AD1571" w:rsidRDefault="00AD1571" w:rsidP="00122089"/>
        </w:tc>
        <w:tc>
          <w:tcPr>
            <w:tcW w:w="4508" w:type="dxa"/>
          </w:tcPr>
          <w:p w14:paraId="45A36743"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Brady Schulz is an Accredited Exercise Physiologist, Accredited Practising Dietitian and Advanced Sports Dietitian with extensive experience delivering multidisciplinary allied health services across metropolitan, regional, rural and remote Australia. He is the Founder and Managing Director of Healthy Lifestyles Australia, a primary care organisation delivering Dietetics, Exercise Physiology and Diabetes Education services to more than 120 centres across Queensland.</w:t>
            </w:r>
          </w:p>
          <w:p w14:paraId="28BD4E5C"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 xml:space="preserve">Brady has more than 16 years’ experience working in rural and remote health, supporting communities across the Darling Downs, </w:t>
            </w:r>
            <w:proofErr w:type="gramStart"/>
            <w:r w:rsidRPr="00E01473">
              <w:rPr>
                <w:sz w:val="21"/>
                <w:szCs w:val="21"/>
              </w:rPr>
              <w:t>South East</w:t>
            </w:r>
            <w:proofErr w:type="gramEnd"/>
            <w:r w:rsidRPr="00E01473">
              <w:rPr>
                <w:sz w:val="21"/>
                <w:szCs w:val="21"/>
              </w:rPr>
              <w:t xml:space="preserve">, </w:t>
            </w:r>
            <w:proofErr w:type="gramStart"/>
            <w:r w:rsidRPr="00E01473">
              <w:rPr>
                <w:sz w:val="21"/>
                <w:szCs w:val="21"/>
              </w:rPr>
              <w:t>South West</w:t>
            </w:r>
            <w:proofErr w:type="gramEnd"/>
            <w:r w:rsidRPr="00E01473">
              <w:rPr>
                <w:sz w:val="21"/>
                <w:szCs w:val="21"/>
              </w:rPr>
              <w:t>, Western QLD, Fraser Coast and North Queensland. His clinical expertise spans cardiometabolic health, chronic disease prevention and management, exercise prescription for metabolic, musculoskeletal and neurological conditions, and sports nutrition for elite and recreational athletes.</w:t>
            </w:r>
          </w:p>
          <w:p w14:paraId="0173D932"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Through Healthy Lifestyles Australia, Brady leads delivery of government-funded chronic disease programs and multidisciplinary diabetes initiatives, overseeing workforce development, clinical governance and scalable models of care that strengthen primary health services in underserved regions. He has a strong commitment to early intervention, patient-centred care pathways, integrated multidisciplinary practice and sustainable rural and remote allied health workforces.</w:t>
            </w:r>
          </w:p>
          <w:p w14:paraId="5460085D" w14:textId="77777777" w:rsidR="00AD1571" w:rsidRPr="00E01473" w:rsidRDefault="00AD1571" w:rsidP="00AD1571">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In addition to his organisational leadership, Brady serves on the Brisbane North PHN Allied Health Advisory Committee, contributing to regional planning, service integration and primary care strengthening across the North Brisbane catchment.</w:t>
            </w:r>
          </w:p>
          <w:p w14:paraId="69F1E995" w14:textId="77777777" w:rsidR="00AD1571" w:rsidRDefault="00AD1571" w:rsidP="00E01473">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Brady holds a Bachelor of Applied Science (HMS) (Hons) and a Master of Nutrition and Dietetics. He is a member of Sports Dietitians Australia, Exercise and Sports Science Australia, Dietitians Australia, Health Workforce Queensland, and Services for Australian Rural and Remote Allied Health (SARRAH), contributing to national efforts to enhance rural health strategy, workforce capability and equitable access to allied health services.</w:t>
            </w:r>
          </w:p>
          <w:p w14:paraId="53D4E9A1" w14:textId="77777777" w:rsidR="00E01473" w:rsidRDefault="00E01473" w:rsidP="00E01473">
            <w:pPr>
              <w:cnfStyle w:val="000000000000" w:firstRow="0" w:lastRow="0" w:firstColumn="0" w:lastColumn="0" w:oddVBand="0" w:evenVBand="0" w:oddHBand="0" w:evenHBand="0" w:firstRowFirstColumn="0" w:firstRowLastColumn="0" w:lastRowFirstColumn="0" w:lastRowLastColumn="0"/>
              <w:rPr>
                <w:sz w:val="21"/>
                <w:szCs w:val="21"/>
              </w:rPr>
            </w:pPr>
          </w:p>
          <w:p w14:paraId="7122660E" w14:textId="0271A31E" w:rsidR="00E01473" w:rsidRPr="00E01473" w:rsidRDefault="00E01473" w:rsidP="00E01473">
            <w:pPr>
              <w:cnfStyle w:val="000000000000" w:firstRow="0" w:lastRow="0" w:firstColumn="0" w:lastColumn="0" w:oddVBand="0" w:evenVBand="0" w:oddHBand="0" w:evenHBand="0" w:firstRowFirstColumn="0" w:firstRowLastColumn="0" w:lastRowFirstColumn="0" w:lastRowLastColumn="0"/>
              <w:rPr>
                <w:sz w:val="21"/>
                <w:szCs w:val="21"/>
              </w:rPr>
            </w:pPr>
          </w:p>
        </w:tc>
      </w:tr>
      <w:tr w:rsidR="00777435" w14:paraId="06938935"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E9063F" w14:textId="77777777" w:rsidR="00777435" w:rsidRPr="00E01473" w:rsidRDefault="00777435" w:rsidP="00777435">
            <w:pPr>
              <w:rPr>
                <w:sz w:val="21"/>
                <w:szCs w:val="21"/>
              </w:rPr>
            </w:pPr>
            <w:r w:rsidRPr="00E01473">
              <w:rPr>
                <w:sz w:val="21"/>
                <w:szCs w:val="21"/>
              </w:rPr>
              <w:lastRenderedPageBreak/>
              <w:t xml:space="preserve">Conjoint A/Professor Deshan </w:t>
            </w:r>
            <w:proofErr w:type="spellStart"/>
            <w:r w:rsidRPr="00E01473">
              <w:rPr>
                <w:sz w:val="21"/>
                <w:szCs w:val="21"/>
              </w:rPr>
              <w:t>Sebaratnam</w:t>
            </w:r>
            <w:proofErr w:type="spellEnd"/>
            <w:r w:rsidRPr="00E01473">
              <w:rPr>
                <w:sz w:val="21"/>
                <w:szCs w:val="21"/>
              </w:rPr>
              <w:t xml:space="preserve"> MBBS(Hons) </w:t>
            </w:r>
            <w:proofErr w:type="spellStart"/>
            <w:r w:rsidRPr="00E01473">
              <w:rPr>
                <w:sz w:val="21"/>
                <w:szCs w:val="21"/>
              </w:rPr>
              <w:t>MMed</w:t>
            </w:r>
            <w:proofErr w:type="spellEnd"/>
            <w:r w:rsidRPr="00E01473">
              <w:rPr>
                <w:sz w:val="21"/>
                <w:szCs w:val="21"/>
              </w:rPr>
              <w:t xml:space="preserve"> FRCP (London) FACD</w:t>
            </w:r>
          </w:p>
          <w:p w14:paraId="09314754" w14:textId="65E95C4D" w:rsidR="00777435" w:rsidRPr="00777435" w:rsidRDefault="00777435" w:rsidP="00777435">
            <w:pPr>
              <w:pStyle w:val="NormalWeb"/>
              <w:rPr>
                <w:rFonts w:ascii="Arial" w:hAnsi="Arial" w:cs="Arial"/>
                <w:sz w:val="21"/>
                <w:szCs w:val="21"/>
              </w:rPr>
            </w:pPr>
            <w:r w:rsidRPr="00777435">
              <w:rPr>
                <w:rFonts w:ascii="Arial" w:hAnsi="Arial" w:cs="Arial"/>
                <w:noProof/>
                <w:sz w:val="21"/>
                <w:szCs w:val="21"/>
              </w:rPr>
              <w:drawing>
                <wp:inline distT="0" distB="0" distL="0" distR="0" wp14:anchorId="0463F16B" wp14:editId="7C29C5BC">
                  <wp:extent cx="1739279" cy="2174195"/>
                  <wp:effectExtent l="0" t="0" r="0" b="0"/>
                  <wp:docPr id="15094534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744628" cy="2180882"/>
                          </a:xfrm>
                          <a:prstGeom prst="rect">
                            <a:avLst/>
                          </a:prstGeom>
                          <a:noFill/>
                          <a:ln>
                            <a:noFill/>
                          </a:ln>
                        </pic:spPr>
                      </pic:pic>
                    </a:graphicData>
                  </a:graphic>
                </wp:inline>
              </w:drawing>
            </w:r>
          </w:p>
          <w:p w14:paraId="1F790BC5" w14:textId="74FE77AF" w:rsidR="00777435" w:rsidRPr="00186B4E" w:rsidRDefault="00777435" w:rsidP="00122089">
            <w:pPr>
              <w:pStyle w:val="NormalWeb"/>
              <w:rPr>
                <w:rFonts w:ascii="Arial" w:hAnsi="Arial" w:cs="Arial"/>
                <w:sz w:val="21"/>
                <w:szCs w:val="21"/>
              </w:rPr>
            </w:pPr>
          </w:p>
        </w:tc>
        <w:tc>
          <w:tcPr>
            <w:tcW w:w="4508" w:type="dxa"/>
          </w:tcPr>
          <w:p w14:paraId="70249035" w14:textId="124981BA" w:rsidR="00777435" w:rsidRPr="00E01473" w:rsidRDefault="00777435" w:rsidP="00777435">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 xml:space="preserve">Deshan Sebaratnam is a dermatologist based in NSW. He graduated medical school with Honours and went on to complete his Master of Medicine with a focus in health economics. He is a Staff Specialist at Liverpool Hospital where he leads Paediatric Dermatology, and established vascular laser, </w:t>
            </w:r>
            <w:proofErr w:type="spellStart"/>
            <w:r w:rsidRPr="00E01473">
              <w:rPr>
                <w:sz w:val="21"/>
                <w:szCs w:val="21"/>
              </w:rPr>
              <w:t>Genodermatology</w:t>
            </w:r>
            <w:proofErr w:type="spellEnd"/>
            <w:r w:rsidRPr="00E01473">
              <w:rPr>
                <w:sz w:val="21"/>
                <w:szCs w:val="21"/>
              </w:rPr>
              <w:t xml:space="preserve"> and Vascular Anomalies multi-disciplinary clinics. He also established a Dermatology service at Dubbo Base Hospital and has previously worked in the NT and ACT. He holds an academic appointment at UNSW, having published over 150 research publications and regularly supervising medical students completing their Honours. He was awarded the Australasian College of Dermatologists' Research Fellowship at St John's Institute of Dermatology in London and a scholarship from the Ministry of Health to integrate genomics into healthcare delivery. He is on the Editorial Board of the Australasian Journal of Dermatology and a Director of the Skin Hospital.</w:t>
            </w:r>
          </w:p>
          <w:p w14:paraId="01C53BCB" w14:textId="77777777" w:rsidR="00777435" w:rsidRPr="00E01473" w:rsidRDefault="00777435" w:rsidP="00122089">
            <w:pPr>
              <w:cnfStyle w:val="000000100000" w:firstRow="0" w:lastRow="0" w:firstColumn="0" w:lastColumn="0" w:oddVBand="0" w:evenVBand="0" w:oddHBand="1" w:evenHBand="0" w:firstRowFirstColumn="0" w:firstRowLastColumn="0" w:lastRowFirstColumn="0" w:lastRowLastColumn="0"/>
              <w:rPr>
                <w:sz w:val="21"/>
                <w:szCs w:val="21"/>
              </w:rPr>
            </w:pPr>
          </w:p>
        </w:tc>
      </w:tr>
      <w:tr w:rsidR="00692695" w14:paraId="306BA1FA"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7CD71EE0" w14:textId="77777777" w:rsidR="00AD1571" w:rsidRPr="00E01473" w:rsidRDefault="00AD1571" w:rsidP="00122089">
            <w:pPr>
              <w:pStyle w:val="NormalWeb"/>
              <w:rPr>
                <w:rFonts w:eastAsia="Times New Roman"/>
              </w:rPr>
            </w:pPr>
            <w:r w:rsidRPr="00E01473">
              <w:rPr>
                <w:sz w:val="21"/>
                <w:szCs w:val="21"/>
              </w:rPr>
              <w:t>Dr Clare Skinner</w:t>
            </w:r>
          </w:p>
          <w:p w14:paraId="63C8769A" w14:textId="77777777" w:rsidR="00AD1571" w:rsidRPr="007565F5" w:rsidRDefault="00AD1571" w:rsidP="00122089">
            <w:pPr>
              <w:spacing w:before="100" w:beforeAutospacing="1" w:after="100" w:afterAutospacing="1"/>
              <w:rPr>
                <w:rFonts w:eastAsia="Times New Roman"/>
                <w:lang w:eastAsia="en-AU"/>
              </w:rPr>
            </w:pPr>
            <w:r>
              <w:rPr>
                <w:rFonts w:eastAsia="Times New Roman"/>
                <w:noProof/>
                <w:lang w:eastAsia="en-AU"/>
              </w:rPr>
              <w:drawing>
                <wp:inline distT="0" distB="0" distL="0" distR="0" wp14:anchorId="07587C30" wp14:editId="68A0E346">
                  <wp:extent cx="1710595" cy="1743075"/>
                  <wp:effectExtent l="0" t="0" r="444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5388" cy="1758149"/>
                          </a:xfrm>
                          <a:prstGeom prst="rect">
                            <a:avLst/>
                          </a:prstGeom>
                          <a:noFill/>
                          <a:ln>
                            <a:noFill/>
                          </a:ln>
                        </pic:spPr>
                      </pic:pic>
                    </a:graphicData>
                  </a:graphic>
                </wp:inline>
              </w:drawing>
            </w:r>
          </w:p>
        </w:tc>
        <w:tc>
          <w:tcPr>
            <w:tcW w:w="4508" w:type="dxa"/>
          </w:tcPr>
          <w:p w14:paraId="1C7ADC45" w14:textId="7DAC826F"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 xml:space="preserve">Clare Skinner is a specialist emergency physician with interests in health system reform, clinical redesign, leadership, advocacy, and workplace culture and safety. </w:t>
            </w:r>
          </w:p>
          <w:p w14:paraId="3061133E"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Clare served as President of the Australasian College for Emergency Medicine from November 2021-2023 and currently holds important roles as a Senior Staff Specialist in Emergency Medicine at Hornsby Ku-ring-gai Hospital and the Northern Sydney Local Health District.</w:t>
            </w:r>
          </w:p>
          <w:p w14:paraId="172BF2A4"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Clare regularly shares her insights through contributions to academic journals, mainstream media, and medical blogs, and as a regular speaker at emergency medicine and leadership conferences.</w:t>
            </w:r>
          </w:p>
          <w:p w14:paraId="0C082B23"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proofErr w:type="gramStart"/>
            <w:r w:rsidRPr="00E01473">
              <w:rPr>
                <w:sz w:val="21"/>
                <w:szCs w:val="21"/>
              </w:rPr>
              <w:t>Clare‘</w:t>
            </w:r>
            <w:proofErr w:type="gramEnd"/>
            <w:r w:rsidRPr="00E01473">
              <w:rPr>
                <w:sz w:val="21"/>
                <w:szCs w:val="21"/>
              </w:rPr>
              <w:t>s contributions to the field were recognised in 2018 when she was selected among the Top 50 Public Sector Women in NSW.</w:t>
            </w:r>
          </w:p>
        </w:tc>
      </w:tr>
      <w:tr w:rsidR="00D711DE" w14:paraId="56D7C0F4"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4170D97" w14:textId="77777777" w:rsidR="00D711DE" w:rsidRPr="00E01473" w:rsidRDefault="00D711DE" w:rsidP="00D0722E">
            <w:pPr>
              <w:pStyle w:val="Tabletextleft"/>
            </w:pPr>
            <w:r w:rsidRPr="00E01473">
              <w:lastRenderedPageBreak/>
              <w:t>Dr Christopher Symmons</w:t>
            </w:r>
          </w:p>
          <w:p w14:paraId="2870B917" w14:textId="1AAEABAD" w:rsidR="00D711DE" w:rsidRDefault="00EA027A" w:rsidP="00D0722E">
            <w:pPr>
              <w:pStyle w:val="Tabletextleft"/>
            </w:pPr>
            <w:r>
              <w:rPr>
                <w14:ligatures w14:val="standardContextual"/>
              </w:rPr>
              <w:drawing>
                <wp:inline distT="0" distB="0" distL="0" distR="0" wp14:anchorId="39FCCB3D" wp14:editId="792F7156">
                  <wp:extent cx="1381125" cy="1723702"/>
                  <wp:effectExtent l="0" t="0" r="0" b="0"/>
                  <wp:docPr id="1587114940" name="Picture 1"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4940" name="Picture 1" descr="A person smiling for a pictur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1897" cy="1737146"/>
                          </a:xfrm>
                          <a:prstGeom prst="rect">
                            <a:avLst/>
                          </a:prstGeom>
                        </pic:spPr>
                      </pic:pic>
                    </a:graphicData>
                  </a:graphic>
                </wp:inline>
              </w:drawing>
            </w:r>
          </w:p>
        </w:tc>
        <w:tc>
          <w:tcPr>
            <w:tcW w:w="4508" w:type="dxa"/>
          </w:tcPr>
          <w:p w14:paraId="77140B15" w14:textId="77777777" w:rsidR="00EA027A" w:rsidRPr="00EA027A" w:rsidRDefault="00EA027A" w:rsidP="00EA027A">
            <w:pPr>
              <w:cnfStyle w:val="000000100000" w:firstRow="0" w:lastRow="0" w:firstColumn="0" w:lastColumn="0" w:oddVBand="0" w:evenVBand="0" w:oddHBand="1" w:evenHBand="0" w:firstRowFirstColumn="0" w:firstRowLastColumn="0" w:lastRowFirstColumn="0" w:lastRowLastColumn="0"/>
              <w:rPr>
                <w:color w:val="111111"/>
                <w:spacing w:val="5"/>
                <w:sz w:val="21"/>
                <w:szCs w:val="21"/>
                <w:shd w:val="clear" w:color="auto" w:fill="FFFFFF"/>
              </w:rPr>
            </w:pPr>
            <w:r w:rsidRPr="00EA027A">
              <w:rPr>
                <w:color w:val="111111"/>
                <w:spacing w:val="5"/>
                <w:sz w:val="21"/>
                <w:szCs w:val="21"/>
                <w:shd w:val="clear" w:color="auto" w:fill="FFFFFF"/>
              </w:rPr>
              <w:t>Dr Chris Symmons is a Rural Generalist Senior Medical Officer in Longreach in western Queensland. He works in primary care in Longreach and remote primary health centres and has an interest in procedural general practice including skin surgery. Additionally, he works as a rural generalist anaesthetist at Longreach hospital where he was previously Acting Director of Medical Services. He is a member of the Queensland Clinical Senate. Outside of medicine, he runs an ecotourism business and is on the board of Desert Channels Queensland. </w:t>
            </w:r>
          </w:p>
          <w:p w14:paraId="07796301" w14:textId="77777777" w:rsidR="00D711DE" w:rsidRPr="003248F5" w:rsidRDefault="00D711DE" w:rsidP="00122089">
            <w:pPr>
              <w:cnfStyle w:val="000000100000" w:firstRow="0" w:lastRow="0" w:firstColumn="0" w:lastColumn="0" w:oddVBand="0" w:evenVBand="0" w:oddHBand="1" w:evenHBand="0" w:firstRowFirstColumn="0" w:firstRowLastColumn="0" w:lastRowFirstColumn="0" w:lastRowLastColumn="0"/>
              <w:rPr>
                <w:rFonts w:ascii="Arial" w:hAnsi="Arial" w:cs="Arial"/>
                <w:color w:val="111111"/>
                <w:spacing w:val="5"/>
                <w:sz w:val="21"/>
                <w:szCs w:val="21"/>
                <w:shd w:val="clear" w:color="auto" w:fill="FFFFFF"/>
              </w:rPr>
            </w:pPr>
          </w:p>
        </w:tc>
      </w:tr>
      <w:tr w:rsidR="00692695" w14:paraId="12ED015C"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2C31B981" w14:textId="77777777" w:rsidR="00AD1571" w:rsidRPr="00E01473" w:rsidRDefault="00AD1571" w:rsidP="00D0722E">
            <w:pPr>
              <w:pStyle w:val="Tabletextleft"/>
            </w:pPr>
            <w:r w:rsidRPr="00E01473">
              <w:t>Professor Rosalie Viney</w:t>
            </w:r>
          </w:p>
          <w:p w14:paraId="0AA660DC" w14:textId="77777777" w:rsidR="00AD1571" w:rsidRDefault="00AD1571" w:rsidP="00D0722E">
            <w:pPr>
              <w:pStyle w:val="Tabletextleft"/>
            </w:pPr>
            <w:r w:rsidRPr="00D53B76">
              <w:rPr>
                <w:lang w:eastAsia="en-AU"/>
              </w:rPr>
              <w:drawing>
                <wp:inline distT="0" distB="0" distL="0" distR="0" wp14:anchorId="7F3BEA37" wp14:editId="38952E80">
                  <wp:extent cx="1381125" cy="2101406"/>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81125" cy="2101406"/>
                          </a:xfrm>
                          <a:prstGeom prst="rect">
                            <a:avLst/>
                          </a:prstGeom>
                          <a:noFill/>
                          <a:ln>
                            <a:noFill/>
                          </a:ln>
                        </pic:spPr>
                      </pic:pic>
                    </a:graphicData>
                  </a:graphic>
                </wp:inline>
              </w:drawing>
            </w:r>
          </w:p>
        </w:tc>
        <w:tc>
          <w:tcPr>
            <w:tcW w:w="4508" w:type="dxa"/>
          </w:tcPr>
          <w:p w14:paraId="2BDE86FA"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color w:val="111111"/>
                <w:spacing w:val="5"/>
                <w:sz w:val="21"/>
                <w:szCs w:val="21"/>
                <w:shd w:val="clear" w:color="auto" w:fill="FFFFFF"/>
              </w:rPr>
              <w:t xml:space="preserve">Rosalie Viney is Professor of Health Economics and Director of the Centre for Health Economics Research and Evaluation at the University of Technology Sydney. She has extensive experience in health economics, health services and health policy research. Her research interests include health technology assessment and priority setting, measurement and valuation of quality of life and health outcomes, consumer preferences for health and health care, evaluation of health policy, and the impact of funding arrangements on utilisation and outcomes of health care. Rosalie has undertaken a broad range of commissioned projects for State/Territory Health authorities, and for the Australian Government Department of Health. Rosalie has also had longstanding involvement in the fields of health economics and health services research in Australia and internationally, through the Australian Health Economics Society and the Health Services Research Association of Australia and New Zealand, and through the International Health Economics Association where she was a Board member from 2020-2024, and the </w:t>
            </w:r>
            <w:proofErr w:type="spellStart"/>
            <w:r w:rsidRPr="00E01473">
              <w:rPr>
                <w:color w:val="111111"/>
                <w:spacing w:val="5"/>
                <w:sz w:val="21"/>
                <w:szCs w:val="21"/>
                <w:shd w:val="clear" w:color="auto" w:fill="FFFFFF"/>
              </w:rPr>
              <w:t>EuroQol</w:t>
            </w:r>
            <w:proofErr w:type="spellEnd"/>
            <w:r w:rsidRPr="00E01473">
              <w:rPr>
                <w:color w:val="111111"/>
                <w:spacing w:val="5"/>
                <w:sz w:val="21"/>
                <w:szCs w:val="21"/>
                <w:shd w:val="clear" w:color="auto" w:fill="FFFFFF"/>
              </w:rPr>
              <w:t xml:space="preserve"> Foundation, where she is a member and the current Chair of the Scientific Executive. Rosalie was a member of the NHMRC Research Committee from 2015-2021. Until March 2017 she was also a member of the Pharmaceutical Benefits Advisory Committee (PBAC) and Chair of its Economics Sub-Committee. She is a current member of the Life Saving Drugs Panel. She is a Fellow of the Australian Academy of Social Sciences. </w:t>
            </w:r>
          </w:p>
        </w:tc>
      </w:tr>
    </w:tbl>
    <w:p w14:paraId="2959E66A" w14:textId="77777777" w:rsidR="00AD1571" w:rsidRDefault="00AD1571" w:rsidP="00AD1571"/>
    <w:p w14:paraId="42F82F06" w14:textId="77777777" w:rsidR="00280050" w:rsidRPr="00F746C0" w:rsidRDefault="00280050"/>
    <w:sectPr w:rsidR="00280050" w:rsidRPr="00F746C0">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BF183" w14:textId="77777777" w:rsidR="00B846C4" w:rsidRDefault="00B846C4" w:rsidP="00692695">
      <w:pPr>
        <w:spacing w:before="0" w:after="0" w:line="240" w:lineRule="auto"/>
      </w:pPr>
      <w:r>
        <w:separator/>
      </w:r>
    </w:p>
  </w:endnote>
  <w:endnote w:type="continuationSeparator" w:id="0">
    <w:p w14:paraId="4BA30A11" w14:textId="77777777" w:rsidR="00B846C4" w:rsidRDefault="00B846C4" w:rsidP="006926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C836" w14:textId="6AA97D88" w:rsidR="00692695" w:rsidRDefault="00692695">
    <w:pPr>
      <w:pStyle w:val="Footer"/>
    </w:pPr>
    <w:r>
      <w:rPr>
        <w:noProof/>
        <w14:ligatures w14:val="standardContextual"/>
      </w:rPr>
      <mc:AlternateContent>
        <mc:Choice Requires="wps">
          <w:drawing>
            <wp:anchor distT="0" distB="0" distL="0" distR="0" simplePos="0" relativeHeight="251662336" behindDoc="0" locked="0" layoutInCell="1" allowOverlap="1" wp14:anchorId="0341C0A6" wp14:editId="3526DCB9">
              <wp:simplePos x="635" y="635"/>
              <wp:positionH relativeFrom="page">
                <wp:align>center</wp:align>
              </wp:positionH>
              <wp:positionV relativeFrom="page">
                <wp:align>bottom</wp:align>
              </wp:positionV>
              <wp:extent cx="622300" cy="467360"/>
              <wp:effectExtent l="0" t="0" r="6350" b="0"/>
              <wp:wrapNone/>
              <wp:docPr id="78535601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4AE7CAC" w14:textId="14F1B445"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1C0A6" id="_x0000_t202" coordsize="21600,21600" o:spt="202" path="m,l,21600r21600,l21600,xe">
              <v:stroke joinstyle="miter"/>
              <v:path gradientshapeok="t" o:connecttype="rect"/>
            </v:shapetype>
            <v:shape id="Text Box 35" o:spid="_x0000_s1028" type="#_x0000_t202" alt="OFFICIAL" style="position:absolute;margin-left:0;margin-top:0;width:49pt;height:36.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8DdtUDgIAABwE&#10;AAAOAAAAAAAAAAAAAAAAAC4CAABkcnMvZTJvRG9jLnhtbFBLAQItABQABgAIAAAAIQCQpICC2gAA&#10;AAMBAAAPAAAAAAAAAAAAAAAAAGgEAABkcnMvZG93bnJldi54bWxQSwUGAAAAAAQABADzAAAAbwUA&#10;AAAA&#10;" filled="f" stroked="f">
              <v:textbox style="mso-fit-shape-to-text:t" inset="0,0,0,15pt">
                <w:txbxContent>
                  <w:p w14:paraId="64AE7CAC" w14:textId="14F1B445"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189E" w14:textId="0FC05332" w:rsidR="00692695" w:rsidRDefault="00692695">
    <w:pPr>
      <w:pStyle w:val="Footer"/>
    </w:pPr>
    <w:r>
      <w:rPr>
        <w:noProof/>
        <w14:ligatures w14:val="standardContextual"/>
      </w:rPr>
      <mc:AlternateContent>
        <mc:Choice Requires="wps">
          <w:drawing>
            <wp:anchor distT="0" distB="0" distL="0" distR="0" simplePos="0" relativeHeight="251663360" behindDoc="0" locked="0" layoutInCell="1" allowOverlap="1" wp14:anchorId="60446B98" wp14:editId="4234B28C">
              <wp:simplePos x="914400" y="10064794"/>
              <wp:positionH relativeFrom="page">
                <wp:align>center</wp:align>
              </wp:positionH>
              <wp:positionV relativeFrom="page">
                <wp:align>bottom</wp:align>
              </wp:positionV>
              <wp:extent cx="622300" cy="467360"/>
              <wp:effectExtent l="0" t="0" r="6350" b="0"/>
              <wp:wrapNone/>
              <wp:docPr id="884995904"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1E5A5A1B" w14:textId="71446043" w:rsidR="00692695" w:rsidRPr="00692695" w:rsidRDefault="00692695" w:rsidP="00692695">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446B98" id="_x0000_t202" coordsize="21600,21600" o:spt="202" path="m,l,21600r21600,l21600,xe">
              <v:stroke joinstyle="miter"/>
              <v:path gradientshapeok="t" o:connecttype="rect"/>
            </v:shapetype>
            <v:shape id="Text Box 36" o:spid="_x0000_s1029" type="#_x0000_t202" alt="OFFICIAL" style="position:absolute;margin-left:0;margin-top:0;width:49pt;height:36.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BRsmlpDgIAABwE&#10;AAAOAAAAAAAAAAAAAAAAAC4CAABkcnMvZTJvRG9jLnhtbFBLAQItABQABgAIAAAAIQCQpICC2gAA&#10;AAMBAAAPAAAAAAAAAAAAAAAAAGgEAABkcnMvZG93bnJldi54bWxQSwUGAAAAAAQABADzAAAAbwUA&#10;AAAA&#10;" filled="f" stroked="f">
              <v:textbox style="mso-fit-shape-to-text:t" inset="0,0,0,15pt">
                <w:txbxContent>
                  <w:p w14:paraId="1E5A5A1B" w14:textId="71446043" w:rsidR="00692695" w:rsidRPr="00692695" w:rsidRDefault="00692695" w:rsidP="00692695">
                    <w:pPr>
                      <w:spacing w:after="0"/>
                      <w:rPr>
                        <w:rFonts w:ascii="Aptos" w:eastAsia="Aptos" w:hAnsi="Aptos" w:cs="Aptos"/>
                        <w:noProof/>
                        <w:color w:val="FF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DB296" w14:textId="17F5C416" w:rsidR="00692695" w:rsidRDefault="00692695">
    <w:pPr>
      <w:pStyle w:val="Footer"/>
    </w:pPr>
    <w:r>
      <w:rPr>
        <w:noProof/>
        <w14:ligatures w14:val="standardContextual"/>
      </w:rPr>
      <mc:AlternateContent>
        <mc:Choice Requires="wps">
          <w:drawing>
            <wp:anchor distT="0" distB="0" distL="0" distR="0" simplePos="0" relativeHeight="251661312" behindDoc="0" locked="0" layoutInCell="1" allowOverlap="1" wp14:anchorId="4A704048" wp14:editId="6C0FC31A">
              <wp:simplePos x="635" y="635"/>
              <wp:positionH relativeFrom="page">
                <wp:align>center</wp:align>
              </wp:positionH>
              <wp:positionV relativeFrom="page">
                <wp:align>bottom</wp:align>
              </wp:positionV>
              <wp:extent cx="622300" cy="467360"/>
              <wp:effectExtent l="0" t="0" r="6350" b="0"/>
              <wp:wrapNone/>
              <wp:docPr id="140200913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2758F9E" w14:textId="631377C3"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04048" id="_x0000_t202" coordsize="21600,21600" o:spt="202" path="m,l,21600r21600,l21600,xe">
              <v:stroke joinstyle="miter"/>
              <v:path gradientshapeok="t" o:connecttype="rect"/>
            </v:shapetype>
            <v:shape id="Text Box 34" o:spid="_x0000_s1031" type="#_x0000_t202" alt="OFFICIAL" style="position:absolute;margin-left:0;margin-top:0;width:49pt;height:36.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McbkDgIAABwE&#10;AAAOAAAAAAAAAAAAAAAAAC4CAABkcnMvZTJvRG9jLnhtbFBLAQItABQABgAIAAAAIQCQpICC2gAA&#10;AAMBAAAPAAAAAAAAAAAAAAAAAGgEAABkcnMvZG93bnJldi54bWxQSwUGAAAAAAQABADzAAAAbwUA&#10;AAAA&#10;" filled="f" stroked="f">
              <v:textbox style="mso-fit-shape-to-text:t" inset="0,0,0,15pt">
                <w:txbxContent>
                  <w:p w14:paraId="32758F9E" w14:textId="631377C3"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A699" w14:textId="77777777" w:rsidR="00B846C4" w:rsidRDefault="00B846C4" w:rsidP="00692695">
      <w:pPr>
        <w:spacing w:before="0" w:after="0" w:line="240" w:lineRule="auto"/>
      </w:pPr>
      <w:r>
        <w:separator/>
      </w:r>
    </w:p>
  </w:footnote>
  <w:footnote w:type="continuationSeparator" w:id="0">
    <w:p w14:paraId="32482CA8" w14:textId="77777777" w:rsidR="00B846C4" w:rsidRDefault="00B846C4" w:rsidP="006926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1187" w14:textId="0C136FFC" w:rsidR="00692695" w:rsidRDefault="00692695">
    <w:pPr>
      <w:pStyle w:val="Header"/>
    </w:pPr>
    <w:r>
      <w:rPr>
        <w:noProof/>
        <w14:ligatures w14:val="standardContextual"/>
      </w:rPr>
      <mc:AlternateContent>
        <mc:Choice Requires="wps">
          <w:drawing>
            <wp:anchor distT="0" distB="0" distL="0" distR="0" simplePos="0" relativeHeight="251659264" behindDoc="0" locked="0" layoutInCell="1" allowOverlap="1" wp14:anchorId="60BBBF88" wp14:editId="604E6F58">
              <wp:simplePos x="635" y="635"/>
              <wp:positionH relativeFrom="page">
                <wp:align>center</wp:align>
              </wp:positionH>
              <wp:positionV relativeFrom="page">
                <wp:align>top</wp:align>
              </wp:positionV>
              <wp:extent cx="622300" cy="467360"/>
              <wp:effectExtent l="0" t="0" r="6350" b="8890"/>
              <wp:wrapNone/>
              <wp:docPr id="15051866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CE30154" w14:textId="5BB6DFEF"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BBF88" id="_x0000_t202" coordsize="21600,21600" o:spt="202" path="m,l,21600r21600,l21600,xe">
              <v:stroke joinstyle="miter"/>
              <v:path gradientshapeok="t" o:connecttype="rect"/>
            </v:shapetype>
            <v:shape id="Text Box 32" o:spid="_x0000_s1026" type="#_x0000_t202" alt="OFFICIAL" style="position:absolute;margin-left:0;margin-top:0;width:49pt;height:36.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KCQIAABU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" filled="f" stroked="f">
              <v:textbox style="mso-fit-shape-to-text:t" inset="0,15pt,0,0">
                <w:txbxContent>
                  <w:p w14:paraId="6CE30154" w14:textId="5BB6DFEF"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B791" w14:textId="27F7FD71" w:rsidR="00692695" w:rsidRDefault="00692695">
    <w:pPr>
      <w:pStyle w:val="Header"/>
    </w:pPr>
    <w:r>
      <w:rPr>
        <w:noProof/>
        <w14:ligatures w14:val="standardContextual"/>
      </w:rPr>
      <mc:AlternateContent>
        <mc:Choice Requires="wps">
          <w:drawing>
            <wp:anchor distT="0" distB="0" distL="0" distR="0" simplePos="0" relativeHeight="251660288" behindDoc="0" locked="0" layoutInCell="1" allowOverlap="1" wp14:anchorId="6FC29DCE" wp14:editId="0D1E4DF4">
              <wp:simplePos x="914400" y="447608"/>
              <wp:positionH relativeFrom="page">
                <wp:align>center</wp:align>
              </wp:positionH>
              <wp:positionV relativeFrom="page">
                <wp:align>top</wp:align>
              </wp:positionV>
              <wp:extent cx="622300" cy="467360"/>
              <wp:effectExtent l="0" t="0" r="6350" b="8890"/>
              <wp:wrapNone/>
              <wp:docPr id="84667622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7B029E73" w14:textId="60F9FBF9" w:rsidR="00692695" w:rsidRPr="00692695" w:rsidRDefault="00692695" w:rsidP="00692695">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29DCE" id="_x0000_t202" coordsize="21600,21600" o:spt="202" path="m,l,21600r21600,l21600,xe">
              <v:stroke joinstyle="miter"/>
              <v:path gradientshapeok="t" o:connecttype="rect"/>
            </v:shapetype>
            <v:shape id="Text Box 33" o:spid="_x0000_s1027" type="#_x0000_t202" alt="OFFICIAL" style="position:absolute;margin-left:0;margin-top:0;width:49pt;height:36.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" filled="f" stroked="f">
              <v:textbox style="mso-fit-shape-to-text:t" inset="0,15pt,0,0">
                <w:txbxContent>
                  <w:p w14:paraId="7B029E73" w14:textId="60F9FBF9" w:rsidR="00692695" w:rsidRPr="00692695" w:rsidRDefault="00692695" w:rsidP="00692695">
                    <w:pPr>
                      <w:spacing w:after="0"/>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D258" w14:textId="4C33FEB8" w:rsidR="00692695" w:rsidRDefault="00692695">
    <w:pPr>
      <w:pStyle w:val="Header"/>
    </w:pPr>
    <w:r>
      <w:rPr>
        <w:noProof/>
        <w14:ligatures w14:val="standardContextual"/>
      </w:rPr>
      <mc:AlternateContent>
        <mc:Choice Requires="wps">
          <w:drawing>
            <wp:anchor distT="0" distB="0" distL="0" distR="0" simplePos="0" relativeHeight="251658240" behindDoc="0" locked="0" layoutInCell="1" allowOverlap="1" wp14:anchorId="01BFC7E4" wp14:editId="18A985B1">
              <wp:simplePos x="635" y="635"/>
              <wp:positionH relativeFrom="page">
                <wp:align>center</wp:align>
              </wp:positionH>
              <wp:positionV relativeFrom="page">
                <wp:align>top</wp:align>
              </wp:positionV>
              <wp:extent cx="622300" cy="467360"/>
              <wp:effectExtent l="0" t="0" r="6350" b="8890"/>
              <wp:wrapNone/>
              <wp:docPr id="158306818"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421E3167" w14:textId="1B5A264B"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FC7E4" id="_x0000_t202" coordsize="21600,21600" o:spt="202" path="m,l,21600r21600,l21600,xe">
              <v:stroke joinstyle="miter"/>
              <v:path gradientshapeok="t" o:connecttype="rect"/>
            </v:shapetype>
            <v:shape id="Text Box 31" o:spid="_x0000_s1030" type="#_x0000_t202" alt="OFFICIAL" style="position:absolute;margin-left:0;margin-top:0;width:49pt;height:36.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VtDQIAABw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" filled="f" stroked="f">
              <v:textbox style="mso-fit-shape-to-text:t" inset="0,15pt,0,0">
                <w:txbxContent>
                  <w:p w14:paraId="421E3167" w14:textId="1B5A264B"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75AFA"/>
    <w:multiLevelType w:val="hybridMultilevel"/>
    <w:tmpl w:val="CC5A2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1640004">
    <w:abstractNumId w:val="1"/>
  </w:num>
  <w:num w:numId="2" w16cid:durableId="227157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571"/>
    <w:rsid w:val="00155D8F"/>
    <w:rsid w:val="00204244"/>
    <w:rsid w:val="00280050"/>
    <w:rsid w:val="002F2F4E"/>
    <w:rsid w:val="004E4289"/>
    <w:rsid w:val="00671335"/>
    <w:rsid w:val="00692695"/>
    <w:rsid w:val="006A7465"/>
    <w:rsid w:val="007046F4"/>
    <w:rsid w:val="00705C85"/>
    <w:rsid w:val="00777435"/>
    <w:rsid w:val="007A7CB4"/>
    <w:rsid w:val="007E563D"/>
    <w:rsid w:val="00803D00"/>
    <w:rsid w:val="008D705D"/>
    <w:rsid w:val="009B64D7"/>
    <w:rsid w:val="009C5408"/>
    <w:rsid w:val="00AD1571"/>
    <w:rsid w:val="00AD74A6"/>
    <w:rsid w:val="00B846C4"/>
    <w:rsid w:val="00C56682"/>
    <w:rsid w:val="00D0722E"/>
    <w:rsid w:val="00D2446B"/>
    <w:rsid w:val="00D711DE"/>
    <w:rsid w:val="00DD417D"/>
    <w:rsid w:val="00E01473"/>
    <w:rsid w:val="00EA027A"/>
    <w:rsid w:val="00F14D6C"/>
    <w:rsid w:val="00F549C9"/>
    <w:rsid w:val="00F74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C8D3E"/>
  <w15:chartTrackingRefBased/>
  <w15:docId w15:val="{BD595A63-4B1C-49E4-8321-738DE0D2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571"/>
    <w:pPr>
      <w:spacing w:before="120" w:after="120"/>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AD1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1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157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157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D157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D157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157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157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157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5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15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157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157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D157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D157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D15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D157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D157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D1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57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57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D1571"/>
    <w:pPr>
      <w:spacing w:before="160"/>
      <w:jc w:val="center"/>
    </w:pPr>
    <w:rPr>
      <w:i/>
      <w:iCs/>
      <w:color w:val="404040" w:themeColor="text1" w:themeTint="BF"/>
    </w:rPr>
  </w:style>
  <w:style w:type="character" w:customStyle="1" w:styleId="QuoteChar">
    <w:name w:val="Quote Char"/>
    <w:basedOn w:val="DefaultParagraphFont"/>
    <w:link w:val="Quote"/>
    <w:uiPriority w:val="29"/>
    <w:rsid w:val="00AD1571"/>
    <w:rPr>
      <w:i/>
      <w:iCs/>
      <w:color w:val="404040" w:themeColor="text1" w:themeTint="BF"/>
    </w:rPr>
  </w:style>
  <w:style w:type="paragraph" w:styleId="ListParagraph">
    <w:name w:val="List Paragraph"/>
    <w:basedOn w:val="Normal"/>
    <w:uiPriority w:val="34"/>
    <w:qFormat/>
    <w:rsid w:val="00AD1571"/>
    <w:pPr>
      <w:ind w:left="720"/>
      <w:contextualSpacing/>
    </w:pPr>
  </w:style>
  <w:style w:type="character" w:styleId="IntenseEmphasis">
    <w:name w:val="Intense Emphasis"/>
    <w:basedOn w:val="DefaultParagraphFont"/>
    <w:uiPriority w:val="21"/>
    <w:qFormat/>
    <w:rsid w:val="00AD1571"/>
    <w:rPr>
      <w:i/>
      <w:iCs/>
      <w:color w:val="0F4761" w:themeColor="accent1" w:themeShade="BF"/>
    </w:rPr>
  </w:style>
  <w:style w:type="paragraph" w:styleId="IntenseQuote">
    <w:name w:val="Intense Quote"/>
    <w:basedOn w:val="Normal"/>
    <w:next w:val="Normal"/>
    <w:link w:val="IntenseQuoteChar"/>
    <w:uiPriority w:val="30"/>
    <w:qFormat/>
    <w:rsid w:val="00AD1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571"/>
    <w:rPr>
      <w:i/>
      <w:iCs/>
      <w:color w:val="0F4761" w:themeColor="accent1" w:themeShade="BF"/>
    </w:rPr>
  </w:style>
  <w:style w:type="character" w:styleId="IntenseReference">
    <w:name w:val="Intense Reference"/>
    <w:basedOn w:val="DefaultParagraphFont"/>
    <w:uiPriority w:val="32"/>
    <w:qFormat/>
    <w:rsid w:val="00AD1571"/>
    <w:rPr>
      <w:b/>
      <w:bCs/>
      <w:smallCaps/>
      <w:color w:val="0F4761" w:themeColor="accent1" w:themeShade="BF"/>
      <w:spacing w:val="5"/>
    </w:rPr>
  </w:style>
  <w:style w:type="paragraph" w:customStyle="1" w:styleId="Tabletextleft">
    <w:name w:val="Table text left"/>
    <w:autoRedefine/>
    <w:qFormat/>
    <w:locked/>
    <w:rsid w:val="00D0722E"/>
    <w:pPr>
      <w:keepNext/>
      <w:spacing w:before="60" w:after="240" w:line="240" w:lineRule="auto"/>
    </w:pPr>
    <w:rPr>
      <w:rFonts w:ascii="Times New Roman" w:eastAsia="Times New Roman" w:hAnsi="Times New Roman"/>
      <w:noProof/>
      <w:color w:val="000000" w:themeColor="text1"/>
      <w:kern w:val="0"/>
      <w:sz w:val="21"/>
      <w14:ligatures w14:val="none"/>
    </w:rPr>
  </w:style>
  <w:style w:type="paragraph" w:customStyle="1" w:styleId="Tablelistbullet">
    <w:name w:val="Table list bullet"/>
    <w:basedOn w:val="Tabletextleft"/>
    <w:qFormat/>
    <w:rsid w:val="00AD1571"/>
    <w:pPr>
      <w:numPr>
        <w:numId w:val="1"/>
      </w:numPr>
      <w:spacing w:after="60"/>
    </w:pPr>
    <w:rPr>
      <w:szCs w:val="20"/>
    </w:rPr>
  </w:style>
  <w:style w:type="paragraph" w:styleId="NormalWeb">
    <w:name w:val="Normal (Web)"/>
    <w:basedOn w:val="Normal"/>
    <w:uiPriority w:val="99"/>
    <w:unhideWhenUsed/>
    <w:rsid w:val="00AD1571"/>
    <w:pPr>
      <w:spacing w:before="100" w:beforeAutospacing="1" w:after="100" w:afterAutospacing="1"/>
    </w:pPr>
    <w:rPr>
      <w:lang w:eastAsia="en-AU"/>
    </w:rPr>
  </w:style>
  <w:style w:type="table" w:styleId="ListTable3-Accent5">
    <w:name w:val="List Table 3 Accent 5"/>
    <w:basedOn w:val="TableNormal"/>
    <w:uiPriority w:val="48"/>
    <w:rsid w:val="00AD1571"/>
    <w:pPr>
      <w:spacing w:after="0" w:line="240" w:lineRule="auto"/>
    </w:pPr>
    <w:rPr>
      <w:rFonts w:ascii="Times New Roman" w:hAnsi="Times New Roman"/>
      <w:kern w:val="0"/>
      <w:sz w:val="24"/>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paragraph" w:styleId="Header">
    <w:name w:val="header"/>
    <w:basedOn w:val="Normal"/>
    <w:link w:val="HeaderChar"/>
    <w:uiPriority w:val="99"/>
    <w:unhideWhenUsed/>
    <w:rsid w:val="0069269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2695"/>
    <w:rPr>
      <w:rFonts w:ascii="Times New Roman" w:hAnsi="Times New Roman"/>
      <w:kern w:val="0"/>
      <w:sz w:val="24"/>
      <w14:ligatures w14:val="none"/>
    </w:rPr>
  </w:style>
  <w:style w:type="paragraph" w:styleId="Footer">
    <w:name w:val="footer"/>
    <w:basedOn w:val="Normal"/>
    <w:link w:val="FooterChar"/>
    <w:uiPriority w:val="99"/>
    <w:unhideWhenUsed/>
    <w:rsid w:val="0069269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2695"/>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5BB68D7196E647A4AEBA7AB6226350" ma:contentTypeVersion="16" ma:contentTypeDescription="Create a new document." ma:contentTypeScope="" ma:versionID="3586d45cf423b4c5c74d1341ab188b7f">
  <xsd:schema xmlns:xsd="http://www.w3.org/2001/XMLSchema" xmlns:xs="http://www.w3.org/2001/XMLSchema" xmlns:p="http://schemas.microsoft.com/office/2006/metadata/properties" xmlns:ns2="b2db6d00-a5ee-4c7a-84c8-0f258acc4987" xmlns:ns3="3dd18265-326c-4663-9a51-69c1b30ad054" targetNamespace="http://schemas.microsoft.com/office/2006/metadata/properties" ma:root="true" ma:fieldsID="e25455dc85b77cd132c080a35aa26ba8" ns2:_="" ns3:_="">
    <xsd:import namespace="b2db6d00-a5ee-4c7a-84c8-0f258acc4987"/>
    <xsd:import namespace="3dd18265-326c-4663-9a51-69c1b30ad0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b6d00-a5ee-4c7a-84c8-0f258acc4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d18265-326c-4663-9a51-69c1b30ad0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f641b67-ddd4-4a54-9d8e-e9e07d83d4ac}" ma:internalName="TaxCatchAll" ma:showField="CatchAllData" ma:web="3dd18265-326c-4663-9a51-69c1b30ad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dd18265-326c-4663-9a51-69c1b30ad054" xsi:nil="true"/>
    <lcf76f155ced4ddcb4097134ff3c332f xmlns="b2db6d00-a5ee-4c7a-84c8-0f258acc49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A0B310-1315-4ED3-8CF5-8F23817B7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b6d00-a5ee-4c7a-84c8-0f258acc4987"/>
    <ds:schemaRef ds:uri="3dd18265-326c-4663-9a51-69c1b30ad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D8309-69A1-4A39-8C5E-EB704FF6A3A3}">
  <ds:schemaRefs>
    <ds:schemaRef ds:uri="http://schemas.microsoft.com/sharepoint/v3/contenttype/forms"/>
  </ds:schemaRefs>
</ds:datastoreItem>
</file>

<file path=customXml/itemProps3.xml><?xml version="1.0" encoding="utf-8"?>
<ds:datastoreItem xmlns:ds="http://schemas.openxmlformats.org/officeDocument/2006/customXml" ds:itemID="{03971E57-0AF4-4CC1-87D0-21942EC51F72}">
  <ds:schemaRefs>
    <ds:schemaRef ds:uri="b2db6d00-a5ee-4c7a-84c8-0f258acc4987"/>
    <ds:schemaRef ds:uri="http://www.w3.org/XML/1998/namespace"/>
    <ds:schemaRef ds:uri="3dd18265-326c-4663-9a51-69c1b30ad054"/>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3770</Words>
  <Characters>22274</Characters>
  <Application>Microsoft Office Word</Application>
  <DocSecurity>0</DocSecurity>
  <Lines>685</Lines>
  <Paragraphs>103</Paragraphs>
  <ScaleCrop>false</ScaleCrop>
  <HeadingPairs>
    <vt:vector size="2" baseType="variant">
      <vt:variant>
        <vt:lpstr>Title</vt:lpstr>
      </vt:variant>
      <vt:variant>
        <vt:i4>1</vt:i4>
      </vt:variant>
    </vt:vector>
  </HeadingPairs>
  <TitlesOfParts>
    <vt:vector size="1" baseType="lpstr">
      <vt:lpstr>Medicare Benefits Schedule Review Advisory Committee – Member biographies</vt:lpstr>
    </vt:vector>
  </TitlesOfParts>
  <Company/>
  <LinksUpToDate>false</LinksUpToDate>
  <CharactersWithSpaces>25983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Advisory Committee – Member biographies</dc:title>
  <dc:subject>Member biographies</dc:subject>
  <dc:creator>Australian Government Department of Health, Disability and Ageing</dc:creator>
  <cp:keywords>Medicare; Health technologies and digital health; Medicare Benefits Schedule (MBS) Review Advisory Committee (MRAC)</cp:keywords>
  <dc:description/>
  <cp:revision>5</cp:revision>
  <dcterms:created xsi:type="dcterms:W3CDTF">2026-01-23T03:36:00Z</dcterms:created>
  <dcterms:modified xsi:type="dcterms:W3CDTF">2026-01-27T04:47:00Z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96f9202,8f8bb85,327740fc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5390f62c,2ecf94f2,34bff740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2025-12-15T03:12:58Z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399d81b6-1c48-457e-99ca-a9d898f1ab16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0x010100515BB68D7196E647A4AEBA7AB6226350</vt:lpwstr>
  </property>
  <property fmtid="{D5CDD505-2E9C-101B-9397-08002B2CF9AE}" pid="17" name="docLang">
    <vt:lpwstr>en</vt:lpwstr>
  </property>
  <property fmtid="{D5CDD505-2E9C-101B-9397-08002B2CF9AE}" pid="18" name="MediaServiceImageTags">
    <vt:lpwstr/>
  </property>
</Properties>
</file>