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B4226" w14:textId="3EC45A8C" w:rsidR="00C06C99" w:rsidRPr="002323EA" w:rsidRDefault="00C06C99" w:rsidP="00C06C99">
      <w:pPr>
        <w:pStyle w:val="Title"/>
      </w:pPr>
      <w:bookmarkStart w:id="0" w:name="_Hlk204071483"/>
      <w:bookmarkStart w:id="1" w:name="_Hlk114834776"/>
      <w:bookmarkStart w:id="2" w:name="_Hlk4568006"/>
      <w:bookmarkEnd w:id="0"/>
      <w:r w:rsidRPr="002323EA">
        <w:t>Medicare Benefits Schedule (MBS) Eating Disorders Fact</w:t>
      </w:r>
      <w:r w:rsidR="008750CB">
        <w:t xml:space="preserve"> </w:t>
      </w:r>
      <w:r w:rsidRPr="002323EA">
        <w:t>sheet for Health Practitioners</w:t>
      </w:r>
    </w:p>
    <w:p w14:paraId="5B246CB2" w14:textId="77777777" w:rsidR="00F41A07" w:rsidRPr="002323EA" w:rsidRDefault="00F41A07" w:rsidP="00263F3A">
      <w:pPr>
        <w:pStyle w:val="Heading1"/>
      </w:pPr>
      <w:r w:rsidRPr="002323EA">
        <w:t>Eating Disorders MBS items</w:t>
      </w:r>
    </w:p>
    <w:p w14:paraId="1F6ABF95" w14:textId="662263A5" w:rsidR="00F41A07" w:rsidRPr="00263F3A" w:rsidRDefault="00F41A07" w:rsidP="00263F3A">
      <w:r w:rsidRPr="00263F3A">
        <w:t>In 2019, the Australian Government introduced 64 new MBS items to support a model of best practice evidence-based care for patients</w:t>
      </w:r>
      <w:r w:rsidR="00CD4AA0" w:rsidRPr="00263F3A">
        <w:t xml:space="preserve"> </w:t>
      </w:r>
      <w:r w:rsidRPr="00263F3A">
        <w:t>with anorexia nervosa</w:t>
      </w:r>
      <w:r w:rsidR="00CD4AA0" w:rsidRPr="00263F3A">
        <w:t xml:space="preserve">, </w:t>
      </w:r>
      <w:r w:rsidR="00601D2A" w:rsidRPr="00263F3A">
        <w:t>bulimia nervosa, binge eating disorder (BED) or other specified feeding and eating disorders (OSFED) who also meet eligibility criteria</w:t>
      </w:r>
      <w:r w:rsidRPr="00263F3A">
        <w:t xml:space="preserve">. These items were established in response to the recommendations of the Medicare Benefits Schedule Review Taskforce. Telehealth items (which includes phone and video services) were also introduced during the COVID-19 pandemic. </w:t>
      </w:r>
    </w:p>
    <w:p w14:paraId="28C55F6D" w14:textId="178C271A" w:rsidR="00F41A07" w:rsidRPr="00263F3A" w:rsidRDefault="009D65FD" w:rsidP="00263F3A">
      <w:r w:rsidRPr="00263F3A">
        <w:t xml:space="preserve">Eligible patients </w:t>
      </w:r>
      <w:r w:rsidR="00133DEC" w:rsidRPr="00263F3A">
        <w:t>can</w:t>
      </w:r>
      <w:r w:rsidRPr="00263F3A">
        <w:t xml:space="preserve"> access the eating disorders MBS items through an Eating Disorder Treatment and Management Plan (EDTMP),</w:t>
      </w:r>
      <w:r w:rsidR="003F7440" w:rsidRPr="00263F3A">
        <w:t xml:space="preserve"> which provides Medicare benefits for up to </w:t>
      </w:r>
      <w:r w:rsidR="00F41A07" w:rsidRPr="00263F3A">
        <w:t xml:space="preserve">40 psychological and 20 dietetic services over a 12-month period. Eating disorder services under </w:t>
      </w:r>
      <w:r w:rsidR="003F7440" w:rsidRPr="00263F3A">
        <w:t xml:space="preserve">the EDTMP </w:t>
      </w:r>
      <w:r w:rsidR="00F41A07" w:rsidRPr="00263F3A">
        <w:t xml:space="preserve">are generally provided </w:t>
      </w:r>
      <w:r w:rsidR="00601D2A" w:rsidRPr="00263F3A">
        <w:t xml:space="preserve">based on the </w:t>
      </w:r>
      <w:r w:rsidR="00F779C2" w:rsidRPr="00263F3A">
        <w:t>patient’s</w:t>
      </w:r>
      <w:r w:rsidR="00601D2A" w:rsidRPr="00263F3A">
        <w:t xml:space="preserve"> </w:t>
      </w:r>
      <w:r w:rsidR="00F41A07" w:rsidRPr="00263F3A">
        <w:t xml:space="preserve">treatment </w:t>
      </w:r>
      <w:r w:rsidR="00601D2A" w:rsidRPr="00263F3A">
        <w:t xml:space="preserve">needs and the appropriate focus, setting and intensity of response based on </w:t>
      </w:r>
      <w:r w:rsidR="00F41A07" w:rsidRPr="00263F3A">
        <w:t>a stepped model of care</w:t>
      </w:r>
      <w:r w:rsidR="00601D2A" w:rsidRPr="00263F3A">
        <w:t xml:space="preserve"> (</w:t>
      </w:r>
      <w:hyperlink r:id="rId11" w:history="1">
        <w:r w:rsidR="00601D2A" w:rsidRPr="00263F3A">
          <w:rPr>
            <w:rStyle w:val="Hyperlink"/>
          </w:rPr>
          <w:t>nedc.com.au/national-strategy/system-of-car</w:t>
        </w:r>
      </w:hyperlink>
      <w:r w:rsidR="00EA6416" w:rsidRPr="00263F3A">
        <w:t>e</w:t>
      </w:r>
      <w:r w:rsidR="00601D2A" w:rsidRPr="00263F3A">
        <w:t>)</w:t>
      </w:r>
      <w:r w:rsidR="00F41A07" w:rsidRPr="00263F3A">
        <w:t xml:space="preserve">. </w:t>
      </w:r>
    </w:p>
    <w:p w14:paraId="36EA9836" w14:textId="585FF069" w:rsidR="00F41A07" w:rsidRPr="00D5694D" w:rsidRDefault="00E6474A" w:rsidP="00263F3A">
      <w:pPr>
        <w:pStyle w:val="Heading1"/>
      </w:pPr>
      <w:r>
        <w:t xml:space="preserve">Patient </w:t>
      </w:r>
      <w:r w:rsidR="00F41A07" w:rsidRPr="00D5694D">
        <w:t>Eligibility</w:t>
      </w:r>
    </w:p>
    <w:p w14:paraId="60DE319F" w14:textId="1E25E843" w:rsidR="00F41A07" w:rsidRPr="00263F3A" w:rsidRDefault="00F41A07" w:rsidP="00263F3A">
      <w:r w:rsidRPr="00263F3A">
        <w:t xml:space="preserve">A GP will generally be able to determine </w:t>
      </w:r>
      <w:r w:rsidR="003358D3" w:rsidRPr="00263F3A">
        <w:t xml:space="preserve">a </w:t>
      </w:r>
      <w:r w:rsidRPr="00263F3A">
        <w:t>patient’s eligibility for an EDTMP</w:t>
      </w:r>
      <w:r w:rsidR="00D6475C" w:rsidRPr="00263F3A">
        <w:t xml:space="preserve"> </w:t>
      </w:r>
      <w:r w:rsidR="00C72D05" w:rsidRPr="00263F3A">
        <w:t xml:space="preserve">based on the criteria outlined </w:t>
      </w:r>
      <w:r w:rsidR="00154221" w:rsidRPr="00263F3A">
        <w:t xml:space="preserve">in </w:t>
      </w:r>
      <w:hyperlink r:id="rId12" w:history="1">
        <w:r w:rsidR="00154221" w:rsidRPr="00263F3A">
          <w:rPr>
            <w:rStyle w:val="Hyperlink"/>
          </w:rPr>
          <w:t>MBS Online explanatory note AN.</w:t>
        </w:r>
        <w:r w:rsidR="00195F83" w:rsidRPr="00263F3A">
          <w:rPr>
            <w:rStyle w:val="Hyperlink"/>
          </w:rPr>
          <w:t>36.1</w:t>
        </w:r>
      </w:hyperlink>
      <w:r w:rsidR="00E6474A" w:rsidRPr="00263F3A">
        <w:t>,</w:t>
      </w:r>
      <w:r w:rsidR="00D6475C" w:rsidRPr="00263F3A">
        <w:t xml:space="preserve"> and develop a </w:t>
      </w:r>
      <w:r w:rsidR="00E6474A" w:rsidRPr="00263F3A">
        <w:t>plan according to the patient’s specific needs and circumstances.</w:t>
      </w:r>
      <w:r w:rsidRPr="00263F3A">
        <w:t xml:space="preserve"> However, if a second consultation is needed, the GP may </w:t>
      </w:r>
      <w:r w:rsidR="007C0E5C" w:rsidRPr="00263F3A">
        <w:t>give a referral</w:t>
      </w:r>
      <w:r w:rsidRPr="00263F3A">
        <w:t xml:space="preserve"> to a consultant psychiatrist or paediatrician for assessment, as well as for the development and management of an EDTMP.</w:t>
      </w:r>
    </w:p>
    <w:p w14:paraId="4A76AC1F" w14:textId="77777777" w:rsidR="00D6712C" w:rsidRPr="00263F3A" w:rsidRDefault="00D6712C" w:rsidP="00263F3A">
      <w:r w:rsidRPr="00263F3A">
        <w:t>The health professional developing the plan must ensure that the patient is eligible, and the plan is valid for the patient to receive a benefit for psychological and dietetic services. It is best practice for the practitioner to perform a comprehensive physical assessment to facilitate ongoing patient management and monitoring of medical and nutritional status.</w:t>
      </w:r>
    </w:p>
    <w:p w14:paraId="47229114" w14:textId="77777777" w:rsidR="00F41A07" w:rsidRPr="00263F3A" w:rsidRDefault="00F41A07" w:rsidP="00263F3A">
      <w:pPr>
        <w:pStyle w:val="Heading1"/>
      </w:pPr>
      <w:r w:rsidRPr="00D5694D">
        <w:t xml:space="preserve">Referral </w:t>
      </w:r>
      <w:r>
        <w:t>and review process</w:t>
      </w:r>
    </w:p>
    <w:p w14:paraId="142490D3" w14:textId="2F4C08BD" w:rsidR="00F41A07" w:rsidRPr="00263F3A" w:rsidRDefault="007C0E5C" w:rsidP="00263F3A">
      <w:r w:rsidRPr="00263F3A">
        <w:t>A</w:t>
      </w:r>
      <w:r w:rsidR="00F41A07" w:rsidRPr="00263F3A">
        <w:t xml:space="preserve"> current EDTMP and a valid referral </w:t>
      </w:r>
      <w:r w:rsidRPr="00263F3A">
        <w:t xml:space="preserve">are required </w:t>
      </w:r>
      <w:r w:rsidR="00F41A07" w:rsidRPr="00263F3A">
        <w:t xml:space="preserve">to claim an MBS benefit for an eating disorder </w:t>
      </w:r>
      <w:r w:rsidR="003F6B24" w:rsidRPr="00263F3A">
        <w:t>mental health or diete</w:t>
      </w:r>
      <w:r w:rsidR="007B10B0" w:rsidRPr="00263F3A">
        <w:t xml:space="preserve">tic </w:t>
      </w:r>
      <w:r w:rsidR="00F41A07" w:rsidRPr="00263F3A">
        <w:t xml:space="preserve">service. There is no standard referral template; however, all referrals must be signed and dated by the referring practitioner. For details on the required information, please consult </w:t>
      </w:r>
      <w:hyperlink r:id="rId13" w:history="1">
        <w:r w:rsidR="00F41A07" w:rsidRPr="00263F3A">
          <w:rPr>
            <w:rStyle w:val="Hyperlink"/>
          </w:rPr>
          <w:t>MBS Online</w:t>
        </w:r>
      </w:hyperlink>
    </w:p>
    <w:p w14:paraId="4CB26E8E" w14:textId="3B17133C" w:rsidR="00E33FDD" w:rsidRPr="00263F3A" w:rsidRDefault="00F41A07" w:rsidP="00263F3A">
      <w:r w:rsidRPr="00263F3A">
        <w:t xml:space="preserve">Once an EDTMP </w:t>
      </w:r>
      <w:r w:rsidR="00F97C4B" w:rsidRPr="00263F3A">
        <w:t>i</w:t>
      </w:r>
      <w:r w:rsidRPr="00263F3A">
        <w:t xml:space="preserve">s in place, the 12-month period </w:t>
      </w:r>
      <w:proofErr w:type="gramStart"/>
      <w:r w:rsidRPr="00263F3A">
        <w:t>commences</w:t>
      </w:r>
      <w:proofErr w:type="gramEnd"/>
      <w:r w:rsidRPr="00263F3A">
        <w:t xml:space="preserve"> and the patient is eligible for an initial course of treatment </w:t>
      </w:r>
      <w:r w:rsidR="005E27E0" w:rsidRPr="00263F3A">
        <w:t>of up to</w:t>
      </w:r>
      <w:r w:rsidRPr="00263F3A">
        <w:t xml:space="preserve"> 10 eating disorder psychological treatment services. </w:t>
      </w:r>
      <w:r w:rsidR="005910E2" w:rsidRPr="00263F3A">
        <w:t xml:space="preserve">The patient will also be able to access 20 dietetic services as part of the initial course of treatment. </w:t>
      </w:r>
    </w:p>
    <w:p w14:paraId="28AE6569" w14:textId="05E86A46" w:rsidR="005E34E0" w:rsidRPr="00263F3A" w:rsidRDefault="005E34E0" w:rsidP="00263F3A">
      <w:r w:rsidRPr="00263F3A">
        <w:lastRenderedPageBreak/>
        <w:t>On the completion of each 10 sessions under the EDTMP, the treating health professional must provide a written report to the referring medical practitioner. The written report must include information on:</w:t>
      </w:r>
    </w:p>
    <w:p w14:paraId="457532E7" w14:textId="77777777" w:rsidR="005E34E0" w:rsidRPr="007F5EED" w:rsidRDefault="005E34E0" w:rsidP="00806FE7">
      <w:pPr>
        <w:pStyle w:val="ListBullet"/>
      </w:pPr>
      <w:r w:rsidRPr="007F5EED">
        <w:t xml:space="preserve">Any assessments carried out on the </w:t>
      </w:r>
      <w:proofErr w:type="gramStart"/>
      <w:r w:rsidRPr="007F5EED">
        <w:t>patient;</w:t>
      </w:r>
      <w:proofErr w:type="gramEnd"/>
    </w:p>
    <w:p w14:paraId="3C2EA5E1" w14:textId="77777777" w:rsidR="005E34E0" w:rsidRPr="007F5EED" w:rsidRDefault="005E34E0" w:rsidP="00806FE7">
      <w:pPr>
        <w:pStyle w:val="ListBullet"/>
      </w:pPr>
      <w:r w:rsidRPr="007F5EED">
        <w:t>Any treatment provided; and</w:t>
      </w:r>
    </w:p>
    <w:p w14:paraId="649E7A09" w14:textId="77777777" w:rsidR="005E34E0" w:rsidRPr="007F5EED" w:rsidRDefault="005E34E0" w:rsidP="00806FE7">
      <w:pPr>
        <w:pStyle w:val="ListBullet"/>
      </w:pPr>
      <w:r w:rsidRPr="007F5EED">
        <w:t>Recommendations on future management of the patient’s disorder.</w:t>
      </w:r>
    </w:p>
    <w:p w14:paraId="59D498FC" w14:textId="7E4F5138" w:rsidR="00F41A07" w:rsidRPr="00263F3A" w:rsidRDefault="005E34E0" w:rsidP="00263F3A">
      <w:r w:rsidRPr="00263F3A">
        <w:t xml:space="preserve">The </w:t>
      </w:r>
      <w:r w:rsidR="00F41A07" w:rsidRPr="00263F3A">
        <w:t xml:space="preserve">referring practitioner </w:t>
      </w:r>
      <w:r w:rsidRPr="00263F3A">
        <w:t>will then conduct a review to</w:t>
      </w:r>
      <w:r w:rsidR="00F41A07" w:rsidRPr="00263F3A">
        <w:t xml:space="preserve"> assess the patient’s need for further services. The patient will need this review to access the next 10 psychological </w:t>
      </w:r>
      <w:r w:rsidR="00572017" w:rsidRPr="00263F3A">
        <w:t xml:space="preserve">services </w:t>
      </w:r>
      <w:r w:rsidR="00F41A07" w:rsidRPr="00263F3A">
        <w:t>on the EDTMP. For the 20-</w:t>
      </w:r>
      <w:r w:rsidR="00572017" w:rsidRPr="00263F3A">
        <w:t xml:space="preserve">service </w:t>
      </w:r>
      <w:r w:rsidR="00F41A07" w:rsidRPr="00263F3A">
        <w:t xml:space="preserve">review, the patient will require a formal specialist (psychiatrist or paediatrician) </w:t>
      </w:r>
      <w:r w:rsidRPr="00263F3A">
        <w:t xml:space="preserve">review in addition to the </w:t>
      </w:r>
      <w:r w:rsidR="00F41A07" w:rsidRPr="00263F3A">
        <w:t xml:space="preserve">GP review to gain access to the next 10 psychological </w:t>
      </w:r>
      <w:r w:rsidR="00572017" w:rsidRPr="00263F3A">
        <w:t xml:space="preserve">services </w:t>
      </w:r>
      <w:r w:rsidR="00F41A07" w:rsidRPr="00263F3A">
        <w:t xml:space="preserve">on the EDTMP. For a visual flowchart on the EDTMP please see </w:t>
      </w:r>
      <w:hyperlink w:anchor="_Attachment_A_–" w:history="1">
        <w:r w:rsidR="00F41A07" w:rsidRPr="006068BB">
          <w:rPr>
            <w:rStyle w:val="Hyperlink"/>
          </w:rPr>
          <w:t>Attachment A</w:t>
        </w:r>
      </w:hyperlink>
      <w:r w:rsidR="00F41A07" w:rsidRPr="00263F3A">
        <w:t xml:space="preserve">. </w:t>
      </w:r>
    </w:p>
    <w:p w14:paraId="4BFDED70" w14:textId="265BE8E2" w:rsidR="00F41A07" w:rsidRPr="00263F3A" w:rsidRDefault="00F41A07" w:rsidP="00263F3A">
      <w:r w:rsidRPr="00263F3A">
        <w:t xml:space="preserve">For all eating disorder patients an EDTMP expires </w:t>
      </w:r>
      <w:r w:rsidR="0092614A" w:rsidRPr="00263F3A">
        <w:t>12 months from the date of issue</w:t>
      </w:r>
      <w:r w:rsidRPr="00263F3A">
        <w:t>. After the initial 12-month period, a patient will require a new EDTMP to continue accessing eating disorder services.</w:t>
      </w:r>
    </w:p>
    <w:p w14:paraId="678ABF1F" w14:textId="77777777" w:rsidR="00F41A07" w:rsidRPr="00263F3A" w:rsidRDefault="00F41A07" w:rsidP="00263F3A">
      <w:r w:rsidRPr="00263F3A">
        <w:t xml:space="preserve">A patient’s family and/or carers should be involved in treatment planning and reviews where appropriate. The family can be involved in care options throughout the diagnosis and assessment and are often the support unit that helps to bridge the gap between initial diagnosis and eating disorder specific treatment. </w:t>
      </w:r>
    </w:p>
    <w:p w14:paraId="4F5EEDD6" w14:textId="77777777" w:rsidR="008B4F07" w:rsidRPr="002323EA" w:rsidRDefault="008B4F07" w:rsidP="00263F3A">
      <w:pPr>
        <w:pStyle w:val="Heading1"/>
      </w:pPr>
      <w:r w:rsidRPr="002323EA">
        <w:t>Eating Disorder Treatment Options</w:t>
      </w:r>
    </w:p>
    <w:p w14:paraId="07D71B37" w14:textId="77777777" w:rsidR="008B4F07" w:rsidRPr="00263F3A" w:rsidRDefault="008B4F07" w:rsidP="00263F3A">
      <w:r w:rsidRPr="00263F3A">
        <w:t>The following eating disorder treatment options are eligible under an EDTMP:</w:t>
      </w:r>
    </w:p>
    <w:p w14:paraId="623BB2BE" w14:textId="77777777" w:rsidR="008B4F07" w:rsidRPr="007F5EED" w:rsidRDefault="008B4F07" w:rsidP="00806FE7">
      <w:pPr>
        <w:pStyle w:val="ListBullet"/>
      </w:pPr>
      <w:r w:rsidRPr="007F5EED">
        <w:t>Family-based treatment for eating disorders</w:t>
      </w:r>
    </w:p>
    <w:p w14:paraId="274511D8" w14:textId="77777777" w:rsidR="008B4F07" w:rsidRPr="007F5EED" w:rsidRDefault="008B4F07" w:rsidP="00806FE7">
      <w:pPr>
        <w:pStyle w:val="ListBullet"/>
      </w:pPr>
      <w:r>
        <w:t>Adolescent-focused therapy for eating disorders</w:t>
      </w:r>
    </w:p>
    <w:p w14:paraId="1FCA57BF" w14:textId="77777777" w:rsidR="008B4F07" w:rsidRPr="007F5EED" w:rsidRDefault="008B4F07" w:rsidP="00806FE7">
      <w:pPr>
        <w:pStyle w:val="ListBullet"/>
      </w:pPr>
      <w:r w:rsidRPr="007F5EED">
        <w:t>Cognitive behavioural therapy for eating disorders</w:t>
      </w:r>
    </w:p>
    <w:p w14:paraId="309510C8" w14:textId="77777777" w:rsidR="008B4F07" w:rsidRPr="007F5EED" w:rsidRDefault="008B4F07" w:rsidP="00806FE7">
      <w:pPr>
        <w:pStyle w:val="ListBullet"/>
      </w:pPr>
      <w:r w:rsidRPr="007F5EED">
        <w:t>Specialist supportive clinical management for eating disorders</w:t>
      </w:r>
    </w:p>
    <w:p w14:paraId="61B18CB0" w14:textId="77777777" w:rsidR="008B4F07" w:rsidRPr="007F5EED" w:rsidRDefault="008B4F07" w:rsidP="00806FE7">
      <w:pPr>
        <w:pStyle w:val="ListBullet"/>
      </w:pPr>
      <w:r w:rsidRPr="007F5EED">
        <w:t>Maudsley Model of Anorexia Treatment in adults</w:t>
      </w:r>
    </w:p>
    <w:p w14:paraId="736F3971" w14:textId="77777777" w:rsidR="008B4F07" w:rsidRPr="000B6313" w:rsidRDefault="008B4F07" w:rsidP="00806FE7">
      <w:pPr>
        <w:pStyle w:val="ListBullet"/>
      </w:pPr>
      <w:r w:rsidRPr="007F5EED">
        <w:t>Interpersonal therapy for bulimia nervosa and binge eating disorder</w:t>
      </w:r>
    </w:p>
    <w:p w14:paraId="0CFB8769" w14:textId="77777777" w:rsidR="008B4F07" w:rsidRDefault="008B4F07" w:rsidP="00806FE7">
      <w:pPr>
        <w:pStyle w:val="ListBullet"/>
      </w:pPr>
      <w:r w:rsidRPr="000B6313">
        <w:t xml:space="preserve">Dialectical </w:t>
      </w:r>
      <w:r>
        <w:t>b</w:t>
      </w:r>
      <w:r w:rsidRPr="000B6313">
        <w:t xml:space="preserve">ehavioural </w:t>
      </w:r>
      <w:r>
        <w:t>t</w:t>
      </w:r>
      <w:r w:rsidRPr="000B6313">
        <w:t xml:space="preserve">herapy </w:t>
      </w:r>
      <w:r>
        <w:t>for bulimia nervosa and binge-eating disorder</w:t>
      </w:r>
    </w:p>
    <w:p w14:paraId="2886753A" w14:textId="77777777" w:rsidR="008B4F07" w:rsidRPr="007F5EED" w:rsidRDefault="008B4F07" w:rsidP="00806FE7">
      <w:pPr>
        <w:pStyle w:val="ListBullet"/>
      </w:pPr>
      <w:r>
        <w:t>Focal psychodynamic therapy for eating disorders.</w:t>
      </w:r>
    </w:p>
    <w:p w14:paraId="4A60AD68" w14:textId="2B26C45C" w:rsidR="00133DEC" w:rsidRPr="00F531A9" w:rsidRDefault="00BE213F" w:rsidP="00F531A9">
      <w:r w:rsidRPr="00F531A9">
        <w:t xml:space="preserve">Further information available at </w:t>
      </w:r>
      <w:hyperlink r:id="rId14" w:history="1">
        <w:r w:rsidRPr="00F531A9">
          <w:rPr>
            <w:rStyle w:val="Hyperlink"/>
          </w:rPr>
          <w:t>https://nedc.com.au/eating-disorders/treatment-and-recovery/treatment-approaches</w:t>
        </w:r>
      </w:hyperlink>
      <w:r w:rsidRPr="00F531A9">
        <w:t>.</w:t>
      </w:r>
    </w:p>
    <w:p w14:paraId="0947D3D1" w14:textId="77777777" w:rsidR="00133DEC" w:rsidRPr="00F531A9" w:rsidRDefault="00133DEC" w:rsidP="00F531A9">
      <w:r w:rsidRPr="00F531A9">
        <w:br w:type="page"/>
      </w:r>
    </w:p>
    <w:p w14:paraId="498DB050" w14:textId="2BE01552" w:rsidR="00F41A07" w:rsidRPr="002323EA" w:rsidRDefault="008B4F07" w:rsidP="00263F3A">
      <w:pPr>
        <w:pStyle w:val="Heading1"/>
      </w:pPr>
      <w:r>
        <w:t>Overview of MBS Items</w:t>
      </w:r>
    </w:p>
    <w:tbl>
      <w:tblPr>
        <w:tblStyle w:val="TableGrid"/>
        <w:tblW w:w="0" w:type="auto"/>
        <w:tblLook w:val="04A0" w:firstRow="1" w:lastRow="0" w:firstColumn="1" w:lastColumn="0" w:noHBand="0" w:noVBand="1"/>
      </w:tblPr>
      <w:tblGrid>
        <w:gridCol w:w="2222"/>
        <w:gridCol w:w="4436"/>
        <w:gridCol w:w="2358"/>
      </w:tblGrid>
      <w:tr w:rsidR="00E00D30" w:rsidRPr="00676913" w14:paraId="0961F2F4" w14:textId="7AB0EF76" w:rsidTr="000D3B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B1C879" w14:textId="77777777" w:rsidR="008B4F07" w:rsidRPr="00263F3A" w:rsidRDefault="008B4F07" w:rsidP="000D3B8F">
            <w:r w:rsidRPr="00263F3A">
              <w:t>Service</w:t>
            </w:r>
          </w:p>
        </w:tc>
        <w:tc>
          <w:tcPr>
            <w:tcW w:w="4436" w:type="dxa"/>
          </w:tcPr>
          <w:p w14:paraId="4E64BAE0" w14:textId="77777777" w:rsidR="008B4F07" w:rsidRPr="000D3B8F" w:rsidRDefault="008B4F07" w:rsidP="000D3B8F">
            <w:pPr>
              <w:cnfStyle w:val="100000000000" w:firstRow="1" w:lastRow="0" w:firstColumn="0" w:lastColumn="0" w:oddVBand="0" w:evenVBand="0" w:oddHBand="0" w:evenHBand="0" w:firstRowFirstColumn="0" w:firstRowLastColumn="0" w:lastRowFirstColumn="0" w:lastRowLastColumn="0"/>
            </w:pPr>
            <w:r w:rsidRPr="000D3B8F">
              <w:t>Eligible practitioner</w:t>
            </w:r>
          </w:p>
        </w:tc>
        <w:tc>
          <w:tcPr>
            <w:tcW w:w="2358" w:type="dxa"/>
          </w:tcPr>
          <w:p w14:paraId="70DF8D02" w14:textId="0D233B8D" w:rsidR="008B4F07" w:rsidRPr="000D3B8F" w:rsidRDefault="00094863" w:rsidP="000D3B8F">
            <w:pPr>
              <w:cnfStyle w:val="100000000000" w:firstRow="1" w:lastRow="0" w:firstColumn="0" w:lastColumn="0" w:oddVBand="0" w:evenVBand="0" w:oddHBand="0" w:evenHBand="0" w:firstRowFirstColumn="0" w:firstRowLastColumn="0" w:lastRowFirstColumn="0" w:lastRowLastColumn="0"/>
            </w:pPr>
            <w:r w:rsidRPr="000D3B8F">
              <w:t>MBS items</w:t>
            </w:r>
          </w:p>
        </w:tc>
      </w:tr>
      <w:tr w:rsidR="00511F86" w:rsidRPr="00676913" w14:paraId="37999D75" w14:textId="04CDDD52" w:rsidTr="000D3B8F">
        <w:tc>
          <w:tcPr>
            <w:cnfStyle w:val="001000000000" w:firstRow="0" w:lastRow="0" w:firstColumn="1" w:lastColumn="0" w:oddVBand="0" w:evenVBand="0" w:oddHBand="0" w:evenHBand="0" w:firstRowFirstColumn="0" w:firstRowLastColumn="0" w:lastRowFirstColumn="0" w:lastRowLastColumn="0"/>
            <w:tcW w:w="0" w:type="auto"/>
          </w:tcPr>
          <w:p w14:paraId="0DB22A60" w14:textId="77777777" w:rsidR="00094863" w:rsidRPr="006068BB" w:rsidRDefault="00094863" w:rsidP="006068BB">
            <w:r w:rsidRPr="006068BB">
              <w:t>Initial Assessment and Preparation of a Plan</w:t>
            </w:r>
          </w:p>
        </w:tc>
        <w:tc>
          <w:tcPr>
            <w:tcW w:w="4436" w:type="dxa"/>
          </w:tcPr>
          <w:p w14:paraId="07104D0A" w14:textId="77777777" w:rsidR="00094863" w:rsidRPr="00806FE7" w:rsidRDefault="00094863" w:rsidP="000B3AFA">
            <w:pPr>
              <w:pStyle w:val="TableText"/>
              <w:cnfStyle w:val="000000000000" w:firstRow="0" w:lastRow="0" w:firstColumn="0" w:lastColumn="0" w:oddVBand="0" w:evenVBand="0" w:oddHBand="0" w:evenHBand="0" w:firstRowFirstColumn="0" w:firstRowLastColumn="0" w:lastRowFirstColumn="0" w:lastRowLastColumn="0"/>
            </w:pPr>
            <w:r w:rsidRPr="00806FE7">
              <w:t>GPs</w:t>
            </w:r>
          </w:p>
          <w:p w14:paraId="176839E6" w14:textId="77777777" w:rsidR="00094863" w:rsidRPr="00806FE7" w:rsidRDefault="00094863" w:rsidP="000B3AFA">
            <w:pPr>
              <w:pStyle w:val="TableText"/>
              <w:cnfStyle w:val="000000000000" w:firstRow="0" w:lastRow="0" w:firstColumn="0" w:lastColumn="0" w:oddVBand="0" w:evenVBand="0" w:oddHBand="0" w:evenHBand="0" w:firstRowFirstColumn="0" w:firstRowLastColumn="0" w:lastRowFirstColumn="0" w:lastRowLastColumn="0"/>
            </w:pPr>
            <w:r w:rsidRPr="00806FE7">
              <w:t>Prescribed medical practitioners</w:t>
            </w:r>
          </w:p>
          <w:p w14:paraId="1481E80D" w14:textId="4E9EB5A4" w:rsidR="00094863" w:rsidRPr="00806FE7" w:rsidRDefault="00094863" w:rsidP="000B3AFA">
            <w:pPr>
              <w:pStyle w:val="TableText"/>
              <w:cnfStyle w:val="000000000000" w:firstRow="0" w:lastRow="0" w:firstColumn="0" w:lastColumn="0" w:oddVBand="0" w:evenVBand="0" w:oddHBand="0" w:evenHBand="0" w:firstRowFirstColumn="0" w:firstRowLastColumn="0" w:lastRowFirstColumn="0" w:lastRowLastColumn="0"/>
            </w:pPr>
            <w:r w:rsidRPr="00806FE7">
              <w:t>Consultant psychiatrists (with GP referral)</w:t>
            </w:r>
          </w:p>
          <w:p w14:paraId="56AFF6BD" w14:textId="39AB4007" w:rsidR="00094863" w:rsidRPr="0018050D" w:rsidRDefault="00094863" w:rsidP="000B3AFA">
            <w:pPr>
              <w:pStyle w:val="TableText"/>
              <w:cnfStyle w:val="000000000000" w:firstRow="0" w:lastRow="0" w:firstColumn="0" w:lastColumn="0" w:oddVBand="0" w:evenVBand="0" w:oddHBand="0" w:evenHBand="0" w:firstRowFirstColumn="0" w:firstRowLastColumn="0" w:lastRowFirstColumn="0" w:lastRowLastColumn="0"/>
            </w:pPr>
            <w:r w:rsidRPr="00806FE7">
              <w:t>Consultant paediatricians (with GP referral)</w:t>
            </w:r>
          </w:p>
        </w:tc>
        <w:tc>
          <w:tcPr>
            <w:tcW w:w="2358" w:type="dxa"/>
          </w:tcPr>
          <w:p w14:paraId="542B7E32" w14:textId="5711146A" w:rsidR="00094863" w:rsidRPr="0018050D" w:rsidRDefault="00094863" w:rsidP="000B3AFA">
            <w:pPr>
              <w:pStyle w:val="TableText"/>
              <w:cnfStyle w:val="000000000000" w:firstRow="0" w:lastRow="0" w:firstColumn="0" w:lastColumn="0" w:oddVBand="0" w:evenVBand="0" w:oddHBand="0" w:evenHBand="0" w:firstRowFirstColumn="0" w:firstRowLastColumn="0" w:lastRowFirstColumn="0" w:lastRowLastColumn="0"/>
            </w:pPr>
            <w:r w:rsidRPr="0018050D">
              <w:t>Face</w:t>
            </w:r>
            <w:r w:rsidR="007F66B4" w:rsidRPr="0018050D">
              <w:t>-to-face</w:t>
            </w:r>
          </w:p>
          <w:p w14:paraId="5EFCBA53" w14:textId="77777777" w:rsidR="00094863" w:rsidRPr="00806FE7" w:rsidRDefault="00094863" w:rsidP="000B3AFA">
            <w:pPr>
              <w:pStyle w:val="TableText"/>
              <w:cnfStyle w:val="000000000000" w:firstRow="0" w:lastRow="0" w:firstColumn="0" w:lastColumn="0" w:oddVBand="0" w:evenVBand="0" w:oddHBand="0" w:evenHBand="0" w:firstRowFirstColumn="0" w:firstRowLastColumn="0" w:lastRowFirstColumn="0" w:lastRowLastColumn="0"/>
            </w:pPr>
            <w:r w:rsidRPr="00806FE7">
              <w:t>10 items (</w:t>
            </w:r>
            <w:r w:rsidRPr="000B3AFA">
              <w:rPr>
                <w:rStyle w:val="Strong"/>
              </w:rPr>
              <w:t>90250-90257</w:t>
            </w:r>
            <w:r w:rsidRPr="00806FE7">
              <w:t xml:space="preserve"> and </w:t>
            </w:r>
            <w:r w:rsidRPr="000B3AFA">
              <w:rPr>
                <w:rStyle w:val="Strong"/>
              </w:rPr>
              <w:t>90260-90261</w:t>
            </w:r>
            <w:r w:rsidRPr="00806FE7">
              <w:t>)</w:t>
            </w:r>
          </w:p>
          <w:p w14:paraId="1DFAA56E" w14:textId="77777777" w:rsidR="00094863" w:rsidRPr="0018050D" w:rsidRDefault="00465D62" w:rsidP="000B3AFA">
            <w:pPr>
              <w:pStyle w:val="TableText"/>
              <w:cnfStyle w:val="000000000000" w:firstRow="0" w:lastRow="0" w:firstColumn="0" w:lastColumn="0" w:oddVBand="0" w:evenVBand="0" w:oddHBand="0" w:evenHBand="0" w:firstRowFirstColumn="0" w:firstRowLastColumn="0" w:lastRowFirstColumn="0" w:lastRowLastColumn="0"/>
            </w:pPr>
            <w:r w:rsidRPr="0018050D">
              <w:t>Video</w:t>
            </w:r>
          </w:p>
          <w:p w14:paraId="68B04B5C" w14:textId="0003BCAA" w:rsidR="00465D62" w:rsidRPr="0018050D" w:rsidRDefault="00465D62" w:rsidP="000B3AFA">
            <w:pPr>
              <w:pStyle w:val="TableText"/>
              <w:cnfStyle w:val="000000000000" w:firstRow="0" w:lastRow="0" w:firstColumn="0" w:lastColumn="0" w:oddVBand="0" w:evenVBand="0" w:oddHBand="0" w:evenHBand="0" w:firstRowFirstColumn="0" w:firstRowLastColumn="0" w:lastRowFirstColumn="0" w:lastRowLastColumn="0"/>
            </w:pPr>
            <w:r w:rsidRPr="00806FE7">
              <w:t>10 items (</w:t>
            </w:r>
            <w:r w:rsidRPr="000B3AFA">
              <w:rPr>
                <w:rStyle w:val="Strong"/>
              </w:rPr>
              <w:t xml:space="preserve">92146-92153 </w:t>
            </w:r>
            <w:r w:rsidRPr="00806FE7">
              <w:t xml:space="preserve">and </w:t>
            </w:r>
            <w:r w:rsidRPr="000B3AFA">
              <w:rPr>
                <w:rStyle w:val="Strong"/>
              </w:rPr>
              <w:t>92162-92163</w:t>
            </w:r>
            <w:r w:rsidRPr="00806FE7">
              <w:t>)</w:t>
            </w:r>
          </w:p>
        </w:tc>
      </w:tr>
      <w:tr w:rsidR="00E00D30" w:rsidRPr="00676913" w14:paraId="75C0488E" w14:textId="12D508B8" w:rsidTr="000D3B8F">
        <w:tc>
          <w:tcPr>
            <w:cnfStyle w:val="001000000000" w:firstRow="0" w:lastRow="0" w:firstColumn="1" w:lastColumn="0" w:oddVBand="0" w:evenVBand="0" w:oddHBand="0" w:evenHBand="0" w:firstRowFirstColumn="0" w:firstRowLastColumn="0" w:lastRowFirstColumn="0" w:lastRowLastColumn="0"/>
            <w:tcW w:w="0" w:type="auto"/>
          </w:tcPr>
          <w:p w14:paraId="57D2E96B" w14:textId="79C41226" w:rsidR="00B61927" w:rsidRPr="006068BB" w:rsidRDefault="00094863" w:rsidP="006068BB">
            <w:r w:rsidRPr="006068BB">
              <w:t xml:space="preserve">Provision of psychological </w:t>
            </w:r>
            <w:r w:rsidR="00B61927" w:rsidRPr="006068BB">
              <w:t>services</w:t>
            </w:r>
          </w:p>
          <w:p w14:paraId="1B3A6174" w14:textId="7B649714" w:rsidR="00B61927" w:rsidRPr="006068BB" w:rsidRDefault="00B61927" w:rsidP="006068BB">
            <w:r w:rsidRPr="006068BB">
              <w:t>(GPs, prescribed medical practitioners, psychiatrists and paediatricians)</w:t>
            </w:r>
          </w:p>
        </w:tc>
        <w:tc>
          <w:tcPr>
            <w:tcW w:w="4436" w:type="dxa"/>
          </w:tcPr>
          <w:p w14:paraId="57D66E4C" w14:textId="55A421B2" w:rsidR="00F23086" w:rsidRPr="00806FE7" w:rsidRDefault="00F23086"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GPs and prescribed medical practitioners who are eligible under the Services Australia Register to deliver mental health focussed psychological strategies</w:t>
            </w:r>
            <w:r w:rsidR="006E089F" w:rsidRPr="00806FE7">
              <w:t>, and meet the training and skills requirements as determined by the General Practice Mental Health Standards Collaboration</w:t>
            </w:r>
            <w:r w:rsidRPr="00806FE7">
              <w:t>.</w:t>
            </w:r>
          </w:p>
          <w:p w14:paraId="010AF943" w14:textId="33D0882B" w:rsidR="00B61927" w:rsidRPr="00806FE7" w:rsidRDefault="00B61927"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Consultant psychiatrists</w:t>
            </w:r>
          </w:p>
          <w:p w14:paraId="6C904552" w14:textId="1A56C216" w:rsidR="00094863" w:rsidRPr="00676913" w:rsidRDefault="00B61927" w:rsidP="00806FE7">
            <w:pPr>
              <w:pStyle w:val="Tablelistbullet"/>
              <w:cnfStyle w:val="000000000000" w:firstRow="0" w:lastRow="0" w:firstColumn="0" w:lastColumn="0" w:oddVBand="0" w:evenVBand="0" w:oddHBand="0" w:evenHBand="0" w:firstRowFirstColumn="0" w:firstRowLastColumn="0" w:lastRowFirstColumn="0" w:lastRowLastColumn="0"/>
              <w:rPr>
                <w:i/>
                <w:iCs/>
                <w:shd w:val="clear" w:color="auto" w:fill="FFFFFF"/>
              </w:rPr>
            </w:pPr>
            <w:r w:rsidRPr="00806FE7">
              <w:t>Consultant paediatricians</w:t>
            </w:r>
          </w:p>
        </w:tc>
        <w:tc>
          <w:tcPr>
            <w:tcW w:w="2358" w:type="dxa"/>
          </w:tcPr>
          <w:p w14:paraId="64A2361A"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Face-to-face</w:t>
            </w:r>
          </w:p>
          <w:p w14:paraId="3E0274F6" w14:textId="0DE88D12" w:rsidR="00B61927" w:rsidRPr="00676913" w:rsidRDefault="00B61927" w:rsidP="00353BFC">
            <w:pPr>
              <w:pStyle w:val="TableText"/>
              <w:cnfStyle w:val="000000000000" w:firstRow="0" w:lastRow="0" w:firstColumn="0" w:lastColumn="0" w:oddVBand="0" w:evenVBand="0" w:oddHBand="0" w:evenHBand="0" w:firstRowFirstColumn="0" w:firstRowLastColumn="0" w:lastRowFirstColumn="0" w:lastRowLastColumn="0"/>
            </w:pPr>
            <w:r w:rsidRPr="00676913">
              <w:t>8 items (</w:t>
            </w:r>
            <w:r w:rsidRPr="000B3AFA">
              <w:rPr>
                <w:rStyle w:val="Strong"/>
              </w:rPr>
              <w:t>90271-90278</w:t>
            </w:r>
            <w:r w:rsidRPr="00676913">
              <w:t>)</w:t>
            </w:r>
          </w:p>
          <w:p w14:paraId="7F4DE252"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 xml:space="preserve">Telephone </w:t>
            </w:r>
          </w:p>
          <w:p w14:paraId="69F065A3" w14:textId="2EE42E2A" w:rsidR="00B61927" w:rsidRPr="000B3AFA" w:rsidRDefault="00676913" w:rsidP="00353BFC">
            <w:pPr>
              <w:pStyle w:val="TableText"/>
              <w:cnfStyle w:val="000000000000" w:firstRow="0" w:lastRow="0" w:firstColumn="0" w:lastColumn="0" w:oddVBand="0" w:evenVBand="0" w:oddHBand="0" w:evenHBand="0" w:firstRowFirstColumn="0" w:firstRowLastColumn="0" w:lastRowFirstColumn="0" w:lastRowLastColumn="0"/>
              <w:rPr>
                <w:rStyle w:val="Strong"/>
              </w:rPr>
            </w:pPr>
            <w:r w:rsidRPr="00676913">
              <w:t>4</w:t>
            </w:r>
            <w:r w:rsidR="00B61927" w:rsidRPr="00676913">
              <w:t xml:space="preserve"> items (</w:t>
            </w:r>
            <w:r w:rsidRPr="000B3AFA">
              <w:rPr>
                <w:rStyle w:val="Strong"/>
              </w:rPr>
              <w:t xml:space="preserve">92194, 92196, 92198, </w:t>
            </w:r>
            <w:r w:rsidRPr="0018050D">
              <w:t xml:space="preserve">and </w:t>
            </w:r>
            <w:r w:rsidRPr="000B3AFA">
              <w:rPr>
                <w:rStyle w:val="Strong"/>
              </w:rPr>
              <w:t>92200</w:t>
            </w:r>
            <w:r w:rsidR="00B61927" w:rsidRPr="0018050D">
              <w:t>)</w:t>
            </w:r>
          </w:p>
          <w:p w14:paraId="4678162D"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Video</w:t>
            </w:r>
          </w:p>
          <w:p w14:paraId="11BC3D4F" w14:textId="38789294" w:rsidR="00F01114" w:rsidRPr="00676913" w:rsidRDefault="00676913" w:rsidP="00353BFC">
            <w:pPr>
              <w:pStyle w:val="TableText"/>
              <w:cnfStyle w:val="000000000000" w:firstRow="0" w:lastRow="0" w:firstColumn="0" w:lastColumn="0" w:oddVBand="0" w:evenVBand="0" w:oddHBand="0" w:evenHBand="0" w:firstRowFirstColumn="0" w:firstRowLastColumn="0" w:lastRowFirstColumn="0" w:lastRowLastColumn="0"/>
            </w:pPr>
            <w:r w:rsidRPr="00676913">
              <w:t>4</w:t>
            </w:r>
            <w:r w:rsidR="00B61927" w:rsidRPr="00676913">
              <w:t xml:space="preserve"> items (</w:t>
            </w:r>
            <w:r w:rsidRPr="000B3AFA">
              <w:rPr>
                <w:rStyle w:val="Strong"/>
              </w:rPr>
              <w:t xml:space="preserve">92182, 92184, 92186, </w:t>
            </w:r>
            <w:r w:rsidRPr="0018050D">
              <w:t>and</w:t>
            </w:r>
            <w:r w:rsidRPr="000B3AFA">
              <w:rPr>
                <w:rStyle w:val="Strong"/>
              </w:rPr>
              <w:t xml:space="preserve"> 92188</w:t>
            </w:r>
            <w:r w:rsidRPr="0018050D">
              <w:t>)</w:t>
            </w:r>
          </w:p>
        </w:tc>
      </w:tr>
      <w:tr w:rsidR="00511F86" w:rsidRPr="00676913" w14:paraId="2C1C33DC" w14:textId="77777777" w:rsidTr="000D3B8F">
        <w:tc>
          <w:tcPr>
            <w:cnfStyle w:val="001000000000" w:firstRow="0" w:lastRow="0" w:firstColumn="1" w:lastColumn="0" w:oddVBand="0" w:evenVBand="0" w:oddHBand="0" w:evenHBand="0" w:firstRowFirstColumn="0" w:firstRowLastColumn="0" w:lastRowFirstColumn="0" w:lastRowLastColumn="0"/>
            <w:tcW w:w="0" w:type="auto"/>
          </w:tcPr>
          <w:p w14:paraId="3D41E71D" w14:textId="77777777" w:rsidR="00B61927" w:rsidRPr="006068BB" w:rsidRDefault="00B61927" w:rsidP="006068BB">
            <w:r w:rsidRPr="006068BB">
              <w:t>Provision of psychological services</w:t>
            </w:r>
          </w:p>
          <w:p w14:paraId="62566D57" w14:textId="56607001" w:rsidR="00B61927" w:rsidRPr="006068BB" w:rsidRDefault="00B61927" w:rsidP="006068BB">
            <w:r w:rsidRPr="006068BB">
              <w:t>(Allied health professionals)</w:t>
            </w:r>
          </w:p>
        </w:tc>
        <w:tc>
          <w:tcPr>
            <w:tcW w:w="4436" w:type="dxa"/>
          </w:tcPr>
          <w:p w14:paraId="4E31D5BF" w14:textId="77777777" w:rsidR="00B61927" w:rsidRPr="00806FE7" w:rsidRDefault="00B61927"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Eligible clinical psychologists</w:t>
            </w:r>
          </w:p>
          <w:p w14:paraId="68E1EBC2" w14:textId="77777777" w:rsidR="00B61927" w:rsidRPr="00806FE7" w:rsidRDefault="00B61927"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Eligible psychologists</w:t>
            </w:r>
          </w:p>
          <w:p w14:paraId="3E1E567B" w14:textId="77777777" w:rsidR="00B61927" w:rsidRPr="00806FE7" w:rsidRDefault="00B61927"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Eligible social workers</w:t>
            </w:r>
          </w:p>
          <w:p w14:paraId="515D78D8" w14:textId="676F2EA7" w:rsidR="00676913" w:rsidRPr="00806FE7" w:rsidRDefault="00B61927"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Eligible occupational therapists.</w:t>
            </w:r>
          </w:p>
          <w:p w14:paraId="6EA31E2E" w14:textId="78D653E5" w:rsidR="00B61927" w:rsidRPr="00676913" w:rsidRDefault="00B61927" w:rsidP="00353BFC">
            <w:pPr>
              <w:pStyle w:val="TableText"/>
              <w:cnfStyle w:val="000000000000" w:firstRow="0" w:lastRow="0" w:firstColumn="0" w:lastColumn="0" w:oddVBand="0" w:evenVBand="0" w:oddHBand="0" w:evenHBand="0" w:firstRowFirstColumn="0" w:firstRowLastColumn="0" w:lastRowFirstColumn="0" w:lastRowLastColumn="0"/>
            </w:pPr>
            <w:r w:rsidRPr="00676913">
              <w:t>Allied health professionals must meet one of the following requirements to provide an eating disorder psychological treatment service:</w:t>
            </w:r>
          </w:p>
          <w:p w14:paraId="02C9AA66" w14:textId="263D8952" w:rsidR="00B61927" w:rsidRPr="00806FE7" w:rsidRDefault="00B61927"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general registration in the health profession of psychology with the Psychology Board of Australia; or</w:t>
            </w:r>
          </w:p>
          <w:p w14:paraId="0D9ABCE3" w14:textId="21C9D333" w:rsidR="00B61927" w:rsidRPr="00806FE7" w:rsidRDefault="00B61927"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registration in the health profession of occupational therapy with the Occupational Therapy Board of Australia; or</w:t>
            </w:r>
          </w:p>
          <w:p w14:paraId="28AD95A0" w14:textId="0890B794" w:rsidR="00B61927" w:rsidRPr="00676913" w:rsidRDefault="00B61927"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member</w:t>
            </w:r>
            <w:r w:rsidR="00353BFC" w:rsidRPr="00806FE7">
              <w:t>ship</w:t>
            </w:r>
            <w:r w:rsidRPr="00806FE7">
              <w:t xml:space="preserve"> of the Australian Association of Social Workers (AASW).</w:t>
            </w:r>
          </w:p>
        </w:tc>
        <w:tc>
          <w:tcPr>
            <w:tcW w:w="2358" w:type="dxa"/>
          </w:tcPr>
          <w:p w14:paraId="63EA865D"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Face-to-face</w:t>
            </w:r>
          </w:p>
          <w:p w14:paraId="373187A9" w14:textId="77777777" w:rsidR="00B61927" w:rsidRPr="00676913" w:rsidRDefault="00B61927" w:rsidP="00353BFC">
            <w:pPr>
              <w:pStyle w:val="TableText"/>
              <w:cnfStyle w:val="000000000000" w:firstRow="0" w:lastRow="0" w:firstColumn="0" w:lastColumn="0" w:oddVBand="0" w:evenVBand="0" w:oddHBand="0" w:evenHBand="0" w:firstRowFirstColumn="0" w:firstRowLastColumn="0" w:lastRowFirstColumn="0" w:lastRowLastColumn="0"/>
            </w:pPr>
            <w:r w:rsidRPr="00676913">
              <w:t>24 items (</w:t>
            </w:r>
            <w:r w:rsidRPr="000B3AFA">
              <w:rPr>
                <w:rStyle w:val="Strong"/>
              </w:rPr>
              <w:t>82352, 82354-82355, 82357-82360, 82362-82363, 82365-82368, 82370-82371, 82373-82376, 82378-82379, 82381-82383</w:t>
            </w:r>
            <w:r w:rsidRPr="00676913">
              <w:t>)</w:t>
            </w:r>
          </w:p>
          <w:p w14:paraId="022E2B20"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 xml:space="preserve">Telephone </w:t>
            </w:r>
          </w:p>
          <w:p w14:paraId="40391E1A" w14:textId="77777777" w:rsidR="00B61927" w:rsidRPr="000B3AFA" w:rsidRDefault="00B61927" w:rsidP="00353BFC">
            <w:pPr>
              <w:pStyle w:val="TableText"/>
              <w:cnfStyle w:val="000000000000" w:firstRow="0" w:lastRow="0" w:firstColumn="0" w:lastColumn="0" w:oddVBand="0" w:evenVBand="0" w:oddHBand="0" w:evenHBand="0" w:firstRowFirstColumn="0" w:firstRowLastColumn="0" w:lastRowFirstColumn="0" w:lastRowLastColumn="0"/>
              <w:rPr>
                <w:rStyle w:val="Strong"/>
              </w:rPr>
            </w:pPr>
            <w:r w:rsidRPr="00676913">
              <w:t>8 items (</w:t>
            </w:r>
            <w:r w:rsidRPr="000B3AFA">
              <w:rPr>
                <w:rStyle w:val="Strong"/>
              </w:rPr>
              <w:t>93110, 93113, 93118, 93121, 93126, 93129, 93134, 93137)</w:t>
            </w:r>
          </w:p>
          <w:p w14:paraId="6A449D1E"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Video</w:t>
            </w:r>
          </w:p>
          <w:p w14:paraId="2651D319" w14:textId="654C784A" w:rsidR="00B61927" w:rsidRPr="00676913" w:rsidRDefault="00B61927" w:rsidP="00353BFC">
            <w:pPr>
              <w:pStyle w:val="TableText"/>
              <w:cnfStyle w:val="000000000000" w:firstRow="0" w:lastRow="0" w:firstColumn="0" w:lastColumn="0" w:oddVBand="0" w:evenVBand="0" w:oddHBand="0" w:evenHBand="0" w:firstRowFirstColumn="0" w:firstRowLastColumn="0" w:lastRowFirstColumn="0" w:lastRowLastColumn="0"/>
              <w:rPr>
                <w:u w:val="single"/>
              </w:rPr>
            </w:pPr>
            <w:r w:rsidRPr="00676913">
              <w:t>8 items (</w:t>
            </w:r>
            <w:r w:rsidRPr="000B3AFA">
              <w:rPr>
                <w:rStyle w:val="Strong"/>
              </w:rPr>
              <w:t>93076, 93079, 93084, 93087, 93092, 93095, 93100, 93103)</w:t>
            </w:r>
          </w:p>
        </w:tc>
      </w:tr>
      <w:tr w:rsidR="00E00D30" w:rsidRPr="00676913" w14:paraId="1453AA85" w14:textId="4C3EDBD4" w:rsidTr="000D3B8F">
        <w:tc>
          <w:tcPr>
            <w:cnfStyle w:val="001000000000" w:firstRow="0" w:lastRow="0" w:firstColumn="1" w:lastColumn="0" w:oddVBand="0" w:evenVBand="0" w:oddHBand="0" w:evenHBand="0" w:firstRowFirstColumn="0" w:firstRowLastColumn="0" w:lastRowFirstColumn="0" w:lastRowLastColumn="0"/>
            <w:tcW w:w="0" w:type="auto"/>
          </w:tcPr>
          <w:p w14:paraId="6CAC73D5" w14:textId="77777777" w:rsidR="00094863" w:rsidRPr="006068BB" w:rsidRDefault="00094863" w:rsidP="006068BB">
            <w:r w:rsidRPr="006068BB">
              <w:t>Provision of dietetic services</w:t>
            </w:r>
          </w:p>
        </w:tc>
        <w:tc>
          <w:tcPr>
            <w:tcW w:w="4436" w:type="dxa"/>
          </w:tcPr>
          <w:p w14:paraId="2EE4A326" w14:textId="38EF6368" w:rsidR="00094863" w:rsidRPr="00806FE7" w:rsidRDefault="00511F86"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 xml:space="preserve">‘Accredited </w:t>
            </w:r>
            <w:proofErr w:type="spellStart"/>
            <w:r w:rsidRPr="00806FE7">
              <w:t>Practising</w:t>
            </w:r>
            <w:proofErr w:type="spellEnd"/>
            <w:r w:rsidRPr="00806FE7">
              <w:t xml:space="preserve"> Dietitian’ as </w:t>
            </w:r>
            <w:proofErr w:type="spellStart"/>
            <w:r w:rsidRPr="00806FE7">
              <w:t>recognised</w:t>
            </w:r>
            <w:proofErr w:type="spellEnd"/>
            <w:r w:rsidRPr="00806FE7">
              <w:t xml:space="preserve"> by the Dietitians Association of Australia (DAA). </w:t>
            </w:r>
          </w:p>
        </w:tc>
        <w:tc>
          <w:tcPr>
            <w:tcW w:w="2358" w:type="dxa"/>
          </w:tcPr>
          <w:p w14:paraId="4261E316"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Face-to-face</w:t>
            </w:r>
          </w:p>
          <w:p w14:paraId="4051AB11" w14:textId="1EBD9D49" w:rsidR="00B61927" w:rsidRPr="00676913" w:rsidRDefault="00676913" w:rsidP="00353BFC">
            <w:pPr>
              <w:pStyle w:val="TableText"/>
              <w:cnfStyle w:val="000000000000" w:firstRow="0" w:lastRow="0" w:firstColumn="0" w:lastColumn="0" w:oddVBand="0" w:evenVBand="0" w:oddHBand="0" w:evenHBand="0" w:firstRowFirstColumn="0" w:firstRowLastColumn="0" w:lastRowFirstColumn="0" w:lastRowLastColumn="0"/>
            </w:pPr>
            <w:r>
              <w:t>1</w:t>
            </w:r>
            <w:r w:rsidR="00B61927" w:rsidRPr="00676913">
              <w:t xml:space="preserve"> item (</w:t>
            </w:r>
            <w:r w:rsidRPr="000B3AFA">
              <w:rPr>
                <w:rStyle w:val="Strong"/>
              </w:rPr>
              <w:t>82350</w:t>
            </w:r>
            <w:r w:rsidR="00B61927" w:rsidRPr="00676913">
              <w:t>)</w:t>
            </w:r>
          </w:p>
          <w:p w14:paraId="181C907B"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 xml:space="preserve">Telephone </w:t>
            </w:r>
          </w:p>
          <w:p w14:paraId="1ADF8857" w14:textId="6FA00F59" w:rsidR="00B61927" w:rsidRPr="000B3AFA" w:rsidRDefault="00511F86" w:rsidP="00353BFC">
            <w:pPr>
              <w:pStyle w:val="TableText"/>
              <w:cnfStyle w:val="000000000000" w:firstRow="0" w:lastRow="0" w:firstColumn="0" w:lastColumn="0" w:oddVBand="0" w:evenVBand="0" w:oddHBand="0" w:evenHBand="0" w:firstRowFirstColumn="0" w:firstRowLastColumn="0" w:lastRowFirstColumn="0" w:lastRowLastColumn="0"/>
              <w:rPr>
                <w:rStyle w:val="Strong"/>
              </w:rPr>
            </w:pPr>
            <w:r w:rsidRPr="00511F86">
              <w:t>1</w:t>
            </w:r>
            <w:r w:rsidR="00B61927" w:rsidRPr="00511F86">
              <w:t xml:space="preserve"> item (</w:t>
            </w:r>
            <w:r w:rsidRPr="000B3AFA">
              <w:rPr>
                <w:rStyle w:val="Strong"/>
              </w:rPr>
              <w:t>93108</w:t>
            </w:r>
            <w:r w:rsidR="00B61927" w:rsidRPr="0018050D">
              <w:t>)</w:t>
            </w:r>
          </w:p>
          <w:p w14:paraId="0C7E3A4A" w14:textId="77777777" w:rsidR="00B61927" w:rsidRPr="000B3AFA" w:rsidRDefault="00B61927" w:rsidP="000B3AFA">
            <w:pPr>
              <w:pStyle w:val="TableText"/>
              <w:cnfStyle w:val="000000000000" w:firstRow="0" w:lastRow="0" w:firstColumn="0" w:lastColumn="0" w:oddVBand="0" w:evenVBand="0" w:oddHBand="0" w:evenHBand="0" w:firstRowFirstColumn="0" w:firstRowLastColumn="0" w:lastRowFirstColumn="0" w:lastRowLastColumn="0"/>
            </w:pPr>
            <w:r w:rsidRPr="000B3AFA">
              <w:t>Video</w:t>
            </w:r>
          </w:p>
          <w:p w14:paraId="22843F51" w14:textId="005F836F" w:rsidR="00094863" w:rsidRPr="0018050D" w:rsidRDefault="00511F86" w:rsidP="00353BFC">
            <w:pPr>
              <w:pStyle w:val="TableText"/>
              <w:cnfStyle w:val="000000000000" w:firstRow="0" w:lastRow="0" w:firstColumn="0" w:lastColumn="0" w:oddVBand="0" w:evenVBand="0" w:oddHBand="0" w:evenHBand="0" w:firstRowFirstColumn="0" w:firstRowLastColumn="0" w:lastRowFirstColumn="0" w:lastRowLastColumn="0"/>
            </w:pPr>
            <w:r>
              <w:t>1</w:t>
            </w:r>
            <w:r w:rsidR="00B61927" w:rsidRPr="00676913">
              <w:t xml:space="preserve"> item (</w:t>
            </w:r>
            <w:r w:rsidRPr="000B3AFA">
              <w:rPr>
                <w:rStyle w:val="Strong"/>
              </w:rPr>
              <w:t>93074</w:t>
            </w:r>
            <w:r w:rsidR="00B61927" w:rsidRPr="0018050D">
              <w:t>)</w:t>
            </w:r>
          </w:p>
        </w:tc>
      </w:tr>
      <w:tr w:rsidR="00E00D30" w:rsidRPr="00676913" w14:paraId="34D7B597" w14:textId="3EA08165" w:rsidTr="000D3B8F">
        <w:tc>
          <w:tcPr>
            <w:cnfStyle w:val="001000000000" w:firstRow="0" w:lastRow="0" w:firstColumn="1" w:lastColumn="0" w:oddVBand="0" w:evenVBand="0" w:oddHBand="0" w:evenHBand="0" w:firstRowFirstColumn="0" w:firstRowLastColumn="0" w:lastRowFirstColumn="0" w:lastRowLastColumn="0"/>
            <w:tcW w:w="0" w:type="auto"/>
          </w:tcPr>
          <w:p w14:paraId="68C16F41" w14:textId="704EFF44" w:rsidR="00094863" w:rsidRPr="006068BB" w:rsidRDefault="00094863" w:rsidP="006068BB">
            <w:r w:rsidRPr="006068BB">
              <w:t>Reviews (after every 10 sessions)</w:t>
            </w:r>
          </w:p>
        </w:tc>
        <w:tc>
          <w:tcPr>
            <w:tcW w:w="4436" w:type="dxa"/>
          </w:tcPr>
          <w:p w14:paraId="0532C449" w14:textId="26D00491" w:rsidR="007F66B4" w:rsidRPr="0018050D" w:rsidRDefault="007F66B4" w:rsidP="000B3AFA">
            <w:pPr>
              <w:pStyle w:val="TableText"/>
              <w:cnfStyle w:val="000000000000" w:firstRow="0" w:lastRow="0" w:firstColumn="0" w:lastColumn="0" w:oddVBand="0" w:evenVBand="0" w:oddHBand="0" w:evenHBand="0" w:firstRowFirstColumn="0" w:firstRowLastColumn="0" w:lastRowFirstColumn="0" w:lastRowLastColumn="0"/>
            </w:pPr>
            <w:r w:rsidRPr="0018050D">
              <w:t>GP reviews (After every 10 sessions)</w:t>
            </w:r>
          </w:p>
          <w:p w14:paraId="5FD600A1" w14:textId="2C4C4654" w:rsidR="00094863" w:rsidRPr="00806FE7" w:rsidRDefault="00094863"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General practitioners</w:t>
            </w:r>
          </w:p>
          <w:p w14:paraId="6FF1C32D" w14:textId="77777777" w:rsidR="00094863" w:rsidRPr="00806FE7" w:rsidRDefault="00094863"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Prescribed medical practitioners</w:t>
            </w:r>
          </w:p>
          <w:p w14:paraId="2BA3BF32" w14:textId="77777777" w:rsidR="007F66B4" w:rsidRPr="0018050D" w:rsidRDefault="007F66B4" w:rsidP="000B3AFA">
            <w:pPr>
              <w:pStyle w:val="TableText"/>
              <w:cnfStyle w:val="000000000000" w:firstRow="0" w:lastRow="0" w:firstColumn="0" w:lastColumn="0" w:oddVBand="0" w:evenVBand="0" w:oddHBand="0" w:evenHBand="0" w:firstRowFirstColumn="0" w:firstRowLastColumn="0" w:lastRowFirstColumn="0" w:lastRowLastColumn="0"/>
            </w:pPr>
            <w:r w:rsidRPr="0018050D">
              <w:t>Specialist reviews (20-session mark)</w:t>
            </w:r>
          </w:p>
          <w:p w14:paraId="516184EB" w14:textId="77777777" w:rsidR="007F66B4" w:rsidRPr="00806FE7" w:rsidRDefault="007F66B4" w:rsidP="00806FE7">
            <w:pPr>
              <w:pStyle w:val="Tablelistbullet"/>
              <w:cnfStyle w:val="000000000000" w:firstRow="0" w:lastRow="0" w:firstColumn="0" w:lastColumn="0" w:oddVBand="0" w:evenVBand="0" w:oddHBand="0" w:evenHBand="0" w:firstRowFirstColumn="0" w:firstRowLastColumn="0" w:lastRowFirstColumn="0" w:lastRowLastColumn="0"/>
            </w:pPr>
            <w:r w:rsidRPr="00806FE7">
              <w:t>Consultant psychiatrists</w:t>
            </w:r>
          </w:p>
          <w:p w14:paraId="2FE30F89" w14:textId="20D86FEE" w:rsidR="007F66B4" w:rsidRPr="0018050D" w:rsidRDefault="007F66B4" w:rsidP="00806FE7">
            <w:pPr>
              <w:pStyle w:val="Tablelistbullet"/>
              <w:cnfStyle w:val="000000000000" w:firstRow="0" w:lastRow="0" w:firstColumn="0" w:lastColumn="0" w:oddVBand="0" w:evenVBand="0" w:oddHBand="0" w:evenHBand="0" w:firstRowFirstColumn="0" w:firstRowLastColumn="0" w:lastRowFirstColumn="0" w:lastRowLastColumn="0"/>
              <w:rPr>
                <w:u w:val="single"/>
              </w:rPr>
            </w:pPr>
            <w:r w:rsidRPr="00806FE7">
              <w:t>Consultant paediatricians</w:t>
            </w:r>
          </w:p>
        </w:tc>
        <w:tc>
          <w:tcPr>
            <w:tcW w:w="2358" w:type="dxa"/>
          </w:tcPr>
          <w:p w14:paraId="0091EE24" w14:textId="77777777" w:rsidR="00676913" w:rsidRPr="000B3AFA" w:rsidRDefault="00676913" w:rsidP="000B3AFA">
            <w:pPr>
              <w:pStyle w:val="TableText"/>
              <w:cnfStyle w:val="000000000000" w:firstRow="0" w:lastRow="0" w:firstColumn="0" w:lastColumn="0" w:oddVBand="0" w:evenVBand="0" w:oddHBand="0" w:evenHBand="0" w:firstRowFirstColumn="0" w:firstRowLastColumn="0" w:lastRowFirstColumn="0" w:lastRowLastColumn="0"/>
            </w:pPr>
            <w:r w:rsidRPr="000B3AFA">
              <w:t>Face-to-face</w:t>
            </w:r>
          </w:p>
          <w:p w14:paraId="79699B23" w14:textId="119B32F0" w:rsidR="00676913" w:rsidRPr="00676913" w:rsidRDefault="00676913" w:rsidP="00353BFC">
            <w:pPr>
              <w:pStyle w:val="TableText"/>
              <w:cnfStyle w:val="000000000000" w:firstRow="0" w:lastRow="0" w:firstColumn="0" w:lastColumn="0" w:oddVBand="0" w:evenVBand="0" w:oddHBand="0" w:evenHBand="0" w:firstRowFirstColumn="0" w:firstRowLastColumn="0" w:lastRowFirstColumn="0" w:lastRowLastColumn="0"/>
            </w:pPr>
            <w:r>
              <w:t>4</w:t>
            </w:r>
            <w:r w:rsidRPr="00676913">
              <w:t xml:space="preserve"> item</w:t>
            </w:r>
            <w:r>
              <w:t>s</w:t>
            </w:r>
            <w:r w:rsidRPr="00676913">
              <w:t xml:space="preserve"> (</w:t>
            </w:r>
            <w:r w:rsidRPr="000B3AFA">
              <w:rPr>
                <w:rStyle w:val="Strong"/>
              </w:rPr>
              <w:t>90264-90267</w:t>
            </w:r>
            <w:r w:rsidRPr="00676913">
              <w:t>)</w:t>
            </w:r>
          </w:p>
          <w:p w14:paraId="63719988" w14:textId="77777777" w:rsidR="00676913" w:rsidRPr="000B3AFA" w:rsidRDefault="00676913" w:rsidP="000B3AFA">
            <w:pPr>
              <w:pStyle w:val="TableText"/>
              <w:cnfStyle w:val="000000000000" w:firstRow="0" w:lastRow="0" w:firstColumn="0" w:lastColumn="0" w:oddVBand="0" w:evenVBand="0" w:oddHBand="0" w:evenHBand="0" w:firstRowFirstColumn="0" w:firstRowLastColumn="0" w:lastRowFirstColumn="0" w:lastRowLastColumn="0"/>
            </w:pPr>
            <w:r w:rsidRPr="000B3AFA">
              <w:t xml:space="preserve">Telephone </w:t>
            </w:r>
          </w:p>
          <w:p w14:paraId="181BD98A" w14:textId="154290DE" w:rsidR="00676913" w:rsidRPr="000B3AFA" w:rsidRDefault="00676913" w:rsidP="00353BFC">
            <w:pPr>
              <w:pStyle w:val="TableText"/>
              <w:cnfStyle w:val="000000000000" w:firstRow="0" w:lastRow="0" w:firstColumn="0" w:lastColumn="0" w:oddVBand="0" w:evenVBand="0" w:oddHBand="0" w:evenHBand="0" w:firstRowFirstColumn="0" w:firstRowLastColumn="0" w:lastRowFirstColumn="0" w:lastRowLastColumn="0"/>
              <w:rPr>
                <w:rStyle w:val="Strong"/>
              </w:rPr>
            </w:pPr>
            <w:r>
              <w:t>2</w:t>
            </w:r>
            <w:r w:rsidRPr="00676913">
              <w:t xml:space="preserve"> items (</w:t>
            </w:r>
            <w:r w:rsidR="006D0058" w:rsidRPr="000B3AFA">
              <w:rPr>
                <w:rStyle w:val="Strong"/>
              </w:rPr>
              <w:t xml:space="preserve">92176 </w:t>
            </w:r>
            <w:r w:rsidR="006D0058" w:rsidRPr="0018050D">
              <w:t>and</w:t>
            </w:r>
            <w:r w:rsidR="006D0058" w:rsidRPr="000B3AFA">
              <w:rPr>
                <w:rStyle w:val="Strong"/>
              </w:rPr>
              <w:t xml:space="preserve"> 92177</w:t>
            </w:r>
            <w:r w:rsidRPr="000B3AFA">
              <w:rPr>
                <w:rStyle w:val="Strong"/>
              </w:rPr>
              <w:t>)</w:t>
            </w:r>
          </w:p>
          <w:p w14:paraId="7F754285" w14:textId="77777777" w:rsidR="00676913" w:rsidRPr="000B3AFA" w:rsidRDefault="00676913" w:rsidP="000B3AFA">
            <w:pPr>
              <w:pStyle w:val="TableText"/>
              <w:cnfStyle w:val="000000000000" w:firstRow="0" w:lastRow="0" w:firstColumn="0" w:lastColumn="0" w:oddVBand="0" w:evenVBand="0" w:oddHBand="0" w:evenHBand="0" w:firstRowFirstColumn="0" w:firstRowLastColumn="0" w:lastRowFirstColumn="0" w:lastRowLastColumn="0"/>
            </w:pPr>
            <w:r w:rsidRPr="000B3AFA">
              <w:t>Video</w:t>
            </w:r>
          </w:p>
          <w:p w14:paraId="2E90CF7E" w14:textId="61899DD9" w:rsidR="00094863" w:rsidRPr="0018050D" w:rsidRDefault="00676913" w:rsidP="00353BFC">
            <w:pPr>
              <w:pStyle w:val="Tablelistbullet"/>
              <w:numPr>
                <w:ilvl w:val="0"/>
                <w:numId w:val="0"/>
              </w:numPr>
              <w:ind w:left="318" w:hanging="284"/>
              <w:cnfStyle w:val="000000000000" w:firstRow="0" w:lastRow="0" w:firstColumn="0" w:lastColumn="0" w:oddVBand="0" w:evenVBand="0" w:oddHBand="0" w:evenHBand="0" w:firstRowFirstColumn="0" w:firstRowLastColumn="0" w:lastRowFirstColumn="0" w:lastRowLastColumn="0"/>
            </w:pPr>
            <w:r w:rsidRPr="00806FE7">
              <w:t>4 items (</w:t>
            </w:r>
            <w:r w:rsidRPr="000B3AFA">
              <w:rPr>
                <w:rStyle w:val="Strong"/>
              </w:rPr>
              <w:t>92170-92173</w:t>
            </w:r>
            <w:r w:rsidRPr="00806FE7">
              <w:t>)</w:t>
            </w:r>
          </w:p>
        </w:tc>
      </w:tr>
    </w:tbl>
    <w:p w14:paraId="56D6F2F5" w14:textId="3AC19F2D" w:rsidR="009F370B" w:rsidRPr="00263F3A" w:rsidRDefault="009F370B" w:rsidP="00263F3A">
      <w:r w:rsidRPr="00263F3A">
        <w:t xml:space="preserve">Note: </w:t>
      </w:r>
      <w:r w:rsidR="00F14E79" w:rsidRPr="00263F3A">
        <w:t>T</w:t>
      </w:r>
      <w:r w:rsidRPr="00263F3A">
        <w:t>hese eating disorder items are available to patients in the community.</w:t>
      </w:r>
      <w:r w:rsidR="00F14E79" w:rsidRPr="00263F3A">
        <w:t xml:space="preserve"> </w:t>
      </w:r>
      <w:r w:rsidRPr="00263F3A">
        <w:t>The</w:t>
      </w:r>
      <w:r w:rsidR="00F14E79" w:rsidRPr="00263F3A">
        <w:t xml:space="preserve">y </w:t>
      </w:r>
      <w:r w:rsidRPr="00263F3A">
        <w:t>do not apply to services provided to admitted (in-hospital) patients.</w:t>
      </w:r>
    </w:p>
    <w:p w14:paraId="51F63D2A" w14:textId="23AE6B0D" w:rsidR="00F41A07" w:rsidRPr="00263F3A" w:rsidRDefault="00F41A07" w:rsidP="00263F3A">
      <w:r w:rsidRPr="00263F3A">
        <w:t xml:space="preserve">For further information </w:t>
      </w:r>
      <w:r w:rsidR="005F2205" w:rsidRPr="00263F3A">
        <w:t xml:space="preserve">regarding health practitioner eligibility </w:t>
      </w:r>
      <w:r w:rsidRPr="00263F3A">
        <w:t xml:space="preserve">please visit the </w:t>
      </w:r>
      <w:hyperlink r:id="rId15" w:history="1">
        <w:r w:rsidR="00F77762" w:rsidRPr="00263F3A">
          <w:rPr>
            <w:rStyle w:val="Hyperlink"/>
          </w:rPr>
          <w:t>MBS Online</w:t>
        </w:r>
      </w:hyperlink>
      <w:r w:rsidR="00F77762" w:rsidRPr="00263F3A">
        <w:t xml:space="preserve"> </w:t>
      </w:r>
      <w:r w:rsidRPr="00263F3A">
        <w:t>website or the following legislation:</w:t>
      </w:r>
    </w:p>
    <w:p w14:paraId="6E9543D4" w14:textId="77777777" w:rsidR="00F41A07" w:rsidRPr="00263F3A" w:rsidRDefault="00F41A07" w:rsidP="00263F3A">
      <w:hyperlink r:id="rId16" w:history="1">
        <w:r w:rsidRPr="00263F3A">
          <w:rPr>
            <w:rStyle w:val="Hyperlink"/>
          </w:rPr>
          <w:t>Federal Register of Legislation - Health Insurance (General Medical Services Table) Regulations 2021</w:t>
        </w:r>
      </w:hyperlink>
    </w:p>
    <w:p w14:paraId="62904EDB" w14:textId="3F6B260A" w:rsidR="009F370B" w:rsidRPr="00263F3A" w:rsidRDefault="00F41A07" w:rsidP="00263F3A">
      <w:hyperlink r:id="rId17" w:history="1">
        <w:r w:rsidRPr="00263F3A">
          <w:rPr>
            <w:rStyle w:val="Hyperlink"/>
          </w:rPr>
          <w:t>Federal Register of Legislation - Health Insurance (Section 3C General Medical Services – Allied Health Services) Determination 2024</w:t>
        </w:r>
      </w:hyperlink>
    </w:p>
    <w:p w14:paraId="276A1144" w14:textId="3F67C5FF" w:rsidR="00F41A07" w:rsidRDefault="00F41A07" w:rsidP="00263F3A">
      <w:pPr>
        <w:pStyle w:val="Heading1"/>
      </w:pPr>
      <w:bookmarkStart w:id="3" w:name="_Hlk192856937"/>
      <w:r>
        <w:t xml:space="preserve">Other </w:t>
      </w:r>
      <w:r w:rsidR="00353BFC">
        <w:t xml:space="preserve">MBS </w:t>
      </w:r>
      <w:r>
        <w:t xml:space="preserve">services </w:t>
      </w:r>
      <w:r w:rsidR="00353BFC">
        <w:t>that can be used</w:t>
      </w:r>
      <w:r>
        <w:t xml:space="preserve"> alongside the EDTMP</w:t>
      </w:r>
    </w:p>
    <w:p w14:paraId="2B25166D" w14:textId="4EF73478" w:rsidR="00F41A07" w:rsidRPr="00263F3A" w:rsidRDefault="00F41A07" w:rsidP="00263F3A">
      <w:r w:rsidRPr="00263F3A">
        <w:t xml:space="preserve">An eligible patient under an EDTMP may also access Mental Health Treatment Plan (MHTP) and the </w:t>
      </w:r>
      <w:r w:rsidR="00353BFC" w:rsidRPr="00263F3A">
        <w:t xml:space="preserve">GP </w:t>
      </w:r>
      <w:r w:rsidRPr="00263F3A">
        <w:t xml:space="preserve">Chronic </w:t>
      </w:r>
      <w:r w:rsidR="00353BFC" w:rsidRPr="00263F3A">
        <w:t>Conditions</w:t>
      </w:r>
      <w:r w:rsidRPr="00263F3A">
        <w:t xml:space="preserve"> Management</w:t>
      </w:r>
      <w:r w:rsidR="00353BFC" w:rsidRPr="00263F3A">
        <w:t xml:space="preserve"> </w:t>
      </w:r>
      <w:r w:rsidRPr="00263F3A">
        <w:t>(</w:t>
      </w:r>
      <w:r w:rsidR="00353BFC" w:rsidRPr="00263F3A">
        <w:t>GPCCM</w:t>
      </w:r>
      <w:r w:rsidRPr="00263F3A">
        <w:t xml:space="preserve">) </w:t>
      </w:r>
      <w:r w:rsidR="00353BFC" w:rsidRPr="00263F3A">
        <w:t xml:space="preserve">plan </w:t>
      </w:r>
      <w:r w:rsidRPr="00263F3A">
        <w:t>dietetics services if they meet the eligibility requirements. This includes:</w:t>
      </w:r>
    </w:p>
    <w:p w14:paraId="48DA1A54" w14:textId="77777777" w:rsidR="00F41A07" w:rsidRPr="007F5EED" w:rsidRDefault="00F41A07" w:rsidP="00806FE7">
      <w:pPr>
        <w:pStyle w:val="ListBullet"/>
      </w:pPr>
      <w:r w:rsidRPr="007F5EED">
        <w:t>Services under the Better Access Initiative</w:t>
      </w:r>
    </w:p>
    <w:p w14:paraId="7230F456" w14:textId="77777777" w:rsidR="00F41A07" w:rsidRPr="007F5EED" w:rsidRDefault="00F41A07" w:rsidP="00263F3A">
      <w:pPr>
        <w:pStyle w:val="ListBullet2"/>
      </w:pPr>
      <w:r w:rsidRPr="007F5EED">
        <w:t>Medical practitioner items (</w:t>
      </w:r>
      <w:r w:rsidRPr="007F5EED">
        <w:rPr>
          <w:lang w:eastAsia="en-AU"/>
        </w:rPr>
        <w:t>2721, 2723, 2725, 2727, 283, 285, 286, 287)</w:t>
      </w:r>
    </w:p>
    <w:p w14:paraId="5B1A6FB1" w14:textId="77777777" w:rsidR="00F41A07" w:rsidRPr="007F5EED" w:rsidRDefault="00F41A07" w:rsidP="00263F3A">
      <w:pPr>
        <w:pStyle w:val="ListBullet2"/>
      </w:pPr>
      <w:r w:rsidRPr="007F5EED">
        <w:t>Clinical Psychologists - Group M6 – Psychological Therapy Services (</w:t>
      </w:r>
      <w:r w:rsidRPr="00263F3A">
        <w:rPr>
          <w:rStyle w:val="Strong"/>
        </w:rPr>
        <w:t>80000, 80002, 80005, 80006, 80010, 80012, 80015, 80016, 80020-80025</w:t>
      </w:r>
      <w:r w:rsidRPr="007F5EED">
        <w:t>)</w:t>
      </w:r>
    </w:p>
    <w:p w14:paraId="203BBB3C" w14:textId="77777777" w:rsidR="00F41A07" w:rsidRDefault="00F41A07" w:rsidP="00263F3A">
      <w:pPr>
        <w:pStyle w:val="ListBullet2"/>
      </w:pPr>
      <w:r w:rsidRPr="007F5EED">
        <w:t>Group M7 – Focussed Psychological Strategies (Allied Mental Health)</w:t>
      </w:r>
    </w:p>
    <w:p w14:paraId="2E8AAFC9" w14:textId="77777777" w:rsidR="00F41A07" w:rsidRPr="007F5EED" w:rsidRDefault="00F41A07" w:rsidP="00263F3A">
      <w:pPr>
        <w:pStyle w:val="ListBullet3"/>
      </w:pPr>
      <w:r>
        <w:t>Subgroup 1 – Focussed psychological strategies health services</w:t>
      </w:r>
      <w:r w:rsidRPr="007F5EED">
        <w:t xml:space="preserve"> (80100, 80102, 80105, 80106, 80110, 80112, 80115, 80116, 80120, 80121-80123, 80125, 80127-80131, 80135, 80137, 80140, 80141, 80145-80148, 80150, 80152-80156, 80160, 80162, 80165, 80166, 80170-80175)</w:t>
      </w:r>
    </w:p>
    <w:p w14:paraId="19867455" w14:textId="77777777" w:rsidR="00F41A07" w:rsidRPr="00961276" w:rsidRDefault="00F41A07" w:rsidP="00961276">
      <w:pPr>
        <w:pStyle w:val="ListBullet3"/>
      </w:pPr>
      <w:r w:rsidRPr="00961276">
        <w:t xml:space="preserve">Subgroup 2 – Psychological therapy </w:t>
      </w:r>
      <w:proofErr w:type="spellStart"/>
      <w:r w:rsidRPr="00961276">
        <w:t>health,</w:t>
      </w:r>
      <w:proofErr w:type="spellEnd"/>
      <w:r w:rsidRPr="00961276">
        <w:t xml:space="preserve"> focussed psychological services and eating disorder case conference services (80176-80178)</w:t>
      </w:r>
    </w:p>
    <w:p w14:paraId="5629B133" w14:textId="77777777" w:rsidR="00F41A07" w:rsidRPr="007F5EED" w:rsidRDefault="00F41A07" w:rsidP="00806FE7">
      <w:pPr>
        <w:pStyle w:val="ListBullet"/>
      </w:pPr>
      <w:r w:rsidRPr="007F5EED">
        <w:t xml:space="preserve">Dietetic services under </w:t>
      </w:r>
      <w:r>
        <w:t xml:space="preserve">Group M3* </w:t>
      </w:r>
      <w:r w:rsidRPr="007F5EED">
        <w:t>(</w:t>
      </w:r>
      <w:r w:rsidRPr="00806FE7">
        <w:rPr>
          <w:rStyle w:val="Strong"/>
        </w:rPr>
        <w:t>10954</w:t>
      </w:r>
      <w:r w:rsidRPr="007F5EED">
        <w:t>)</w:t>
      </w:r>
    </w:p>
    <w:p w14:paraId="187FE6F1" w14:textId="31F80F7B" w:rsidR="00F41A07" w:rsidRPr="006068BB" w:rsidRDefault="00F41A07" w:rsidP="00961276">
      <w:r w:rsidRPr="00263F3A">
        <w:t>All MHTP and Group M3 services accessed will count toward the total 40 psychological and 20 dietetic sessions under an EDTMP. To access the above services a patient must have met all eligible criteria, including having the relevant plan(s) in place. The Department does not encourage patients to have more than one plan at the same time. However, in exceptional circumstances, a patient with co</w:t>
      </w:r>
      <w:r w:rsidR="00F97C4B" w:rsidRPr="00263F3A">
        <w:t>-occurring</w:t>
      </w:r>
      <w:r w:rsidRPr="00263F3A">
        <w:t xml:space="preserve"> mental health issues may require another plan to access the </w:t>
      </w:r>
      <w:proofErr w:type="gramStart"/>
      <w:r w:rsidRPr="00263F3A">
        <w:t>particular service</w:t>
      </w:r>
      <w:proofErr w:type="gramEnd"/>
      <w:r w:rsidRPr="00263F3A">
        <w:t xml:space="preserve"> required. For further information please see</w:t>
      </w:r>
      <w:r w:rsidR="006068BB">
        <w:t xml:space="preserve"> </w:t>
      </w:r>
      <w:hyperlink r:id="rId18" w:history="1">
        <w:r w:rsidR="006068BB" w:rsidRPr="00961276">
          <w:rPr>
            <w:rStyle w:val="Hyperlink"/>
          </w:rPr>
          <w:t>Fact sheet for Professional: Mental Health Care under a Mental Health Treatment Plan and an Eating Disorder Treatment and Management Plan</w:t>
        </w:r>
      </w:hyperlink>
      <w:r w:rsidRPr="006068BB">
        <w:t>.</w:t>
      </w:r>
      <w:bookmarkEnd w:id="3"/>
    </w:p>
    <w:p w14:paraId="7DCB773A" w14:textId="77777777" w:rsidR="00F41A07" w:rsidRPr="00806FE7" w:rsidRDefault="00F41A07" w:rsidP="00806FE7">
      <w:pPr>
        <w:pStyle w:val="Disclaimer"/>
      </w:pPr>
      <w:r w:rsidRPr="00806FE7">
        <w:t xml:space="preserve">*Please refer to section 1.1.3 Items in Group M3 for allied health services under Chronic Disease Management services at: </w:t>
      </w:r>
      <w:hyperlink r:id="rId19" w:history="1">
        <w:r w:rsidRPr="00806FE7">
          <w:rPr>
            <w:rStyle w:val="Hyperlink"/>
          </w:rPr>
          <w:t>Federal Register of Legislation - Health Insurance (Section 3C General Medical Services – Allied Health Services) Determination 2024</w:t>
        </w:r>
      </w:hyperlink>
    </w:p>
    <w:p w14:paraId="37DB05E3" w14:textId="1EF32FC1" w:rsidR="001906C7" w:rsidRDefault="007B3222" w:rsidP="007B3222">
      <w:pPr>
        <w:rPr>
          <w:rStyle w:val="NEWItemNumber"/>
        </w:rPr>
      </w:pPr>
      <w:r w:rsidRPr="007B3222">
        <w:rPr>
          <w:rStyle w:val="NEWItemNumber"/>
        </w:rPr>
        <w:t>Involvement of family members</w:t>
      </w:r>
    </w:p>
    <w:p w14:paraId="116020B8" w14:textId="17E36D75" w:rsidR="007B3222" w:rsidRPr="00263F3A" w:rsidRDefault="007B3222" w:rsidP="00263F3A">
      <w:r w:rsidRPr="00263F3A">
        <w:t xml:space="preserve">For family-based treatment, the patient is required to attend the session/s to receive rebates under Medicare, as they are the one eligible. </w:t>
      </w:r>
    </w:p>
    <w:p w14:paraId="7229A29D" w14:textId="79FDED6B" w:rsidR="007B3222" w:rsidRPr="00263F3A" w:rsidRDefault="007B3222" w:rsidP="00263F3A">
      <w:r w:rsidRPr="00263F3A">
        <w:t>Should a family member require support themselves, they should discuss their own eligibility for a MHTP.</w:t>
      </w:r>
    </w:p>
    <w:p w14:paraId="51DC35F7" w14:textId="77777777" w:rsidR="001906C7" w:rsidRPr="005E0204" w:rsidRDefault="001906C7" w:rsidP="001906C7">
      <w:pPr>
        <w:rPr>
          <w:rStyle w:val="NEWItemNumber"/>
        </w:rPr>
      </w:pPr>
      <w:r w:rsidRPr="005E0204">
        <w:rPr>
          <w:rStyle w:val="NEWItemNumber"/>
        </w:rPr>
        <w:t>Case conferencing items:</w:t>
      </w:r>
    </w:p>
    <w:p w14:paraId="080F33B4" w14:textId="77777777" w:rsidR="001906C7" w:rsidRPr="00263F3A" w:rsidRDefault="001906C7" w:rsidP="00263F3A">
      <w:r w:rsidRPr="00263F3A">
        <w:t>From 1 July 2023, new MBS items became available for eligible providers to co-ordinate and participate in mental health case conferences for patients being treated under an EDTMP. The addition of these items came from the recommendations from the Australian Government’s Better Access Initiative evaluation report, the Productivity Commission Inquiry Report into Mental Health, and the House of Representatives Select Committee Inquiry into Mental Health and Suicide Prevention.</w:t>
      </w:r>
    </w:p>
    <w:p w14:paraId="4A3F343E" w14:textId="77777777" w:rsidR="001906C7" w:rsidRPr="00263F3A" w:rsidRDefault="001906C7" w:rsidP="00263F3A">
      <w:r w:rsidRPr="00263F3A">
        <w:t>Several criteria must be met to claim the related MBS case conferencing items:</w:t>
      </w:r>
    </w:p>
    <w:p w14:paraId="75C3FCAC" w14:textId="77777777" w:rsidR="001906C7" w:rsidRPr="007F5EED" w:rsidRDefault="001906C7" w:rsidP="00806FE7">
      <w:pPr>
        <w:pStyle w:val="ListBullet"/>
      </w:pPr>
      <w:r w:rsidRPr="007F5EED">
        <w:t>A GP, prescribed medical practitioner, psychiatrist, or paediatrician organises and coordinates the case conference</w:t>
      </w:r>
    </w:p>
    <w:p w14:paraId="7AC13DA1" w14:textId="77777777" w:rsidR="001906C7" w:rsidRPr="007F5EED" w:rsidRDefault="001906C7" w:rsidP="00806FE7">
      <w:pPr>
        <w:pStyle w:val="ListBullet"/>
      </w:pPr>
      <w:r w:rsidRPr="007F5EED">
        <w:t>At least two other members of the multidisciplinary team attend the case conference</w:t>
      </w:r>
    </w:p>
    <w:p w14:paraId="62664019" w14:textId="77777777" w:rsidR="001906C7" w:rsidRPr="007F5EED" w:rsidRDefault="001906C7" w:rsidP="00806FE7">
      <w:pPr>
        <w:pStyle w:val="ListBullet"/>
      </w:pPr>
      <w:r w:rsidRPr="007F5EED">
        <w:t xml:space="preserve">The patient agrees to the case conference taking place and to the participation of all attending health professionals. </w:t>
      </w:r>
    </w:p>
    <w:p w14:paraId="01A9D772" w14:textId="77777777" w:rsidR="00F41A07" w:rsidRPr="002323EA" w:rsidRDefault="00F41A07" w:rsidP="00263F3A">
      <w:pPr>
        <w:pStyle w:val="Heading1"/>
      </w:pPr>
      <w:r w:rsidRPr="00047072">
        <w:t>Training</w:t>
      </w:r>
    </w:p>
    <w:p w14:paraId="6BBAEF20" w14:textId="6AA90685" w:rsidR="00F41A07" w:rsidRPr="00263F3A" w:rsidRDefault="00F41A07" w:rsidP="00263F3A">
      <w:r w:rsidRPr="00263F3A">
        <w:t xml:space="preserve">Training is essential to equip practitioners with the knowledge and skills needed to identify and safely treat someone at risk of, or suffering from an eating disorder. The following organisations provide training which may assist practitioners to meet the </w:t>
      </w:r>
      <w:r w:rsidR="0018050D" w:rsidRPr="00263F3A">
        <w:t xml:space="preserve">workforce competency standards: </w:t>
      </w:r>
      <w:hyperlink r:id="rId20" w:history="1">
        <w:r w:rsidR="0018050D" w:rsidRPr="00263F3A">
          <w:rPr>
            <w:rStyle w:val="Hyperlink"/>
          </w:rPr>
          <w:t>https://nedc.com.au/eating-disorder-resources/find-resources/show/workforce-core-competencies-a-competency-framework-for-eating-disorders-in-australia</w:t>
        </w:r>
      </w:hyperlink>
      <w:r w:rsidRPr="00263F3A">
        <w:t>:</w:t>
      </w:r>
    </w:p>
    <w:p w14:paraId="7D74A019" w14:textId="2F6E0103" w:rsidR="00F41A07" w:rsidRPr="00F531A9" w:rsidRDefault="00F41A07" w:rsidP="00806FE7">
      <w:pPr>
        <w:pStyle w:val="ListBullet"/>
        <w:rPr>
          <w:rStyle w:val="Hyperlink"/>
        </w:rPr>
      </w:pPr>
      <w:r w:rsidRPr="00F531A9">
        <w:t xml:space="preserve">The Australia and New Zealand Academy of eating disorders (ANZAED) - </w:t>
      </w:r>
      <w:hyperlink r:id="rId21" w:history="1">
        <w:r w:rsidRPr="00F531A9">
          <w:rPr>
            <w:rStyle w:val="Hyperlink"/>
          </w:rPr>
          <w:t>PD Hub - ANZAED</w:t>
        </w:r>
      </w:hyperlink>
      <w:r w:rsidR="0018050D">
        <w:t xml:space="preserve"> and </w:t>
      </w:r>
      <w:hyperlink r:id="rId22" w:history="1">
        <w:r w:rsidR="0018050D" w:rsidRPr="00F531A9">
          <w:rPr>
            <w:rStyle w:val="Hyperlink"/>
          </w:rPr>
          <w:t>Becoming Credentialed</w:t>
        </w:r>
      </w:hyperlink>
    </w:p>
    <w:p w14:paraId="7E2EE606" w14:textId="77777777" w:rsidR="00F41A07" w:rsidRPr="00F531A9" w:rsidRDefault="00F41A07" w:rsidP="00806FE7">
      <w:pPr>
        <w:pStyle w:val="ListBullet"/>
      </w:pPr>
      <w:r w:rsidRPr="00F531A9">
        <w:t xml:space="preserve">InsideOut Institute – </w:t>
      </w:r>
      <w:hyperlink r:id="rId23" w:history="1">
        <w:r w:rsidRPr="00F531A9">
          <w:rPr>
            <w:rStyle w:val="Hyperlink"/>
          </w:rPr>
          <w:t>eLearning</w:t>
        </w:r>
      </w:hyperlink>
    </w:p>
    <w:p w14:paraId="683B79A0" w14:textId="77777777" w:rsidR="00F41A07" w:rsidRPr="00F531A9" w:rsidRDefault="00F41A07" w:rsidP="00806FE7">
      <w:pPr>
        <w:pStyle w:val="ListBullet"/>
      </w:pPr>
      <w:r w:rsidRPr="00F531A9">
        <w:t xml:space="preserve">National Eating Disorders Collaboration - </w:t>
      </w:r>
      <w:hyperlink r:id="rId24" w:history="1">
        <w:r w:rsidRPr="00F531A9">
          <w:rPr>
            <w:rStyle w:val="Hyperlink"/>
          </w:rPr>
          <w:t>NEDC eLearning</w:t>
        </w:r>
      </w:hyperlink>
    </w:p>
    <w:p w14:paraId="4CB5DC4C" w14:textId="77777777" w:rsidR="00F41A07" w:rsidRPr="00F531A9" w:rsidRDefault="00F41A07" w:rsidP="00806FE7">
      <w:pPr>
        <w:pStyle w:val="ListBullet"/>
      </w:pPr>
      <w:r>
        <w:t>NEDC Approved Training</w:t>
      </w:r>
    </w:p>
    <w:p w14:paraId="77D11C08" w14:textId="77777777" w:rsidR="00F41A07" w:rsidRPr="00F531A9" w:rsidRDefault="00F41A07" w:rsidP="00806FE7">
      <w:pPr>
        <w:pStyle w:val="ListBullet"/>
      </w:pPr>
      <w:r>
        <w:t xml:space="preserve">NEDC Workforce Development Hub </w:t>
      </w:r>
    </w:p>
    <w:p w14:paraId="2C2D699A" w14:textId="77777777" w:rsidR="00F41A07" w:rsidRPr="00263F3A" w:rsidRDefault="00F41A07" w:rsidP="00263F3A">
      <w:r w:rsidRPr="00263F3A">
        <w:t>This list is not exhaustive but has been included to provide examples on the types of training available which may assist practitioners to upskill in this area.</w:t>
      </w:r>
    </w:p>
    <w:p w14:paraId="6538F4D0" w14:textId="77777777" w:rsidR="00F41A07" w:rsidRPr="002323EA" w:rsidRDefault="00F41A07" w:rsidP="00263F3A">
      <w:pPr>
        <w:pStyle w:val="Heading1"/>
      </w:pPr>
      <w:r w:rsidRPr="002323EA">
        <w:t xml:space="preserve">Further </w:t>
      </w:r>
      <w:r w:rsidRPr="00047072">
        <w:t>information</w:t>
      </w:r>
    </w:p>
    <w:p w14:paraId="5514AE6C" w14:textId="77777777" w:rsidR="00F41A07" w:rsidRPr="00806FE7" w:rsidRDefault="00F41A07" w:rsidP="00806FE7">
      <w:r w:rsidRPr="00806FE7">
        <w:t>Further information is available at </w:t>
      </w:r>
      <w:hyperlink r:id="rId25" w:history="1">
        <w:r w:rsidRPr="00F97C4B">
          <w:rPr>
            <w:rStyle w:val="Hyperlink"/>
          </w:rPr>
          <w:t>www.health.gov.au</w:t>
        </w:r>
      </w:hyperlink>
      <w:r w:rsidRPr="00F97C4B">
        <w:t xml:space="preserve"> </w:t>
      </w:r>
      <w:r w:rsidRPr="00806FE7">
        <w:t>or by calling Services Australia on 132 150 (for providers) or 132 011 (for patients).</w:t>
      </w:r>
    </w:p>
    <w:p w14:paraId="15743D6E" w14:textId="77777777" w:rsidR="00F41A07" w:rsidRPr="00263F3A" w:rsidRDefault="00F41A07" w:rsidP="00263F3A">
      <w:r w:rsidRPr="00263F3A">
        <w:t>Mental Health professionals should refer to the item descriptors and explanatory notes on </w:t>
      </w:r>
      <w:hyperlink r:id="rId26" w:history="1">
        <w:r w:rsidRPr="00263F3A">
          <w:rPr>
            <w:rStyle w:val="Hyperlink"/>
          </w:rPr>
          <w:t>MBS online</w:t>
        </w:r>
      </w:hyperlink>
      <w:r w:rsidRPr="00263F3A">
        <w:t>.</w:t>
      </w:r>
    </w:p>
    <w:p w14:paraId="74CB0032" w14:textId="0DE229CE" w:rsidR="00F41A07" w:rsidRPr="00263F3A" w:rsidRDefault="00F41A07" w:rsidP="00263F3A">
      <w:r w:rsidRPr="00263F3A">
        <w:t xml:space="preserve">Comparison between different Plans: </w:t>
      </w:r>
      <w:r w:rsidRPr="00263F3A">
        <w:rPr>
          <w:highlight w:val="yellow"/>
        </w:rPr>
        <w:t>Link to factsheet</w:t>
      </w:r>
    </w:p>
    <w:p w14:paraId="2AD36A83" w14:textId="36F5FEC0" w:rsidR="00F41A07" w:rsidRPr="00263F3A" w:rsidRDefault="00F41A07" w:rsidP="00263F3A">
      <w:r w:rsidRPr="00263F3A">
        <w:t xml:space="preserve">The </w:t>
      </w:r>
      <w:hyperlink r:id="rId27" w:history="1">
        <w:r w:rsidR="00F14E79" w:rsidRPr="00263F3A">
          <w:rPr>
            <w:rStyle w:val="Hyperlink"/>
          </w:rPr>
          <w:t>GP Hub</w:t>
        </w:r>
      </w:hyperlink>
      <w:r w:rsidR="00806FE7" w:rsidRPr="00263F3A">
        <w:t xml:space="preserve"> </w:t>
      </w:r>
      <w:r w:rsidRPr="00263F3A">
        <w:t xml:space="preserve">provides information and digital tools to build GP knowledge, confidence, and skills. Tools available support evidence-based screening, assessment, diagnostic decision-making, treatment, and management to people with </w:t>
      </w:r>
      <w:proofErr w:type="spellStart"/>
      <w:r w:rsidRPr="00263F3A">
        <w:t>EDs.</w:t>
      </w:r>
      <w:proofErr w:type="spellEnd"/>
    </w:p>
    <w:p w14:paraId="11724D66" w14:textId="77777777" w:rsidR="00F41A07" w:rsidRPr="00263F3A" w:rsidRDefault="00F41A07" w:rsidP="00263F3A">
      <w:r w:rsidRPr="00263F3A">
        <w:t>The Hub provides the following tools:</w:t>
      </w:r>
    </w:p>
    <w:p w14:paraId="690FF17B" w14:textId="77777777" w:rsidR="00F41A07" w:rsidRPr="00263F3A" w:rsidRDefault="00F41A07" w:rsidP="00263F3A">
      <w:pPr>
        <w:pStyle w:val="ListBullet"/>
      </w:pPr>
      <w:r w:rsidRPr="00263F3A">
        <w:t>Link to the treatment services databases and treatment team builder.</w:t>
      </w:r>
    </w:p>
    <w:p w14:paraId="23AFFB10" w14:textId="77777777" w:rsidR="00F41A07" w:rsidRPr="00263F3A" w:rsidRDefault="00F41A07" w:rsidP="00263F3A">
      <w:pPr>
        <w:pStyle w:val="ListBullet"/>
      </w:pPr>
      <w:r w:rsidRPr="00263F3A">
        <w:t xml:space="preserve">Evidence-based </w:t>
      </w:r>
      <w:proofErr w:type="spellStart"/>
      <w:r w:rsidRPr="00263F3A">
        <w:t>eScreener</w:t>
      </w:r>
      <w:proofErr w:type="spellEnd"/>
      <w:r w:rsidRPr="00263F3A">
        <w:t xml:space="preserve"> and </w:t>
      </w:r>
      <w:proofErr w:type="spellStart"/>
      <w:r w:rsidRPr="00263F3A">
        <w:t>eAssessment</w:t>
      </w:r>
      <w:proofErr w:type="spellEnd"/>
      <w:r w:rsidRPr="00263F3A">
        <w:t>.</w:t>
      </w:r>
    </w:p>
    <w:p w14:paraId="313F668F" w14:textId="77777777" w:rsidR="00F41A07" w:rsidRPr="00263F3A" w:rsidRDefault="00F41A07" w:rsidP="00263F3A">
      <w:pPr>
        <w:pStyle w:val="ListBullet"/>
      </w:pPr>
      <w:r w:rsidRPr="00263F3A">
        <w:t>Practice management toolkit.</w:t>
      </w:r>
    </w:p>
    <w:p w14:paraId="684E5C4E" w14:textId="77777777" w:rsidR="00F41A07" w:rsidRPr="007F5EED" w:rsidRDefault="00F41A07" w:rsidP="00806FE7">
      <w:pPr>
        <w:pStyle w:val="ListBullet"/>
      </w:pPr>
      <w:r w:rsidRPr="007F5EED">
        <w:t xml:space="preserve">Option to prescribe and link patients with the </w:t>
      </w:r>
      <w:proofErr w:type="spellStart"/>
      <w:r w:rsidRPr="007F5EED">
        <w:t>eTherapy</w:t>
      </w:r>
      <w:proofErr w:type="spellEnd"/>
      <w:r w:rsidRPr="007F5EED">
        <w:t xml:space="preserve"> platform.</w:t>
      </w:r>
    </w:p>
    <w:p w14:paraId="21380CCE" w14:textId="77777777" w:rsidR="00F41A07" w:rsidRPr="007F5EED" w:rsidRDefault="00F41A07" w:rsidP="00806FE7">
      <w:pPr>
        <w:pStyle w:val="ListBullet"/>
      </w:pPr>
      <w:r w:rsidRPr="007F5EED">
        <w:t>A clinical decision support tool.</w:t>
      </w:r>
    </w:p>
    <w:p w14:paraId="045344FE" w14:textId="75C0EF73" w:rsidR="006058E3" w:rsidRPr="00263F3A" w:rsidRDefault="006058E3" w:rsidP="00263F3A">
      <w:r w:rsidRPr="00263F3A">
        <w:t xml:space="preserve">Practitioners can also access the Eating Disorder Examination Questionnaire at </w:t>
      </w:r>
      <w:hyperlink r:id="rId28" w:tgtFrame="_blank" w:history="1">
        <w:r w:rsidRPr="00263F3A">
          <w:rPr>
            <w:rStyle w:val="Hyperlink"/>
          </w:rPr>
          <w:t>https://www.credo-oxford.com/pdfs/EDE_17.0D.pdf</w:t>
        </w:r>
      </w:hyperlink>
    </w:p>
    <w:p w14:paraId="5F27FA2F" w14:textId="77777777" w:rsidR="00F41A07" w:rsidRPr="00263F3A" w:rsidRDefault="00F41A07" w:rsidP="00263F3A">
      <w:r w:rsidRPr="00263F3A">
        <w:t>Templates (InsideOut Institute):</w:t>
      </w:r>
    </w:p>
    <w:p w14:paraId="28F155BF" w14:textId="77777777" w:rsidR="00F41A07" w:rsidRPr="00263F3A" w:rsidRDefault="00F41A07" w:rsidP="00263F3A">
      <w:hyperlink r:id="rId29" w:history="1">
        <w:r w:rsidRPr="00263F3A">
          <w:rPr>
            <w:rStyle w:val="Hyperlink"/>
          </w:rPr>
          <w:t>Eating Disorder Care Plan (EDP)</w:t>
        </w:r>
      </w:hyperlink>
    </w:p>
    <w:p w14:paraId="5976A17D" w14:textId="00F5B95B" w:rsidR="00F41A07" w:rsidRPr="00263F3A" w:rsidRDefault="00F41A07" w:rsidP="00263F3A">
      <w:hyperlink r:id="rId30" w:history="1">
        <w:r w:rsidRPr="00263F3A">
          <w:rPr>
            <w:rStyle w:val="Hyperlink"/>
          </w:rPr>
          <w:t>Eating Disorder Care Plan (EDP) Review</w:t>
        </w:r>
      </w:hyperlink>
    </w:p>
    <w:p w14:paraId="371E183F" w14:textId="77777777" w:rsidR="00F41A07" w:rsidRPr="00806FE7" w:rsidRDefault="00F41A07" w:rsidP="00806FE7">
      <w:pPr>
        <w:pStyle w:val="VisionBox"/>
      </w:pPr>
      <w:r w:rsidRPr="00806FE7">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894E894" w14:textId="57111FB8" w:rsidR="00F41A07" w:rsidRPr="00806FE7" w:rsidRDefault="00F41A07" w:rsidP="00806FE7">
      <w:pPr>
        <w:pStyle w:val="VisionBox"/>
      </w:pPr>
      <w:r w:rsidRPr="00806FE7">
        <w:t xml:space="preserve">This factsheet is current as of the </w:t>
      </w:r>
      <w:r w:rsidR="00BE213F" w:rsidRPr="00806FE7">
        <w:t>l</w:t>
      </w:r>
      <w:r w:rsidRPr="00806FE7">
        <w:t xml:space="preserve">ast updated date shown </w:t>
      </w:r>
      <w:r w:rsidR="00BE213F" w:rsidRPr="00806FE7">
        <w:t>below</w:t>
      </w:r>
      <w:r w:rsidRPr="00806FE7">
        <w:t xml:space="preserve"> and does not account for MBS changes since that date.</w:t>
      </w:r>
    </w:p>
    <w:p w14:paraId="23AB3861" w14:textId="77777777" w:rsidR="00F41A07" w:rsidRPr="00F531A9" w:rsidRDefault="00F41A07" w:rsidP="00F531A9">
      <w:r w:rsidRPr="00F531A9">
        <w:br w:type="page"/>
      </w:r>
    </w:p>
    <w:p w14:paraId="13B8A016" w14:textId="2DB80019" w:rsidR="00C06C99" w:rsidRPr="002323EA" w:rsidRDefault="00C06C99" w:rsidP="00263F3A">
      <w:pPr>
        <w:pStyle w:val="Heading1"/>
      </w:pPr>
      <w:bookmarkStart w:id="4" w:name="_Attachment_A_–"/>
      <w:bookmarkEnd w:id="4"/>
      <w:r w:rsidRPr="00263F3A">
        <w:t>Attachment A</w:t>
      </w:r>
      <w:r w:rsidR="0081148D" w:rsidRPr="00263F3A">
        <w:t xml:space="preserve"> – EDTMP </w:t>
      </w:r>
      <w:r w:rsidR="007C2BF3" w:rsidRPr="00263F3A">
        <w:t>Treatment Flowchart</w:t>
      </w:r>
      <w:r w:rsidR="00F41A07">
        <w:rPr>
          <w:noProof/>
        </w:rPr>
        <w:drawing>
          <wp:inline distT="0" distB="0" distL="0" distR="0" wp14:anchorId="6E1871E3" wp14:editId="793B3617">
            <wp:extent cx="5731510" cy="7734063"/>
            <wp:effectExtent l="0" t="0" r="2540" b="635"/>
            <wp:docPr id="1266460548" name="Picture 1" descr="A flowchart outlining the process of assessment, EDTMP creation, treatment and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8139" name="Picture 1" descr="A flowchart outlining the process of assessment, EDTMP creation, treatment and revie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7734063"/>
                    </a:xfrm>
                    <a:prstGeom prst="rect">
                      <a:avLst/>
                    </a:prstGeom>
                    <a:noFill/>
                    <a:ln>
                      <a:noFill/>
                    </a:ln>
                  </pic:spPr>
                </pic:pic>
              </a:graphicData>
            </a:graphic>
          </wp:inline>
        </w:drawing>
      </w:r>
    </w:p>
    <w:p w14:paraId="08424D10" w14:textId="79D29D89" w:rsidR="001F4695" w:rsidRPr="00F531A9" w:rsidRDefault="00C06C99" w:rsidP="00F531A9">
      <w:pPr>
        <w:pStyle w:val="Disclaimer"/>
      </w:pPr>
      <w:r w:rsidRPr="00F531A9">
        <w:t xml:space="preserve">National Eating Disorders Collaboration (2024) Treatment under an EDTMP – </w:t>
      </w:r>
      <w:r w:rsidRPr="00F531A9">
        <w:rPr>
          <w:rStyle w:val="Hyperlink"/>
        </w:rPr>
        <w:t xml:space="preserve">Flowchart, </w:t>
      </w:r>
      <w:r w:rsidR="007C2BF3" w:rsidRPr="00F531A9">
        <w:rPr>
          <w:rStyle w:val="Hyperlink"/>
        </w:rPr>
        <w:br/>
      </w:r>
      <w:hyperlink r:id="rId32" w:history="1">
        <w:r w:rsidRPr="00F531A9">
          <w:rPr>
            <w:rStyle w:val="Hyperlink"/>
          </w:rPr>
          <w:t>Eating Disorder Treatment and Management Plans</w:t>
        </w:r>
      </w:hyperlink>
      <w:r w:rsidRPr="00F531A9">
        <w:t xml:space="preserve">. </w:t>
      </w:r>
      <w:bookmarkEnd w:id="1"/>
      <w:bookmarkEnd w:id="2"/>
    </w:p>
    <w:sectPr w:rsidR="001F4695" w:rsidRPr="00F531A9" w:rsidSect="00F01114">
      <w:headerReference w:type="even" r:id="rId33"/>
      <w:footerReference w:type="even" r:id="rId34"/>
      <w:footerReference w:type="default" r:id="rId35"/>
      <w:headerReference w:type="first" r:id="rId36"/>
      <w:footerReference w:type="first" r:id="rId37"/>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182F" w14:textId="77777777" w:rsidR="00DB2E29" w:rsidRDefault="00DB2E29" w:rsidP="006B56BB">
      <w:r>
        <w:separator/>
      </w:r>
    </w:p>
    <w:p w14:paraId="2BF59B31" w14:textId="77777777" w:rsidR="00DB2E29" w:rsidRDefault="00DB2E29"/>
  </w:endnote>
  <w:endnote w:type="continuationSeparator" w:id="0">
    <w:p w14:paraId="6AC7FF1D" w14:textId="77777777" w:rsidR="00DB2E29" w:rsidRDefault="00DB2E29" w:rsidP="006B56BB">
      <w:r>
        <w:continuationSeparator/>
      </w:r>
    </w:p>
    <w:p w14:paraId="1592E782" w14:textId="77777777" w:rsidR="00DB2E29" w:rsidRDefault="00DB2E29"/>
  </w:endnote>
  <w:endnote w:type="continuationNotice" w:id="1">
    <w:p w14:paraId="7ED8EEA8" w14:textId="77777777" w:rsidR="00DB2E29" w:rsidRDefault="00DB2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92BB" w14:textId="656E03F3" w:rsidR="00A3056D" w:rsidRDefault="00A3056D">
    <w:pPr>
      <w:pStyle w:val="Footer"/>
    </w:pPr>
    <w:r>
      <w:rPr>
        <w:noProof/>
      </w:rPr>
      <mc:AlternateContent>
        <mc:Choice Requires="wps">
          <w:drawing>
            <wp:anchor distT="0" distB="0" distL="0" distR="0" simplePos="0" relativeHeight="251660800" behindDoc="0" locked="0" layoutInCell="1" allowOverlap="1" wp14:anchorId="489A70B2" wp14:editId="5150961D">
              <wp:simplePos x="635" y="635"/>
              <wp:positionH relativeFrom="page">
                <wp:align>center</wp:align>
              </wp:positionH>
              <wp:positionV relativeFrom="page">
                <wp:align>bottom</wp:align>
              </wp:positionV>
              <wp:extent cx="551815" cy="368300"/>
              <wp:effectExtent l="0" t="0" r="635" b="0"/>
              <wp:wrapNone/>
              <wp:docPr id="6650305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68300"/>
                      </a:xfrm>
                      <a:prstGeom prst="rect">
                        <a:avLst/>
                      </a:prstGeom>
                      <a:noFill/>
                      <a:ln>
                        <a:noFill/>
                      </a:ln>
                    </wps:spPr>
                    <wps:txbx>
                      <w:txbxContent>
                        <w:p w14:paraId="0FF4AD96" w14:textId="38B40E76" w:rsidR="00A3056D" w:rsidRPr="00A3056D" w:rsidRDefault="00A3056D" w:rsidP="00A3056D">
                          <w:pPr>
                            <w:spacing w:after="0"/>
                            <w:rPr>
                              <w:rFonts w:ascii="Calibri" w:eastAsia="Calibri" w:hAnsi="Calibri" w:cs="Calibri"/>
                              <w:noProof/>
                              <w:color w:val="FF0000"/>
                              <w:sz w:val="24"/>
                              <w:szCs w:val="24"/>
                            </w:rPr>
                          </w:pPr>
                          <w:r w:rsidRPr="00A3056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A70B2"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" filled="f" stroked="f">
              <v:textbox style="mso-fit-shape-to-text:t" inset="0,0,0,15pt">
                <w:txbxContent>
                  <w:p w14:paraId="0FF4AD96" w14:textId="38B40E76" w:rsidR="00A3056D" w:rsidRPr="00A3056D" w:rsidRDefault="00A3056D" w:rsidP="00A3056D">
                    <w:pPr>
                      <w:spacing w:after="0"/>
                      <w:rPr>
                        <w:rFonts w:ascii="Calibri" w:eastAsia="Calibri" w:hAnsi="Calibri" w:cs="Calibri"/>
                        <w:noProof/>
                        <w:color w:val="FF0000"/>
                        <w:sz w:val="24"/>
                        <w:szCs w:val="24"/>
                      </w:rPr>
                    </w:pPr>
                    <w:r w:rsidRPr="00A3056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568A" w14:textId="66B158A4" w:rsidR="00A475F0" w:rsidRDefault="00000000" w:rsidP="00A475F0">
    <w:pPr>
      <w:pStyle w:val="Footer"/>
      <w:jc w:val="left"/>
    </w:pPr>
    <w:r>
      <w:rPr>
        <w:rStyle w:val="BookTitle"/>
        <w:noProof/>
      </w:rPr>
      <w:pict w14:anchorId="391B718D">
        <v:rect id="_x0000_i1025" style="width:523.3pt;height:1.9pt" o:hralign="center" o:hrstd="t" o:hr="t" fillcolor="#a0a0a0" stroked="f"/>
      </w:pict>
    </w:r>
  </w:p>
  <w:p w14:paraId="52F2A873" w14:textId="77777777" w:rsidR="00A475F0" w:rsidRDefault="00A475F0" w:rsidP="00A475F0">
    <w:pPr>
      <w:pStyle w:val="Footer"/>
      <w:jc w:val="left"/>
    </w:pPr>
    <w:r>
      <w:t>Medicare Benefits Schedule</w:t>
    </w:r>
  </w:p>
  <w:p w14:paraId="0C02D976" w14:textId="1C039E2F" w:rsidR="00A475F0" w:rsidRDefault="00464F5D" w:rsidP="00A475F0">
    <w:pPr>
      <w:pStyle w:val="Footer"/>
      <w:tabs>
        <w:tab w:val="clear" w:pos="9026"/>
        <w:tab w:val="right" w:pos="10466"/>
      </w:tabs>
      <w:jc w:val="left"/>
    </w:pPr>
    <w:r>
      <w:rPr>
        <w:b/>
        <w:bCs/>
      </w:rPr>
      <w:t>MBS Eating Disorders Factsheet for Health Practitioners</w:t>
    </w:r>
    <w:r>
      <w:t xml:space="preserve"> </w:t>
    </w:r>
    <w:sdt>
      <w:sdtPr>
        <w:id w:val="-641741529"/>
        <w:docPartObj>
          <w:docPartGallery w:val="Page Numbers (Bottom of Page)"/>
          <w:docPartUnique/>
        </w:docPartObj>
      </w:sdtPr>
      <w:sdtEndPr>
        <w:rPr>
          <w:noProof/>
        </w:rPr>
      </w:sdtEndPr>
      <w:sdtContent>
        <w:r w:rsidR="00A475F0">
          <w:tab/>
        </w:r>
        <w:sdt>
          <w:sdtPr>
            <w:id w:val="-1046756876"/>
            <w:docPartObj>
              <w:docPartGallery w:val="Page Numbers (Bottom of Page)"/>
              <w:docPartUnique/>
            </w:docPartObj>
          </w:sdtPr>
          <w:sdtContent>
            <w:sdt>
              <w:sdtPr>
                <w:id w:val="71476992"/>
                <w:docPartObj>
                  <w:docPartGallery w:val="Page Numbers (Top of Page)"/>
                  <w:docPartUnique/>
                </w:docPartObj>
              </w:sdtPr>
              <w:sdtContent>
                <w:r w:rsidR="00A475F0" w:rsidRPr="00F546CA">
                  <w:t>Page</w:t>
                </w:r>
                <w:r w:rsidR="00A475F0">
                  <w:t xml:space="preserve"> </w:t>
                </w:r>
                <w:r w:rsidR="00A475F0" w:rsidRPr="00F546CA">
                  <w:rPr>
                    <w:bCs/>
                    <w:sz w:val="24"/>
                  </w:rPr>
                  <w:fldChar w:fldCharType="begin"/>
                </w:r>
                <w:r w:rsidR="00A475F0" w:rsidRPr="00F546CA">
                  <w:rPr>
                    <w:bCs/>
                  </w:rPr>
                  <w:instrText xml:space="preserve"> PAGE </w:instrText>
                </w:r>
                <w:r w:rsidR="00A475F0" w:rsidRPr="00F546CA">
                  <w:rPr>
                    <w:bCs/>
                    <w:sz w:val="24"/>
                  </w:rPr>
                  <w:fldChar w:fldCharType="separate"/>
                </w:r>
                <w:r w:rsidR="00A475F0">
                  <w:rPr>
                    <w:bCs/>
                    <w:sz w:val="24"/>
                  </w:rPr>
                  <w:t>1</w:t>
                </w:r>
                <w:r w:rsidR="00A475F0" w:rsidRPr="00F546CA">
                  <w:rPr>
                    <w:bCs/>
                    <w:sz w:val="24"/>
                  </w:rPr>
                  <w:fldChar w:fldCharType="end"/>
                </w:r>
                <w:r w:rsidR="00A475F0" w:rsidRPr="00F546CA">
                  <w:t xml:space="preserve"> of </w:t>
                </w:r>
                <w:r w:rsidR="00A475F0" w:rsidRPr="00F546CA">
                  <w:rPr>
                    <w:bCs/>
                    <w:sz w:val="24"/>
                  </w:rPr>
                  <w:fldChar w:fldCharType="begin"/>
                </w:r>
                <w:r w:rsidR="00A475F0" w:rsidRPr="00F546CA">
                  <w:rPr>
                    <w:bCs/>
                  </w:rPr>
                  <w:instrText xml:space="preserve"> NUMPAGES  </w:instrText>
                </w:r>
                <w:r w:rsidR="00A475F0" w:rsidRPr="00F546CA">
                  <w:rPr>
                    <w:bCs/>
                    <w:sz w:val="24"/>
                  </w:rPr>
                  <w:fldChar w:fldCharType="separate"/>
                </w:r>
                <w:r w:rsidR="00A475F0">
                  <w:rPr>
                    <w:bCs/>
                    <w:sz w:val="24"/>
                  </w:rPr>
                  <w:t>2</w:t>
                </w:r>
                <w:r w:rsidR="00A475F0" w:rsidRPr="00F546CA">
                  <w:rPr>
                    <w:bCs/>
                    <w:sz w:val="24"/>
                  </w:rPr>
                  <w:fldChar w:fldCharType="end"/>
                </w:r>
              </w:sdtContent>
            </w:sdt>
          </w:sdtContent>
        </w:sdt>
        <w:r w:rsidR="00A475F0">
          <w:t xml:space="preserve"> </w:t>
        </w:r>
      </w:sdtContent>
    </w:sdt>
  </w:p>
  <w:p w14:paraId="28E124A8" w14:textId="629F9477" w:rsidR="00BA6073" w:rsidRPr="004C355C" w:rsidRDefault="00A475F0" w:rsidP="004C355C">
    <w:pPr>
      <w:pStyle w:val="Footer"/>
      <w:tabs>
        <w:tab w:val="clear" w:pos="9026"/>
        <w:tab w:val="right" w:pos="10466"/>
      </w:tabs>
      <w:jc w:val="left"/>
      <w:rPr>
        <w:rFonts w:cs="Arial"/>
        <w:szCs w:val="21"/>
        <w:shd w:val="clear" w:color="auto" w:fill="FFFFFF"/>
      </w:rPr>
    </w:pPr>
    <w:hyperlink r:id="rId1" w:history="1">
      <w:r w:rsidRPr="00E863C4">
        <w:rPr>
          <w:rStyle w:val="Hyperlink"/>
          <w:szCs w:val="18"/>
        </w:rPr>
        <w:t>MBS Online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18E5" w14:textId="2F9A4D07" w:rsidR="00A475F0" w:rsidRDefault="00000000" w:rsidP="00FB79EF">
    <w:pPr>
      <w:pStyle w:val="Footer"/>
      <w:jc w:val="left"/>
    </w:pPr>
    <w:r>
      <w:rPr>
        <w:rStyle w:val="BookTitle"/>
        <w:noProof/>
      </w:rPr>
      <w:pict w14:anchorId="6CAA8DEC">
        <v:rect id="_x0000_i1026" style="width:523.3pt;height:1.9pt" o:hralign="center" o:hrstd="t" o:hr="t" fillcolor="#a0a0a0" stroked="f"/>
      </w:pict>
    </w:r>
  </w:p>
  <w:p w14:paraId="75E20E78" w14:textId="118A6F72" w:rsidR="00FB79EF" w:rsidRDefault="00FB79EF" w:rsidP="00FB79EF">
    <w:pPr>
      <w:pStyle w:val="Footer"/>
      <w:jc w:val="left"/>
    </w:pPr>
    <w:r>
      <w:t>Medicare Benefits Schedule</w:t>
    </w:r>
  </w:p>
  <w:p w14:paraId="7C520295" w14:textId="3471B58D" w:rsidR="00FB79EF" w:rsidRDefault="00B80031" w:rsidP="00FB79EF">
    <w:pPr>
      <w:pStyle w:val="Footer"/>
      <w:tabs>
        <w:tab w:val="clear" w:pos="9026"/>
        <w:tab w:val="right" w:pos="10466"/>
      </w:tabs>
      <w:jc w:val="left"/>
    </w:pPr>
    <w:r>
      <w:rPr>
        <w:b/>
        <w:bCs/>
      </w:rPr>
      <w:t xml:space="preserve">MBS </w:t>
    </w:r>
    <w:r w:rsidR="00464F5D">
      <w:rPr>
        <w:b/>
        <w:bCs/>
      </w:rPr>
      <w:t xml:space="preserve">Eating Disorders </w:t>
    </w:r>
    <w:r>
      <w:rPr>
        <w:b/>
        <w:bCs/>
      </w:rPr>
      <w:t xml:space="preserve">Factsheet </w:t>
    </w:r>
    <w:r w:rsidR="00464F5D">
      <w:rPr>
        <w:b/>
        <w:bCs/>
      </w:rPr>
      <w:t>for Health Practitioners</w:t>
    </w:r>
    <w:sdt>
      <w:sdtPr>
        <w:id w:val="1621803009"/>
        <w:docPartObj>
          <w:docPartGallery w:val="Page Numbers (Bottom of Page)"/>
          <w:docPartUnique/>
        </w:docPartObj>
      </w:sdtPr>
      <w:sdtEndPr>
        <w:rPr>
          <w:noProof/>
        </w:rPr>
      </w:sdtEndPr>
      <w:sdtContent>
        <w:r w:rsidR="00FB79EF">
          <w:tab/>
        </w:r>
        <w:sdt>
          <w:sdtPr>
            <w:id w:val="1079186702"/>
            <w:docPartObj>
              <w:docPartGallery w:val="Page Numbers (Bottom of Page)"/>
              <w:docPartUnique/>
            </w:docPartObj>
          </w:sdtPr>
          <w:sdtContent>
            <w:sdt>
              <w:sdtPr>
                <w:id w:val="-115296532"/>
                <w:docPartObj>
                  <w:docPartGallery w:val="Page Numbers (Top of Page)"/>
                  <w:docPartUnique/>
                </w:docPartObj>
              </w:sdtPr>
              <w:sdtContent>
                <w:r w:rsidR="00FB79EF" w:rsidRPr="00F546CA">
                  <w:t>Page</w:t>
                </w:r>
                <w:r w:rsidR="00795706">
                  <w:t xml:space="preserve"> </w:t>
                </w:r>
                <w:r w:rsidR="00FB79EF" w:rsidRPr="00F546CA">
                  <w:rPr>
                    <w:bCs/>
                    <w:sz w:val="24"/>
                  </w:rPr>
                  <w:fldChar w:fldCharType="begin"/>
                </w:r>
                <w:r w:rsidR="00FB79EF" w:rsidRPr="00F546CA">
                  <w:rPr>
                    <w:bCs/>
                  </w:rPr>
                  <w:instrText xml:space="preserve"> PAGE </w:instrText>
                </w:r>
                <w:r w:rsidR="00FB79EF" w:rsidRPr="00F546CA">
                  <w:rPr>
                    <w:bCs/>
                    <w:sz w:val="24"/>
                  </w:rPr>
                  <w:fldChar w:fldCharType="separate"/>
                </w:r>
                <w:r w:rsidR="00FB79EF">
                  <w:rPr>
                    <w:bCs/>
                    <w:sz w:val="24"/>
                  </w:rPr>
                  <w:t>2</w:t>
                </w:r>
                <w:r w:rsidR="00FB79EF" w:rsidRPr="00F546CA">
                  <w:rPr>
                    <w:bCs/>
                    <w:sz w:val="24"/>
                  </w:rPr>
                  <w:fldChar w:fldCharType="end"/>
                </w:r>
                <w:r w:rsidR="00FB79EF" w:rsidRPr="00F546CA">
                  <w:t xml:space="preserve"> of </w:t>
                </w:r>
                <w:r w:rsidR="00FB79EF" w:rsidRPr="00F546CA">
                  <w:rPr>
                    <w:bCs/>
                    <w:sz w:val="24"/>
                  </w:rPr>
                  <w:fldChar w:fldCharType="begin"/>
                </w:r>
                <w:r w:rsidR="00FB79EF" w:rsidRPr="00F546CA">
                  <w:rPr>
                    <w:bCs/>
                  </w:rPr>
                  <w:instrText xml:space="preserve"> NUMPAGES  </w:instrText>
                </w:r>
                <w:r w:rsidR="00FB79EF" w:rsidRPr="00F546CA">
                  <w:rPr>
                    <w:bCs/>
                    <w:sz w:val="24"/>
                  </w:rPr>
                  <w:fldChar w:fldCharType="separate"/>
                </w:r>
                <w:r w:rsidR="00FB79EF">
                  <w:rPr>
                    <w:bCs/>
                    <w:sz w:val="24"/>
                  </w:rPr>
                  <w:t>4</w:t>
                </w:r>
                <w:r w:rsidR="00FB79EF" w:rsidRPr="00F546CA">
                  <w:rPr>
                    <w:bCs/>
                    <w:sz w:val="24"/>
                  </w:rPr>
                  <w:fldChar w:fldCharType="end"/>
                </w:r>
              </w:sdtContent>
            </w:sdt>
          </w:sdtContent>
        </w:sdt>
        <w:r w:rsidR="00FB79EF">
          <w:t xml:space="preserve"> </w:t>
        </w:r>
      </w:sdtContent>
    </w:sdt>
  </w:p>
  <w:p w14:paraId="713A0B08" w14:textId="77777777" w:rsidR="00FB79EF" w:rsidRPr="006C6F20" w:rsidRDefault="00FB79EF" w:rsidP="00FB79EF">
    <w:pPr>
      <w:pStyle w:val="Footer"/>
      <w:tabs>
        <w:tab w:val="clear" w:pos="9026"/>
        <w:tab w:val="right" w:pos="10466"/>
      </w:tabs>
      <w:jc w:val="left"/>
      <w:rPr>
        <w:rStyle w:val="Hyperlink"/>
        <w:color w:val="auto"/>
        <w:u w:val="none"/>
      </w:rPr>
    </w:pPr>
    <w:hyperlink r:id="rId1" w:history="1">
      <w:r w:rsidRPr="00E863C4">
        <w:rPr>
          <w:rStyle w:val="Hyperlink"/>
          <w:szCs w:val="18"/>
        </w:rPr>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A120" w14:textId="77777777" w:rsidR="00DB2E29" w:rsidRDefault="00DB2E29" w:rsidP="006B56BB">
      <w:r>
        <w:separator/>
      </w:r>
    </w:p>
    <w:p w14:paraId="0C051C19" w14:textId="77777777" w:rsidR="00DB2E29" w:rsidRDefault="00DB2E29"/>
  </w:footnote>
  <w:footnote w:type="continuationSeparator" w:id="0">
    <w:p w14:paraId="7CB64E99" w14:textId="77777777" w:rsidR="00DB2E29" w:rsidRDefault="00DB2E29" w:rsidP="006B56BB">
      <w:r>
        <w:continuationSeparator/>
      </w:r>
    </w:p>
    <w:p w14:paraId="78F23EB0" w14:textId="77777777" w:rsidR="00DB2E29" w:rsidRDefault="00DB2E29"/>
  </w:footnote>
  <w:footnote w:type="continuationNotice" w:id="1">
    <w:p w14:paraId="5D5CEA12" w14:textId="77777777" w:rsidR="00DB2E29" w:rsidRDefault="00DB2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C8BF" w14:textId="08430CBC" w:rsidR="00A3056D" w:rsidRDefault="00A3056D">
    <w:pPr>
      <w:pStyle w:val="Header"/>
    </w:pPr>
    <w:r>
      <w:rPr>
        <w:noProof/>
      </w:rPr>
      <mc:AlternateContent>
        <mc:Choice Requires="wps">
          <w:drawing>
            <wp:anchor distT="0" distB="0" distL="0" distR="0" simplePos="0" relativeHeight="251655680" behindDoc="0" locked="0" layoutInCell="1" allowOverlap="1" wp14:anchorId="0F4C400C" wp14:editId="688F720E">
              <wp:simplePos x="635" y="635"/>
              <wp:positionH relativeFrom="page">
                <wp:align>center</wp:align>
              </wp:positionH>
              <wp:positionV relativeFrom="page">
                <wp:align>top</wp:align>
              </wp:positionV>
              <wp:extent cx="551815" cy="368300"/>
              <wp:effectExtent l="0" t="0" r="635" b="12700"/>
              <wp:wrapNone/>
              <wp:docPr id="19777920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68300"/>
                      </a:xfrm>
                      <a:prstGeom prst="rect">
                        <a:avLst/>
                      </a:prstGeom>
                      <a:noFill/>
                      <a:ln>
                        <a:noFill/>
                      </a:ln>
                    </wps:spPr>
                    <wps:txbx>
                      <w:txbxContent>
                        <w:p w14:paraId="798CF22C" w14:textId="2F33791F" w:rsidR="00A3056D" w:rsidRPr="00A3056D" w:rsidRDefault="00A3056D" w:rsidP="00A3056D">
                          <w:pPr>
                            <w:spacing w:after="0"/>
                            <w:rPr>
                              <w:rFonts w:ascii="Calibri" w:eastAsia="Calibri" w:hAnsi="Calibri" w:cs="Calibri"/>
                              <w:noProof/>
                              <w:color w:val="FF0000"/>
                              <w:sz w:val="24"/>
                              <w:szCs w:val="24"/>
                            </w:rPr>
                          </w:pPr>
                          <w:r w:rsidRPr="00A3056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C400C" id="_x0000_t202" coordsize="21600,21600" o:spt="202" path="m,l,21600r21600,l21600,xe">
              <v:stroke joinstyle="miter"/>
              <v:path gradientshapeok="t" o:connecttype="rect"/>
            </v:shapetype>
            <v:shape id="Text Box 2" o:spid="_x0000_s1026" type="#_x0000_t202" alt="OFFICIAL" style="position:absolute;margin-left:0;margin-top:0;width:43.45pt;height:29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" filled="f" stroked="f">
              <v:textbox style="mso-fit-shape-to-text:t" inset="0,15pt,0,0">
                <w:txbxContent>
                  <w:p w14:paraId="798CF22C" w14:textId="2F33791F" w:rsidR="00A3056D" w:rsidRPr="00A3056D" w:rsidRDefault="00A3056D" w:rsidP="00A3056D">
                    <w:pPr>
                      <w:spacing w:after="0"/>
                      <w:rPr>
                        <w:rFonts w:ascii="Calibri" w:eastAsia="Calibri" w:hAnsi="Calibri" w:cs="Calibri"/>
                        <w:noProof/>
                        <w:color w:val="FF0000"/>
                        <w:sz w:val="24"/>
                        <w:szCs w:val="24"/>
                      </w:rPr>
                    </w:pPr>
                    <w:r w:rsidRPr="00A3056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515A56A3" w:rsidR="00B53987" w:rsidRDefault="004C355C">
    <w:pPr>
      <w:pStyle w:val="Header"/>
    </w:pPr>
    <w:r>
      <w:rPr>
        <w:noProof/>
        <w:lang w:eastAsia="en-AU"/>
      </w:rPr>
      <w:drawing>
        <wp:inline distT="0" distB="0" distL="0" distR="0" wp14:anchorId="11BA8A74" wp14:editId="7F346DAC">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FC0D7E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03148F1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CF5BE4"/>
    <w:multiLevelType w:val="hybridMultilevel"/>
    <w:tmpl w:val="0A92E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C2666"/>
    <w:multiLevelType w:val="hybridMultilevel"/>
    <w:tmpl w:val="C532C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653AFE30"/>
    <w:lvl w:ilvl="0" w:tplc="3166A752">
      <w:start w:val="1"/>
      <w:numFmt w:val="bullet"/>
      <w:pStyle w:val="ListBullet"/>
      <w:lvlText w:val=""/>
      <w:lvlJc w:val="left"/>
      <w:pPr>
        <w:ind w:left="644" w:hanging="360"/>
      </w:pPr>
      <w:rPr>
        <w:rFonts w:ascii="Symbol" w:hAnsi="Symbol" w:hint="default"/>
        <w:color w:val="auto"/>
      </w:rPr>
    </w:lvl>
    <w:lvl w:ilvl="1" w:tplc="BF9AFD7E">
      <w:start w:val="1"/>
      <w:numFmt w:val="bullet"/>
      <w:pStyle w:val="ListBullet2"/>
      <w:lvlText w:val="o"/>
      <w:lvlJc w:val="left"/>
      <w:pPr>
        <w:ind w:left="1724" w:hanging="360"/>
      </w:pPr>
      <w:rPr>
        <w:rFonts w:ascii="Courier New" w:hAnsi="Courier New" w:cs="Courier New" w:hint="default"/>
      </w:rPr>
    </w:lvl>
    <w:lvl w:ilvl="2" w:tplc="2542CE08">
      <w:start w:val="1"/>
      <w:numFmt w:val="bullet"/>
      <w:pStyle w:val="ListBullet3"/>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732355C"/>
    <w:multiLevelType w:val="hybridMultilevel"/>
    <w:tmpl w:val="AD32015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DC1ADB"/>
    <w:multiLevelType w:val="hybridMultilevel"/>
    <w:tmpl w:val="D10A102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6A54E9"/>
    <w:multiLevelType w:val="multilevel"/>
    <w:tmpl w:val="466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6925A9"/>
    <w:multiLevelType w:val="hybridMultilevel"/>
    <w:tmpl w:val="1B52824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FE51687"/>
    <w:multiLevelType w:val="hybridMultilevel"/>
    <w:tmpl w:val="10866166"/>
    <w:lvl w:ilvl="0" w:tplc="0C090001">
      <w:start w:val="1"/>
      <w:numFmt w:val="bullet"/>
      <w:lvlText w:val=""/>
      <w:lvlJc w:val="left"/>
      <w:pPr>
        <w:ind w:left="360" w:hanging="360"/>
      </w:pPr>
      <w:rPr>
        <w:rFonts w:ascii="Symbol" w:hAnsi="Symbol" w:hint="default"/>
        <w:color w:val="000000" w:themeColor="text1"/>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D3327A"/>
    <w:multiLevelType w:val="hybridMultilevel"/>
    <w:tmpl w:val="0C80C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A93E17"/>
    <w:multiLevelType w:val="hybridMultilevel"/>
    <w:tmpl w:val="5ED48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DC1FCA"/>
    <w:multiLevelType w:val="multilevel"/>
    <w:tmpl w:val="5BE4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A0316"/>
    <w:multiLevelType w:val="hybridMultilevel"/>
    <w:tmpl w:val="48A41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D8B430FE"/>
    <w:lvl w:ilvl="0" w:tplc="F5E8719A">
      <w:start w:val="1"/>
      <w:numFmt w:val="bullet"/>
      <w:pStyle w:val="Tablelistbullet"/>
      <w:lvlText w:val=""/>
      <w:lvlJc w:val="left"/>
      <w:pPr>
        <w:ind w:left="2277" w:hanging="360"/>
      </w:pPr>
      <w:rPr>
        <w:rFonts w:ascii="Symbol" w:hAnsi="Symbol" w:hint="default"/>
      </w:rPr>
    </w:lvl>
    <w:lvl w:ilvl="1" w:tplc="0C090003" w:tentative="1">
      <w:start w:val="1"/>
      <w:numFmt w:val="bullet"/>
      <w:lvlText w:val="o"/>
      <w:lvlJc w:val="left"/>
      <w:pPr>
        <w:ind w:left="1372" w:hanging="360"/>
      </w:pPr>
      <w:rPr>
        <w:rFonts w:ascii="Courier New" w:hAnsi="Courier New" w:cs="Courier New" w:hint="default"/>
      </w:rPr>
    </w:lvl>
    <w:lvl w:ilvl="2" w:tplc="0C090005" w:tentative="1">
      <w:start w:val="1"/>
      <w:numFmt w:val="bullet"/>
      <w:lvlText w:val=""/>
      <w:lvlJc w:val="left"/>
      <w:pPr>
        <w:ind w:left="2092" w:hanging="360"/>
      </w:pPr>
      <w:rPr>
        <w:rFonts w:ascii="Wingdings" w:hAnsi="Wingdings" w:hint="default"/>
      </w:rPr>
    </w:lvl>
    <w:lvl w:ilvl="3" w:tplc="0C090001" w:tentative="1">
      <w:start w:val="1"/>
      <w:numFmt w:val="bullet"/>
      <w:lvlText w:val=""/>
      <w:lvlJc w:val="left"/>
      <w:pPr>
        <w:ind w:left="2812" w:hanging="360"/>
      </w:pPr>
      <w:rPr>
        <w:rFonts w:ascii="Symbol" w:hAnsi="Symbol" w:hint="default"/>
      </w:rPr>
    </w:lvl>
    <w:lvl w:ilvl="4" w:tplc="0C090003" w:tentative="1">
      <w:start w:val="1"/>
      <w:numFmt w:val="bullet"/>
      <w:lvlText w:val="o"/>
      <w:lvlJc w:val="left"/>
      <w:pPr>
        <w:ind w:left="3532" w:hanging="360"/>
      </w:pPr>
      <w:rPr>
        <w:rFonts w:ascii="Courier New" w:hAnsi="Courier New" w:cs="Courier New" w:hint="default"/>
      </w:rPr>
    </w:lvl>
    <w:lvl w:ilvl="5" w:tplc="0C090005" w:tentative="1">
      <w:start w:val="1"/>
      <w:numFmt w:val="bullet"/>
      <w:lvlText w:val=""/>
      <w:lvlJc w:val="left"/>
      <w:pPr>
        <w:ind w:left="4252" w:hanging="360"/>
      </w:pPr>
      <w:rPr>
        <w:rFonts w:ascii="Wingdings" w:hAnsi="Wingdings" w:hint="default"/>
      </w:rPr>
    </w:lvl>
    <w:lvl w:ilvl="6" w:tplc="0C090001" w:tentative="1">
      <w:start w:val="1"/>
      <w:numFmt w:val="bullet"/>
      <w:lvlText w:val=""/>
      <w:lvlJc w:val="left"/>
      <w:pPr>
        <w:ind w:left="4972" w:hanging="360"/>
      </w:pPr>
      <w:rPr>
        <w:rFonts w:ascii="Symbol" w:hAnsi="Symbol" w:hint="default"/>
      </w:rPr>
    </w:lvl>
    <w:lvl w:ilvl="7" w:tplc="0C090003" w:tentative="1">
      <w:start w:val="1"/>
      <w:numFmt w:val="bullet"/>
      <w:lvlText w:val="o"/>
      <w:lvlJc w:val="left"/>
      <w:pPr>
        <w:ind w:left="5692" w:hanging="360"/>
      </w:pPr>
      <w:rPr>
        <w:rFonts w:ascii="Courier New" w:hAnsi="Courier New" w:cs="Courier New" w:hint="default"/>
      </w:rPr>
    </w:lvl>
    <w:lvl w:ilvl="8" w:tplc="0C090005" w:tentative="1">
      <w:start w:val="1"/>
      <w:numFmt w:val="bullet"/>
      <w:lvlText w:val=""/>
      <w:lvlJc w:val="left"/>
      <w:pPr>
        <w:ind w:left="6412" w:hanging="360"/>
      </w:pPr>
      <w:rPr>
        <w:rFonts w:ascii="Wingdings" w:hAnsi="Wingdings" w:hint="default"/>
      </w:rPr>
    </w:lvl>
  </w:abstractNum>
  <w:abstractNum w:abstractNumId="30" w15:restartNumberingAfterBreak="0">
    <w:nsid w:val="799A6D08"/>
    <w:multiLevelType w:val="hybridMultilevel"/>
    <w:tmpl w:val="2B12C974"/>
    <w:lvl w:ilvl="0" w:tplc="051EA3A2">
      <w:start w:val="10"/>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31" w15:restartNumberingAfterBreak="0">
    <w:nsid w:val="7A281987"/>
    <w:multiLevelType w:val="hybridMultilevel"/>
    <w:tmpl w:val="DB96A55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30652173">
    <w:abstractNumId w:val="7"/>
  </w:num>
  <w:num w:numId="2" w16cid:durableId="273637554">
    <w:abstractNumId w:val="21"/>
  </w:num>
  <w:num w:numId="3" w16cid:durableId="204103331">
    <w:abstractNumId w:val="29"/>
  </w:num>
  <w:num w:numId="4" w16cid:durableId="882640235">
    <w:abstractNumId w:val="8"/>
  </w:num>
  <w:num w:numId="5" w16cid:durableId="1401252428">
    <w:abstractNumId w:val="8"/>
    <w:lvlOverride w:ilvl="0">
      <w:startOverride w:val="1"/>
    </w:lvlOverride>
  </w:num>
  <w:num w:numId="6" w16cid:durableId="1027292219">
    <w:abstractNumId w:val="10"/>
  </w:num>
  <w:num w:numId="7" w16cid:durableId="587693650">
    <w:abstractNumId w:val="19"/>
  </w:num>
  <w:num w:numId="8" w16cid:durableId="403645709">
    <w:abstractNumId w:val="28"/>
  </w:num>
  <w:num w:numId="9" w16cid:durableId="1521385061">
    <w:abstractNumId w:val="5"/>
  </w:num>
  <w:num w:numId="10" w16cid:durableId="1796488671">
    <w:abstractNumId w:val="4"/>
  </w:num>
  <w:num w:numId="11" w16cid:durableId="260332407">
    <w:abstractNumId w:val="3"/>
  </w:num>
  <w:num w:numId="12" w16cid:durableId="2106916968">
    <w:abstractNumId w:val="2"/>
  </w:num>
  <w:num w:numId="13" w16cid:durableId="131680138">
    <w:abstractNumId w:val="6"/>
  </w:num>
  <w:num w:numId="14" w16cid:durableId="893079137">
    <w:abstractNumId w:val="1"/>
  </w:num>
  <w:num w:numId="15" w16cid:durableId="96298233">
    <w:abstractNumId w:val="0"/>
  </w:num>
  <w:num w:numId="16" w16cid:durableId="1466390889">
    <w:abstractNumId w:val="32"/>
  </w:num>
  <w:num w:numId="17" w16cid:durableId="356124799">
    <w:abstractNumId w:val="11"/>
  </w:num>
  <w:num w:numId="18" w16cid:durableId="1855919019">
    <w:abstractNumId w:val="13"/>
  </w:num>
  <w:num w:numId="19" w16cid:durableId="299120648">
    <w:abstractNumId w:val="15"/>
  </w:num>
  <w:num w:numId="20" w16cid:durableId="733938359">
    <w:abstractNumId w:val="11"/>
  </w:num>
  <w:num w:numId="21" w16cid:durableId="1811362970">
    <w:abstractNumId w:val="15"/>
  </w:num>
  <w:num w:numId="22" w16cid:durableId="271132462">
    <w:abstractNumId w:val="32"/>
  </w:num>
  <w:num w:numId="23" w16cid:durableId="1937664975">
    <w:abstractNumId w:val="21"/>
  </w:num>
  <w:num w:numId="24" w16cid:durableId="1034503689">
    <w:abstractNumId w:val="29"/>
  </w:num>
  <w:num w:numId="25" w16cid:durableId="1557012645">
    <w:abstractNumId w:val="8"/>
  </w:num>
  <w:num w:numId="26" w16cid:durableId="2069960305">
    <w:abstractNumId w:val="20"/>
  </w:num>
  <w:num w:numId="27" w16cid:durableId="1709060930">
    <w:abstractNumId w:val="12"/>
  </w:num>
  <w:num w:numId="28" w16cid:durableId="1192259535">
    <w:abstractNumId w:val="25"/>
  </w:num>
  <w:num w:numId="29" w16cid:durableId="856386675">
    <w:abstractNumId w:val="16"/>
  </w:num>
  <w:num w:numId="30" w16cid:durableId="1929271374">
    <w:abstractNumId w:val="17"/>
  </w:num>
  <w:num w:numId="31" w16cid:durableId="494880579">
    <w:abstractNumId w:val="9"/>
  </w:num>
  <w:num w:numId="32" w16cid:durableId="592664964">
    <w:abstractNumId w:val="27"/>
  </w:num>
  <w:num w:numId="33" w16cid:durableId="1027676263">
    <w:abstractNumId w:val="24"/>
  </w:num>
  <w:num w:numId="34" w16cid:durableId="113838862">
    <w:abstractNumId w:val="22"/>
  </w:num>
  <w:num w:numId="35" w16cid:durableId="1283609377">
    <w:abstractNumId w:val="14"/>
  </w:num>
  <w:num w:numId="36" w16cid:durableId="1989437342">
    <w:abstractNumId w:val="31"/>
  </w:num>
  <w:num w:numId="37" w16cid:durableId="1924874410">
    <w:abstractNumId w:val="23"/>
  </w:num>
  <w:num w:numId="38" w16cid:durableId="784693556">
    <w:abstractNumId w:val="18"/>
  </w:num>
  <w:num w:numId="39" w16cid:durableId="14159336">
    <w:abstractNumId w:val="26"/>
  </w:num>
  <w:num w:numId="40" w16cid:durableId="20546948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03F"/>
    <w:rsid w:val="00003743"/>
    <w:rsid w:val="000047B4"/>
    <w:rsid w:val="00005712"/>
    <w:rsid w:val="00007FD8"/>
    <w:rsid w:val="000117F8"/>
    <w:rsid w:val="000133DA"/>
    <w:rsid w:val="0001460F"/>
    <w:rsid w:val="000168EC"/>
    <w:rsid w:val="00017DDB"/>
    <w:rsid w:val="000204AE"/>
    <w:rsid w:val="00021D54"/>
    <w:rsid w:val="00022392"/>
    <w:rsid w:val="00022629"/>
    <w:rsid w:val="0002439C"/>
    <w:rsid w:val="00026139"/>
    <w:rsid w:val="00027601"/>
    <w:rsid w:val="000308E9"/>
    <w:rsid w:val="00031171"/>
    <w:rsid w:val="00033321"/>
    <w:rsid w:val="000338E5"/>
    <w:rsid w:val="00033ECC"/>
    <w:rsid w:val="0003422F"/>
    <w:rsid w:val="00034383"/>
    <w:rsid w:val="00034D3A"/>
    <w:rsid w:val="00040670"/>
    <w:rsid w:val="00046FF0"/>
    <w:rsid w:val="00047072"/>
    <w:rsid w:val="00050176"/>
    <w:rsid w:val="00050342"/>
    <w:rsid w:val="0005201D"/>
    <w:rsid w:val="00052324"/>
    <w:rsid w:val="0005334B"/>
    <w:rsid w:val="000570C5"/>
    <w:rsid w:val="00061C2E"/>
    <w:rsid w:val="00067456"/>
    <w:rsid w:val="00070F5B"/>
    <w:rsid w:val="00071506"/>
    <w:rsid w:val="0007154F"/>
    <w:rsid w:val="000762F3"/>
    <w:rsid w:val="00081AB1"/>
    <w:rsid w:val="00082578"/>
    <w:rsid w:val="00084B12"/>
    <w:rsid w:val="00090316"/>
    <w:rsid w:val="00090F70"/>
    <w:rsid w:val="00093981"/>
    <w:rsid w:val="00094863"/>
    <w:rsid w:val="00096AA2"/>
    <w:rsid w:val="000A0319"/>
    <w:rsid w:val="000A1DA1"/>
    <w:rsid w:val="000A1FC6"/>
    <w:rsid w:val="000A3F52"/>
    <w:rsid w:val="000B067A"/>
    <w:rsid w:val="000B1540"/>
    <w:rsid w:val="000B1E53"/>
    <w:rsid w:val="000B2BF3"/>
    <w:rsid w:val="000B33FD"/>
    <w:rsid w:val="000B3AFA"/>
    <w:rsid w:val="000B49DB"/>
    <w:rsid w:val="000B4ABA"/>
    <w:rsid w:val="000B5203"/>
    <w:rsid w:val="000C07F2"/>
    <w:rsid w:val="000C42E8"/>
    <w:rsid w:val="000C4B16"/>
    <w:rsid w:val="000C50C3"/>
    <w:rsid w:val="000C5E14"/>
    <w:rsid w:val="000C6B42"/>
    <w:rsid w:val="000C7CB8"/>
    <w:rsid w:val="000D21F6"/>
    <w:rsid w:val="000D3B8F"/>
    <w:rsid w:val="000D4500"/>
    <w:rsid w:val="000D669A"/>
    <w:rsid w:val="000D7AEA"/>
    <w:rsid w:val="000E0C72"/>
    <w:rsid w:val="000E2816"/>
    <w:rsid w:val="000E2C66"/>
    <w:rsid w:val="000E4D2C"/>
    <w:rsid w:val="000E52F0"/>
    <w:rsid w:val="000F123C"/>
    <w:rsid w:val="000F2FED"/>
    <w:rsid w:val="00101465"/>
    <w:rsid w:val="0010616D"/>
    <w:rsid w:val="00110478"/>
    <w:rsid w:val="00116FC1"/>
    <w:rsid w:val="0011711B"/>
    <w:rsid w:val="00117F8A"/>
    <w:rsid w:val="00121B9B"/>
    <w:rsid w:val="00122ADC"/>
    <w:rsid w:val="00130F59"/>
    <w:rsid w:val="00133DEC"/>
    <w:rsid w:val="00133EC0"/>
    <w:rsid w:val="00134287"/>
    <w:rsid w:val="0014099D"/>
    <w:rsid w:val="00141CE5"/>
    <w:rsid w:val="00142219"/>
    <w:rsid w:val="001436C5"/>
    <w:rsid w:val="00144908"/>
    <w:rsid w:val="0014594B"/>
    <w:rsid w:val="00150C4A"/>
    <w:rsid w:val="00154221"/>
    <w:rsid w:val="00154281"/>
    <w:rsid w:val="00155718"/>
    <w:rsid w:val="00156D96"/>
    <w:rsid w:val="001571C7"/>
    <w:rsid w:val="00160095"/>
    <w:rsid w:val="00160ED9"/>
    <w:rsid w:val="00161094"/>
    <w:rsid w:val="001637A5"/>
    <w:rsid w:val="001647E0"/>
    <w:rsid w:val="001668E1"/>
    <w:rsid w:val="0017194A"/>
    <w:rsid w:val="00172139"/>
    <w:rsid w:val="00174990"/>
    <w:rsid w:val="00175EFF"/>
    <w:rsid w:val="0017665C"/>
    <w:rsid w:val="00177AD2"/>
    <w:rsid w:val="00177C68"/>
    <w:rsid w:val="0018050D"/>
    <w:rsid w:val="001815A8"/>
    <w:rsid w:val="00182380"/>
    <w:rsid w:val="001840FA"/>
    <w:rsid w:val="00190079"/>
    <w:rsid w:val="001906C7"/>
    <w:rsid w:val="00191576"/>
    <w:rsid w:val="0019429A"/>
    <w:rsid w:val="00195F83"/>
    <w:rsid w:val="0019622E"/>
    <w:rsid w:val="001966A7"/>
    <w:rsid w:val="001A18DF"/>
    <w:rsid w:val="001A4627"/>
    <w:rsid w:val="001A4979"/>
    <w:rsid w:val="001A6573"/>
    <w:rsid w:val="001B15D3"/>
    <w:rsid w:val="001B3443"/>
    <w:rsid w:val="001B626C"/>
    <w:rsid w:val="001C0326"/>
    <w:rsid w:val="001C192F"/>
    <w:rsid w:val="001C3C42"/>
    <w:rsid w:val="001C494E"/>
    <w:rsid w:val="001D178E"/>
    <w:rsid w:val="001D3007"/>
    <w:rsid w:val="001D400A"/>
    <w:rsid w:val="001D701B"/>
    <w:rsid w:val="001D7869"/>
    <w:rsid w:val="001E3DBD"/>
    <w:rsid w:val="001F1424"/>
    <w:rsid w:val="001F44AC"/>
    <w:rsid w:val="001F4695"/>
    <w:rsid w:val="001F51B9"/>
    <w:rsid w:val="002026CD"/>
    <w:rsid w:val="002033FC"/>
    <w:rsid w:val="002044BB"/>
    <w:rsid w:val="00206F58"/>
    <w:rsid w:val="0021027A"/>
    <w:rsid w:val="00210B09"/>
    <w:rsid w:val="00210C9E"/>
    <w:rsid w:val="00211180"/>
    <w:rsid w:val="00211840"/>
    <w:rsid w:val="002139DE"/>
    <w:rsid w:val="00220E5F"/>
    <w:rsid w:val="002212B5"/>
    <w:rsid w:val="002215BA"/>
    <w:rsid w:val="0022164E"/>
    <w:rsid w:val="00226668"/>
    <w:rsid w:val="00230C96"/>
    <w:rsid w:val="00233809"/>
    <w:rsid w:val="00240046"/>
    <w:rsid w:val="00241994"/>
    <w:rsid w:val="00242465"/>
    <w:rsid w:val="00243072"/>
    <w:rsid w:val="002471DF"/>
    <w:rsid w:val="0024797F"/>
    <w:rsid w:val="0025119E"/>
    <w:rsid w:val="00251269"/>
    <w:rsid w:val="00252350"/>
    <w:rsid w:val="002535C0"/>
    <w:rsid w:val="00253AF1"/>
    <w:rsid w:val="0025527B"/>
    <w:rsid w:val="0025550B"/>
    <w:rsid w:val="002579FE"/>
    <w:rsid w:val="00260552"/>
    <w:rsid w:val="0026311C"/>
    <w:rsid w:val="00263F3A"/>
    <w:rsid w:val="0026452C"/>
    <w:rsid w:val="00265928"/>
    <w:rsid w:val="0026668C"/>
    <w:rsid w:val="00266AC1"/>
    <w:rsid w:val="00266DD3"/>
    <w:rsid w:val="0027178C"/>
    <w:rsid w:val="002719B1"/>
    <w:rsid w:val="002719FA"/>
    <w:rsid w:val="00272668"/>
    <w:rsid w:val="0027330B"/>
    <w:rsid w:val="00273A2A"/>
    <w:rsid w:val="00277F31"/>
    <w:rsid w:val="002803AD"/>
    <w:rsid w:val="00281070"/>
    <w:rsid w:val="002812C3"/>
    <w:rsid w:val="00282052"/>
    <w:rsid w:val="002831A3"/>
    <w:rsid w:val="00284214"/>
    <w:rsid w:val="0028519E"/>
    <w:rsid w:val="002856A5"/>
    <w:rsid w:val="002872ED"/>
    <w:rsid w:val="00290044"/>
    <w:rsid w:val="002905C2"/>
    <w:rsid w:val="002932CB"/>
    <w:rsid w:val="00295AF2"/>
    <w:rsid w:val="00295C91"/>
    <w:rsid w:val="00295CE5"/>
    <w:rsid w:val="002960D5"/>
    <w:rsid w:val="00297151"/>
    <w:rsid w:val="00297654"/>
    <w:rsid w:val="002A08A3"/>
    <w:rsid w:val="002A3700"/>
    <w:rsid w:val="002A7CC7"/>
    <w:rsid w:val="002B06F5"/>
    <w:rsid w:val="002B20E6"/>
    <w:rsid w:val="002B42A3"/>
    <w:rsid w:val="002B48B5"/>
    <w:rsid w:val="002B5745"/>
    <w:rsid w:val="002B62DC"/>
    <w:rsid w:val="002B6301"/>
    <w:rsid w:val="002C0CDD"/>
    <w:rsid w:val="002C38C4"/>
    <w:rsid w:val="002C4793"/>
    <w:rsid w:val="002C5B7B"/>
    <w:rsid w:val="002D017C"/>
    <w:rsid w:val="002D5BF5"/>
    <w:rsid w:val="002E1A1D"/>
    <w:rsid w:val="002E4081"/>
    <w:rsid w:val="002E51A8"/>
    <w:rsid w:val="002E5B2B"/>
    <w:rsid w:val="002E5B78"/>
    <w:rsid w:val="002E798D"/>
    <w:rsid w:val="002F34A6"/>
    <w:rsid w:val="002F3AE3"/>
    <w:rsid w:val="00300772"/>
    <w:rsid w:val="0030464B"/>
    <w:rsid w:val="0030693E"/>
    <w:rsid w:val="0030786C"/>
    <w:rsid w:val="00314094"/>
    <w:rsid w:val="00316A6C"/>
    <w:rsid w:val="003233DE"/>
    <w:rsid w:val="0032466B"/>
    <w:rsid w:val="00332129"/>
    <w:rsid w:val="003330EB"/>
    <w:rsid w:val="003358D3"/>
    <w:rsid w:val="00337837"/>
    <w:rsid w:val="003415FD"/>
    <w:rsid w:val="00341BE5"/>
    <w:rsid w:val="003429F0"/>
    <w:rsid w:val="00345A82"/>
    <w:rsid w:val="0035097A"/>
    <w:rsid w:val="003509E6"/>
    <w:rsid w:val="00351D59"/>
    <w:rsid w:val="0035342D"/>
    <w:rsid w:val="00353BFC"/>
    <w:rsid w:val="003540A4"/>
    <w:rsid w:val="00357BCC"/>
    <w:rsid w:val="00360E4E"/>
    <w:rsid w:val="00360EA8"/>
    <w:rsid w:val="0036493C"/>
    <w:rsid w:val="00370AAA"/>
    <w:rsid w:val="00372DBB"/>
    <w:rsid w:val="00374E70"/>
    <w:rsid w:val="00375F77"/>
    <w:rsid w:val="0037747E"/>
    <w:rsid w:val="003774F9"/>
    <w:rsid w:val="0038013C"/>
    <w:rsid w:val="003804C0"/>
    <w:rsid w:val="00381BBE"/>
    <w:rsid w:val="003820A5"/>
    <w:rsid w:val="003824A1"/>
    <w:rsid w:val="00382903"/>
    <w:rsid w:val="00382E29"/>
    <w:rsid w:val="003846FF"/>
    <w:rsid w:val="003857D4"/>
    <w:rsid w:val="00385AD4"/>
    <w:rsid w:val="00386864"/>
    <w:rsid w:val="00387924"/>
    <w:rsid w:val="0039102C"/>
    <w:rsid w:val="0039384D"/>
    <w:rsid w:val="00395C23"/>
    <w:rsid w:val="00396677"/>
    <w:rsid w:val="003A22F3"/>
    <w:rsid w:val="003A2E4F"/>
    <w:rsid w:val="003A38DD"/>
    <w:rsid w:val="003A3BA1"/>
    <w:rsid w:val="003A4438"/>
    <w:rsid w:val="003A5013"/>
    <w:rsid w:val="003A5078"/>
    <w:rsid w:val="003A62DD"/>
    <w:rsid w:val="003A775A"/>
    <w:rsid w:val="003B213A"/>
    <w:rsid w:val="003B390F"/>
    <w:rsid w:val="003B43AD"/>
    <w:rsid w:val="003B745F"/>
    <w:rsid w:val="003C0FEC"/>
    <w:rsid w:val="003C2AC8"/>
    <w:rsid w:val="003C7C14"/>
    <w:rsid w:val="003D033A"/>
    <w:rsid w:val="003D17F9"/>
    <w:rsid w:val="003D298E"/>
    <w:rsid w:val="003D2D88"/>
    <w:rsid w:val="003D32F2"/>
    <w:rsid w:val="003D41EA"/>
    <w:rsid w:val="003D4850"/>
    <w:rsid w:val="003D4AE0"/>
    <w:rsid w:val="003D535A"/>
    <w:rsid w:val="003D5B66"/>
    <w:rsid w:val="003D66EE"/>
    <w:rsid w:val="003E5265"/>
    <w:rsid w:val="003E7505"/>
    <w:rsid w:val="003F0955"/>
    <w:rsid w:val="003F16C8"/>
    <w:rsid w:val="003F46E1"/>
    <w:rsid w:val="003F5D73"/>
    <w:rsid w:val="003F5F4D"/>
    <w:rsid w:val="003F646F"/>
    <w:rsid w:val="003F6B24"/>
    <w:rsid w:val="003F7440"/>
    <w:rsid w:val="00400F00"/>
    <w:rsid w:val="00401C57"/>
    <w:rsid w:val="004021EC"/>
    <w:rsid w:val="004039F0"/>
    <w:rsid w:val="00404F8B"/>
    <w:rsid w:val="00404FA5"/>
    <w:rsid w:val="00405256"/>
    <w:rsid w:val="00406536"/>
    <w:rsid w:val="00406789"/>
    <w:rsid w:val="00410031"/>
    <w:rsid w:val="00411E81"/>
    <w:rsid w:val="00412B96"/>
    <w:rsid w:val="00414E9F"/>
    <w:rsid w:val="00415C81"/>
    <w:rsid w:val="00417862"/>
    <w:rsid w:val="00420CEF"/>
    <w:rsid w:val="00421536"/>
    <w:rsid w:val="0042322B"/>
    <w:rsid w:val="00425FF9"/>
    <w:rsid w:val="004309F5"/>
    <w:rsid w:val="00432378"/>
    <w:rsid w:val="00440D65"/>
    <w:rsid w:val="0044122C"/>
    <w:rsid w:val="00441BBA"/>
    <w:rsid w:val="004435E6"/>
    <w:rsid w:val="00443B6F"/>
    <w:rsid w:val="00447A40"/>
    <w:rsid w:val="00447E31"/>
    <w:rsid w:val="00453923"/>
    <w:rsid w:val="00454B9B"/>
    <w:rsid w:val="00455E54"/>
    <w:rsid w:val="00457858"/>
    <w:rsid w:val="0046064F"/>
    <w:rsid w:val="00460B0B"/>
    <w:rsid w:val="00461023"/>
    <w:rsid w:val="00462FAC"/>
    <w:rsid w:val="00463881"/>
    <w:rsid w:val="00464631"/>
    <w:rsid w:val="00464B79"/>
    <w:rsid w:val="00464F5D"/>
    <w:rsid w:val="00465D62"/>
    <w:rsid w:val="004664E6"/>
    <w:rsid w:val="00467BBF"/>
    <w:rsid w:val="004713EF"/>
    <w:rsid w:val="004759BB"/>
    <w:rsid w:val="004842C3"/>
    <w:rsid w:val="0048593C"/>
    <w:rsid w:val="004867E2"/>
    <w:rsid w:val="0048744F"/>
    <w:rsid w:val="004929A9"/>
    <w:rsid w:val="00494724"/>
    <w:rsid w:val="00494BA1"/>
    <w:rsid w:val="0049757E"/>
    <w:rsid w:val="00497F91"/>
    <w:rsid w:val="004A4AE6"/>
    <w:rsid w:val="004A5E74"/>
    <w:rsid w:val="004A61F8"/>
    <w:rsid w:val="004A681D"/>
    <w:rsid w:val="004A78D9"/>
    <w:rsid w:val="004B36C8"/>
    <w:rsid w:val="004B4173"/>
    <w:rsid w:val="004B7BE5"/>
    <w:rsid w:val="004C1BCD"/>
    <w:rsid w:val="004C1FBE"/>
    <w:rsid w:val="004C24F8"/>
    <w:rsid w:val="004C355C"/>
    <w:rsid w:val="004C6BCF"/>
    <w:rsid w:val="004D1FB2"/>
    <w:rsid w:val="004D4D4E"/>
    <w:rsid w:val="004D538A"/>
    <w:rsid w:val="004D58BF"/>
    <w:rsid w:val="004E4335"/>
    <w:rsid w:val="004F11A1"/>
    <w:rsid w:val="004F13EE"/>
    <w:rsid w:val="004F2022"/>
    <w:rsid w:val="004F2F5D"/>
    <w:rsid w:val="004F3C87"/>
    <w:rsid w:val="004F4934"/>
    <w:rsid w:val="004F7C05"/>
    <w:rsid w:val="00501C94"/>
    <w:rsid w:val="005061F0"/>
    <w:rsid w:val="00506432"/>
    <w:rsid w:val="00506D9B"/>
    <w:rsid w:val="00506E82"/>
    <w:rsid w:val="00507B9E"/>
    <w:rsid w:val="0051012A"/>
    <w:rsid w:val="00511D80"/>
    <w:rsid w:val="00511F86"/>
    <w:rsid w:val="0051307A"/>
    <w:rsid w:val="0051407D"/>
    <w:rsid w:val="0052051D"/>
    <w:rsid w:val="005308FA"/>
    <w:rsid w:val="00532374"/>
    <w:rsid w:val="00534252"/>
    <w:rsid w:val="00536A09"/>
    <w:rsid w:val="00536C5E"/>
    <w:rsid w:val="00541708"/>
    <w:rsid w:val="00544A34"/>
    <w:rsid w:val="00545EE6"/>
    <w:rsid w:val="005463F8"/>
    <w:rsid w:val="0054658D"/>
    <w:rsid w:val="00550A4B"/>
    <w:rsid w:val="0055149B"/>
    <w:rsid w:val="00552045"/>
    <w:rsid w:val="00554B20"/>
    <w:rsid w:val="005550E7"/>
    <w:rsid w:val="005563E8"/>
    <w:rsid w:val="005564FB"/>
    <w:rsid w:val="005572C7"/>
    <w:rsid w:val="00560D3B"/>
    <w:rsid w:val="00561701"/>
    <w:rsid w:val="0056303C"/>
    <w:rsid w:val="00564C8B"/>
    <w:rsid w:val="00564E80"/>
    <w:rsid w:val="005650ED"/>
    <w:rsid w:val="005669D1"/>
    <w:rsid w:val="00570B68"/>
    <w:rsid w:val="00572017"/>
    <w:rsid w:val="005754C7"/>
    <w:rsid w:val="00575754"/>
    <w:rsid w:val="00576088"/>
    <w:rsid w:val="00577737"/>
    <w:rsid w:val="00577A0C"/>
    <w:rsid w:val="00581FBA"/>
    <w:rsid w:val="00582302"/>
    <w:rsid w:val="00582B0C"/>
    <w:rsid w:val="0058453B"/>
    <w:rsid w:val="00584E2D"/>
    <w:rsid w:val="00587A4B"/>
    <w:rsid w:val="005910E2"/>
    <w:rsid w:val="00591E20"/>
    <w:rsid w:val="00595408"/>
    <w:rsid w:val="005957DA"/>
    <w:rsid w:val="00595E84"/>
    <w:rsid w:val="005A0C59"/>
    <w:rsid w:val="005A17E4"/>
    <w:rsid w:val="005A48EB"/>
    <w:rsid w:val="005A6CAD"/>
    <w:rsid w:val="005A6CFB"/>
    <w:rsid w:val="005B47F9"/>
    <w:rsid w:val="005B6996"/>
    <w:rsid w:val="005B75DC"/>
    <w:rsid w:val="005B784B"/>
    <w:rsid w:val="005C24C2"/>
    <w:rsid w:val="005C5AEB"/>
    <w:rsid w:val="005C5FA8"/>
    <w:rsid w:val="005D2843"/>
    <w:rsid w:val="005E0204"/>
    <w:rsid w:val="005E0A3F"/>
    <w:rsid w:val="005E1475"/>
    <w:rsid w:val="005E27E0"/>
    <w:rsid w:val="005E2D92"/>
    <w:rsid w:val="005E34E0"/>
    <w:rsid w:val="005E3A5E"/>
    <w:rsid w:val="005E4017"/>
    <w:rsid w:val="005E4BC7"/>
    <w:rsid w:val="005E6883"/>
    <w:rsid w:val="005E772F"/>
    <w:rsid w:val="005F1B26"/>
    <w:rsid w:val="005F2205"/>
    <w:rsid w:val="005F2E29"/>
    <w:rsid w:val="005F3B7B"/>
    <w:rsid w:val="005F4EC7"/>
    <w:rsid w:val="005F4ECA"/>
    <w:rsid w:val="00601D2A"/>
    <w:rsid w:val="006041BE"/>
    <w:rsid w:val="006043C7"/>
    <w:rsid w:val="006058E3"/>
    <w:rsid w:val="006068BB"/>
    <w:rsid w:val="0061123A"/>
    <w:rsid w:val="00611AE8"/>
    <w:rsid w:val="006137B0"/>
    <w:rsid w:val="00616934"/>
    <w:rsid w:val="00624B52"/>
    <w:rsid w:val="00630794"/>
    <w:rsid w:val="00631DF4"/>
    <w:rsid w:val="00634175"/>
    <w:rsid w:val="006408AC"/>
    <w:rsid w:val="006478DF"/>
    <w:rsid w:val="00647C71"/>
    <w:rsid w:val="006511B6"/>
    <w:rsid w:val="006512CB"/>
    <w:rsid w:val="00652592"/>
    <w:rsid w:val="00655A80"/>
    <w:rsid w:val="00657FF8"/>
    <w:rsid w:val="00665DAC"/>
    <w:rsid w:val="00670122"/>
    <w:rsid w:val="00670D99"/>
    <w:rsid w:val="00670E2B"/>
    <w:rsid w:val="00673106"/>
    <w:rsid w:val="006734BB"/>
    <w:rsid w:val="00673CFC"/>
    <w:rsid w:val="00676913"/>
    <w:rsid w:val="0067697A"/>
    <w:rsid w:val="00676C0F"/>
    <w:rsid w:val="006803AF"/>
    <w:rsid w:val="00681879"/>
    <w:rsid w:val="006821EB"/>
    <w:rsid w:val="006831A7"/>
    <w:rsid w:val="00686360"/>
    <w:rsid w:val="0068785A"/>
    <w:rsid w:val="0069414F"/>
    <w:rsid w:val="00696E97"/>
    <w:rsid w:val="00697392"/>
    <w:rsid w:val="006A1B0F"/>
    <w:rsid w:val="006A202E"/>
    <w:rsid w:val="006A4AA2"/>
    <w:rsid w:val="006A6F4D"/>
    <w:rsid w:val="006B2286"/>
    <w:rsid w:val="006B514A"/>
    <w:rsid w:val="006B56BB"/>
    <w:rsid w:val="006C44BB"/>
    <w:rsid w:val="006C52D9"/>
    <w:rsid w:val="006C6F20"/>
    <w:rsid w:val="006C77A8"/>
    <w:rsid w:val="006C780F"/>
    <w:rsid w:val="006D0058"/>
    <w:rsid w:val="006D16AE"/>
    <w:rsid w:val="006D4098"/>
    <w:rsid w:val="006D7681"/>
    <w:rsid w:val="006D7B2E"/>
    <w:rsid w:val="006E0016"/>
    <w:rsid w:val="006E02EA"/>
    <w:rsid w:val="006E089F"/>
    <w:rsid w:val="006E0968"/>
    <w:rsid w:val="006E1D30"/>
    <w:rsid w:val="006E2AF6"/>
    <w:rsid w:val="006F2ED6"/>
    <w:rsid w:val="006F6CE5"/>
    <w:rsid w:val="00701275"/>
    <w:rsid w:val="00702681"/>
    <w:rsid w:val="00702E91"/>
    <w:rsid w:val="00703C92"/>
    <w:rsid w:val="00707F56"/>
    <w:rsid w:val="00713558"/>
    <w:rsid w:val="007147D0"/>
    <w:rsid w:val="00720BF3"/>
    <w:rsid w:val="00720D08"/>
    <w:rsid w:val="0072128A"/>
    <w:rsid w:val="007229B7"/>
    <w:rsid w:val="00723497"/>
    <w:rsid w:val="007263B9"/>
    <w:rsid w:val="007264BF"/>
    <w:rsid w:val="00732A43"/>
    <w:rsid w:val="007334F8"/>
    <w:rsid w:val="007339CD"/>
    <w:rsid w:val="00733D3E"/>
    <w:rsid w:val="00734AB5"/>
    <w:rsid w:val="007359D8"/>
    <w:rsid w:val="00735ADA"/>
    <w:rsid w:val="007362D4"/>
    <w:rsid w:val="00741471"/>
    <w:rsid w:val="007423E2"/>
    <w:rsid w:val="00744CF2"/>
    <w:rsid w:val="00757FFB"/>
    <w:rsid w:val="0076672A"/>
    <w:rsid w:val="007710C8"/>
    <w:rsid w:val="007711C0"/>
    <w:rsid w:val="007735C2"/>
    <w:rsid w:val="007746F6"/>
    <w:rsid w:val="00775E45"/>
    <w:rsid w:val="00776E74"/>
    <w:rsid w:val="00777050"/>
    <w:rsid w:val="00777652"/>
    <w:rsid w:val="00783BC9"/>
    <w:rsid w:val="00784D21"/>
    <w:rsid w:val="00785169"/>
    <w:rsid w:val="007954AB"/>
    <w:rsid w:val="00795706"/>
    <w:rsid w:val="00796038"/>
    <w:rsid w:val="007964AB"/>
    <w:rsid w:val="00796972"/>
    <w:rsid w:val="007A1467"/>
    <w:rsid w:val="007A14C5"/>
    <w:rsid w:val="007A1F9A"/>
    <w:rsid w:val="007A2DC7"/>
    <w:rsid w:val="007A4A10"/>
    <w:rsid w:val="007B10B0"/>
    <w:rsid w:val="007B1760"/>
    <w:rsid w:val="007B1E91"/>
    <w:rsid w:val="007B28F7"/>
    <w:rsid w:val="007B3222"/>
    <w:rsid w:val="007B33BB"/>
    <w:rsid w:val="007B4F03"/>
    <w:rsid w:val="007C04C8"/>
    <w:rsid w:val="007C0E5C"/>
    <w:rsid w:val="007C134E"/>
    <w:rsid w:val="007C1FDC"/>
    <w:rsid w:val="007C2BF3"/>
    <w:rsid w:val="007C6D9C"/>
    <w:rsid w:val="007C7DDB"/>
    <w:rsid w:val="007D06A0"/>
    <w:rsid w:val="007D10EA"/>
    <w:rsid w:val="007D1F3C"/>
    <w:rsid w:val="007D2CC7"/>
    <w:rsid w:val="007D4D6D"/>
    <w:rsid w:val="007D673D"/>
    <w:rsid w:val="007E0949"/>
    <w:rsid w:val="007E0D82"/>
    <w:rsid w:val="007E0FB8"/>
    <w:rsid w:val="007E2391"/>
    <w:rsid w:val="007E4000"/>
    <w:rsid w:val="007E4D09"/>
    <w:rsid w:val="007E528C"/>
    <w:rsid w:val="007E7797"/>
    <w:rsid w:val="007F0056"/>
    <w:rsid w:val="007F04CF"/>
    <w:rsid w:val="007F2220"/>
    <w:rsid w:val="007F4941"/>
    <w:rsid w:val="007F4B3E"/>
    <w:rsid w:val="007F4F75"/>
    <w:rsid w:val="007F558B"/>
    <w:rsid w:val="007F66B4"/>
    <w:rsid w:val="007F7896"/>
    <w:rsid w:val="007F7F0C"/>
    <w:rsid w:val="00800401"/>
    <w:rsid w:val="00806FE7"/>
    <w:rsid w:val="008077C5"/>
    <w:rsid w:val="00807C22"/>
    <w:rsid w:val="0081040A"/>
    <w:rsid w:val="0081148D"/>
    <w:rsid w:val="008127AF"/>
    <w:rsid w:val="00812B46"/>
    <w:rsid w:val="00813C55"/>
    <w:rsid w:val="008149F6"/>
    <w:rsid w:val="00814A7C"/>
    <w:rsid w:val="00815700"/>
    <w:rsid w:val="0081726A"/>
    <w:rsid w:val="0082246B"/>
    <w:rsid w:val="008229C5"/>
    <w:rsid w:val="008264EB"/>
    <w:rsid w:val="00826A8F"/>
    <w:rsid w:val="00826B8F"/>
    <w:rsid w:val="00830243"/>
    <w:rsid w:val="00830326"/>
    <w:rsid w:val="00830A89"/>
    <w:rsid w:val="0083133F"/>
    <w:rsid w:val="00831E8A"/>
    <w:rsid w:val="008325A6"/>
    <w:rsid w:val="00833342"/>
    <w:rsid w:val="008359A0"/>
    <w:rsid w:val="00835C76"/>
    <w:rsid w:val="00837554"/>
    <w:rsid w:val="008376E2"/>
    <w:rsid w:val="00837F5C"/>
    <w:rsid w:val="00842555"/>
    <w:rsid w:val="00842C2B"/>
    <w:rsid w:val="00843049"/>
    <w:rsid w:val="008448A0"/>
    <w:rsid w:val="0085209B"/>
    <w:rsid w:val="0085395C"/>
    <w:rsid w:val="00856B66"/>
    <w:rsid w:val="008601AC"/>
    <w:rsid w:val="008617CC"/>
    <w:rsid w:val="00861A5F"/>
    <w:rsid w:val="00861BD3"/>
    <w:rsid w:val="00863C19"/>
    <w:rsid w:val="008644AD"/>
    <w:rsid w:val="00864FB9"/>
    <w:rsid w:val="00865735"/>
    <w:rsid w:val="00865DDB"/>
    <w:rsid w:val="00867538"/>
    <w:rsid w:val="0086792C"/>
    <w:rsid w:val="00870F4B"/>
    <w:rsid w:val="0087157F"/>
    <w:rsid w:val="00873D90"/>
    <w:rsid w:val="00873FC8"/>
    <w:rsid w:val="008750CB"/>
    <w:rsid w:val="00875350"/>
    <w:rsid w:val="00883929"/>
    <w:rsid w:val="00884B43"/>
    <w:rsid w:val="00884C63"/>
    <w:rsid w:val="00885908"/>
    <w:rsid w:val="008864B7"/>
    <w:rsid w:val="008913FC"/>
    <w:rsid w:val="0089677E"/>
    <w:rsid w:val="00897391"/>
    <w:rsid w:val="008A1EAC"/>
    <w:rsid w:val="008A6689"/>
    <w:rsid w:val="008A7438"/>
    <w:rsid w:val="008B1334"/>
    <w:rsid w:val="008B25C7"/>
    <w:rsid w:val="008B4F07"/>
    <w:rsid w:val="008B7E2B"/>
    <w:rsid w:val="008C0278"/>
    <w:rsid w:val="008C10DD"/>
    <w:rsid w:val="008C2352"/>
    <w:rsid w:val="008C24E9"/>
    <w:rsid w:val="008C42C7"/>
    <w:rsid w:val="008C5526"/>
    <w:rsid w:val="008D0533"/>
    <w:rsid w:val="008D11C4"/>
    <w:rsid w:val="008D42CB"/>
    <w:rsid w:val="008D48C9"/>
    <w:rsid w:val="008D6381"/>
    <w:rsid w:val="008D7D49"/>
    <w:rsid w:val="008E0C77"/>
    <w:rsid w:val="008E0FE9"/>
    <w:rsid w:val="008E2171"/>
    <w:rsid w:val="008E5D74"/>
    <w:rsid w:val="008E5FC8"/>
    <w:rsid w:val="008E625F"/>
    <w:rsid w:val="008F264D"/>
    <w:rsid w:val="008F2B96"/>
    <w:rsid w:val="009040E9"/>
    <w:rsid w:val="00906BAB"/>
    <w:rsid w:val="009074E1"/>
    <w:rsid w:val="009112F7"/>
    <w:rsid w:val="009122AF"/>
    <w:rsid w:val="00912D54"/>
    <w:rsid w:val="00913710"/>
    <w:rsid w:val="0091389F"/>
    <w:rsid w:val="009202DE"/>
    <w:rsid w:val="009208F7"/>
    <w:rsid w:val="00921649"/>
    <w:rsid w:val="00922517"/>
    <w:rsid w:val="00922722"/>
    <w:rsid w:val="009231A6"/>
    <w:rsid w:val="009232BD"/>
    <w:rsid w:val="009239A0"/>
    <w:rsid w:val="0092602D"/>
    <w:rsid w:val="0092614A"/>
    <w:rsid w:val="009261E6"/>
    <w:rsid w:val="0092645E"/>
    <w:rsid w:val="009268E1"/>
    <w:rsid w:val="009271EE"/>
    <w:rsid w:val="00934425"/>
    <w:rsid w:val="009344AE"/>
    <w:rsid w:val="009344DE"/>
    <w:rsid w:val="00937942"/>
    <w:rsid w:val="009400E7"/>
    <w:rsid w:val="00943B36"/>
    <w:rsid w:val="00945E7F"/>
    <w:rsid w:val="0095239C"/>
    <w:rsid w:val="009557C1"/>
    <w:rsid w:val="00960743"/>
    <w:rsid w:val="00960D6E"/>
    <w:rsid w:val="00961276"/>
    <w:rsid w:val="00962B30"/>
    <w:rsid w:val="009635D8"/>
    <w:rsid w:val="00963718"/>
    <w:rsid w:val="00963A9D"/>
    <w:rsid w:val="00964741"/>
    <w:rsid w:val="00965336"/>
    <w:rsid w:val="00973092"/>
    <w:rsid w:val="00974B59"/>
    <w:rsid w:val="009772F3"/>
    <w:rsid w:val="0098323E"/>
    <w:rsid w:val="0098340B"/>
    <w:rsid w:val="00983503"/>
    <w:rsid w:val="00986830"/>
    <w:rsid w:val="009924C3"/>
    <w:rsid w:val="00992B68"/>
    <w:rsid w:val="00993102"/>
    <w:rsid w:val="009963F5"/>
    <w:rsid w:val="009969B4"/>
    <w:rsid w:val="009A0ADD"/>
    <w:rsid w:val="009A51B3"/>
    <w:rsid w:val="009B1570"/>
    <w:rsid w:val="009B237D"/>
    <w:rsid w:val="009B3CE5"/>
    <w:rsid w:val="009B7F26"/>
    <w:rsid w:val="009C4A2D"/>
    <w:rsid w:val="009C4E1F"/>
    <w:rsid w:val="009C6F10"/>
    <w:rsid w:val="009D148F"/>
    <w:rsid w:val="009D3D70"/>
    <w:rsid w:val="009D65FD"/>
    <w:rsid w:val="009D7F51"/>
    <w:rsid w:val="009E5309"/>
    <w:rsid w:val="009E6F7E"/>
    <w:rsid w:val="009E7A57"/>
    <w:rsid w:val="009F15C2"/>
    <w:rsid w:val="009F22E9"/>
    <w:rsid w:val="009F370B"/>
    <w:rsid w:val="009F4803"/>
    <w:rsid w:val="009F4F6A"/>
    <w:rsid w:val="00A03C10"/>
    <w:rsid w:val="00A03F9F"/>
    <w:rsid w:val="00A04615"/>
    <w:rsid w:val="00A04BDF"/>
    <w:rsid w:val="00A13EB5"/>
    <w:rsid w:val="00A15E3C"/>
    <w:rsid w:val="00A16E36"/>
    <w:rsid w:val="00A205FE"/>
    <w:rsid w:val="00A219D3"/>
    <w:rsid w:val="00A24961"/>
    <w:rsid w:val="00A24B10"/>
    <w:rsid w:val="00A277EF"/>
    <w:rsid w:val="00A3056D"/>
    <w:rsid w:val="00A305DE"/>
    <w:rsid w:val="00A30E9B"/>
    <w:rsid w:val="00A31443"/>
    <w:rsid w:val="00A40C16"/>
    <w:rsid w:val="00A41359"/>
    <w:rsid w:val="00A42046"/>
    <w:rsid w:val="00A443CF"/>
    <w:rsid w:val="00A4512D"/>
    <w:rsid w:val="00A45D0A"/>
    <w:rsid w:val="00A46386"/>
    <w:rsid w:val="00A475F0"/>
    <w:rsid w:val="00A50244"/>
    <w:rsid w:val="00A5029E"/>
    <w:rsid w:val="00A51D71"/>
    <w:rsid w:val="00A555B9"/>
    <w:rsid w:val="00A5774C"/>
    <w:rsid w:val="00A61042"/>
    <w:rsid w:val="00A627D7"/>
    <w:rsid w:val="00A656C7"/>
    <w:rsid w:val="00A66F58"/>
    <w:rsid w:val="00A705AF"/>
    <w:rsid w:val="00A719F6"/>
    <w:rsid w:val="00A72454"/>
    <w:rsid w:val="00A73F65"/>
    <w:rsid w:val="00A763DF"/>
    <w:rsid w:val="00A770AB"/>
    <w:rsid w:val="00A77696"/>
    <w:rsid w:val="00A77FA1"/>
    <w:rsid w:val="00A80557"/>
    <w:rsid w:val="00A81D33"/>
    <w:rsid w:val="00A8248E"/>
    <w:rsid w:val="00A828C4"/>
    <w:rsid w:val="00A8341C"/>
    <w:rsid w:val="00A845F5"/>
    <w:rsid w:val="00A930AE"/>
    <w:rsid w:val="00A977F6"/>
    <w:rsid w:val="00AA037F"/>
    <w:rsid w:val="00AA1A95"/>
    <w:rsid w:val="00AA1BA2"/>
    <w:rsid w:val="00AA260F"/>
    <w:rsid w:val="00AA2DAB"/>
    <w:rsid w:val="00AB0309"/>
    <w:rsid w:val="00AB1EE7"/>
    <w:rsid w:val="00AB304E"/>
    <w:rsid w:val="00AB4B37"/>
    <w:rsid w:val="00AB4E65"/>
    <w:rsid w:val="00AB522E"/>
    <w:rsid w:val="00AB5762"/>
    <w:rsid w:val="00AB5911"/>
    <w:rsid w:val="00AB5EA1"/>
    <w:rsid w:val="00AB627C"/>
    <w:rsid w:val="00AC2679"/>
    <w:rsid w:val="00AC2831"/>
    <w:rsid w:val="00AC4BE4"/>
    <w:rsid w:val="00AD05E6"/>
    <w:rsid w:val="00AD0A8E"/>
    <w:rsid w:val="00AD0D3F"/>
    <w:rsid w:val="00AD0EEF"/>
    <w:rsid w:val="00AD463E"/>
    <w:rsid w:val="00AD7EE0"/>
    <w:rsid w:val="00AE1032"/>
    <w:rsid w:val="00AE1D7D"/>
    <w:rsid w:val="00AE2A8B"/>
    <w:rsid w:val="00AE338E"/>
    <w:rsid w:val="00AE3F64"/>
    <w:rsid w:val="00AE7881"/>
    <w:rsid w:val="00AF0875"/>
    <w:rsid w:val="00AF17E2"/>
    <w:rsid w:val="00AF3573"/>
    <w:rsid w:val="00AF40AB"/>
    <w:rsid w:val="00AF4157"/>
    <w:rsid w:val="00AF7386"/>
    <w:rsid w:val="00AF7934"/>
    <w:rsid w:val="00B00B81"/>
    <w:rsid w:val="00B014C4"/>
    <w:rsid w:val="00B04580"/>
    <w:rsid w:val="00B04B09"/>
    <w:rsid w:val="00B07CF4"/>
    <w:rsid w:val="00B10566"/>
    <w:rsid w:val="00B11676"/>
    <w:rsid w:val="00B14808"/>
    <w:rsid w:val="00B16526"/>
    <w:rsid w:val="00B16A51"/>
    <w:rsid w:val="00B16D1D"/>
    <w:rsid w:val="00B20D65"/>
    <w:rsid w:val="00B21C2D"/>
    <w:rsid w:val="00B22245"/>
    <w:rsid w:val="00B2250D"/>
    <w:rsid w:val="00B22F87"/>
    <w:rsid w:val="00B268C1"/>
    <w:rsid w:val="00B32222"/>
    <w:rsid w:val="00B33183"/>
    <w:rsid w:val="00B35531"/>
    <w:rsid w:val="00B3618D"/>
    <w:rsid w:val="00B36233"/>
    <w:rsid w:val="00B42851"/>
    <w:rsid w:val="00B45AC7"/>
    <w:rsid w:val="00B5372F"/>
    <w:rsid w:val="00B53823"/>
    <w:rsid w:val="00B53987"/>
    <w:rsid w:val="00B53FAF"/>
    <w:rsid w:val="00B5428F"/>
    <w:rsid w:val="00B55F98"/>
    <w:rsid w:val="00B56A92"/>
    <w:rsid w:val="00B56DD5"/>
    <w:rsid w:val="00B61129"/>
    <w:rsid w:val="00B613D3"/>
    <w:rsid w:val="00B61927"/>
    <w:rsid w:val="00B64233"/>
    <w:rsid w:val="00B6525A"/>
    <w:rsid w:val="00B67E7F"/>
    <w:rsid w:val="00B71502"/>
    <w:rsid w:val="00B76D4D"/>
    <w:rsid w:val="00B80031"/>
    <w:rsid w:val="00B839B2"/>
    <w:rsid w:val="00B86DCE"/>
    <w:rsid w:val="00B87DED"/>
    <w:rsid w:val="00B90C5B"/>
    <w:rsid w:val="00B93317"/>
    <w:rsid w:val="00B94252"/>
    <w:rsid w:val="00B9715A"/>
    <w:rsid w:val="00BA1192"/>
    <w:rsid w:val="00BA14BE"/>
    <w:rsid w:val="00BA2732"/>
    <w:rsid w:val="00BA293D"/>
    <w:rsid w:val="00BA3050"/>
    <w:rsid w:val="00BA49BC"/>
    <w:rsid w:val="00BA4B7B"/>
    <w:rsid w:val="00BA56B7"/>
    <w:rsid w:val="00BA6073"/>
    <w:rsid w:val="00BA6B54"/>
    <w:rsid w:val="00BA7A1E"/>
    <w:rsid w:val="00BB29F4"/>
    <w:rsid w:val="00BB2F6C"/>
    <w:rsid w:val="00BB3875"/>
    <w:rsid w:val="00BB5860"/>
    <w:rsid w:val="00BB6AAD"/>
    <w:rsid w:val="00BC0A99"/>
    <w:rsid w:val="00BC171C"/>
    <w:rsid w:val="00BC3FA5"/>
    <w:rsid w:val="00BC4A19"/>
    <w:rsid w:val="00BC4E6D"/>
    <w:rsid w:val="00BC64AE"/>
    <w:rsid w:val="00BD0617"/>
    <w:rsid w:val="00BD27CA"/>
    <w:rsid w:val="00BD2E9B"/>
    <w:rsid w:val="00BD48E4"/>
    <w:rsid w:val="00BD5574"/>
    <w:rsid w:val="00BD66E0"/>
    <w:rsid w:val="00BD7FB2"/>
    <w:rsid w:val="00BE213F"/>
    <w:rsid w:val="00BE2903"/>
    <w:rsid w:val="00BE4D4B"/>
    <w:rsid w:val="00BF02C1"/>
    <w:rsid w:val="00BF06F3"/>
    <w:rsid w:val="00C00930"/>
    <w:rsid w:val="00C038E9"/>
    <w:rsid w:val="00C060AD"/>
    <w:rsid w:val="00C06C99"/>
    <w:rsid w:val="00C113BF"/>
    <w:rsid w:val="00C15610"/>
    <w:rsid w:val="00C15F09"/>
    <w:rsid w:val="00C17C1F"/>
    <w:rsid w:val="00C2176E"/>
    <w:rsid w:val="00C224AD"/>
    <w:rsid w:val="00C23430"/>
    <w:rsid w:val="00C2658B"/>
    <w:rsid w:val="00C275DF"/>
    <w:rsid w:val="00C27D67"/>
    <w:rsid w:val="00C30B26"/>
    <w:rsid w:val="00C32C7D"/>
    <w:rsid w:val="00C33E1E"/>
    <w:rsid w:val="00C34C6F"/>
    <w:rsid w:val="00C42139"/>
    <w:rsid w:val="00C4631F"/>
    <w:rsid w:val="00C47CDE"/>
    <w:rsid w:val="00C50E16"/>
    <w:rsid w:val="00C520E3"/>
    <w:rsid w:val="00C53529"/>
    <w:rsid w:val="00C5497D"/>
    <w:rsid w:val="00C54DB8"/>
    <w:rsid w:val="00C55258"/>
    <w:rsid w:val="00C57943"/>
    <w:rsid w:val="00C66BB5"/>
    <w:rsid w:val="00C67545"/>
    <w:rsid w:val="00C717C7"/>
    <w:rsid w:val="00C72D05"/>
    <w:rsid w:val="00C73195"/>
    <w:rsid w:val="00C741F7"/>
    <w:rsid w:val="00C744E1"/>
    <w:rsid w:val="00C82863"/>
    <w:rsid w:val="00C82EEB"/>
    <w:rsid w:val="00C902D4"/>
    <w:rsid w:val="00C971DC"/>
    <w:rsid w:val="00CA03B2"/>
    <w:rsid w:val="00CA16B7"/>
    <w:rsid w:val="00CA3650"/>
    <w:rsid w:val="00CA62AE"/>
    <w:rsid w:val="00CB1AAE"/>
    <w:rsid w:val="00CB5B1A"/>
    <w:rsid w:val="00CC220B"/>
    <w:rsid w:val="00CC24F9"/>
    <w:rsid w:val="00CC2673"/>
    <w:rsid w:val="00CC388C"/>
    <w:rsid w:val="00CC5C43"/>
    <w:rsid w:val="00CC6228"/>
    <w:rsid w:val="00CD02AE"/>
    <w:rsid w:val="00CD0897"/>
    <w:rsid w:val="00CD2A4F"/>
    <w:rsid w:val="00CD4AA0"/>
    <w:rsid w:val="00CD5859"/>
    <w:rsid w:val="00CE03CA"/>
    <w:rsid w:val="00CE22F1"/>
    <w:rsid w:val="00CE50F2"/>
    <w:rsid w:val="00CE6502"/>
    <w:rsid w:val="00CE71F0"/>
    <w:rsid w:val="00CF1B47"/>
    <w:rsid w:val="00CF1BA8"/>
    <w:rsid w:val="00CF2B1F"/>
    <w:rsid w:val="00CF7D3C"/>
    <w:rsid w:val="00D01F09"/>
    <w:rsid w:val="00D065F5"/>
    <w:rsid w:val="00D0711C"/>
    <w:rsid w:val="00D11E03"/>
    <w:rsid w:val="00D14118"/>
    <w:rsid w:val="00D147EB"/>
    <w:rsid w:val="00D15417"/>
    <w:rsid w:val="00D1707B"/>
    <w:rsid w:val="00D22414"/>
    <w:rsid w:val="00D2594C"/>
    <w:rsid w:val="00D30CA6"/>
    <w:rsid w:val="00D317F9"/>
    <w:rsid w:val="00D34667"/>
    <w:rsid w:val="00D401E1"/>
    <w:rsid w:val="00D408B4"/>
    <w:rsid w:val="00D42088"/>
    <w:rsid w:val="00D44330"/>
    <w:rsid w:val="00D520A7"/>
    <w:rsid w:val="00D524C8"/>
    <w:rsid w:val="00D547BA"/>
    <w:rsid w:val="00D569D2"/>
    <w:rsid w:val="00D63011"/>
    <w:rsid w:val="00D6475C"/>
    <w:rsid w:val="00D6712C"/>
    <w:rsid w:val="00D70E24"/>
    <w:rsid w:val="00D70E66"/>
    <w:rsid w:val="00D7194D"/>
    <w:rsid w:val="00D72B61"/>
    <w:rsid w:val="00D8010B"/>
    <w:rsid w:val="00D80EFA"/>
    <w:rsid w:val="00D80F17"/>
    <w:rsid w:val="00D81416"/>
    <w:rsid w:val="00D905AB"/>
    <w:rsid w:val="00D912E2"/>
    <w:rsid w:val="00D91FFE"/>
    <w:rsid w:val="00D9743C"/>
    <w:rsid w:val="00DA0D30"/>
    <w:rsid w:val="00DA0E88"/>
    <w:rsid w:val="00DA1A94"/>
    <w:rsid w:val="00DA2CCB"/>
    <w:rsid w:val="00DA3A12"/>
    <w:rsid w:val="00DA3D1D"/>
    <w:rsid w:val="00DA49DC"/>
    <w:rsid w:val="00DA5AE3"/>
    <w:rsid w:val="00DB276E"/>
    <w:rsid w:val="00DB2C85"/>
    <w:rsid w:val="00DB2E29"/>
    <w:rsid w:val="00DB4940"/>
    <w:rsid w:val="00DB5860"/>
    <w:rsid w:val="00DB6286"/>
    <w:rsid w:val="00DB645F"/>
    <w:rsid w:val="00DB76E9"/>
    <w:rsid w:val="00DB7C84"/>
    <w:rsid w:val="00DC0A67"/>
    <w:rsid w:val="00DC1D5E"/>
    <w:rsid w:val="00DC46A3"/>
    <w:rsid w:val="00DC4BBF"/>
    <w:rsid w:val="00DC5220"/>
    <w:rsid w:val="00DD0930"/>
    <w:rsid w:val="00DD2061"/>
    <w:rsid w:val="00DD4A65"/>
    <w:rsid w:val="00DD50CE"/>
    <w:rsid w:val="00DD5EF5"/>
    <w:rsid w:val="00DD7DAB"/>
    <w:rsid w:val="00DE3355"/>
    <w:rsid w:val="00DE3441"/>
    <w:rsid w:val="00DE4F2F"/>
    <w:rsid w:val="00DF0C60"/>
    <w:rsid w:val="00DF0DF0"/>
    <w:rsid w:val="00DF105A"/>
    <w:rsid w:val="00DF258F"/>
    <w:rsid w:val="00DF3849"/>
    <w:rsid w:val="00DF486F"/>
    <w:rsid w:val="00DF5B5B"/>
    <w:rsid w:val="00DF5E6D"/>
    <w:rsid w:val="00DF5FAB"/>
    <w:rsid w:val="00DF6E49"/>
    <w:rsid w:val="00DF7619"/>
    <w:rsid w:val="00E00D30"/>
    <w:rsid w:val="00E042D8"/>
    <w:rsid w:val="00E07EE7"/>
    <w:rsid w:val="00E10970"/>
    <w:rsid w:val="00E1103B"/>
    <w:rsid w:val="00E15D2B"/>
    <w:rsid w:val="00E1732F"/>
    <w:rsid w:val="00E175BF"/>
    <w:rsid w:val="00E17B44"/>
    <w:rsid w:val="00E20F27"/>
    <w:rsid w:val="00E20FA8"/>
    <w:rsid w:val="00E22443"/>
    <w:rsid w:val="00E249A9"/>
    <w:rsid w:val="00E25B1F"/>
    <w:rsid w:val="00E27FEA"/>
    <w:rsid w:val="00E33FDD"/>
    <w:rsid w:val="00E4086F"/>
    <w:rsid w:val="00E43B3C"/>
    <w:rsid w:val="00E444C7"/>
    <w:rsid w:val="00E464A8"/>
    <w:rsid w:val="00E50188"/>
    <w:rsid w:val="00E50BB3"/>
    <w:rsid w:val="00E51484"/>
    <w:rsid w:val="00E515CB"/>
    <w:rsid w:val="00E52260"/>
    <w:rsid w:val="00E533F9"/>
    <w:rsid w:val="00E57382"/>
    <w:rsid w:val="00E57A64"/>
    <w:rsid w:val="00E639B6"/>
    <w:rsid w:val="00E6434B"/>
    <w:rsid w:val="00E6463D"/>
    <w:rsid w:val="00E6474A"/>
    <w:rsid w:val="00E66CA9"/>
    <w:rsid w:val="00E70A5E"/>
    <w:rsid w:val="00E71AC5"/>
    <w:rsid w:val="00E7226D"/>
    <w:rsid w:val="00E72E9B"/>
    <w:rsid w:val="00E72F0F"/>
    <w:rsid w:val="00E744C3"/>
    <w:rsid w:val="00E76EBD"/>
    <w:rsid w:val="00E80223"/>
    <w:rsid w:val="00E850C3"/>
    <w:rsid w:val="00E85A49"/>
    <w:rsid w:val="00E85C0A"/>
    <w:rsid w:val="00E87DF2"/>
    <w:rsid w:val="00E90E0E"/>
    <w:rsid w:val="00E9462E"/>
    <w:rsid w:val="00E95ACA"/>
    <w:rsid w:val="00E97C87"/>
    <w:rsid w:val="00EA085C"/>
    <w:rsid w:val="00EA470E"/>
    <w:rsid w:val="00EA47A7"/>
    <w:rsid w:val="00EA4C79"/>
    <w:rsid w:val="00EA5202"/>
    <w:rsid w:val="00EA57EB"/>
    <w:rsid w:val="00EA6416"/>
    <w:rsid w:val="00EA7262"/>
    <w:rsid w:val="00EB02D3"/>
    <w:rsid w:val="00EB3226"/>
    <w:rsid w:val="00EB336C"/>
    <w:rsid w:val="00EB4CAC"/>
    <w:rsid w:val="00EB5C8D"/>
    <w:rsid w:val="00EC213A"/>
    <w:rsid w:val="00EC22FB"/>
    <w:rsid w:val="00EC5B5E"/>
    <w:rsid w:val="00EC616C"/>
    <w:rsid w:val="00EC7744"/>
    <w:rsid w:val="00ED0DAD"/>
    <w:rsid w:val="00ED0F46"/>
    <w:rsid w:val="00ED2373"/>
    <w:rsid w:val="00ED3B16"/>
    <w:rsid w:val="00ED582A"/>
    <w:rsid w:val="00EE18A6"/>
    <w:rsid w:val="00EE36AA"/>
    <w:rsid w:val="00EE3E8A"/>
    <w:rsid w:val="00EE40F0"/>
    <w:rsid w:val="00EE66B9"/>
    <w:rsid w:val="00EE71CC"/>
    <w:rsid w:val="00EF20E8"/>
    <w:rsid w:val="00EF27F0"/>
    <w:rsid w:val="00EF2C99"/>
    <w:rsid w:val="00EF58B8"/>
    <w:rsid w:val="00EF6ECA"/>
    <w:rsid w:val="00EF7D7D"/>
    <w:rsid w:val="00F01114"/>
    <w:rsid w:val="00F01301"/>
    <w:rsid w:val="00F024E1"/>
    <w:rsid w:val="00F03FA9"/>
    <w:rsid w:val="00F052F5"/>
    <w:rsid w:val="00F06C10"/>
    <w:rsid w:val="00F1096F"/>
    <w:rsid w:val="00F12589"/>
    <w:rsid w:val="00F12595"/>
    <w:rsid w:val="00F134D9"/>
    <w:rsid w:val="00F136D8"/>
    <w:rsid w:val="00F1403D"/>
    <w:rsid w:val="00F1463F"/>
    <w:rsid w:val="00F14B04"/>
    <w:rsid w:val="00F14E79"/>
    <w:rsid w:val="00F20437"/>
    <w:rsid w:val="00F21302"/>
    <w:rsid w:val="00F23086"/>
    <w:rsid w:val="00F2430D"/>
    <w:rsid w:val="00F25C90"/>
    <w:rsid w:val="00F26E62"/>
    <w:rsid w:val="00F321DE"/>
    <w:rsid w:val="00F323EE"/>
    <w:rsid w:val="00F33777"/>
    <w:rsid w:val="00F40648"/>
    <w:rsid w:val="00F41A07"/>
    <w:rsid w:val="00F47A79"/>
    <w:rsid w:val="00F47DA2"/>
    <w:rsid w:val="00F519FC"/>
    <w:rsid w:val="00F531A9"/>
    <w:rsid w:val="00F5599A"/>
    <w:rsid w:val="00F56053"/>
    <w:rsid w:val="00F60EB9"/>
    <w:rsid w:val="00F61671"/>
    <w:rsid w:val="00F62356"/>
    <w:rsid w:val="00F6239D"/>
    <w:rsid w:val="00F65EA1"/>
    <w:rsid w:val="00F715D2"/>
    <w:rsid w:val="00F7229B"/>
    <w:rsid w:val="00F7274F"/>
    <w:rsid w:val="00F74E84"/>
    <w:rsid w:val="00F76FA8"/>
    <w:rsid w:val="00F77762"/>
    <w:rsid w:val="00F779C2"/>
    <w:rsid w:val="00F80BDD"/>
    <w:rsid w:val="00F8208C"/>
    <w:rsid w:val="00F83051"/>
    <w:rsid w:val="00F8377E"/>
    <w:rsid w:val="00F83E11"/>
    <w:rsid w:val="00F85250"/>
    <w:rsid w:val="00F90716"/>
    <w:rsid w:val="00F93F08"/>
    <w:rsid w:val="00F94CED"/>
    <w:rsid w:val="00F97C4B"/>
    <w:rsid w:val="00FA02BB"/>
    <w:rsid w:val="00FA20F4"/>
    <w:rsid w:val="00FA2CEE"/>
    <w:rsid w:val="00FA318C"/>
    <w:rsid w:val="00FA44FB"/>
    <w:rsid w:val="00FA4E74"/>
    <w:rsid w:val="00FA6B1F"/>
    <w:rsid w:val="00FB3BCD"/>
    <w:rsid w:val="00FB6F92"/>
    <w:rsid w:val="00FB79EF"/>
    <w:rsid w:val="00FC026E"/>
    <w:rsid w:val="00FC5124"/>
    <w:rsid w:val="00FC5199"/>
    <w:rsid w:val="00FC52E0"/>
    <w:rsid w:val="00FD0C0D"/>
    <w:rsid w:val="00FD0FE5"/>
    <w:rsid w:val="00FD43BE"/>
    <w:rsid w:val="00FD4731"/>
    <w:rsid w:val="00FD6768"/>
    <w:rsid w:val="00FD6FFF"/>
    <w:rsid w:val="00FE00CC"/>
    <w:rsid w:val="00FE4096"/>
    <w:rsid w:val="00FE5A82"/>
    <w:rsid w:val="00FE61B8"/>
    <w:rsid w:val="00FE6F0C"/>
    <w:rsid w:val="00FF0AB0"/>
    <w:rsid w:val="00FF28AC"/>
    <w:rsid w:val="00FF4FB7"/>
    <w:rsid w:val="00FF597F"/>
    <w:rsid w:val="00FF6BA3"/>
    <w:rsid w:val="00FF777D"/>
    <w:rsid w:val="00FF7A88"/>
    <w:rsid w:val="00FF7F62"/>
    <w:rsid w:val="0279087E"/>
    <w:rsid w:val="11FA8E80"/>
    <w:rsid w:val="13CE443A"/>
    <w:rsid w:val="1598E290"/>
    <w:rsid w:val="16B596B9"/>
    <w:rsid w:val="1C54F5E7"/>
    <w:rsid w:val="20EDDF29"/>
    <w:rsid w:val="231C6B89"/>
    <w:rsid w:val="302D2333"/>
    <w:rsid w:val="30C1EB72"/>
    <w:rsid w:val="341AB041"/>
    <w:rsid w:val="34C7D565"/>
    <w:rsid w:val="36AE9E4B"/>
    <w:rsid w:val="3AA1232A"/>
    <w:rsid w:val="3BA7FF77"/>
    <w:rsid w:val="4164A19B"/>
    <w:rsid w:val="45EFD7DF"/>
    <w:rsid w:val="485BC1B2"/>
    <w:rsid w:val="4ADDD45F"/>
    <w:rsid w:val="4BEC56E0"/>
    <w:rsid w:val="4D8BD9A1"/>
    <w:rsid w:val="4F20838C"/>
    <w:rsid w:val="5276F270"/>
    <w:rsid w:val="55E50225"/>
    <w:rsid w:val="57109D02"/>
    <w:rsid w:val="5804DF3A"/>
    <w:rsid w:val="5A255ABB"/>
    <w:rsid w:val="641EE665"/>
    <w:rsid w:val="668EA9C1"/>
    <w:rsid w:val="6A7430E6"/>
    <w:rsid w:val="6A8FF353"/>
    <w:rsid w:val="6E0FC78B"/>
    <w:rsid w:val="7037087A"/>
    <w:rsid w:val="792EDB72"/>
    <w:rsid w:val="7CB854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15:docId w15:val="{FA530C24-6A4C-44F7-B177-86B0D9F1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8BB"/>
    <w:pPr>
      <w:spacing w:after="160" w:line="280" w:lineRule="exact"/>
    </w:pPr>
    <w:rPr>
      <w:rFonts w:ascii="Arial" w:eastAsiaTheme="minorEastAsia" w:hAnsi="Arial" w:cstheme="minorBidi"/>
      <w:sz w:val="21"/>
      <w:szCs w:val="21"/>
      <w:lang w:eastAsia="en-US"/>
    </w:rPr>
  </w:style>
  <w:style w:type="paragraph" w:styleId="Heading1">
    <w:name w:val="heading 1"/>
    <w:basedOn w:val="Heading2"/>
    <w:next w:val="Normal"/>
    <w:link w:val="Heading1Char"/>
    <w:uiPriority w:val="2"/>
    <w:qFormat/>
    <w:rsid w:val="00263F3A"/>
    <w:pPr>
      <w:outlineLvl w:val="0"/>
    </w:p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263F3A"/>
    <w:pPr>
      <w:numPr>
        <w:ilvl w:val="1"/>
      </w:numPr>
    </w:pPr>
  </w:style>
  <w:style w:type="paragraph" w:styleId="ListNumber2">
    <w:name w:val="List Number 2"/>
    <w:basedOn w:val="ListBullet"/>
    <w:qFormat/>
    <w:rsid w:val="00A719F6"/>
  </w:style>
  <w:style w:type="paragraph" w:styleId="ListBullet">
    <w:name w:val="List Bullet"/>
    <w:basedOn w:val="Normal"/>
    <w:qFormat/>
    <w:rsid w:val="00806FE7"/>
    <w:pPr>
      <w:numPr>
        <w:numId w:val="21"/>
      </w:numPr>
      <w:tabs>
        <w:tab w:val="left" w:pos="340"/>
        <w:tab w:val="left" w:pos="680"/>
      </w:tabs>
      <w:spacing w:before="60" w:after="60"/>
    </w:pPr>
  </w:style>
  <w:style w:type="paragraph" w:styleId="ListBullet3">
    <w:name w:val="List Bullet 3"/>
    <w:basedOn w:val="ListNumber2"/>
    <w:unhideWhenUsed/>
    <w:rsid w:val="00263F3A"/>
    <w:pPr>
      <w:numPr>
        <w:ilvl w:val="2"/>
      </w:numPr>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0D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358189" w:themeFill="accent2"/>
      </w:tcPr>
    </w:tblStylePr>
    <w:tblStylePr w:type="firstCol">
      <w:rPr>
        <w:b/>
      </w:rPr>
      <w:tblPr/>
      <w:tcPr>
        <w:shd w:val="clear" w:color="auto" w:fill="74C1C9" w:themeFill="accent2" w:themeFillTint="99"/>
      </w:tc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B3AFA"/>
    <w:pPr>
      <w:spacing w:before="60" w:after="60"/>
    </w:pPr>
    <w:rPr>
      <w:rFonts w:ascii="Arial" w:hAnsi="Arial" w:cs="Arial"/>
      <w:color w:val="000000" w:themeColor="text1"/>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1D701B"/>
    <w:pPr>
      <w:spacing w:before="120" w:after="120"/>
    </w:pPr>
    <w:rPr>
      <w:rFonts w:ascii="Arial" w:hAnsi="Arial"/>
      <w:b/>
      <w:color w:val="000000" w:themeColor="text1"/>
      <w:sz w:val="21"/>
      <w:szCs w:val="21"/>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1D701B"/>
    <w:pPr>
      <w:spacing w:before="80" w:after="80"/>
    </w:pPr>
    <w:rPr>
      <w:rFonts w:eastAsia="Cambria"/>
      <w:b/>
      <w:color w:val="FFFFFF" w:themeColor="background1"/>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A037F"/>
    <w:rPr>
      <w:rFonts w:cs="Arial"/>
      <w:color w:val="1157AD"/>
      <w:szCs w:val="21"/>
      <w:u w:val="single"/>
      <w:shd w:val="clear" w:color="auto" w:fill="FFFFFF"/>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6068BB"/>
    <w:pPr>
      <w:numPr>
        <w:numId w:val="24"/>
      </w:numPr>
      <w:ind w:left="318" w:hanging="284"/>
    </w:pPr>
    <w:rPr>
      <w:b w:val="0"/>
    </w:rPr>
  </w:style>
  <w:style w:type="paragraph" w:customStyle="1" w:styleId="Tablelistnumber">
    <w:name w:val="Table list number"/>
    <w:basedOn w:val="Tabletextleft"/>
    <w:qFormat/>
    <w:rsid w:val="00A719F6"/>
    <w:pPr>
      <w:numPr>
        <w:numId w:val="25"/>
      </w:numPr>
    </w:pPr>
    <w:rPr>
      <w:bCs w:val="0"/>
      <w14:numSpacing w14:val="proportional"/>
    </w:rPr>
  </w:style>
  <w:style w:type="paragraph" w:customStyle="1" w:styleId="TableHeader">
    <w:name w:val="Table Header"/>
    <w:basedOn w:val="Normal"/>
    <w:next w:val="Tabletextleft"/>
    <w:qFormat/>
    <w:rsid w:val="00263F3A"/>
    <w:pPr>
      <w:spacing w:before="80" w:after="80"/>
    </w:pPr>
    <w:rPr>
      <w:rFonts w:eastAsia="Cambria"/>
      <w:b/>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263F3A"/>
    <w:pPr>
      <w:spacing w:before="60" w:after="60"/>
    </w:pPr>
    <w:rPr>
      <w:rFonts w:ascii="Arial" w:hAnsi="Arial" w:cs="Arial"/>
      <w:b/>
      <w:bCs/>
      <w:color w:val="000000" w:themeColor="text1"/>
      <w:lang w:val="en-US"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1D701B"/>
    <w:rPr>
      <w:rFonts w:ascii="Arial" w:hAnsi="Arial"/>
      <w:b/>
      <w:color w:val="000000" w:themeColor="text1"/>
      <w:sz w:val="21"/>
      <w:szCs w:val="21"/>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263F3A"/>
    <w:rPr>
      <w:rFonts w:ascii="Arial" w:hAnsi="Arial" w:cs="Arial"/>
      <w:b/>
      <w:bCs/>
      <w:iCs/>
      <w:color w:val="358189"/>
      <w:sz w:val="36"/>
      <w:szCs w:val="28"/>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06FE7"/>
    <w:rPr>
      <w:i/>
      <w:szCs w:val="16"/>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UnresolvedMention">
    <w:name w:val="Unresolved Mention"/>
    <w:basedOn w:val="DefaultParagraphFont"/>
    <w:uiPriority w:val="99"/>
    <w:semiHidden/>
    <w:unhideWhenUsed/>
    <w:rsid w:val="00E464A8"/>
    <w:rPr>
      <w:color w:val="605E5C"/>
      <w:shd w:val="clear" w:color="auto" w:fill="E1DFDD"/>
    </w:rPr>
  </w:style>
  <w:style w:type="table" w:styleId="GridTable4-Accent2">
    <w:name w:val="Grid Table 4 Accent 2"/>
    <w:basedOn w:val="TableNormal"/>
    <w:uiPriority w:val="49"/>
    <w:rsid w:val="007229B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FollowedHyperlink">
    <w:name w:val="FollowedHyperlink"/>
    <w:basedOn w:val="DefaultParagraphFont"/>
    <w:semiHidden/>
    <w:unhideWhenUsed/>
    <w:rsid w:val="00090F70"/>
    <w:rPr>
      <w:color w:val="800080" w:themeColor="followedHyperlink"/>
      <w:u w:val="single"/>
    </w:rPr>
  </w:style>
  <w:style w:type="character" w:styleId="CommentReference">
    <w:name w:val="annotation reference"/>
    <w:basedOn w:val="DefaultParagraphFont"/>
    <w:uiPriority w:val="99"/>
    <w:semiHidden/>
    <w:unhideWhenUsed/>
    <w:rsid w:val="00D70E66"/>
    <w:rPr>
      <w:sz w:val="16"/>
      <w:szCs w:val="16"/>
    </w:rPr>
  </w:style>
  <w:style w:type="paragraph" w:styleId="CommentSubject">
    <w:name w:val="annotation subject"/>
    <w:basedOn w:val="CommentText"/>
    <w:next w:val="CommentText"/>
    <w:link w:val="CommentSubjectChar"/>
    <w:semiHidden/>
    <w:unhideWhenUsed/>
    <w:rsid w:val="00D70E66"/>
    <w:rPr>
      <w:b/>
      <w:bCs/>
    </w:rPr>
  </w:style>
  <w:style w:type="character" w:customStyle="1" w:styleId="CommentSubjectChar">
    <w:name w:val="Comment Subject Char"/>
    <w:basedOn w:val="CommentTextChar"/>
    <w:link w:val="CommentSubject"/>
    <w:semiHidden/>
    <w:rsid w:val="00D70E66"/>
    <w:rPr>
      <w:rFonts w:ascii="Arial" w:eastAsiaTheme="minorEastAsia" w:hAnsi="Arial" w:cstheme="minorBidi"/>
      <w:b/>
      <w:bCs/>
      <w:lang w:eastAsia="en-US"/>
    </w:rPr>
  </w:style>
  <w:style w:type="paragraph" w:styleId="Revision">
    <w:name w:val="Revision"/>
    <w:hidden/>
    <w:uiPriority w:val="99"/>
    <w:semiHidden/>
    <w:rsid w:val="00676C0F"/>
    <w:rPr>
      <w:rFonts w:ascii="Arial" w:eastAsiaTheme="minorEastAsia" w:hAnsi="Arial" w:cstheme="minorBidi"/>
      <w:szCs w:val="21"/>
      <w:lang w:eastAsia="en-US"/>
    </w:rPr>
  </w:style>
  <w:style w:type="paragraph" w:customStyle="1" w:styleId="Paragraphtext">
    <w:name w:val="Paragraph text"/>
    <w:basedOn w:val="Normal"/>
    <w:qFormat/>
    <w:rsid w:val="00ED582A"/>
    <w:pPr>
      <w:spacing w:before="120" w:after="60" w:line="276" w:lineRule="auto"/>
    </w:pPr>
    <w:rPr>
      <w:rFonts w:eastAsia="Times New Roman" w:cs="Times New Roman"/>
      <w:color w:val="000000" w:themeColor="text1"/>
      <w:szCs w:val="24"/>
    </w:rPr>
  </w:style>
  <w:style w:type="character" w:customStyle="1" w:styleId="NEWItemNumber">
    <w:name w:val="NEW Item Number"/>
    <w:basedOn w:val="DefaultParagraphFont"/>
    <w:uiPriority w:val="1"/>
    <w:qFormat/>
    <w:rsid w:val="00C06C99"/>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paragraph" w:customStyle="1" w:styleId="elementtoproof">
    <w:name w:val="elementtoproof"/>
    <w:basedOn w:val="Normal"/>
    <w:rsid w:val="00C06C99"/>
    <w:pPr>
      <w:spacing w:after="0" w:line="240" w:lineRule="auto"/>
    </w:pPr>
    <w:rPr>
      <w:rFonts w:ascii="Calibri" w:eastAsiaTheme="minorHAnsi" w:hAnsi="Calibri" w:cs="Calibri"/>
      <w:sz w:val="22"/>
      <w:szCs w:val="22"/>
      <w:lang w:eastAsia="en-AU"/>
    </w:rPr>
  </w:style>
  <w:style w:type="character" w:customStyle="1" w:styleId="cf01">
    <w:name w:val="cf01"/>
    <w:basedOn w:val="DefaultParagraphFont"/>
    <w:rsid w:val="00601D2A"/>
    <w:rPr>
      <w:rFonts w:ascii="Segoe UI" w:hAnsi="Segoe UI" w:cs="Segoe UI" w:hint="default"/>
      <w:sz w:val="18"/>
      <w:szCs w:val="18"/>
    </w:rPr>
  </w:style>
  <w:style w:type="character" w:customStyle="1" w:styleId="cf11">
    <w:name w:val="cf11"/>
    <w:basedOn w:val="DefaultParagraphFont"/>
    <w:rsid w:val="00601D2A"/>
    <w:rPr>
      <w:rFonts w:ascii="Segoe UI" w:hAnsi="Segoe UI" w:cs="Segoe UI" w:hint="default"/>
      <w:color w:val="32323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518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751536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19305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695587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1665997">
      <w:bodyDiv w:val="1"/>
      <w:marLeft w:val="0"/>
      <w:marRight w:val="0"/>
      <w:marTop w:val="0"/>
      <w:marBottom w:val="0"/>
      <w:divBdr>
        <w:top w:val="none" w:sz="0" w:space="0" w:color="auto"/>
        <w:left w:val="none" w:sz="0" w:space="0" w:color="auto"/>
        <w:bottom w:val="none" w:sz="0" w:space="0" w:color="auto"/>
        <w:right w:val="none" w:sz="0" w:space="0" w:color="auto"/>
      </w:divBdr>
    </w:div>
    <w:div w:id="1595046291">
      <w:bodyDiv w:val="1"/>
      <w:marLeft w:val="0"/>
      <w:marRight w:val="0"/>
      <w:marTop w:val="0"/>
      <w:marBottom w:val="0"/>
      <w:divBdr>
        <w:top w:val="none" w:sz="0" w:space="0" w:color="auto"/>
        <w:left w:val="none" w:sz="0" w:space="0" w:color="auto"/>
        <w:bottom w:val="none" w:sz="0" w:space="0" w:color="auto"/>
        <w:right w:val="none" w:sz="0" w:space="0" w:color="auto"/>
      </w:divBdr>
    </w:div>
    <w:div w:id="17745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bsonline.gov.au/" TargetMode="External"/><Relationship Id="rId18" Type="http://schemas.openxmlformats.org/officeDocument/2006/relationships/hyperlink" Target="https://www.health.gov.au/resources/publications/mental-health-care-under-a-mental-health-treatment-plan-and-an-eating-disorder-treatment-and-management-plan" TargetMode="External"/><Relationship Id="rId26" Type="http://schemas.openxmlformats.org/officeDocument/2006/relationships/hyperlink" Target="http://www.mbsonline.gov.au/" TargetMode="External"/><Relationship Id="rId39" Type="http://schemas.openxmlformats.org/officeDocument/2006/relationships/theme" Target="theme/theme1.xml"/><Relationship Id="rId21" Type="http://schemas.openxmlformats.org/officeDocument/2006/relationships/hyperlink" Target="https://www.anzaed.org.au/Web/Web/Professional-Development/PD%20Hub.aspx?hkey=6a090e5e-3b41-44ae-b0d2-9a46bac984c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9.health.gov.au/mbs/fullDisplay.cfm?type=note&amp;qt=NoteID&amp;q=AN.36.1" TargetMode="External"/><Relationship Id="rId17" Type="http://schemas.openxmlformats.org/officeDocument/2006/relationships/hyperlink" Target="https://www.legislation.gov.au/F2024L00111/latest/text" TargetMode="External"/><Relationship Id="rId25" Type="http://schemas.openxmlformats.org/officeDocument/2006/relationships/hyperlink" Target="https://www.health.gov.au/"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F2021L00678/latest/text" TargetMode="External"/><Relationship Id="rId20" Type="http://schemas.openxmlformats.org/officeDocument/2006/relationships/hyperlink" Target="https://nedc.com.au/eating-disorder-resources/find-resources/show/workforce-core-competencies-a-competency-framework-for-eating-disorders-in-australia" TargetMode="External"/><Relationship Id="rId29" Type="http://schemas.openxmlformats.org/officeDocument/2006/relationships/hyperlink" Target="https://insideoutinstitute.org.au/resource-library/eating-disorder-care-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dc.com.au/national-strategy/system-of-care" TargetMode="External"/><Relationship Id="rId24" Type="http://schemas.openxmlformats.org/officeDocument/2006/relationships/hyperlink" Target="https://nedc.com.au/professional-development/elearning" TargetMode="External"/><Relationship Id="rId32" Type="http://schemas.openxmlformats.org/officeDocument/2006/relationships/hyperlink" Target="https://nedc.com.au/eating-disorder-resources/medicare-items/ed-treatment-and-mangement-plans"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bsonline.gov.au/" TargetMode="External"/><Relationship Id="rId23" Type="http://schemas.openxmlformats.org/officeDocument/2006/relationships/hyperlink" Target="https://insideoutinstitute.org.au/e-learning" TargetMode="External"/><Relationship Id="rId28" Type="http://schemas.openxmlformats.org/officeDocument/2006/relationships/hyperlink" Target="https://www.credo-oxford.com/pdfs/EDE_17.0D.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au/F2024L00111/latest/text"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dc.com.au/eating-disorders/treatment-and-recovery/treatment-approaches" TargetMode="External"/><Relationship Id="rId22" Type="http://schemas.openxmlformats.org/officeDocument/2006/relationships/hyperlink" Target="https://connected.anzaed.org.au/Connected/Connected/For-Professionals/Becoming-Credentialed.aspx" TargetMode="External"/><Relationship Id="rId27" Type="http://schemas.openxmlformats.org/officeDocument/2006/relationships/hyperlink" Target="https://www.gp.insideoutinstitute.org.au/" TargetMode="External"/><Relationship Id="rId30" Type="http://schemas.openxmlformats.org/officeDocument/2006/relationships/hyperlink" Target="https://insideoutinstitute.org.au/resource-library/gp-care-plan-review-templat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7b5d65-6a7b-4d29-8058-532dd865f997">
      <Terms xmlns="http://schemas.microsoft.com/office/infopath/2007/PartnerControls"/>
    </lcf76f155ced4ddcb4097134ff3c332f>
    <TaxCatchAll xmlns="1ce55e6e-06dd-4e73-9374-e006fe8d8563" xsi:nil="true"/>
    <Comments xmlns="8d7b5d65-6a7b-4d29-8058-532dd865f9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a996cd144c3e60b225a814d650434d">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d5b521fd4333c0caaa2d4f2d9475d237"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mment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c16191-b2b2-41da-98d9-2f241a777087}"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6821-1FD8-4E26-88C8-5B14DA826902}">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customXml/itemProps2.xml><?xml version="1.0" encoding="utf-8"?>
<ds:datastoreItem xmlns:ds="http://schemas.openxmlformats.org/officeDocument/2006/customXml" ds:itemID="{061B6211-F4CB-4A44-8560-764685CF6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5084C-1B7E-4BDD-9933-CD2BA3577285}">
  <ds:schemaRefs>
    <ds:schemaRef ds:uri="http://schemas.microsoft.com/sharepoint/v3/contenttype/forms"/>
  </ds:schemaRefs>
</ds:datastoreItem>
</file>

<file path=customXml/itemProps4.xml><?xml version="1.0" encoding="utf-8"?>
<ds:datastoreItem xmlns:ds="http://schemas.openxmlformats.org/officeDocument/2006/customXml" ds:itemID="{0B0EE4A5-47E3-4E01-9B07-C356123C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2068</Words>
  <Characters>12845</Characters>
  <Application>Microsoft Office Word</Application>
  <DocSecurity>0</DocSecurity>
  <Lines>313</Lines>
  <Paragraphs>184</Paragraphs>
  <ScaleCrop>false</ScaleCrop>
  <HeadingPairs>
    <vt:vector size="2" baseType="variant">
      <vt:variant>
        <vt:lpstr>Title</vt:lpstr>
      </vt:variant>
      <vt:variant>
        <vt:i4>1</vt:i4>
      </vt:variant>
    </vt:vector>
  </HeadingPairs>
  <TitlesOfParts>
    <vt:vector size="1" baseType="lpstr">
      <vt:lpstr>Medicare Benefits Schedule (MBS) Eating Disorders Fact sheet for Health Practitioners</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Benefits Schedule (MBS) Eating Disorders Fact sheet for Health Practitioners</dc:title>
  <dc:subject>Eating Disorders</dc:subject>
  <dc:creator>Australian Government Department of Health, Disability and Ageing</dc:creator>
  <cp:keywords>Medicare;MBS;Eating Disorder</cp:keywords>
  <cp:lastModifiedBy>MASCHKE, Elvia</cp:lastModifiedBy>
  <cp:revision>6</cp:revision>
  <dcterms:created xsi:type="dcterms:W3CDTF">2026-01-05T22:27:00Z</dcterms:created>
  <dcterms:modified xsi:type="dcterms:W3CDTF">2026-01-06T00:36:00Z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0x0101007D898DC2E225DB4FA7B52A411BC4AA76</vt:lpwstr>
  </property>
  <property fmtid="{D5CDD505-2E9C-101B-9397-08002B2CF9AE}" pid="3" name="MediaServiceImageTags">
    <vt:lpwstr/>
  </property>
  <property fmtid="{D5CDD505-2E9C-101B-9397-08002B2CF9AE}" pid="4" name="ClassificationContentMarkingHeaderShapeIds">
    <vt:lpwstr>6dbb8280,75e2b62d,352f196a</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158329a0,27a38fb8,2dbec814</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2025-10-16T04:46:57Z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45af1b0e-4e35-4b44-bcdd-a89ef91f8c57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