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73E37" w14:textId="77777777" w:rsidR="00CA54F4" w:rsidRDefault="00CA54F4" w:rsidP="00CA54F4">
      <w:pPr>
        <w:pStyle w:val="Heading1"/>
      </w:pPr>
      <w:r w:rsidRPr="00B20D4F">
        <w:t>Life Saving Drugs Program</w:t>
      </w:r>
      <w:r>
        <w:t xml:space="preserve"> (LSDP)</w:t>
      </w:r>
    </w:p>
    <w:p w14:paraId="3FDFF2F7" w14:textId="0D35C682" w:rsidR="00F12F4F" w:rsidRPr="0057529F" w:rsidRDefault="00CA54F4" w:rsidP="0057529F">
      <w:pPr>
        <w:pStyle w:val="Heading1"/>
      </w:pPr>
      <w:r w:rsidRPr="00CA54F4">
        <w:t>Olipudase alfa (Xenpozyme</w:t>
      </w:r>
      <w:r w:rsidRPr="00C3753E">
        <w:rPr>
          <w:vertAlign w:val="superscript"/>
        </w:rPr>
        <w:t>®</w:t>
      </w:r>
      <w:r w:rsidRPr="00CA54F4">
        <w:t xml:space="preserve">) </w:t>
      </w:r>
      <w:r w:rsidRPr="00B20D4F">
        <w:t xml:space="preserve">outcome statement </w:t>
      </w:r>
    </w:p>
    <w:p w14:paraId="6686AE04" w14:textId="17DA3DA5" w:rsidR="0057529F" w:rsidRPr="00CE6CA8" w:rsidRDefault="0057529F" w:rsidP="0057529F">
      <w:pPr>
        <w:pStyle w:val="Heading2"/>
        <w:rPr>
          <w:b w:val="0"/>
          <w:bCs w:val="0"/>
          <w:szCs w:val="36"/>
        </w:rPr>
      </w:pPr>
      <w:r w:rsidRPr="0057529F">
        <w:rPr>
          <w:b w:val="0"/>
          <w:bCs w:val="0"/>
          <w:szCs w:val="36"/>
        </w:rPr>
        <w:t>Summary of the consideration of the application from Sanofi Australia and New Zealand for the inclusion of olipudase alfa (Xenpozyme</w:t>
      </w:r>
      <w:r w:rsidRPr="00A878B1">
        <w:rPr>
          <w:b w:val="0"/>
          <w:bCs w:val="0"/>
          <w:szCs w:val="36"/>
          <w:vertAlign w:val="superscript"/>
        </w:rPr>
        <w:t>®</w:t>
      </w:r>
      <w:r w:rsidRPr="0057529F">
        <w:rPr>
          <w:b w:val="0"/>
          <w:bCs w:val="0"/>
          <w:szCs w:val="36"/>
        </w:rPr>
        <w:t>) on the LSDP for the treatment of acid sphingomyelinase deficiency (ASMD) types A/B and B</w:t>
      </w:r>
    </w:p>
    <w:p w14:paraId="592CBF46" w14:textId="77777777" w:rsidR="00510033" w:rsidRPr="009E423F" w:rsidRDefault="00510033" w:rsidP="00510033">
      <w:pPr>
        <w:pStyle w:val="Heading2"/>
      </w:pPr>
      <w:r w:rsidRPr="009E423F">
        <w:t>Overview</w:t>
      </w:r>
    </w:p>
    <w:p w14:paraId="31475857" w14:textId="09C1093B" w:rsidR="00510033" w:rsidRPr="004C08CE" w:rsidRDefault="00510033" w:rsidP="00CA54F4">
      <w:pPr>
        <w:rPr>
          <w:sz w:val="21"/>
          <w:szCs w:val="21"/>
        </w:rPr>
      </w:pPr>
      <w:r w:rsidRPr="004C08CE">
        <w:rPr>
          <w:sz w:val="21"/>
          <w:szCs w:val="21"/>
        </w:rPr>
        <w:t>The LSDP Expert Panel (the Expert Panel) advises the Chief Medical Officer (CMO) on new medicine applications to the LSDP. The Expert Panel considered the application from Sanofi Australia and New Zealand (Sanofi) on 20 October 2023 and 13 December 2024 and the CMO recommended olipudase alfa for listing on the LSDP in February 2025.</w:t>
      </w:r>
    </w:p>
    <w:p w14:paraId="77B206D5" w14:textId="77777777" w:rsidR="00DC197C" w:rsidRPr="00CA4BE3" w:rsidRDefault="00DC197C" w:rsidP="00DC197C">
      <w:pPr>
        <w:pStyle w:val="Heading2"/>
      </w:pPr>
      <w:r>
        <w:t>Background</w:t>
      </w:r>
    </w:p>
    <w:p w14:paraId="03BD1371" w14:textId="2F586EC5" w:rsidR="00DC197C" w:rsidRPr="004C08CE" w:rsidRDefault="00DC197C" w:rsidP="00DC197C">
      <w:pPr>
        <w:rPr>
          <w:sz w:val="21"/>
          <w:szCs w:val="21"/>
        </w:rPr>
      </w:pPr>
      <w:bookmarkStart w:id="0" w:name="_Hlk85795649"/>
      <w:r w:rsidRPr="004C08CE">
        <w:rPr>
          <w:sz w:val="21"/>
          <w:szCs w:val="21"/>
        </w:rPr>
        <w:t>Olipudase alfa is approved by the Therapeutic Goods Administration (TGA) for the treatment of non-central nervous system (</w:t>
      </w:r>
      <w:r w:rsidR="00F52515" w:rsidRPr="004C08CE">
        <w:rPr>
          <w:sz w:val="21"/>
          <w:szCs w:val="21"/>
        </w:rPr>
        <w:t>non-</w:t>
      </w:r>
      <w:r w:rsidRPr="004C08CE">
        <w:rPr>
          <w:sz w:val="21"/>
          <w:szCs w:val="21"/>
        </w:rPr>
        <w:t>neurological) manifestations of acid sphingomyelinase deficiency (ASMD) in paediatric and adult patients with type A/B (Niemann-Pick type A/B) or type B (Niemann-Pick type B). ASMD is an ultra-rare lysosomal storage disorder resulting from deficiency of the lysosomal enzyme acid sphingomyelinase (ASM) due to bi-allelic mutations in the sphingomyelin phosphodiesterase 1 (</w:t>
      </w:r>
      <w:r w:rsidRPr="00EF5E40">
        <w:rPr>
          <w:i/>
          <w:iCs/>
          <w:sz w:val="21"/>
          <w:szCs w:val="21"/>
        </w:rPr>
        <w:t>SMPD1</w:t>
      </w:r>
      <w:r w:rsidRPr="004C08CE">
        <w:rPr>
          <w:sz w:val="21"/>
          <w:szCs w:val="21"/>
        </w:rPr>
        <w:t xml:space="preserve">) gene. The ASM enzyme normally functions to break down a fat called sphingomyelin within a lysosome. When there is a deficiency with this enzyme, sphingomyelin accumulates in the body which can result in organ damage and a variety of symptoms, including neurological issues, organ enlargement, and other systemic effects. </w:t>
      </w:r>
    </w:p>
    <w:p w14:paraId="079F857C" w14:textId="02CC048F" w:rsidR="00DC197C" w:rsidRPr="004C08CE" w:rsidRDefault="00DC197C" w:rsidP="00DC197C">
      <w:pPr>
        <w:rPr>
          <w:sz w:val="21"/>
          <w:szCs w:val="21"/>
        </w:rPr>
      </w:pPr>
      <w:r w:rsidRPr="004C08CE">
        <w:rPr>
          <w:sz w:val="21"/>
          <w:szCs w:val="21"/>
        </w:rPr>
        <w:t>Olipudase alfa is a copy of the normal ASM enzyme. It is expected to replace the deficient enzyme in a patient and reduce the build-up of fats within lysosomes. However, olipudase alfa is unable to cross the blood-brain barrier and is therefore not expected to improve the neurological aspects of ASMD. As such patients with ASMD type A</w:t>
      </w:r>
      <w:r w:rsidR="004C08CE" w:rsidRPr="004C08CE">
        <w:rPr>
          <w:sz w:val="21"/>
          <w:szCs w:val="21"/>
        </w:rPr>
        <w:t>,</w:t>
      </w:r>
      <w:r w:rsidRPr="004C08CE">
        <w:rPr>
          <w:sz w:val="21"/>
          <w:szCs w:val="21"/>
        </w:rPr>
        <w:t xml:space="preserve"> who present with severe neurological symptoms are not expected to benefit from treatment.</w:t>
      </w:r>
    </w:p>
    <w:p w14:paraId="0DD098B4" w14:textId="77777777" w:rsidR="00DC197C" w:rsidRPr="00CA4BE3" w:rsidRDefault="00DC197C" w:rsidP="00DC197C">
      <w:pPr>
        <w:pStyle w:val="Heading2"/>
      </w:pPr>
      <w:r w:rsidRPr="00F12F4F">
        <w:t>Pharmaceutical Benefits Advisory Committee (PBAC) Consideration</w:t>
      </w:r>
    </w:p>
    <w:p w14:paraId="167EDCC7" w14:textId="77777777" w:rsidR="00DC197C" w:rsidRDefault="00DC197C" w:rsidP="00DC197C">
      <w:pPr>
        <w:rPr>
          <w:sz w:val="21"/>
          <w:szCs w:val="21"/>
        </w:rPr>
      </w:pPr>
      <w:r w:rsidRPr="00194FD5">
        <w:rPr>
          <w:sz w:val="21"/>
          <w:szCs w:val="21"/>
        </w:rPr>
        <w:t xml:space="preserve">At its </w:t>
      </w:r>
      <w:r w:rsidRPr="00356F0F">
        <w:rPr>
          <w:sz w:val="21"/>
          <w:szCs w:val="21"/>
        </w:rPr>
        <w:t>July 2023</w:t>
      </w:r>
      <w:r w:rsidRPr="00194FD5">
        <w:rPr>
          <w:sz w:val="21"/>
          <w:szCs w:val="21"/>
        </w:rPr>
        <w:t xml:space="preserve"> meeting, PBAC considered a submission from </w:t>
      </w:r>
      <w:r>
        <w:rPr>
          <w:sz w:val="21"/>
          <w:szCs w:val="21"/>
        </w:rPr>
        <w:t xml:space="preserve">Sanofi </w:t>
      </w:r>
      <w:r w:rsidRPr="00194FD5">
        <w:rPr>
          <w:sz w:val="21"/>
          <w:szCs w:val="21"/>
        </w:rPr>
        <w:t xml:space="preserve">requesting the listing of </w:t>
      </w:r>
      <w:r>
        <w:rPr>
          <w:sz w:val="21"/>
          <w:szCs w:val="21"/>
        </w:rPr>
        <w:t>olipudase alfa</w:t>
      </w:r>
      <w:r w:rsidRPr="00194FD5">
        <w:rPr>
          <w:sz w:val="21"/>
          <w:szCs w:val="21"/>
        </w:rPr>
        <w:t xml:space="preserve"> on the Pharmaceutical Benefits Scheme (PBS) for the treatment of patients with </w:t>
      </w:r>
      <w:r>
        <w:rPr>
          <w:rFonts w:eastAsia="Calibri" w:cs="Arial"/>
          <w:sz w:val="21"/>
          <w:szCs w:val="21"/>
        </w:rPr>
        <w:t>ASMD type A/B or type B</w:t>
      </w:r>
      <w:r w:rsidRPr="00194FD5">
        <w:rPr>
          <w:sz w:val="21"/>
          <w:szCs w:val="21"/>
        </w:rPr>
        <w:t>. PBAC did not</w:t>
      </w:r>
      <w:r>
        <w:rPr>
          <w:sz w:val="21"/>
          <w:szCs w:val="21"/>
        </w:rPr>
        <w:t xml:space="preserve"> r</w:t>
      </w:r>
      <w:r w:rsidRPr="00311D23">
        <w:rPr>
          <w:sz w:val="21"/>
          <w:szCs w:val="21"/>
        </w:rPr>
        <w:t xml:space="preserve">ecommend the requested listing </w:t>
      </w:r>
      <w:r>
        <w:rPr>
          <w:sz w:val="21"/>
          <w:szCs w:val="21"/>
        </w:rPr>
        <w:t xml:space="preserve">of olipudase alfa </w:t>
      </w:r>
      <w:r w:rsidRPr="002A0F3F">
        <w:rPr>
          <w:rFonts w:eastAsia="Calibri" w:cs="Arial"/>
          <w:sz w:val="21"/>
          <w:szCs w:val="21"/>
        </w:rPr>
        <w:t xml:space="preserve">as it </w:t>
      </w:r>
      <w:r w:rsidRPr="00356F0F">
        <w:rPr>
          <w:rFonts w:eastAsia="Calibri" w:cs="Arial"/>
          <w:sz w:val="21"/>
          <w:szCs w:val="21"/>
        </w:rPr>
        <w:lastRenderedPageBreak/>
        <w:t>considered the incremental cost effectiveness ratio (ICER) for olipudase alfa compared to best supportive care was extremely high and uncertain</w:t>
      </w:r>
      <w:r w:rsidRPr="002A0F3F">
        <w:rPr>
          <w:rFonts w:cs="Arial"/>
          <w:sz w:val="21"/>
          <w:szCs w:val="21"/>
        </w:rPr>
        <w:t xml:space="preserve">. </w:t>
      </w:r>
      <w:r w:rsidRPr="00194FD5">
        <w:rPr>
          <w:sz w:val="21"/>
          <w:szCs w:val="21"/>
        </w:rPr>
        <w:t xml:space="preserve">Further information on PBAC’s consideration </w:t>
      </w:r>
      <w:r w:rsidRPr="00A21415">
        <w:rPr>
          <w:sz w:val="21"/>
          <w:szCs w:val="21"/>
        </w:rPr>
        <w:t xml:space="preserve">of </w:t>
      </w:r>
      <w:r>
        <w:rPr>
          <w:sz w:val="21"/>
          <w:szCs w:val="21"/>
        </w:rPr>
        <w:t>olipudase</w:t>
      </w:r>
      <w:r w:rsidRPr="00A21415">
        <w:rPr>
          <w:sz w:val="21"/>
          <w:szCs w:val="21"/>
        </w:rPr>
        <w:t xml:space="preserve"> alfa including reasons for rejection is available in the </w:t>
      </w:r>
      <w:r w:rsidRPr="0010449B">
        <w:rPr>
          <w:sz w:val="21"/>
          <w:szCs w:val="21"/>
        </w:rPr>
        <w:t xml:space="preserve">PBAC </w:t>
      </w:r>
      <w:hyperlink r:id="rId11" w:history="1">
        <w:r w:rsidRPr="0010449B">
          <w:rPr>
            <w:rStyle w:val="Hyperlink"/>
            <w:sz w:val="21"/>
            <w:szCs w:val="21"/>
          </w:rPr>
          <w:t>Public Summary Document</w:t>
        </w:r>
      </w:hyperlink>
      <w:r>
        <w:rPr>
          <w:sz w:val="21"/>
          <w:szCs w:val="21"/>
        </w:rPr>
        <w:t>.</w:t>
      </w:r>
      <w:r w:rsidRPr="004D37D9">
        <w:rPr>
          <w:color w:val="auto"/>
          <w:sz w:val="21"/>
          <w:szCs w:val="21"/>
        </w:rPr>
        <w:t xml:space="preserve"> </w:t>
      </w:r>
    </w:p>
    <w:p w14:paraId="1BE8784A" w14:textId="77777777" w:rsidR="00DC197C" w:rsidRDefault="00DC197C" w:rsidP="00DC197C">
      <w:pPr>
        <w:pStyle w:val="Heading2"/>
      </w:pPr>
      <w:r>
        <w:t>Expert Panel Consideration</w:t>
      </w:r>
    </w:p>
    <w:p w14:paraId="405B78FD" w14:textId="77777777" w:rsidR="00DC197C" w:rsidRDefault="00DC197C" w:rsidP="00DC197C">
      <w:pPr>
        <w:pStyle w:val="Heading3"/>
      </w:pPr>
      <w:r>
        <w:t>Funding Criteria</w:t>
      </w:r>
    </w:p>
    <w:p w14:paraId="358FEFC7" w14:textId="34E8661E" w:rsidR="00994DA1" w:rsidRPr="00994DA1" w:rsidRDefault="00994DA1" w:rsidP="00994DA1">
      <w:r w:rsidRPr="00994DA1">
        <w:t xml:space="preserve">To be listed on the LSDP, a medicine must meet each of the LSDP funding criteria A1-A8. A summary of the claims for </w:t>
      </w:r>
      <w:r>
        <w:t>olipudase</w:t>
      </w:r>
      <w:r w:rsidRPr="00994DA1">
        <w:t xml:space="preserve"> alfa against each criterion is presented below.</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left w:w="113" w:type="dxa"/>
          <w:bottom w:w="113" w:type="dxa"/>
          <w:right w:w="113" w:type="dxa"/>
        </w:tblCellMar>
        <w:tblLook w:val="01E0" w:firstRow="1" w:lastRow="1" w:firstColumn="1" w:lastColumn="1" w:noHBand="0" w:noVBand="0"/>
      </w:tblPr>
      <w:tblGrid>
        <w:gridCol w:w="709"/>
        <w:gridCol w:w="2684"/>
        <w:gridCol w:w="6388"/>
      </w:tblGrid>
      <w:tr w:rsidR="00DC197C" w:rsidRPr="0079249E" w14:paraId="42A8A4A2" w14:textId="77777777" w:rsidTr="004E0919">
        <w:trPr>
          <w:trHeight w:val="484"/>
        </w:trPr>
        <w:tc>
          <w:tcPr>
            <w:tcW w:w="3393" w:type="dxa"/>
            <w:gridSpan w:val="2"/>
            <w:shd w:val="clear" w:color="auto" w:fill="1F253A" w:themeFill="accent1" w:themeFillShade="80"/>
          </w:tcPr>
          <w:p w14:paraId="103D4E0A" w14:textId="77777777" w:rsidR="00DC197C" w:rsidRPr="0079249E" w:rsidRDefault="00DC197C" w:rsidP="004E0919">
            <w:pPr>
              <w:pStyle w:val="TableHeaderWhite"/>
              <w:jc w:val="center"/>
              <w:rPr>
                <w:sz w:val="21"/>
                <w:szCs w:val="21"/>
              </w:rPr>
            </w:pPr>
            <w:r w:rsidRPr="0079249E">
              <w:rPr>
                <w:sz w:val="21"/>
                <w:szCs w:val="21"/>
              </w:rPr>
              <w:t>LSDP criteria</w:t>
            </w:r>
          </w:p>
        </w:tc>
        <w:tc>
          <w:tcPr>
            <w:tcW w:w="6388" w:type="dxa"/>
            <w:shd w:val="clear" w:color="auto" w:fill="1F253A" w:themeFill="accent1" w:themeFillShade="80"/>
          </w:tcPr>
          <w:p w14:paraId="1AE79E17" w14:textId="77777777" w:rsidR="00DC197C" w:rsidRPr="0079249E" w:rsidRDefault="00DC197C" w:rsidP="004E0919">
            <w:pPr>
              <w:pStyle w:val="TableHeaderWhite"/>
              <w:jc w:val="center"/>
              <w:rPr>
                <w:sz w:val="21"/>
                <w:szCs w:val="21"/>
              </w:rPr>
            </w:pPr>
            <w:r w:rsidRPr="0079249E">
              <w:rPr>
                <w:sz w:val="21"/>
                <w:szCs w:val="21"/>
              </w:rPr>
              <w:t xml:space="preserve">How </w:t>
            </w:r>
            <w:r>
              <w:rPr>
                <w:sz w:val="21"/>
                <w:szCs w:val="21"/>
              </w:rPr>
              <w:t>olipudase</w:t>
            </w:r>
            <w:r w:rsidRPr="0079249E">
              <w:rPr>
                <w:sz w:val="21"/>
                <w:szCs w:val="21"/>
              </w:rPr>
              <w:t xml:space="preserve"> alfa meets the criteria</w:t>
            </w:r>
          </w:p>
        </w:tc>
      </w:tr>
      <w:tr w:rsidR="00DC197C" w:rsidRPr="0079249E" w14:paraId="1614573B" w14:textId="77777777" w:rsidTr="004E0919">
        <w:trPr>
          <w:trHeight w:val="2193"/>
        </w:trPr>
        <w:tc>
          <w:tcPr>
            <w:tcW w:w="709" w:type="dxa"/>
          </w:tcPr>
          <w:p w14:paraId="5AC0B13E" w14:textId="77777777" w:rsidR="00DC197C" w:rsidRPr="0079249E" w:rsidRDefault="00DC197C" w:rsidP="004E0919">
            <w:pPr>
              <w:pStyle w:val="TableParagraph"/>
              <w:spacing w:before="0"/>
              <w:ind w:left="0"/>
              <w:rPr>
                <w:rFonts w:ascii="Arial" w:hAnsi="Arial" w:cs="Arial"/>
                <w:b/>
                <w:sz w:val="21"/>
                <w:szCs w:val="21"/>
              </w:rPr>
            </w:pPr>
            <w:r w:rsidRPr="0079249E">
              <w:rPr>
                <w:rFonts w:ascii="Arial" w:hAnsi="Arial" w:cs="Arial"/>
                <w:b/>
                <w:spacing w:val="-5"/>
                <w:sz w:val="21"/>
                <w:szCs w:val="21"/>
              </w:rPr>
              <w:t>A1</w:t>
            </w:r>
          </w:p>
        </w:tc>
        <w:tc>
          <w:tcPr>
            <w:tcW w:w="2684" w:type="dxa"/>
          </w:tcPr>
          <w:p w14:paraId="2D5C81EC" w14:textId="77777777" w:rsidR="00DC197C" w:rsidRPr="00433030" w:rsidRDefault="00DC197C" w:rsidP="004E0919">
            <w:pPr>
              <w:pStyle w:val="TableParagraph"/>
              <w:spacing w:before="0"/>
              <w:ind w:left="0"/>
              <w:rPr>
                <w:rFonts w:ascii="Arial" w:hAnsi="Arial" w:cs="Arial"/>
                <w:b/>
                <w:sz w:val="21"/>
                <w:szCs w:val="21"/>
              </w:rPr>
            </w:pPr>
            <w:r w:rsidRPr="00433030">
              <w:rPr>
                <w:rFonts w:ascii="Arial" w:hAnsi="Arial" w:cs="Arial"/>
                <w:b/>
                <w:sz w:val="21"/>
                <w:szCs w:val="21"/>
              </w:rPr>
              <w:t>There is a rare but clinically definable</w:t>
            </w:r>
            <w:r w:rsidRPr="00433030">
              <w:rPr>
                <w:rFonts w:ascii="Arial" w:hAnsi="Arial" w:cs="Arial"/>
                <w:b/>
                <w:spacing w:val="-10"/>
                <w:sz w:val="21"/>
                <w:szCs w:val="21"/>
              </w:rPr>
              <w:t xml:space="preserve"> </w:t>
            </w:r>
            <w:r w:rsidRPr="00433030">
              <w:rPr>
                <w:rFonts w:ascii="Arial" w:hAnsi="Arial" w:cs="Arial"/>
                <w:b/>
                <w:sz w:val="21"/>
                <w:szCs w:val="21"/>
              </w:rPr>
              <w:t>disease</w:t>
            </w:r>
            <w:r w:rsidRPr="00433030">
              <w:rPr>
                <w:rFonts w:ascii="Arial" w:hAnsi="Arial" w:cs="Arial"/>
                <w:b/>
                <w:spacing w:val="-10"/>
                <w:sz w:val="21"/>
                <w:szCs w:val="21"/>
              </w:rPr>
              <w:t xml:space="preserve"> </w:t>
            </w:r>
            <w:r w:rsidRPr="00433030">
              <w:rPr>
                <w:rFonts w:ascii="Arial" w:hAnsi="Arial" w:cs="Arial"/>
                <w:b/>
                <w:sz w:val="21"/>
                <w:szCs w:val="21"/>
              </w:rPr>
              <w:t>for</w:t>
            </w:r>
            <w:r w:rsidRPr="00433030">
              <w:rPr>
                <w:rFonts w:ascii="Arial" w:hAnsi="Arial" w:cs="Arial"/>
                <w:b/>
                <w:spacing w:val="-9"/>
                <w:sz w:val="21"/>
                <w:szCs w:val="21"/>
              </w:rPr>
              <w:t xml:space="preserve"> </w:t>
            </w:r>
            <w:r w:rsidRPr="00433030">
              <w:rPr>
                <w:rFonts w:ascii="Arial" w:hAnsi="Arial" w:cs="Arial"/>
                <w:b/>
                <w:sz w:val="21"/>
                <w:szCs w:val="21"/>
              </w:rPr>
              <w:t>which</w:t>
            </w:r>
            <w:r w:rsidRPr="00433030">
              <w:rPr>
                <w:rFonts w:ascii="Arial" w:hAnsi="Arial" w:cs="Arial"/>
                <w:b/>
                <w:spacing w:val="-9"/>
                <w:sz w:val="21"/>
                <w:szCs w:val="21"/>
              </w:rPr>
              <w:t xml:space="preserve"> </w:t>
            </w:r>
            <w:r w:rsidRPr="00433030">
              <w:rPr>
                <w:rFonts w:ascii="Arial" w:hAnsi="Arial" w:cs="Arial"/>
                <w:b/>
                <w:sz w:val="21"/>
                <w:szCs w:val="21"/>
              </w:rPr>
              <w:t>the drug is regarded as a proven therapeutic modality, i.e. approved</w:t>
            </w:r>
            <w:r w:rsidRPr="00433030">
              <w:rPr>
                <w:rFonts w:ascii="Arial" w:hAnsi="Arial" w:cs="Arial"/>
                <w:b/>
                <w:spacing w:val="-8"/>
                <w:sz w:val="21"/>
                <w:szCs w:val="21"/>
              </w:rPr>
              <w:t xml:space="preserve"> </w:t>
            </w:r>
            <w:r w:rsidRPr="00433030">
              <w:rPr>
                <w:rFonts w:ascii="Arial" w:hAnsi="Arial" w:cs="Arial"/>
                <w:b/>
                <w:sz w:val="21"/>
                <w:szCs w:val="21"/>
              </w:rPr>
              <w:t>for</w:t>
            </w:r>
            <w:r w:rsidRPr="00433030">
              <w:rPr>
                <w:rFonts w:ascii="Arial" w:hAnsi="Arial" w:cs="Arial"/>
                <w:b/>
                <w:spacing w:val="-10"/>
                <w:sz w:val="21"/>
                <w:szCs w:val="21"/>
              </w:rPr>
              <w:t xml:space="preserve"> </w:t>
            </w:r>
            <w:r w:rsidRPr="00433030">
              <w:rPr>
                <w:rFonts w:ascii="Arial" w:hAnsi="Arial" w:cs="Arial"/>
                <w:b/>
                <w:sz w:val="21"/>
                <w:szCs w:val="21"/>
              </w:rPr>
              <w:t>that</w:t>
            </w:r>
            <w:r w:rsidRPr="00433030">
              <w:rPr>
                <w:rFonts w:ascii="Arial" w:hAnsi="Arial" w:cs="Arial"/>
                <w:b/>
                <w:spacing w:val="-9"/>
                <w:sz w:val="21"/>
                <w:szCs w:val="21"/>
              </w:rPr>
              <w:t xml:space="preserve"> </w:t>
            </w:r>
            <w:r w:rsidRPr="00433030">
              <w:rPr>
                <w:rFonts w:ascii="Arial" w:hAnsi="Arial" w:cs="Arial"/>
                <w:b/>
                <w:sz w:val="21"/>
                <w:szCs w:val="21"/>
              </w:rPr>
              <w:t>indication</w:t>
            </w:r>
            <w:r w:rsidRPr="00433030">
              <w:rPr>
                <w:rFonts w:ascii="Arial" w:hAnsi="Arial" w:cs="Arial"/>
                <w:b/>
                <w:spacing w:val="-10"/>
                <w:sz w:val="21"/>
                <w:szCs w:val="21"/>
              </w:rPr>
              <w:t xml:space="preserve"> </w:t>
            </w:r>
            <w:r w:rsidRPr="00433030">
              <w:rPr>
                <w:rFonts w:ascii="Arial" w:hAnsi="Arial" w:cs="Arial"/>
                <w:b/>
                <w:sz w:val="21"/>
                <w:szCs w:val="21"/>
              </w:rPr>
              <w:t xml:space="preserve">by the </w:t>
            </w:r>
            <w:r>
              <w:rPr>
                <w:rFonts w:ascii="Arial" w:hAnsi="Arial" w:cs="Arial"/>
                <w:b/>
                <w:sz w:val="21"/>
                <w:szCs w:val="21"/>
              </w:rPr>
              <w:t>TGA</w:t>
            </w:r>
            <w:r w:rsidRPr="00433030">
              <w:rPr>
                <w:rFonts w:ascii="Arial" w:hAnsi="Arial" w:cs="Arial"/>
                <w:b/>
                <w:sz w:val="21"/>
                <w:szCs w:val="21"/>
              </w:rPr>
              <w:t xml:space="preserve"> (prevalence of</w:t>
            </w:r>
          </w:p>
          <w:p w14:paraId="50F111E0" w14:textId="77777777" w:rsidR="00DC197C" w:rsidRPr="00433030" w:rsidRDefault="00DC197C" w:rsidP="004E0919">
            <w:pPr>
              <w:pStyle w:val="TableParagraph"/>
              <w:spacing w:before="0"/>
              <w:ind w:left="0"/>
              <w:rPr>
                <w:rFonts w:ascii="Arial" w:hAnsi="Arial" w:cs="Arial"/>
                <w:b/>
                <w:sz w:val="21"/>
                <w:szCs w:val="21"/>
              </w:rPr>
            </w:pPr>
            <w:r w:rsidRPr="00433030">
              <w:rPr>
                <w:rFonts w:ascii="Arial" w:hAnsi="Arial" w:cs="Arial"/>
                <w:b/>
                <w:sz w:val="21"/>
                <w:szCs w:val="21"/>
              </w:rPr>
              <w:t>≤1</w:t>
            </w:r>
            <w:r w:rsidRPr="00433030">
              <w:rPr>
                <w:rFonts w:ascii="Arial" w:hAnsi="Arial" w:cs="Arial"/>
                <w:b/>
                <w:spacing w:val="-6"/>
                <w:sz w:val="21"/>
                <w:szCs w:val="21"/>
              </w:rPr>
              <w:t xml:space="preserve"> </w:t>
            </w:r>
            <w:r w:rsidRPr="00433030">
              <w:rPr>
                <w:rFonts w:ascii="Arial" w:hAnsi="Arial" w:cs="Arial"/>
                <w:b/>
                <w:sz w:val="21"/>
                <w:szCs w:val="21"/>
              </w:rPr>
              <w:t>per</w:t>
            </w:r>
            <w:r w:rsidRPr="00433030">
              <w:rPr>
                <w:rFonts w:ascii="Arial" w:hAnsi="Arial" w:cs="Arial"/>
                <w:b/>
                <w:spacing w:val="-4"/>
                <w:sz w:val="21"/>
                <w:szCs w:val="21"/>
              </w:rPr>
              <w:t xml:space="preserve"> </w:t>
            </w:r>
            <w:r w:rsidRPr="00433030">
              <w:rPr>
                <w:rFonts w:ascii="Arial" w:hAnsi="Arial" w:cs="Arial"/>
                <w:b/>
                <w:sz w:val="21"/>
                <w:szCs w:val="21"/>
              </w:rPr>
              <w:t>50,000</w:t>
            </w:r>
            <w:r w:rsidRPr="00433030">
              <w:rPr>
                <w:rFonts w:ascii="Arial" w:hAnsi="Arial" w:cs="Arial"/>
                <w:b/>
                <w:spacing w:val="-5"/>
                <w:sz w:val="21"/>
                <w:szCs w:val="21"/>
              </w:rPr>
              <w:t xml:space="preserve"> </w:t>
            </w:r>
            <w:r w:rsidRPr="00433030">
              <w:rPr>
                <w:rFonts w:ascii="Arial" w:hAnsi="Arial" w:cs="Arial"/>
                <w:b/>
                <w:spacing w:val="-2"/>
                <w:sz w:val="21"/>
                <w:szCs w:val="21"/>
              </w:rPr>
              <w:t>people).</w:t>
            </w:r>
          </w:p>
        </w:tc>
        <w:tc>
          <w:tcPr>
            <w:tcW w:w="6388" w:type="dxa"/>
          </w:tcPr>
          <w:p w14:paraId="4B47A1BB" w14:textId="77777777" w:rsidR="00DC197C" w:rsidRPr="0079249E" w:rsidRDefault="00DC197C" w:rsidP="004E0919">
            <w:pPr>
              <w:spacing w:before="0" w:after="0" w:line="240" w:lineRule="auto"/>
              <w:rPr>
                <w:rFonts w:cs="Arial"/>
                <w:sz w:val="21"/>
                <w:szCs w:val="21"/>
              </w:rPr>
            </w:pPr>
            <w:r w:rsidRPr="00433030">
              <w:rPr>
                <w:rFonts w:cs="Arial"/>
                <w:sz w:val="21"/>
                <w:szCs w:val="21"/>
              </w:rPr>
              <w:t xml:space="preserve">The estimated birth </w:t>
            </w:r>
            <w:r>
              <w:rPr>
                <w:rFonts w:cs="Arial"/>
                <w:sz w:val="21"/>
                <w:szCs w:val="21"/>
              </w:rPr>
              <w:t xml:space="preserve">prevalence </w:t>
            </w:r>
            <w:r w:rsidRPr="00433030">
              <w:rPr>
                <w:rFonts w:cs="Arial"/>
                <w:sz w:val="21"/>
                <w:szCs w:val="21"/>
              </w:rPr>
              <w:t xml:space="preserve">for the Australian population is </w:t>
            </w:r>
            <w:r>
              <w:rPr>
                <w:rFonts w:cs="Arial"/>
                <w:sz w:val="21"/>
                <w:szCs w:val="21"/>
              </w:rPr>
              <w:t xml:space="preserve">0.3 per 100,000 live births respectively </w:t>
            </w:r>
            <w:r w:rsidRPr="00433030">
              <w:rPr>
                <w:rFonts w:cs="Arial"/>
                <w:sz w:val="21"/>
                <w:szCs w:val="21"/>
              </w:rPr>
              <w:t>which meets the LSDP prevalence criteria.</w:t>
            </w:r>
          </w:p>
        </w:tc>
      </w:tr>
      <w:tr w:rsidR="00DC197C" w:rsidRPr="0079249E" w14:paraId="46124C19" w14:textId="77777777" w:rsidTr="004E0919">
        <w:trPr>
          <w:trHeight w:val="1191"/>
        </w:trPr>
        <w:tc>
          <w:tcPr>
            <w:tcW w:w="709" w:type="dxa"/>
          </w:tcPr>
          <w:p w14:paraId="2563332C" w14:textId="77777777" w:rsidR="00DC197C" w:rsidRPr="0079249E" w:rsidRDefault="00DC197C" w:rsidP="004E0919">
            <w:pPr>
              <w:pStyle w:val="TableParagraph"/>
              <w:spacing w:before="0"/>
              <w:ind w:left="0"/>
              <w:rPr>
                <w:rFonts w:ascii="Arial" w:hAnsi="Arial" w:cs="Arial"/>
                <w:b/>
                <w:sz w:val="21"/>
                <w:szCs w:val="21"/>
              </w:rPr>
            </w:pPr>
            <w:r w:rsidRPr="0079249E">
              <w:rPr>
                <w:rFonts w:ascii="Arial" w:hAnsi="Arial" w:cs="Arial"/>
                <w:b/>
                <w:spacing w:val="-5"/>
                <w:sz w:val="21"/>
                <w:szCs w:val="21"/>
              </w:rPr>
              <w:t>A2</w:t>
            </w:r>
          </w:p>
        </w:tc>
        <w:tc>
          <w:tcPr>
            <w:tcW w:w="2684" w:type="dxa"/>
          </w:tcPr>
          <w:p w14:paraId="69AEF66C" w14:textId="77777777" w:rsidR="00DC197C" w:rsidRPr="0079249E" w:rsidRDefault="00DC197C" w:rsidP="004E0919">
            <w:pPr>
              <w:pStyle w:val="TableParagraph"/>
              <w:spacing w:before="0"/>
              <w:ind w:left="0" w:right="143"/>
              <w:rPr>
                <w:rFonts w:ascii="Arial" w:hAnsi="Arial" w:cs="Arial"/>
                <w:b/>
                <w:sz w:val="21"/>
                <w:szCs w:val="21"/>
              </w:rPr>
            </w:pPr>
            <w:r w:rsidRPr="00433030">
              <w:rPr>
                <w:rFonts w:ascii="Arial" w:hAnsi="Arial" w:cs="Arial"/>
                <w:b/>
                <w:sz w:val="21"/>
                <w:szCs w:val="21"/>
              </w:rPr>
              <w:t>The</w:t>
            </w:r>
            <w:r w:rsidRPr="00433030">
              <w:rPr>
                <w:rFonts w:ascii="Arial" w:hAnsi="Arial" w:cs="Arial"/>
                <w:b/>
                <w:spacing w:val="-10"/>
                <w:sz w:val="21"/>
                <w:szCs w:val="21"/>
              </w:rPr>
              <w:t xml:space="preserve"> </w:t>
            </w:r>
            <w:r w:rsidRPr="0079249E">
              <w:rPr>
                <w:rFonts w:ascii="Arial" w:hAnsi="Arial" w:cs="Arial"/>
                <w:b/>
                <w:sz w:val="21"/>
                <w:szCs w:val="21"/>
              </w:rPr>
              <w:t>disease</w:t>
            </w:r>
            <w:r w:rsidRPr="0079249E">
              <w:rPr>
                <w:rFonts w:ascii="Arial" w:hAnsi="Arial" w:cs="Arial"/>
                <w:b/>
                <w:spacing w:val="-10"/>
                <w:sz w:val="21"/>
                <w:szCs w:val="21"/>
              </w:rPr>
              <w:t xml:space="preserve"> </w:t>
            </w:r>
            <w:r w:rsidRPr="0079249E">
              <w:rPr>
                <w:rFonts w:ascii="Arial" w:hAnsi="Arial" w:cs="Arial"/>
                <w:b/>
                <w:sz w:val="21"/>
                <w:szCs w:val="21"/>
              </w:rPr>
              <w:t>is</w:t>
            </w:r>
            <w:r w:rsidRPr="0079249E">
              <w:rPr>
                <w:rFonts w:ascii="Arial" w:hAnsi="Arial" w:cs="Arial"/>
                <w:b/>
                <w:spacing w:val="-10"/>
                <w:sz w:val="21"/>
                <w:szCs w:val="21"/>
              </w:rPr>
              <w:t xml:space="preserve"> </w:t>
            </w:r>
            <w:r w:rsidRPr="0079249E">
              <w:rPr>
                <w:rFonts w:ascii="Arial" w:hAnsi="Arial" w:cs="Arial"/>
                <w:b/>
                <w:sz w:val="21"/>
                <w:szCs w:val="21"/>
              </w:rPr>
              <w:t>identifiable</w:t>
            </w:r>
            <w:r w:rsidRPr="0079249E">
              <w:rPr>
                <w:rFonts w:ascii="Arial" w:hAnsi="Arial" w:cs="Arial"/>
                <w:b/>
                <w:spacing w:val="-9"/>
                <w:sz w:val="21"/>
                <w:szCs w:val="21"/>
              </w:rPr>
              <w:t xml:space="preserve"> </w:t>
            </w:r>
            <w:r w:rsidRPr="0079249E">
              <w:rPr>
                <w:rFonts w:ascii="Arial" w:hAnsi="Arial" w:cs="Arial"/>
                <w:b/>
                <w:sz w:val="21"/>
                <w:szCs w:val="21"/>
              </w:rPr>
              <w:t>with reasonable diagnostic</w:t>
            </w:r>
            <w:r w:rsidRPr="0079249E">
              <w:rPr>
                <w:rFonts w:ascii="Arial" w:hAnsi="Arial" w:cs="Arial"/>
                <w:b/>
                <w:spacing w:val="40"/>
                <w:sz w:val="21"/>
                <w:szCs w:val="21"/>
              </w:rPr>
              <w:t xml:space="preserve"> </w:t>
            </w:r>
            <w:r w:rsidRPr="0079249E">
              <w:rPr>
                <w:rFonts w:ascii="Arial" w:hAnsi="Arial" w:cs="Arial"/>
                <w:b/>
                <w:spacing w:val="-2"/>
                <w:sz w:val="21"/>
                <w:szCs w:val="21"/>
              </w:rPr>
              <w:t>precision</w:t>
            </w:r>
            <w:r>
              <w:rPr>
                <w:rFonts w:ascii="Arial" w:hAnsi="Arial" w:cs="Arial"/>
                <w:b/>
                <w:spacing w:val="-2"/>
                <w:sz w:val="21"/>
                <w:szCs w:val="21"/>
              </w:rPr>
              <w:t>.</w:t>
            </w:r>
          </w:p>
        </w:tc>
        <w:tc>
          <w:tcPr>
            <w:tcW w:w="6388" w:type="dxa"/>
          </w:tcPr>
          <w:p w14:paraId="78308C76" w14:textId="77777777" w:rsidR="00DC197C" w:rsidRDefault="00DC197C" w:rsidP="004E0919">
            <w:pPr>
              <w:spacing w:before="0" w:after="0" w:line="240" w:lineRule="auto"/>
              <w:rPr>
                <w:rFonts w:cs="Arial"/>
                <w:color w:val="auto"/>
                <w:sz w:val="21"/>
                <w:szCs w:val="21"/>
                <w:lang w:val="en-US"/>
              </w:rPr>
            </w:pPr>
            <w:r w:rsidRPr="00AD09F6">
              <w:rPr>
                <w:rFonts w:cs="Arial"/>
                <w:color w:val="auto"/>
                <w:sz w:val="21"/>
                <w:szCs w:val="21"/>
                <w:lang w:val="en-US"/>
              </w:rPr>
              <w:t>ASMD can be diagnosed biochemically by reduced acid sphingomyelinase (ASM) activity with simultaneous testing of glucocerebrosidase activity to distinguish it from Gaucher disease.</w:t>
            </w:r>
          </w:p>
          <w:p w14:paraId="7989750A" w14:textId="77777777" w:rsidR="00DC197C" w:rsidRDefault="00DC197C" w:rsidP="004E0919">
            <w:pPr>
              <w:spacing w:before="0" w:after="0" w:line="240" w:lineRule="auto"/>
              <w:rPr>
                <w:rFonts w:cs="Arial"/>
                <w:color w:val="auto"/>
                <w:sz w:val="21"/>
                <w:szCs w:val="21"/>
                <w:lang w:val="en-US"/>
              </w:rPr>
            </w:pPr>
          </w:p>
          <w:p w14:paraId="295BE94F" w14:textId="77777777" w:rsidR="00DC197C" w:rsidRPr="00AD09F6" w:rsidRDefault="00DC197C" w:rsidP="004E0919">
            <w:pPr>
              <w:spacing w:before="0" w:after="0" w:line="240" w:lineRule="auto"/>
              <w:rPr>
                <w:rFonts w:cs="Arial"/>
                <w:color w:val="auto"/>
                <w:sz w:val="21"/>
                <w:szCs w:val="21"/>
                <w:lang w:val="en-US"/>
              </w:rPr>
            </w:pPr>
            <w:r w:rsidRPr="00AD09F6">
              <w:rPr>
                <w:rFonts w:cs="Arial"/>
                <w:color w:val="auto"/>
                <w:sz w:val="21"/>
                <w:szCs w:val="21"/>
                <w:lang w:val="en-US"/>
              </w:rPr>
              <w:t>Gene sequencing of the ASM gene (</w:t>
            </w:r>
            <w:r w:rsidRPr="00EF5E40">
              <w:rPr>
                <w:rFonts w:cs="Arial"/>
                <w:i/>
                <w:iCs/>
                <w:color w:val="auto"/>
                <w:sz w:val="21"/>
                <w:szCs w:val="21"/>
                <w:lang w:val="en-US"/>
              </w:rPr>
              <w:t>SMPD1</w:t>
            </w:r>
            <w:r w:rsidRPr="00AD09F6">
              <w:rPr>
                <w:rFonts w:cs="Arial"/>
                <w:color w:val="auto"/>
                <w:sz w:val="21"/>
                <w:szCs w:val="21"/>
                <w:lang w:val="en-US"/>
              </w:rPr>
              <w:t>) can follow a biochemical diagnosis. Diagnosis based on gene sequencing is definitive for ASMD and will not misdiagnose Gaucher disease or lysosomal acid lipase deficiency</w:t>
            </w:r>
            <w:r>
              <w:rPr>
                <w:rFonts w:cs="Arial"/>
                <w:color w:val="auto"/>
                <w:sz w:val="21"/>
                <w:szCs w:val="21"/>
                <w:lang w:val="en-US"/>
              </w:rPr>
              <w:t>.</w:t>
            </w:r>
          </w:p>
        </w:tc>
      </w:tr>
      <w:tr w:rsidR="00DC197C" w:rsidRPr="0079249E" w14:paraId="3D98EF43" w14:textId="77777777" w:rsidTr="004E0919">
        <w:trPr>
          <w:trHeight w:val="2008"/>
        </w:trPr>
        <w:tc>
          <w:tcPr>
            <w:tcW w:w="709" w:type="dxa"/>
          </w:tcPr>
          <w:p w14:paraId="46FE311A" w14:textId="77777777" w:rsidR="00DC197C" w:rsidRPr="0079249E" w:rsidRDefault="00DC197C" w:rsidP="004E0919">
            <w:pPr>
              <w:pStyle w:val="TableParagraph"/>
              <w:spacing w:before="0"/>
              <w:ind w:left="0"/>
              <w:rPr>
                <w:rFonts w:ascii="Arial" w:hAnsi="Arial" w:cs="Arial"/>
                <w:b/>
                <w:sz w:val="21"/>
                <w:szCs w:val="21"/>
              </w:rPr>
            </w:pPr>
            <w:r w:rsidRPr="0079249E">
              <w:rPr>
                <w:rFonts w:ascii="Arial" w:hAnsi="Arial" w:cs="Arial"/>
                <w:b/>
                <w:spacing w:val="-5"/>
                <w:sz w:val="21"/>
                <w:szCs w:val="21"/>
              </w:rPr>
              <w:t>A3</w:t>
            </w:r>
          </w:p>
        </w:tc>
        <w:tc>
          <w:tcPr>
            <w:tcW w:w="2684" w:type="dxa"/>
          </w:tcPr>
          <w:p w14:paraId="20AE7A01" w14:textId="77777777" w:rsidR="00DC197C" w:rsidRPr="0079249E" w:rsidRDefault="00DC197C" w:rsidP="004E0919">
            <w:pPr>
              <w:pStyle w:val="TableParagraph"/>
              <w:spacing w:before="0"/>
              <w:ind w:left="0"/>
              <w:rPr>
                <w:rFonts w:ascii="Arial" w:hAnsi="Arial" w:cs="Arial"/>
                <w:b/>
                <w:sz w:val="21"/>
                <w:szCs w:val="21"/>
              </w:rPr>
            </w:pPr>
            <w:r w:rsidRPr="00433030">
              <w:rPr>
                <w:rFonts w:ascii="Arial" w:hAnsi="Arial" w:cs="Arial"/>
                <w:b/>
                <w:sz w:val="21"/>
                <w:szCs w:val="21"/>
              </w:rPr>
              <w:t>Epidemiological and other studies provide evidence that the</w:t>
            </w:r>
            <w:r w:rsidRPr="0079249E">
              <w:rPr>
                <w:rFonts w:ascii="Arial" w:hAnsi="Arial" w:cs="Arial"/>
                <w:b/>
                <w:spacing w:val="-10"/>
                <w:sz w:val="21"/>
                <w:szCs w:val="21"/>
              </w:rPr>
              <w:t xml:space="preserve"> </w:t>
            </w:r>
            <w:r w:rsidRPr="0079249E">
              <w:rPr>
                <w:rFonts w:ascii="Arial" w:hAnsi="Arial" w:cs="Arial"/>
                <w:b/>
                <w:sz w:val="21"/>
                <w:szCs w:val="21"/>
              </w:rPr>
              <w:t>disease</w:t>
            </w:r>
            <w:r w:rsidRPr="0079249E">
              <w:rPr>
                <w:rFonts w:ascii="Arial" w:hAnsi="Arial" w:cs="Arial"/>
                <w:b/>
                <w:spacing w:val="-10"/>
                <w:sz w:val="21"/>
                <w:szCs w:val="21"/>
              </w:rPr>
              <w:t xml:space="preserve"> </w:t>
            </w:r>
            <w:r w:rsidRPr="0079249E">
              <w:rPr>
                <w:rFonts w:ascii="Arial" w:hAnsi="Arial" w:cs="Arial"/>
                <w:b/>
                <w:sz w:val="21"/>
                <w:szCs w:val="21"/>
              </w:rPr>
              <w:t>causes</w:t>
            </w:r>
            <w:r w:rsidRPr="0079249E">
              <w:rPr>
                <w:rFonts w:ascii="Arial" w:hAnsi="Arial" w:cs="Arial"/>
                <w:b/>
                <w:spacing w:val="-10"/>
                <w:sz w:val="21"/>
                <w:szCs w:val="21"/>
              </w:rPr>
              <w:t xml:space="preserve"> </w:t>
            </w:r>
            <w:r w:rsidRPr="0079249E">
              <w:rPr>
                <w:rFonts w:ascii="Arial" w:hAnsi="Arial" w:cs="Arial"/>
                <w:b/>
                <w:sz w:val="21"/>
                <w:szCs w:val="21"/>
              </w:rPr>
              <w:t>a</w:t>
            </w:r>
            <w:r w:rsidRPr="0079249E">
              <w:rPr>
                <w:rFonts w:ascii="Arial" w:hAnsi="Arial" w:cs="Arial"/>
                <w:b/>
                <w:spacing w:val="-10"/>
                <w:sz w:val="21"/>
                <w:szCs w:val="21"/>
              </w:rPr>
              <w:t xml:space="preserve"> </w:t>
            </w:r>
            <w:r w:rsidRPr="0079249E">
              <w:rPr>
                <w:rFonts w:ascii="Arial" w:hAnsi="Arial" w:cs="Arial"/>
                <w:b/>
                <w:sz w:val="21"/>
                <w:szCs w:val="21"/>
              </w:rPr>
              <w:t>significant reduction in age-specific life expectancy for those suffering from the disease</w:t>
            </w:r>
          </w:p>
        </w:tc>
        <w:tc>
          <w:tcPr>
            <w:tcW w:w="6388" w:type="dxa"/>
          </w:tcPr>
          <w:p w14:paraId="608B3DBF" w14:textId="77777777" w:rsidR="00DC197C" w:rsidRDefault="00DC197C" w:rsidP="004E0919">
            <w:pPr>
              <w:spacing w:before="0" w:after="0" w:line="240" w:lineRule="auto"/>
              <w:rPr>
                <w:rFonts w:cs="Arial"/>
                <w:sz w:val="21"/>
                <w:szCs w:val="21"/>
              </w:rPr>
            </w:pPr>
            <w:r w:rsidRPr="005E573F">
              <w:rPr>
                <w:rFonts w:cs="Arial"/>
                <w:sz w:val="21"/>
                <w:szCs w:val="21"/>
              </w:rPr>
              <w:t>There is significant literature available supporting the reduced life expectancy for patients with ASMD types A/B and type B</w:t>
            </w:r>
            <w:r>
              <w:rPr>
                <w:rFonts w:cs="Arial"/>
                <w:sz w:val="21"/>
                <w:szCs w:val="21"/>
              </w:rPr>
              <w:t>.</w:t>
            </w:r>
          </w:p>
          <w:p w14:paraId="58CCA9DE" w14:textId="77777777" w:rsidR="00DC197C" w:rsidRDefault="00DC197C" w:rsidP="004E0919">
            <w:pPr>
              <w:spacing w:before="0" w:after="0" w:line="240" w:lineRule="auto"/>
            </w:pPr>
          </w:p>
          <w:p w14:paraId="3E9D8F8D" w14:textId="77777777" w:rsidR="00DC197C" w:rsidRPr="0079249E" w:rsidRDefault="00DC197C" w:rsidP="004E0919">
            <w:pPr>
              <w:spacing w:before="0" w:after="0" w:line="240" w:lineRule="auto"/>
            </w:pPr>
            <w:r w:rsidRPr="005E573F">
              <w:rPr>
                <w:rFonts w:cs="Arial"/>
                <w:sz w:val="21"/>
                <w:szCs w:val="21"/>
              </w:rPr>
              <w:t xml:space="preserve">Data from the SPHINGO-100 </w:t>
            </w:r>
            <w:r>
              <w:rPr>
                <w:rFonts w:cs="Arial"/>
                <w:sz w:val="21"/>
                <w:szCs w:val="21"/>
              </w:rPr>
              <w:t>single arm study</w:t>
            </w:r>
            <w:r w:rsidRPr="005E573F">
              <w:rPr>
                <w:rFonts w:cs="Arial"/>
                <w:sz w:val="21"/>
                <w:szCs w:val="21"/>
              </w:rPr>
              <w:t xml:space="preserve"> documented that 15% of patients (9/59) died during the study duration with recorded deterioration in patients’ splenomegaly, hepatomegaly, interstitial disease, diffusing capacity of the lung for carbon monoxide (DLco) and dyslipidaemia.</w:t>
            </w:r>
          </w:p>
        </w:tc>
      </w:tr>
      <w:tr w:rsidR="00DC197C" w:rsidRPr="0079249E" w14:paraId="10CB4A48" w14:textId="77777777" w:rsidTr="004E0919">
        <w:trPr>
          <w:trHeight w:val="1531"/>
        </w:trPr>
        <w:tc>
          <w:tcPr>
            <w:tcW w:w="709" w:type="dxa"/>
          </w:tcPr>
          <w:p w14:paraId="2F1FAB6B" w14:textId="77777777" w:rsidR="00DC197C" w:rsidRPr="0079249E" w:rsidRDefault="00DC197C" w:rsidP="004E0919">
            <w:pPr>
              <w:pStyle w:val="TableParagraph"/>
              <w:spacing w:before="0"/>
              <w:ind w:left="0"/>
              <w:rPr>
                <w:rFonts w:ascii="Arial" w:hAnsi="Arial" w:cs="Arial"/>
                <w:b/>
                <w:spacing w:val="-5"/>
                <w:sz w:val="21"/>
                <w:szCs w:val="21"/>
              </w:rPr>
            </w:pPr>
            <w:r w:rsidRPr="0079249E">
              <w:rPr>
                <w:rFonts w:ascii="Arial" w:hAnsi="Arial" w:cs="Arial"/>
                <w:b/>
                <w:spacing w:val="-5"/>
                <w:sz w:val="21"/>
                <w:szCs w:val="21"/>
              </w:rPr>
              <w:t>A4 </w:t>
            </w:r>
          </w:p>
        </w:tc>
        <w:tc>
          <w:tcPr>
            <w:tcW w:w="2684" w:type="dxa"/>
          </w:tcPr>
          <w:p w14:paraId="6CFFE5AF" w14:textId="77777777" w:rsidR="00DC197C" w:rsidRPr="0079249E" w:rsidRDefault="00DC197C" w:rsidP="004E0919">
            <w:pPr>
              <w:pStyle w:val="TableParagraph"/>
              <w:spacing w:before="0"/>
              <w:ind w:left="0"/>
              <w:rPr>
                <w:rFonts w:ascii="Arial" w:hAnsi="Arial" w:cs="Arial"/>
                <w:b/>
                <w:spacing w:val="-5"/>
                <w:sz w:val="21"/>
                <w:szCs w:val="21"/>
              </w:rPr>
            </w:pPr>
            <w:r w:rsidRPr="00433030">
              <w:rPr>
                <w:rFonts w:ascii="Arial" w:hAnsi="Arial" w:cs="Arial"/>
                <w:b/>
                <w:spacing w:val="-5"/>
                <w:sz w:val="21"/>
                <w:szCs w:val="21"/>
              </w:rPr>
              <w:t xml:space="preserve">There is evidence to predict that a patient’s lifespan will be substantially extended as a direct consequence of the use </w:t>
            </w:r>
            <w:r w:rsidRPr="0079249E">
              <w:rPr>
                <w:rFonts w:ascii="Arial" w:hAnsi="Arial" w:cs="Arial"/>
                <w:b/>
                <w:spacing w:val="-5"/>
                <w:sz w:val="21"/>
                <w:szCs w:val="21"/>
              </w:rPr>
              <w:t>of the drug</w:t>
            </w:r>
            <w:r>
              <w:rPr>
                <w:rFonts w:ascii="Arial" w:hAnsi="Arial" w:cs="Arial"/>
                <w:b/>
                <w:spacing w:val="-5"/>
                <w:sz w:val="21"/>
                <w:szCs w:val="21"/>
              </w:rPr>
              <w:t>.</w:t>
            </w:r>
            <w:r w:rsidRPr="0079249E">
              <w:rPr>
                <w:rFonts w:ascii="Arial" w:hAnsi="Arial" w:cs="Arial"/>
                <w:b/>
                <w:spacing w:val="-5"/>
                <w:sz w:val="21"/>
                <w:szCs w:val="21"/>
              </w:rPr>
              <w:t> </w:t>
            </w:r>
          </w:p>
        </w:tc>
        <w:tc>
          <w:tcPr>
            <w:tcW w:w="6388" w:type="dxa"/>
          </w:tcPr>
          <w:p w14:paraId="301B6528" w14:textId="77777777" w:rsidR="00DC197C" w:rsidRDefault="00DC197C" w:rsidP="004E0919">
            <w:pPr>
              <w:spacing w:before="0" w:after="0" w:line="240" w:lineRule="auto"/>
              <w:rPr>
                <w:rFonts w:cs="Arial"/>
                <w:sz w:val="21"/>
                <w:szCs w:val="21"/>
              </w:rPr>
            </w:pPr>
            <w:r>
              <w:rPr>
                <w:rFonts w:cs="Arial"/>
                <w:sz w:val="21"/>
                <w:szCs w:val="21"/>
              </w:rPr>
              <w:t>D</w:t>
            </w:r>
            <w:r w:rsidRPr="0079249E">
              <w:rPr>
                <w:rFonts w:cs="Arial"/>
                <w:sz w:val="21"/>
                <w:szCs w:val="21"/>
              </w:rPr>
              <w:t xml:space="preserve">ata from </w:t>
            </w:r>
            <w:r>
              <w:rPr>
                <w:rFonts w:cs="Arial"/>
                <w:sz w:val="21"/>
                <w:szCs w:val="21"/>
              </w:rPr>
              <w:t xml:space="preserve">olipudase alfa studies </w:t>
            </w:r>
            <w:r w:rsidRPr="001553BE">
              <w:rPr>
                <w:rFonts w:cs="Arial"/>
                <w:sz w:val="21"/>
                <w:szCs w:val="21"/>
              </w:rPr>
              <w:t>ASCEND, ASCEND-peds, DFI13412, LTS13632 and SPHINGO-100</w:t>
            </w:r>
            <w:r>
              <w:rPr>
                <w:rFonts w:cs="Arial"/>
                <w:sz w:val="21"/>
                <w:szCs w:val="21"/>
              </w:rPr>
              <w:t xml:space="preserve"> </w:t>
            </w:r>
            <w:r w:rsidRPr="0079249E">
              <w:rPr>
                <w:rFonts w:cs="Arial"/>
                <w:sz w:val="21"/>
                <w:szCs w:val="21"/>
              </w:rPr>
              <w:t xml:space="preserve">and published literature demonstrate that </w:t>
            </w:r>
            <w:r>
              <w:rPr>
                <w:rFonts w:cs="Arial"/>
                <w:sz w:val="21"/>
                <w:szCs w:val="21"/>
              </w:rPr>
              <w:t>olipudase</w:t>
            </w:r>
            <w:r w:rsidRPr="0079249E">
              <w:rPr>
                <w:rFonts w:cs="Arial"/>
                <w:sz w:val="21"/>
                <w:szCs w:val="21"/>
              </w:rPr>
              <w:t xml:space="preserve"> alfa </w:t>
            </w:r>
            <w:r w:rsidRPr="001553BE">
              <w:rPr>
                <w:rFonts w:cs="Arial"/>
                <w:sz w:val="21"/>
                <w:szCs w:val="21"/>
              </w:rPr>
              <w:t>decreases in spleen volume, liver volume, DLco and alanine aminotransferase, which may be surrogates for overall survival</w:t>
            </w:r>
            <w:r w:rsidRPr="0079249E">
              <w:rPr>
                <w:rFonts w:cs="Arial"/>
                <w:sz w:val="21"/>
                <w:szCs w:val="21"/>
              </w:rPr>
              <w:t>.</w:t>
            </w:r>
          </w:p>
          <w:p w14:paraId="26048FAB" w14:textId="77777777" w:rsidR="00DC197C" w:rsidRDefault="00DC197C" w:rsidP="004E0919">
            <w:pPr>
              <w:spacing w:before="0" w:after="0" w:line="240" w:lineRule="auto"/>
              <w:rPr>
                <w:rFonts w:cs="Arial"/>
                <w:sz w:val="21"/>
                <w:szCs w:val="21"/>
              </w:rPr>
            </w:pPr>
          </w:p>
          <w:p w14:paraId="18084853" w14:textId="77777777" w:rsidR="00DC197C" w:rsidRPr="0079249E" w:rsidRDefault="00DC197C" w:rsidP="004E0919">
            <w:pPr>
              <w:spacing w:before="0" w:after="0" w:line="240" w:lineRule="auto"/>
              <w:rPr>
                <w:rFonts w:cs="Arial"/>
                <w:sz w:val="21"/>
                <w:szCs w:val="21"/>
              </w:rPr>
            </w:pPr>
            <w:r>
              <w:rPr>
                <w:rFonts w:cs="Arial"/>
                <w:sz w:val="21"/>
                <w:szCs w:val="21"/>
              </w:rPr>
              <w:t>Olipudase alfa is approved by the TGA</w:t>
            </w:r>
            <w:r w:rsidRPr="005E573F">
              <w:rPr>
                <w:rFonts w:cs="Arial"/>
                <w:sz w:val="21"/>
                <w:szCs w:val="21"/>
              </w:rPr>
              <w:t xml:space="preserve"> as an enzyme replacement therapy for the treatment of non-central nervous system (CNS) manifestations of ASMD</w:t>
            </w:r>
            <w:r>
              <w:rPr>
                <w:rFonts w:cs="Arial"/>
                <w:sz w:val="21"/>
                <w:szCs w:val="21"/>
              </w:rPr>
              <w:t xml:space="preserve"> </w:t>
            </w:r>
            <w:r w:rsidRPr="005E573F">
              <w:rPr>
                <w:rFonts w:cs="Arial"/>
                <w:sz w:val="21"/>
                <w:szCs w:val="21"/>
              </w:rPr>
              <w:t>in paediatric and adult patients with type A/B or type B</w:t>
            </w:r>
            <w:r>
              <w:rPr>
                <w:rFonts w:cs="Arial"/>
                <w:sz w:val="21"/>
                <w:szCs w:val="21"/>
              </w:rPr>
              <w:t xml:space="preserve">. Olipudase alfa </w:t>
            </w:r>
            <w:r w:rsidRPr="005E573F">
              <w:rPr>
                <w:rFonts w:cs="Arial"/>
                <w:sz w:val="21"/>
                <w:szCs w:val="21"/>
              </w:rPr>
              <w:t xml:space="preserve">does not cross the </w:t>
            </w:r>
            <w:r w:rsidRPr="005E573F">
              <w:rPr>
                <w:rFonts w:cs="Arial"/>
                <w:sz w:val="21"/>
                <w:szCs w:val="21"/>
              </w:rPr>
              <w:lastRenderedPageBreak/>
              <w:t>blood-brain barrier and has no effect on neurological symptoms of ASMD</w:t>
            </w:r>
            <w:r>
              <w:rPr>
                <w:rFonts w:cs="Arial"/>
                <w:sz w:val="21"/>
                <w:szCs w:val="21"/>
              </w:rPr>
              <w:t>.</w:t>
            </w:r>
          </w:p>
        </w:tc>
      </w:tr>
      <w:tr w:rsidR="00DC197C" w:rsidRPr="0079249E" w14:paraId="070BAFA7" w14:textId="77777777" w:rsidTr="004E0919">
        <w:trPr>
          <w:trHeight w:val="1583"/>
        </w:trPr>
        <w:tc>
          <w:tcPr>
            <w:tcW w:w="709" w:type="dxa"/>
          </w:tcPr>
          <w:p w14:paraId="61ED737C" w14:textId="77777777" w:rsidR="00DC197C" w:rsidRPr="0079249E" w:rsidRDefault="00DC197C" w:rsidP="004E0919">
            <w:pPr>
              <w:pStyle w:val="TableParagraph"/>
              <w:spacing w:before="0"/>
              <w:ind w:left="0"/>
              <w:rPr>
                <w:rFonts w:ascii="Arial" w:hAnsi="Arial" w:cs="Arial"/>
                <w:b/>
                <w:spacing w:val="-5"/>
                <w:sz w:val="21"/>
                <w:szCs w:val="21"/>
              </w:rPr>
            </w:pPr>
            <w:r w:rsidRPr="0079249E">
              <w:rPr>
                <w:rFonts w:ascii="Arial" w:hAnsi="Arial" w:cs="Arial"/>
                <w:b/>
                <w:spacing w:val="-5"/>
                <w:sz w:val="21"/>
                <w:szCs w:val="21"/>
              </w:rPr>
              <w:lastRenderedPageBreak/>
              <w:t>A5</w:t>
            </w:r>
          </w:p>
        </w:tc>
        <w:tc>
          <w:tcPr>
            <w:tcW w:w="2684" w:type="dxa"/>
          </w:tcPr>
          <w:p w14:paraId="6D745940" w14:textId="77777777" w:rsidR="00DC197C" w:rsidRPr="0079249E" w:rsidRDefault="00DC197C" w:rsidP="004E0919">
            <w:pPr>
              <w:pStyle w:val="TableParagraph"/>
              <w:spacing w:before="0"/>
              <w:ind w:left="0"/>
              <w:rPr>
                <w:rFonts w:ascii="Arial" w:hAnsi="Arial" w:cs="Arial"/>
                <w:b/>
                <w:spacing w:val="-5"/>
                <w:sz w:val="21"/>
                <w:szCs w:val="21"/>
              </w:rPr>
            </w:pPr>
            <w:r w:rsidRPr="00433030">
              <w:rPr>
                <w:rFonts w:ascii="Arial" w:hAnsi="Arial" w:cs="Arial"/>
                <w:b/>
                <w:spacing w:val="-5"/>
                <w:sz w:val="21"/>
                <w:szCs w:val="21"/>
              </w:rPr>
              <w:t>The drug must be accepted as clinically effective but rejected for PBS</w:t>
            </w:r>
            <w:r>
              <w:rPr>
                <w:rFonts w:ascii="Arial" w:hAnsi="Arial" w:cs="Arial"/>
                <w:b/>
                <w:spacing w:val="-5"/>
                <w:sz w:val="21"/>
                <w:szCs w:val="21"/>
              </w:rPr>
              <w:t xml:space="preserve"> </w:t>
            </w:r>
            <w:r w:rsidRPr="00433030">
              <w:rPr>
                <w:rFonts w:ascii="Arial" w:hAnsi="Arial" w:cs="Arial"/>
                <w:b/>
                <w:spacing w:val="-5"/>
                <w:sz w:val="21"/>
                <w:szCs w:val="21"/>
              </w:rPr>
              <w:t>listing because it fails to meet the requi</w:t>
            </w:r>
            <w:r w:rsidRPr="0079249E">
              <w:rPr>
                <w:rFonts w:ascii="Arial" w:hAnsi="Arial" w:cs="Arial"/>
                <w:b/>
                <w:spacing w:val="-5"/>
                <w:sz w:val="21"/>
                <w:szCs w:val="21"/>
              </w:rPr>
              <w:t>red cost effectiveness criteria. </w:t>
            </w:r>
          </w:p>
        </w:tc>
        <w:tc>
          <w:tcPr>
            <w:tcW w:w="6388" w:type="dxa"/>
          </w:tcPr>
          <w:p w14:paraId="2390DA19" w14:textId="6CD073F9" w:rsidR="00DC197C" w:rsidRPr="0079249E" w:rsidRDefault="00DC197C" w:rsidP="004E0919">
            <w:pPr>
              <w:pStyle w:val="TableParagraph"/>
              <w:spacing w:before="0"/>
              <w:ind w:right="160"/>
              <w:rPr>
                <w:rFonts w:ascii="Arial" w:hAnsi="Arial" w:cs="Arial"/>
                <w:sz w:val="21"/>
                <w:szCs w:val="21"/>
              </w:rPr>
            </w:pPr>
            <w:r w:rsidRPr="00F37374">
              <w:rPr>
                <w:rFonts w:ascii="Arial" w:hAnsi="Arial" w:cs="Arial"/>
                <w:sz w:val="21"/>
                <w:szCs w:val="21"/>
                <w:lang w:val="en-US"/>
              </w:rPr>
              <w:t xml:space="preserve">The PBAC did not recommend the Section 100 (Highly </w:t>
            </w:r>
            <w:proofErr w:type="spellStart"/>
            <w:r w:rsidRPr="00F37374">
              <w:rPr>
                <w:rFonts w:ascii="Arial" w:hAnsi="Arial" w:cs="Arial"/>
                <w:sz w:val="21"/>
                <w:szCs w:val="21"/>
                <w:lang w:val="en-US"/>
              </w:rPr>
              <w:t>Specialised</w:t>
            </w:r>
            <w:proofErr w:type="spellEnd"/>
            <w:r w:rsidRPr="00F37374">
              <w:rPr>
                <w:rFonts w:ascii="Arial" w:hAnsi="Arial" w:cs="Arial"/>
                <w:sz w:val="21"/>
                <w:szCs w:val="21"/>
                <w:lang w:val="en-US"/>
              </w:rPr>
              <w:t xml:space="preserve"> Drugs Program) listing of olipudase alfa for the treatment of ASMD type A/B or type B. The PBAC considered olipudase alfa was an effective treatment for ASMD type A/B or type B; however, the ICER for olipudase alfa compared to best supportive care was extremely high and uncertain. </w:t>
            </w:r>
            <w:r w:rsidRPr="0079249E">
              <w:rPr>
                <w:rFonts w:ascii="Arial" w:hAnsi="Arial" w:cs="Arial"/>
                <w:sz w:val="21"/>
                <w:szCs w:val="21"/>
                <w:lang w:val="en-US"/>
              </w:rPr>
              <w:t>(5.</w:t>
            </w:r>
            <w:r>
              <w:rPr>
                <w:rFonts w:ascii="Arial" w:hAnsi="Arial" w:cs="Arial"/>
                <w:sz w:val="21"/>
                <w:szCs w:val="21"/>
                <w:lang w:val="en-US"/>
              </w:rPr>
              <w:t>08</w:t>
            </w:r>
            <w:r w:rsidR="00A0436A">
              <w:rPr>
                <w:rFonts w:ascii="Arial" w:hAnsi="Arial" w:cs="Arial"/>
                <w:sz w:val="21"/>
                <w:szCs w:val="21"/>
                <w:lang w:val="en-US"/>
              </w:rPr>
              <w:t xml:space="preserve"> </w:t>
            </w:r>
            <w:r>
              <w:rPr>
                <w:rFonts w:ascii="Arial" w:hAnsi="Arial" w:cs="Arial"/>
                <w:sz w:val="21"/>
                <w:szCs w:val="21"/>
                <w:lang w:val="en-US"/>
              </w:rPr>
              <w:t>Public Summary Document</w:t>
            </w:r>
            <w:r w:rsidR="00DD3E04">
              <w:rPr>
                <w:rFonts w:ascii="Arial" w:hAnsi="Arial" w:cs="Arial"/>
                <w:sz w:val="21"/>
                <w:szCs w:val="21"/>
                <w:lang w:val="en-US"/>
              </w:rPr>
              <w:t xml:space="preserve"> July 2023</w:t>
            </w:r>
            <w:r w:rsidRPr="0079249E">
              <w:rPr>
                <w:rFonts w:ascii="Arial" w:hAnsi="Arial" w:cs="Arial"/>
                <w:sz w:val="21"/>
                <w:szCs w:val="21"/>
                <w:lang w:val="en-US"/>
              </w:rPr>
              <w:t>).</w:t>
            </w:r>
          </w:p>
        </w:tc>
      </w:tr>
      <w:tr w:rsidR="00DC197C" w:rsidRPr="0079249E" w14:paraId="2667B30F" w14:textId="77777777" w:rsidTr="004E0919">
        <w:trPr>
          <w:trHeight w:val="2682"/>
        </w:trPr>
        <w:tc>
          <w:tcPr>
            <w:tcW w:w="709" w:type="dxa"/>
          </w:tcPr>
          <w:p w14:paraId="665E407B" w14:textId="77777777" w:rsidR="00DC197C" w:rsidRPr="0079249E" w:rsidRDefault="00DC197C" w:rsidP="004E0919">
            <w:pPr>
              <w:pStyle w:val="TableParagraph"/>
              <w:spacing w:before="0"/>
              <w:ind w:left="0"/>
              <w:rPr>
                <w:rFonts w:ascii="Arial" w:hAnsi="Arial" w:cs="Arial"/>
                <w:b/>
                <w:spacing w:val="-5"/>
                <w:sz w:val="21"/>
                <w:szCs w:val="21"/>
              </w:rPr>
            </w:pPr>
            <w:r w:rsidRPr="0079249E">
              <w:rPr>
                <w:rFonts w:ascii="Arial" w:hAnsi="Arial" w:cs="Arial"/>
                <w:b/>
                <w:spacing w:val="-5"/>
                <w:sz w:val="21"/>
                <w:szCs w:val="21"/>
              </w:rPr>
              <w:t>A6</w:t>
            </w:r>
          </w:p>
        </w:tc>
        <w:tc>
          <w:tcPr>
            <w:tcW w:w="2684" w:type="dxa"/>
          </w:tcPr>
          <w:p w14:paraId="48DC8BF8" w14:textId="77777777" w:rsidR="00DC197C" w:rsidRPr="0079249E" w:rsidRDefault="00DC197C" w:rsidP="004E0919">
            <w:pPr>
              <w:pStyle w:val="TableParagraph"/>
              <w:spacing w:before="0"/>
              <w:ind w:left="0"/>
              <w:rPr>
                <w:rFonts w:ascii="Arial" w:hAnsi="Arial" w:cs="Arial"/>
                <w:b/>
                <w:spacing w:val="-5"/>
                <w:sz w:val="21"/>
                <w:szCs w:val="21"/>
              </w:rPr>
            </w:pPr>
            <w:r w:rsidRPr="00433030">
              <w:rPr>
                <w:rFonts w:ascii="Arial" w:hAnsi="Arial" w:cs="Arial"/>
                <w:b/>
                <w:spacing w:val="-5"/>
                <w:sz w:val="21"/>
                <w:szCs w:val="21"/>
              </w:rPr>
              <w:t xml:space="preserve">There is no alternative drug listed on the PBS or available for public hospital in-patients which can be used as </w:t>
            </w:r>
            <w:r w:rsidRPr="0079249E">
              <w:rPr>
                <w:rFonts w:ascii="Arial" w:hAnsi="Arial" w:cs="Arial"/>
                <w:b/>
                <w:spacing w:val="-5"/>
                <w:sz w:val="21"/>
                <w:szCs w:val="21"/>
              </w:rPr>
              <w:t>lifesaving treatment for the disease. However, the availability of an alternative drug under the LSDP does not disqualify the proposed drug from consideration for inclusion on the LSDP. </w:t>
            </w:r>
          </w:p>
        </w:tc>
        <w:tc>
          <w:tcPr>
            <w:tcW w:w="6388" w:type="dxa"/>
          </w:tcPr>
          <w:p w14:paraId="4FF28867" w14:textId="77777777" w:rsidR="00DC197C" w:rsidRPr="0079249E" w:rsidRDefault="00DC197C" w:rsidP="004E0919">
            <w:pPr>
              <w:pStyle w:val="TableParagraph"/>
              <w:spacing w:before="0"/>
              <w:ind w:left="0"/>
              <w:rPr>
                <w:rFonts w:ascii="Arial" w:hAnsi="Arial" w:cs="Arial"/>
                <w:sz w:val="21"/>
                <w:szCs w:val="21"/>
              </w:rPr>
            </w:pPr>
            <w:r w:rsidRPr="0079249E">
              <w:rPr>
                <w:rFonts w:ascii="Arial" w:eastAsia="Times New Roman" w:hAnsi="Arial" w:cs="Arial"/>
                <w:sz w:val="21"/>
                <w:szCs w:val="21"/>
              </w:rPr>
              <w:t>There are no alternative medicines listed on the PBS</w:t>
            </w:r>
            <w:r>
              <w:rPr>
                <w:rFonts w:ascii="Arial" w:eastAsia="Times New Roman" w:hAnsi="Arial" w:cs="Arial"/>
                <w:sz w:val="21"/>
                <w:szCs w:val="21"/>
              </w:rPr>
              <w:t>, LSDP</w:t>
            </w:r>
            <w:r w:rsidRPr="0079249E">
              <w:rPr>
                <w:rFonts w:ascii="Arial" w:eastAsia="Times New Roman" w:hAnsi="Arial" w:cs="Arial"/>
                <w:sz w:val="21"/>
                <w:szCs w:val="21"/>
              </w:rPr>
              <w:t xml:space="preserve"> or available for public hospital in-patients which can be used as a lifesaving treatment </w:t>
            </w:r>
            <w:r w:rsidRPr="00260A93">
              <w:rPr>
                <w:rFonts w:ascii="Arial" w:eastAsia="Times New Roman" w:hAnsi="Arial" w:cs="Arial"/>
                <w:sz w:val="21"/>
                <w:szCs w:val="21"/>
              </w:rPr>
              <w:t>ASMD type A/B or type B.</w:t>
            </w:r>
          </w:p>
        </w:tc>
      </w:tr>
      <w:tr w:rsidR="00DC197C" w:rsidRPr="0079249E" w14:paraId="4BA4A462" w14:textId="77777777" w:rsidTr="004E0919">
        <w:trPr>
          <w:trHeight w:val="1987"/>
        </w:trPr>
        <w:tc>
          <w:tcPr>
            <w:tcW w:w="709" w:type="dxa"/>
          </w:tcPr>
          <w:p w14:paraId="734CFF8B" w14:textId="77777777" w:rsidR="00DC197C" w:rsidRPr="0079249E" w:rsidRDefault="00DC197C" w:rsidP="004E0919">
            <w:pPr>
              <w:pStyle w:val="TableParagraph"/>
              <w:spacing w:before="0"/>
              <w:ind w:left="0"/>
              <w:rPr>
                <w:rFonts w:ascii="Arial" w:hAnsi="Arial" w:cs="Arial"/>
                <w:b/>
                <w:spacing w:val="-5"/>
                <w:sz w:val="21"/>
                <w:szCs w:val="21"/>
              </w:rPr>
            </w:pPr>
            <w:r w:rsidRPr="0079249E">
              <w:rPr>
                <w:rFonts w:ascii="Arial" w:hAnsi="Arial" w:cs="Arial"/>
                <w:b/>
                <w:spacing w:val="-5"/>
                <w:sz w:val="21"/>
                <w:szCs w:val="21"/>
              </w:rPr>
              <w:t>A7</w:t>
            </w:r>
          </w:p>
        </w:tc>
        <w:tc>
          <w:tcPr>
            <w:tcW w:w="2684" w:type="dxa"/>
          </w:tcPr>
          <w:p w14:paraId="6BF46111" w14:textId="77777777" w:rsidR="00DC197C" w:rsidRPr="0079249E" w:rsidRDefault="00DC197C" w:rsidP="004E0919">
            <w:pPr>
              <w:pStyle w:val="TableParagraph"/>
              <w:spacing w:before="0"/>
              <w:ind w:left="0"/>
              <w:rPr>
                <w:rFonts w:ascii="Arial" w:hAnsi="Arial" w:cs="Arial"/>
                <w:b/>
                <w:spacing w:val="-5"/>
                <w:sz w:val="21"/>
                <w:szCs w:val="21"/>
              </w:rPr>
            </w:pPr>
            <w:r w:rsidRPr="00433030">
              <w:rPr>
                <w:rFonts w:ascii="Arial" w:hAnsi="Arial" w:cs="Arial"/>
                <w:b/>
                <w:spacing w:val="-5"/>
                <w:sz w:val="21"/>
                <w:szCs w:val="21"/>
              </w:rPr>
              <w:t>There is no alternative nondrug therapeutic modality (</w:t>
            </w:r>
            <w:proofErr w:type="spellStart"/>
            <w:r w:rsidRPr="00433030">
              <w:rPr>
                <w:rFonts w:ascii="Arial" w:hAnsi="Arial" w:cs="Arial"/>
                <w:b/>
                <w:spacing w:val="-5"/>
                <w:sz w:val="21"/>
                <w:szCs w:val="21"/>
              </w:rPr>
              <w:t>eg</w:t>
            </w:r>
            <w:proofErr w:type="spellEnd"/>
            <w:r w:rsidRPr="00433030">
              <w:rPr>
                <w:rFonts w:ascii="Arial" w:hAnsi="Arial" w:cs="Arial"/>
                <w:b/>
                <w:spacing w:val="-5"/>
                <w:sz w:val="21"/>
                <w:szCs w:val="21"/>
              </w:rPr>
              <w:t> surgery, radiotherapy) which is recognis</w:t>
            </w:r>
            <w:r w:rsidRPr="0079249E">
              <w:rPr>
                <w:rFonts w:ascii="Arial" w:hAnsi="Arial" w:cs="Arial"/>
                <w:b/>
                <w:spacing w:val="-5"/>
                <w:sz w:val="21"/>
                <w:szCs w:val="21"/>
              </w:rPr>
              <w:t>ed by medical authorities as a suitable and cost-effective treatment for this condition. </w:t>
            </w:r>
          </w:p>
        </w:tc>
        <w:tc>
          <w:tcPr>
            <w:tcW w:w="6388" w:type="dxa"/>
          </w:tcPr>
          <w:p w14:paraId="193CC6D5" w14:textId="77777777" w:rsidR="00DC197C" w:rsidRPr="0079249E" w:rsidRDefault="00DC197C" w:rsidP="004E0919">
            <w:pPr>
              <w:pStyle w:val="TableParagraph"/>
              <w:spacing w:before="0"/>
              <w:ind w:left="0" w:right="160"/>
              <w:rPr>
                <w:rFonts w:ascii="Arial" w:hAnsi="Arial" w:cs="Arial"/>
                <w:sz w:val="21"/>
                <w:szCs w:val="21"/>
              </w:rPr>
            </w:pPr>
            <w:r w:rsidRPr="0079249E">
              <w:rPr>
                <w:rFonts w:ascii="Arial" w:eastAsia="Times New Roman" w:hAnsi="Arial" w:cs="Arial"/>
                <w:sz w:val="21"/>
                <w:szCs w:val="21"/>
              </w:rPr>
              <w:t xml:space="preserve">There is no alternative non-drug therapeutic modality which is recognised by medical authorities as a suitable treatment for </w:t>
            </w:r>
            <w:r w:rsidRPr="00260A93">
              <w:rPr>
                <w:rFonts w:ascii="Arial" w:eastAsia="Times New Roman" w:hAnsi="Arial" w:cs="Arial"/>
                <w:sz w:val="21"/>
                <w:szCs w:val="21"/>
              </w:rPr>
              <w:t>ASMD type A/B or type B.</w:t>
            </w:r>
          </w:p>
        </w:tc>
      </w:tr>
      <w:tr w:rsidR="00DC197C" w:rsidRPr="0079249E" w14:paraId="616B405F" w14:textId="77777777" w:rsidTr="004E0919">
        <w:trPr>
          <w:trHeight w:val="2682"/>
        </w:trPr>
        <w:tc>
          <w:tcPr>
            <w:tcW w:w="709" w:type="dxa"/>
          </w:tcPr>
          <w:p w14:paraId="064316A0" w14:textId="77777777" w:rsidR="00DC197C" w:rsidRPr="0079249E" w:rsidRDefault="00DC197C" w:rsidP="004E0919">
            <w:pPr>
              <w:pStyle w:val="TableParagraph"/>
              <w:spacing w:before="123"/>
              <w:ind w:left="0"/>
              <w:rPr>
                <w:rFonts w:ascii="Arial" w:hAnsi="Arial" w:cs="Arial"/>
                <w:b/>
                <w:spacing w:val="-5"/>
                <w:sz w:val="21"/>
                <w:szCs w:val="21"/>
              </w:rPr>
            </w:pPr>
            <w:r w:rsidRPr="0079249E">
              <w:rPr>
                <w:rFonts w:ascii="Arial" w:hAnsi="Arial" w:cs="Arial"/>
                <w:b/>
                <w:spacing w:val="-5"/>
                <w:sz w:val="21"/>
                <w:szCs w:val="21"/>
              </w:rPr>
              <w:t>A8</w:t>
            </w:r>
          </w:p>
        </w:tc>
        <w:tc>
          <w:tcPr>
            <w:tcW w:w="2684" w:type="dxa"/>
          </w:tcPr>
          <w:p w14:paraId="56C7B57D" w14:textId="77777777" w:rsidR="00DC197C" w:rsidRPr="0079249E" w:rsidRDefault="00DC197C" w:rsidP="004E0919">
            <w:pPr>
              <w:pStyle w:val="TableParagraph"/>
              <w:ind w:left="0"/>
              <w:rPr>
                <w:rFonts w:ascii="Arial" w:hAnsi="Arial" w:cs="Arial"/>
                <w:b/>
                <w:spacing w:val="-5"/>
                <w:sz w:val="21"/>
                <w:szCs w:val="21"/>
              </w:rPr>
            </w:pPr>
            <w:r w:rsidRPr="0079249E">
              <w:rPr>
                <w:rFonts w:ascii="Arial" w:hAnsi="Arial" w:cs="Arial"/>
                <w:b/>
                <w:spacing w:val="-5"/>
                <w:sz w:val="21"/>
                <w:szCs w:val="21"/>
              </w:rPr>
              <w:t>The cost of the drug, defined as the cost per dose multiplied by the expected number of doses in a one-year period for the patient, would constitute an unreasonable financial burden on the patient or his/her guardian. </w:t>
            </w:r>
          </w:p>
        </w:tc>
        <w:tc>
          <w:tcPr>
            <w:tcW w:w="6388" w:type="dxa"/>
          </w:tcPr>
          <w:p w14:paraId="468A738C" w14:textId="77777777" w:rsidR="00DC197C" w:rsidRPr="00D24181" w:rsidRDefault="00DC197C" w:rsidP="004E0919">
            <w:pPr>
              <w:rPr>
                <w:rFonts w:cs="Arial"/>
                <w:sz w:val="21"/>
                <w:szCs w:val="21"/>
              </w:rPr>
            </w:pPr>
            <w:r w:rsidRPr="00D24181">
              <w:rPr>
                <w:rFonts w:cs="Arial"/>
                <w:sz w:val="21"/>
                <w:szCs w:val="21"/>
              </w:rPr>
              <w:t>The TGA approved Product Information states that the recommended starting dose for paediatric patients is 0.03 mg/kg and 0.1 mg/kg in adults. In both populations a series of non-uniform dose escalations every 2 weeks is recommended up to the final maintenance dose of 3 mg/kg every 2 weeks.</w:t>
            </w:r>
          </w:p>
          <w:p w14:paraId="487F945B" w14:textId="17CEB1F6" w:rsidR="00DC197C" w:rsidRPr="0079249E" w:rsidRDefault="00DC197C" w:rsidP="004E0919">
            <w:pPr>
              <w:rPr>
                <w:sz w:val="21"/>
                <w:szCs w:val="21"/>
              </w:rPr>
            </w:pPr>
            <w:r w:rsidRPr="00D24181">
              <w:rPr>
                <w:rFonts w:cs="Arial"/>
                <w:sz w:val="21"/>
                <w:szCs w:val="21"/>
              </w:rPr>
              <w:t>At the proposed prices of a 4 mg vial ($</w:t>
            </w:r>
            <w:r w:rsidR="00B170EB" w:rsidRPr="002A188A">
              <w:rPr>
                <w:rFonts w:cs="Arial"/>
                <w:sz w:val="21"/>
                <w:szCs w:val="21"/>
                <w:highlight w:val="black"/>
              </w:rPr>
              <w:t>XXX</w:t>
            </w:r>
            <w:r w:rsidRPr="00D24181">
              <w:rPr>
                <w:rFonts w:cs="Arial"/>
                <w:sz w:val="21"/>
                <w:szCs w:val="21"/>
              </w:rPr>
              <w:t>) and 20 mg vial ($</w:t>
            </w:r>
            <w:r w:rsidR="00B170EB" w:rsidRPr="002A188A">
              <w:rPr>
                <w:rFonts w:cs="Arial"/>
                <w:sz w:val="21"/>
                <w:szCs w:val="21"/>
                <w:highlight w:val="black"/>
              </w:rPr>
              <w:t>XXX</w:t>
            </w:r>
            <w:r w:rsidRPr="00D24181">
              <w:rPr>
                <w:rFonts w:cs="Arial"/>
                <w:sz w:val="21"/>
                <w:szCs w:val="21"/>
              </w:rPr>
              <w:t xml:space="preserve">) for olipudase alfa the annual per patient treatment cost for </w:t>
            </w:r>
            <w:proofErr w:type="gramStart"/>
            <w:r w:rsidRPr="00D24181">
              <w:rPr>
                <w:rFonts w:cs="Arial"/>
                <w:sz w:val="21"/>
                <w:szCs w:val="21"/>
              </w:rPr>
              <w:t>a</w:t>
            </w:r>
            <w:proofErr w:type="gramEnd"/>
            <w:r w:rsidRPr="00D24181">
              <w:rPr>
                <w:rFonts w:cs="Arial"/>
                <w:sz w:val="21"/>
                <w:szCs w:val="21"/>
              </w:rPr>
              <w:t xml:space="preserve"> </w:t>
            </w:r>
            <w:r w:rsidR="007E4032" w:rsidRPr="007E4032">
              <w:rPr>
                <w:rFonts w:cs="Arial"/>
                <w:sz w:val="21"/>
                <w:szCs w:val="21"/>
                <w:highlight w:val="black"/>
              </w:rPr>
              <w:t>XXX</w:t>
            </w:r>
            <w:r w:rsidR="007E4032">
              <w:rPr>
                <w:rFonts w:cs="Arial"/>
                <w:sz w:val="21"/>
                <w:szCs w:val="21"/>
              </w:rPr>
              <w:t xml:space="preserve"> </w:t>
            </w:r>
            <w:r w:rsidRPr="00D24181">
              <w:rPr>
                <w:rFonts w:cs="Arial"/>
                <w:sz w:val="21"/>
                <w:szCs w:val="21"/>
              </w:rPr>
              <w:t>kg patient on a maintenance dose would be $</w:t>
            </w:r>
            <w:r w:rsidR="00B170EB" w:rsidRPr="002A188A">
              <w:rPr>
                <w:rFonts w:cs="Arial"/>
                <w:sz w:val="21"/>
                <w:szCs w:val="21"/>
                <w:highlight w:val="black"/>
              </w:rPr>
              <w:t>XXX</w:t>
            </w:r>
            <w:r w:rsidRPr="00D24181">
              <w:rPr>
                <w:rFonts w:cs="Arial"/>
                <w:sz w:val="21"/>
                <w:szCs w:val="21"/>
              </w:rPr>
              <w:t>.</w:t>
            </w:r>
            <w:r w:rsidRPr="0079249E">
              <w:rPr>
                <w:rFonts w:cs="Arial"/>
                <w:sz w:val="21"/>
                <w:szCs w:val="21"/>
              </w:rPr>
              <w:t>, representing an unreasonable financial burden on the patient or guardian.</w:t>
            </w:r>
          </w:p>
        </w:tc>
      </w:tr>
    </w:tbl>
    <w:p w14:paraId="415AF0E3" w14:textId="1C93AF2A" w:rsidR="00DC197C" w:rsidRDefault="00DC197C" w:rsidP="00DC197C">
      <w:pPr>
        <w:pStyle w:val="Heading3"/>
      </w:pPr>
      <w:r>
        <w:lastRenderedPageBreak/>
        <w:t>Pricing Issues</w:t>
      </w:r>
    </w:p>
    <w:p w14:paraId="58D81D97" w14:textId="77777777" w:rsidR="00DC197C" w:rsidRPr="004C08CE" w:rsidRDefault="00DC197C" w:rsidP="00DC197C">
      <w:pPr>
        <w:pStyle w:val="PolicyStatement"/>
        <w:spacing w:before="120" w:after="0" w:line="259" w:lineRule="auto"/>
        <w:rPr>
          <w:sz w:val="21"/>
          <w:szCs w:val="21"/>
        </w:rPr>
      </w:pPr>
      <w:r w:rsidRPr="004C08CE">
        <w:rPr>
          <w:sz w:val="21"/>
          <w:szCs w:val="21"/>
        </w:rPr>
        <w:t>The</w:t>
      </w:r>
      <w:r w:rsidRPr="004C08CE">
        <w:rPr>
          <w:spacing w:val="-5"/>
          <w:sz w:val="21"/>
          <w:szCs w:val="21"/>
        </w:rPr>
        <w:t xml:space="preserve"> </w:t>
      </w:r>
      <w:r w:rsidRPr="004C08CE">
        <w:rPr>
          <w:sz w:val="21"/>
          <w:szCs w:val="21"/>
        </w:rPr>
        <w:t>price</w:t>
      </w:r>
      <w:r w:rsidRPr="004C08CE">
        <w:rPr>
          <w:spacing w:val="-2"/>
          <w:sz w:val="21"/>
          <w:szCs w:val="21"/>
        </w:rPr>
        <w:t xml:space="preserve"> </w:t>
      </w:r>
      <w:r w:rsidRPr="004C08CE">
        <w:rPr>
          <w:sz w:val="21"/>
          <w:szCs w:val="21"/>
        </w:rPr>
        <w:t>of</w:t>
      </w:r>
      <w:r w:rsidRPr="004C08CE">
        <w:rPr>
          <w:spacing w:val="-4"/>
          <w:sz w:val="21"/>
          <w:szCs w:val="21"/>
        </w:rPr>
        <w:t xml:space="preserve"> </w:t>
      </w:r>
      <w:r w:rsidRPr="004C08CE">
        <w:rPr>
          <w:sz w:val="21"/>
          <w:szCs w:val="21"/>
        </w:rPr>
        <w:t>all</w:t>
      </w:r>
      <w:r w:rsidRPr="004C08CE">
        <w:rPr>
          <w:spacing w:val="-5"/>
          <w:sz w:val="21"/>
          <w:szCs w:val="21"/>
        </w:rPr>
        <w:t xml:space="preserve"> </w:t>
      </w:r>
      <w:r w:rsidRPr="004C08CE">
        <w:rPr>
          <w:sz w:val="21"/>
          <w:szCs w:val="21"/>
        </w:rPr>
        <w:t>LSDP</w:t>
      </w:r>
      <w:r w:rsidRPr="004C08CE">
        <w:rPr>
          <w:spacing w:val="-2"/>
          <w:sz w:val="21"/>
          <w:szCs w:val="21"/>
        </w:rPr>
        <w:t xml:space="preserve"> </w:t>
      </w:r>
      <w:r w:rsidRPr="004C08CE">
        <w:rPr>
          <w:sz w:val="21"/>
          <w:szCs w:val="21"/>
        </w:rPr>
        <w:t>medicines</w:t>
      </w:r>
      <w:r w:rsidRPr="004C08CE">
        <w:rPr>
          <w:spacing w:val="-2"/>
          <w:sz w:val="21"/>
          <w:szCs w:val="21"/>
        </w:rPr>
        <w:t xml:space="preserve"> </w:t>
      </w:r>
      <w:proofErr w:type="gramStart"/>
      <w:r w:rsidRPr="004C08CE">
        <w:rPr>
          <w:sz w:val="21"/>
          <w:szCs w:val="21"/>
        </w:rPr>
        <w:t>are</w:t>
      </w:r>
      <w:proofErr w:type="gramEnd"/>
      <w:r w:rsidRPr="004C08CE">
        <w:rPr>
          <w:spacing w:val="-2"/>
          <w:sz w:val="21"/>
          <w:szCs w:val="21"/>
        </w:rPr>
        <w:t xml:space="preserve"> </w:t>
      </w:r>
      <w:r w:rsidRPr="004C08CE">
        <w:rPr>
          <w:sz w:val="21"/>
          <w:szCs w:val="21"/>
        </w:rPr>
        <w:t>subject</w:t>
      </w:r>
      <w:r w:rsidRPr="004C08CE">
        <w:rPr>
          <w:spacing w:val="-4"/>
          <w:sz w:val="21"/>
          <w:szCs w:val="21"/>
        </w:rPr>
        <w:t xml:space="preserve"> </w:t>
      </w:r>
      <w:r w:rsidRPr="004C08CE">
        <w:rPr>
          <w:sz w:val="21"/>
          <w:szCs w:val="21"/>
        </w:rPr>
        <w:t>to</w:t>
      </w:r>
      <w:r w:rsidRPr="004C08CE">
        <w:rPr>
          <w:spacing w:val="-3"/>
          <w:sz w:val="21"/>
          <w:szCs w:val="21"/>
        </w:rPr>
        <w:t xml:space="preserve"> </w:t>
      </w:r>
      <w:r w:rsidRPr="004C08CE">
        <w:rPr>
          <w:sz w:val="21"/>
          <w:szCs w:val="21"/>
        </w:rPr>
        <w:t>commercial</w:t>
      </w:r>
      <w:r w:rsidRPr="004C08CE">
        <w:rPr>
          <w:spacing w:val="-2"/>
          <w:sz w:val="21"/>
          <w:szCs w:val="21"/>
        </w:rPr>
        <w:t xml:space="preserve"> </w:t>
      </w:r>
      <w:r w:rsidRPr="004C08CE">
        <w:rPr>
          <w:sz w:val="21"/>
          <w:szCs w:val="21"/>
        </w:rPr>
        <w:t>in</w:t>
      </w:r>
      <w:r w:rsidRPr="004C08CE">
        <w:rPr>
          <w:spacing w:val="-6"/>
          <w:sz w:val="21"/>
          <w:szCs w:val="21"/>
        </w:rPr>
        <w:t xml:space="preserve"> </w:t>
      </w:r>
      <w:r w:rsidRPr="004C08CE">
        <w:rPr>
          <w:sz w:val="21"/>
          <w:szCs w:val="21"/>
        </w:rPr>
        <w:t xml:space="preserve">confidence </w:t>
      </w:r>
      <w:r w:rsidRPr="004C08CE">
        <w:rPr>
          <w:spacing w:val="-2"/>
          <w:sz w:val="21"/>
          <w:szCs w:val="21"/>
        </w:rPr>
        <w:t>arrangements.</w:t>
      </w:r>
    </w:p>
    <w:p w14:paraId="75F3FD9F" w14:textId="77777777" w:rsidR="00DC197C" w:rsidRDefault="00DC197C" w:rsidP="00DC197C">
      <w:pPr>
        <w:pStyle w:val="Heading2"/>
      </w:pPr>
      <w:r>
        <w:t>Consumer Input</w:t>
      </w:r>
    </w:p>
    <w:p w14:paraId="2C55BFD0" w14:textId="77777777" w:rsidR="00DC197C" w:rsidRPr="00F37374" w:rsidRDefault="00DC197C" w:rsidP="00DC197C">
      <w:pPr>
        <w:rPr>
          <w:sz w:val="21"/>
          <w:szCs w:val="21"/>
        </w:rPr>
      </w:pPr>
      <w:r w:rsidRPr="002200B5">
        <w:rPr>
          <w:sz w:val="21"/>
          <w:szCs w:val="21"/>
        </w:rPr>
        <w:t>The Expert Panel noted the stakeholder input from the PBAC application</w:t>
      </w:r>
      <w:r w:rsidRPr="00194FD5">
        <w:rPr>
          <w:sz w:val="21"/>
          <w:szCs w:val="21"/>
        </w:rPr>
        <w:t xml:space="preserve">. </w:t>
      </w:r>
    </w:p>
    <w:p w14:paraId="70AC5C8F" w14:textId="77777777" w:rsidR="00DC197C" w:rsidRDefault="00DC197C" w:rsidP="00DC197C">
      <w:pPr>
        <w:pStyle w:val="Heading2"/>
      </w:pPr>
      <w:r>
        <w:t>Treatment Guidelines</w:t>
      </w:r>
    </w:p>
    <w:p w14:paraId="1F67DD87" w14:textId="77777777" w:rsidR="00DC197C" w:rsidRDefault="00DC197C" w:rsidP="00DC197C">
      <w:pPr>
        <w:rPr>
          <w:sz w:val="21"/>
          <w:szCs w:val="21"/>
        </w:rPr>
      </w:pPr>
      <w:r w:rsidRPr="00512439">
        <w:rPr>
          <w:sz w:val="21"/>
          <w:szCs w:val="21"/>
        </w:rPr>
        <w:t xml:space="preserve">The Guidelines for the treatment of </w:t>
      </w:r>
      <w:r w:rsidRPr="004C08CE">
        <w:rPr>
          <w:sz w:val="21"/>
          <w:szCs w:val="21"/>
        </w:rPr>
        <w:t>ASMD types A/B and type B</w:t>
      </w:r>
      <w:r w:rsidRPr="00512439">
        <w:rPr>
          <w:sz w:val="21"/>
          <w:szCs w:val="21"/>
        </w:rPr>
        <w:t xml:space="preserve"> on the LSDP stipulate initial and ongoing eligibility requirements.</w:t>
      </w:r>
      <w:r>
        <w:rPr>
          <w:sz w:val="21"/>
          <w:szCs w:val="21"/>
        </w:rPr>
        <w:t xml:space="preserve"> The diagnosis of ASMD type A/B or type B must be confirmed by either evidence demonstrating </w:t>
      </w:r>
      <w:r w:rsidRPr="00D21534">
        <w:rPr>
          <w:sz w:val="21"/>
          <w:szCs w:val="21"/>
        </w:rPr>
        <w:t>deficiency of</w:t>
      </w:r>
      <w:r>
        <w:rPr>
          <w:sz w:val="21"/>
          <w:szCs w:val="21"/>
        </w:rPr>
        <w:t xml:space="preserve"> ASM and normal activity of the </w:t>
      </w:r>
      <w:r w:rsidRPr="00BA2632">
        <w:rPr>
          <w:sz w:val="21"/>
          <w:szCs w:val="21"/>
        </w:rPr>
        <w:t>glucocerebrosidase</w:t>
      </w:r>
      <w:r>
        <w:rPr>
          <w:sz w:val="21"/>
          <w:szCs w:val="21"/>
        </w:rPr>
        <w:t xml:space="preserve"> enzyme to rule out a different condition called Gaucher disease, or by molecular genetic testing </w:t>
      </w:r>
      <w:r w:rsidRPr="00655AD2">
        <w:rPr>
          <w:sz w:val="21"/>
          <w:szCs w:val="21"/>
        </w:rPr>
        <w:t>indicating biallelic disease-causing variants in the</w:t>
      </w:r>
      <w:r>
        <w:rPr>
          <w:sz w:val="21"/>
          <w:szCs w:val="21"/>
        </w:rPr>
        <w:t xml:space="preserve"> </w:t>
      </w:r>
      <w:r w:rsidRPr="00EF5E40">
        <w:rPr>
          <w:i/>
          <w:iCs/>
          <w:sz w:val="21"/>
          <w:szCs w:val="21"/>
        </w:rPr>
        <w:t xml:space="preserve">SMDP1 </w:t>
      </w:r>
      <w:r>
        <w:rPr>
          <w:sz w:val="21"/>
          <w:szCs w:val="21"/>
        </w:rPr>
        <w:t>gene.</w:t>
      </w:r>
    </w:p>
    <w:p w14:paraId="6EAA3605" w14:textId="77777777" w:rsidR="00DC197C" w:rsidRPr="004C08CE" w:rsidRDefault="00DC197C" w:rsidP="00DC197C">
      <w:pPr>
        <w:rPr>
          <w:sz w:val="21"/>
          <w:szCs w:val="21"/>
        </w:rPr>
      </w:pPr>
      <w:r>
        <w:rPr>
          <w:sz w:val="21"/>
          <w:szCs w:val="21"/>
        </w:rPr>
        <w:t>Eligibility is also dependent on the presentation of clinical markers demonstrating the severity of the condition in a patient such as their spleen volume or interstitial lung disease.</w:t>
      </w:r>
    </w:p>
    <w:p w14:paraId="12E73D94" w14:textId="77777777" w:rsidR="00DC197C" w:rsidRDefault="00DC197C" w:rsidP="00DC197C">
      <w:pPr>
        <w:pStyle w:val="Heading2"/>
      </w:pPr>
      <w:r>
        <w:t>Management of Uncertainties</w:t>
      </w:r>
    </w:p>
    <w:p w14:paraId="4C320FA3" w14:textId="77777777" w:rsidR="00DC197C" w:rsidRPr="004C08CE" w:rsidRDefault="00DC197C" w:rsidP="00DC197C">
      <w:pPr>
        <w:rPr>
          <w:sz w:val="21"/>
          <w:szCs w:val="21"/>
        </w:rPr>
      </w:pPr>
      <w:r w:rsidRPr="004C08CE">
        <w:rPr>
          <w:sz w:val="21"/>
          <w:szCs w:val="21"/>
        </w:rPr>
        <w:t>To address uncertainties, clinical data will be collected through initial and ongoing applications to the LSDP. In line with LSDP policy and to manage uncertainties, a review of olipudase alfa will be conducted 24 months after listing to ensure use and performance of the medicine is in line with the expectations at the time of listing.</w:t>
      </w:r>
    </w:p>
    <w:p w14:paraId="378EB4E2" w14:textId="77777777" w:rsidR="00DC197C" w:rsidRDefault="00DC197C" w:rsidP="00DC197C">
      <w:pPr>
        <w:pStyle w:val="Heading2"/>
      </w:pPr>
      <w:r>
        <w:t>Context</w:t>
      </w:r>
    </w:p>
    <w:p w14:paraId="78BE25AE" w14:textId="77777777" w:rsidR="00DC197C" w:rsidRPr="004C08CE" w:rsidRDefault="00DC197C" w:rsidP="00DC197C">
      <w:pPr>
        <w:rPr>
          <w:sz w:val="21"/>
          <w:szCs w:val="21"/>
        </w:rPr>
      </w:pPr>
      <w:r w:rsidRPr="004C08CE">
        <w:rPr>
          <w:sz w:val="21"/>
          <w:szCs w:val="21"/>
        </w:rPr>
        <w:t xml:space="preserve">The LSDP provides access for eligible patients with ultra-rare and life-threatening diseases to essential and very expensive medicines. The LSDP provides eligible patients with access to these </w:t>
      </w:r>
      <w:proofErr w:type="spellStart"/>
      <w:r w:rsidRPr="004C08CE">
        <w:rPr>
          <w:sz w:val="21"/>
          <w:szCs w:val="21"/>
        </w:rPr>
        <w:t>life saving</w:t>
      </w:r>
      <w:proofErr w:type="spellEnd"/>
      <w:r w:rsidRPr="004C08CE">
        <w:rPr>
          <w:sz w:val="21"/>
          <w:szCs w:val="21"/>
        </w:rPr>
        <w:t xml:space="preserve"> medicines at no expense to the patients or their families.</w:t>
      </w:r>
    </w:p>
    <w:p w14:paraId="31B86D69" w14:textId="77777777" w:rsidR="00DC197C" w:rsidRPr="004C08CE" w:rsidRDefault="00DC197C" w:rsidP="00DC197C">
      <w:pPr>
        <w:rPr>
          <w:sz w:val="21"/>
          <w:szCs w:val="21"/>
        </w:rPr>
      </w:pPr>
      <w:r w:rsidRPr="004C08CE">
        <w:rPr>
          <w:sz w:val="21"/>
          <w:szCs w:val="21"/>
        </w:rPr>
        <w:t>Before being considered for inclusion on the LSDP, a drug must first be considered by PBAC and accepted as clinically effective but rejected for PBS listing because it fails to meet the required cost effectiveness criteria.</w:t>
      </w:r>
    </w:p>
    <w:p w14:paraId="0B4A2FE3" w14:textId="77777777" w:rsidR="00DC197C" w:rsidRPr="004C08CE" w:rsidRDefault="00DC197C" w:rsidP="00DC197C">
      <w:pPr>
        <w:rPr>
          <w:sz w:val="21"/>
          <w:szCs w:val="21"/>
        </w:rPr>
      </w:pPr>
      <w:r w:rsidRPr="004C08CE">
        <w:rPr>
          <w:sz w:val="21"/>
          <w:szCs w:val="21"/>
        </w:rPr>
        <w:t>All applications for new medicines seeking funding through the LSDP are considered by the Expert Panel. The role of the Expert Panel is to provide advice and assistance to the CMO on a range of matters relating to new medicines seeking funding, including assessment of how the medicine addresses the LSDP criteria, guidelines for medicine use and testing requirements, suitable pricing arrangements, and data collection required for future reviews.</w:t>
      </w:r>
    </w:p>
    <w:p w14:paraId="381BC9AB" w14:textId="77777777" w:rsidR="00DC197C" w:rsidRPr="004C08CE" w:rsidRDefault="00DC197C" w:rsidP="00DC197C">
      <w:pPr>
        <w:rPr>
          <w:sz w:val="21"/>
          <w:szCs w:val="21"/>
        </w:rPr>
      </w:pPr>
      <w:r w:rsidRPr="004C08CE">
        <w:rPr>
          <w:sz w:val="21"/>
          <w:szCs w:val="21"/>
        </w:rPr>
        <w:t>After receiving advice from the Expert Panel, the CMO advises the Minister for Health and Ageing on medicines proposed to be included on the LSDP.</w:t>
      </w:r>
    </w:p>
    <w:p w14:paraId="1D14736C" w14:textId="77777777" w:rsidR="00DC197C" w:rsidRPr="004C08CE" w:rsidRDefault="00DC197C" w:rsidP="00DC197C">
      <w:pPr>
        <w:rPr>
          <w:sz w:val="21"/>
          <w:szCs w:val="21"/>
        </w:rPr>
      </w:pPr>
      <w:r w:rsidRPr="004C08CE">
        <w:rPr>
          <w:sz w:val="21"/>
          <w:szCs w:val="21"/>
        </w:rPr>
        <w:t>This document aims to provide an overview of the evidence considered by the Expert Panel and CMO during their assessment of medicines.</w:t>
      </w:r>
    </w:p>
    <w:p w14:paraId="349CC8F5" w14:textId="77777777" w:rsidR="00DC197C" w:rsidRPr="004C08CE" w:rsidRDefault="00DC197C" w:rsidP="00DC197C">
      <w:pPr>
        <w:rPr>
          <w:szCs w:val="22"/>
        </w:rPr>
      </w:pPr>
      <w:r w:rsidRPr="004C08CE">
        <w:rPr>
          <w:sz w:val="21"/>
          <w:szCs w:val="21"/>
        </w:rPr>
        <w:t>For more information on the process for new medicines seeking funding through the LSDP, refer to the LSDP Procedure guidance:</w:t>
      </w:r>
      <w:r w:rsidRPr="004C08CE">
        <w:rPr>
          <w:szCs w:val="22"/>
        </w:rPr>
        <w:t xml:space="preserve"> </w:t>
      </w:r>
      <w:hyperlink r:id="rId12" w:history="1">
        <w:r w:rsidRPr="004C08CE">
          <w:rPr>
            <w:rStyle w:val="Hyperlink"/>
            <w:sz w:val="21"/>
            <w:szCs w:val="21"/>
          </w:rPr>
          <w:t>www.health.gov.au/resources/publications/procedure-guidance-for-medicines-funded-through-the-life-saving-drugs-program-lsdp</w:t>
        </w:r>
      </w:hyperlink>
    </w:p>
    <w:p w14:paraId="33B88EF2" w14:textId="77777777" w:rsidR="00DC197C" w:rsidRDefault="00DC197C" w:rsidP="00B93B29">
      <w:pPr>
        <w:pStyle w:val="Heading2"/>
      </w:pPr>
      <w:r>
        <w:lastRenderedPageBreak/>
        <w:t>Sponsor’s Comment</w:t>
      </w:r>
      <w:bookmarkEnd w:id="0"/>
    </w:p>
    <w:p w14:paraId="142F6EBF" w14:textId="4C1E8840" w:rsidR="00374531" w:rsidRDefault="0025656E" w:rsidP="00374531">
      <w:r w:rsidRPr="0025656E">
        <w:t xml:space="preserve">Sanofi welcomes the Government’s decision to list </w:t>
      </w:r>
      <w:r w:rsidR="00DC64FF">
        <w:t>Xenpozyme</w:t>
      </w:r>
      <w:r w:rsidRPr="0025656E">
        <w:t xml:space="preserve"> (</w:t>
      </w:r>
      <w:r w:rsidR="00DC64FF">
        <w:t>olipudase</w:t>
      </w:r>
      <w:r w:rsidRPr="0025656E">
        <w:t xml:space="preserve"> alfa</w:t>
      </w:r>
      <w:r w:rsidR="00D05F3D" w:rsidRPr="0025656E">
        <w:t>)</w:t>
      </w:r>
      <w:r w:rsidR="00D05F3D">
        <w:t xml:space="preserve"> and</w:t>
      </w:r>
      <w:r w:rsidR="00D93827">
        <w:t xml:space="preserve"> supports </w:t>
      </w:r>
      <w:r w:rsidR="00180582">
        <w:t>the long-term sustainability of the LSDP</w:t>
      </w:r>
      <w:r w:rsidRPr="0025656E">
        <w:t xml:space="preserve">. This is a significant decision for </w:t>
      </w:r>
      <w:r w:rsidR="00D93827">
        <w:t>ASMD</w:t>
      </w:r>
      <w:r w:rsidRPr="0025656E">
        <w:t xml:space="preserve"> patients in Australia </w:t>
      </w:r>
      <w:r w:rsidR="00D05F3D">
        <w:t xml:space="preserve">whose life expectancy is </w:t>
      </w:r>
      <w:r w:rsidRPr="0025656E">
        <w:t>affected by this devastating disorder.</w:t>
      </w:r>
    </w:p>
    <w:p w14:paraId="628015DF" w14:textId="77777777" w:rsidR="00374531" w:rsidRPr="00374531" w:rsidRDefault="00374531" w:rsidP="00374531"/>
    <w:p w14:paraId="4095F4DA" w14:textId="67C1D429" w:rsidR="0051242B" w:rsidRPr="00374531" w:rsidRDefault="0051242B" w:rsidP="00374531">
      <w:pPr>
        <w:rPr>
          <w:sz w:val="2"/>
          <w:szCs w:val="2"/>
        </w:rPr>
      </w:pPr>
    </w:p>
    <w:sectPr w:rsidR="0051242B" w:rsidRPr="00374531" w:rsidSect="00B9339A">
      <w:headerReference w:type="even" r:id="rId13"/>
      <w:headerReference w:type="default" r:id="rId14"/>
      <w:footerReference w:type="default" r:id="rId15"/>
      <w:headerReference w:type="first" r:id="rId16"/>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3110E" w14:textId="77777777" w:rsidR="00B66EA9" w:rsidRDefault="00B66EA9" w:rsidP="00934368">
      <w:r>
        <w:separator/>
      </w:r>
    </w:p>
    <w:p w14:paraId="66D20566" w14:textId="77777777" w:rsidR="00B66EA9" w:rsidRDefault="00B66EA9" w:rsidP="00934368"/>
  </w:endnote>
  <w:endnote w:type="continuationSeparator" w:id="0">
    <w:p w14:paraId="27D629AA" w14:textId="77777777" w:rsidR="00B66EA9" w:rsidRDefault="00B66EA9" w:rsidP="00934368">
      <w:r>
        <w:continuationSeparator/>
      </w:r>
    </w:p>
    <w:p w14:paraId="5E091B73" w14:textId="77777777" w:rsidR="00B66EA9" w:rsidRDefault="00B66EA9" w:rsidP="00934368"/>
  </w:endnote>
  <w:endnote w:type="continuationNotice" w:id="1">
    <w:p w14:paraId="20030A89" w14:textId="77777777" w:rsidR="00B66EA9" w:rsidRDefault="00B66EA9" w:rsidP="009343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92E0E" w14:textId="52EF4E97" w:rsidR="00751A23" w:rsidRPr="00751A23" w:rsidRDefault="00B93B29" w:rsidP="00374531">
    <w:pPr>
      <w:pStyle w:val="Footer"/>
    </w:pPr>
    <w:r>
      <w:t xml:space="preserve">Life Saving Drugs Program – </w:t>
    </w:r>
    <w:proofErr w:type="spellStart"/>
    <w:r>
      <w:t>Olipudase</w:t>
    </w:r>
    <w:proofErr w:type="spellEnd"/>
    <w:r>
      <w:t xml:space="preserve"> alfa (</w:t>
    </w:r>
    <w:proofErr w:type="spellStart"/>
    <w:r>
      <w:t>Xenpozyme</w:t>
    </w:r>
    <w:proofErr w:type="spellEnd"/>
    <w:r w:rsidRPr="00356F0F">
      <w:rPr>
        <w:vertAlign w:val="superscript"/>
      </w:rPr>
      <w:t>®</w:t>
    </w:r>
    <w:sdt>
      <w:sdtPr>
        <w:id w:val="-443848716"/>
        <w:docPartObj>
          <w:docPartGallery w:val="Page Numbers (Bottom of Page)"/>
          <w:docPartUnique/>
        </w:docPartObj>
      </w:sdtPr>
      <w:sdtEndPr>
        <w:rPr>
          <w:noProof/>
        </w:rPr>
      </w:sdtEndPr>
      <w:sdtContent>
        <w:r>
          <w:t>) outcome statement</w:t>
        </w:r>
        <w:r>
          <w:tab/>
        </w:r>
        <w:r w:rsidRPr="006043C7">
          <w:fldChar w:fldCharType="begin"/>
        </w:r>
        <w:r w:rsidRPr="006043C7">
          <w:instrText xml:space="preserve"> PAGE   \* MERGEFORMAT </w:instrText>
        </w:r>
        <w:r w:rsidRPr="006043C7">
          <w:fldChar w:fldCharType="separate"/>
        </w:r>
        <w:r>
          <w:t>6</w:t>
        </w:r>
        <w:r w:rsidRPr="006043C7">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2D59C" w14:textId="77777777" w:rsidR="00B66EA9" w:rsidRDefault="00B66EA9" w:rsidP="00934368">
      <w:r>
        <w:separator/>
      </w:r>
    </w:p>
    <w:p w14:paraId="09398689" w14:textId="77777777" w:rsidR="00B66EA9" w:rsidRDefault="00B66EA9" w:rsidP="00934368"/>
  </w:footnote>
  <w:footnote w:type="continuationSeparator" w:id="0">
    <w:p w14:paraId="14988C59" w14:textId="77777777" w:rsidR="00B66EA9" w:rsidRDefault="00B66EA9" w:rsidP="00934368">
      <w:r>
        <w:continuationSeparator/>
      </w:r>
    </w:p>
    <w:p w14:paraId="3B4CE476" w14:textId="77777777" w:rsidR="00B66EA9" w:rsidRDefault="00B66EA9" w:rsidP="00934368"/>
  </w:footnote>
  <w:footnote w:type="continuationNotice" w:id="1">
    <w:p w14:paraId="6A5C5D5E" w14:textId="77777777" w:rsidR="00B66EA9" w:rsidRDefault="00B66EA9" w:rsidP="009343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A0B87" w14:textId="2EFAF912" w:rsidR="00A21BF4" w:rsidRDefault="00A21BF4">
    <w:pPr>
      <w:pStyle w:val="Header"/>
    </w:pPr>
    <w:r>
      <w:rPr>
        <w:noProof/>
      </w:rPr>
      <mc:AlternateContent>
        <mc:Choice Requires="wps">
          <w:drawing>
            <wp:anchor distT="0" distB="0" distL="0" distR="0" simplePos="0" relativeHeight="251658241" behindDoc="0" locked="0" layoutInCell="1" allowOverlap="1" wp14:anchorId="6D31E98D" wp14:editId="1C9D21A9">
              <wp:simplePos x="635" y="635"/>
              <wp:positionH relativeFrom="page">
                <wp:align>center</wp:align>
              </wp:positionH>
              <wp:positionV relativeFrom="page">
                <wp:align>top</wp:align>
              </wp:positionV>
              <wp:extent cx="424180" cy="445135"/>
              <wp:effectExtent l="0" t="0" r="13970" b="12065"/>
              <wp:wrapNone/>
              <wp:docPr id="121216815" name="Text Box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4180" cy="445135"/>
                      </a:xfrm>
                      <a:prstGeom prst="rect">
                        <a:avLst/>
                      </a:prstGeom>
                      <a:noFill/>
                      <a:ln>
                        <a:noFill/>
                      </a:ln>
                    </wps:spPr>
                    <wps:txbx>
                      <w:txbxContent>
                        <w:p w14:paraId="5DD64651" w14:textId="005486D8" w:rsidR="00A21BF4" w:rsidRPr="00A21BF4" w:rsidRDefault="00A21BF4" w:rsidP="00A21BF4">
                          <w:pPr>
                            <w:spacing w:after="0"/>
                            <w:rPr>
                              <w:rFonts w:ascii="Aptos" w:eastAsia="Aptos" w:hAnsi="Aptos" w:cs="Aptos"/>
                              <w:noProof/>
                              <w:color w:val="4A569E"/>
                              <w:sz w:val="20"/>
                              <w:szCs w:val="20"/>
                            </w:rPr>
                          </w:pPr>
                          <w:r w:rsidRPr="00A21BF4">
                            <w:rPr>
                              <w:rFonts w:ascii="Aptos" w:eastAsia="Aptos" w:hAnsi="Aptos" w:cs="Aptos"/>
                              <w:noProof/>
                              <w:color w:val="4A569E"/>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31E98D" id="_x0000_t202" coordsize="21600,21600" o:spt="202" path="m,l,21600r21600,l21600,xe">
              <v:stroke joinstyle="miter"/>
              <v:path gradientshapeok="t" o:connecttype="rect"/>
            </v:shapetype>
            <v:shape id="Text Box 2" o:spid="_x0000_s1026" type="#_x0000_t202" alt="Internal" style="position:absolute;margin-left:0;margin-top:0;width:33.4pt;height:35.0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" filled="f" stroked="f">
              <v:textbox style="mso-fit-shape-to-text:t" inset="0,15pt,0,0">
                <w:txbxContent>
                  <w:p w14:paraId="5DD64651" w14:textId="005486D8" w:rsidR="00A21BF4" w:rsidRPr="00A21BF4" w:rsidRDefault="00A21BF4" w:rsidP="00A21BF4">
                    <w:pPr>
                      <w:spacing w:after="0"/>
                      <w:rPr>
                        <w:rFonts w:ascii="Aptos" w:eastAsia="Aptos" w:hAnsi="Aptos" w:cs="Aptos"/>
                        <w:noProof/>
                        <w:color w:val="4A569E"/>
                        <w:sz w:val="20"/>
                        <w:szCs w:val="20"/>
                      </w:rPr>
                    </w:pPr>
                    <w:r w:rsidRPr="00A21BF4">
                      <w:rPr>
                        <w:rFonts w:ascii="Aptos" w:eastAsia="Aptos" w:hAnsi="Aptos" w:cs="Aptos"/>
                        <w:noProof/>
                        <w:color w:val="4A569E"/>
                        <w:sz w:val="20"/>
                        <w:szCs w:val="20"/>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F8732" w14:textId="36841DD4" w:rsidR="00A21BF4" w:rsidRDefault="00A21BF4">
    <w:pPr>
      <w:pStyle w:val="Header"/>
    </w:pPr>
    <w:r>
      <w:rPr>
        <w:noProof/>
      </w:rPr>
      <mc:AlternateContent>
        <mc:Choice Requires="wps">
          <w:drawing>
            <wp:anchor distT="0" distB="0" distL="0" distR="0" simplePos="0" relativeHeight="251658242" behindDoc="0" locked="0" layoutInCell="1" allowOverlap="1" wp14:anchorId="0579217D" wp14:editId="4A39B74B">
              <wp:simplePos x="902825" y="451413"/>
              <wp:positionH relativeFrom="page">
                <wp:align>center</wp:align>
              </wp:positionH>
              <wp:positionV relativeFrom="page">
                <wp:align>top</wp:align>
              </wp:positionV>
              <wp:extent cx="424180" cy="445135"/>
              <wp:effectExtent l="0" t="0" r="13970" b="12065"/>
              <wp:wrapNone/>
              <wp:docPr id="759322015" name="Text Box 3"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4180" cy="445135"/>
                      </a:xfrm>
                      <a:prstGeom prst="rect">
                        <a:avLst/>
                      </a:prstGeom>
                      <a:noFill/>
                      <a:ln>
                        <a:noFill/>
                      </a:ln>
                    </wps:spPr>
                    <wps:txbx>
                      <w:txbxContent>
                        <w:p w14:paraId="1DD879A5" w14:textId="68CC2B6E" w:rsidR="00A21BF4" w:rsidRPr="00A21BF4" w:rsidRDefault="00A21BF4" w:rsidP="00A21BF4">
                          <w:pPr>
                            <w:spacing w:after="0"/>
                            <w:rPr>
                              <w:rFonts w:ascii="Aptos" w:eastAsia="Aptos" w:hAnsi="Aptos" w:cs="Aptos"/>
                              <w:noProof/>
                              <w:color w:val="4A569E"/>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79217D" id="_x0000_t202" coordsize="21600,21600" o:spt="202" path="m,l,21600r21600,l21600,xe">
              <v:stroke joinstyle="miter"/>
              <v:path gradientshapeok="t" o:connecttype="rect"/>
            </v:shapetype>
            <v:shape id="Text Box 3" o:spid="_x0000_s1027" type="#_x0000_t202" alt="Internal" style="position:absolute;margin-left:0;margin-top:0;width:33.4pt;height:35.0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" filled="f" stroked="f">
              <v:textbox style="mso-fit-shape-to-text:t" inset="0,15pt,0,0">
                <w:txbxContent>
                  <w:p w14:paraId="1DD879A5" w14:textId="68CC2B6E" w:rsidR="00A21BF4" w:rsidRPr="00A21BF4" w:rsidRDefault="00A21BF4" w:rsidP="00A21BF4">
                    <w:pPr>
                      <w:spacing w:after="0"/>
                      <w:rPr>
                        <w:rFonts w:ascii="Aptos" w:eastAsia="Aptos" w:hAnsi="Aptos" w:cs="Aptos"/>
                        <w:noProof/>
                        <w:color w:val="4A569E"/>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A4467" w14:textId="289169E0" w:rsidR="00B9339A" w:rsidRDefault="00B9339A">
    <w:pPr>
      <w:pStyle w:val="Header"/>
    </w:pPr>
    <w:r>
      <w:rPr>
        <w:noProof/>
        <w:lang w:eastAsia="en-AU"/>
      </w:rPr>
      <w:drawing>
        <wp:inline distT="0" distB="0" distL="0" distR="0" wp14:anchorId="7BF0C1C6" wp14:editId="6D977670">
          <wp:extent cx="5756803" cy="941705"/>
          <wp:effectExtent l="0" t="0" r="0" b="0"/>
          <wp:docPr id="1054179193" name="Picture 1054179193"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rotWithShape="1">
                  <a:blip r:embed="rId1">
                    <a:extLst>
                      <a:ext uri="{28A0092B-C50C-407E-A947-70E740481C1C}">
                        <a14:useLocalDpi xmlns:a14="http://schemas.microsoft.com/office/drawing/2010/main" val="0"/>
                      </a:ext>
                    </a:extLst>
                  </a:blip>
                  <a:srcRect l="136" r="136"/>
                  <a:stretch/>
                </pic:blipFill>
                <pic:spPr bwMode="auto">
                  <a:xfrm>
                    <a:off x="0" y="0"/>
                    <a:ext cx="5759450" cy="94213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1E62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A42ADA"/>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F527F84"/>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B60926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43A2D3E"/>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B4F249DE"/>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085032849">
    <w:abstractNumId w:val="7"/>
  </w:num>
  <w:num w:numId="2" w16cid:durableId="1487239672">
    <w:abstractNumId w:val="15"/>
  </w:num>
  <w:num w:numId="3" w16cid:durableId="1111165562">
    <w:abstractNumId w:val="17"/>
  </w:num>
  <w:num w:numId="4" w16cid:durableId="1656956847">
    <w:abstractNumId w:val="8"/>
  </w:num>
  <w:num w:numId="5" w16cid:durableId="1573807520">
    <w:abstractNumId w:val="8"/>
    <w:lvlOverride w:ilvl="0">
      <w:startOverride w:val="1"/>
    </w:lvlOverride>
  </w:num>
  <w:num w:numId="6" w16cid:durableId="306908385">
    <w:abstractNumId w:val="9"/>
  </w:num>
  <w:num w:numId="7" w16cid:durableId="739521073">
    <w:abstractNumId w:val="13"/>
  </w:num>
  <w:num w:numId="8" w16cid:durableId="1364792563">
    <w:abstractNumId w:val="16"/>
  </w:num>
  <w:num w:numId="9" w16cid:durableId="692266933">
    <w:abstractNumId w:val="5"/>
  </w:num>
  <w:num w:numId="10" w16cid:durableId="378407846">
    <w:abstractNumId w:val="4"/>
  </w:num>
  <w:num w:numId="11" w16cid:durableId="895942982">
    <w:abstractNumId w:val="3"/>
  </w:num>
  <w:num w:numId="12" w16cid:durableId="1421953636">
    <w:abstractNumId w:val="2"/>
  </w:num>
  <w:num w:numId="13" w16cid:durableId="1642807558">
    <w:abstractNumId w:val="6"/>
  </w:num>
  <w:num w:numId="14" w16cid:durableId="968584991">
    <w:abstractNumId w:val="1"/>
  </w:num>
  <w:num w:numId="15" w16cid:durableId="116606617">
    <w:abstractNumId w:val="0"/>
  </w:num>
  <w:num w:numId="16" w16cid:durableId="1942836989">
    <w:abstractNumId w:val="18"/>
  </w:num>
  <w:num w:numId="17" w16cid:durableId="784426807">
    <w:abstractNumId w:val="10"/>
  </w:num>
  <w:num w:numId="18" w16cid:durableId="1485246168">
    <w:abstractNumId w:val="11"/>
  </w:num>
  <w:num w:numId="19" w16cid:durableId="204174500">
    <w:abstractNumId w:val="12"/>
  </w:num>
  <w:num w:numId="20" w16cid:durableId="583033642">
    <w:abstractNumId w:val="10"/>
  </w:num>
  <w:num w:numId="21" w16cid:durableId="411392521">
    <w:abstractNumId w:val="12"/>
  </w:num>
  <w:num w:numId="22" w16cid:durableId="1149708572">
    <w:abstractNumId w:val="18"/>
  </w:num>
  <w:num w:numId="23" w16cid:durableId="759183430">
    <w:abstractNumId w:val="15"/>
  </w:num>
  <w:num w:numId="24" w16cid:durableId="936640889">
    <w:abstractNumId w:val="17"/>
  </w:num>
  <w:num w:numId="25" w16cid:durableId="682364219">
    <w:abstractNumId w:val="8"/>
  </w:num>
  <w:num w:numId="26" w16cid:durableId="21224546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2EE"/>
    <w:rsid w:val="00001F41"/>
    <w:rsid w:val="00003743"/>
    <w:rsid w:val="000047B4"/>
    <w:rsid w:val="00005712"/>
    <w:rsid w:val="00007FD8"/>
    <w:rsid w:val="000117F8"/>
    <w:rsid w:val="00026139"/>
    <w:rsid w:val="00027071"/>
    <w:rsid w:val="00027601"/>
    <w:rsid w:val="00033321"/>
    <w:rsid w:val="000338E5"/>
    <w:rsid w:val="00033ECC"/>
    <w:rsid w:val="000341B8"/>
    <w:rsid w:val="0003422F"/>
    <w:rsid w:val="00042A5A"/>
    <w:rsid w:val="00046FF0"/>
    <w:rsid w:val="00050176"/>
    <w:rsid w:val="00062B65"/>
    <w:rsid w:val="00067456"/>
    <w:rsid w:val="00071506"/>
    <w:rsid w:val="0007154F"/>
    <w:rsid w:val="00081AB1"/>
    <w:rsid w:val="00090316"/>
    <w:rsid w:val="00092689"/>
    <w:rsid w:val="00092AE7"/>
    <w:rsid w:val="00093981"/>
    <w:rsid w:val="00093CD9"/>
    <w:rsid w:val="00096352"/>
    <w:rsid w:val="000B067A"/>
    <w:rsid w:val="000B1540"/>
    <w:rsid w:val="000B33FD"/>
    <w:rsid w:val="000B4ABA"/>
    <w:rsid w:val="000C36A3"/>
    <w:rsid w:val="000C4B16"/>
    <w:rsid w:val="000C50C3"/>
    <w:rsid w:val="000C6E00"/>
    <w:rsid w:val="000D21F6"/>
    <w:rsid w:val="000D21FE"/>
    <w:rsid w:val="000D42C3"/>
    <w:rsid w:val="000D4500"/>
    <w:rsid w:val="000D7AEA"/>
    <w:rsid w:val="000E01A9"/>
    <w:rsid w:val="000E2C66"/>
    <w:rsid w:val="000E6E7D"/>
    <w:rsid w:val="000F123C"/>
    <w:rsid w:val="000F2FED"/>
    <w:rsid w:val="0010449B"/>
    <w:rsid w:val="0010616D"/>
    <w:rsid w:val="00110478"/>
    <w:rsid w:val="0011711B"/>
    <w:rsid w:val="00117F8A"/>
    <w:rsid w:val="00121B9B"/>
    <w:rsid w:val="00122ADC"/>
    <w:rsid w:val="00130F59"/>
    <w:rsid w:val="00133EC0"/>
    <w:rsid w:val="00141CE5"/>
    <w:rsid w:val="00144908"/>
    <w:rsid w:val="001553BE"/>
    <w:rsid w:val="001571C7"/>
    <w:rsid w:val="00161094"/>
    <w:rsid w:val="00170169"/>
    <w:rsid w:val="00172A55"/>
    <w:rsid w:val="001758CD"/>
    <w:rsid w:val="0017665C"/>
    <w:rsid w:val="00177AD2"/>
    <w:rsid w:val="00180582"/>
    <w:rsid w:val="001815A8"/>
    <w:rsid w:val="001840FA"/>
    <w:rsid w:val="00190079"/>
    <w:rsid w:val="0019622E"/>
    <w:rsid w:val="001966A7"/>
    <w:rsid w:val="001A4627"/>
    <w:rsid w:val="001A4979"/>
    <w:rsid w:val="001B15D3"/>
    <w:rsid w:val="001B3443"/>
    <w:rsid w:val="001C0326"/>
    <w:rsid w:val="001C192F"/>
    <w:rsid w:val="001C3C42"/>
    <w:rsid w:val="001D7869"/>
    <w:rsid w:val="001F2F78"/>
    <w:rsid w:val="002026CD"/>
    <w:rsid w:val="002033FC"/>
    <w:rsid w:val="002044BB"/>
    <w:rsid w:val="0021020C"/>
    <w:rsid w:val="00210B09"/>
    <w:rsid w:val="00210C9E"/>
    <w:rsid w:val="00211840"/>
    <w:rsid w:val="002200B5"/>
    <w:rsid w:val="00220E5F"/>
    <w:rsid w:val="002212B5"/>
    <w:rsid w:val="00224527"/>
    <w:rsid w:val="00226668"/>
    <w:rsid w:val="00233381"/>
    <w:rsid w:val="00233809"/>
    <w:rsid w:val="002370BC"/>
    <w:rsid w:val="00240046"/>
    <w:rsid w:val="00240241"/>
    <w:rsid w:val="002413BE"/>
    <w:rsid w:val="0024797F"/>
    <w:rsid w:val="0025119E"/>
    <w:rsid w:val="00251269"/>
    <w:rsid w:val="002535C0"/>
    <w:rsid w:val="0025656E"/>
    <w:rsid w:val="002579FE"/>
    <w:rsid w:val="00260A93"/>
    <w:rsid w:val="0026311C"/>
    <w:rsid w:val="0026668C"/>
    <w:rsid w:val="00266AC1"/>
    <w:rsid w:val="00271220"/>
    <w:rsid w:val="0027178C"/>
    <w:rsid w:val="002719FA"/>
    <w:rsid w:val="00272668"/>
    <w:rsid w:val="0027330B"/>
    <w:rsid w:val="00276A78"/>
    <w:rsid w:val="002803AD"/>
    <w:rsid w:val="00282052"/>
    <w:rsid w:val="0028519E"/>
    <w:rsid w:val="002856A5"/>
    <w:rsid w:val="002872ED"/>
    <w:rsid w:val="002905C2"/>
    <w:rsid w:val="00295AF2"/>
    <w:rsid w:val="00295C91"/>
    <w:rsid w:val="00297151"/>
    <w:rsid w:val="002A0910"/>
    <w:rsid w:val="002A11EB"/>
    <w:rsid w:val="002A188A"/>
    <w:rsid w:val="002B20E6"/>
    <w:rsid w:val="002B3A11"/>
    <w:rsid w:val="002B42A3"/>
    <w:rsid w:val="002C0CDD"/>
    <w:rsid w:val="002D7D36"/>
    <w:rsid w:val="002E1A1D"/>
    <w:rsid w:val="002E1B67"/>
    <w:rsid w:val="002E4081"/>
    <w:rsid w:val="002E5B78"/>
    <w:rsid w:val="002F3AE3"/>
    <w:rsid w:val="0030464B"/>
    <w:rsid w:val="0030786C"/>
    <w:rsid w:val="003233DE"/>
    <w:rsid w:val="0032466B"/>
    <w:rsid w:val="00327B44"/>
    <w:rsid w:val="003330EB"/>
    <w:rsid w:val="003339CE"/>
    <w:rsid w:val="00336605"/>
    <w:rsid w:val="003415FD"/>
    <w:rsid w:val="003429F0"/>
    <w:rsid w:val="0035097A"/>
    <w:rsid w:val="003540A4"/>
    <w:rsid w:val="00356F0F"/>
    <w:rsid w:val="00360E4E"/>
    <w:rsid w:val="00370AAA"/>
    <w:rsid w:val="00374531"/>
    <w:rsid w:val="00375F77"/>
    <w:rsid w:val="00377A78"/>
    <w:rsid w:val="00381BBE"/>
    <w:rsid w:val="00382903"/>
    <w:rsid w:val="003846FF"/>
    <w:rsid w:val="00385AD4"/>
    <w:rsid w:val="00387924"/>
    <w:rsid w:val="0039384D"/>
    <w:rsid w:val="00395BED"/>
    <w:rsid w:val="00395C23"/>
    <w:rsid w:val="003A2E4F"/>
    <w:rsid w:val="003A4438"/>
    <w:rsid w:val="003A5013"/>
    <w:rsid w:val="003A5078"/>
    <w:rsid w:val="003A62DD"/>
    <w:rsid w:val="003A775A"/>
    <w:rsid w:val="003B0DAB"/>
    <w:rsid w:val="003B213A"/>
    <w:rsid w:val="003B43AD"/>
    <w:rsid w:val="003C0FEC"/>
    <w:rsid w:val="003C15B8"/>
    <w:rsid w:val="003C2AC8"/>
    <w:rsid w:val="003C46A6"/>
    <w:rsid w:val="003D17F9"/>
    <w:rsid w:val="003D2D88"/>
    <w:rsid w:val="003D40A5"/>
    <w:rsid w:val="003D41EA"/>
    <w:rsid w:val="003D4850"/>
    <w:rsid w:val="003D535A"/>
    <w:rsid w:val="003E2302"/>
    <w:rsid w:val="003E3414"/>
    <w:rsid w:val="003E4BBB"/>
    <w:rsid w:val="003E5265"/>
    <w:rsid w:val="003E5BFA"/>
    <w:rsid w:val="003F0955"/>
    <w:rsid w:val="003F6FE1"/>
    <w:rsid w:val="004003C7"/>
    <w:rsid w:val="00400F00"/>
    <w:rsid w:val="00404F8B"/>
    <w:rsid w:val="004051CF"/>
    <w:rsid w:val="00405256"/>
    <w:rsid w:val="00410031"/>
    <w:rsid w:val="004115A2"/>
    <w:rsid w:val="00415C81"/>
    <w:rsid w:val="00416731"/>
    <w:rsid w:val="00417E55"/>
    <w:rsid w:val="00432378"/>
    <w:rsid w:val="0043761B"/>
    <w:rsid w:val="00440D65"/>
    <w:rsid w:val="004435E6"/>
    <w:rsid w:val="004442EE"/>
    <w:rsid w:val="00447E31"/>
    <w:rsid w:val="00453923"/>
    <w:rsid w:val="00454B9B"/>
    <w:rsid w:val="00457858"/>
    <w:rsid w:val="00460B0B"/>
    <w:rsid w:val="00461023"/>
    <w:rsid w:val="00462FAC"/>
    <w:rsid w:val="00464631"/>
    <w:rsid w:val="00464B79"/>
    <w:rsid w:val="00467BBF"/>
    <w:rsid w:val="004718C6"/>
    <w:rsid w:val="004867E2"/>
    <w:rsid w:val="004929A9"/>
    <w:rsid w:val="004C08CE"/>
    <w:rsid w:val="004C2FEC"/>
    <w:rsid w:val="004C6BCF"/>
    <w:rsid w:val="004D1188"/>
    <w:rsid w:val="004D58BF"/>
    <w:rsid w:val="004E4335"/>
    <w:rsid w:val="004E5ACF"/>
    <w:rsid w:val="004F13EE"/>
    <w:rsid w:val="004F2022"/>
    <w:rsid w:val="004F28E5"/>
    <w:rsid w:val="004F7C05"/>
    <w:rsid w:val="00501C94"/>
    <w:rsid w:val="00506432"/>
    <w:rsid w:val="00510033"/>
    <w:rsid w:val="0051242B"/>
    <w:rsid w:val="00516620"/>
    <w:rsid w:val="0052051D"/>
    <w:rsid w:val="00545EE6"/>
    <w:rsid w:val="005513CC"/>
    <w:rsid w:val="005550E7"/>
    <w:rsid w:val="005564FB"/>
    <w:rsid w:val="005572C7"/>
    <w:rsid w:val="005650ED"/>
    <w:rsid w:val="0057529F"/>
    <w:rsid w:val="00575754"/>
    <w:rsid w:val="00591E20"/>
    <w:rsid w:val="00595408"/>
    <w:rsid w:val="00595ABA"/>
    <w:rsid w:val="00595E84"/>
    <w:rsid w:val="00597D79"/>
    <w:rsid w:val="005A0C59"/>
    <w:rsid w:val="005A48EB"/>
    <w:rsid w:val="005A6CFB"/>
    <w:rsid w:val="005C5AEB"/>
    <w:rsid w:val="005D7F5C"/>
    <w:rsid w:val="005E0A3F"/>
    <w:rsid w:val="005E573F"/>
    <w:rsid w:val="005E58AA"/>
    <w:rsid w:val="005E6883"/>
    <w:rsid w:val="005E772F"/>
    <w:rsid w:val="005F4ECA"/>
    <w:rsid w:val="006041BE"/>
    <w:rsid w:val="006043C7"/>
    <w:rsid w:val="00623163"/>
    <w:rsid w:val="00624B52"/>
    <w:rsid w:val="00631DF4"/>
    <w:rsid w:val="00634175"/>
    <w:rsid w:val="006408AC"/>
    <w:rsid w:val="006511B6"/>
    <w:rsid w:val="00652742"/>
    <w:rsid w:val="00655AD2"/>
    <w:rsid w:val="00657FF8"/>
    <w:rsid w:val="00670D99"/>
    <w:rsid w:val="00670E2B"/>
    <w:rsid w:val="00672743"/>
    <w:rsid w:val="006734BB"/>
    <w:rsid w:val="00681A34"/>
    <w:rsid w:val="006821EB"/>
    <w:rsid w:val="00691D8C"/>
    <w:rsid w:val="006927A3"/>
    <w:rsid w:val="006B18B1"/>
    <w:rsid w:val="006B2286"/>
    <w:rsid w:val="006B56BB"/>
    <w:rsid w:val="006C1124"/>
    <w:rsid w:val="006C77A8"/>
    <w:rsid w:val="006D4098"/>
    <w:rsid w:val="006D7681"/>
    <w:rsid w:val="006D7B2E"/>
    <w:rsid w:val="006E02EA"/>
    <w:rsid w:val="006E0968"/>
    <w:rsid w:val="006E2AF6"/>
    <w:rsid w:val="006E7DD0"/>
    <w:rsid w:val="00701275"/>
    <w:rsid w:val="00707F56"/>
    <w:rsid w:val="00713558"/>
    <w:rsid w:val="00715110"/>
    <w:rsid w:val="00720D08"/>
    <w:rsid w:val="007263B9"/>
    <w:rsid w:val="007278C7"/>
    <w:rsid w:val="007334F8"/>
    <w:rsid w:val="007339CD"/>
    <w:rsid w:val="007359D8"/>
    <w:rsid w:val="007362D4"/>
    <w:rsid w:val="00751A23"/>
    <w:rsid w:val="0075738B"/>
    <w:rsid w:val="0076672A"/>
    <w:rsid w:val="00775E45"/>
    <w:rsid w:val="00776E74"/>
    <w:rsid w:val="007834B4"/>
    <w:rsid w:val="00785169"/>
    <w:rsid w:val="007954AB"/>
    <w:rsid w:val="0079601A"/>
    <w:rsid w:val="007A14C5"/>
    <w:rsid w:val="007A3E38"/>
    <w:rsid w:val="007A4A10"/>
    <w:rsid w:val="007B1760"/>
    <w:rsid w:val="007B3D03"/>
    <w:rsid w:val="007C6D9C"/>
    <w:rsid w:val="007C7DDB"/>
    <w:rsid w:val="007D2CC7"/>
    <w:rsid w:val="007D673D"/>
    <w:rsid w:val="007E4032"/>
    <w:rsid w:val="007E4193"/>
    <w:rsid w:val="007F2220"/>
    <w:rsid w:val="007F4B3E"/>
    <w:rsid w:val="007F588A"/>
    <w:rsid w:val="00800BBF"/>
    <w:rsid w:val="00800C57"/>
    <w:rsid w:val="008127AF"/>
    <w:rsid w:val="00812B46"/>
    <w:rsid w:val="00815700"/>
    <w:rsid w:val="00817B70"/>
    <w:rsid w:val="008264EB"/>
    <w:rsid w:val="00826B8F"/>
    <w:rsid w:val="00831E8A"/>
    <w:rsid w:val="00835C76"/>
    <w:rsid w:val="00843049"/>
    <w:rsid w:val="00846178"/>
    <w:rsid w:val="0085209B"/>
    <w:rsid w:val="00856B66"/>
    <w:rsid w:val="00861A5A"/>
    <w:rsid w:val="00861A5F"/>
    <w:rsid w:val="008644AD"/>
    <w:rsid w:val="00865735"/>
    <w:rsid w:val="00865DDB"/>
    <w:rsid w:val="00867538"/>
    <w:rsid w:val="00873D90"/>
    <w:rsid w:val="00873FC8"/>
    <w:rsid w:val="0088469C"/>
    <w:rsid w:val="00884C63"/>
    <w:rsid w:val="00885908"/>
    <w:rsid w:val="008864B7"/>
    <w:rsid w:val="0089677E"/>
    <w:rsid w:val="00896E8C"/>
    <w:rsid w:val="008A7438"/>
    <w:rsid w:val="008B1334"/>
    <w:rsid w:val="008B336B"/>
    <w:rsid w:val="008C0278"/>
    <w:rsid w:val="008C24E9"/>
    <w:rsid w:val="008D0533"/>
    <w:rsid w:val="008D42CB"/>
    <w:rsid w:val="008D48C9"/>
    <w:rsid w:val="008D5B79"/>
    <w:rsid w:val="008D6381"/>
    <w:rsid w:val="008E0C77"/>
    <w:rsid w:val="008E625F"/>
    <w:rsid w:val="008F264D"/>
    <w:rsid w:val="008F38B4"/>
    <w:rsid w:val="009074E1"/>
    <w:rsid w:val="009106CE"/>
    <w:rsid w:val="009112F7"/>
    <w:rsid w:val="009122AF"/>
    <w:rsid w:val="009127BC"/>
    <w:rsid w:val="00912D54"/>
    <w:rsid w:val="0091389F"/>
    <w:rsid w:val="009208F7"/>
    <w:rsid w:val="0092161E"/>
    <w:rsid w:val="00922517"/>
    <w:rsid w:val="00922722"/>
    <w:rsid w:val="009261E6"/>
    <w:rsid w:val="009268E1"/>
    <w:rsid w:val="00934368"/>
    <w:rsid w:val="00941D81"/>
    <w:rsid w:val="00942200"/>
    <w:rsid w:val="00945E7F"/>
    <w:rsid w:val="0094700A"/>
    <w:rsid w:val="009557C1"/>
    <w:rsid w:val="00960D6E"/>
    <w:rsid w:val="00967329"/>
    <w:rsid w:val="00972BC1"/>
    <w:rsid w:val="00974B59"/>
    <w:rsid w:val="0098340B"/>
    <w:rsid w:val="00986830"/>
    <w:rsid w:val="009924C3"/>
    <w:rsid w:val="00993102"/>
    <w:rsid w:val="00994DA1"/>
    <w:rsid w:val="009C4A39"/>
    <w:rsid w:val="009C6F10"/>
    <w:rsid w:val="009D10C2"/>
    <w:rsid w:val="009D148F"/>
    <w:rsid w:val="009D2657"/>
    <w:rsid w:val="009D3396"/>
    <w:rsid w:val="009D3D70"/>
    <w:rsid w:val="009E423F"/>
    <w:rsid w:val="009E6F7E"/>
    <w:rsid w:val="009E7A57"/>
    <w:rsid w:val="009F4F6A"/>
    <w:rsid w:val="00A04084"/>
    <w:rsid w:val="00A0436A"/>
    <w:rsid w:val="00A16E36"/>
    <w:rsid w:val="00A21BF4"/>
    <w:rsid w:val="00A233C2"/>
    <w:rsid w:val="00A24961"/>
    <w:rsid w:val="00A24B10"/>
    <w:rsid w:val="00A30E9B"/>
    <w:rsid w:val="00A4512D"/>
    <w:rsid w:val="00A50244"/>
    <w:rsid w:val="00A56F17"/>
    <w:rsid w:val="00A627D7"/>
    <w:rsid w:val="00A656C7"/>
    <w:rsid w:val="00A705AF"/>
    <w:rsid w:val="00A72454"/>
    <w:rsid w:val="00A74345"/>
    <w:rsid w:val="00A75EEB"/>
    <w:rsid w:val="00A774A3"/>
    <w:rsid w:val="00A77696"/>
    <w:rsid w:val="00A80557"/>
    <w:rsid w:val="00A81D33"/>
    <w:rsid w:val="00A878B1"/>
    <w:rsid w:val="00A9015C"/>
    <w:rsid w:val="00A930AE"/>
    <w:rsid w:val="00AA1A95"/>
    <w:rsid w:val="00AA260F"/>
    <w:rsid w:val="00AB1EE7"/>
    <w:rsid w:val="00AB4B37"/>
    <w:rsid w:val="00AB5762"/>
    <w:rsid w:val="00AC2679"/>
    <w:rsid w:val="00AC4BE4"/>
    <w:rsid w:val="00AC6BF9"/>
    <w:rsid w:val="00AD05E6"/>
    <w:rsid w:val="00AD09F6"/>
    <w:rsid w:val="00AD0D3F"/>
    <w:rsid w:val="00AD1C5A"/>
    <w:rsid w:val="00AE1D7D"/>
    <w:rsid w:val="00AE2A8B"/>
    <w:rsid w:val="00AE3F64"/>
    <w:rsid w:val="00AF3463"/>
    <w:rsid w:val="00AF3D10"/>
    <w:rsid w:val="00AF7386"/>
    <w:rsid w:val="00AF7934"/>
    <w:rsid w:val="00B00B81"/>
    <w:rsid w:val="00B04580"/>
    <w:rsid w:val="00B04B09"/>
    <w:rsid w:val="00B16A51"/>
    <w:rsid w:val="00B170EB"/>
    <w:rsid w:val="00B25440"/>
    <w:rsid w:val="00B32222"/>
    <w:rsid w:val="00B3618D"/>
    <w:rsid w:val="00B36233"/>
    <w:rsid w:val="00B42851"/>
    <w:rsid w:val="00B45AC7"/>
    <w:rsid w:val="00B52742"/>
    <w:rsid w:val="00B527FE"/>
    <w:rsid w:val="00B5372F"/>
    <w:rsid w:val="00B61129"/>
    <w:rsid w:val="00B6628A"/>
    <w:rsid w:val="00B66EA9"/>
    <w:rsid w:val="00B67E7F"/>
    <w:rsid w:val="00B75A04"/>
    <w:rsid w:val="00B839B2"/>
    <w:rsid w:val="00B849BA"/>
    <w:rsid w:val="00B9339A"/>
    <w:rsid w:val="00B93B29"/>
    <w:rsid w:val="00B94252"/>
    <w:rsid w:val="00B9715A"/>
    <w:rsid w:val="00BA14BE"/>
    <w:rsid w:val="00BA2632"/>
    <w:rsid w:val="00BA2732"/>
    <w:rsid w:val="00BA293D"/>
    <w:rsid w:val="00BA33C3"/>
    <w:rsid w:val="00BA49BC"/>
    <w:rsid w:val="00BA56B7"/>
    <w:rsid w:val="00BA7A1E"/>
    <w:rsid w:val="00BA7CA9"/>
    <w:rsid w:val="00BB2F6C"/>
    <w:rsid w:val="00BB3875"/>
    <w:rsid w:val="00BB5860"/>
    <w:rsid w:val="00BB6AAD"/>
    <w:rsid w:val="00BC0CD8"/>
    <w:rsid w:val="00BC4A19"/>
    <w:rsid w:val="00BC4E6D"/>
    <w:rsid w:val="00BD0617"/>
    <w:rsid w:val="00BD2E9B"/>
    <w:rsid w:val="00BE3F26"/>
    <w:rsid w:val="00BE61DC"/>
    <w:rsid w:val="00BF7AD7"/>
    <w:rsid w:val="00C00930"/>
    <w:rsid w:val="00C060AD"/>
    <w:rsid w:val="00C0670D"/>
    <w:rsid w:val="00C076EB"/>
    <w:rsid w:val="00C113BF"/>
    <w:rsid w:val="00C11CCD"/>
    <w:rsid w:val="00C2176E"/>
    <w:rsid w:val="00C23430"/>
    <w:rsid w:val="00C279EE"/>
    <w:rsid w:val="00C27D67"/>
    <w:rsid w:val="00C34C06"/>
    <w:rsid w:val="00C3753E"/>
    <w:rsid w:val="00C4219C"/>
    <w:rsid w:val="00C4631F"/>
    <w:rsid w:val="00C50E16"/>
    <w:rsid w:val="00C55258"/>
    <w:rsid w:val="00C82EEB"/>
    <w:rsid w:val="00C971DC"/>
    <w:rsid w:val="00CA16B7"/>
    <w:rsid w:val="00CA4BE3"/>
    <w:rsid w:val="00CA54F4"/>
    <w:rsid w:val="00CA62AE"/>
    <w:rsid w:val="00CA62FE"/>
    <w:rsid w:val="00CA7541"/>
    <w:rsid w:val="00CB5768"/>
    <w:rsid w:val="00CB5B1A"/>
    <w:rsid w:val="00CB7CA0"/>
    <w:rsid w:val="00CC220B"/>
    <w:rsid w:val="00CC5C43"/>
    <w:rsid w:val="00CD02AE"/>
    <w:rsid w:val="00CD2A4F"/>
    <w:rsid w:val="00CE03CA"/>
    <w:rsid w:val="00CE14C9"/>
    <w:rsid w:val="00CE22F1"/>
    <w:rsid w:val="00CE50F2"/>
    <w:rsid w:val="00CE6502"/>
    <w:rsid w:val="00CF7D3C"/>
    <w:rsid w:val="00D03933"/>
    <w:rsid w:val="00D05F3D"/>
    <w:rsid w:val="00D126A9"/>
    <w:rsid w:val="00D147EB"/>
    <w:rsid w:val="00D21534"/>
    <w:rsid w:val="00D24181"/>
    <w:rsid w:val="00D25BE0"/>
    <w:rsid w:val="00D34667"/>
    <w:rsid w:val="00D35538"/>
    <w:rsid w:val="00D401E1"/>
    <w:rsid w:val="00D408B4"/>
    <w:rsid w:val="00D423B1"/>
    <w:rsid w:val="00D45D94"/>
    <w:rsid w:val="00D50D11"/>
    <w:rsid w:val="00D524C8"/>
    <w:rsid w:val="00D60E25"/>
    <w:rsid w:val="00D70E24"/>
    <w:rsid w:val="00D72B61"/>
    <w:rsid w:val="00D774E0"/>
    <w:rsid w:val="00D93827"/>
    <w:rsid w:val="00DA2521"/>
    <w:rsid w:val="00DA3D1D"/>
    <w:rsid w:val="00DB0138"/>
    <w:rsid w:val="00DB6286"/>
    <w:rsid w:val="00DB645F"/>
    <w:rsid w:val="00DB76E9"/>
    <w:rsid w:val="00DC0A67"/>
    <w:rsid w:val="00DC197C"/>
    <w:rsid w:val="00DC1D5E"/>
    <w:rsid w:val="00DC2313"/>
    <w:rsid w:val="00DC4EED"/>
    <w:rsid w:val="00DC5220"/>
    <w:rsid w:val="00DC64FF"/>
    <w:rsid w:val="00DC7910"/>
    <w:rsid w:val="00DD2061"/>
    <w:rsid w:val="00DD3E04"/>
    <w:rsid w:val="00DD7DAB"/>
    <w:rsid w:val="00DE3355"/>
    <w:rsid w:val="00DF3773"/>
    <w:rsid w:val="00DF486F"/>
    <w:rsid w:val="00DF5B5B"/>
    <w:rsid w:val="00DF7619"/>
    <w:rsid w:val="00E042D8"/>
    <w:rsid w:val="00E07EE7"/>
    <w:rsid w:val="00E1103B"/>
    <w:rsid w:val="00E17B44"/>
    <w:rsid w:val="00E27FEA"/>
    <w:rsid w:val="00E4086F"/>
    <w:rsid w:val="00E43B3C"/>
    <w:rsid w:val="00E45520"/>
    <w:rsid w:val="00E50188"/>
    <w:rsid w:val="00E515CB"/>
    <w:rsid w:val="00E52260"/>
    <w:rsid w:val="00E52702"/>
    <w:rsid w:val="00E639B6"/>
    <w:rsid w:val="00E6434B"/>
    <w:rsid w:val="00E6463D"/>
    <w:rsid w:val="00E72E9B"/>
    <w:rsid w:val="00E74FDF"/>
    <w:rsid w:val="00E849DA"/>
    <w:rsid w:val="00E9462E"/>
    <w:rsid w:val="00E96F05"/>
    <w:rsid w:val="00EA470E"/>
    <w:rsid w:val="00EA47A7"/>
    <w:rsid w:val="00EA57EB"/>
    <w:rsid w:val="00EB2327"/>
    <w:rsid w:val="00EB3226"/>
    <w:rsid w:val="00EC213A"/>
    <w:rsid w:val="00EC6603"/>
    <w:rsid w:val="00EC7744"/>
    <w:rsid w:val="00ED0DAD"/>
    <w:rsid w:val="00ED0F46"/>
    <w:rsid w:val="00ED2373"/>
    <w:rsid w:val="00ED2A57"/>
    <w:rsid w:val="00EE3E8A"/>
    <w:rsid w:val="00EF155D"/>
    <w:rsid w:val="00EF5E40"/>
    <w:rsid w:val="00EF6ECA"/>
    <w:rsid w:val="00EF79A7"/>
    <w:rsid w:val="00F024E1"/>
    <w:rsid w:val="00F049F6"/>
    <w:rsid w:val="00F06C10"/>
    <w:rsid w:val="00F1096F"/>
    <w:rsid w:val="00F12589"/>
    <w:rsid w:val="00F12595"/>
    <w:rsid w:val="00F12F4F"/>
    <w:rsid w:val="00F134D9"/>
    <w:rsid w:val="00F1403D"/>
    <w:rsid w:val="00F1463F"/>
    <w:rsid w:val="00F21302"/>
    <w:rsid w:val="00F321DE"/>
    <w:rsid w:val="00F33777"/>
    <w:rsid w:val="00F34455"/>
    <w:rsid w:val="00F36B47"/>
    <w:rsid w:val="00F37374"/>
    <w:rsid w:val="00F402EE"/>
    <w:rsid w:val="00F40648"/>
    <w:rsid w:val="00F47DA2"/>
    <w:rsid w:val="00F519FC"/>
    <w:rsid w:val="00F52515"/>
    <w:rsid w:val="00F6239D"/>
    <w:rsid w:val="00F715D2"/>
    <w:rsid w:val="00F7274F"/>
    <w:rsid w:val="00F76FA8"/>
    <w:rsid w:val="00F93F08"/>
    <w:rsid w:val="00F94CED"/>
    <w:rsid w:val="00FA2CEE"/>
    <w:rsid w:val="00FA318C"/>
    <w:rsid w:val="00FB0EB0"/>
    <w:rsid w:val="00FB1558"/>
    <w:rsid w:val="00FB208D"/>
    <w:rsid w:val="00FB6F92"/>
    <w:rsid w:val="00FC026E"/>
    <w:rsid w:val="00FC5124"/>
    <w:rsid w:val="00FD4731"/>
    <w:rsid w:val="00FE31C9"/>
    <w:rsid w:val="00FF0AB0"/>
    <w:rsid w:val="00FF28AC"/>
    <w:rsid w:val="00FF7F62"/>
    <w:rsid w:val="0D680B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00241F"/>
  <w15:docId w15:val="{0DE24E5E-CE19-4DF7-8CC5-AF9C1C201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C46A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BF7AD7"/>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BF7AD7"/>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BF7AD7"/>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BF7AD7"/>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BF7AD7"/>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BF7AD7"/>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BF7AD7"/>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BF7AD7"/>
    <w:rPr>
      <w:i/>
      <w:iCs/>
    </w:rPr>
  </w:style>
  <w:style w:type="character" w:styleId="Strong">
    <w:name w:val="Strong"/>
    <w:basedOn w:val="DefaultParagraphFont"/>
    <w:rsid w:val="00BF7AD7"/>
    <w:rPr>
      <w:b/>
      <w:bCs/>
    </w:rPr>
  </w:style>
  <w:style w:type="paragraph" w:styleId="Subtitle">
    <w:name w:val="Subtitle"/>
    <w:next w:val="Normal"/>
    <w:link w:val="SubtitleChar"/>
    <w:qFormat/>
    <w:rsid w:val="00BF7AD7"/>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BF7AD7"/>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BF7AD7"/>
    <w:pPr>
      <w:spacing w:before="21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BF7AD7"/>
    <w:rPr>
      <w:rFonts w:ascii="Arial" w:eastAsiaTheme="majorEastAsia" w:hAnsi="Arial" w:cstheme="majorBidi"/>
      <w:b/>
      <w:color w:val="3F4A75"/>
      <w:kern w:val="28"/>
      <w:sz w:val="48"/>
      <w:szCs w:val="52"/>
      <w:lang w:eastAsia="en-US"/>
    </w:rPr>
  </w:style>
  <w:style w:type="paragraph" w:styleId="NoSpacing">
    <w:name w:val="No Spacing"/>
    <w:uiPriority w:val="1"/>
    <w:rsid w:val="00BF7AD7"/>
    <w:rPr>
      <w:sz w:val="24"/>
      <w:szCs w:val="24"/>
      <w:lang w:eastAsia="en-US"/>
    </w:rPr>
  </w:style>
  <w:style w:type="character" w:styleId="SubtleEmphasis">
    <w:name w:val="Subtle Emphasis"/>
    <w:basedOn w:val="DefaultParagraphFont"/>
    <w:uiPriority w:val="19"/>
    <w:rsid w:val="00BF7AD7"/>
    <w:rPr>
      <w:i/>
      <w:iCs/>
      <w:color w:val="808080" w:themeColor="text1" w:themeTint="7F"/>
    </w:rPr>
  </w:style>
  <w:style w:type="character" w:styleId="IntenseEmphasis">
    <w:name w:val="Intense Emphasis"/>
    <w:basedOn w:val="DefaultParagraphFont"/>
    <w:uiPriority w:val="21"/>
    <w:rsid w:val="00BF7AD7"/>
    <w:rPr>
      <w:b/>
      <w:bCs/>
      <w:i/>
      <w:iCs/>
      <w:color w:val="3F4A75" w:themeColor="accent1"/>
    </w:rPr>
  </w:style>
  <w:style w:type="paragraph" w:styleId="Quote">
    <w:name w:val="Quote"/>
    <w:next w:val="Normal"/>
    <w:link w:val="QuoteChar"/>
    <w:uiPriority w:val="29"/>
    <w:qFormat/>
    <w:rsid w:val="00BF7AD7"/>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BF7AD7"/>
    <w:rPr>
      <w:rFonts w:ascii="Arial" w:hAnsi="Arial"/>
      <w:i/>
      <w:iCs/>
      <w:color w:val="000000" w:themeColor="text1"/>
      <w:sz w:val="22"/>
      <w:szCs w:val="24"/>
      <w:lang w:eastAsia="en-US"/>
    </w:rPr>
  </w:style>
  <w:style w:type="paragraph" w:styleId="IntenseQuote">
    <w:name w:val="Intense Quote"/>
    <w:next w:val="Normal"/>
    <w:link w:val="IntenseQuoteChar"/>
    <w:uiPriority w:val="30"/>
    <w:rsid w:val="00BF7AD7"/>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BF7AD7"/>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BF7AD7"/>
    <w:rPr>
      <w:smallCaps/>
      <w:color w:val="358189" w:themeColor="accent2"/>
      <w:u w:val="single"/>
    </w:rPr>
  </w:style>
  <w:style w:type="character" w:styleId="IntenseReference">
    <w:name w:val="Intense Reference"/>
    <w:basedOn w:val="DefaultParagraphFont"/>
    <w:uiPriority w:val="32"/>
    <w:rsid w:val="00BF7AD7"/>
    <w:rPr>
      <w:b/>
      <w:bCs/>
      <w:i/>
      <w:smallCaps/>
      <w:color w:val="358189" w:themeColor="accent2"/>
      <w:spacing w:val="5"/>
      <w:u w:val="none"/>
    </w:rPr>
  </w:style>
  <w:style w:type="paragraph" w:styleId="ListBullet2">
    <w:name w:val="List Bullet 2"/>
    <w:basedOn w:val="ListNumber2"/>
    <w:rsid w:val="00BF7AD7"/>
    <w:pPr>
      <w:numPr>
        <w:numId w:val="22"/>
      </w:numPr>
    </w:pPr>
  </w:style>
  <w:style w:type="paragraph" w:styleId="ListNumber2">
    <w:name w:val="List Number 2"/>
    <w:basedOn w:val="ListBullet"/>
    <w:qFormat/>
    <w:rsid w:val="00BF7AD7"/>
    <w:pPr>
      <w:numPr>
        <w:numId w:val="21"/>
      </w:numPr>
    </w:pPr>
  </w:style>
  <w:style w:type="paragraph" w:styleId="ListBullet">
    <w:name w:val="List Bullet"/>
    <w:basedOn w:val="Normal"/>
    <w:qFormat/>
    <w:rsid w:val="00BF7AD7"/>
    <w:pPr>
      <w:numPr>
        <w:numId w:val="20"/>
      </w:numPr>
      <w:tabs>
        <w:tab w:val="left" w:pos="340"/>
        <w:tab w:val="left" w:pos="680"/>
      </w:tabs>
      <w:spacing w:before="60" w:after="60"/>
    </w:pPr>
  </w:style>
  <w:style w:type="paragraph" w:styleId="ListParagraph">
    <w:name w:val="List Paragraph"/>
    <w:basedOn w:val="Normal"/>
    <w:uiPriority w:val="34"/>
    <w:rsid w:val="00BF7AD7"/>
    <w:pPr>
      <w:ind w:left="720"/>
      <w:contextualSpacing/>
    </w:pPr>
  </w:style>
  <w:style w:type="paragraph" w:styleId="ListNumber3">
    <w:name w:val="List Number 3"/>
    <w:aliases w:val="List Third Level"/>
    <w:basedOn w:val="ListNumber2"/>
    <w:rsid w:val="00BF7AD7"/>
    <w:pPr>
      <w:numPr>
        <w:numId w:val="23"/>
      </w:numPr>
      <w:tabs>
        <w:tab w:val="num" w:pos="1440"/>
      </w:tabs>
    </w:pPr>
    <w:rPr>
      <w:rFonts w:eastAsia="Cambria"/>
      <w:color w:val="auto"/>
      <w:szCs w:val="22"/>
      <w:lang w:val="en-US"/>
    </w:rPr>
  </w:style>
  <w:style w:type="paragraph" w:customStyle="1" w:styleId="ImageTitle">
    <w:name w:val="Image Title"/>
    <w:locked/>
    <w:rsid w:val="00BF7AD7"/>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BF7AD7"/>
    <w:rPr>
      <w:rFonts w:ascii="Tahoma" w:hAnsi="Tahoma" w:cs="Tahoma"/>
      <w:sz w:val="16"/>
      <w:szCs w:val="16"/>
    </w:rPr>
  </w:style>
  <w:style w:type="character" w:customStyle="1" w:styleId="BalloonTextChar">
    <w:name w:val="Balloon Text Char"/>
    <w:basedOn w:val="DefaultParagraphFont"/>
    <w:link w:val="BalloonText"/>
    <w:rsid w:val="00BF7AD7"/>
    <w:rPr>
      <w:rFonts w:ascii="Tahoma" w:hAnsi="Tahoma" w:cs="Tahoma"/>
      <w:color w:val="000000" w:themeColor="text1"/>
      <w:sz w:val="16"/>
      <w:szCs w:val="16"/>
      <w:lang w:eastAsia="en-US"/>
    </w:rPr>
  </w:style>
  <w:style w:type="table" w:styleId="TableGrid">
    <w:name w:val="Table Grid"/>
    <w:basedOn w:val="TableNormal"/>
    <w:locked/>
    <w:rsid w:val="00BF7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BF7AD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BF7AD7"/>
    <w:pPr>
      <w:spacing w:before="60" w:after="60"/>
    </w:pPr>
    <w:rPr>
      <w:rFonts w:ascii="Arial" w:hAnsi="Arial"/>
      <w:color w:val="000000" w:themeColor="text1"/>
      <w:sz w:val="21"/>
      <w:szCs w:val="24"/>
      <w:lang w:eastAsia="en-US"/>
    </w:rPr>
  </w:style>
  <w:style w:type="table" w:styleId="TableColumns2">
    <w:name w:val="Table Columns 2"/>
    <w:basedOn w:val="TableNormal"/>
    <w:locked/>
    <w:rsid w:val="00BF7AD7"/>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BF7AD7"/>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BF7AD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BF7AD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BF7AD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BF7AD7"/>
    <w:pPr>
      <w:spacing w:before="120" w:after="120"/>
    </w:pPr>
    <w:rPr>
      <w:rFonts w:ascii="Arial" w:hAnsi="Arial"/>
      <w:b/>
      <w:color w:val="000000" w:themeColor="text1"/>
      <w:sz w:val="22"/>
      <w:szCs w:val="24"/>
      <w:lang w:val="en-US" w:eastAsia="en-US"/>
    </w:rPr>
  </w:style>
  <w:style w:type="paragraph" w:styleId="Header">
    <w:name w:val="header"/>
    <w:link w:val="HeaderChar"/>
    <w:qFormat/>
    <w:rsid w:val="00BF7AD7"/>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F7AD7"/>
    <w:rPr>
      <w:rFonts w:ascii="Arial" w:hAnsi="Arial"/>
      <w:sz w:val="22"/>
      <w:szCs w:val="24"/>
      <w:lang w:eastAsia="en-US"/>
    </w:rPr>
  </w:style>
  <w:style w:type="paragraph" w:styleId="Footer">
    <w:name w:val="footer"/>
    <w:link w:val="FooterChar"/>
    <w:uiPriority w:val="99"/>
    <w:qFormat/>
    <w:rsid w:val="00BF7AD7"/>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F7AD7"/>
    <w:rPr>
      <w:rFonts w:ascii="Arial" w:hAnsi="Arial"/>
      <w:szCs w:val="24"/>
      <w:lang w:eastAsia="en-US"/>
    </w:rPr>
  </w:style>
  <w:style w:type="paragraph" w:customStyle="1" w:styleId="TableHeaderWhite">
    <w:name w:val="Table Header White"/>
    <w:basedOn w:val="Normal"/>
    <w:next w:val="Tabletextleft"/>
    <w:qFormat/>
    <w:rsid w:val="00BF7AD7"/>
    <w:pPr>
      <w:spacing w:before="80" w:after="80"/>
    </w:pPr>
    <w:rPr>
      <w:rFonts w:eastAsia="Cambria"/>
      <w:b/>
      <w:color w:val="FFFFFF" w:themeColor="background1"/>
      <w:szCs w:val="22"/>
      <w:lang w:val="en-US"/>
    </w:rPr>
  </w:style>
  <w:style w:type="table" w:styleId="TableGrid7">
    <w:name w:val="Table Grid 7"/>
    <w:basedOn w:val="TableNormal"/>
    <w:locked/>
    <w:rsid w:val="00BF7AD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BF7AD7"/>
    <w:pPr>
      <w:spacing w:before="60"/>
    </w:pPr>
    <w:rPr>
      <w:rFonts w:cs="Arial"/>
      <w:b/>
      <w:sz w:val="20"/>
    </w:rPr>
  </w:style>
  <w:style w:type="paragraph" w:customStyle="1" w:styleId="FigureTitle">
    <w:name w:val="Figure Title"/>
    <w:next w:val="Normal"/>
    <w:qFormat/>
    <w:rsid w:val="00BF7AD7"/>
    <w:pPr>
      <w:spacing w:before="120" w:after="120"/>
    </w:pPr>
    <w:rPr>
      <w:rFonts w:ascii="Arial" w:hAnsi="Arial" w:cs="Arial"/>
      <w:b/>
      <w:bCs/>
      <w:iCs/>
      <w:color w:val="000000" w:themeColor="text1"/>
      <w:sz w:val="22"/>
      <w:szCs w:val="22"/>
      <w:lang w:eastAsia="en-US"/>
    </w:rPr>
  </w:style>
  <w:style w:type="paragraph" w:styleId="NormalWeb">
    <w:name w:val="Normal (Web)"/>
    <w:basedOn w:val="Normal"/>
    <w:uiPriority w:val="99"/>
    <w:unhideWhenUsed/>
    <w:rsid w:val="00BF7AD7"/>
    <w:pPr>
      <w:spacing w:before="100" w:beforeAutospacing="1" w:after="100" w:afterAutospacing="1"/>
    </w:pPr>
    <w:rPr>
      <w:rFonts w:ascii="Times New Roman" w:hAnsi="Times New Roman"/>
      <w:sz w:val="24"/>
      <w:lang w:eastAsia="en-AU"/>
    </w:rPr>
  </w:style>
  <w:style w:type="paragraph" w:customStyle="1" w:styleId="Headertext">
    <w:name w:val="Header text"/>
    <w:rsid w:val="00BF7AD7"/>
    <w:pPr>
      <w:jc w:val="right"/>
    </w:pPr>
    <w:rPr>
      <w:rFonts w:ascii="Arial" w:hAnsi="Arial"/>
      <w:szCs w:val="24"/>
      <w:lang w:eastAsia="en-US"/>
    </w:rPr>
  </w:style>
  <w:style w:type="character" w:styleId="Hyperlink">
    <w:name w:val="Hyperlink"/>
    <w:basedOn w:val="DefaultParagraphFont"/>
    <w:uiPriority w:val="99"/>
    <w:qFormat/>
    <w:rsid w:val="00BF7AD7"/>
    <w:rPr>
      <w:color w:val="0000FF" w:themeColor="hyperlink"/>
      <w:u w:val="single"/>
    </w:rPr>
  </w:style>
  <w:style w:type="table" w:customStyle="1" w:styleId="PHNGreyTable">
    <w:name w:val="PHN Grey Table"/>
    <w:basedOn w:val="TableNormal"/>
    <w:uiPriority w:val="99"/>
    <w:rsid w:val="00BF7AD7"/>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BF7AD7"/>
    <w:pPr>
      <w:numPr>
        <w:numId w:val="24"/>
      </w:numPr>
    </w:pPr>
    <w:rPr>
      <w:szCs w:val="20"/>
    </w:rPr>
  </w:style>
  <w:style w:type="paragraph" w:customStyle="1" w:styleId="Tablelistnumber">
    <w:name w:val="Table list number"/>
    <w:basedOn w:val="Tabletextleft"/>
    <w:qFormat/>
    <w:rsid w:val="00BF7AD7"/>
    <w:pPr>
      <w:numPr>
        <w:numId w:val="25"/>
      </w:numPr>
    </w:pPr>
    <w:rPr>
      <w:bCs/>
      <w14:numSpacing w14:val="proportional"/>
    </w:rPr>
  </w:style>
  <w:style w:type="paragraph" w:customStyle="1" w:styleId="TableHeader">
    <w:name w:val="Table Header"/>
    <w:basedOn w:val="Normal"/>
    <w:next w:val="Tabletextleft"/>
    <w:qFormat/>
    <w:rsid w:val="00BF7AD7"/>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BF7AD7"/>
    <w:rPr>
      <w:szCs w:val="32"/>
    </w:rPr>
  </w:style>
  <w:style w:type="paragraph" w:styleId="FootnoteText">
    <w:name w:val="footnote text"/>
    <w:link w:val="FootnoteTextChar"/>
    <w:rsid w:val="00BF7AD7"/>
    <w:rPr>
      <w:rFonts w:ascii="Arial" w:hAnsi="Arial"/>
      <w:lang w:eastAsia="en-US"/>
    </w:rPr>
  </w:style>
  <w:style w:type="character" w:customStyle="1" w:styleId="FootnoteTextChar">
    <w:name w:val="Footnote Text Char"/>
    <w:basedOn w:val="DefaultParagraphFont"/>
    <w:link w:val="FootnoteText"/>
    <w:rsid w:val="00BF7AD7"/>
    <w:rPr>
      <w:rFonts w:ascii="Arial" w:hAnsi="Arial"/>
      <w:lang w:eastAsia="en-US"/>
    </w:rPr>
  </w:style>
  <w:style w:type="paragraph" w:styleId="Caption">
    <w:name w:val="caption"/>
    <w:basedOn w:val="Normal"/>
    <w:next w:val="Normal"/>
    <w:unhideWhenUsed/>
    <w:rsid w:val="00BF7AD7"/>
    <w:pPr>
      <w:spacing w:after="200"/>
    </w:pPr>
    <w:rPr>
      <w:b/>
      <w:bCs/>
      <w:color w:val="3F4A75" w:themeColor="accent1"/>
      <w:sz w:val="18"/>
      <w:szCs w:val="18"/>
    </w:rPr>
  </w:style>
  <w:style w:type="paragraph" w:customStyle="1" w:styleId="VisionBox">
    <w:name w:val="VisionBox"/>
    <w:basedOn w:val="Normal"/>
    <w:qFormat/>
    <w:rsid w:val="00BF7AD7"/>
    <w:pPr>
      <w:pBdr>
        <w:top w:val="single" w:sz="4" w:space="15" w:color="358189"/>
        <w:bottom w:val="single" w:sz="4" w:space="10" w:color="358189"/>
      </w:pBdr>
      <w:spacing w:before="240" w:after="240" w:line="340" w:lineRule="exact"/>
    </w:pPr>
    <w:rPr>
      <w:rFonts w:eastAsiaTheme="minorHAnsi"/>
      <w:color w:val="358189"/>
    </w:rPr>
  </w:style>
  <w:style w:type="paragraph" w:customStyle="1" w:styleId="Style1">
    <w:name w:val="Style1"/>
    <w:next w:val="Normal"/>
    <w:rsid w:val="00BF7AD7"/>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BF7AD7"/>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table" w:customStyle="1" w:styleId="DepartmentofHealthtable">
    <w:name w:val="Department of Health table"/>
    <w:basedOn w:val="TableNormal"/>
    <w:uiPriority w:val="99"/>
    <w:rsid w:val="00BF7AD7"/>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BF7AD7"/>
    <w:rPr>
      <w:rFonts w:ascii="Arial" w:hAnsi="Arial"/>
      <w:b/>
      <w:color w:val="000000" w:themeColor="text1"/>
      <w:sz w:val="22"/>
      <w:szCs w:val="24"/>
      <w:lang w:val="en-US" w:eastAsia="en-US"/>
    </w:rPr>
  </w:style>
  <w:style w:type="paragraph" w:customStyle="1" w:styleId="IntroPara">
    <w:name w:val="Intro Para"/>
    <w:basedOn w:val="Normal"/>
    <w:next w:val="Normal"/>
    <w:qFormat/>
    <w:rsid w:val="00BF7AD7"/>
    <w:pPr>
      <w:spacing w:before="480" w:line="400" w:lineRule="exact"/>
    </w:pPr>
    <w:rPr>
      <w:color w:val="358189"/>
      <w:sz w:val="28"/>
    </w:rPr>
  </w:style>
  <w:style w:type="paragraph" w:customStyle="1" w:styleId="TableTextright">
    <w:name w:val="Table Text right"/>
    <w:basedOn w:val="Tabletextleft"/>
    <w:rsid w:val="00BF7AD7"/>
    <w:pPr>
      <w:jc w:val="right"/>
    </w:pPr>
  </w:style>
  <w:style w:type="paragraph" w:customStyle="1" w:styleId="Tabletextright0">
    <w:name w:val="Table text right"/>
    <w:basedOn w:val="Tabletextleft"/>
    <w:rsid w:val="00BF7AD7"/>
    <w:pPr>
      <w:jc w:val="right"/>
    </w:pPr>
  </w:style>
  <w:style w:type="paragraph" w:customStyle="1" w:styleId="Tabletextcentre">
    <w:name w:val="Table text centre"/>
    <w:basedOn w:val="Tabletextleft"/>
    <w:rsid w:val="00BF7AD7"/>
    <w:pPr>
      <w:jc w:val="center"/>
    </w:pPr>
  </w:style>
  <w:style w:type="paragraph" w:customStyle="1" w:styleId="Boxheading">
    <w:name w:val="Box heading"/>
    <w:basedOn w:val="Boxtype"/>
    <w:qFormat/>
    <w:rsid w:val="00BF7AD7"/>
    <w:pPr>
      <w:spacing w:before="240"/>
    </w:pPr>
    <w:rPr>
      <w:rFonts w:cs="Times New Roman"/>
      <w:b/>
      <w:bCs/>
      <w:caps/>
      <w:color w:val="358189"/>
      <w:szCs w:val="20"/>
    </w:rPr>
  </w:style>
  <w:style w:type="paragraph" w:customStyle="1" w:styleId="Boxtype">
    <w:name w:val="Box type"/>
    <w:next w:val="Normal"/>
    <w:qFormat/>
    <w:rsid w:val="00BF7AD7"/>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paragraph" w:styleId="BodyText">
    <w:name w:val="Body Text"/>
    <w:basedOn w:val="Normal"/>
    <w:link w:val="BodyTextChar"/>
    <w:semiHidden/>
    <w:unhideWhenUsed/>
    <w:rsid w:val="00BF7AD7"/>
  </w:style>
  <w:style w:type="character" w:customStyle="1" w:styleId="BodyTextChar">
    <w:name w:val="Body Text Char"/>
    <w:basedOn w:val="DefaultParagraphFont"/>
    <w:link w:val="BodyText"/>
    <w:semiHidden/>
    <w:rsid w:val="00BF7AD7"/>
    <w:rPr>
      <w:rFonts w:ascii="Arial" w:hAnsi="Arial"/>
      <w:color w:val="000000" w:themeColor="text1"/>
      <w:sz w:val="22"/>
      <w:szCs w:val="24"/>
      <w:lang w:eastAsia="en-US"/>
    </w:rPr>
  </w:style>
  <w:style w:type="paragraph" w:customStyle="1" w:styleId="Footerrightpage">
    <w:name w:val="Footer right page"/>
    <w:basedOn w:val="Footer"/>
    <w:rsid w:val="00BF7AD7"/>
  </w:style>
  <w:style w:type="character" w:customStyle="1" w:styleId="Heading7Char">
    <w:name w:val="Heading 7 Char"/>
    <w:basedOn w:val="DefaultParagraphFont"/>
    <w:link w:val="Heading7"/>
    <w:semiHidden/>
    <w:rsid w:val="00BF7AD7"/>
    <w:rPr>
      <w:rFonts w:ascii="Arial" w:eastAsiaTheme="majorEastAsia" w:hAnsi="Arial" w:cstheme="majorBidi"/>
      <w:b/>
      <w:i/>
      <w:iCs/>
      <w:color w:val="1F243A" w:themeColor="accent1" w:themeShade="7F"/>
      <w:sz w:val="22"/>
      <w:szCs w:val="24"/>
      <w:lang w:eastAsia="en-US"/>
    </w:rPr>
  </w:style>
  <w:style w:type="paragraph" w:customStyle="1" w:styleId="URL">
    <w:name w:val="URL"/>
    <w:basedOn w:val="Normal"/>
    <w:rsid w:val="00BF7AD7"/>
    <w:pPr>
      <w:spacing w:before="3120"/>
      <w:jc w:val="center"/>
    </w:pPr>
    <w:rPr>
      <w:b/>
      <w:bCs/>
      <w:sz w:val="24"/>
      <w:szCs w:val="20"/>
    </w:rPr>
  </w:style>
  <w:style w:type="paragraph" w:customStyle="1" w:styleId="TableParagraph">
    <w:name w:val="Table Paragraph"/>
    <w:basedOn w:val="Normal"/>
    <w:uiPriority w:val="1"/>
    <w:qFormat/>
    <w:rsid w:val="0010449B"/>
    <w:pPr>
      <w:widowControl w:val="0"/>
      <w:autoSpaceDE w:val="0"/>
      <w:autoSpaceDN w:val="0"/>
      <w:spacing w:before="121" w:after="0" w:line="240" w:lineRule="auto"/>
      <w:ind w:left="107"/>
    </w:pPr>
    <w:rPr>
      <w:rFonts w:ascii="Calibri" w:eastAsia="Calibri" w:hAnsi="Calibri" w:cs="Calibri"/>
      <w:color w:val="auto"/>
      <w:szCs w:val="22"/>
    </w:rPr>
  </w:style>
  <w:style w:type="character" w:styleId="UnresolvedMention">
    <w:name w:val="Unresolved Mention"/>
    <w:basedOn w:val="DefaultParagraphFont"/>
    <w:uiPriority w:val="99"/>
    <w:semiHidden/>
    <w:unhideWhenUsed/>
    <w:rsid w:val="0010449B"/>
    <w:rPr>
      <w:color w:val="605E5C"/>
      <w:shd w:val="clear" w:color="auto" w:fill="E1DFDD"/>
    </w:rPr>
  </w:style>
  <w:style w:type="character" w:styleId="CommentReference">
    <w:name w:val="annotation reference"/>
    <w:basedOn w:val="DefaultParagraphFont"/>
    <w:semiHidden/>
    <w:unhideWhenUsed/>
    <w:rsid w:val="00D24181"/>
    <w:rPr>
      <w:sz w:val="16"/>
      <w:szCs w:val="16"/>
    </w:rPr>
  </w:style>
  <w:style w:type="paragraph" w:styleId="CommentText">
    <w:name w:val="annotation text"/>
    <w:basedOn w:val="Normal"/>
    <w:link w:val="CommentTextChar"/>
    <w:unhideWhenUsed/>
    <w:rsid w:val="00D24181"/>
    <w:pPr>
      <w:spacing w:line="240" w:lineRule="auto"/>
    </w:pPr>
    <w:rPr>
      <w:sz w:val="20"/>
      <w:szCs w:val="20"/>
    </w:rPr>
  </w:style>
  <w:style w:type="character" w:customStyle="1" w:styleId="CommentTextChar">
    <w:name w:val="Comment Text Char"/>
    <w:basedOn w:val="DefaultParagraphFont"/>
    <w:link w:val="CommentText"/>
    <w:rsid w:val="00D24181"/>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D24181"/>
    <w:rPr>
      <w:b/>
      <w:bCs/>
    </w:rPr>
  </w:style>
  <w:style w:type="character" w:customStyle="1" w:styleId="CommentSubjectChar">
    <w:name w:val="Comment Subject Char"/>
    <w:basedOn w:val="CommentTextChar"/>
    <w:link w:val="CommentSubject"/>
    <w:semiHidden/>
    <w:rsid w:val="00D24181"/>
    <w:rPr>
      <w:rFonts w:ascii="Arial" w:hAnsi="Arial"/>
      <w:b/>
      <w:bCs/>
      <w:color w:val="000000" w:themeColor="text1"/>
      <w:lang w:eastAsia="en-US"/>
    </w:rPr>
  </w:style>
  <w:style w:type="paragraph" w:styleId="Revision">
    <w:name w:val="Revision"/>
    <w:hidden/>
    <w:uiPriority w:val="99"/>
    <w:semiHidden/>
    <w:rsid w:val="00846178"/>
    <w:rPr>
      <w:rFonts w:ascii="Arial" w:hAnsi="Arial"/>
      <w:color w:val="000000" w:themeColor="text1"/>
      <w:sz w:val="22"/>
      <w:szCs w:val="24"/>
      <w:lang w:eastAsia="en-US"/>
    </w:rPr>
  </w:style>
  <w:style w:type="character" w:styleId="FollowedHyperlink">
    <w:name w:val="FollowedHyperlink"/>
    <w:basedOn w:val="DefaultParagraphFont"/>
    <w:semiHidden/>
    <w:unhideWhenUsed/>
    <w:rsid w:val="00994D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JONEOR/AppData/Local/Microsoft/Windows/INetCache/Content.Outlook/HTSER82H/www.health.gov.au/resources/publications/procedure-guidance-for-medicines-funded-through-the-life-saving-drugs-program-lsd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bs.gov.au/info/industry/listing/elements/pbac-meetings/psd/2023-07/Olipudase-alfa-PSD-July-2023"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gzh\Downloads\Department%20of%20Health,%20Disability%20and%20Ageing%20short%20document%20templat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4D0FC35DC9E34EA7AB105301F29450" ma:contentTypeVersion="10" ma:contentTypeDescription="Create a new document." ma:contentTypeScope="" ma:versionID="0b83858082845d2dbd9a00c08b83d552">
  <xsd:schema xmlns:xsd="http://www.w3.org/2001/XMLSchema" xmlns:xs="http://www.w3.org/2001/XMLSchema" xmlns:p="http://schemas.microsoft.com/office/2006/metadata/properties" xmlns:ns2="bdbdc4ef-7f96-497f-a6a4-5f61cc6fe2ac" xmlns:ns3="5cfd8e6c-a1bb-49c6-b30c-cb65a3225c75" targetNamespace="http://schemas.microsoft.com/office/2006/metadata/properties" ma:root="true" ma:fieldsID="e23a3bc173d3106b5f50575209efdee7" ns2:_="" ns3:_="">
    <xsd:import namespace="bdbdc4ef-7f96-497f-a6a4-5f61cc6fe2ac"/>
    <xsd:import namespace="5cfd8e6c-a1bb-49c6-b30c-cb65a3225c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bdc4ef-7f96-497f-a6a4-5f61cc6fe2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fd8e6c-a1bb-49c6-b30c-cb65a3225c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5cfd8e6c-a1bb-49c6-b30c-cb65a3225c75">
      <UserInfo>
        <DisplayName>DESA, Katarina</DisplayName>
        <AccountId>499</AccountId>
        <AccountType/>
      </UserInfo>
    </SharedWithUsers>
  </documentManagement>
</p:properties>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84C4711E-3D48-4C79-ABD4-CF567C9FE7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bdc4ef-7f96-497f-a6a4-5f61cc6fe2ac"/>
    <ds:schemaRef ds:uri="5cfd8e6c-a1bb-49c6-b30c-cb65a3225c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B9117E-35B3-4AB3-A88F-834EF93E30D0}">
  <ds:schemaRefs>
    <ds:schemaRef ds:uri="http://schemas.openxmlformats.org/officeDocument/2006/bibliography"/>
  </ds:schemaRefs>
</ds:datastoreItem>
</file>

<file path=customXml/itemProps4.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5cfd8e6c-a1bb-49c6-b30c-cb65a3225c75"/>
  </ds:schemaRefs>
</ds:datastoreItem>
</file>

<file path=docMetadata/LabelInfo.xml><?xml version="1.0" encoding="utf-8"?>
<clbl:labelList xmlns:clbl="http://schemas.microsoft.com/office/2020/mipLabelMetadata">
  <clbl:label id="{9e3dcb88-8425-4e1d-b1a3-bd5572915bbc}" enabled="1" method="Privileged" siteId="{aca3c8d6-aa71-4e1a-a10e-03572fc58c0b}" removed="0"/>
</clbl:labelList>
</file>

<file path=docProps/app.xml><?xml version="1.0" encoding="utf-8"?>
<Properties xmlns="http://schemas.openxmlformats.org/officeDocument/2006/extended-properties" xmlns:vt="http://schemas.openxmlformats.org/officeDocument/2006/docPropsVTypes">
  <Template>Department of Health, Disability and Ageing short document template.dotx</Template>
  <TotalTime>91</TotalTime>
  <Pages>5</Pages>
  <Words>1524</Words>
  <Characters>8478</Characters>
  <Application>Microsoft Office Word</Application>
  <DocSecurity>0</DocSecurity>
  <Lines>213</Lines>
  <Paragraphs>62</Paragraphs>
  <ScaleCrop>false</ScaleCrop>
  <HeadingPairs>
    <vt:vector size="2" baseType="variant">
      <vt:variant>
        <vt:lpstr>Title</vt:lpstr>
      </vt:variant>
      <vt:variant>
        <vt:i4>1</vt:i4>
      </vt:variant>
    </vt:vector>
  </HeadingPairs>
  <TitlesOfParts>
    <vt:vector size="1" baseType="lpstr">
      <vt:lpstr>Short document template</vt:lpstr>
    </vt:vector>
  </TitlesOfParts>
  <Company/>
  <LinksUpToDate>false</LinksUpToDate>
  <CharactersWithSpaces>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 document template</dc:title>
  <dc:creator>DONG, Zhiyuan</dc:creator>
  <cp:lastModifiedBy>GIRDWOOD, David</cp:lastModifiedBy>
  <cp:revision>32</cp:revision>
  <cp:lastPrinted>2022-06-22T22:44:00Z</cp:lastPrinted>
  <dcterms:created xsi:type="dcterms:W3CDTF">2025-12-14T22:01:00Z</dcterms:created>
  <dcterms:modified xsi:type="dcterms:W3CDTF">2026-01-27T21:30:00Z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0x0101002E4D0FC35DC9E34EA7AB105301F29450</vt:lpwstr>
  </property>
  <property fmtid="{D5CDD505-2E9C-101B-9397-08002B2CF9AE}" pid="5" name="Section">
    <vt:lpwstr>5;#PCPD CC Corporate Communication SN|73cff0d0-7b20-43e0-ad96-75a3b55de641</vt:lpwstr>
  </property>
  <property fmtid="{D5CDD505-2E9C-101B-9397-08002B2CF9AE}" pid="6" name="_dlc_DocIdItemGuid">
    <vt:lpwstr>31723939-1f5e-4599-b4f5-97a6898c18a2</vt:lpwstr>
  </property>
  <property fmtid="{D5CDD505-2E9C-101B-9397-08002B2CF9AE}" pid="7" name="Keywords1">
    <vt:lpwstr>4;#Visual identity|a54ebda2-a0fd-45ec-8fc0-1cf31001b526;#4;# Publication|ceddc8ea-8859-47b3-b823-3ba7a7ee3d12</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Visual identity|a54ebda2-a0fd-45ec-8fc0-1cf31001b526; Publication|ceddc8ea-8859-47b3-b823-3ba7a7ee3d12</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SharedWithUsers">
    <vt:lpwstr>499;#DESA, Katarina</vt:lpwstr>
  </property>
  <property fmtid="{D5CDD505-2E9C-101B-9397-08002B2CF9AE}" pid="20" name="Int_x002d_Contact">
    <vt:lpwstr/>
  </property>
  <property fmtid="{D5CDD505-2E9C-101B-9397-08002B2CF9AE}" pid="21" name="Int-Contact">
    <vt:lpwstr>89;#|08e901f7-7c65-407e-b680-5c7872e4b1fa</vt:lpwstr>
  </property>
  <property fmtid="{D5CDD505-2E9C-101B-9397-08002B2CF9AE}" pid="22" name="Int-InformationType">
    <vt:lpwstr>42;#|0635ea83-9a41-497c-9b11-d9d7178dcab7</vt:lpwstr>
  </property>
  <property fmtid="{D5CDD505-2E9C-101B-9397-08002B2CF9AE}" pid="23" name="Int-Topics">
    <vt:lpwstr>4;#visual identity|a54ebda2-a0fd-45ec-8fc0-1cf31001b526</vt:lpwstr>
  </property>
  <property fmtid="{D5CDD505-2E9C-101B-9397-08002B2CF9AE}" pid="24" name="lcf76f155ced4ddcb4097134ff3c332f">
    <vt:lpwstr/>
  </property>
  <property fmtid="{D5CDD505-2E9C-101B-9397-08002B2CF9AE}" pid="25" name="ClassificationContentMarkingHeaderShapeIds">
    <vt:lpwstr>6c24855b,366a7746,5eea0626,35c0154f,54c33149,7399f2f,2d42559f</vt:lpwstr>
  </property>
  <property fmtid="{D5CDD505-2E9C-101B-9397-08002B2CF9AE}" pid="26" name="ClassificationContentMarkingHeaderFontProps">
    <vt:lpwstr>#4a569e,10,Aptos</vt:lpwstr>
  </property>
  <property fmtid="{D5CDD505-2E9C-101B-9397-08002B2CF9AE}" pid="27" name="ClassificationContentMarkingHeaderText">
    <vt:lpwstr>Internal</vt:lpwstr>
  </property>
  <property fmtid="{D5CDD505-2E9C-101B-9397-08002B2CF9AE}" pid="28" name="ClassificationContentMarkingFooterShapeIds">
    <vt:lpwstr>f92e1c6,5f71b5cc,4bf07da0,6c1cf218</vt:lpwstr>
  </property>
  <property fmtid="{D5CDD505-2E9C-101B-9397-08002B2CF9AE}" pid="29" name="ClassificationContentMarkingFooterFontProps">
    <vt:lpwstr>#ff0000,12,Aptos</vt:lpwstr>
  </property>
  <property fmtid="{D5CDD505-2E9C-101B-9397-08002B2CF9AE}" pid="30" name="ClassificationContentMarkingFooterText">
    <vt:lpwstr>OFFICIAL</vt:lpwstr>
  </property>
  <property fmtid="{D5CDD505-2E9C-101B-9397-08002B2CF9AE}" pid="31" name="MSIP_Label_7cd3e8b9-ffed-43a8-b7f4-cc2fa0382d36_Enabled">
    <vt:lpwstr>true</vt:lpwstr>
  </property>
  <property fmtid="{D5CDD505-2E9C-101B-9397-08002B2CF9AE}" pid="32" name="MSIP_Label_7cd3e8b9-ffed-43a8-b7f4-cc2fa0382d36_SetDate">
    <vt:lpwstr>2025-11-19T22:48:57Z</vt:lpwstr>
  </property>
  <property fmtid="{D5CDD505-2E9C-101B-9397-08002B2CF9AE}" pid="33" name="MSIP_Label_7cd3e8b9-ffed-43a8-b7f4-cc2fa0382d36_Method">
    <vt:lpwstr>Privileged</vt:lpwstr>
  </property>
  <property fmtid="{D5CDD505-2E9C-101B-9397-08002B2CF9AE}" pid="34" name="MSIP_Label_7cd3e8b9-ffed-43a8-b7f4-cc2fa0382d36_Name">
    <vt:lpwstr>O</vt:lpwstr>
  </property>
  <property fmtid="{D5CDD505-2E9C-101B-9397-08002B2CF9AE}" pid="35" name="MSIP_Label_7cd3e8b9-ffed-43a8-b7f4-cc2fa0382d36_SiteId">
    <vt:lpwstr>34a3929c-73cf-4954-abfe-147dc3517892</vt:lpwstr>
  </property>
  <property fmtid="{D5CDD505-2E9C-101B-9397-08002B2CF9AE}" pid="36" name="MSIP_Label_7cd3e8b9-ffed-43a8-b7f4-cc2fa0382d36_ActionId">
    <vt:lpwstr>c4192235-2d81-4e87-adcd-7d52b3f98f43</vt:lpwstr>
  </property>
  <property fmtid="{D5CDD505-2E9C-101B-9397-08002B2CF9AE}" pid="37" name="MSIP_Label_7cd3e8b9-ffed-43a8-b7f4-cc2fa0382d36_ContentBits">
    <vt:lpwstr>3</vt:lpwstr>
  </property>
  <property fmtid="{D5CDD505-2E9C-101B-9397-08002B2CF9AE}" pid="38" name="MSIP_Label_7cd3e8b9-ffed-43a8-b7f4-cc2fa0382d36_Tag">
    <vt:lpwstr>10, 0, 1, 1</vt:lpwstr>
  </property>
</Properties>
</file>