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565E" w14:textId="783CE5AD" w:rsidR="008376E2" w:rsidRPr="008376E2" w:rsidRDefault="00AA4BCB" w:rsidP="00F63BB1">
      <w:pPr>
        <w:pStyle w:val="Title"/>
        <w:sectPr w:rsidR="008376E2" w:rsidRPr="008376E2" w:rsidSect="0002262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709" w:gutter="0"/>
          <w:cols w:space="708"/>
          <w:titlePg/>
          <w:docGrid w:linePitch="360"/>
        </w:sectPr>
      </w:pPr>
      <w:r w:rsidRPr="00AA4BCB">
        <w:t>Guidelines for the treatment of</w:t>
      </w:r>
      <w:r>
        <w:t xml:space="preserve"> hereditary</w:t>
      </w:r>
      <w:r w:rsidR="00BB6DF0">
        <w:t> </w:t>
      </w:r>
      <w:proofErr w:type="spellStart"/>
      <w:r>
        <w:t>tyrosinaemia</w:t>
      </w:r>
      <w:proofErr w:type="spellEnd"/>
      <w:r>
        <w:t xml:space="preserve"> (</w:t>
      </w:r>
      <w:r w:rsidR="009C06F7">
        <w:t>type 1</w:t>
      </w:r>
      <w:r w:rsidRPr="00AA4BCB">
        <w:t>) through the Life</w:t>
      </w:r>
      <w:r w:rsidR="00BB6DF0">
        <w:t> </w:t>
      </w:r>
      <w:r w:rsidRPr="00AA4BCB">
        <w:t>Saving Drugs Program</w:t>
      </w:r>
    </w:p>
    <w:p w14:paraId="755917BB" w14:textId="2A37F55D" w:rsidR="00A437C2" w:rsidRPr="00F63BB1" w:rsidRDefault="00A437C2" w:rsidP="00F63BB1">
      <w:pPr>
        <w:pStyle w:val="Heading1"/>
      </w:pPr>
      <w:r w:rsidRPr="00AA4BCB">
        <w:t>Life Saving Drugs Program</w:t>
      </w:r>
    </w:p>
    <w:p w14:paraId="75F05AFD" w14:textId="79D4F319" w:rsidR="00AA4BCB" w:rsidRPr="00F63BB1" w:rsidRDefault="00AA4BCB" w:rsidP="00F63BB1">
      <w:pPr>
        <w:pStyle w:val="Heading2"/>
      </w:pPr>
      <w:r w:rsidRPr="00AA4BCB">
        <w:t>About th</w:t>
      </w:r>
      <w:r w:rsidR="00A437C2">
        <w:t>is</w:t>
      </w:r>
      <w:r w:rsidRPr="00AA4BCB">
        <w:t xml:space="preserve"> </w:t>
      </w:r>
      <w:r w:rsidR="00A437C2">
        <w:t>program</w:t>
      </w:r>
    </w:p>
    <w:p w14:paraId="20DF9812" w14:textId="157015D8" w:rsidR="00AA4BCB" w:rsidRPr="00B77F7F" w:rsidRDefault="00AA4BCB" w:rsidP="00B77F7F">
      <w:r w:rsidRPr="00B77F7F">
        <w:t>Through the Life Saving Drugs Program (LSDP), the Australian Government provides subsidised access for eligible patients to expensive life</w:t>
      </w:r>
      <w:r w:rsidR="00A437C2" w:rsidRPr="00B77F7F">
        <w:t>-</w:t>
      </w:r>
      <w:r w:rsidRPr="00B77F7F">
        <w:t xml:space="preserve">saving </w:t>
      </w:r>
      <w:r w:rsidR="00A144F6" w:rsidRPr="00B77F7F">
        <w:t>medicines</w:t>
      </w:r>
      <w:r w:rsidRPr="00B77F7F">
        <w:t>.</w:t>
      </w:r>
    </w:p>
    <w:p w14:paraId="3CD99D44" w14:textId="77777777" w:rsidR="00A437C2" w:rsidRDefault="00A437C2" w:rsidP="00DF0C60">
      <w:pPr>
        <w:pStyle w:val="Heading2"/>
      </w:pPr>
      <w:r w:rsidRPr="00A437C2">
        <w:t>Purpose of this document</w:t>
      </w:r>
    </w:p>
    <w:p w14:paraId="0373126C" w14:textId="10CEB773" w:rsidR="00A437C2" w:rsidRPr="00B77F7F" w:rsidRDefault="00A437C2" w:rsidP="00B77F7F">
      <w:r w:rsidRPr="00B77F7F">
        <w:t xml:space="preserve">This document provides guidance for treating physicians with relevant specialist registration who wish to apply for their patients to receive access to subsidised treatment for </w:t>
      </w:r>
      <w:r w:rsidR="009C06F7" w:rsidRPr="00B77F7F">
        <w:t>h</w:t>
      </w:r>
      <w:r w:rsidRPr="00B77F7F">
        <w:t xml:space="preserve">ereditary </w:t>
      </w:r>
      <w:proofErr w:type="spellStart"/>
      <w:r w:rsidR="009C06F7" w:rsidRPr="00B77F7F">
        <w:t>t</w:t>
      </w:r>
      <w:r w:rsidRPr="00B77F7F">
        <w:t>yrosinaemia</w:t>
      </w:r>
      <w:proofErr w:type="spellEnd"/>
      <w:r w:rsidRPr="00B77F7F">
        <w:t xml:space="preserve"> (</w:t>
      </w:r>
      <w:r w:rsidR="009C06F7" w:rsidRPr="00B77F7F">
        <w:t>type 1</w:t>
      </w:r>
      <w:r w:rsidRPr="00B77F7F">
        <w:t>)</w:t>
      </w:r>
      <w:r w:rsidR="00782FF8" w:rsidRPr="00B77F7F">
        <w:t xml:space="preserve"> (HT1)</w:t>
      </w:r>
      <w:r w:rsidRPr="00B77F7F">
        <w:t xml:space="preserve"> through the LSDP.</w:t>
      </w:r>
    </w:p>
    <w:p w14:paraId="70966F1B" w14:textId="77777777" w:rsidR="00A437C2" w:rsidRPr="00B77F7F" w:rsidRDefault="00A437C2" w:rsidP="00B77F7F">
      <w:r w:rsidRPr="00B77F7F">
        <w:t>It describes the criteria for general, initial and ongoing eligibility to access subsidised treatment and the administrative requirements associated with the initial application and annual reapplications.</w:t>
      </w:r>
    </w:p>
    <w:p w14:paraId="56314FA6" w14:textId="043072D1" w:rsidR="00A437C2" w:rsidRDefault="00A437C2" w:rsidP="00A437C2">
      <w:pPr>
        <w:pStyle w:val="Heading2"/>
      </w:pPr>
      <w:r w:rsidRPr="00A437C2">
        <w:t xml:space="preserve">Treatment of </w:t>
      </w:r>
      <w:r w:rsidR="00782FF8">
        <w:t>HT1</w:t>
      </w:r>
      <w:r w:rsidRPr="00A437C2">
        <w:t xml:space="preserve"> through the LSDP</w:t>
      </w:r>
    </w:p>
    <w:p w14:paraId="20B1558E" w14:textId="77777777" w:rsidR="003A42CB" w:rsidRPr="00B77F7F" w:rsidRDefault="00901CF8" w:rsidP="00B77F7F">
      <w:r w:rsidRPr="00B77F7F">
        <w:t>S</w:t>
      </w:r>
      <w:r w:rsidR="00F41A0B" w:rsidRPr="00B77F7F">
        <w:t xml:space="preserve">ubsidised treatment is available for eligible patients with a confirmed diagnosis of </w:t>
      </w:r>
      <w:r w:rsidR="00782FF8" w:rsidRPr="00B77F7F">
        <w:t>HT1.</w:t>
      </w:r>
      <w:r w:rsidR="00F41A0B" w:rsidRPr="00B77F7F">
        <w:t xml:space="preserve"> </w:t>
      </w:r>
    </w:p>
    <w:p w14:paraId="3CC9826D" w14:textId="0802B38C" w:rsidR="00F41A0B" w:rsidRPr="00B77F7F" w:rsidRDefault="00F41A0B" w:rsidP="00B77F7F">
      <w:r w:rsidRPr="00B77F7F">
        <w:t xml:space="preserve">Subsidised treatment through the LSDP is not available for patients with either </w:t>
      </w:r>
      <w:r w:rsidR="000F5388" w:rsidRPr="00B77F7F">
        <w:t>type 2 or type</w:t>
      </w:r>
      <w:r w:rsidR="003A42CB" w:rsidRPr="00B77F7F">
        <w:t> </w:t>
      </w:r>
      <w:r w:rsidR="000F5388" w:rsidRPr="00B77F7F">
        <w:t xml:space="preserve">3 hereditary </w:t>
      </w:r>
      <w:proofErr w:type="spellStart"/>
      <w:r w:rsidR="000F5388" w:rsidRPr="00B77F7F">
        <w:t>tyrosinaemia</w:t>
      </w:r>
      <w:proofErr w:type="spellEnd"/>
      <w:r w:rsidRPr="00B77F7F">
        <w:t>.</w:t>
      </w:r>
    </w:p>
    <w:p w14:paraId="199D5163" w14:textId="6AAEBE8D" w:rsidR="000118C9" w:rsidRDefault="00622C1D" w:rsidP="000118C9">
      <w:pPr>
        <w:pStyle w:val="Heading2"/>
      </w:pPr>
      <w:r>
        <w:t xml:space="preserve">Medicines </w:t>
      </w:r>
      <w:r w:rsidR="000118C9">
        <w:t xml:space="preserve">currently available for the treatment of </w:t>
      </w:r>
      <w:r w:rsidR="00782FF8">
        <w:t xml:space="preserve">HT1 </w:t>
      </w:r>
      <w:r w:rsidR="000118C9">
        <w:t xml:space="preserve">through the LSDP </w:t>
      </w:r>
    </w:p>
    <w:p w14:paraId="434808E0" w14:textId="4CD10602" w:rsidR="000118C9" w:rsidRPr="00B77F7F" w:rsidRDefault="000118C9" w:rsidP="00B77F7F">
      <w:r w:rsidRPr="00B77F7F">
        <w:t xml:space="preserve">There is currently one </w:t>
      </w:r>
      <w:r w:rsidR="003B022C" w:rsidRPr="00B77F7F">
        <w:t xml:space="preserve">medicine </w:t>
      </w:r>
      <w:r w:rsidRPr="00B77F7F">
        <w:t xml:space="preserve">subsidised through the LSDP for the treatment of </w:t>
      </w:r>
      <w:r w:rsidR="00782FF8" w:rsidRPr="00B77F7F">
        <w:t>HT1</w:t>
      </w:r>
      <w:r w:rsidRPr="00B77F7F">
        <w:t>.</w:t>
      </w:r>
    </w:p>
    <w:p w14:paraId="3D893EE9" w14:textId="13BEB270" w:rsidR="000118C9" w:rsidRPr="00B77F7F" w:rsidRDefault="000118C9" w:rsidP="00B77F7F">
      <w:r w:rsidRPr="00B77F7F">
        <w:t xml:space="preserve">The generic name for this </w:t>
      </w:r>
      <w:r w:rsidR="003B022C" w:rsidRPr="00B77F7F">
        <w:t xml:space="preserve">medicine </w:t>
      </w:r>
      <w:r w:rsidRPr="00B77F7F">
        <w:t xml:space="preserve">is </w:t>
      </w:r>
      <w:proofErr w:type="spellStart"/>
      <w:r w:rsidRPr="00B77F7F">
        <w:t>nitisinone</w:t>
      </w:r>
      <w:proofErr w:type="spellEnd"/>
      <w:r w:rsidRPr="00B77F7F">
        <w:t xml:space="preserve">. The trade name </w:t>
      </w:r>
      <w:r w:rsidR="00BB6DF0">
        <w:t xml:space="preserve">for this medicine is </w:t>
      </w:r>
      <w:proofErr w:type="spellStart"/>
      <w:r w:rsidRPr="00B77F7F">
        <w:t>Orfadin</w:t>
      </w:r>
      <w:proofErr w:type="spellEnd"/>
      <w:r w:rsidRPr="00B77F7F">
        <w:t>®.</w:t>
      </w:r>
    </w:p>
    <w:p w14:paraId="553F39B3" w14:textId="15D033BA" w:rsidR="00A437C2" w:rsidRPr="00B77F7F" w:rsidRDefault="000118C9" w:rsidP="00B77F7F">
      <w:r w:rsidRPr="00B77F7F">
        <w:t xml:space="preserve">The Therapeutic Goods Administration (TGA) registration and Product Information for </w:t>
      </w:r>
      <w:proofErr w:type="spellStart"/>
      <w:r w:rsidRPr="00B77F7F">
        <w:t>nitisinone</w:t>
      </w:r>
      <w:proofErr w:type="spellEnd"/>
      <w:r w:rsidRPr="00B77F7F">
        <w:t xml:space="preserve"> (</w:t>
      </w:r>
      <w:proofErr w:type="spellStart"/>
      <w:r w:rsidRPr="00B77F7F">
        <w:t>Orfadin</w:t>
      </w:r>
      <w:proofErr w:type="spellEnd"/>
      <w:r w:rsidRPr="00B77F7F">
        <w:t xml:space="preserve">®) can be found on the </w:t>
      </w:r>
      <w:hyperlink r:id="rId17" w:history="1">
        <w:r w:rsidRPr="00B77F7F">
          <w:rPr>
            <w:rStyle w:val="Hyperlink"/>
          </w:rPr>
          <w:t>TGA's website</w:t>
        </w:r>
      </w:hyperlink>
      <w:r w:rsidRPr="00B77F7F">
        <w:t>.</w:t>
      </w:r>
    </w:p>
    <w:p w14:paraId="10BE6F3A" w14:textId="77777777" w:rsidR="00124426" w:rsidRPr="00124426" w:rsidRDefault="00124426" w:rsidP="00124426">
      <w:pPr>
        <w:pStyle w:val="Heading2"/>
      </w:pPr>
      <w:r w:rsidRPr="00124426">
        <w:t>Dosage</w:t>
      </w:r>
    </w:p>
    <w:p w14:paraId="74BDB884" w14:textId="77777777" w:rsidR="00124426" w:rsidRPr="00B77F7F" w:rsidRDefault="00124426" w:rsidP="00B77F7F">
      <w:r w:rsidRPr="00B77F7F">
        <w:t xml:space="preserve">The recommended initial dose is 1 mg/kg body weight/day, administered orally. The maximum dosage of </w:t>
      </w:r>
      <w:proofErr w:type="spellStart"/>
      <w:r w:rsidRPr="00B77F7F">
        <w:t>nitisinone</w:t>
      </w:r>
      <w:proofErr w:type="spellEnd"/>
      <w:r w:rsidRPr="00B77F7F">
        <w:t xml:space="preserve"> that is subsidised through the LSDP is 2 mg/kg/day.</w:t>
      </w:r>
    </w:p>
    <w:p w14:paraId="2D5CA5DA" w14:textId="77777777" w:rsidR="00124426" w:rsidRPr="00B77F7F" w:rsidRDefault="00124426" w:rsidP="00B77F7F">
      <w:proofErr w:type="spellStart"/>
      <w:r w:rsidRPr="00B77F7F">
        <w:t>Nitisinone</w:t>
      </w:r>
      <w:proofErr w:type="spellEnd"/>
      <w:r w:rsidRPr="00B77F7F">
        <w:t xml:space="preserve"> must be administered in combination with dietary restriction of tyrosine and phenylalanine.</w:t>
      </w:r>
    </w:p>
    <w:p w14:paraId="56536673" w14:textId="5DF395DF" w:rsidR="00124426" w:rsidRPr="00B77F7F" w:rsidRDefault="00124426" w:rsidP="00B77F7F">
      <w:r w:rsidRPr="00B77F7F">
        <w:t>Prescriptions are to be written in accordance with the Product Information.</w:t>
      </w:r>
    </w:p>
    <w:p w14:paraId="4CFD2FC1" w14:textId="3DC587D4" w:rsidR="00F80185" w:rsidRPr="00B77F7F" w:rsidRDefault="00BA329F" w:rsidP="00B77F7F">
      <w:r w:rsidRPr="00B77F7F">
        <w:lastRenderedPageBreak/>
        <w:t xml:space="preserve">Dose </w:t>
      </w:r>
      <w:r w:rsidR="00901CF8" w:rsidRPr="00B77F7F">
        <w:t>adjustments</w:t>
      </w:r>
      <w:r w:rsidRPr="00B77F7F">
        <w:t xml:space="preserve"> can be requested at any time by emailing the LSDP.</w:t>
      </w:r>
    </w:p>
    <w:p w14:paraId="6001D5AE" w14:textId="77777777" w:rsidR="00124426" w:rsidRPr="00B77F7F" w:rsidRDefault="00124426" w:rsidP="00B77F7F">
      <w:proofErr w:type="spellStart"/>
      <w:r w:rsidRPr="00B77F7F">
        <w:t>Orfadin</w:t>
      </w:r>
      <w:proofErr w:type="spellEnd"/>
      <w:r w:rsidRPr="00B77F7F">
        <w:t xml:space="preserve"> is available in capsules (2 mg, 5 mg, 10 mg and 20 mg) and oral suspension (4 mg/mL) for paediatric patients. The dose of </w:t>
      </w:r>
      <w:proofErr w:type="spellStart"/>
      <w:r w:rsidRPr="00B77F7F">
        <w:t>Orfadin</w:t>
      </w:r>
      <w:proofErr w:type="spellEnd"/>
      <w:r w:rsidRPr="00B77F7F">
        <w:t xml:space="preserve"> oral suspension should be prescribed in </w:t>
      </w:r>
      <w:proofErr w:type="spellStart"/>
      <w:r w:rsidRPr="00B77F7F">
        <w:t>mLs</w:t>
      </w:r>
      <w:proofErr w:type="spellEnd"/>
      <w:r w:rsidRPr="00B77F7F">
        <w:t>.</w:t>
      </w:r>
    </w:p>
    <w:p w14:paraId="43567ACC" w14:textId="77777777" w:rsidR="00124426" w:rsidRDefault="00124426" w:rsidP="00124426">
      <w:pPr>
        <w:pStyle w:val="Heading1"/>
      </w:pPr>
      <w:r w:rsidRPr="00124426">
        <w:t>General eligibility requirements</w:t>
      </w:r>
    </w:p>
    <w:p w14:paraId="67B1BEFF" w14:textId="77777777" w:rsidR="00124426" w:rsidRPr="00124426" w:rsidRDefault="00124426" w:rsidP="00124426">
      <w:pPr>
        <w:pStyle w:val="Heading2"/>
      </w:pPr>
      <w:r w:rsidRPr="00124426">
        <w:t>LSDP funding conditions</w:t>
      </w:r>
    </w:p>
    <w:p w14:paraId="28F92324" w14:textId="7CCE7F37" w:rsidR="00124426" w:rsidRPr="00B77F7F" w:rsidRDefault="00124426" w:rsidP="00B77F7F">
      <w:r w:rsidRPr="00B77F7F">
        <w:t xml:space="preserve">A patient must meet the LSDP funding conditions </w:t>
      </w:r>
      <w:proofErr w:type="gramStart"/>
      <w:r w:rsidRPr="00B77F7F">
        <w:t>in order to</w:t>
      </w:r>
      <w:proofErr w:type="gramEnd"/>
      <w:r w:rsidRPr="00B77F7F">
        <w:t xml:space="preserve"> be eligible to receive access to Australian Government</w:t>
      </w:r>
      <w:r w:rsidR="003A42CB" w:rsidRPr="00B77F7F">
        <w:t>-</w:t>
      </w:r>
      <w:r w:rsidRPr="00B77F7F">
        <w:t xml:space="preserve">subsidised treatment for </w:t>
      </w:r>
      <w:r w:rsidR="00782FF8" w:rsidRPr="00B77F7F">
        <w:t>HT1</w:t>
      </w:r>
      <w:r w:rsidRPr="00B77F7F">
        <w:t xml:space="preserve"> through the LSDP.</w:t>
      </w:r>
    </w:p>
    <w:p w14:paraId="78C5E222" w14:textId="4D56F255" w:rsidR="00124426" w:rsidRPr="00B77F7F" w:rsidRDefault="00124426" w:rsidP="00B77F7F">
      <w:r w:rsidRPr="00B77F7F">
        <w:t>The current LSDP funding conditions can be found on the</w:t>
      </w:r>
      <w:r w:rsidR="009572D2" w:rsidRPr="00B77F7F">
        <w:t xml:space="preserve"> </w:t>
      </w:r>
      <w:hyperlink r:id="rId18" w:history="1">
        <w:r w:rsidR="009572D2" w:rsidRPr="00B77F7F">
          <w:rPr>
            <w:rStyle w:val="Hyperlink"/>
          </w:rPr>
          <w:t>program’s website</w:t>
        </w:r>
      </w:hyperlink>
      <w:r w:rsidR="009572D2" w:rsidRPr="00B77F7F">
        <w:t>.</w:t>
      </w:r>
    </w:p>
    <w:p w14:paraId="5A812C2F" w14:textId="039EDEC8" w:rsidR="00124426" w:rsidRPr="00B77F7F" w:rsidRDefault="00124426" w:rsidP="00B77F7F">
      <w:r w:rsidRPr="00B77F7F">
        <w:t xml:space="preserve">For </w:t>
      </w:r>
      <w:r w:rsidR="00291E8A" w:rsidRPr="00B77F7F">
        <w:t>HT1</w:t>
      </w:r>
      <w:r w:rsidRPr="00B77F7F">
        <w:t>, a patient must:</w:t>
      </w:r>
    </w:p>
    <w:p w14:paraId="2888EE67" w14:textId="77777777" w:rsidR="00124426" w:rsidRPr="00B77F7F" w:rsidRDefault="00124426" w:rsidP="00B77F7F">
      <w:pPr>
        <w:pStyle w:val="ListBullet"/>
      </w:pPr>
      <w:r w:rsidRPr="00B77F7F">
        <w:t>satisfy the initial and ongoing eligibility criteria as detailed in these guidelines</w:t>
      </w:r>
    </w:p>
    <w:p w14:paraId="282EAB67" w14:textId="18F36E4C" w:rsidR="00124426" w:rsidRPr="00B77F7F" w:rsidRDefault="00124426" w:rsidP="00B77F7F">
      <w:pPr>
        <w:pStyle w:val="ListBullet"/>
      </w:pPr>
      <w:r w:rsidRPr="00B77F7F">
        <w:t xml:space="preserve">participate in the evaluation of effectiveness of the </w:t>
      </w:r>
      <w:r w:rsidR="00D760AE" w:rsidRPr="00B77F7F">
        <w:t xml:space="preserve">medicine </w:t>
      </w:r>
      <w:r w:rsidRPr="00B77F7F">
        <w:t xml:space="preserve">by periodic assessment, as directed by these guidelines, or have an acceptable reason not to </w:t>
      </w:r>
      <w:r w:rsidR="00EC4E7D" w:rsidRPr="00B77F7F">
        <w:t>participate</w:t>
      </w:r>
    </w:p>
    <w:p w14:paraId="7EA5DC35" w14:textId="4DDB2343" w:rsidR="00BA329F" w:rsidRPr="00B77F7F" w:rsidRDefault="00EC4E7D" w:rsidP="00B77F7F">
      <w:pPr>
        <w:pStyle w:val="ListBullet"/>
      </w:pPr>
      <w:r w:rsidRPr="00B77F7F">
        <w:t xml:space="preserve">not be suffering from any other medical condition, including complications or sequelae of </w:t>
      </w:r>
      <w:r w:rsidR="00291E8A" w:rsidRPr="00B77F7F">
        <w:t>HT1</w:t>
      </w:r>
      <w:r w:rsidRPr="00B77F7F">
        <w:t xml:space="preserve">, or being treated by a medicine (for a condition) that may significantly compromise the effectiveness of </w:t>
      </w:r>
      <w:proofErr w:type="spellStart"/>
      <w:r w:rsidRPr="00B77F7F">
        <w:t>thetreatment</w:t>
      </w:r>
      <w:proofErr w:type="spellEnd"/>
      <w:r w:rsidR="00BA329F" w:rsidRPr="00B77F7F">
        <w:t xml:space="preserve"> </w:t>
      </w:r>
    </w:p>
    <w:p w14:paraId="704C5E0D" w14:textId="0417E32A" w:rsidR="00BA329F" w:rsidRPr="00B77F7F" w:rsidRDefault="00EC4E7D" w:rsidP="00B77F7F">
      <w:pPr>
        <w:pStyle w:val="ListBullet"/>
      </w:pPr>
      <w:r w:rsidRPr="00B77F7F">
        <w:t>be an Australian citizen or permanent Australian resident who qualifies for Medicare</w:t>
      </w:r>
      <w:r w:rsidR="00B25B1D" w:rsidRPr="00B77F7F">
        <w:t>.</w:t>
      </w:r>
    </w:p>
    <w:p w14:paraId="184F7416" w14:textId="191D3109" w:rsidR="00B25B1D" w:rsidRPr="00B77F7F" w:rsidRDefault="00B25B1D" w:rsidP="00B77F7F">
      <w:r w:rsidRPr="00B77F7F">
        <w:t xml:space="preserve">In most cases, participation in a clinical trial will not affect a patient’s eligibility to access LSDP medicines. However, treating physicians are required to advise the LSDP if their patient is participating in a clinical trial. </w:t>
      </w:r>
    </w:p>
    <w:p w14:paraId="75E98227" w14:textId="77777777" w:rsidR="0057762F" w:rsidRDefault="0057762F" w:rsidP="0057762F">
      <w:pPr>
        <w:pStyle w:val="Heading2"/>
      </w:pPr>
      <w:r>
        <w:t>Exclusion criteria</w:t>
      </w:r>
    </w:p>
    <w:p w14:paraId="1A3310CD" w14:textId="6AE4B062" w:rsidR="0057762F" w:rsidRPr="00B77F7F" w:rsidRDefault="0057762F" w:rsidP="00B77F7F">
      <w:r w:rsidRPr="00B77F7F">
        <w:t xml:space="preserve">Patients are not eligible for subsidised treatment with </w:t>
      </w:r>
      <w:proofErr w:type="spellStart"/>
      <w:r w:rsidRPr="00B77F7F">
        <w:t>nitisinone</w:t>
      </w:r>
      <w:proofErr w:type="spellEnd"/>
      <w:r w:rsidRPr="00B77F7F">
        <w:t xml:space="preserve"> for </w:t>
      </w:r>
      <w:r w:rsidR="00291E8A" w:rsidRPr="00B77F7F">
        <w:t>HT1</w:t>
      </w:r>
      <w:r w:rsidRPr="00B77F7F">
        <w:t xml:space="preserve"> through the LSDP if they meet any of the following criteria:</w:t>
      </w:r>
    </w:p>
    <w:p w14:paraId="34183B0D" w14:textId="77777777" w:rsidR="0057762F" w:rsidRPr="00B77F7F" w:rsidRDefault="0057762F" w:rsidP="00B77F7F">
      <w:pPr>
        <w:pStyle w:val="ListBullet"/>
      </w:pPr>
      <w:r w:rsidRPr="00B77F7F">
        <w:t xml:space="preserve">presence of another life threatening or severe disease where the </w:t>
      </w:r>
      <w:proofErr w:type="gramStart"/>
      <w:r w:rsidRPr="00B77F7F">
        <w:t>long term</w:t>
      </w:r>
      <w:proofErr w:type="gramEnd"/>
      <w:r w:rsidRPr="00B77F7F">
        <w:t xml:space="preserve"> prognosis is unlikely to be influenced by therapy</w:t>
      </w:r>
    </w:p>
    <w:p w14:paraId="209E2C81" w14:textId="77777777" w:rsidR="0057762F" w:rsidRPr="00B77F7F" w:rsidRDefault="0057762F" w:rsidP="00B77F7F">
      <w:pPr>
        <w:pStyle w:val="ListBullet"/>
      </w:pPr>
      <w:r w:rsidRPr="00B77F7F">
        <w:t>presence of another medical condition that might reasonably be expected to compromise a response to therapy.</w:t>
      </w:r>
    </w:p>
    <w:p w14:paraId="42BE3C57" w14:textId="58B4323B" w:rsidR="00A949EE" w:rsidRPr="00B77F7F" w:rsidRDefault="00A949EE" w:rsidP="00B77F7F">
      <w:proofErr w:type="spellStart"/>
      <w:r w:rsidRPr="00B77F7F">
        <w:t>Nitisinone</w:t>
      </w:r>
      <w:proofErr w:type="spellEnd"/>
      <w:r w:rsidRPr="00B77F7F">
        <w:t xml:space="preserve"> cannot be used following a liver transplant.</w:t>
      </w:r>
    </w:p>
    <w:p w14:paraId="6F317CE9" w14:textId="77777777" w:rsidR="004925A0" w:rsidRDefault="004925A0" w:rsidP="004925A0">
      <w:pPr>
        <w:pStyle w:val="Heading1"/>
      </w:pPr>
      <w:r>
        <w:t>Initial eligibility requirements</w:t>
      </w:r>
    </w:p>
    <w:p w14:paraId="5891ECA8" w14:textId="77777777" w:rsidR="004925A0" w:rsidRDefault="004925A0" w:rsidP="004925A0">
      <w:pPr>
        <w:pStyle w:val="Heading2"/>
      </w:pPr>
      <w:r>
        <w:t>Diagnosis</w:t>
      </w:r>
    </w:p>
    <w:p w14:paraId="7130C62A" w14:textId="2C57E37F" w:rsidR="004925A0" w:rsidRPr="00B77F7F" w:rsidRDefault="004925A0" w:rsidP="00B77F7F">
      <w:r w:rsidRPr="00B77F7F">
        <w:t xml:space="preserve">The patient must have a confirmed clinical diagnosis of </w:t>
      </w:r>
      <w:r w:rsidR="00F37DFD" w:rsidRPr="00B77F7F">
        <w:t>HT1</w:t>
      </w:r>
      <w:r w:rsidRPr="00B77F7F">
        <w:t xml:space="preserve"> based on detection of </w:t>
      </w:r>
      <w:proofErr w:type="spellStart"/>
      <w:r w:rsidRPr="00B77F7F">
        <w:t>succinylacetone</w:t>
      </w:r>
      <w:proofErr w:type="spellEnd"/>
      <w:r w:rsidRPr="00B77F7F">
        <w:t xml:space="preserve"> in the urine and/or blood by a laboratory accredited by the National Association of Testing Authorities.</w:t>
      </w:r>
    </w:p>
    <w:p w14:paraId="772F30FD" w14:textId="3387DB8C" w:rsidR="004925A0" w:rsidRPr="00B77F7F" w:rsidRDefault="004925A0" w:rsidP="00B77F7F">
      <w:r w:rsidRPr="00B77F7F">
        <w:t xml:space="preserve">Evidence of diagnostic </w:t>
      </w:r>
      <w:proofErr w:type="spellStart"/>
      <w:r w:rsidRPr="00B77F7F">
        <w:t>succinylacetone</w:t>
      </w:r>
      <w:proofErr w:type="spellEnd"/>
      <w:r w:rsidRPr="00B77F7F">
        <w:t xml:space="preserve"> test in blood and/or urine must be provided to the LSDP as part of an application for subsidised therapy.</w:t>
      </w:r>
    </w:p>
    <w:p w14:paraId="6877644D" w14:textId="086A24C7" w:rsidR="004925A0" w:rsidRPr="00B77F7F" w:rsidRDefault="004925A0" w:rsidP="00B77F7F">
      <w:r w:rsidRPr="00B77F7F">
        <w:t xml:space="preserve">For patients currently treated with </w:t>
      </w:r>
      <w:proofErr w:type="spellStart"/>
      <w:r w:rsidRPr="00B77F7F">
        <w:t>nitisinone</w:t>
      </w:r>
      <w:proofErr w:type="spellEnd"/>
      <w:r w:rsidRPr="00B77F7F">
        <w:t xml:space="preserve"> in combination with dietary restriction of phenylalanine and tyrosine, a recent </w:t>
      </w:r>
      <w:proofErr w:type="spellStart"/>
      <w:r w:rsidRPr="00B77F7F">
        <w:t>succinylacetone</w:t>
      </w:r>
      <w:proofErr w:type="spellEnd"/>
      <w:r w:rsidRPr="00B77F7F">
        <w:t xml:space="preserve"> blood and/or urine test and a recent copy of prescription for </w:t>
      </w:r>
      <w:proofErr w:type="spellStart"/>
      <w:r w:rsidRPr="00B77F7F">
        <w:t>nitisinone</w:t>
      </w:r>
      <w:proofErr w:type="spellEnd"/>
      <w:r w:rsidRPr="00B77F7F">
        <w:t xml:space="preserve"> must be provided to the LSDP.</w:t>
      </w:r>
    </w:p>
    <w:p w14:paraId="26D93FCF" w14:textId="01431415" w:rsidR="008054CC" w:rsidRPr="00B77F7F" w:rsidRDefault="008054CC" w:rsidP="00B77F7F">
      <w:r w:rsidRPr="00B77F7F">
        <w:lastRenderedPageBreak/>
        <w:t xml:space="preserve">See the </w:t>
      </w:r>
      <w:hyperlink r:id="rId19" w:history="1">
        <w:r w:rsidRPr="00B77F7F">
          <w:rPr>
            <w:rStyle w:val="Hyperlink"/>
          </w:rPr>
          <w:t>initial application form</w:t>
        </w:r>
      </w:hyperlink>
      <w:r w:rsidRPr="00B77F7F">
        <w:t>.</w:t>
      </w:r>
    </w:p>
    <w:p w14:paraId="5B1FD7A5" w14:textId="77777777" w:rsidR="004925A0" w:rsidRPr="004925A0" w:rsidRDefault="004925A0" w:rsidP="004925A0">
      <w:pPr>
        <w:pStyle w:val="Heading1"/>
      </w:pPr>
      <w:r w:rsidRPr="004925A0">
        <w:t>Ongoing eligibility requirements</w:t>
      </w:r>
    </w:p>
    <w:p w14:paraId="01E545C4" w14:textId="5A8DA047" w:rsidR="004925A0" w:rsidRPr="00B77F7F" w:rsidRDefault="004925A0" w:rsidP="00B77F7F">
      <w:r w:rsidRPr="00B77F7F">
        <w:t xml:space="preserve">The treating physician must submit the separate </w:t>
      </w:r>
      <w:hyperlink r:id="rId20" w:history="1">
        <w:r w:rsidR="0035376E" w:rsidRPr="00B77F7F">
          <w:rPr>
            <w:rStyle w:val="Hyperlink"/>
          </w:rPr>
          <w:t>reapplication form</w:t>
        </w:r>
      </w:hyperlink>
      <w:r w:rsidR="0035376E" w:rsidRPr="00B77F7F">
        <w:t>.</w:t>
      </w:r>
      <w:r w:rsidR="00F22951" w:rsidRPr="00B77F7F">
        <w:t xml:space="preserve"> </w:t>
      </w:r>
      <w:r w:rsidRPr="00B77F7F">
        <w:t>to the LSDP by 1 May every year if they wish their patient to continue to receive subsidised treatment through the LSDP.</w:t>
      </w:r>
    </w:p>
    <w:p w14:paraId="2432071F" w14:textId="2B6DAE20" w:rsidR="00B930E0" w:rsidRPr="00B77F7F" w:rsidRDefault="00B930E0" w:rsidP="00B77F7F">
      <w:r w:rsidRPr="00B77F7F">
        <w:t>If a reapplication is not submitted by 1 May each year without a clinical justification, the patient is at risk of having their treatment paused until the reapplication is received.</w:t>
      </w:r>
    </w:p>
    <w:p w14:paraId="712FBCFD" w14:textId="516D13BF" w:rsidR="004925A0" w:rsidRPr="00B77F7F" w:rsidRDefault="004925A0" w:rsidP="00B77F7F">
      <w:r w:rsidRPr="00B77F7F">
        <w:t xml:space="preserve">The reapplication form must demonstrate clinical improvement in the patient or stabilisation of the patient's condition, and evidence to support ongoing eligibility for the treatment of </w:t>
      </w:r>
      <w:r w:rsidR="00F37DFD" w:rsidRPr="00B77F7F">
        <w:t>HT1</w:t>
      </w:r>
      <w:r w:rsidRPr="00B77F7F">
        <w:t xml:space="preserve"> must be provided.</w:t>
      </w:r>
    </w:p>
    <w:p w14:paraId="6C142263" w14:textId="77777777" w:rsidR="004925A0" w:rsidRPr="00B77F7F" w:rsidRDefault="004925A0" w:rsidP="00B77F7F">
      <w:r w:rsidRPr="00B77F7F">
        <w:t>The treating physician must declare that the patient continues to meet the eligibility criteria to receive subsidised treatment through the LSDP in accordance with these guidelines.</w:t>
      </w:r>
    </w:p>
    <w:p w14:paraId="3204B2D9" w14:textId="6CBD8E63" w:rsidR="00F31C46" w:rsidRPr="00B77F7F" w:rsidRDefault="00F31C46" w:rsidP="00B77F7F">
      <w:r w:rsidRPr="00B77F7F">
        <w:t>The clinic letter and test results provided to support the reapplication must be no more than 12 months old at the time of each reapplication and should not have been used to support a previous application or reapplication.</w:t>
      </w:r>
    </w:p>
    <w:p w14:paraId="24C3C2B9" w14:textId="1E35644D" w:rsidR="004925A0" w:rsidRPr="00B77F7F" w:rsidRDefault="004925A0" w:rsidP="00B77F7F">
      <w:r w:rsidRPr="00B77F7F">
        <w:t xml:space="preserve">The patient must have previously received LSDP-subsidised therapy with </w:t>
      </w:r>
      <w:proofErr w:type="spellStart"/>
      <w:r w:rsidRPr="00B77F7F">
        <w:t>nitisinone</w:t>
      </w:r>
      <w:proofErr w:type="spellEnd"/>
      <w:r w:rsidRPr="00B77F7F">
        <w:t xml:space="preserve"> for </w:t>
      </w:r>
      <w:r w:rsidR="00F37DFD" w:rsidRPr="00B77F7F">
        <w:t>HT1</w:t>
      </w:r>
      <w:r w:rsidRPr="00B77F7F">
        <w:t>, and the treatment must have been administered in combination with dietary restriction of tyrosine and phenylalanine.</w:t>
      </w:r>
    </w:p>
    <w:p w14:paraId="0511F06D" w14:textId="77777777" w:rsidR="004925A0" w:rsidRPr="00B77F7F" w:rsidRDefault="004925A0" w:rsidP="00B77F7F">
      <w:r w:rsidRPr="00B77F7F">
        <w:t>Subsidised treatment may continue unless one or more of the following situations apply:</w:t>
      </w:r>
    </w:p>
    <w:p w14:paraId="0F84A511" w14:textId="17878D9B" w:rsidR="004925A0" w:rsidRPr="003A42CB" w:rsidRDefault="00470E1D" w:rsidP="00B77F7F">
      <w:pPr>
        <w:pStyle w:val="ListBullet"/>
      </w:pPr>
      <w:r w:rsidRPr="003A42CB">
        <w:t>f</w:t>
      </w:r>
      <w:r w:rsidR="004925A0" w:rsidRPr="003A42CB">
        <w:t xml:space="preserve">ailure to comply adequately with treatment or </w:t>
      </w:r>
      <w:r w:rsidRPr="003A42CB">
        <w:t>measures</w:t>
      </w:r>
    </w:p>
    <w:p w14:paraId="6ACF6A89" w14:textId="15CF3DF3" w:rsidR="004925A0" w:rsidRPr="003A42CB" w:rsidRDefault="00470E1D" w:rsidP="00B77F7F">
      <w:pPr>
        <w:pStyle w:val="ListBullet"/>
      </w:pPr>
      <w:r w:rsidRPr="003A42CB">
        <w:t>f</w:t>
      </w:r>
      <w:r w:rsidR="004925A0" w:rsidRPr="003A42CB">
        <w:t xml:space="preserve">ailure to provide data, copies of test results and the </w:t>
      </w:r>
      <w:hyperlink r:id="rId21" w:history="1">
        <w:r w:rsidR="009E0C46" w:rsidRPr="003A42CB">
          <w:rPr>
            <w:rStyle w:val="Hyperlink"/>
            <w:sz w:val="22"/>
            <w:szCs w:val="22"/>
          </w:rPr>
          <w:t>Excel spreadsheet</w:t>
        </w:r>
      </w:hyperlink>
      <w:r w:rsidR="009E0C46" w:rsidRPr="003A42CB">
        <w:t xml:space="preserve"> </w:t>
      </w:r>
      <w:r w:rsidR="004925A0" w:rsidRPr="003A42CB">
        <w:t xml:space="preserve">for </w:t>
      </w:r>
      <w:r w:rsidR="00F37DFD" w:rsidRPr="003A42CB">
        <w:t>HT1</w:t>
      </w:r>
      <w:r w:rsidR="004925A0" w:rsidRPr="003A42CB">
        <w:t xml:space="preserve">, evidencing the effectiveness of the </w:t>
      </w:r>
      <w:r w:rsidRPr="003A42CB">
        <w:t>therapy</w:t>
      </w:r>
      <w:r w:rsidR="004B70E1" w:rsidRPr="003A42CB">
        <w:t>. Test results must not be more than 12</w:t>
      </w:r>
      <w:r w:rsidR="00AE4BFC">
        <w:t> </w:t>
      </w:r>
      <w:r w:rsidR="004B70E1" w:rsidRPr="003A42CB">
        <w:t>months old at the time of reapplication to the LSDP and should not have been used to support a previous application or reapplication</w:t>
      </w:r>
    </w:p>
    <w:p w14:paraId="0378335D" w14:textId="56CF492E" w:rsidR="004925A0" w:rsidRPr="003A42CB" w:rsidRDefault="00470E1D" w:rsidP="00B77F7F">
      <w:pPr>
        <w:pStyle w:val="ListBullet"/>
      </w:pPr>
      <w:r w:rsidRPr="003A42CB">
        <w:t>p</w:t>
      </w:r>
      <w:r w:rsidR="004925A0" w:rsidRPr="003A42CB">
        <w:t>resentation of a condition listed in the exclusion criteria.</w:t>
      </w:r>
    </w:p>
    <w:p w14:paraId="6D86EC4B" w14:textId="2DCF0BCC" w:rsidR="004925A0" w:rsidRPr="00B77F7F" w:rsidRDefault="004925A0" w:rsidP="00B77F7F">
      <w:r w:rsidRPr="00B77F7F">
        <w:t xml:space="preserve">Testing is not funded or subsidised through the </w:t>
      </w:r>
      <w:proofErr w:type="gramStart"/>
      <w:r w:rsidRPr="00B77F7F">
        <w:t>LSDP,</w:t>
      </w:r>
      <w:proofErr w:type="gramEnd"/>
      <w:r w:rsidRPr="00B77F7F">
        <w:t xml:space="preserve"> however some tests may be subsidised through Medicare or available through the treating public hospital.</w:t>
      </w:r>
    </w:p>
    <w:p w14:paraId="208036DE" w14:textId="62544610" w:rsidR="0022445D" w:rsidRPr="00B77F7F" w:rsidRDefault="0022445D" w:rsidP="00B77F7F">
      <w:pPr>
        <w:pStyle w:val="Heading1"/>
      </w:pPr>
      <w:r w:rsidRPr="00B77F7F">
        <w:t>Cessation of treatment</w:t>
      </w:r>
    </w:p>
    <w:p w14:paraId="71C5AAE0" w14:textId="77777777" w:rsidR="0022445D" w:rsidRPr="00B77F7F" w:rsidRDefault="0022445D" w:rsidP="00B77F7F">
      <w:r w:rsidRPr="00B77F7F">
        <w:t xml:space="preserve">The treating physician should notify the LSDP immediately in writing when a patient ceases treatment, including the reason(s) for treatment cessation. </w:t>
      </w:r>
    </w:p>
    <w:p w14:paraId="47395779" w14:textId="77777777" w:rsidR="0022445D" w:rsidRDefault="0022445D" w:rsidP="0022445D">
      <w:pPr>
        <w:pStyle w:val="Heading2"/>
      </w:pPr>
      <w:r>
        <w:t>Treatment breaks</w:t>
      </w:r>
    </w:p>
    <w:p w14:paraId="7DDD9FC9" w14:textId="77777777" w:rsidR="0022445D" w:rsidRPr="00B77F7F" w:rsidRDefault="0022445D" w:rsidP="00B77F7F">
      <w:r w:rsidRPr="00B77F7F">
        <w:t xml:space="preserve">Treatment breaks of up to 3 months can be taken without the requirement for submission of a new reapplication form to recommence treatment. </w:t>
      </w:r>
    </w:p>
    <w:p w14:paraId="0FF59C31" w14:textId="3280D873" w:rsidR="0022445D" w:rsidRPr="00B77F7F" w:rsidRDefault="0022445D" w:rsidP="00B77F7F">
      <w:r w:rsidRPr="00B77F7F">
        <w:t>Patients who are applying to recommence treatment following a break of longer than 3</w:t>
      </w:r>
      <w:r w:rsidR="00AE4BFC" w:rsidRPr="00B77F7F">
        <w:t> </w:t>
      </w:r>
      <w:r w:rsidRPr="00B77F7F">
        <w:t xml:space="preserve">months should submit a new </w:t>
      </w:r>
      <w:hyperlink r:id="rId22" w:history="1">
        <w:r w:rsidRPr="003A42CB">
          <w:rPr>
            <w:rStyle w:val="Hyperlink"/>
            <w:szCs w:val="22"/>
          </w:rPr>
          <w:t>reapplication form</w:t>
        </w:r>
      </w:hyperlink>
      <w:r w:rsidRPr="00B77F7F">
        <w:t>.</w:t>
      </w:r>
    </w:p>
    <w:sectPr w:rsidR="0022445D" w:rsidRPr="00B77F7F" w:rsidSect="000B3E4A">
      <w:headerReference w:type="default" r:id="rId23"/>
      <w:type w:val="continuous"/>
      <w:pgSz w:w="11906" w:h="16838"/>
      <w:pgMar w:top="1701"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BEDC" w14:textId="77777777" w:rsidR="006228AC" w:rsidRDefault="006228AC" w:rsidP="006B56BB">
      <w:r>
        <w:separator/>
      </w:r>
    </w:p>
    <w:p w14:paraId="1A13DC69" w14:textId="77777777" w:rsidR="006228AC" w:rsidRDefault="006228AC"/>
  </w:endnote>
  <w:endnote w:type="continuationSeparator" w:id="0">
    <w:p w14:paraId="743E9133" w14:textId="77777777" w:rsidR="006228AC" w:rsidRDefault="006228AC" w:rsidP="006B56BB">
      <w:r>
        <w:continuationSeparator/>
      </w:r>
    </w:p>
    <w:p w14:paraId="1F5536FC" w14:textId="77777777" w:rsidR="006228AC" w:rsidRDefault="006228AC"/>
  </w:endnote>
  <w:endnote w:type="continuationNotice" w:id="1">
    <w:p w14:paraId="4681DC79" w14:textId="77777777" w:rsidR="006228AC" w:rsidRDefault="00622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D7F" w14:textId="36497FAC" w:rsidR="005177CA" w:rsidRDefault="005177CA">
    <w:pPr>
      <w:pStyle w:val="Footer"/>
    </w:pPr>
    <w:r>
      <w:rPr>
        <w:noProof/>
      </w:rPr>
      <mc:AlternateContent>
        <mc:Choice Requires="wps">
          <w:drawing>
            <wp:anchor distT="0" distB="0" distL="0" distR="0" simplePos="0" relativeHeight="251664384" behindDoc="0" locked="0" layoutInCell="1" allowOverlap="1" wp14:anchorId="3CB3B17E" wp14:editId="41E7A75E">
              <wp:simplePos x="635" y="635"/>
              <wp:positionH relativeFrom="page">
                <wp:align>center</wp:align>
              </wp:positionH>
              <wp:positionV relativeFrom="page">
                <wp:align>bottom</wp:align>
              </wp:positionV>
              <wp:extent cx="622300" cy="480695"/>
              <wp:effectExtent l="0" t="0" r="6350" b="0"/>
              <wp:wrapNone/>
              <wp:docPr id="293256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5305066" w14:textId="29891EE4" w:rsidR="005177CA" w:rsidRPr="005177CA" w:rsidRDefault="005177CA" w:rsidP="005177CA">
                          <w:pPr>
                            <w:spacing w:after="0"/>
                            <w:rPr>
                              <w:rFonts w:ascii="Aptos" w:eastAsia="Aptos" w:hAnsi="Aptos" w:cs="Aptos"/>
                              <w:noProof/>
                              <w:color w:val="FF0000"/>
                              <w:sz w:val="24"/>
                            </w:rPr>
                          </w:pPr>
                          <w:r w:rsidRPr="005177C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3B17E"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05305066" w14:textId="29891EE4" w:rsidR="005177CA" w:rsidRPr="005177CA" w:rsidRDefault="005177CA" w:rsidP="005177CA">
                    <w:pPr>
                      <w:spacing w:after="0"/>
                      <w:rPr>
                        <w:rFonts w:ascii="Aptos" w:eastAsia="Aptos" w:hAnsi="Aptos" w:cs="Aptos"/>
                        <w:noProof/>
                        <w:color w:val="FF0000"/>
                        <w:sz w:val="24"/>
                      </w:rPr>
                    </w:pPr>
                    <w:r w:rsidRPr="005177C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FD0B" w14:textId="25946F6F" w:rsidR="008D48C9" w:rsidRPr="00972E6E" w:rsidRDefault="00646A73" w:rsidP="00972E6E">
    <w:pPr>
      <w:pStyle w:val="Footer"/>
      <w:tabs>
        <w:tab w:val="clear" w:pos="4513"/>
      </w:tabs>
    </w:pPr>
    <w:r>
      <w:t xml:space="preserve">Department of Health, Disability and Ageing </w:t>
    </w:r>
    <w:proofErr w:type="gramStart"/>
    <w:r>
      <w:t xml:space="preserve">–  </w:t>
    </w:r>
    <w:r w:rsidR="00B30628">
      <w:t>February</w:t>
    </w:r>
    <w:proofErr w:type="gramEnd"/>
    <w:r w:rsidR="00B30628">
      <w:t xml:space="preserve"> 2026</w:t>
    </w:r>
    <w:r w:rsidR="00972E6E">
      <w:tab/>
    </w:r>
    <w:r w:rsidR="00972E6E" w:rsidRPr="003D033A">
      <w:fldChar w:fldCharType="begin"/>
    </w:r>
    <w:r w:rsidR="00972E6E" w:rsidRPr="003D033A">
      <w:instrText xml:space="preserve"> PAGE   \* MERGEFORMAT </w:instrText>
    </w:r>
    <w:r w:rsidR="00972E6E" w:rsidRPr="003D033A">
      <w:fldChar w:fldCharType="separate"/>
    </w:r>
    <w:r w:rsidR="00006B7E">
      <w:rPr>
        <w:noProof/>
      </w:rPr>
      <w:t>3</w:t>
    </w:r>
    <w:r w:rsidR="00972E6E" w:rsidRPr="003D03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C640" w14:textId="19436FAB" w:rsidR="008D48C9" w:rsidRPr="00DE3355" w:rsidRDefault="00AC2679" w:rsidP="003D033A">
    <w:pPr>
      <w:pStyle w:val="Footer"/>
      <w:tabs>
        <w:tab w:val="clear" w:pos="4513"/>
      </w:tabs>
    </w:pPr>
    <w:r>
      <w:t>Department of Health</w:t>
    </w:r>
    <w:r w:rsidR="00646A73">
      <w:t xml:space="preserve">, Disability and Ageing </w:t>
    </w:r>
    <w:proofErr w:type="gramStart"/>
    <w:r w:rsidR="00AA4BCB">
      <w:t>–</w:t>
    </w:r>
    <w:r w:rsidR="00A949EE">
      <w:t xml:space="preserve"> </w:t>
    </w:r>
    <w:r w:rsidR="00A32E7E">
      <w:t xml:space="preserve"> </w:t>
    </w:r>
    <w:r w:rsidR="00B30628">
      <w:t>February</w:t>
    </w:r>
    <w:proofErr w:type="gramEnd"/>
    <w:r w:rsidR="00B30628">
      <w:t xml:space="preserve"> </w:t>
    </w:r>
    <w:r w:rsidR="00646A73">
      <w:t>2026</w:t>
    </w:r>
    <w:r w:rsidR="002A4068" w:rsidRPr="00180F23">
      <w:t xml:space="preserve"> </w:t>
    </w:r>
    <w:r w:rsidR="003D033A" w:rsidRPr="00180F23">
      <w:tab/>
    </w:r>
    <w:r w:rsidR="003D033A" w:rsidRPr="003D033A">
      <w:fldChar w:fldCharType="begin"/>
    </w:r>
    <w:r w:rsidR="003D033A" w:rsidRPr="003D033A">
      <w:instrText xml:space="preserve"> PAGE   \* MERGEFORMAT </w:instrText>
    </w:r>
    <w:r w:rsidR="003D033A" w:rsidRPr="003D033A">
      <w:fldChar w:fldCharType="separate"/>
    </w:r>
    <w:r w:rsidR="00006B7E">
      <w:rPr>
        <w:noProof/>
      </w:rPr>
      <w:t>1</w:t>
    </w:r>
    <w:r w:rsidR="003D033A" w:rsidRPr="003D03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7BED" w14:textId="77777777" w:rsidR="006228AC" w:rsidRDefault="006228AC" w:rsidP="006B56BB">
      <w:r>
        <w:separator/>
      </w:r>
    </w:p>
    <w:p w14:paraId="064A3746" w14:textId="77777777" w:rsidR="006228AC" w:rsidRDefault="006228AC"/>
  </w:footnote>
  <w:footnote w:type="continuationSeparator" w:id="0">
    <w:p w14:paraId="29FD998A" w14:textId="77777777" w:rsidR="006228AC" w:rsidRDefault="006228AC" w:rsidP="006B56BB">
      <w:r>
        <w:continuationSeparator/>
      </w:r>
    </w:p>
    <w:p w14:paraId="00F7FEDB" w14:textId="77777777" w:rsidR="006228AC" w:rsidRDefault="006228AC"/>
  </w:footnote>
  <w:footnote w:type="continuationNotice" w:id="1">
    <w:p w14:paraId="163BD956" w14:textId="77777777" w:rsidR="006228AC" w:rsidRDefault="00622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A9E2" w14:textId="783B662E" w:rsidR="005177CA" w:rsidRDefault="005177CA">
    <w:pPr>
      <w:pStyle w:val="Header"/>
    </w:pPr>
    <w:r>
      <w:rPr>
        <w:noProof/>
      </w:rPr>
      <mc:AlternateContent>
        <mc:Choice Requires="wps">
          <w:drawing>
            <wp:anchor distT="0" distB="0" distL="0" distR="0" simplePos="0" relativeHeight="251660288" behindDoc="0" locked="0" layoutInCell="1" allowOverlap="1" wp14:anchorId="19CBECFF" wp14:editId="6C0A537B">
              <wp:simplePos x="635" y="635"/>
              <wp:positionH relativeFrom="page">
                <wp:align>center</wp:align>
              </wp:positionH>
              <wp:positionV relativeFrom="page">
                <wp:align>top</wp:align>
              </wp:positionV>
              <wp:extent cx="622300" cy="480695"/>
              <wp:effectExtent l="0" t="0" r="6350" b="14605"/>
              <wp:wrapNone/>
              <wp:docPr id="19065884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7410A27" w14:textId="752F4FA9" w:rsidR="005177CA" w:rsidRPr="005177CA" w:rsidRDefault="005177CA" w:rsidP="005177CA">
                          <w:pPr>
                            <w:spacing w:after="0"/>
                            <w:rPr>
                              <w:rFonts w:ascii="Aptos" w:eastAsia="Aptos" w:hAnsi="Aptos" w:cs="Aptos"/>
                              <w:noProof/>
                              <w:color w:val="FF0000"/>
                              <w:sz w:val="24"/>
                            </w:rPr>
                          </w:pPr>
                          <w:r w:rsidRPr="005177C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BECF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7410A27" w14:textId="752F4FA9" w:rsidR="005177CA" w:rsidRPr="005177CA" w:rsidRDefault="005177CA" w:rsidP="005177CA">
                    <w:pPr>
                      <w:spacing w:after="0"/>
                      <w:rPr>
                        <w:rFonts w:ascii="Aptos" w:eastAsia="Aptos" w:hAnsi="Aptos" w:cs="Aptos"/>
                        <w:noProof/>
                        <w:color w:val="FF0000"/>
                        <w:sz w:val="24"/>
                      </w:rPr>
                    </w:pPr>
                    <w:r w:rsidRPr="005177C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83C1" w14:textId="7D56398E" w:rsidR="008D48C9" w:rsidRDefault="005177CA" w:rsidP="00090316">
    <w:pPr>
      <w:pStyle w:val="Header"/>
    </w:pPr>
    <w:r>
      <w:rPr>
        <w:noProof/>
        <w:lang w:eastAsia="en-AU"/>
      </w:rPr>
      <mc:AlternateContent>
        <mc:Choice Requires="wps">
          <w:drawing>
            <wp:anchor distT="0" distB="0" distL="0" distR="0" simplePos="0" relativeHeight="251661312" behindDoc="0" locked="0" layoutInCell="1" allowOverlap="1" wp14:anchorId="6FEAF5D1" wp14:editId="7255E0DD">
              <wp:simplePos x="635" y="635"/>
              <wp:positionH relativeFrom="page">
                <wp:align>center</wp:align>
              </wp:positionH>
              <wp:positionV relativeFrom="page">
                <wp:align>top</wp:align>
              </wp:positionV>
              <wp:extent cx="622300" cy="480695"/>
              <wp:effectExtent l="0" t="0" r="6350" b="14605"/>
              <wp:wrapNone/>
              <wp:docPr id="200339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7968C58" w14:textId="0592C298" w:rsidR="005177CA" w:rsidRPr="005177CA" w:rsidRDefault="005177CA" w:rsidP="005177CA">
                          <w:pPr>
                            <w:spacing w:after="0"/>
                            <w:rPr>
                              <w:rFonts w:ascii="Aptos" w:eastAsia="Aptos" w:hAnsi="Aptos" w:cs="Aptos"/>
                              <w:noProof/>
                              <w:color w:val="FF0000"/>
                              <w:sz w:val="24"/>
                            </w:rPr>
                          </w:pPr>
                          <w:r w:rsidRPr="005177C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AF5D1"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17968C58" w14:textId="0592C298" w:rsidR="005177CA" w:rsidRPr="005177CA" w:rsidRDefault="005177CA" w:rsidP="005177CA">
                    <w:pPr>
                      <w:spacing w:after="0"/>
                      <w:rPr>
                        <w:rFonts w:ascii="Aptos" w:eastAsia="Aptos" w:hAnsi="Aptos" w:cs="Aptos"/>
                        <w:noProof/>
                        <w:color w:val="FF0000"/>
                        <w:sz w:val="24"/>
                      </w:rPr>
                    </w:pPr>
                    <w:r w:rsidRPr="005177CA">
                      <w:rPr>
                        <w:rFonts w:ascii="Aptos" w:eastAsia="Aptos" w:hAnsi="Aptos" w:cs="Aptos"/>
                        <w:noProof/>
                        <w:color w:val="FF0000"/>
                        <w:sz w:val="24"/>
                      </w:rPr>
                      <w:t>OFFICIAL</w:t>
                    </w:r>
                  </w:p>
                </w:txbxContent>
              </v:textbox>
              <w10:wrap anchorx="page" anchory="page"/>
            </v:shape>
          </w:pict>
        </mc:Fallback>
      </mc:AlternateContent>
    </w:r>
    <w:r w:rsidR="008D48C9">
      <w:rPr>
        <w:noProof/>
        <w:lang w:eastAsia="en-AU"/>
      </w:rPr>
      <w:drawing>
        <wp:anchor distT="0" distB="0" distL="114300" distR="114300" simplePos="0" relativeHeight="251658240" behindDoc="0" locked="0" layoutInCell="1" allowOverlap="1" wp14:anchorId="5CDDD921" wp14:editId="2E707076">
          <wp:simplePos x="0" y="0"/>
          <wp:positionH relativeFrom="column">
            <wp:posOffset>4688205</wp:posOffset>
          </wp:positionH>
          <wp:positionV relativeFrom="paragraph">
            <wp:posOffset>-3175</wp:posOffset>
          </wp:positionV>
          <wp:extent cx="1403985" cy="870585"/>
          <wp:effectExtent l="0" t="0" r="5715" b="571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sidR="008D48C9">
      <w:rPr>
        <w:noProof/>
        <w:lang w:eastAsia="en-AU"/>
      </w:rPr>
      <w:drawing>
        <wp:inline distT="0" distB="0" distL="0" distR="0" wp14:anchorId="2EB6BBDD" wp14:editId="10F26421">
          <wp:extent cx="1404000" cy="932400"/>
          <wp:effectExtent l="0" t="0" r="5715" b="1270"/>
          <wp:docPr id="10" name="Picture 10"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Cr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sidR="008D48C9">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7D45" w14:textId="6BF138A1" w:rsidR="008B5857" w:rsidRPr="006369BD" w:rsidRDefault="00646A73" w:rsidP="006369BD">
    <w:pPr>
      <w:pStyle w:val="Header"/>
    </w:pPr>
    <w:r>
      <w:rPr>
        <w:noProof/>
        <w:lang w:eastAsia="en-AU"/>
      </w:rPr>
      <w:drawing>
        <wp:inline distT="0" distB="0" distL="0" distR="0" wp14:anchorId="20166596" wp14:editId="1643F0F4">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7B7F" w14:textId="58AA75C7" w:rsidR="008E0C77" w:rsidRPr="000B3E4A" w:rsidRDefault="003A42CB" w:rsidP="000B3E4A">
    <w:pPr>
      <w:pStyle w:val="Footer"/>
      <w:tabs>
        <w:tab w:val="clear" w:pos="4513"/>
      </w:tabs>
      <w:rPr>
        <w:sz w:val="16"/>
        <w:szCs w:val="20"/>
      </w:rPr>
    </w:pPr>
    <w:r>
      <w:rPr>
        <w:sz w:val="16"/>
      </w:rPr>
      <w:t>Guidelines for the treatment of HT1 through the LSDP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7637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E0A23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774071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B90B39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E8E3F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2C67E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1788" w:hanging="360"/>
      </w:pPr>
      <w:rPr>
        <w:rFonts w:ascii="Symbol" w:hAnsi="Symbol" w:hint="default"/>
        <w:color w:val="000000" w:themeColor="text1"/>
      </w:rPr>
    </w:lvl>
    <w:lvl w:ilvl="1" w:tplc="0C090003" w:tentative="1">
      <w:start w:val="1"/>
      <w:numFmt w:val="bullet"/>
      <w:lvlText w:val="o"/>
      <w:lvlJc w:val="left"/>
      <w:pPr>
        <w:ind w:left="2868" w:hanging="360"/>
      </w:pPr>
      <w:rPr>
        <w:rFonts w:ascii="Courier New" w:hAnsi="Courier New" w:cs="Courier New" w:hint="default"/>
      </w:rPr>
    </w:lvl>
    <w:lvl w:ilvl="2" w:tplc="0C090005" w:tentative="1">
      <w:start w:val="1"/>
      <w:numFmt w:val="bullet"/>
      <w:lvlText w:val=""/>
      <w:lvlJc w:val="left"/>
      <w:pPr>
        <w:ind w:left="3588" w:hanging="360"/>
      </w:pPr>
      <w:rPr>
        <w:rFonts w:ascii="Wingdings" w:hAnsi="Wingdings" w:hint="default"/>
      </w:rPr>
    </w:lvl>
    <w:lvl w:ilvl="3" w:tplc="0C090001" w:tentative="1">
      <w:start w:val="1"/>
      <w:numFmt w:val="bullet"/>
      <w:lvlText w:val=""/>
      <w:lvlJc w:val="left"/>
      <w:pPr>
        <w:ind w:left="4308" w:hanging="360"/>
      </w:pPr>
      <w:rPr>
        <w:rFonts w:ascii="Symbol" w:hAnsi="Symbol" w:hint="default"/>
      </w:rPr>
    </w:lvl>
    <w:lvl w:ilvl="4" w:tplc="0C090003" w:tentative="1">
      <w:start w:val="1"/>
      <w:numFmt w:val="bullet"/>
      <w:lvlText w:val="o"/>
      <w:lvlJc w:val="left"/>
      <w:pPr>
        <w:ind w:left="5028" w:hanging="360"/>
      </w:pPr>
      <w:rPr>
        <w:rFonts w:ascii="Courier New" w:hAnsi="Courier New" w:cs="Courier New" w:hint="default"/>
      </w:rPr>
    </w:lvl>
    <w:lvl w:ilvl="5" w:tplc="0C090005" w:tentative="1">
      <w:start w:val="1"/>
      <w:numFmt w:val="bullet"/>
      <w:lvlText w:val=""/>
      <w:lvlJc w:val="left"/>
      <w:pPr>
        <w:ind w:left="5748" w:hanging="360"/>
      </w:pPr>
      <w:rPr>
        <w:rFonts w:ascii="Wingdings" w:hAnsi="Wingdings" w:hint="default"/>
      </w:rPr>
    </w:lvl>
    <w:lvl w:ilvl="6" w:tplc="0C090001" w:tentative="1">
      <w:start w:val="1"/>
      <w:numFmt w:val="bullet"/>
      <w:lvlText w:val=""/>
      <w:lvlJc w:val="left"/>
      <w:pPr>
        <w:ind w:left="6468" w:hanging="360"/>
      </w:pPr>
      <w:rPr>
        <w:rFonts w:ascii="Symbol" w:hAnsi="Symbol" w:hint="default"/>
      </w:rPr>
    </w:lvl>
    <w:lvl w:ilvl="7" w:tplc="0C090003" w:tentative="1">
      <w:start w:val="1"/>
      <w:numFmt w:val="bullet"/>
      <w:lvlText w:val="o"/>
      <w:lvlJc w:val="left"/>
      <w:pPr>
        <w:ind w:left="7188" w:hanging="360"/>
      </w:pPr>
      <w:rPr>
        <w:rFonts w:ascii="Courier New" w:hAnsi="Courier New" w:cs="Courier New" w:hint="default"/>
      </w:rPr>
    </w:lvl>
    <w:lvl w:ilvl="8" w:tplc="0C090005" w:tentative="1">
      <w:start w:val="1"/>
      <w:numFmt w:val="bullet"/>
      <w:lvlText w:val=""/>
      <w:lvlJc w:val="left"/>
      <w:pPr>
        <w:ind w:left="7908" w:hanging="360"/>
      </w:pPr>
      <w:rPr>
        <w:rFonts w:ascii="Wingdings" w:hAnsi="Wingdings" w:hint="default"/>
      </w:rPr>
    </w:lvl>
  </w:abstractNum>
  <w:abstractNum w:abstractNumId="11" w15:restartNumberingAfterBreak="0">
    <w:nsid w:val="1A9C0953"/>
    <w:multiLevelType w:val="hybridMultilevel"/>
    <w:tmpl w:val="B99058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414E1"/>
    <w:multiLevelType w:val="hybridMultilevel"/>
    <w:tmpl w:val="62BE8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D908A2"/>
    <w:multiLevelType w:val="hybridMultilevel"/>
    <w:tmpl w:val="C220D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C75B1"/>
    <w:multiLevelType w:val="multilevel"/>
    <w:tmpl w:val="50DA42F2"/>
    <w:lvl w:ilvl="0">
      <w:start w:val="1"/>
      <w:numFmt w:val="decimal"/>
      <w:lvlText w:val="%1."/>
      <w:lvlJc w:val="left"/>
      <w:pPr>
        <w:ind w:left="848" w:hanging="720"/>
      </w:pPr>
      <w:rPr>
        <w:rFonts w:ascii="Cambria" w:eastAsia="Cambria" w:hAnsi="Cambria" w:cs="Cambria" w:hint="default"/>
        <w:b/>
        <w:bCs/>
        <w:spacing w:val="-7"/>
        <w:w w:val="100"/>
        <w:sz w:val="24"/>
        <w:szCs w:val="24"/>
      </w:rPr>
    </w:lvl>
    <w:lvl w:ilvl="1">
      <w:start w:val="1"/>
      <w:numFmt w:val="decimal"/>
      <w:lvlText w:val="%1.%2"/>
      <w:lvlJc w:val="left"/>
      <w:pPr>
        <w:ind w:left="848" w:hanging="720"/>
      </w:pPr>
      <w:rPr>
        <w:rFonts w:ascii="Cambria" w:eastAsia="Cambria" w:hAnsi="Cambria" w:cs="Cambria" w:hint="default"/>
        <w:b/>
        <w:bCs/>
        <w:spacing w:val="-4"/>
        <w:w w:val="100"/>
        <w:sz w:val="20"/>
        <w:szCs w:val="20"/>
      </w:rPr>
    </w:lvl>
    <w:lvl w:ilvl="2">
      <w:numFmt w:val="bullet"/>
      <w:lvlText w:val="•"/>
      <w:lvlJc w:val="left"/>
      <w:pPr>
        <w:ind w:left="734" w:hanging="720"/>
      </w:pPr>
      <w:rPr>
        <w:rFonts w:hint="default"/>
      </w:rPr>
    </w:lvl>
    <w:lvl w:ilvl="3">
      <w:numFmt w:val="bullet"/>
      <w:lvlText w:val="•"/>
      <w:lvlJc w:val="left"/>
      <w:pPr>
        <w:ind w:left="608" w:hanging="720"/>
      </w:pPr>
      <w:rPr>
        <w:rFonts w:hint="default"/>
      </w:rPr>
    </w:lvl>
    <w:lvl w:ilvl="4">
      <w:numFmt w:val="bullet"/>
      <w:lvlText w:val="•"/>
      <w:lvlJc w:val="left"/>
      <w:pPr>
        <w:ind w:left="482" w:hanging="720"/>
      </w:pPr>
      <w:rPr>
        <w:rFonts w:hint="default"/>
      </w:rPr>
    </w:lvl>
    <w:lvl w:ilvl="5">
      <w:numFmt w:val="bullet"/>
      <w:lvlText w:val="•"/>
      <w:lvlJc w:val="left"/>
      <w:pPr>
        <w:ind w:left="356" w:hanging="720"/>
      </w:pPr>
      <w:rPr>
        <w:rFonts w:hint="default"/>
      </w:rPr>
    </w:lvl>
    <w:lvl w:ilvl="6">
      <w:numFmt w:val="bullet"/>
      <w:lvlText w:val="•"/>
      <w:lvlJc w:val="left"/>
      <w:pPr>
        <w:ind w:left="230" w:hanging="720"/>
      </w:pPr>
      <w:rPr>
        <w:rFonts w:hint="default"/>
      </w:rPr>
    </w:lvl>
    <w:lvl w:ilvl="7">
      <w:numFmt w:val="bullet"/>
      <w:lvlText w:val="•"/>
      <w:lvlJc w:val="left"/>
      <w:pPr>
        <w:ind w:left="105" w:hanging="720"/>
      </w:pPr>
      <w:rPr>
        <w:rFonts w:hint="default"/>
      </w:rPr>
    </w:lvl>
    <w:lvl w:ilvl="8">
      <w:numFmt w:val="bullet"/>
      <w:lvlText w:val="•"/>
      <w:lvlJc w:val="left"/>
      <w:pPr>
        <w:ind w:left="-21" w:hanging="720"/>
      </w:pPr>
      <w:rPr>
        <w:rFonts w:hint="default"/>
      </w:rPr>
    </w:lvl>
  </w:abstractNum>
  <w:abstractNum w:abstractNumId="16"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8DD2476"/>
    <w:multiLevelType w:val="hybridMultilevel"/>
    <w:tmpl w:val="199E3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57601F"/>
    <w:multiLevelType w:val="hybridMultilevel"/>
    <w:tmpl w:val="81B8F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84319F"/>
    <w:multiLevelType w:val="multilevel"/>
    <w:tmpl w:val="9C981866"/>
    <w:lvl w:ilvl="0">
      <w:start w:val="3"/>
      <w:numFmt w:val="decimal"/>
      <w:lvlText w:val="%1."/>
      <w:lvlJc w:val="left"/>
      <w:pPr>
        <w:ind w:left="848" w:hanging="720"/>
      </w:pPr>
      <w:rPr>
        <w:rFonts w:ascii="Cambria" w:eastAsia="Cambria" w:hAnsi="Cambria" w:cs="Cambria" w:hint="default"/>
        <w:b/>
        <w:bCs/>
        <w:spacing w:val="-1"/>
        <w:w w:val="100"/>
        <w:sz w:val="24"/>
        <w:szCs w:val="24"/>
      </w:rPr>
    </w:lvl>
    <w:lvl w:ilvl="1">
      <w:start w:val="1"/>
      <w:numFmt w:val="decimal"/>
      <w:lvlText w:val="%1.%2"/>
      <w:lvlJc w:val="left"/>
      <w:pPr>
        <w:ind w:left="848" w:hanging="720"/>
      </w:pPr>
      <w:rPr>
        <w:rFonts w:ascii="Cambria" w:eastAsia="Cambria" w:hAnsi="Cambria" w:cs="Cambria" w:hint="default"/>
        <w:b/>
        <w:bCs/>
        <w:spacing w:val="-1"/>
        <w:w w:val="100"/>
        <w:sz w:val="20"/>
        <w:szCs w:val="20"/>
      </w:rPr>
    </w:lvl>
    <w:lvl w:ilvl="2">
      <w:numFmt w:val="bullet"/>
      <w:lvlText w:val="•"/>
      <w:lvlJc w:val="left"/>
      <w:pPr>
        <w:ind w:left="1769" w:hanging="720"/>
      </w:pPr>
      <w:rPr>
        <w:rFonts w:hint="default"/>
      </w:rPr>
    </w:lvl>
    <w:lvl w:ilvl="3">
      <w:numFmt w:val="bullet"/>
      <w:lvlText w:val="•"/>
      <w:lvlJc w:val="left"/>
      <w:pPr>
        <w:ind w:left="2234" w:hanging="720"/>
      </w:pPr>
      <w:rPr>
        <w:rFonts w:hint="default"/>
      </w:rPr>
    </w:lvl>
    <w:lvl w:ilvl="4">
      <w:numFmt w:val="bullet"/>
      <w:lvlText w:val="•"/>
      <w:lvlJc w:val="left"/>
      <w:pPr>
        <w:ind w:left="2698" w:hanging="720"/>
      </w:pPr>
      <w:rPr>
        <w:rFonts w:hint="default"/>
      </w:rPr>
    </w:lvl>
    <w:lvl w:ilvl="5">
      <w:numFmt w:val="bullet"/>
      <w:lvlText w:val="•"/>
      <w:lvlJc w:val="left"/>
      <w:pPr>
        <w:ind w:left="3163" w:hanging="720"/>
      </w:pPr>
      <w:rPr>
        <w:rFonts w:hint="default"/>
      </w:rPr>
    </w:lvl>
    <w:lvl w:ilvl="6">
      <w:numFmt w:val="bullet"/>
      <w:lvlText w:val="•"/>
      <w:lvlJc w:val="left"/>
      <w:pPr>
        <w:ind w:left="3628" w:hanging="720"/>
      </w:pPr>
      <w:rPr>
        <w:rFonts w:hint="default"/>
      </w:rPr>
    </w:lvl>
    <w:lvl w:ilvl="7">
      <w:numFmt w:val="bullet"/>
      <w:lvlText w:val="•"/>
      <w:lvlJc w:val="left"/>
      <w:pPr>
        <w:ind w:left="4093" w:hanging="720"/>
      </w:pPr>
      <w:rPr>
        <w:rFonts w:hint="default"/>
      </w:rPr>
    </w:lvl>
    <w:lvl w:ilvl="8">
      <w:numFmt w:val="bullet"/>
      <w:lvlText w:val="•"/>
      <w:lvlJc w:val="left"/>
      <w:pPr>
        <w:ind w:left="4557" w:hanging="720"/>
      </w:pPr>
      <w:rPr>
        <w:rFont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807844"/>
    <w:multiLevelType w:val="hybridMultilevel"/>
    <w:tmpl w:val="57BEA966"/>
    <w:lvl w:ilvl="0" w:tplc="624C948C">
      <w:start w:val="1"/>
      <w:numFmt w:val="decimal"/>
      <w:lvlText w:val="%1."/>
      <w:lvlJc w:val="left"/>
      <w:pPr>
        <w:ind w:left="128" w:hanging="196"/>
      </w:pPr>
      <w:rPr>
        <w:rFonts w:ascii="Cambria" w:eastAsia="Cambria" w:hAnsi="Cambria" w:cs="Cambria" w:hint="default"/>
        <w:spacing w:val="-1"/>
        <w:w w:val="100"/>
        <w:sz w:val="20"/>
        <w:szCs w:val="20"/>
      </w:rPr>
    </w:lvl>
    <w:lvl w:ilvl="1" w:tplc="4C5836A2">
      <w:numFmt w:val="bullet"/>
      <w:lvlText w:val="•"/>
      <w:lvlJc w:val="left"/>
      <w:pPr>
        <w:ind w:left="668" w:hanging="196"/>
      </w:pPr>
      <w:rPr>
        <w:rFonts w:hint="default"/>
      </w:rPr>
    </w:lvl>
    <w:lvl w:ilvl="2" w:tplc="44FA9464">
      <w:numFmt w:val="bullet"/>
      <w:lvlText w:val="•"/>
      <w:lvlJc w:val="left"/>
      <w:pPr>
        <w:ind w:left="1216" w:hanging="196"/>
      </w:pPr>
      <w:rPr>
        <w:rFonts w:hint="default"/>
      </w:rPr>
    </w:lvl>
    <w:lvl w:ilvl="3" w:tplc="65C2200A">
      <w:numFmt w:val="bullet"/>
      <w:lvlText w:val="•"/>
      <w:lvlJc w:val="left"/>
      <w:pPr>
        <w:ind w:left="1764" w:hanging="196"/>
      </w:pPr>
      <w:rPr>
        <w:rFonts w:hint="default"/>
      </w:rPr>
    </w:lvl>
    <w:lvl w:ilvl="4" w:tplc="6442CAFC">
      <w:numFmt w:val="bullet"/>
      <w:lvlText w:val="•"/>
      <w:lvlJc w:val="left"/>
      <w:pPr>
        <w:ind w:left="2312" w:hanging="196"/>
      </w:pPr>
      <w:rPr>
        <w:rFonts w:hint="default"/>
      </w:rPr>
    </w:lvl>
    <w:lvl w:ilvl="5" w:tplc="D0723782">
      <w:numFmt w:val="bullet"/>
      <w:lvlText w:val="•"/>
      <w:lvlJc w:val="left"/>
      <w:pPr>
        <w:ind w:left="2860" w:hanging="196"/>
      </w:pPr>
      <w:rPr>
        <w:rFonts w:hint="default"/>
      </w:rPr>
    </w:lvl>
    <w:lvl w:ilvl="6" w:tplc="C2746082">
      <w:numFmt w:val="bullet"/>
      <w:lvlText w:val="•"/>
      <w:lvlJc w:val="left"/>
      <w:pPr>
        <w:ind w:left="3408" w:hanging="196"/>
      </w:pPr>
      <w:rPr>
        <w:rFonts w:hint="default"/>
      </w:rPr>
    </w:lvl>
    <w:lvl w:ilvl="7" w:tplc="DADA6E6A">
      <w:numFmt w:val="bullet"/>
      <w:lvlText w:val="•"/>
      <w:lvlJc w:val="left"/>
      <w:pPr>
        <w:ind w:left="3956" w:hanging="196"/>
      </w:pPr>
      <w:rPr>
        <w:rFonts w:hint="default"/>
      </w:rPr>
    </w:lvl>
    <w:lvl w:ilvl="8" w:tplc="62B4EB16">
      <w:numFmt w:val="bullet"/>
      <w:lvlText w:val="•"/>
      <w:lvlJc w:val="left"/>
      <w:pPr>
        <w:ind w:left="4504" w:hanging="196"/>
      </w:pPr>
      <w:rPr>
        <w:rFont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1E31032"/>
    <w:multiLevelType w:val="hybridMultilevel"/>
    <w:tmpl w:val="DDE06B8E"/>
    <w:lvl w:ilvl="0" w:tplc="C4B26CB0">
      <w:start w:val="1"/>
      <w:numFmt w:val="lowerLetter"/>
      <w:lvlText w:val="%1)"/>
      <w:lvlJc w:val="left"/>
      <w:pPr>
        <w:ind w:left="346" w:hanging="218"/>
      </w:pPr>
      <w:rPr>
        <w:rFonts w:ascii="Cambria" w:eastAsia="Cambria" w:hAnsi="Cambria" w:cs="Cambria" w:hint="default"/>
        <w:spacing w:val="-1"/>
        <w:w w:val="100"/>
        <w:sz w:val="20"/>
        <w:szCs w:val="20"/>
      </w:rPr>
    </w:lvl>
    <w:lvl w:ilvl="1" w:tplc="F8B8707E">
      <w:numFmt w:val="bullet"/>
      <w:lvlText w:val="•"/>
      <w:lvlJc w:val="left"/>
      <w:pPr>
        <w:ind w:left="866" w:hanging="218"/>
      </w:pPr>
      <w:rPr>
        <w:rFonts w:hint="default"/>
      </w:rPr>
    </w:lvl>
    <w:lvl w:ilvl="2" w:tplc="FFF03326">
      <w:numFmt w:val="bullet"/>
      <w:lvlText w:val="•"/>
      <w:lvlJc w:val="left"/>
      <w:pPr>
        <w:ind w:left="1392" w:hanging="218"/>
      </w:pPr>
      <w:rPr>
        <w:rFonts w:hint="default"/>
      </w:rPr>
    </w:lvl>
    <w:lvl w:ilvl="3" w:tplc="C6DC69E6">
      <w:numFmt w:val="bullet"/>
      <w:lvlText w:val="•"/>
      <w:lvlJc w:val="left"/>
      <w:pPr>
        <w:ind w:left="1918" w:hanging="218"/>
      </w:pPr>
      <w:rPr>
        <w:rFonts w:hint="default"/>
      </w:rPr>
    </w:lvl>
    <w:lvl w:ilvl="4" w:tplc="012082DE">
      <w:numFmt w:val="bullet"/>
      <w:lvlText w:val="•"/>
      <w:lvlJc w:val="left"/>
      <w:pPr>
        <w:ind w:left="2444" w:hanging="218"/>
      </w:pPr>
      <w:rPr>
        <w:rFonts w:hint="default"/>
      </w:rPr>
    </w:lvl>
    <w:lvl w:ilvl="5" w:tplc="1AC2CCE4">
      <w:numFmt w:val="bullet"/>
      <w:lvlText w:val="•"/>
      <w:lvlJc w:val="left"/>
      <w:pPr>
        <w:ind w:left="2970" w:hanging="218"/>
      </w:pPr>
      <w:rPr>
        <w:rFonts w:hint="default"/>
      </w:rPr>
    </w:lvl>
    <w:lvl w:ilvl="6" w:tplc="EA3A5630">
      <w:numFmt w:val="bullet"/>
      <w:lvlText w:val="•"/>
      <w:lvlJc w:val="left"/>
      <w:pPr>
        <w:ind w:left="3496" w:hanging="218"/>
      </w:pPr>
      <w:rPr>
        <w:rFonts w:hint="default"/>
      </w:rPr>
    </w:lvl>
    <w:lvl w:ilvl="7" w:tplc="FAC2ACE6">
      <w:numFmt w:val="bullet"/>
      <w:lvlText w:val="•"/>
      <w:lvlJc w:val="left"/>
      <w:pPr>
        <w:ind w:left="4022" w:hanging="218"/>
      </w:pPr>
      <w:rPr>
        <w:rFonts w:hint="default"/>
      </w:rPr>
    </w:lvl>
    <w:lvl w:ilvl="8" w:tplc="9628F632">
      <w:numFmt w:val="bullet"/>
      <w:lvlText w:val="•"/>
      <w:lvlJc w:val="left"/>
      <w:pPr>
        <w:ind w:left="4548" w:hanging="218"/>
      </w:pPr>
      <w:rPr>
        <w:rFont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59956180">
    <w:abstractNumId w:val="7"/>
  </w:num>
  <w:num w:numId="2" w16cid:durableId="829902458">
    <w:abstractNumId w:val="22"/>
  </w:num>
  <w:num w:numId="3" w16cid:durableId="2098499">
    <w:abstractNumId w:val="25"/>
  </w:num>
  <w:num w:numId="4" w16cid:durableId="409498627">
    <w:abstractNumId w:val="8"/>
  </w:num>
  <w:num w:numId="5" w16cid:durableId="1180504265">
    <w:abstractNumId w:val="8"/>
    <w:lvlOverride w:ilvl="0">
      <w:startOverride w:val="1"/>
    </w:lvlOverride>
  </w:num>
  <w:num w:numId="6" w16cid:durableId="1513567646">
    <w:abstractNumId w:val="9"/>
  </w:num>
  <w:num w:numId="7" w16cid:durableId="1527867027">
    <w:abstractNumId w:val="20"/>
  </w:num>
  <w:num w:numId="8" w16cid:durableId="2057970788">
    <w:abstractNumId w:val="24"/>
  </w:num>
  <w:num w:numId="9" w16cid:durableId="466626918">
    <w:abstractNumId w:val="5"/>
  </w:num>
  <w:num w:numId="10" w16cid:durableId="1234127063">
    <w:abstractNumId w:val="4"/>
  </w:num>
  <w:num w:numId="11" w16cid:durableId="409549069">
    <w:abstractNumId w:val="3"/>
  </w:num>
  <w:num w:numId="12" w16cid:durableId="1931038525">
    <w:abstractNumId w:val="2"/>
  </w:num>
  <w:num w:numId="13" w16cid:durableId="557209912">
    <w:abstractNumId w:val="6"/>
  </w:num>
  <w:num w:numId="14" w16cid:durableId="2069066650">
    <w:abstractNumId w:val="1"/>
  </w:num>
  <w:num w:numId="15" w16cid:durableId="1733888469">
    <w:abstractNumId w:val="0"/>
  </w:num>
  <w:num w:numId="16" w16cid:durableId="528373460">
    <w:abstractNumId w:val="26"/>
  </w:num>
  <w:num w:numId="17" w16cid:durableId="507790487">
    <w:abstractNumId w:val="10"/>
  </w:num>
  <w:num w:numId="18" w16cid:durableId="438986436">
    <w:abstractNumId w:val="12"/>
  </w:num>
  <w:num w:numId="19" w16cid:durableId="549268817">
    <w:abstractNumId w:val="16"/>
  </w:num>
  <w:num w:numId="20" w16cid:durableId="197620973">
    <w:abstractNumId w:val="15"/>
  </w:num>
  <w:num w:numId="21" w16cid:durableId="1415929778">
    <w:abstractNumId w:val="21"/>
  </w:num>
  <w:num w:numId="22" w16cid:durableId="1257834784">
    <w:abstractNumId w:val="13"/>
  </w:num>
  <w:num w:numId="23" w16cid:durableId="497617279">
    <w:abstractNumId w:val="17"/>
  </w:num>
  <w:num w:numId="24" w16cid:durableId="334042272">
    <w:abstractNumId w:val="23"/>
  </w:num>
  <w:num w:numId="25" w16cid:durableId="908005800">
    <w:abstractNumId w:val="19"/>
  </w:num>
  <w:num w:numId="26" w16cid:durableId="1338921557">
    <w:abstractNumId w:val="14"/>
  </w:num>
  <w:num w:numId="27" w16cid:durableId="368720602">
    <w:abstractNumId w:val="18"/>
  </w:num>
  <w:num w:numId="28" w16cid:durableId="1974482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CB"/>
    <w:rsid w:val="0000310A"/>
    <w:rsid w:val="00003743"/>
    <w:rsid w:val="000047B4"/>
    <w:rsid w:val="00005712"/>
    <w:rsid w:val="00006B7E"/>
    <w:rsid w:val="00007FD8"/>
    <w:rsid w:val="000117F8"/>
    <w:rsid w:val="000118C9"/>
    <w:rsid w:val="00013A7D"/>
    <w:rsid w:val="0001460F"/>
    <w:rsid w:val="00022629"/>
    <w:rsid w:val="0002547C"/>
    <w:rsid w:val="00026139"/>
    <w:rsid w:val="00027601"/>
    <w:rsid w:val="00033321"/>
    <w:rsid w:val="000338E5"/>
    <w:rsid w:val="00033ECC"/>
    <w:rsid w:val="0003422F"/>
    <w:rsid w:val="00046FF0"/>
    <w:rsid w:val="00050176"/>
    <w:rsid w:val="00050342"/>
    <w:rsid w:val="00067456"/>
    <w:rsid w:val="00071506"/>
    <w:rsid w:val="0007154F"/>
    <w:rsid w:val="00080234"/>
    <w:rsid w:val="00081AB1"/>
    <w:rsid w:val="00090316"/>
    <w:rsid w:val="00093981"/>
    <w:rsid w:val="000B067A"/>
    <w:rsid w:val="000B1540"/>
    <w:rsid w:val="000B1E53"/>
    <w:rsid w:val="000B33FD"/>
    <w:rsid w:val="000B3E4A"/>
    <w:rsid w:val="000B4ABA"/>
    <w:rsid w:val="000C4B16"/>
    <w:rsid w:val="000C50C3"/>
    <w:rsid w:val="000C5E14"/>
    <w:rsid w:val="000D21F6"/>
    <w:rsid w:val="000D4500"/>
    <w:rsid w:val="000D7AEA"/>
    <w:rsid w:val="000E2C66"/>
    <w:rsid w:val="000F123C"/>
    <w:rsid w:val="000F2FED"/>
    <w:rsid w:val="000F5388"/>
    <w:rsid w:val="0010616D"/>
    <w:rsid w:val="00110478"/>
    <w:rsid w:val="00111596"/>
    <w:rsid w:val="00115E0A"/>
    <w:rsid w:val="0011711B"/>
    <w:rsid w:val="00117F8A"/>
    <w:rsid w:val="00121B9B"/>
    <w:rsid w:val="00122ADC"/>
    <w:rsid w:val="00124426"/>
    <w:rsid w:val="00130F59"/>
    <w:rsid w:val="00133EC0"/>
    <w:rsid w:val="00141CE5"/>
    <w:rsid w:val="00144908"/>
    <w:rsid w:val="00151A8D"/>
    <w:rsid w:val="001571C7"/>
    <w:rsid w:val="00161094"/>
    <w:rsid w:val="001618D4"/>
    <w:rsid w:val="001677AF"/>
    <w:rsid w:val="0017665C"/>
    <w:rsid w:val="00177AD2"/>
    <w:rsid w:val="00180F23"/>
    <w:rsid w:val="001815A8"/>
    <w:rsid w:val="001840FA"/>
    <w:rsid w:val="00190079"/>
    <w:rsid w:val="00191513"/>
    <w:rsid w:val="0019622E"/>
    <w:rsid w:val="001966A7"/>
    <w:rsid w:val="001A4627"/>
    <w:rsid w:val="001A4979"/>
    <w:rsid w:val="001A6AEE"/>
    <w:rsid w:val="001B15D3"/>
    <w:rsid w:val="001B3443"/>
    <w:rsid w:val="001C0326"/>
    <w:rsid w:val="001C192F"/>
    <w:rsid w:val="001C3C42"/>
    <w:rsid w:val="001C44E6"/>
    <w:rsid w:val="001D7869"/>
    <w:rsid w:val="002026CD"/>
    <w:rsid w:val="002033FC"/>
    <w:rsid w:val="002044BB"/>
    <w:rsid w:val="00210B09"/>
    <w:rsid w:val="00210C9E"/>
    <w:rsid w:val="00211840"/>
    <w:rsid w:val="00220E5F"/>
    <w:rsid w:val="002212B5"/>
    <w:rsid w:val="0022445D"/>
    <w:rsid w:val="00225CED"/>
    <w:rsid w:val="00226668"/>
    <w:rsid w:val="002311CD"/>
    <w:rsid w:val="00233809"/>
    <w:rsid w:val="00240046"/>
    <w:rsid w:val="0024797F"/>
    <w:rsid w:val="0025119E"/>
    <w:rsid w:val="00251269"/>
    <w:rsid w:val="002535C0"/>
    <w:rsid w:val="002579FE"/>
    <w:rsid w:val="0026311C"/>
    <w:rsid w:val="0026668C"/>
    <w:rsid w:val="00266AC1"/>
    <w:rsid w:val="0026799F"/>
    <w:rsid w:val="0027178C"/>
    <w:rsid w:val="002719FA"/>
    <w:rsid w:val="00272668"/>
    <w:rsid w:val="0027330B"/>
    <w:rsid w:val="002803AD"/>
    <w:rsid w:val="002816F5"/>
    <w:rsid w:val="00282052"/>
    <w:rsid w:val="00283EFB"/>
    <w:rsid w:val="0028519E"/>
    <w:rsid w:val="002856A5"/>
    <w:rsid w:val="002872ED"/>
    <w:rsid w:val="002905C2"/>
    <w:rsid w:val="00291E8A"/>
    <w:rsid w:val="00295AF2"/>
    <w:rsid w:val="00295C91"/>
    <w:rsid w:val="00297151"/>
    <w:rsid w:val="002A09C3"/>
    <w:rsid w:val="002A4068"/>
    <w:rsid w:val="002B20E6"/>
    <w:rsid w:val="002B42A3"/>
    <w:rsid w:val="002C0CDD"/>
    <w:rsid w:val="002C38C4"/>
    <w:rsid w:val="002E1A1D"/>
    <w:rsid w:val="002E4081"/>
    <w:rsid w:val="002E5B78"/>
    <w:rsid w:val="002F3AE3"/>
    <w:rsid w:val="0030464B"/>
    <w:rsid w:val="0030786C"/>
    <w:rsid w:val="003107AF"/>
    <w:rsid w:val="00311EDD"/>
    <w:rsid w:val="003233DE"/>
    <w:rsid w:val="0032466B"/>
    <w:rsid w:val="003330EB"/>
    <w:rsid w:val="0034057A"/>
    <w:rsid w:val="003415FD"/>
    <w:rsid w:val="003429F0"/>
    <w:rsid w:val="00345A82"/>
    <w:rsid w:val="0035097A"/>
    <w:rsid w:val="0035376E"/>
    <w:rsid w:val="003540A4"/>
    <w:rsid w:val="00355F8D"/>
    <w:rsid w:val="00357BCC"/>
    <w:rsid w:val="00360E4E"/>
    <w:rsid w:val="00370AAA"/>
    <w:rsid w:val="00375F77"/>
    <w:rsid w:val="00381BBE"/>
    <w:rsid w:val="00382903"/>
    <w:rsid w:val="003846FF"/>
    <w:rsid w:val="003857D4"/>
    <w:rsid w:val="00385AD4"/>
    <w:rsid w:val="00387924"/>
    <w:rsid w:val="0039384D"/>
    <w:rsid w:val="00395C23"/>
    <w:rsid w:val="003A2E4F"/>
    <w:rsid w:val="003A42CB"/>
    <w:rsid w:val="003A4438"/>
    <w:rsid w:val="003A5013"/>
    <w:rsid w:val="003A5078"/>
    <w:rsid w:val="003A62DD"/>
    <w:rsid w:val="003A770E"/>
    <w:rsid w:val="003A775A"/>
    <w:rsid w:val="003B022C"/>
    <w:rsid w:val="003B05B3"/>
    <w:rsid w:val="003B0634"/>
    <w:rsid w:val="003B213A"/>
    <w:rsid w:val="003B43AD"/>
    <w:rsid w:val="003C0FEC"/>
    <w:rsid w:val="003C2AC8"/>
    <w:rsid w:val="003D033A"/>
    <w:rsid w:val="003D17F9"/>
    <w:rsid w:val="003D2D88"/>
    <w:rsid w:val="003D41EA"/>
    <w:rsid w:val="003D4850"/>
    <w:rsid w:val="003D535A"/>
    <w:rsid w:val="003E4766"/>
    <w:rsid w:val="003E5265"/>
    <w:rsid w:val="003E5B77"/>
    <w:rsid w:val="003F0955"/>
    <w:rsid w:val="003F5F4D"/>
    <w:rsid w:val="003F646F"/>
    <w:rsid w:val="00400F00"/>
    <w:rsid w:val="00404F8B"/>
    <w:rsid w:val="00405256"/>
    <w:rsid w:val="00410031"/>
    <w:rsid w:val="00411550"/>
    <w:rsid w:val="004131C0"/>
    <w:rsid w:val="00415C81"/>
    <w:rsid w:val="00432378"/>
    <w:rsid w:val="00440D65"/>
    <w:rsid w:val="004435E6"/>
    <w:rsid w:val="00447637"/>
    <w:rsid w:val="00447E31"/>
    <w:rsid w:val="00453923"/>
    <w:rsid w:val="00454B9B"/>
    <w:rsid w:val="00457858"/>
    <w:rsid w:val="00460B0B"/>
    <w:rsid w:val="00461023"/>
    <w:rsid w:val="00462FAC"/>
    <w:rsid w:val="00464631"/>
    <w:rsid w:val="00464B79"/>
    <w:rsid w:val="00465212"/>
    <w:rsid w:val="00467BBF"/>
    <w:rsid w:val="00470E1D"/>
    <w:rsid w:val="0048593C"/>
    <w:rsid w:val="004867E2"/>
    <w:rsid w:val="004925A0"/>
    <w:rsid w:val="004929A9"/>
    <w:rsid w:val="00494C43"/>
    <w:rsid w:val="004A78D9"/>
    <w:rsid w:val="004A7ADE"/>
    <w:rsid w:val="004B70E1"/>
    <w:rsid w:val="004C6BCF"/>
    <w:rsid w:val="004D58BF"/>
    <w:rsid w:val="004E4335"/>
    <w:rsid w:val="004F13EE"/>
    <w:rsid w:val="004F2022"/>
    <w:rsid w:val="004F7C05"/>
    <w:rsid w:val="00501C94"/>
    <w:rsid w:val="00506432"/>
    <w:rsid w:val="005129B3"/>
    <w:rsid w:val="0051374E"/>
    <w:rsid w:val="005177CA"/>
    <w:rsid w:val="0052051D"/>
    <w:rsid w:val="005237BE"/>
    <w:rsid w:val="00545EE6"/>
    <w:rsid w:val="005550E7"/>
    <w:rsid w:val="005564FB"/>
    <w:rsid w:val="005572C7"/>
    <w:rsid w:val="005650ED"/>
    <w:rsid w:val="00575754"/>
    <w:rsid w:val="0057762F"/>
    <w:rsid w:val="00581FBA"/>
    <w:rsid w:val="00584832"/>
    <w:rsid w:val="00591E20"/>
    <w:rsid w:val="00595408"/>
    <w:rsid w:val="00595E84"/>
    <w:rsid w:val="005A0C59"/>
    <w:rsid w:val="005A0C78"/>
    <w:rsid w:val="005A48EB"/>
    <w:rsid w:val="005A6CFB"/>
    <w:rsid w:val="005C5AEB"/>
    <w:rsid w:val="005E0A3F"/>
    <w:rsid w:val="005E0B48"/>
    <w:rsid w:val="005E6883"/>
    <w:rsid w:val="005E772F"/>
    <w:rsid w:val="005F4ECA"/>
    <w:rsid w:val="006041BE"/>
    <w:rsid w:val="006043C7"/>
    <w:rsid w:val="0061706F"/>
    <w:rsid w:val="006228AC"/>
    <w:rsid w:val="00622C1D"/>
    <w:rsid w:val="00624B52"/>
    <w:rsid w:val="00630794"/>
    <w:rsid w:val="00631DF4"/>
    <w:rsid w:val="00634175"/>
    <w:rsid w:val="006369BD"/>
    <w:rsid w:val="006408AC"/>
    <w:rsid w:val="00646A73"/>
    <w:rsid w:val="006511B6"/>
    <w:rsid w:val="00657FF8"/>
    <w:rsid w:val="00670D99"/>
    <w:rsid w:val="00670E2B"/>
    <w:rsid w:val="006734BB"/>
    <w:rsid w:val="0067697A"/>
    <w:rsid w:val="006821EB"/>
    <w:rsid w:val="006B2286"/>
    <w:rsid w:val="006B298C"/>
    <w:rsid w:val="006B56BB"/>
    <w:rsid w:val="006C77A8"/>
    <w:rsid w:val="006D4098"/>
    <w:rsid w:val="006D7681"/>
    <w:rsid w:val="006D7B2E"/>
    <w:rsid w:val="006E02EA"/>
    <w:rsid w:val="006E0968"/>
    <w:rsid w:val="006E2AF6"/>
    <w:rsid w:val="00701275"/>
    <w:rsid w:val="00707F56"/>
    <w:rsid w:val="00710219"/>
    <w:rsid w:val="00713203"/>
    <w:rsid w:val="00713558"/>
    <w:rsid w:val="00720D08"/>
    <w:rsid w:val="007263B9"/>
    <w:rsid w:val="007334F8"/>
    <w:rsid w:val="007339CD"/>
    <w:rsid w:val="00733DF8"/>
    <w:rsid w:val="007359D8"/>
    <w:rsid w:val="007362D4"/>
    <w:rsid w:val="0076672A"/>
    <w:rsid w:val="00775E45"/>
    <w:rsid w:val="00776E74"/>
    <w:rsid w:val="00782FF8"/>
    <w:rsid w:val="00783D6D"/>
    <w:rsid w:val="00785169"/>
    <w:rsid w:val="007954AB"/>
    <w:rsid w:val="00797F8E"/>
    <w:rsid w:val="007A14C5"/>
    <w:rsid w:val="007A4A10"/>
    <w:rsid w:val="007B1760"/>
    <w:rsid w:val="007B1B54"/>
    <w:rsid w:val="007C03D9"/>
    <w:rsid w:val="007C1FDC"/>
    <w:rsid w:val="007C6D9C"/>
    <w:rsid w:val="007C7DDB"/>
    <w:rsid w:val="007D16A8"/>
    <w:rsid w:val="007D2CC7"/>
    <w:rsid w:val="007D673D"/>
    <w:rsid w:val="007E0F76"/>
    <w:rsid w:val="007E4968"/>
    <w:rsid w:val="007E4D09"/>
    <w:rsid w:val="007F2220"/>
    <w:rsid w:val="007F4B3E"/>
    <w:rsid w:val="008054CC"/>
    <w:rsid w:val="008127AF"/>
    <w:rsid w:val="00812B46"/>
    <w:rsid w:val="00815700"/>
    <w:rsid w:val="008264EB"/>
    <w:rsid w:val="00826B8F"/>
    <w:rsid w:val="00831E8A"/>
    <w:rsid w:val="00833EF2"/>
    <w:rsid w:val="00835C76"/>
    <w:rsid w:val="008376E2"/>
    <w:rsid w:val="00843049"/>
    <w:rsid w:val="00851806"/>
    <w:rsid w:val="0085209B"/>
    <w:rsid w:val="00856B66"/>
    <w:rsid w:val="008601AC"/>
    <w:rsid w:val="00861A5F"/>
    <w:rsid w:val="008644AD"/>
    <w:rsid w:val="00865735"/>
    <w:rsid w:val="00865DDB"/>
    <w:rsid w:val="00867538"/>
    <w:rsid w:val="00871D22"/>
    <w:rsid w:val="00873D90"/>
    <w:rsid w:val="00873FC8"/>
    <w:rsid w:val="00884C63"/>
    <w:rsid w:val="00885908"/>
    <w:rsid w:val="008864B7"/>
    <w:rsid w:val="0089677E"/>
    <w:rsid w:val="008A7438"/>
    <w:rsid w:val="008B1334"/>
    <w:rsid w:val="008B25C7"/>
    <w:rsid w:val="008B5857"/>
    <w:rsid w:val="008C0278"/>
    <w:rsid w:val="008C219A"/>
    <w:rsid w:val="008C24E9"/>
    <w:rsid w:val="008C3C0F"/>
    <w:rsid w:val="008D0533"/>
    <w:rsid w:val="008D1698"/>
    <w:rsid w:val="008D42CB"/>
    <w:rsid w:val="008D48C9"/>
    <w:rsid w:val="008D6381"/>
    <w:rsid w:val="008E0C77"/>
    <w:rsid w:val="008E625F"/>
    <w:rsid w:val="008F042B"/>
    <w:rsid w:val="008F264D"/>
    <w:rsid w:val="00901CF8"/>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572D2"/>
    <w:rsid w:val="00960D6E"/>
    <w:rsid w:val="00972E6E"/>
    <w:rsid w:val="00974B59"/>
    <w:rsid w:val="0098340B"/>
    <w:rsid w:val="009849E9"/>
    <w:rsid w:val="00985116"/>
    <w:rsid w:val="00986830"/>
    <w:rsid w:val="00990C64"/>
    <w:rsid w:val="009924C3"/>
    <w:rsid w:val="00993102"/>
    <w:rsid w:val="009B1570"/>
    <w:rsid w:val="009C06F7"/>
    <w:rsid w:val="009C6F10"/>
    <w:rsid w:val="009D148F"/>
    <w:rsid w:val="009D3D70"/>
    <w:rsid w:val="009E0C46"/>
    <w:rsid w:val="009E6F7E"/>
    <w:rsid w:val="009E7A57"/>
    <w:rsid w:val="009F4781"/>
    <w:rsid w:val="009F4803"/>
    <w:rsid w:val="009F4F6A"/>
    <w:rsid w:val="00A02F32"/>
    <w:rsid w:val="00A13EB5"/>
    <w:rsid w:val="00A144F6"/>
    <w:rsid w:val="00A16E36"/>
    <w:rsid w:val="00A21363"/>
    <w:rsid w:val="00A24961"/>
    <w:rsid w:val="00A24B10"/>
    <w:rsid w:val="00A277EF"/>
    <w:rsid w:val="00A30E9B"/>
    <w:rsid w:val="00A32E7E"/>
    <w:rsid w:val="00A437C2"/>
    <w:rsid w:val="00A4512D"/>
    <w:rsid w:val="00A50244"/>
    <w:rsid w:val="00A5062E"/>
    <w:rsid w:val="00A51D71"/>
    <w:rsid w:val="00A55C7B"/>
    <w:rsid w:val="00A601E3"/>
    <w:rsid w:val="00A627D7"/>
    <w:rsid w:val="00A656C7"/>
    <w:rsid w:val="00A705AF"/>
    <w:rsid w:val="00A713E4"/>
    <w:rsid w:val="00A72454"/>
    <w:rsid w:val="00A77696"/>
    <w:rsid w:val="00A80557"/>
    <w:rsid w:val="00A80A1A"/>
    <w:rsid w:val="00A81D33"/>
    <w:rsid w:val="00A8341C"/>
    <w:rsid w:val="00A930AE"/>
    <w:rsid w:val="00A949EE"/>
    <w:rsid w:val="00AA1A95"/>
    <w:rsid w:val="00AA260F"/>
    <w:rsid w:val="00AA4BCB"/>
    <w:rsid w:val="00AA5E02"/>
    <w:rsid w:val="00AB1EE7"/>
    <w:rsid w:val="00AB4B37"/>
    <w:rsid w:val="00AB5762"/>
    <w:rsid w:val="00AB5A10"/>
    <w:rsid w:val="00AC2679"/>
    <w:rsid w:val="00AC4BE4"/>
    <w:rsid w:val="00AD05E6"/>
    <w:rsid w:val="00AD0D3F"/>
    <w:rsid w:val="00AD7287"/>
    <w:rsid w:val="00AE1D7D"/>
    <w:rsid w:val="00AE2A8B"/>
    <w:rsid w:val="00AE3F64"/>
    <w:rsid w:val="00AE4BFC"/>
    <w:rsid w:val="00AF7386"/>
    <w:rsid w:val="00AF7934"/>
    <w:rsid w:val="00B00B81"/>
    <w:rsid w:val="00B04580"/>
    <w:rsid w:val="00B04B09"/>
    <w:rsid w:val="00B16A51"/>
    <w:rsid w:val="00B25B1D"/>
    <w:rsid w:val="00B30628"/>
    <w:rsid w:val="00B32222"/>
    <w:rsid w:val="00B3618D"/>
    <w:rsid w:val="00B36233"/>
    <w:rsid w:val="00B42851"/>
    <w:rsid w:val="00B45AC7"/>
    <w:rsid w:val="00B5372F"/>
    <w:rsid w:val="00B61129"/>
    <w:rsid w:val="00B67E7F"/>
    <w:rsid w:val="00B77F7F"/>
    <w:rsid w:val="00B839B2"/>
    <w:rsid w:val="00B930E0"/>
    <w:rsid w:val="00B94252"/>
    <w:rsid w:val="00B9715A"/>
    <w:rsid w:val="00BA14BE"/>
    <w:rsid w:val="00BA2732"/>
    <w:rsid w:val="00BA293D"/>
    <w:rsid w:val="00BA329F"/>
    <w:rsid w:val="00BA49BC"/>
    <w:rsid w:val="00BA56B7"/>
    <w:rsid w:val="00BA7A1E"/>
    <w:rsid w:val="00BB2F6C"/>
    <w:rsid w:val="00BB3875"/>
    <w:rsid w:val="00BB5860"/>
    <w:rsid w:val="00BB6AAD"/>
    <w:rsid w:val="00BB6DF0"/>
    <w:rsid w:val="00BC4A19"/>
    <w:rsid w:val="00BC4E6D"/>
    <w:rsid w:val="00BD0617"/>
    <w:rsid w:val="00BD2E9B"/>
    <w:rsid w:val="00BD7FB2"/>
    <w:rsid w:val="00BE1020"/>
    <w:rsid w:val="00BE4B0B"/>
    <w:rsid w:val="00C00930"/>
    <w:rsid w:val="00C060AD"/>
    <w:rsid w:val="00C113BF"/>
    <w:rsid w:val="00C2176E"/>
    <w:rsid w:val="00C23430"/>
    <w:rsid w:val="00C26BF4"/>
    <w:rsid w:val="00C27AB6"/>
    <w:rsid w:val="00C27D67"/>
    <w:rsid w:val="00C4631F"/>
    <w:rsid w:val="00C47A26"/>
    <w:rsid w:val="00C47CDE"/>
    <w:rsid w:val="00C50E16"/>
    <w:rsid w:val="00C55258"/>
    <w:rsid w:val="00C82EEB"/>
    <w:rsid w:val="00C95854"/>
    <w:rsid w:val="00C971DC"/>
    <w:rsid w:val="00CA16B7"/>
    <w:rsid w:val="00CA62AE"/>
    <w:rsid w:val="00CB5B1A"/>
    <w:rsid w:val="00CC220B"/>
    <w:rsid w:val="00CC5C43"/>
    <w:rsid w:val="00CD02AE"/>
    <w:rsid w:val="00CD2A4F"/>
    <w:rsid w:val="00CD638E"/>
    <w:rsid w:val="00CD7C08"/>
    <w:rsid w:val="00CE03CA"/>
    <w:rsid w:val="00CE22F1"/>
    <w:rsid w:val="00CE50F2"/>
    <w:rsid w:val="00CE6502"/>
    <w:rsid w:val="00CF7D3C"/>
    <w:rsid w:val="00D01F09"/>
    <w:rsid w:val="00D11346"/>
    <w:rsid w:val="00D147EB"/>
    <w:rsid w:val="00D31113"/>
    <w:rsid w:val="00D34667"/>
    <w:rsid w:val="00D34F13"/>
    <w:rsid w:val="00D401E1"/>
    <w:rsid w:val="00D408B4"/>
    <w:rsid w:val="00D524C8"/>
    <w:rsid w:val="00D70E24"/>
    <w:rsid w:val="00D72B61"/>
    <w:rsid w:val="00D760AE"/>
    <w:rsid w:val="00DA3D1D"/>
    <w:rsid w:val="00DB6286"/>
    <w:rsid w:val="00DB645F"/>
    <w:rsid w:val="00DB76E9"/>
    <w:rsid w:val="00DC0A67"/>
    <w:rsid w:val="00DC1D5E"/>
    <w:rsid w:val="00DC5220"/>
    <w:rsid w:val="00DD2061"/>
    <w:rsid w:val="00DD7DAB"/>
    <w:rsid w:val="00DE3355"/>
    <w:rsid w:val="00DF0C60"/>
    <w:rsid w:val="00DF486F"/>
    <w:rsid w:val="00DF5B5B"/>
    <w:rsid w:val="00DF66B0"/>
    <w:rsid w:val="00DF7619"/>
    <w:rsid w:val="00E042D8"/>
    <w:rsid w:val="00E07EE7"/>
    <w:rsid w:val="00E1103B"/>
    <w:rsid w:val="00E1631D"/>
    <w:rsid w:val="00E17B44"/>
    <w:rsid w:val="00E20F27"/>
    <w:rsid w:val="00E22443"/>
    <w:rsid w:val="00E27FEA"/>
    <w:rsid w:val="00E4086F"/>
    <w:rsid w:val="00E43B3C"/>
    <w:rsid w:val="00E50188"/>
    <w:rsid w:val="00E50BB3"/>
    <w:rsid w:val="00E515CB"/>
    <w:rsid w:val="00E52260"/>
    <w:rsid w:val="00E57793"/>
    <w:rsid w:val="00E639B6"/>
    <w:rsid w:val="00E6434B"/>
    <w:rsid w:val="00E6463D"/>
    <w:rsid w:val="00E72E9B"/>
    <w:rsid w:val="00E850C3"/>
    <w:rsid w:val="00E87DF2"/>
    <w:rsid w:val="00E9462E"/>
    <w:rsid w:val="00EA470E"/>
    <w:rsid w:val="00EA47A7"/>
    <w:rsid w:val="00EA57EB"/>
    <w:rsid w:val="00EB3226"/>
    <w:rsid w:val="00EC213A"/>
    <w:rsid w:val="00EC4E7D"/>
    <w:rsid w:val="00EC7744"/>
    <w:rsid w:val="00ED0DAD"/>
    <w:rsid w:val="00ED0F46"/>
    <w:rsid w:val="00ED2373"/>
    <w:rsid w:val="00EE3E8A"/>
    <w:rsid w:val="00EF58B8"/>
    <w:rsid w:val="00EF5D9E"/>
    <w:rsid w:val="00EF6ECA"/>
    <w:rsid w:val="00F024E1"/>
    <w:rsid w:val="00F06C10"/>
    <w:rsid w:val="00F1096F"/>
    <w:rsid w:val="00F12589"/>
    <w:rsid w:val="00F12595"/>
    <w:rsid w:val="00F134D9"/>
    <w:rsid w:val="00F1403D"/>
    <w:rsid w:val="00F1463F"/>
    <w:rsid w:val="00F21302"/>
    <w:rsid w:val="00F22951"/>
    <w:rsid w:val="00F31C46"/>
    <w:rsid w:val="00F321DE"/>
    <w:rsid w:val="00F33777"/>
    <w:rsid w:val="00F37DFD"/>
    <w:rsid w:val="00F40648"/>
    <w:rsid w:val="00F41A0B"/>
    <w:rsid w:val="00F47DA2"/>
    <w:rsid w:val="00F519FC"/>
    <w:rsid w:val="00F54A0F"/>
    <w:rsid w:val="00F6239D"/>
    <w:rsid w:val="00F63BB1"/>
    <w:rsid w:val="00F715D2"/>
    <w:rsid w:val="00F7274F"/>
    <w:rsid w:val="00F74E84"/>
    <w:rsid w:val="00F76FA8"/>
    <w:rsid w:val="00F80185"/>
    <w:rsid w:val="00F802EC"/>
    <w:rsid w:val="00F93F08"/>
    <w:rsid w:val="00F94CED"/>
    <w:rsid w:val="00FA02BB"/>
    <w:rsid w:val="00FA2CEE"/>
    <w:rsid w:val="00FA318C"/>
    <w:rsid w:val="00FB44E0"/>
    <w:rsid w:val="00FB6F92"/>
    <w:rsid w:val="00FC0133"/>
    <w:rsid w:val="00FC026E"/>
    <w:rsid w:val="00FC302D"/>
    <w:rsid w:val="00FC5124"/>
    <w:rsid w:val="00FD4731"/>
    <w:rsid w:val="00FD6768"/>
    <w:rsid w:val="00FF0961"/>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4E19E"/>
  <w15:docId w15:val="{C534E78F-A5EB-4D59-8565-D4D636A7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77F7F"/>
    <w:pPr>
      <w:spacing w:before="120" w:after="120" w:line="276" w:lineRule="auto"/>
    </w:pPr>
    <w:rPr>
      <w:rFonts w:ascii="Arial" w:hAnsi="Arial"/>
      <w:sz w:val="22"/>
      <w:szCs w:val="24"/>
      <w:lang w:eastAsia="en-US"/>
    </w:rPr>
  </w:style>
  <w:style w:type="paragraph" w:styleId="Heading1">
    <w:name w:val="heading 1"/>
    <w:next w:val="Normal"/>
    <w:qFormat/>
    <w:rsid w:val="00F63BB1"/>
    <w:pPr>
      <w:keepNext/>
      <w:spacing w:before="120" w:after="120"/>
      <w:outlineLvl w:val="0"/>
    </w:pPr>
    <w:rPr>
      <w:rFonts w:ascii="Arial" w:hAnsi="Arial" w:cs="Arial"/>
      <w:bCs/>
      <w:color w:val="3F4A75"/>
      <w:kern w:val="28"/>
      <w:sz w:val="36"/>
      <w:szCs w:val="36"/>
      <w:lang w:eastAsia="en-US"/>
    </w:rPr>
  </w:style>
  <w:style w:type="paragraph" w:styleId="Heading2">
    <w:name w:val="heading 2"/>
    <w:basedOn w:val="Heading1"/>
    <w:next w:val="Normal"/>
    <w:qFormat/>
    <w:rsid w:val="00F63BB1"/>
    <w:pPr>
      <w:outlineLvl w:val="1"/>
    </w:pPr>
    <w:rPr>
      <w:bCs w:val="0"/>
      <w:iCs/>
      <w:color w:val="358189"/>
      <w:sz w:val="32"/>
      <w:szCs w:val="28"/>
    </w:rPr>
  </w:style>
  <w:style w:type="paragraph" w:styleId="Heading3">
    <w:name w:val="heading 3"/>
    <w:next w:val="Normal"/>
    <w:qFormat/>
    <w:rsid w:val="008C219A"/>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F63BB1"/>
    <w:pPr>
      <w:spacing w:before="120" w:after="120"/>
    </w:pPr>
    <w:rPr>
      <w:rFonts w:ascii="Arial" w:eastAsiaTheme="majorEastAsia" w:hAnsi="Arial" w:cstheme="majorBidi"/>
      <w:color w:val="3F4A75"/>
      <w:kern w:val="28"/>
      <w:sz w:val="48"/>
      <w:szCs w:val="52"/>
      <w:lang w:eastAsia="en-US"/>
    </w:rPr>
  </w:style>
  <w:style w:type="character" w:customStyle="1" w:styleId="TitleChar">
    <w:name w:val="Title Char"/>
    <w:basedOn w:val="DefaultParagraphFont"/>
    <w:link w:val="Title"/>
    <w:rsid w:val="00F63BB1"/>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B77F7F"/>
    <w:pPr>
      <w:numPr>
        <w:numId w:val="17"/>
      </w:numPr>
      <w:spacing w:before="60" w:after="60"/>
      <w:ind w:left="697" w:hanging="357"/>
    </w:pPr>
    <w:rPr>
      <w:color w:val="000000" w:themeColor="text1"/>
      <w:sz w:val="21"/>
    </w:rPr>
  </w:style>
  <w:style w:type="paragraph" w:styleId="ListParagraph">
    <w:name w:val="List Paragraph"/>
    <w:basedOn w:val="Normal"/>
    <w:uiPriority w:val="1"/>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iPriority w:val="1"/>
    <w:unhideWhenUsed/>
    <w:qFormat/>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semiHidden/>
    <w:unhideWhenUsed/>
    <w:rsid w:val="004925A0"/>
    <w:rPr>
      <w:sz w:val="16"/>
      <w:szCs w:val="16"/>
    </w:rPr>
  </w:style>
  <w:style w:type="paragraph" w:styleId="CommentText">
    <w:name w:val="annotation text"/>
    <w:basedOn w:val="Normal"/>
    <w:link w:val="CommentTextChar"/>
    <w:unhideWhenUsed/>
    <w:rsid w:val="004925A0"/>
    <w:rPr>
      <w:sz w:val="20"/>
      <w:szCs w:val="20"/>
    </w:rPr>
  </w:style>
  <w:style w:type="character" w:customStyle="1" w:styleId="CommentTextChar">
    <w:name w:val="Comment Text Char"/>
    <w:basedOn w:val="DefaultParagraphFont"/>
    <w:link w:val="CommentText"/>
    <w:rsid w:val="004925A0"/>
    <w:rPr>
      <w:rFonts w:ascii="Arial" w:hAnsi="Arial"/>
      <w:lang w:eastAsia="en-US"/>
    </w:rPr>
  </w:style>
  <w:style w:type="paragraph" w:styleId="CommentSubject">
    <w:name w:val="annotation subject"/>
    <w:basedOn w:val="CommentText"/>
    <w:next w:val="CommentText"/>
    <w:link w:val="CommentSubjectChar"/>
    <w:semiHidden/>
    <w:unhideWhenUsed/>
    <w:rsid w:val="004925A0"/>
    <w:rPr>
      <w:b/>
      <w:bCs/>
    </w:rPr>
  </w:style>
  <w:style w:type="character" w:customStyle="1" w:styleId="CommentSubjectChar">
    <w:name w:val="Comment Subject Char"/>
    <w:basedOn w:val="CommentTextChar"/>
    <w:link w:val="CommentSubject"/>
    <w:semiHidden/>
    <w:rsid w:val="004925A0"/>
    <w:rPr>
      <w:rFonts w:ascii="Arial" w:hAnsi="Arial"/>
      <w:b/>
      <w:bCs/>
      <w:lang w:eastAsia="en-US"/>
    </w:rPr>
  </w:style>
  <w:style w:type="paragraph" w:styleId="BalloonText">
    <w:name w:val="Balloon Text"/>
    <w:basedOn w:val="Normal"/>
    <w:link w:val="BalloonTextChar"/>
    <w:semiHidden/>
    <w:unhideWhenUsed/>
    <w:rsid w:val="004925A0"/>
    <w:rPr>
      <w:rFonts w:ascii="Segoe UI" w:hAnsi="Segoe UI" w:cs="Segoe UI"/>
      <w:sz w:val="18"/>
      <w:szCs w:val="18"/>
    </w:rPr>
  </w:style>
  <w:style w:type="character" w:customStyle="1" w:styleId="BalloonTextChar">
    <w:name w:val="Balloon Text Char"/>
    <w:basedOn w:val="DefaultParagraphFont"/>
    <w:link w:val="BalloonText"/>
    <w:semiHidden/>
    <w:rsid w:val="004925A0"/>
    <w:rPr>
      <w:rFonts w:ascii="Segoe UI" w:hAnsi="Segoe UI" w:cs="Segoe UI"/>
      <w:sz w:val="18"/>
      <w:szCs w:val="18"/>
      <w:lang w:eastAsia="en-US"/>
    </w:rPr>
  </w:style>
  <w:style w:type="character" w:styleId="FollowedHyperlink">
    <w:name w:val="FollowedHyperlink"/>
    <w:basedOn w:val="DefaultParagraphFont"/>
    <w:semiHidden/>
    <w:unhideWhenUsed/>
    <w:rsid w:val="002A4068"/>
    <w:rPr>
      <w:color w:val="800080" w:themeColor="followedHyperlink"/>
      <w:u w:val="single"/>
    </w:rPr>
  </w:style>
  <w:style w:type="character" w:styleId="UnresolvedMention">
    <w:name w:val="Unresolved Mention"/>
    <w:basedOn w:val="DefaultParagraphFont"/>
    <w:uiPriority w:val="99"/>
    <w:semiHidden/>
    <w:unhideWhenUsed/>
    <w:rsid w:val="009E0C46"/>
    <w:rPr>
      <w:color w:val="605E5C"/>
      <w:shd w:val="clear" w:color="auto" w:fill="E1DFDD"/>
    </w:rPr>
  </w:style>
  <w:style w:type="paragraph" w:styleId="Revision">
    <w:name w:val="Revision"/>
    <w:hidden/>
    <w:uiPriority w:val="99"/>
    <w:semiHidden/>
    <w:rsid w:val="00A144F6"/>
    <w:rPr>
      <w:rFonts w:ascii="Arial" w:hAnsi="Arial"/>
      <w:sz w:val="22"/>
      <w:szCs w:val="24"/>
      <w:lang w:eastAsia="en-US"/>
    </w:rPr>
  </w:style>
  <w:style w:type="paragraph" w:styleId="NormalWeb">
    <w:name w:val="Normal (Web)"/>
    <w:basedOn w:val="Normal"/>
    <w:uiPriority w:val="99"/>
    <w:unhideWhenUsed/>
    <w:rsid w:val="00B930E0"/>
    <w:pPr>
      <w:spacing w:before="100" w:beforeAutospacing="1" w:after="100" w:afterAutospacing="1" w:line="240" w:lineRule="auto"/>
    </w:pPr>
    <w:rPr>
      <w:rFonts w:ascii="Times New Roman" w:hAnsi="Times New Roman"/>
      <w:sz w:val="24"/>
      <w:lang w:eastAsia="en-AU"/>
    </w:rPr>
  </w:style>
  <w:style w:type="paragraph" w:customStyle="1" w:styleId="Paragraphtext">
    <w:name w:val="Paragraph text"/>
    <w:basedOn w:val="Normal"/>
    <w:qFormat/>
    <w:rsid w:val="004B70E1"/>
    <w:pPr>
      <w:spacing w:after="60"/>
    </w:pPr>
    <w:rPr>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ealth.gov.au/initiatives-and-programs/life-saving-drugs-program" TargetMode="External"/><Relationship Id="rId3" Type="http://schemas.openxmlformats.org/officeDocument/2006/relationships/customXml" Target="../customXml/item3.xml"/><Relationship Id="rId21" Type="http://schemas.openxmlformats.org/officeDocument/2006/relationships/hyperlink" Target="https://www.health.gov.au/resources/publications/lsdp-ht1-patient-test-results-spreadshee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g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health.gov.au/resources/publications/lsdp-ht1-re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health.gov.au/resources/publications/lsdp-ht1-initial-app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resources/publications/life-saving-drugs-program-mucopolysaccharidosis-type-ii-mps-ii-reapplication?language=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E5D55D2855249BDE6284DECF3A812" ma:contentTypeVersion="1" ma:contentTypeDescription="Create a new document." ma:contentTypeScope="" ma:versionID="9f8c2a13d8772c794cad9e180fc8884a">
  <xsd:schema xmlns:xsd="http://www.w3.org/2001/XMLSchema" xmlns:xs="http://www.w3.org/2001/XMLSchema" xmlns:p="http://schemas.microsoft.com/office/2006/metadata/properties" xmlns:ns1="http://schemas.microsoft.com/sharepoint/v3" targetNamespace="http://schemas.microsoft.com/office/2006/metadata/properties" ma:root="true" ma:fieldsID="7a905017a9aa3b0c875ea481d4b6b5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AB36E-71C6-489A-94F1-634C430D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7841D-A2E0-409A-9609-384D4E0C9153}">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5600</Characters>
  <Application>Microsoft Office Word</Application>
  <DocSecurity>0</DocSecurity>
  <Lines>105</Lines>
  <Paragraphs>58</Paragraphs>
  <ScaleCrop>false</ScaleCrop>
  <HeadingPairs>
    <vt:vector size="2" baseType="variant">
      <vt:variant>
        <vt:lpstr>Title</vt:lpstr>
      </vt:variant>
      <vt:variant>
        <vt:i4>1</vt:i4>
      </vt:variant>
    </vt:vector>
  </HeadingPairs>
  <TitlesOfParts>
    <vt:vector size="1" baseType="lpstr">
      <vt:lpstr>Guidelines for the treatment of hereditary tyrosinaemia (type 1) through the Life Saving Drugs Program</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treatment of hereditary tyrosinaemia (type 1) through the Life Saving Drugs Program</dc:title>
  <dc:subject>Chronic conditions</dc:subject>
  <dc:creator>Australian Government Department of Health and Aged care</dc:creator>
  <cp:keywords>Chronic conditions; Medicines; Life Saving Drugs Program</cp:keywords>
  <dcterms:created xsi:type="dcterms:W3CDTF">2026-01-28T22:57:00Z</dcterms:created>
  <dcterms:modified xsi:type="dcterms:W3CDTF">2026-01-28T23:59:00Z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1ba787e7,71a43b31,bf0eebb,12cde98b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25bb8902,117abe8d,67ab3779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2025-12-11T21:39:43Z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155abe22-6a32-4a9e-9df2-8862dbb0c0f4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