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B4DA" w14:textId="58E0692A" w:rsidR="00715914" w:rsidRPr="0077342E" w:rsidRDefault="00DA186E" w:rsidP="0077342E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31C4CE7" wp14:editId="1995979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1FB17" w14:textId="6EC603AF" w:rsidR="00554826" w:rsidRPr="006B7022" w:rsidRDefault="00244181" w:rsidP="006B7022">
      <w:pPr>
        <w:pStyle w:val="Title"/>
      </w:pPr>
      <w:r w:rsidRPr="00244181">
        <w:t>Aged Care (Consequential and Transitional Provisions) (Deeming of Registered Providers) Determination 2025</w:t>
      </w:r>
    </w:p>
    <w:p w14:paraId="6B3A90C6" w14:textId="537F2CFD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30C30" w:rsidRPr="00030C30">
        <w:rPr>
          <w:szCs w:val="22"/>
        </w:rPr>
        <w:t>Blair Comley, System Governor</w:t>
      </w:r>
      <w:r w:rsidR="001A0404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30C30">
        <w:rPr>
          <w:szCs w:val="22"/>
        </w:rPr>
        <w:t>determination</w:t>
      </w:r>
      <w:r w:rsidRPr="00DA182D">
        <w:rPr>
          <w:szCs w:val="22"/>
        </w:rPr>
        <w:t>.</w:t>
      </w:r>
    </w:p>
    <w:p w14:paraId="40D0D9AA" w14:textId="72FB0AB7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9F21EF">
        <w:rPr>
          <w:szCs w:val="22"/>
        </w:rPr>
        <w:t xml:space="preserve">October </w:t>
      </w:r>
      <w:r w:rsidR="009C587A">
        <w:rPr>
          <w:szCs w:val="22"/>
        </w:rPr>
        <w:t>2025</w:t>
      </w:r>
    </w:p>
    <w:p w14:paraId="273B3197" w14:textId="7BC6FA4D" w:rsidR="00554826" w:rsidRDefault="00030C3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Blair Comley</w:t>
      </w:r>
    </w:p>
    <w:p w14:paraId="24EA37BD" w14:textId="752AEFFD" w:rsidR="00554826" w:rsidRPr="008E0027" w:rsidRDefault="00030C30" w:rsidP="00554826">
      <w:pPr>
        <w:pStyle w:val="SignCoverPageEnd"/>
        <w:ind w:right="91"/>
        <w:rPr>
          <w:sz w:val="22"/>
        </w:rPr>
      </w:pPr>
      <w:r>
        <w:rPr>
          <w:sz w:val="22"/>
        </w:rPr>
        <w:t>System Governor</w:t>
      </w:r>
    </w:p>
    <w:p w14:paraId="486904E2" w14:textId="77777777" w:rsidR="00554826" w:rsidRDefault="00554826" w:rsidP="00554826"/>
    <w:p w14:paraId="01DE4380" w14:textId="77777777" w:rsidR="00F6696E" w:rsidRDefault="00F6696E" w:rsidP="00F6696E">
      <w:pPr>
        <w:sectPr w:rsidR="00F6696E" w:rsidSect="00D41D87">
          <w:headerReference w:type="even" r:id="rId12"/>
          <w:headerReference w:type="default" r:id="rId13"/>
          <w:footerReference w:type="even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sdt>
      <w:sdtPr>
        <w:rPr>
          <w:lang w:val="en-GB"/>
        </w:rPr>
        <w:id w:val="-69814133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Cs/>
          <w:sz w:val="22"/>
          <w:szCs w:val="20"/>
          <w:lang w:eastAsia="en-US"/>
        </w:rPr>
      </w:sdtEndPr>
      <w:sdtContent>
        <w:p w14:paraId="7E8AF232" w14:textId="30D531FF" w:rsidR="007357FD" w:rsidRDefault="007357FD">
          <w:pPr>
            <w:pStyle w:val="TOCHeading"/>
          </w:pPr>
          <w:r>
            <w:rPr>
              <w:lang w:val="en-GB"/>
            </w:rPr>
            <w:t>Contents</w:t>
          </w:r>
        </w:p>
        <w:p w14:paraId="6E16B543" w14:textId="492AFB0C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697563" w:history="1">
            <w:r w:rsidRPr="002F0DE0">
              <w:rPr>
                <w:rStyle w:val="Hyperlink"/>
                <w:noProof/>
              </w:rPr>
              <w:t>1 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4BAC1" w14:textId="648F3B86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4" w:history="1">
            <w:r w:rsidRPr="002F0DE0">
              <w:rPr>
                <w:rStyle w:val="Hyperlink"/>
                <w:noProof/>
              </w:rPr>
              <w:t>2  Commencement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D8237" w14:textId="11A066CB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5" w:history="1">
            <w:r w:rsidRPr="002F0DE0">
              <w:rPr>
                <w:rStyle w:val="Hyperlink"/>
                <w:noProof/>
              </w:rPr>
              <w:t>3 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93473" w14:textId="3D864AA5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6" w:history="1">
            <w:r w:rsidRPr="002F0DE0">
              <w:rPr>
                <w:rStyle w:val="Hyperlink"/>
                <w:noProof/>
              </w:rPr>
              <w:t>4 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DE9A8" w14:textId="351FA68B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7" w:history="1">
            <w:r w:rsidRPr="002F0DE0">
              <w:rPr>
                <w:rStyle w:val="Hyperlink"/>
                <w:noProof/>
              </w:rPr>
              <w:t>5  Deemed registered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AF9D" w14:textId="63A56002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8" w:history="1">
            <w:r w:rsidRPr="002F0DE0">
              <w:rPr>
                <w:rStyle w:val="Hyperlink"/>
                <w:noProof/>
              </w:rPr>
              <w:t>6  Deemed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31538" w14:textId="58A18AB3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69" w:history="1">
            <w:r w:rsidRPr="002F0DE0">
              <w:rPr>
                <w:rStyle w:val="Hyperlink"/>
                <w:noProof/>
              </w:rPr>
              <w:t>7  Reasons for making the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1D07F" w14:textId="2BC88CF8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70" w:history="1">
            <w:r w:rsidRPr="002F0DE0">
              <w:rPr>
                <w:rStyle w:val="Hyperlink"/>
                <w:noProof/>
              </w:rPr>
              <w:t>8  Deemed decisions to allocate places—TCP and MPSP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87919" w14:textId="49E524EC" w:rsidR="007357FD" w:rsidRDefault="007357FD">
          <w:pPr>
            <w:pStyle w:val="TOC2"/>
            <w:rPr>
              <w:rFonts w:asciiTheme="minorHAnsi" w:eastAsiaTheme="minorEastAsia" w:hAnsiTheme="minorHAnsi" w:cstheme="minorBidi"/>
              <w:b/>
              <w:noProof/>
              <w:kern w:val="2"/>
              <w:szCs w:val="24"/>
              <w:lang w:eastAsia="ja-JP"/>
              <w14:ligatures w14:val="standardContextual"/>
            </w:rPr>
          </w:pPr>
          <w:hyperlink w:anchor="_Toc218697571" w:history="1">
            <w:r w:rsidRPr="002F0DE0">
              <w:rPr>
                <w:rStyle w:val="Hyperlink"/>
                <w:noProof/>
              </w:rPr>
              <w:t>9  Deemed approval of residential care homes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_Toc218697571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5F0D0" w14:textId="3360EBF9" w:rsidR="001242AE" w:rsidRDefault="007357FD" w:rsidP="007357FD">
          <w:r>
            <w:rPr>
              <w:b/>
              <w:bCs/>
              <w:lang w:val="en-GB"/>
            </w:rPr>
            <w:fldChar w:fldCharType="end"/>
          </w:r>
        </w:p>
      </w:sdtContent>
    </w:sdt>
    <w:p w14:paraId="148E332D" w14:textId="77777777" w:rsidR="001242AE" w:rsidRDefault="001242AE" w:rsidP="001242AE">
      <w:pPr>
        <w:pStyle w:val="notedraft"/>
      </w:pPr>
    </w:p>
    <w:p w14:paraId="6C0B66E2" w14:textId="1B66F4A3" w:rsidR="001242AE" w:rsidRDefault="001242AE" w:rsidP="001242AE">
      <w:pPr>
        <w:pStyle w:val="notedraft"/>
        <w:sectPr w:rsidR="001242AE" w:rsidSect="00D41D87">
          <w:headerReference w:type="even" r:id="rId16"/>
          <w:headerReference w:type="default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cols w:space="708"/>
          <w:titlePg/>
          <w:docGrid w:linePitch="360"/>
        </w:sectPr>
      </w:pPr>
    </w:p>
    <w:p w14:paraId="0C76E4D1" w14:textId="73BF64FC" w:rsidR="00554826" w:rsidRPr="00554826" w:rsidRDefault="00554826" w:rsidP="00554826">
      <w:pPr>
        <w:pStyle w:val="ActHead5"/>
      </w:pPr>
      <w:bookmarkStart w:id="0" w:name="_Toc218697545"/>
      <w:bookmarkStart w:id="1" w:name="_Toc218697563"/>
      <w:r w:rsidRPr="00554826">
        <w:t>1 Name</w:t>
      </w:r>
      <w:bookmarkEnd w:id="0"/>
      <w:bookmarkEnd w:id="1"/>
    </w:p>
    <w:p w14:paraId="4834CB04" w14:textId="6E3638B0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D61A84" w:rsidRPr="00D61A84">
        <w:rPr>
          <w:i/>
        </w:rPr>
        <w:t>Aged Care (Consequential and Transitional Provisions) (Deeming of Registered Providers) Determination 2025</w:t>
      </w:r>
      <w:r w:rsidRPr="009C2562">
        <w:t>.</w:t>
      </w:r>
    </w:p>
    <w:p w14:paraId="57C78B5D" w14:textId="2A435277" w:rsidR="00F16D80" w:rsidRDefault="00554826" w:rsidP="00A97AE0">
      <w:pPr>
        <w:pStyle w:val="ActHead5"/>
      </w:pPr>
      <w:bookmarkStart w:id="3" w:name="_Toc218697546"/>
      <w:bookmarkStart w:id="4" w:name="_Toc218697564"/>
      <w:r w:rsidRPr="00554826">
        <w:t>2 Commencement</w:t>
      </w:r>
      <w:bookmarkEnd w:id="3"/>
      <w:bookmarkEnd w:id="4"/>
    </w:p>
    <w:p w14:paraId="2AE845F0" w14:textId="3EA3404C" w:rsidR="00A97AE0" w:rsidRDefault="00A97AE0" w:rsidP="0077342E">
      <w:pPr>
        <w:pStyle w:val="subsection"/>
      </w:pPr>
      <w:r>
        <w:tab/>
        <w:t xml:space="preserve">(1) </w:t>
      </w:r>
      <w:r>
        <w:tab/>
      </w:r>
      <w:r w:rsidRPr="00A97AE0">
        <w:t>Each</w:t>
      </w:r>
      <w:r>
        <w:t xml:space="preserve"> provision of this instrument specified in column 1 of the table commences, or is taken to have commenced, in accordance with column 2 of the table. Any other statement in column 2 has effect according to its terms.</w:t>
      </w: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97AE0" w14:paraId="5FB1E8A3" w14:textId="77777777" w:rsidTr="7B3CE4A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BCFD883" w14:textId="77777777" w:rsidR="00A97AE0" w:rsidRPr="00416235" w:rsidRDefault="00A97AE0" w:rsidP="000468F4">
            <w:pPr>
              <w:pStyle w:val="TableHeading"/>
            </w:pPr>
            <w:r w:rsidRPr="00416235">
              <w:t>Commencement information</w:t>
            </w:r>
          </w:p>
        </w:tc>
      </w:tr>
      <w:tr w:rsidR="00A97AE0" w:rsidRPr="00416235" w14:paraId="13D4285F" w14:textId="77777777" w:rsidTr="7B3CE4A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736A741" w14:textId="77777777" w:rsidR="00A97AE0" w:rsidRPr="00416235" w:rsidRDefault="00A97AE0" w:rsidP="000468F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BB53FD" w14:textId="77777777" w:rsidR="00A97AE0" w:rsidRPr="00416235" w:rsidRDefault="00A97AE0" w:rsidP="000468F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B91CF8D" w14:textId="5C04D14D" w:rsidR="00A97AE0" w:rsidRPr="00416235" w:rsidRDefault="00A97AE0" w:rsidP="000468F4">
            <w:pPr>
              <w:pStyle w:val="TableHeading"/>
            </w:pPr>
          </w:p>
        </w:tc>
      </w:tr>
      <w:tr w:rsidR="00A97AE0" w14:paraId="015669B9" w14:textId="77777777" w:rsidTr="7B3CE4A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D1D7750" w14:textId="77777777" w:rsidR="00A97AE0" w:rsidRPr="00416235" w:rsidRDefault="00A97AE0" w:rsidP="000468F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E7717BE" w14:textId="77777777" w:rsidR="00A97AE0" w:rsidRPr="00416235" w:rsidRDefault="00A97AE0" w:rsidP="000468F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9D6D281" w14:textId="3DBE99ED" w:rsidR="00A97AE0" w:rsidRPr="00416235" w:rsidRDefault="00A97AE0" w:rsidP="000468F4">
            <w:pPr>
              <w:pStyle w:val="TableHeading"/>
            </w:pPr>
          </w:p>
        </w:tc>
      </w:tr>
      <w:tr w:rsidR="00A97AE0" w14:paraId="27128FCF" w14:textId="77777777" w:rsidTr="7B3CE4A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B227CED" w14:textId="60B59891" w:rsidR="00A97AE0" w:rsidRDefault="003F3780" w:rsidP="000468F4">
            <w:pPr>
              <w:pStyle w:val="Tabletext"/>
            </w:pPr>
            <w:r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614A54" w14:textId="4681FB73" w:rsidR="00A97AE0" w:rsidRPr="00A97AE0" w:rsidRDefault="69FE53F5" w:rsidP="000468F4">
            <w:pPr>
              <w:pStyle w:val="Tabletext"/>
            </w:pPr>
            <w:r>
              <w:t>1 November 2025</w:t>
            </w:r>
          </w:p>
          <w:p w14:paraId="251F7C13" w14:textId="5081D706" w:rsidR="00A97AE0" w:rsidRPr="00A97AE0" w:rsidRDefault="00A97AE0" w:rsidP="7B3CE4AA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43E79A2D" w14:textId="432F6FDC" w:rsidR="00A97AE0" w:rsidRDefault="00A97AE0" w:rsidP="000468F4">
            <w:pPr>
              <w:pStyle w:val="Tabletext"/>
            </w:pPr>
          </w:p>
        </w:tc>
      </w:tr>
    </w:tbl>
    <w:p w14:paraId="0E23BB6A" w14:textId="77777777" w:rsidR="00A97AE0" w:rsidRPr="001E6DD6" w:rsidRDefault="00A97AE0" w:rsidP="00A97AE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5EE075F" w14:textId="62478E60" w:rsidR="00F16D80" w:rsidRDefault="00A97AE0" w:rsidP="00F16D80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>
        <w:t>this instrument</w:t>
      </w:r>
      <w:r w:rsidRPr="005F477A">
        <w:t xml:space="preserve">. Information may be inserted in this column, or information in it may be edited, in any published version of </w:t>
      </w:r>
      <w:r>
        <w:t>this instrument</w:t>
      </w:r>
      <w:r w:rsidRPr="005F477A">
        <w:t>.</w:t>
      </w:r>
    </w:p>
    <w:p w14:paraId="13B6CBAF" w14:textId="7FACFBC3" w:rsidR="00554826" w:rsidRPr="00554826" w:rsidRDefault="00554826" w:rsidP="00554826">
      <w:pPr>
        <w:pStyle w:val="ActHead5"/>
      </w:pPr>
      <w:bookmarkStart w:id="5" w:name="_Toc218697547"/>
      <w:bookmarkStart w:id="6" w:name="_Toc218697565"/>
      <w:r w:rsidRPr="00554826">
        <w:t>3 Authority</w:t>
      </w:r>
      <w:bookmarkEnd w:id="5"/>
      <w:bookmarkEnd w:id="6"/>
    </w:p>
    <w:p w14:paraId="66B0B5F0" w14:textId="222FB8FA" w:rsidR="00554826" w:rsidRPr="009C2562" w:rsidRDefault="00554826" w:rsidP="00554826">
      <w:pPr>
        <w:pStyle w:val="subsection"/>
      </w:pPr>
      <w:r w:rsidRPr="009C2562">
        <w:t xml:space="preserve">This instrument is made under </w:t>
      </w:r>
      <w:r w:rsidR="009D6C6F" w:rsidRPr="009D6C6F">
        <w:t>subitems 6(1) and 7(1) of Schedule</w:t>
      </w:r>
      <w:r w:rsidR="005719AF" w:rsidRPr="00865689">
        <w:rPr>
          <w:iCs/>
        </w:rPr>
        <w:t> </w:t>
      </w:r>
      <w:r w:rsidR="009D6C6F" w:rsidRPr="009D6C6F">
        <w:t xml:space="preserve">2 to the </w:t>
      </w:r>
      <w:r w:rsidR="009D6C6F" w:rsidRPr="07F4737D">
        <w:rPr>
          <w:i/>
          <w:iCs/>
        </w:rPr>
        <w:t>Aged Care (Consequential and Transitional Provisions) Act 2024</w:t>
      </w:r>
      <w:r w:rsidRPr="009C2562">
        <w:t>.</w:t>
      </w:r>
    </w:p>
    <w:p w14:paraId="06E884AD" w14:textId="783B6B26" w:rsidR="00174393" w:rsidRPr="009568B7" w:rsidRDefault="00174393" w:rsidP="00174393">
      <w:pPr>
        <w:pStyle w:val="notetext"/>
        <w:rPr>
          <w:iCs/>
        </w:rPr>
      </w:pPr>
      <w:bookmarkStart w:id="7" w:name="_Toc454781205"/>
      <w:r>
        <w:t>Note:</w:t>
      </w:r>
      <w:r>
        <w:tab/>
        <w:t>A determination under subitem 6(1) or 7(1) of Schedule</w:t>
      </w:r>
      <w:r w:rsidR="005719AF" w:rsidRPr="00865689">
        <w:rPr>
          <w:iCs/>
        </w:rPr>
        <w:t> </w:t>
      </w:r>
      <w:r>
        <w:t xml:space="preserve">2 to the </w:t>
      </w:r>
      <w:r w:rsidRPr="009568B7">
        <w:rPr>
          <w:i/>
        </w:rPr>
        <w:t>Aged Care (Consequential and Transitional Provisions) Act 2024</w:t>
      </w:r>
      <w:r>
        <w:rPr>
          <w:iCs/>
        </w:rPr>
        <w:t xml:space="preserve"> is not a legislative instrument: see subitems 6(6) and 7(6) of that Act.</w:t>
      </w:r>
    </w:p>
    <w:p w14:paraId="05CA9B95" w14:textId="1C8399B8" w:rsidR="009937BF" w:rsidRPr="00554826" w:rsidRDefault="007E1A0F" w:rsidP="009937BF">
      <w:pPr>
        <w:pStyle w:val="ActHead5"/>
      </w:pPr>
      <w:bookmarkStart w:id="8" w:name="_Toc218697548"/>
      <w:bookmarkStart w:id="9" w:name="_Toc218697566"/>
      <w:bookmarkEnd w:id="7"/>
      <w:r>
        <w:t>4</w:t>
      </w:r>
      <w:r w:rsidR="009937BF" w:rsidRPr="00554826">
        <w:t xml:space="preserve"> Definitions</w:t>
      </w:r>
      <w:bookmarkEnd w:id="8"/>
      <w:bookmarkEnd w:id="9"/>
    </w:p>
    <w:p w14:paraId="7FC266A2" w14:textId="109B99AD" w:rsidR="009937BF" w:rsidRPr="009C2562" w:rsidRDefault="009937BF" w:rsidP="009937BF">
      <w:pPr>
        <w:pStyle w:val="subsection"/>
      </w:pPr>
      <w:r w:rsidRPr="009C2562">
        <w:tab/>
      </w:r>
      <w:r w:rsidR="005A26D3">
        <w:t>(1)</w:t>
      </w:r>
      <w:r w:rsidRPr="009C2562">
        <w:tab/>
        <w:t>In this instrument:</w:t>
      </w:r>
    </w:p>
    <w:p w14:paraId="7EB94D95" w14:textId="77777777" w:rsidR="00686750" w:rsidRPr="00050730" w:rsidRDefault="00686750" w:rsidP="00686750">
      <w:pPr>
        <w:pStyle w:val="Definition"/>
        <w:rPr>
          <w:iCs/>
        </w:rPr>
      </w:pPr>
      <w:r w:rsidRPr="00050730">
        <w:rPr>
          <w:b/>
          <w:bCs/>
          <w:i/>
          <w:iCs/>
        </w:rPr>
        <w:t>CTP Act</w:t>
      </w:r>
      <w:r w:rsidRPr="00050730">
        <w:t xml:space="preserve"> means the </w:t>
      </w:r>
      <w:r w:rsidRPr="00050730">
        <w:rPr>
          <w:i/>
        </w:rPr>
        <w:t>Aged Care (Consequential and Transitional Provisions) Act 2024</w:t>
      </w:r>
      <w:r w:rsidRPr="00050730">
        <w:rPr>
          <w:iCs/>
        </w:rPr>
        <w:t>.</w:t>
      </w:r>
    </w:p>
    <w:p w14:paraId="619F54B2" w14:textId="77777777" w:rsidR="005651C7" w:rsidRPr="00382C57" w:rsidRDefault="005651C7" w:rsidP="005651C7">
      <w:pPr>
        <w:pStyle w:val="subsection"/>
      </w:pPr>
      <w:r w:rsidRPr="00382C57">
        <w:tab/>
        <w:t>(2)</w:t>
      </w:r>
      <w:r w:rsidRPr="00382C57">
        <w:tab/>
        <w:t>An expression used in a provision of this instrument and defined in subitem 1(1) of Schedule 2 to the CTP Act has the same meaning in that provision as it has in that Schedule.</w:t>
      </w:r>
    </w:p>
    <w:p w14:paraId="38812088" w14:textId="77777777" w:rsidR="005651C7" w:rsidRPr="00382C57" w:rsidRDefault="005651C7" w:rsidP="005651C7">
      <w:pPr>
        <w:pStyle w:val="notetext"/>
      </w:pPr>
      <w:r w:rsidRPr="00382C57">
        <w:t xml:space="preserve">Note: </w:t>
      </w:r>
      <w:r w:rsidRPr="00382C57">
        <w:tab/>
        <w:t>The following expressions used in this instrument are defined in subitem 1(1) of Schedule 2 to the CTP Act:</w:t>
      </w:r>
    </w:p>
    <w:p w14:paraId="3EDE53BC" w14:textId="1348D36D" w:rsidR="005651C7" w:rsidRPr="00382C57" w:rsidRDefault="005651C7" w:rsidP="005651C7">
      <w:pPr>
        <w:pStyle w:val="notepara"/>
      </w:pPr>
      <w:r w:rsidRPr="00382C57">
        <w:t>(</w:t>
      </w:r>
      <w:r w:rsidR="005E5A87">
        <w:t>a</w:t>
      </w:r>
      <w:r w:rsidRPr="00382C57">
        <w:t>)</w:t>
      </w:r>
      <w:r w:rsidRPr="00382C57">
        <w:tab/>
        <w:t xml:space="preserve">new </w:t>
      </w:r>
      <w:proofErr w:type="gramStart"/>
      <w:r w:rsidRPr="00382C57">
        <w:t>Act;</w:t>
      </w:r>
      <w:proofErr w:type="gramEnd"/>
    </w:p>
    <w:p w14:paraId="487F5890" w14:textId="4544FB93" w:rsidR="00FC5196" w:rsidRPr="00382C57" w:rsidRDefault="00FC5196" w:rsidP="00FC5196">
      <w:pPr>
        <w:pStyle w:val="notepara"/>
      </w:pPr>
      <w:r w:rsidRPr="00382C57">
        <w:t>(</w:t>
      </w:r>
      <w:r w:rsidR="00B10EE7">
        <w:t>b</w:t>
      </w:r>
      <w:r w:rsidRPr="00382C57">
        <w:t>)</w:t>
      </w:r>
      <w:r w:rsidRPr="00382C57">
        <w:tab/>
        <w:t xml:space="preserve">new </w:t>
      </w:r>
      <w:proofErr w:type="gramStart"/>
      <w:r w:rsidRPr="00382C57">
        <w:t>law;</w:t>
      </w:r>
      <w:proofErr w:type="gramEnd"/>
    </w:p>
    <w:p w14:paraId="7AAE00A9" w14:textId="2F972FD9" w:rsidR="005651C7" w:rsidRPr="00382C57" w:rsidRDefault="005651C7" w:rsidP="005651C7">
      <w:pPr>
        <w:pStyle w:val="notepara"/>
      </w:pPr>
      <w:r w:rsidRPr="00382C57">
        <w:t>(</w:t>
      </w:r>
      <w:r w:rsidR="00B10EE7">
        <w:t>c</w:t>
      </w:r>
      <w:r w:rsidRPr="00382C57">
        <w:t>)</w:t>
      </w:r>
      <w:r w:rsidRPr="00382C57">
        <w:tab/>
        <w:t xml:space="preserve">old </w:t>
      </w:r>
      <w:proofErr w:type="gramStart"/>
      <w:r w:rsidRPr="00382C57">
        <w:t>Act;</w:t>
      </w:r>
      <w:proofErr w:type="gramEnd"/>
    </w:p>
    <w:p w14:paraId="5D23094F" w14:textId="62545E61" w:rsidR="00F81DB8" w:rsidRPr="00382C57" w:rsidRDefault="00F81DB8" w:rsidP="00F81DB8">
      <w:pPr>
        <w:pStyle w:val="notepara"/>
      </w:pPr>
      <w:r w:rsidRPr="00382C57">
        <w:t>(</w:t>
      </w:r>
      <w:r w:rsidR="00B10EE7">
        <w:t>d</w:t>
      </w:r>
      <w:r w:rsidRPr="00382C57">
        <w:t>)</w:t>
      </w:r>
      <w:r w:rsidRPr="00382C57">
        <w:tab/>
        <w:t xml:space="preserve">old </w:t>
      </w:r>
      <w:proofErr w:type="gramStart"/>
      <w:r w:rsidRPr="00382C57">
        <w:t>law;</w:t>
      </w:r>
      <w:proofErr w:type="gramEnd"/>
    </w:p>
    <w:p w14:paraId="1854BBE5" w14:textId="2B2BE2F0" w:rsidR="00DE07B0" w:rsidRDefault="00DE07B0" w:rsidP="005651C7">
      <w:pPr>
        <w:pStyle w:val="notepara"/>
      </w:pPr>
      <w:r>
        <w:t>(</w:t>
      </w:r>
      <w:r w:rsidR="00B10EE7">
        <w:t>e</w:t>
      </w:r>
      <w:r>
        <w:t>)</w:t>
      </w:r>
      <w:r>
        <w:tab/>
        <w:t xml:space="preserve">transitional </w:t>
      </w:r>
      <w:proofErr w:type="gramStart"/>
      <w:r>
        <w:t>rules;</w:t>
      </w:r>
      <w:proofErr w:type="gramEnd"/>
    </w:p>
    <w:p w14:paraId="07F8AAFA" w14:textId="02E7EB8E" w:rsidR="005651C7" w:rsidRPr="00382C57" w:rsidRDefault="005651C7" w:rsidP="005651C7">
      <w:pPr>
        <w:pStyle w:val="notepara"/>
      </w:pPr>
      <w:r w:rsidRPr="00382C57">
        <w:t>(</w:t>
      </w:r>
      <w:r w:rsidR="00B10EE7">
        <w:t>f</w:t>
      </w:r>
      <w:r w:rsidRPr="00382C57">
        <w:t>)</w:t>
      </w:r>
      <w:r w:rsidRPr="00382C57">
        <w:tab/>
        <w:t>transition time.</w:t>
      </w:r>
    </w:p>
    <w:p w14:paraId="69C3F74F" w14:textId="77777777" w:rsidR="005651C7" w:rsidRPr="00382C57" w:rsidRDefault="005651C7" w:rsidP="005651C7">
      <w:pPr>
        <w:pStyle w:val="subsection"/>
      </w:pPr>
      <w:r w:rsidRPr="00382C57">
        <w:tab/>
        <w:t>(3)</w:t>
      </w:r>
      <w:r w:rsidRPr="00382C57">
        <w:tab/>
        <w:t>An expression used in a provision of this instrument and in the new law has the same meaning in that provision as it has in the new law, subject to subsection (4).</w:t>
      </w:r>
    </w:p>
    <w:p w14:paraId="1DF37E46" w14:textId="77777777" w:rsidR="005651C7" w:rsidRPr="00382C57" w:rsidRDefault="005651C7" w:rsidP="005651C7">
      <w:pPr>
        <w:pStyle w:val="subsection"/>
      </w:pPr>
      <w:r w:rsidRPr="00382C57">
        <w:tab/>
        <w:t>(4)</w:t>
      </w:r>
      <w:r w:rsidRPr="00382C57">
        <w:tab/>
        <w:t>An expression used in a provision of this instrument and in the old law has the same meaning in that provision as it had in the old law to the extent that:</w:t>
      </w:r>
    </w:p>
    <w:p w14:paraId="213FFE7A" w14:textId="77777777" w:rsidR="005651C7" w:rsidRPr="00382C57" w:rsidRDefault="005651C7" w:rsidP="005651C7">
      <w:pPr>
        <w:pStyle w:val="paragraph"/>
      </w:pPr>
      <w:r w:rsidRPr="00382C57">
        <w:tab/>
        <w:t>(a)</w:t>
      </w:r>
      <w:r w:rsidRPr="00382C57">
        <w:tab/>
        <w:t xml:space="preserve">the use of the expression in that provision relates to an event that occurred, or a </w:t>
      </w:r>
      <w:proofErr w:type="gramStart"/>
      <w:r w:rsidRPr="00382C57">
        <w:t>state of affairs</w:t>
      </w:r>
      <w:proofErr w:type="gramEnd"/>
      <w:r w:rsidRPr="00382C57">
        <w:t xml:space="preserve"> that existed, under the old law before the transition time; or</w:t>
      </w:r>
    </w:p>
    <w:p w14:paraId="2F1246E4" w14:textId="77777777" w:rsidR="005651C7" w:rsidRPr="00382C57" w:rsidRDefault="005651C7" w:rsidP="005651C7">
      <w:pPr>
        <w:pStyle w:val="paragraph"/>
      </w:pPr>
      <w:r w:rsidRPr="00382C57">
        <w:tab/>
        <w:t>(b)</w:t>
      </w:r>
      <w:r w:rsidRPr="00382C57">
        <w:tab/>
        <w:t>the provision has the effect that a provision of the old law continues to apply despite the repeal of the old law.</w:t>
      </w:r>
    </w:p>
    <w:p w14:paraId="60CA77C5" w14:textId="20F61B57" w:rsidR="007E1A0F" w:rsidRDefault="007E1A0F" w:rsidP="007E1A0F">
      <w:pPr>
        <w:pStyle w:val="ActHead5"/>
      </w:pPr>
      <w:bookmarkStart w:id="10" w:name="_Toc218697549"/>
      <w:bookmarkStart w:id="11" w:name="_Toc218697567"/>
      <w:r>
        <w:t>5</w:t>
      </w:r>
      <w:r w:rsidRPr="00050730">
        <w:t xml:space="preserve"> </w:t>
      </w:r>
      <w:r>
        <w:t>Deemed registered providers</w:t>
      </w:r>
      <w:bookmarkEnd w:id="10"/>
      <w:bookmarkEnd w:id="11"/>
    </w:p>
    <w:p w14:paraId="5261983B" w14:textId="716D0634" w:rsidR="007E1A0F" w:rsidRDefault="007E1A0F" w:rsidP="007E1A0F">
      <w:pPr>
        <w:pStyle w:val="subsection"/>
      </w:pPr>
      <w:r>
        <w:tab/>
      </w:r>
      <w:r>
        <w:tab/>
        <w:t>For the purposes of subitem</w:t>
      </w:r>
      <w:r w:rsidR="00F028A3">
        <w:t>s</w:t>
      </w:r>
      <w:r w:rsidR="00865689" w:rsidRPr="00865689">
        <w:rPr>
          <w:iCs/>
        </w:rPr>
        <w:t> </w:t>
      </w:r>
      <w:r>
        <w:t xml:space="preserve">6(1) </w:t>
      </w:r>
      <w:r w:rsidR="00F028A3">
        <w:t xml:space="preserve">and (2) </w:t>
      </w:r>
      <w:r>
        <w:t>of Schedule</w:t>
      </w:r>
      <w:r w:rsidR="0001684B" w:rsidRPr="00865689">
        <w:rPr>
          <w:iCs/>
        </w:rPr>
        <w:t> </w:t>
      </w:r>
      <w:r>
        <w:t>2 to the CTP Act, an entity specified in Column 1 of the table in Schedule</w:t>
      </w:r>
      <w:r w:rsidR="0001684B" w:rsidRPr="00865689">
        <w:rPr>
          <w:iCs/>
        </w:rPr>
        <w:t> </w:t>
      </w:r>
      <w:r>
        <w:t>1 to this instrument is taken to be a registered provider under paragraph</w:t>
      </w:r>
      <w:r w:rsidR="00865689" w:rsidRPr="00865689">
        <w:rPr>
          <w:iCs/>
        </w:rPr>
        <w:t> </w:t>
      </w:r>
      <w:r>
        <w:t>105(1)(a) of the new Act</w:t>
      </w:r>
      <w:r w:rsidR="00B200A6">
        <w:t xml:space="preserve"> at the transition time</w:t>
      </w:r>
      <w:r>
        <w:t>.</w:t>
      </w:r>
    </w:p>
    <w:p w14:paraId="038488CD" w14:textId="3C123132" w:rsidR="00F07C54" w:rsidRDefault="00F07C54" w:rsidP="00E55D52">
      <w:pPr>
        <w:pStyle w:val="ActHead5"/>
      </w:pPr>
      <w:bookmarkStart w:id="12" w:name="_Toc218697550"/>
      <w:bookmarkStart w:id="13" w:name="_Toc218697568"/>
      <w:r>
        <w:t xml:space="preserve">6 </w:t>
      </w:r>
      <w:r w:rsidR="00B32F31">
        <w:t xml:space="preserve">Deemed </w:t>
      </w:r>
      <w:r w:rsidR="004340FC">
        <w:t>conditions</w:t>
      </w:r>
      <w:bookmarkEnd w:id="12"/>
      <w:bookmarkEnd w:id="13"/>
    </w:p>
    <w:p w14:paraId="3F00B02B" w14:textId="199FD3F5" w:rsidR="004340FC" w:rsidRPr="004340FC" w:rsidRDefault="004340FC" w:rsidP="004340FC">
      <w:pPr>
        <w:pStyle w:val="subsection"/>
      </w:pPr>
      <w:r>
        <w:tab/>
      </w:r>
      <w:r>
        <w:tab/>
        <w:t>For the purposes of paragraph 6(1)(g) of Schedule</w:t>
      </w:r>
      <w:r w:rsidRPr="00865689">
        <w:rPr>
          <w:iCs/>
        </w:rPr>
        <w:t> </w:t>
      </w:r>
      <w:r>
        <w:t xml:space="preserve">2 to the CTP Act, </w:t>
      </w:r>
      <w:r w:rsidR="0000278A">
        <w:t xml:space="preserve">the conditions to which an entity specified in </w:t>
      </w:r>
      <w:r w:rsidR="00100275">
        <w:t xml:space="preserve">Column 1 of the table in Schedule 1 to this instrument </w:t>
      </w:r>
      <w:r w:rsidR="00775A81">
        <w:t xml:space="preserve">is subject </w:t>
      </w:r>
      <w:r w:rsidR="00100275">
        <w:t xml:space="preserve">are every condition to which the </w:t>
      </w:r>
      <w:r w:rsidR="00907090">
        <w:t xml:space="preserve">entity </w:t>
      </w:r>
      <w:r w:rsidR="0095322F">
        <w:t>will be subject to under section 142 of the new Act</w:t>
      </w:r>
      <w:r w:rsidR="00CB4E5D">
        <w:t xml:space="preserve"> after the transition time</w:t>
      </w:r>
      <w:r w:rsidR="0095322F">
        <w:t>.</w:t>
      </w:r>
    </w:p>
    <w:p w14:paraId="493B04A0" w14:textId="3F3A566C" w:rsidR="0025308A" w:rsidRDefault="0025308A" w:rsidP="00E55D52">
      <w:pPr>
        <w:pStyle w:val="ActHead5"/>
      </w:pPr>
      <w:bookmarkStart w:id="14" w:name="_Toc218697551"/>
      <w:bookmarkStart w:id="15" w:name="_Toc218697569"/>
      <w:r>
        <w:t xml:space="preserve">7 </w:t>
      </w:r>
      <w:r w:rsidR="00680535">
        <w:t>Reasons for making the determination</w:t>
      </w:r>
      <w:bookmarkEnd w:id="14"/>
      <w:bookmarkEnd w:id="15"/>
    </w:p>
    <w:p w14:paraId="040EDE08" w14:textId="6A87DA12" w:rsidR="00680535" w:rsidRPr="00680535" w:rsidRDefault="00680535" w:rsidP="00680535">
      <w:pPr>
        <w:pStyle w:val="subsection"/>
      </w:pPr>
      <w:r>
        <w:tab/>
      </w:r>
      <w:r>
        <w:tab/>
        <w:t xml:space="preserve">For the purposes of </w:t>
      </w:r>
      <w:r w:rsidR="002934B6">
        <w:t>paragraph</w:t>
      </w:r>
      <w:r w:rsidR="002934B6" w:rsidRPr="00865689">
        <w:rPr>
          <w:iCs/>
        </w:rPr>
        <w:t> </w:t>
      </w:r>
      <w:r w:rsidR="002934B6">
        <w:t>6(2)(</w:t>
      </w:r>
      <w:r w:rsidR="00537614">
        <w:t>b</w:t>
      </w:r>
      <w:r w:rsidR="002934B6">
        <w:t>) and subitem 6(</w:t>
      </w:r>
      <w:r w:rsidR="00CE317D">
        <w:t>3</w:t>
      </w:r>
      <w:r w:rsidR="002934B6">
        <w:t>)</w:t>
      </w:r>
      <w:r w:rsidR="00CE317D">
        <w:t xml:space="preserve"> and paragraph 7(2)(d)</w:t>
      </w:r>
      <w:r w:rsidR="002934B6">
        <w:t xml:space="preserve"> of Schedule</w:t>
      </w:r>
      <w:r w:rsidR="002934B6" w:rsidRPr="00865689">
        <w:rPr>
          <w:iCs/>
        </w:rPr>
        <w:t> </w:t>
      </w:r>
      <w:r w:rsidR="002934B6">
        <w:t xml:space="preserve">2 to the CTP Act, this instrument is made </w:t>
      </w:r>
      <w:r w:rsidR="00360FC3">
        <w:t xml:space="preserve">to </w:t>
      </w:r>
      <w:r w:rsidR="00360FC3" w:rsidRPr="00360FC3">
        <w:t xml:space="preserve">ensure that the provision of certain types of care under the old Act, or services delivered under an agreement between </w:t>
      </w:r>
      <w:r w:rsidR="00360FC3">
        <w:t>an</w:t>
      </w:r>
      <w:r w:rsidR="00360FC3" w:rsidRPr="00360FC3">
        <w:t xml:space="preserve"> entity and the Commonwealth, may continue as funded aged care services under the new Act that correspond as nearly as possible to those types of care or services</w:t>
      </w:r>
      <w:r w:rsidR="005127E9">
        <w:t>.</w:t>
      </w:r>
    </w:p>
    <w:p w14:paraId="49D440D0" w14:textId="0F0EA0C5" w:rsidR="007F0CB3" w:rsidRDefault="0025308A" w:rsidP="00E55D52">
      <w:pPr>
        <w:pStyle w:val="ActHead5"/>
      </w:pPr>
      <w:bookmarkStart w:id="16" w:name="_Toc218697552"/>
      <w:bookmarkStart w:id="17" w:name="_Toc218697570"/>
      <w:r>
        <w:t xml:space="preserve">8 </w:t>
      </w:r>
      <w:r w:rsidR="006B6F50" w:rsidRPr="006B6F50">
        <w:t>Deemed decisions to allocate places—TCP</w:t>
      </w:r>
      <w:r w:rsidR="006B6F50">
        <w:t xml:space="preserve"> and MPSP</w:t>
      </w:r>
      <w:bookmarkEnd w:id="16"/>
      <w:bookmarkEnd w:id="17"/>
    </w:p>
    <w:p w14:paraId="4D0ECF0F" w14:textId="48233404" w:rsidR="00BF6F3B" w:rsidRDefault="006B6F50" w:rsidP="00BF6F3B">
      <w:pPr>
        <w:pStyle w:val="subsection"/>
      </w:pPr>
      <w:r>
        <w:tab/>
      </w:r>
      <w:r>
        <w:tab/>
        <w:t>For the purposes of paragraph</w:t>
      </w:r>
      <w:r w:rsidR="00865689" w:rsidRPr="00865689">
        <w:rPr>
          <w:iCs/>
        </w:rPr>
        <w:t> </w:t>
      </w:r>
      <w:r w:rsidR="000037DB">
        <w:t>6(2)(h) of Schedule</w:t>
      </w:r>
      <w:r w:rsidR="0001684B" w:rsidRPr="00865689">
        <w:rPr>
          <w:iCs/>
        </w:rPr>
        <w:t> </w:t>
      </w:r>
      <w:r w:rsidR="000037DB">
        <w:t xml:space="preserve">2 to the CTP Act and the transitional </w:t>
      </w:r>
      <w:r w:rsidR="002444C7">
        <w:t>r</w:t>
      </w:r>
      <w:r w:rsidR="000037DB">
        <w:t xml:space="preserve">ules, </w:t>
      </w:r>
      <w:r w:rsidR="002136A5">
        <w:t>an entity specified in Column</w:t>
      </w:r>
      <w:r w:rsidR="0001684B" w:rsidRPr="00865689">
        <w:rPr>
          <w:iCs/>
        </w:rPr>
        <w:t> </w:t>
      </w:r>
      <w:r w:rsidR="002136A5">
        <w:t>1 of the table in Schedule</w:t>
      </w:r>
      <w:r w:rsidR="0001684B" w:rsidRPr="00865689">
        <w:rPr>
          <w:iCs/>
        </w:rPr>
        <w:t> </w:t>
      </w:r>
      <w:r w:rsidR="002136A5">
        <w:t>2 to this instrument is taken to have been allocated</w:t>
      </w:r>
      <w:r w:rsidR="006573FF">
        <w:t>,</w:t>
      </w:r>
      <w:r w:rsidR="00F02908">
        <w:t xml:space="preserve"> at the transition time</w:t>
      </w:r>
      <w:r w:rsidR="00BF6F3B">
        <w:t>:</w:t>
      </w:r>
    </w:p>
    <w:p w14:paraId="5EF9422D" w14:textId="7ABAD0E7" w:rsidR="00BF6F3B" w:rsidRDefault="00BF6F3B" w:rsidP="7F397195">
      <w:pPr>
        <w:pStyle w:val="paragraph"/>
      </w:pPr>
      <w:r>
        <w:tab/>
      </w:r>
      <w:r w:rsidR="040DD80A">
        <w:t>(a)</w:t>
      </w:r>
      <w:r>
        <w:tab/>
      </w:r>
      <w:r w:rsidR="2DB82D19">
        <w:t xml:space="preserve">the number of places for delivering funded aged care services </w:t>
      </w:r>
      <w:r w:rsidR="465E2D42">
        <w:t>under the TCP</w:t>
      </w:r>
      <w:r w:rsidR="3A85AE20">
        <w:t xml:space="preserve"> </w:t>
      </w:r>
      <w:r w:rsidR="040DD80A">
        <w:t>as specifi</w:t>
      </w:r>
      <w:r w:rsidR="76F4246C">
        <w:t>ed in Column</w:t>
      </w:r>
      <w:r w:rsidR="2C4812B0" w:rsidRPr="00865689">
        <w:rPr>
          <w:iCs/>
        </w:rPr>
        <w:t> </w:t>
      </w:r>
      <w:r w:rsidR="659BD58E" w:rsidRPr="00865689">
        <w:rPr>
          <w:iCs/>
        </w:rPr>
        <w:t>3</w:t>
      </w:r>
      <w:r w:rsidR="76F4246C">
        <w:t xml:space="preserve"> of that table; </w:t>
      </w:r>
      <w:r w:rsidR="3A85AE20">
        <w:t>or</w:t>
      </w:r>
    </w:p>
    <w:p w14:paraId="21A08A18" w14:textId="0D3322CC" w:rsidR="00380969" w:rsidRDefault="00A2349C" w:rsidP="7F397195">
      <w:pPr>
        <w:pStyle w:val="paragraph"/>
      </w:pPr>
      <w:r>
        <w:tab/>
      </w:r>
      <w:r w:rsidR="6AACF38A">
        <w:t>(b)</w:t>
      </w:r>
      <w:r>
        <w:tab/>
      </w:r>
      <w:r w:rsidR="2DB82D19">
        <w:t xml:space="preserve">the number of places for delivering funded aged care services </w:t>
      </w:r>
      <w:r w:rsidR="3A85AE20">
        <w:t>under the MPSP in or from an approved residential care hom</w:t>
      </w:r>
      <w:r w:rsidR="6AACF38A">
        <w:t xml:space="preserve">e, as specified in </w:t>
      </w:r>
      <w:r w:rsidR="4EF59EF1">
        <w:t>Column</w:t>
      </w:r>
      <w:r w:rsidR="2C4812B0" w:rsidRPr="00865689">
        <w:rPr>
          <w:iCs/>
        </w:rPr>
        <w:t> </w:t>
      </w:r>
      <w:r w:rsidR="12F31F42" w:rsidRPr="00865689">
        <w:rPr>
          <w:iCs/>
        </w:rPr>
        <w:t>4</w:t>
      </w:r>
      <w:r w:rsidR="2DB82D19">
        <w:t xml:space="preserve"> of that table.</w:t>
      </w:r>
    </w:p>
    <w:p w14:paraId="1509557B" w14:textId="65DA9EE5" w:rsidR="00E55D52" w:rsidRDefault="0025308A" w:rsidP="00E55D52">
      <w:pPr>
        <w:pStyle w:val="ActHead5"/>
      </w:pPr>
      <w:bookmarkStart w:id="18" w:name="_Toc218697553"/>
      <w:bookmarkStart w:id="19" w:name="_Toc218697571"/>
      <w:r>
        <w:t xml:space="preserve">9 </w:t>
      </w:r>
      <w:r w:rsidR="00E55D52">
        <w:t xml:space="preserve">Deemed </w:t>
      </w:r>
      <w:r w:rsidR="00432376" w:rsidRPr="00432376">
        <w:t>approval of residential care homes</w:t>
      </w:r>
      <w:bookmarkEnd w:id="18"/>
      <w:bookmarkEnd w:id="19"/>
    </w:p>
    <w:p w14:paraId="1C47529D" w14:textId="40F096C6" w:rsidR="7B3CE4AA" w:rsidRDefault="00432376" w:rsidP="006560A9">
      <w:pPr>
        <w:pStyle w:val="subsection"/>
        <w:rPr>
          <w:rStyle w:val="CharChapNo"/>
        </w:rPr>
      </w:pPr>
      <w:r>
        <w:tab/>
      </w:r>
      <w:r>
        <w:tab/>
        <w:t>For the purposes of subitem</w:t>
      </w:r>
      <w:r w:rsidR="00B76720">
        <w:t>s</w:t>
      </w:r>
      <w:r w:rsidR="00865689" w:rsidRPr="00865689">
        <w:rPr>
          <w:iCs/>
        </w:rPr>
        <w:t> </w:t>
      </w:r>
      <w:r>
        <w:t xml:space="preserve">7(1) </w:t>
      </w:r>
      <w:r w:rsidR="00B76720">
        <w:t xml:space="preserve">and (2) </w:t>
      </w:r>
      <w:r>
        <w:t xml:space="preserve">of Schedule 2 to the CTP Act, </w:t>
      </w:r>
      <w:r w:rsidR="002F5AF0">
        <w:t xml:space="preserve">each </w:t>
      </w:r>
      <w:r w:rsidR="00313ED8">
        <w:t xml:space="preserve">of the </w:t>
      </w:r>
      <w:r w:rsidR="00F71636">
        <w:t>places identified in Column</w:t>
      </w:r>
      <w:r w:rsidR="00DC770D" w:rsidRPr="00865689">
        <w:rPr>
          <w:iCs/>
        </w:rPr>
        <w:t> </w:t>
      </w:r>
      <w:r w:rsidR="002F5AF0">
        <w:t xml:space="preserve">3 </w:t>
      </w:r>
      <w:r w:rsidR="00F71636">
        <w:t>of the table in Schedule</w:t>
      </w:r>
      <w:r w:rsidR="0002580D" w:rsidRPr="00865689">
        <w:rPr>
          <w:iCs/>
        </w:rPr>
        <w:t> </w:t>
      </w:r>
      <w:r w:rsidR="007F0CB3">
        <w:t>3</w:t>
      </w:r>
      <w:r w:rsidR="00F71636">
        <w:t xml:space="preserve"> to this instrument </w:t>
      </w:r>
      <w:r w:rsidR="00DB4B28">
        <w:t xml:space="preserve">is </w:t>
      </w:r>
      <w:r w:rsidR="004F65BF">
        <w:t xml:space="preserve">taken to be approved as a residential care home </w:t>
      </w:r>
      <w:r w:rsidR="008E56BA">
        <w:t xml:space="preserve">(within the meaning of the new Act) </w:t>
      </w:r>
      <w:r w:rsidR="004F65BF">
        <w:t>in relation to the registered provider identified in Column</w:t>
      </w:r>
      <w:r w:rsidR="00DC770D" w:rsidRPr="00865689">
        <w:rPr>
          <w:iCs/>
        </w:rPr>
        <w:t> </w:t>
      </w:r>
      <w:r w:rsidR="004F65BF">
        <w:t>1 of that table</w:t>
      </w:r>
      <w:r w:rsidR="006573FF">
        <w:t xml:space="preserve"> at the transition time</w:t>
      </w:r>
      <w:r w:rsidR="006560A9">
        <w:t>.</w:t>
      </w:r>
    </w:p>
    <w:sectPr w:rsidR="7B3CE4AA" w:rsidSect="006B7022">
      <w:headerReference w:type="even" r:id="rId20"/>
      <w:headerReference w:type="default" r:id="rId21"/>
      <w:footerReference w:type="first" r:id="rId22"/>
      <w:pgSz w:w="11907" w:h="16839" w:code="9"/>
      <w:pgMar w:top="2234" w:right="1797" w:bottom="4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A5B5" w14:textId="77777777" w:rsidR="007D5AA9" w:rsidRDefault="007D5AA9" w:rsidP="00715914">
      <w:pPr>
        <w:spacing w:line="240" w:lineRule="auto"/>
      </w:pPr>
      <w:r>
        <w:separator/>
      </w:r>
    </w:p>
  </w:endnote>
  <w:endnote w:type="continuationSeparator" w:id="0">
    <w:p w14:paraId="099195B9" w14:textId="77777777" w:rsidR="007D5AA9" w:rsidRDefault="007D5AA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55F0239-1A2A-4F84-A7E8-50CC54F56542}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63A9C362-B407-4DE6-A10B-4DDC8C7390BF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698D" w14:textId="77777777" w:rsidR="007357FD" w:rsidRPr="0077342E" w:rsidRDefault="007357FD" w:rsidP="007357FD">
    <w:pPr>
      <w:pStyle w:val="Footer"/>
    </w:pPr>
    <w:r w:rsidRPr="0077342E">
      <w:t>Aged Care (Consequential and Transitional Provisions) (Deeming of Registered Providers) Determination 2025</w:t>
    </w:r>
  </w:p>
  <w:sdt>
    <w:sdtPr>
      <w:id w:val="-154539766"/>
      <w:docPartObj>
        <w:docPartGallery w:val="Page Numbers (Bottom of Page)"/>
        <w:docPartUnique/>
      </w:docPartObj>
    </w:sdtPr>
    <w:sdtContent>
      <w:p w14:paraId="02622D66" w14:textId="4B7B2A3E" w:rsidR="0072147A" w:rsidRPr="007357FD" w:rsidRDefault="007357FD" w:rsidP="007357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7986" w14:textId="7E2798A8" w:rsidR="0072147A" w:rsidRPr="0077342E" w:rsidRDefault="0077342E" w:rsidP="0077342E">
    <w:pPr>
      <w:pStyle w:val="Footer"/>
    </w:pPr>
    <w:r w:rsidRPr="0077342E">
      <w:t>Aged Care (Consequential and Transitional Provisions) (Deeming of Registered Providers) Determination 2025</w:t>
    </w:r>
    <w:r>
      <w:tab/>
    </w:r>
    <w:r>
      <w:tab/>
    </w:r>
    <w:sdt>
      <w:sdtPr>
        <w:id w:val="180604944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AC13" w14:textId="3BB54062" w:rsidR="000237C9" w:rsidRPr="00ED79B6" w:rsidRDefault="00D41D87" w:rsidP="00D41D87">
    <w:pPr>
      <w:pStyle w:val="Footer"/>
    </w:pPr>
    <w:r w:rsidRPr="0077342E">
      <w:t>Aged Care (Consequential and Transitional Provisions) (Deeming of Registered Providers) Determination 2025</w:t>
    </w:r>
    <w:r>
      <w:tab/>
    </w:r>
    <w:r>
      <w:tab/>
    </w:r>
    <w:sdt>
      <w:sdtPr>
        <w:id w:val="643233445"/>
        <w:docPartObj>
          <w:docPartGallery w:val="Page Numbers (Bottom of Page)"/>
          <w:docPartUnique/>
        </w:docPartObj>
      </w:sdtPr>
      <w:sdtContent>
        <w:r w:rsidR="000237C9">
          <w:fldChar w:fldCharType="begin"/>
        </w:r>
        <w:r w:rsidR="000237C9">
          <w:instrText>PAGE   \* MERGEFORMAT</w:instrText>
        </w:r>
        <w:r w:rsidR="000237C9">
          <w:fldChar w:fldCharType="separate"/>
        </w:r>
        <w:r w:rsidR="000237C9">
          <w:rPr>
            <w:lang w:val="en-GB"/>
          </w:rPr>
          <w:t>2</w:t>
        </w:r>
        <w:r w:rsidR="000237C9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FC23" w14:textId="77777777" w:rsidR="00D41D87" w:rsidRPr="0077342E" w:rsidRDefault="00D41D87" w:rsidP="0077342E">
    <w:pPr>
      <w:pStyle w:val="Footer"/>
    </w:pPr>
    <w:r w:rsidRPr="0077342E">
      <w:t>Aged Care (Consequential and Transitional Provisions) (Deeming of Registered Providers) Determination 2025</w:t>
    </w:r>
    <w:r>
      <w:tab/>
    </w:r>
    <w:r>
      <w:tab/>
    </w:r>
    <w:sdt>
      <w:sdtPr>
        <w:id w:val="150393370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3E90" w14:textId="77777777" w:rsidR="007D5AA9" w:rsidRDefault="007D5AA9" w:rsidP="00715914">
      <w:pPr>
        <w:spacing w:line="240" w:lineRule="auto"/>
      </w:pPr>
      <w:r>
        <w:separator/>
      </w:r>
    </w:p>
  </w:footnote>
  <w:footnote w:type="continuationSeparator" w:id="0">
    <w:p w14:paraId="53CFD9BD" w14:textId="77777777" w:rsidR="007D5AA9" w:rsidRDefault="007D5AA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D473" w14:textId="0429BFD8" w:rsidR="00F6696E" w:rsidRPr="005F1388" w:rsidRDefault="00065D8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0B17EAF" wp14:editId="44754C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904580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84EAF" w14:textId="0C2F843E" w:rsidR="00065D85" w:rsidRPr="00065D85" w:rsidRDefault="00065D85" w:rsidP="00065D8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5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17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5384EAF" w14:textId="0C2F843E" w:rsidR="00065D85" w:rsidRPr="00065D85" w:rsidRDefault="00065D85" w:rsidP="00065D8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5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9616" w14:textId="3E7CCE04" w:rsidR="00F6696E" w:rsidRPr="005F1388" w:rsidRDefault="00065D8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4F832BD" wp14:editId="7AE128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104731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FF509" w14:textId="704817DC" w:rsidR="00065D85" w:rsidRPr="00065D85" w:rsidRDefault="00065D85" w:rsidP="00065D8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5D8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832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45FF509" w14:textId="704817DC" w:rsidR="00065D85" w:rsidRPr="00065D85" w:rsidRDefault="00065D85" w:rsidP="00065D8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5D8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02C" w14:textId="2031F0E2" w:rsidR="00F6696E" w:rsidRPr="00ED79B6" w:rsidRDefault="00F6696E" w:rsidP="000468F4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56CE" w14:textId="54FE6BB5" w:rsidR="00F6696E" w:rsidRPr="000237C9" w:rsidRDefault="00F6696E" w:rsidP="0002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29A8" w14:textId="4DE58F7C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E8BD" w14:textId="77777777" w:rsidR="004E1307" w:rsidRPr="0077342E" w:rsidRDefault="004E1307" w:rsidP="0077342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5F55" w14:textId="77777777" w:rsidR="004E1307" w:rsidRPr="0077342E" w:rsidRDefault="004E1307" w:rsidP="007734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860C42"/>
    <w:multiLevelType w:val="hybridMultilevel"/>
    <w:tmpl w:val="00E2210E"/>
    <w:lvl w:ilvl="0" w:tplc="8500B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D8CE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58EC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908DB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D52F0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D49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2AC28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A104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909A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55C7F19"/>
    <w:multiLevelType w:val="hybridMultilevel"/>
    <w:tmpl w:val="B93A8C50"/>
    <w:lvl w:ilvl="0" w:tplc="0C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61231784">
    <w:abstractNumId w:val="9"/>
  </w:num>
  <w:num w:numId="2" w16cid:durableId="784036725">
    <w:abstractNumId w:val="7"/>
  </w:num>
  <w:num w:numId="3" w16cid:durableId="1094394961">
    <w:abstractNumId w:val="6"/>
  </w:num>
  <w:num w:numId="4" w16cid:durableId="1406610199">
    <w:abstractNumId w:val="5"/>
  </w:num>
  <w:num w:numId="5" w16cid:durableId="697506093">
    <w:abstractNumId w:val="4"/>
  </w:num>
  <w:num w:numId="6" w16cid:durableId="240256748">
    <w:abstractNumId w:val="8"/>
  </w:num>
  <w:num w:numId="7" w16cid:durableId="1693413715">
    <w:abstractNumId w:val="3"/>
  </w:num>
  <w:num w:numId="8" w16cid:durableId="384063185">
    <w:abstractNumId w:val="2"/>
  </w:num>
  <w:num w:numId="9" w16cid:durableId="464205752">
    <w:abstractNumId w:val="1"/>
  </w:num>
  <w:num w:numId="10" w16cid:durableId="1686059818">
    <w:abstractNumId w:val="0"/>
  </w:num>
  <w:num w:numId="11" w16cid:durableId="1015424552">
    <w:abstractNumId w:val="14"/>
  </w:num>
  <w:num w:numId="12" w16cid:durableId="1293176214">
    <w:abstractNumId w:val="10"/>
  </w:num>
  <w:num w:numId="13" w16cid:durableId="1870023426">
    <w:abstractNumId w:val="11"/>
  </w:num>
  <w:num w:numId="14" w16cid:durableId="1990210565">
    <w:abstractNumId w:val="13"/>
  </w:num>
  <w:num w:numId="15" w16cid:durableId="1140616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0"/>
    <w:rsid w:val="0000278A"/>
    <w:rsid w:val="000037DB"/>
    <w:rsid w:val="00004174"/>
    <w:rsid w:val="00004470"/>
    <w:rsid w:val="0000450E"/>
    <w:rsid w:val="000136AF"/>
    <w:rsid w:val="00013ACD"/>
    <w:rsid w:val="0001684B"/>
    <w:rsid w:val="0001728C"/>
    <w:rsid w:val="000200C5"/>
    <w:rsid w:val="000237C9"/>
    <w:rsid w:val="0002580D"/>
    <w:rsid w:val="000258B1"/>
    <w:rsid w:val="00030C30"/>
    <w:rsid w:val="000314C0"/>
    <w:rsid w:val="00036985"/>
    <w:rsid w:val="00040A89"/>
    <w:rsid w:val="000437C1"/>
    <w:rsid w:val="0004455A"/>
    <w:rsid w:val="000468F4"/>
    <w:rsid w:val="00047D92"/>
    <w:rsid w:val="00050DC0"/>
    <w:rsid w:val="0005365D"/>
    <w:rsid w:val="000614BF"/>
    <w:rsid w:val="00064398"/>
    <w:rsid w:val="00065D85"/>
    <w:rsid w:val="0006709C"/>
    <w:rsid w:val="000715F0"/>
    <w:rsid w:val="00074376"/>
    <w:rsid w:val="000806E9"/>
    <w:rsid w:val="00086E01"/>
    <w:rsid w:val="00086E0F"/>
    <w:rsid w:val="00094C1D"/>
    <w:rsid w:val="00096290"/>
    <w:rsid w:val="000978F5"/>
    <w:rsid w:val="00097BF6"/>
    <w:rsid w:val="000A391A"/>
    <w:rsid w:val="000B0C65"/>
    <w:rsid w:val="000B15CD"/>
    <w:rsid w:val="000B253C"/>
    <w:rsid w:val="000B2F8B"/>
    <w:rsid w:val="000B3553"/>
    <w:rsid w:val="000B35EB"/>
    <w:rsid w:val="000C314F"/>
    <w:rsid w:val="000D05EF"/>
    <w:rsid w:val="000D587A"/>
    <w:rsid w:val="000D7741"/>
    <w:rsid w:val="000E2261"/>
    <w:rsid w:val="000E78B7"/>
    <w:rsid w:val="000F21C1"/>
    <w:rsid w:val="00100275"/>
    <w:rsid w:val="00102B3A"/>
    <w:rsid w:val="0010745C"/>
    <w:rsid w:val="001242AE"/>
    <w:rsid w:val="001318F5"/>
    <w:rsid w:val="00132CEB"/>
    <w:rsid w:val="001339B0"/>
    <w:rsid w:val="00142B62"/>
    <w:rsid w:val="001441B7"/>
    <w:rsid w:val="001507DF"/>
    <w:rsid w:val="001516CB"/>
    <w:rsid w:val="00152336"/>
    <w:rsid w:val="00157028"/>
    <w:rsid w:val="00157B8B"/>
    <w:rsid w:val="001609FE"/>
    <w:rsid w:val="00166C2F"/>
    <w:rsid w:val="00166D91"/>
    <w:rsid w:val="00167774"/>
    <w:rsid w:val="00171BCE"/>
    <w:rsid w:val="00174393"/>
    <w:rsid w:val="001809D7"/>
    <w:rsid w:val="00181107"/>
    <w:rsid w:val="00182437"/>
    <w:rsid w:val="001939E1"/>
    <w:rsid w:val="00194C3E"/>
    <w:rsid w:val="0019508D"/>
    <w:rsid w:val="00195382"/>
    <w:rsid w:val="001A0404"/>
    <w:rsid w:val="001B2CB6"/>
    <w:rsid w:val="001C3204"/>
    <w:rsid w:val="001C61C5"/>
    <w:rsid w:val="001C69C4"/>
    <w:rsid w:val="001D0DC4"/>
    <w:rsid w:val="001D37EF"/>
    <w:rsid w:val="001E3590"/>
    <w:rsid w:val="001E7407"/>
    <w:rsid w:val="001F5D5E"/>
    <w:rsid w:val="001F6219"/>
    <w:rsid w:val="001F6CD4"/>
    <w:rsid w:val="002016B9"/>
    <w:rsid w:val="002047AD"/>
    <w:rsid w:val="00206C4D"/>
    <w:rsid w:val="002136A5"/>
    <w:rsid w:val="00215AF1"/>
    <w:rsid w:val="00223CE0"/>
    <w:rsid w:val="002321E8"/>
    <w:rsid w:val="00232984"/>
    <w:rsid w:val="0024010F"/>
    <w:rsid w:val="00240749"/>
    <w:rsid w:val="00241A06"/>
    <w:rsid w:val="00242EBB"/>
    <w:rsid w:val="00243018"/>
    <w:rsid w:val="00244181"/>
    <w:rsid w:val="002444C7"/>
    <w:rsid w:val="0025308A"/>
    <w:rsid w:val="002552D6"/>
    <w:rsid w:val="002564A4"/>
    <w:rsid w:val="00261E07"/>
    <w:rsid w:val="0026736C"/>
    <w:rsid w:val="00270E73"/>
    <w:rsid w:val="00274E95"/>
    <w:rsid w:val="00275F7E"/>
    <w:rsid w:val="00281308"/>
    <w:rsid w:val="00281845"/>
    <w:rsid w:val="0028297A"/>
    <w:rsid w:val="00284719"/>
    <w:rsid w:val="002934B6"/>
    <w:rsid w:val="00294A56"/>
    <w:rsid w:val="00297ECB"/>
    <w:rsid w:val="002A5E8A"/>
    <w:rsid w:val="002A7BCF"/>
    <w:rsid w:val="002C3FD1"/>
    <w:rsid w:val="002D043A"/>
    <w:rsid w:val="002D266B"/>
    <w:rsid w:val="002D3908"/>
    <w:rsid w:val="002D6224"/>
    <w:rsid w:val="002E1BD0"/>
    <w:rsid w:val="002E48BC"/>
    <w:rsid w:val="002F2F4D"/>
    <w:rsid w:val="002F543F"/>
    <w:rsid w:val="002F5AF0"/>
    <w:rsid w:val="00304F8B"/>
    <w:rsid w:val="00313ED8"/>
    <w:rsid w:val="00323199"/>
    <w:rsid w:val="00334B66"/>
    <w:rsid w:val="00335BC6"/>
    <w:rsid w:val="003415D3"/>
    <w:rsid w:val="00344338"/>
    <w:rsid w:val="003444C8"/>
    <w:rsid w:val="00344701"/>
    <w:rsid w:val="00352B0F"/>
    <w:rsid w:val="00356AB9"/>
    <w:rsid w:val="00360459"/>
    <w:rsid w:val="00360FC3"/>
    <w:rsid w:val="0038049F"/>
    <w:rsid w:val="00380969"/>
    <w:rsid w:val="00395038"/>
    <w:rsid w:val="003A2577"/>
    <w:rsid w:val="003A48CD"/>
    <w:rsid w:val="003B7DCB"/>
    <w:rsid w:val="003C1502"/>
    <w:rsid w:val="003C5602"/>
    <w:rsid w:val="003C6231"/>
    <w:rsid w:val="003C6AF5"/>
    <w:rsid w:val="003D0BFE"/>
    <w:rsid w:val="003D5700"/>
    <w:rsid w:val="003E001C"/>
    <w:rsid w:val="003E341B"/>
    <w:rsid w:val="003E3486"/>
    <w:rsid w:val="003E4312"/>
    <w:rsid w:val="003E48C9"/>
    <w:rsid w:val="003E4D00"/>
    <w:rsid w:val="003F2E42"/>
    <w:rsid w:val="003F3780"/>
    <w:rsid w:val="003F684C"/>
    <w:rsid w:val="004116CD"/>
    <w:rsid w:val="00417EB9"/>
    <w:rsid w:val="00420E0F"/>
    <w:rsid w:val="00421B2B"/>
    <w:rsid w:val="00423E2B"/>
    <w:rsid w:val="00424CA9"/>
    <w:rsid w:val="00425BD9"/>
    <w:rsid w:val="004276DF"/>
    <w:rsid w:val="00431E9B"/>
    <w:rsid w:val="00432376"/>
    <w:rsid w:val="004340FC"/>
    <w:rsid w:val="00434A3B"/>
    <w:rsid w:val="004379E3"/>
    <w:rsid w:val="00437DA2"/>
    <w:rsid w:val="0044015E"/>
    <w:rsid w:val="004410B7"/>
    <w:rsid w:val="0044291A"/>
    <w:rsid w:val="004560EE"/>
    <w:rsid w:val="00456CAE"/>
    <w:rsid w:val="0046724E"/>
    <w:rsid w:val="00467661"/>
    <w:rsid w:val="00471EE4"/>
    <w:rsid w:val="00472459"/>
    <w:rsid w:val="00472DBE"/>
    <w:rsid w:val="00474A19"/>
    <w:rsid w:val="004753E7"/>
    <w:rsid w:val="00477830"/>
    <w:rsid w:val="004830E6"/>
    <w:rsid w:val="0048434F"/>
    <w:rsid w:val="00487764"/>
    <w:rsid w:val="00490313"/>
    <w:rsid w:val="00491014"/>
    <w:rsid w:val="0049612A"/>
    <w:rsid w:val="00496F97"/>
    <w:rsid w:val="004A06B5"/>
    <w:rsid w:val="004B6C48"/>
    <w:rsid w:val="004C4E59"/>
    <w:rsid w:val="004C5789"/>
    <w:rsid w:val="004C6809"/>
    <w:rsid w:val="004E063A"/>
    <w:rsid w:val="004E1307"/>
    <w:rsid w:val="004E7BEC"/>
    <w:rsid w:val="004F4247"/>
    <w:rsid w:val="004F65BF"/>
    <w:rsid w:val="00505D3D"/>
    <w:rsid w:val="00506AF6"/>
    <w:rsid w:val="00507628"/>
    <w:rsid w:val="005127E9"/>
    <w:rsid w:val="00516B8D"/>
    <w:rsid w:val="00526422"/>
    <w:rsid w:val="005303C8"/>
    <w:rsid w:val="00531FEB"/>
    <w:rsid w:val="00537614"/>
    <w:rsid w:val="00537FBC"/>
    <w:rsid w:val="00543CFB"/>
    <w:rsid w:val="00554826"/>
    <w:rsid w:val="00562877"/>
    <w:rsid w:val="005651C7"/>
    <w:rsid w:val="005719AF"/>
    <w:rsid w:val="0058310D"/>
    <w:rsid w:val="00584811"/>
    <w:rsid w:val="00585784"/>
    <w:rsid w:val="00593AA6"/>
    <w:rsid w:val="00594161"/>
    <w:rsid w:val="00594749"/>
    <w:rsid w:val="00594920"/>
    <w:rsid w:val="005A26D3"/>
    <w:rsid w:val="005A65D5"/>
    <w:rsid w:val="005B4067"/>
    <w:rsid w:val="005C3F41"/>
    <w:rsid w:val="005C6E4B"/>
    <w:rsid w:val="005D1D92"/>
    <w:rsid w:val="005D2D09"/>
    <w:rsid w:val="005E225A"/>
    <w:rsid w:val="005E3BA8"/>
    <w:rsid w:val="005E5A87"/>
    <w:rsid w:val="005F669B"/>
    <w:rsid w:val="00600219"/>
    <w:rsid w:val="00604F2A"/>
    <w:rsid w:val="00620076"/>
    <w:rsid w:val="00627D37"/>
    <w:rsid w:val="00627E0A"/>
    <w:rsid w:val="00634A06"/>
    <w:rsid w:val="00640449"/>
    <w:rsid w:val="00645189"/>
    <w:rsid w:val="0065488B"/>
    <w:rsid w:val="0065587A"/>
    <w:rsid w:val="006560A9"/>
    <w:rsid w:val="0065621F"/>
    <w:rsid w:val="006573DD"/>
    <w:rsid w:val="006573FF"/>
    <w:rsid w:val="00666989"/>
    <w:rsid w:val="00670651"/>
    <w:rsid w:val="00670EA1"/>
    <w:rsid w:val="00677CC2"/>
    <w:rsid w:val="00680535"/>
    <w:rsid w:val="00680A4A"/>
    <w:rsid w:val="00686750"/>
    <w:rsid w:val="0068744B"/>
    <w:rsid w:val="006905DE"/>
    <w:rsid w:val="0069207B"/>
    <w:rsid w:val="00692E9A"/>
    <w:rsid w:val="006A154F"/>
    <w:rsid w:val="006A437B"/>
    <w:rsid w:val="006B5789"/>
    <w:rsid w:val="006B6F50"/>
    <w:rsid w:val="006B7022"/>
    <w:rsid w:val="006C2B8A"/>
    <w:rsid w:val="006C30C5"/>
    <w:rsid w:val="006C6C2A"/>
    <w:rsid w:val="006C77A6"/>
    <w:rsid w:val="006C7F8C"/>
    <w:rsid w:val="006D0BCF"/>
    <w:rsid w:val="006D7E5A"/>
    <w:rsid w:val="006E2E1C"/>
    <w:rsid w:val="006E5304"/>
    <w:rsid w:val="006E6246"/>
    <w:rsid w:val="006E69C2"/>
    <w:rsid w:val="006E6DCC"/>
    <w:rsid w:val="006F318F"/>
    <w:rsid w:val="0070017E"/>
    <w:rsid w:val="00700B2C"/>
    <w:rsid w:val="007050A2"/>
    <w:rsid w:val="00711BA0"/>
    <w:rsid w:val="00713084"/>
    <w:rsid w:val="00713D91"/>
    <w:rsid w:val="00714F20"/>
    <w:rsid w:val="0071590F"/>
    <w:rsid w:val="00715914"/>
    <w:rsid w:val="00720DCE"/>
    <w:rsid w:val="0072147A"/>
    <w:rsid w:val="00721635"/>
    <w:rsid w:val="00723791"/>
    <w:rsid w:val="00724F53"/>
    <w:rsid w:val="00725EFD"/>
    <w:rsid w:val="00726034"/>
    <w:rsid w:val="00731915"/>
    <w:rsid w:val="00731E00"/>
    <w:rsid w:val="007357FD"/>
    <w:rsid w:val="007440B7"/>
    <w:rsid w:val="007500C8"/>
    <w:rsid w:val="007516C6"/>
    <w:rsid w:val="00755810"/>
    <w:rsid w:val="00756272"/>
    <w:rsid w:val="00760485"/>
    <w:rsid w:val="00762D38"/>
    <w:rsid w:val="007715C9"/>
    <w:rsid w:val="00771613"/>
    <w:rsid w:val="0077342E"/>
    <w:rsid w:val="00774EDD"/>
    <w:rsid w:val="007757EC"/>
    <w:rsid w:val="00775A81"/>
    <w:rsid w:val="00780442"/>
    <w:rsid w:val="0078221A"/>
    <w:rsid w:val="00783E89"/>
    <w:rsid w:val="0079120D"/>
    <w:rsid w:val="00793915"/>
    <w:rsid w:val="00795EAC"/>
    <w:rsid w:val="007A75D3"/>
    <w:rsid w:val="007A7BE8"/>
    <w:rsid w:val="007B1850"/>
    <w:rsid w:val="007B2734"/>
    <w:rsid w:val="007B29AE"/>
    <w:rsid w:val="007C0B97"/>
    <w:rsid w:val="007C2253"/>
    <w:rsid w:val="007D5AA9"/>
    <w:rsid w:val="007D7911"/>
    <w:rsid w:val="007E1439"/>
    <w:rsid w:val="007E163D"/>
    <w:rsid w:val="007E1A0F"/>
    <w:rsid w:val="007E667A"/>
    <w:rsid w:val="007F0CB3"/>
    <w:rsid w:val="007F0D97"/>
    <w:rsid w:val="007F28C9"/>
    <w:rsid w:val="007F51B2"/>
    <w:rsid w:val="008040DD"/>
    <w:rsid w:val="00805049"/>
    <w:rsid w:val="00806B09"/>
    <w:rsid w:val="008117E9"/>
    <w:rsid w:val="00820D1E"/>
    <w:rsid w:val="00824498"/>
    <w:rsid w:val="00826BD1"/>
    <w:rsid w:val="00832177"/>
    <w:rsid w:val="00850F6A"/>
    <w:rsid w:val="00853A49"/>
    <w:rsid w:val="00854C0C"/>
    <w:rsid w:val="00854D0B"/>
    <w:rsid w:val="00856A31"/>
    <w:rsid w:val="00860B4E"/>
    <w:rsid w:val="00865689"/>
    <w:rsid w:val="00866927"/>
    <w:rsid w:val="00867B37"/>
    <w:rsid w:val="008754D0"/>
    <w:rsid w:val="00875D13"/>
    <w:rsid w:val="008855C9"/>
    <w:rsid w:val="00886456"/>
    <w:rsid w:val="008872F1"/>
    <w:rsid w:val="00892D15"/>
    <w:rsid w:val="00896176"/>
    <w:rsid w:val="008A46E1"/>
    <w:rsid w:val="008A4F43"/>
    <w:rsid w:val="008B2706"/>
    <w:rsid w:val="008B538D"/>
    <w:rsid w:val="008B682F"/>
    <w:rsid w:val="008C2EAC"/>
    <w:rsid w:val="008D0EE0"/>
    <w:rsid w:val="008E0027"/>
    <w:rsid w:val="008E2522"/>
    <w:rsid w:val="008E56BA"/>
    <w:rsid w:val="008E6067"/>
    <w:rsid w:val="008F54E7"/>
    <w:rsid w:val="008F554A"/>
    <w:rsid w:val="00901ABB"/>
    <w:rsid w:val="00903422"/>
    <w:rsid w:val="00907090"/>
    <w:rsid w:val="00921B59"/>
    <w:rsid w:val="009254C3"/>
    <w:rsid w:val="00932377"/>
    <w:rsid w:val="00934A9E"/>
    <w:rsid w:val="00941236"/>
    <w:rsid w:val="00943FD5"/>
    <w:rsid w:val="00947D5A"/>
    <w:rsid w:val="0095322F"/>
    <w:rsid w:val="009532A5"/>
    <w:rsid w:val="009545BD"/>
    <w:rsid w:val="00964CF0"/>
    <w:rsid w:val="00977806"/>
    <w:rsid w:val="00977BE4"/>
    <w:rsid w:val="00982242"/>
    <w:rsid w:val="00985B9C"/>
    <w:rsid w:val="009868E9"/>
    <w:rsid w:val="009900A3"/>
    <w:rsid w:val="009937BF"/>
    <w:rsid w:val="00997F8F"/>
    <w:rsid w:val="009B6032"/>
    <w:rsid w:val="009C3413"/>
    <w:rsid w:val="009C587A"/>
    <w:rsid w:val="009D08B2"/>
    <w:rsid w:val="009D6C6F"/>
    <w:rsid w:val="009D7059"/>
    <w:rsid w:val="009D7341"/>
    <w:rsid w:val="009F21EF"/>
    <w:rsid w:val="009F5624"/>
    <w:rsid w:val="00A0132C"/>
    <w:rsid w:val="00A0309D"/>
    <w:rsid w:val="00A0441E"/>
    <w:rsid w:val="00A12128"/>
    <w:rsid w:val="00A22C98"/>
    <w:rsid w:val="00A231E2"/>
    <w:rsid w:val="00A2349C"/>
    <w:rsid w:val="00A269D0"/>
    <w:rsid w:val="00A310EC"/>
    <w:rsid w:val="00A369E3"/>
    <w:rsid w:val="00A40ECF"/>
    <w:rsid w:val="00A515CB"/>
    <w:rsid w:val="00A56470"/>
    <w:rsid w:val="00A57600"/>
    <w:rsid w:val="00A64912"/>
    <w:rsid w:val="00A70A74"/>
    <w:rsid w:val="00A72285"/>
    <w:rsid w:val="00A75FE9"/>
    <w:rsid w:val="00A862DD"/>
    <w:rsid w:val="00A9681C"/>
    <w:rsid w:val="00A96EB1"/>
    <w:rsid w:val="00A97AE0"/>
    <w:rsid w:val="00AA37F9"/>
    <w:rsid w:val="00AA3B89"/>
    <w:rsid w:val="00AD53CC"/>
    <w:rsid w:val="00AD5641"/>
    <w:rsid w:val="00AF06CF"/>
    <w:rsid w:val="00AF084B"/>
    <w:rsid w:val="00AF3583"/>
    <w:rsid w:val="00AF7648"/>
    <w:rsid w:val="00B07CDB"/>
    <w:rsid w:val="00B10EE7"/>
    <w:rsid w:val="00B16A31"/>
    <w:rsid w:val="00B17DFD"/>
    <w:rsid w:val="00B200A6"/>
    <w:rsid w:val="00B22D4E"/>
    <w:rsid w:val="00B25306"/>
    <w:rsid w:val="00B27831"/>
    <w:rsid w:val="00B308FE"/>
    <w:rsid w:val="00B32F31"/>
    <w:rsid w:val="00B33341"/>
    <w:rsid w:val="00B33709"/>
    <w:rsid w:val="00B33B3C"/>
    <w:rsid w:val="00B36392"/>
    <w:rsid w:val="00B40A61"/>
    <w:rsid w:val="00B418CB"/>
    <w:rsid w:val="00B43C52"/>
    <w:rsid w:val="00B47444"/>
    <w:rsid w:val="00B50ADC"/>
    <w:rsid w:val="00B566B1"/>
    <w:rsid w:val="00B63834"/>
    <w:rsid w:val="00B648F3"/>
    <w:rsid w:val="00B66435"/>
    <w:rsid w:val="00B719E7"/>
    <w:rsid w:val="00B721D8"/>
    <w:rsid w:val="00B76720"/>
    <w:rsid w:val="00B80199"/>
    <w:rsid w:val="00B80BE2"/>
    <w:rsid w:val="00B83204"/>
    <w:rsid w:val="00B856E7"/>
    <w:rsid w:val="00B964DD"/>
    <w:rsid w:val="00BA220B"/>
    <w:rsid w:val="00BA3A57"/>
    <w:rsid w:val="00BA4817"/>
    <w:rsid w:val="00BB1533"/>
    <w:rsid w:val="00BB4E1A"/>
    <w:rsid w:val="00BC015E"/>
    <w:rsid w:val="00BC5139"/>
    <w:rsid w:val="00BC76AC"/>
    <w:rsid w:val="00BD0ECB"/>
    <w:rsid w:val="00BD5ACA"/>
    <w:rsid w:val="00BD6B51"/>
    <w:rsid w:val="00BE2155"/>
    <w:rsid w:val="00BE719A"/>
    <w:rsid w:val="00BE720A"/>
    <w:rsid w:val="00BF0D73"/>
    <w:rsid w:val="00BF2465"/>
    <w:rsid w:val="00BF6F3B"/>
    <w:rsid w:val="00BF778E"/>
    <w:rsid w:val="00C02AD1"/>
    <w:rsid w:val="00C04CB0"/>
    <w:rsid w:val="00C10F2F"/>
    <w:rsid w:val="00C16619"/>
    <w:rsid w:val="00C2072B"/>
    <w:rsid w:val="00C21085"/>
    <w:rsid w:val="00C245B3"/>
    <w:rsid w:val="00C25C36"/>
    <w:rsid w:val="00C25E7F"/>
    <w:rsid w:val="00C2746F"/>
    <w:rsid w:val="00C323D6"/>
    <w:rsid w:val="00C324A0"/>
    <w:rsid w:val="00C32ABD"/>
    <w:rsid w:val="00C33919"/>
    <w:rsid w:val="00C42BF8"/>
    <w:rsid w:val="00C50043"/>
    <w:rsid w:val="00C50BA0"/>
    <w:rsid w:val="00C5194B"/>
    <w:rsid w:val="00C556D8"/>
    <w:rsid w:val="00C63C2F"/>
    <w:rsid w:val="00C6736E"/>
    <w:rsid w:val="00C71895"/>
    <w:rsid w:val="00C7573B"/>
    <w:rsid w:val="00C82503"/>
    <w:rsid w:val="00C85AF3"/>
    <w:rsid w:val="00C97A54"/>
    <w:rsid w:val="00CA009A"/>
    <w:rsid w:val="00CA5B23"/>
    <w:rsid w:val="00CB0E2A"/>
    <w:rsid w:val="00CB4E5D"/>
    <w:rsid w:val="00CB602E"/>
    <w:rsid w:val="00CB7E90"/>
    <w:rsid w:val="00CE051D"/>
    <w:rsid w:val="00CE1335"/>
    <w:rsid w:val="00CE317D"/>
    <w:rsid w:val="00CE493D"/>
    <w:rsid w:val="00CF07FA"/>
    <w:rsid w:val="00CF0BB2"/>
    <w:rsid w:val="00CF3396"/>
    <w:rsid w:val="00CF3EE8"/>
    <w:rsid w:val="00CF5EE7"/>
    <w:rsid w:val="00CF6608"/>
    <w:rsid w:val="00D06708"/>
    <w:rsid w:val="00D13441"/>
    <w:rsid w:val="00D150E7"/>
    <w:rsid w:val="00D22C5B"/>
    <w:rsid w:val="00D31D33"/>
    <w:rsid w:val="00D32AB2"/>
    <w:rsid w:val="00D37411"/>
    <w:rsid w:val="00D41D87"/>
    <w:rsid w:val="00D46AA1"/>
    <w:rsid w:val="00D52DC2"/>
    <w:rsid w:val="00D53BCC"/>
    <w:rsid w:val="00D54C9E"/>
    <w:rsid w:val="00D57303"/>
    <w:rsid w:val="00D61A84"/>
    <w:rsid w:val="00D6537E"/>
    <w:rsid w:val="00D65EE1"/>
    <w:rsid w:val="00D70DFB"/>
    <w:rsid w:val="00D766DF"/>
    <w:rsid w:val="00D76ECD"/>
    <w:rsid w:val="00D8206C"/>
    <w:rsid w:val="00D91F10"/>
    <w:rsid w:val="00DA083B"/>
    <w:rsid w:val="00DA186E"/>
    <w:rsid w:val="00DA4116"/>
    <w:rsid w:val="00DB251C"/>
    <w:rsid w:val="00DB4630"/>
    <w:rsid w:val="00DB4B28"/>
    <w:rsid w:val="00DC4F88"/>
    <w:rsid w:val="00DC770D"/>
    <w:rsid w:val="00DD0DC6"/>
    <w:rsid w:val="00DD1BBF"/>
    <w:rsid w:val="00DD2CCB"/>
    <w:rsid w:val="00DD59A6"/>
    <w:rsid w:val="00DE07B0"/>
    <w:rsid w:val="00DE107C"/>
    <w:rsid w:val="00DE2FE4"/>
    <w:rsid w:val="00DF2388"/>
    <w:rsid w:val="00E02151"/>
    <w:rsid w:val="00E05704"/>
    <w:rsid w:val="00E05FEA"/>
    <w:rsid w:val="00E06C3E"/>
    <w:rsid w:val="00E15EA1"/>
    <w:rsid w:val="00E2240A"/>
    <w:rsid w:val="00E24716"/>
    <w:rsid w:val="00E24EF7"/>
    <w:rsid w:val="00E27292"/>
    <w:rsid w:val="00E338EF"/>
    <w:rsid w:val="00E378C7"/>
    <w:rsid w:val="00E528F2"/>
    <w:rsid w:val="00E544BB"/>
    <w:rsid w:val="00E55D52"/>
    <w:rsid w:val="00E57236"/>
    <w:rsid w:val="00E74671"/>
    <w:rsid w:val="00E74DC7"/>
    <w:rsid w:val="00E8075A"/>
    <w:rsid w:val="00E82D80"/>
    <w:rsid w:val="00E87B5F"/>
    <w:rsid w:val="00E91BE2"/>
    <w:rsid w:val="00E940D8"/>
    <w:rsid w:val="00E94D5E"/>
    <w:rsid w:val="00EA7100"/>
    <w:rsid w:val="00EA7F9F"/>
    <w:rsid w:val="00EB1274"/>
    <w:rsid w:val="00EB6C99"/>
    <w:rsid w:val="00EC5526"/>
    <w:rsid w:val="00ED2BB6"/>
    <w:rsid w:val="00ED34E1"/>
    <w:rsid w:val="00ED3B8D"/>
    <w:rsid w:val="00ED5489"/>
    <w:rsid w:val="00EE5E36"/>
    <w:rsid w:val="00EE78FE"/>
    <w:rsid w:val="00EF2E3A"/>
    <w:rsid w:val="00EF2E92"/>
    <w:rsid w:val="00EF7B51"/>
    <w:rsid w:val="00EF7E51"/>
    <w:rsid w:val="00F002B8"/>
    <w:rsid w:val="00F028A3"/>
    <w:rsid w:val="00F02908"/>
    <w:rsid w:val="00F02C7C"/>
    <w:rsid w:val="00F072A7"/>
    <w:rsid w:val="00F078DC"/>
    <w:rsid w:val="00F07C54"/>
    <w:rsid w:val="00F12A84"/>
    <w:rsid w:val="00F16D80"/>
    <w:rsid w:val="00F20E16"/>
    <w:rsid w:val="00F32BA8"/>
    <w:rsid w:val="00F32EE0"/>
    <w:rsid w:val="00F349F1"/>
    <w:rsid w:val="00F34EF4"/>
    <w:rsid w:val="00F4001A"/>
    <w:rsid w:val="00F4350D"/>
    <w:rsid w:val="00F450BC"/>
    <w:rsid w:val="00F479C4"/>
    <w:rsid w:val="00F47F64"/>
    <w:rsid w:val="00F525B3"/>
    <w:rsid w:val="00F532FB"/>
    <w:rsid w:val="00F54779"/>
    <w:rsid w:val="00F54D0D"/>
    <w:rsid w:val="00F5558C"/>
    <w:rsid w:val="00F56646"/>
    <w:rsid w:val="00F567F7"/>
    <w:rsid w:val="00F60BA3"/>
    <w:rsid w:val="00F6696E"/>
    <w:rsid w:val="00F71636"/>
    <w:rsid w:val="00F73BD6"/>
    <w:rsid w:val="00F81DB8"/>
    <w:rsid w:val="00F83989"/>
    <w:rsid w:val="00F85099"/>
    <w:rsid w:val="00F85187"/>
    <w:rsid w:val="00F9379C"/>
    <w:rsid w:val="00F9632C"/>
    <w:rsid w:val="00FA1E52"/>
    <w:rsid w:val="00FA3BA4"/>
    <w:rsid w:val="00FB5A08"/>
    <w:rsid w:val="00FC5196"/>
    <w:rsid w:val="00FC6A80"/>
    <w:rsid w:val="00FE4688"/>
    <w:rsid w:val="00FF5704"/>
    <w:rsid w:val="040DD80A"/>
    <w:rsid w:val="07F4737D"/>
    <w:rsid w:val="12F31F42"/>
    <w:rsid w:val="1FF32C11"/>
    <w:rsid w:val="2C4812B0"/>
    <w:rsid w:val="2DB82D19"/>
    <w:rsid w:val="34EA2F41"/>
    <w:rsid w:val="3A85AE20"/>
    <w:rsid w:val="465E2D42"/>
    <w:rsid w:val="4D6DAB30"/>
    <w:rsid w:val="4EF59EF1"/>
    <w:rsid w:val="5C968601"/>
    <w:rsid w:val="659BD58E"/>
    <w:rsid w:val="69FE53F5"/>
    <w:rsid w:val="6AACF38A"/>
    <w:rsid w:val="76F4246C"/>
    <w:rsid w:val="7B3CE4AA"/>
    <w:rsid w:val="7F3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62AED"/>
  <w15:docId w15:val="{3D73E468-2B7C-4644-BC31-05BBB538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34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734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357F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kern w:val="28"/>
      <w:sz w:val="20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7342E"/>
    <w:pPr>
      <w:pBdr>
        <w:top w:val="single" w:sz="4" w:space="1" w:color="auto"/>
      </w:pBdr>
      <w:tabs>
        <w:tab w:val="center" w:pos="4153"/>
        <w:tab w:val="right" w:pos="8306"/>
      </w:tabs>
    </w:pPr>
    <w:rPr>
      <w:rFonts w:eastAsia="Times New Roman" w:cs="Times New Roman"/>
      <w:i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7342E"/>
    <w:rPr>
      <w:rFonts w:eastAsia="Times New Roman" w:cs="Times New Roman"/>
      <w:i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57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77342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5651C7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F07C54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91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BE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1BE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BE2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357FD"/>
    <w:pPr>
      <w:spacing w:before="240" w:line="259" w:lineRule="auto"/>
      <w:outlineLvl w:val="9"/>
    </w:pPr>
    <w:rPr>
      <w:bCs w:val="0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7357FD"/>
    <w:rPr>
      <w:color w:val="0000FF" w:themeColor="hyperlink"/>
      <w:u w:val="single"/>
    </w:rPr>
  </w:style>
  <w:style w:type="paragraph" w:styleId="Title">
    <w:name w:val="Title"/>
    <w:basedOn w:val="ShortT"/>
    <w:next w:val="Normal"/>
    <w:link w:val="TitleChar"/>
    <w:uiPriority w:val="10"/>
    <w:qFormat/>
    <w:rsid w:val="006B7022"/>
    <w:pPr>
      <w:spacing w:before="480" w:after="480"/>
    </w:pPr>
  </w:style>
  <w:style w:type="character" w:customStyle="1" w:styleId="TitleChar">
    <w:name w:val="Title Char"/>
    <w:basedOn w:val="DefaultParagraphFont"/>
    <w:link w:val="Title"/>
    <w:uiPriority w:val="10"/>
    <w:rsid w:val="006B7022"/>
    <w:rPr>
      <w:rFonts w:eastAsia="Times New Roman" w:cs="Times New Roman"/>
      <w:b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ngK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EAD76948A2A43A0E0728352D3F26F" ma:contentTypeVersion="14" ma:contentTypeDescription="Create a new document." ma:contentTypeScope="" ma:versionID="bfb620baa68d8b23f21b687ac6b805d9">
  <xsd:schema xmlns:xsd="http://www.w3.org/2001/XMLSchema" xmlns:xs="http://www.w3.org/2001/XMLSchema" xmlns:p="http://schemas.microsoft.com/office/2006/metadata/properties" xmlns:ns2="3e8600df-d0b0-4bf8-9919-75fbfdc08afc" xmlns:ns3="b460321b-948a-465f-b38c-9a30c8f89503" targetNamespace="http://schemas.microsoft.com/office/2006/metadata/properties" ma:root="true" ma:fieldsID="5bee551894ca0b6175f29a87a83f58e0" ns2:_="" ns3:_="">
    <xsd:import namespace="3e8600df-d0b0-4bf8-9919-75fbfdc08afc"/>
    <xsd:import namespace="b460321b-948a-465f-b38c-9a30c8f8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00df-d0b0-4bf8-9919-75fbfdc0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0321b-948a-465f-b38c-9a30c8f895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ff681c-d39c-4dc7-83c7-5e5e11604018}" ma:internalName="TaxCatchAll" ma:showField="CatchAllData" ma:web="b460321b-948a-465f-b38c-9a30c8f89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600df-d0b0-4bf8-9919-75fbfdc08afc">
      <Terms xmlns="http://schemas.microsoft.com/office/infopath/2007/PartnerControls"/>
    </lcf76f155ced4ddcb4097134ff3c332f>
    <TaxCatchAll xmlns="b460321b-948a-465f-b38c-9a30c8f895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1D1D7-FBCE-4DC3-A85F-9D3C9FFAD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00df-d0b0-4bf8-9919-75fbfdc08afc"/>
    <ds:schemaRef ds:uri="b460321b-948a-465f-b38c-9a30c8f8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BF960-EDD5-4E40-ACCA-161466D93F60}">
  <ds:schemaRefs>
    <ds:schemaRef ds:uri="http://schemas.microsoft.com/office/2006/metadata/properties"/>
    <ds:schemaRef ds:uri="http://schemas.microsoft.com/office/infopath/2007/PartnerControls"/>
    <ds:schemaRef ds:uri="3e8600df-d0b0-4bf8-9919-75fbfdc08afc"/>
    <ds:schemaRef ds:uri="b460321b-948a-465f-b38c-9a30c8f89503"/>
  </ds:schemaRefs>
</ds:datastoreItem>
</file>

<file path=customXml/itemProps4.xml><?xml version="1.0" encoding="utf-8"?>
<ds:datastoreItem xmlns:ds="http://schemas.openxmlformats.org/officeDocument/2006/customXml" ds:itemID="{99540338-27D4-4D2A-963F-F65899F6B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8</TotalTime>
  <Pages>4</Pages>
  <Words>968</Words>
  <Characters>4533</Characters>
  <Application>Microsoft Office Word</Application>
  <DocSecurity>0</DocSecurity>
  <Lines>129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(Consequential and Transitional Provisions) (Deeming of Registered Providers) Determination 2025</vt:lpstr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 Care (Consequential and Transitional Provisions) (Deeming of Registered Providers) Determination 2025</dc:title>
  <dc:subject>Aged Care</dc:subject>
  <dc:creator>Australian Government Department of Health, Disability and Ageing</dc:creator>
  <cp:keywords>Aged Care</cp:keywords>
  <cp:lastModifiedBy>MASCHKE, Elvia</cp:lastModifiedBy>
  <cp:revision>5</cp:revision>
  <cp:lastPrinted>2026-01-06T22:49:00Z</cp:lastPrinted>
  <dcterms:created xsi:type="dcterms:W3CDTF">2026-01-07T05:53:00Z</dcterms:created>
  <dcterms:modified xsi:type="dcterms:W3CDTF">2026-01-07T06:00:00Z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263b17d4,3b0930f1,1e6d33db,3d81dde1,76ffc7c4,33d91556,71257db1,edcdfc3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38cf939b,68613899,33609b52,dc50fe7,2ca5c319,2f5d5f7b,73d5bcfb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2025-10-21T23:06:47Z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84ad9aae-2764-41f8-a7a2-20b7efc0dd3e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0x010100611EAD76948A2A43A0E0728352D3F26F</vt:lpwstr>
  </property>
  <property fmtid="{D5CDD505-2E9C-101B-9397-08002B2CF9AE}" pid="17" name="MediaServiceImageTags">
    <vt:lpwstr/>
  </property>
</Properties>
</file>