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C7BC0" w14:textId="0E2459D1" w:rsidR="00C57001" w:rsidRPr="003A173C" w:rsidRDefault="57870631" w:rsidP="00856159">
      <w:pPr>
        <w:pStyle w:val="Title"/>
        <w:ind w:left="-709"/>
        <w:jc w:val="center"/>
        <w:rPr>
          <w:rFonts w:ascii="Calibri" w:hAnsi="Calibri" w:cs="Calibri"/>
        </w:rPr>
      </w:pPr>
      <w:bookmarkStart w:id="0" w:name="_Hlk77245649"/>
      <w:r w:rsidRPr="003A173C">
        <w:rPr>
          <w:rFonts w:ascii="Calibri" w:hAnsi="Calibri" w:cs="Calibri"/>
        </w:rPr>
        <w:t>T</w:t>
      </w:r>
      <w:r w:rsidR="6AF86D92" w:rsidRPr="003A173C">
        <w:rPr>
          <w:rFonts w:ascii="Calibri" w:hAnsi="Calibri" w:cs="Calibri"/>
        </w:rPr>
        <w:t xml:space="preserve">ransition Care </w:t>
      </w:r>
      <w:r w:rsidR="00B505C7" w:rsidRPr="003A173C">
        <w:rPr>
          <w:rFonts w:ascii="Calibri" w:hAnsi="Calibri" w:cs="Calibri"/>
        </w:rPr>
        <w:t>Program</w:t>
      </w:r>
      <w:r w:rsidR="6AF86D92" w:rsidRPr="003A173C">
        <w:rPr>
          <w:rFonts w:ascii="Calibri" w:hAnsi="Calibri" w:cs="Calibri"/>
        </w:rPr>
        <w:t xml:space="preserve"> Guidelines</w:t>
      </w:r>
    </w:p>
    <w:bookmarkEnd w:id="0"/>
    <w:p w14:paraId="522447EB" w14:textId="5ADC4B98" w:rsidR="0054713E" w:rsidRPr="003A173C" w:rsidRDefault="00DC28E5" w:rsidP="00856159">
      <w:pPr>
        <w:pStyle w:val="Subtitle"/>
        <w:ind w:hanging="709"/>
        <w:jc w:val="center"/>
        <w:rPr>
          <w:rFonts w:ascii="Calibri" w:hAnsi="Calibri" w:cs="Calibri"/>
        </w:rPr>
      </w:pPr>
      <w:r>
        <w:rPr>
          <w:rFonts w:ascii="Calibri" w:hAnsi="Calibri" w:cs="Calibri"/>
        </w:rPr>
        <w:t>December</w:t>
      </w:r>
      <w:r w:rsidR="00CA33EB" w:rsidRPr="003A173C">
        <w:rPr>
          <w:rFonts w:ascii="Calibri" w:hAnsi="Calibri" w:cs="Calibri"/>
        </w:rPr>
        <w:t xml:space="preserve"> </w:t>
      </w:r>
      <w:r w:rsidR="00867780" w:rsidRPr="003A173C">
        <w:rPr>
          <w:rFonts w:ascii="Calibri" w:hAnsi="Calibri" w:cs="Calibri"/>
        </w:rPr>
        <w:t>202</w:t>
      </w:r>
      <w:r w:rsidR="00306F98" w:rsidRPr="003A173C">
        <w:rPr>
          <w:rFonts w:ascii="Calibri" w:hAnsi="Calibri" w:cs="Calibri"/>
        </w:rPr>
        <w:t>5</w:t>
      </w:r>
    </w:p>
    <w:p w14:paraId="54E7F409" w14:textId="77777777" w:rsidR="0094563F" w:rsidRPr="003A173C" w:rsidRDefault="0094563F" w:rsidP="00DF7B75">
      <w:pPr>
        <w:rPr>
          <w:rFonts w:cs="Calibri"/>
        </w:rPr>
        <w:sectPr w:rsidR="0094563F" w:rsidRPr="003A173C" w:rsidSect="00A74769">
          <w:headerReference w:type="even" r:id="rId11"/>
          <w:headerReference w:type="default" r:id="rId12"/>
          <w:footerReference w:type="even" r:id="rId13"/>
          <w:footerReference w:type="default" r:id="rId14"/>
          <w:headerReference w:type="first" r:id="rId15"/>
          <w:pgSz w:w="11906" w:h="16838"/>
          <w:pgMar w:top="1440" w:right="1440" w:bottom="1440" w:left="1440" w:header="283" w:footer="0" w:gutter="0"/>
          <w:cols w:space="708"/>
          <w:titlePg/>
          <w:docGrid w:linePitch="360"/>
        </w:sectPr>
      </w:pPr>
    </w:p>
    <w:sdt>
      <w:sdtPr>
        <w:rPr>
          <w:rFonts w:cs="Calibri"/>
        </w:rPr>
        <w:id w:val="-373621591"/>
        <w:docPartObj>
          <w:docPartGallery w:val="Table of Contents"/>
          <w:docPartUnique/>
        </w:docPartObj>
      </w:sdtPr>
      <w:sdtEndPr>
        <w:rPr>
          <w:rFonts w:asciiTheme="minorHAnsi" w:hAnsiTheme="minorHAnsi" w:cstheme="minorHAnsi"/>
          <w:b/>
          <w:bCs/>
          <w:szCs w:val="20"/>
        </w:rPr>
      </w:sdtEndPr>
      <w:sdtContent>
        <w:p w14:paraId="22531F95" w14:textId="00F8AFC1" w:rsidR="005B0BEC" w:rsidRPr="005B0BEC" w:rsidRDefault="00070A87">
          <w:pPr>
            <w:pStyle w:val="TOC1"/>
            <w:rPr>
              <w:rFonts w:asciiTheme="minorHAnsi" w:eastAsiaTheme="minorEastAsia" w:hAnsiTheme="minorHAnsi" w:cstheme="minorHAnsi"/>
              <w:noProof/>
              <w:spacing w:val="0"/>
              <w:kern w:val="2"/>
              <w:szCs w:val="20"/>
              <w14:ligatures w14:val="standardContextual"/>
            </w:rPr>
          </w:pPr>
          <w:r w:rsidRPr="005B0BEC">
            <w:rPr>
              <w:rFonts w:asciiTheme="minorHAnsi" w:eastAsiaTheme="majorEastAsia" w:hAnsiTheme="minorHAnsi" w:cstheme="minorHAnsi"/>
              <w:color w:val="24596E"/>
              <w:szCs w:val="20"/>
              <w:u w:val="single"/>
              <w:lang w:bidi="en-US"/>
            </w:rPr>
            <w:fldChar w:fldCharType="begin"/>
          </w:r>
          <w:r w:rsidRPr="005B0BEC">
            <w:rPr>
              <w:rFonts w:asciiTheme="minorHAnsi" w:hAnsiTheme="minorHAnsi" w:cstheme="minorHAnsi"/>
              <w:szCs w:val="20"/>
              <w:u w:val="single"/>
            </w:rPr>
            <w:instrText xml:space="preserve"> TOC \o "1-3" \h \z \u </w:instrText>
          </w:r>
          <w:r w:rsidRPr="005B0BEC">
            <w:rPr>
              <w:rFonts w:asciiTheme="minorHAnsi" w:eastAsiaTheme="majorEastAsia" w:hAnsiTheme="minorHAnsi" w:cstheme="minorHAnsi"/>
              <w:color w:val="24596E"/>
              <w:szCs w:val="20"/>
              <w:u w:val="single"/>
              <w:lang w:bidi="en-US"/>
            </w:rPr>
            <w:fldChar w:fldCharType="separate"/>
          </w:r>
          <w:hyperlink w:anchor="_Toc216865432" w:history="1">
            <w:r w:rsidR="005B0BEC" w:rsidRPr="005B0BEC">
              <w:rPr>
                <w:rStyle w:val="Hyperlink"/>
                <w:rFonts w:asciiTheme="minorHAnsi" w:eastAsiaTheme="majorEastAsia" w:hAnsiTheme="minorHAnsi" w:cstheme="minorHAnsi"/>
                <w:noProof/>
                <w:sz w:val="20"/>
                <w:szCs w:val="20"/>
              </w:rPr>
              <w:t>FOREWORD</w:t>
            </w:r>
            <w:r w:rsidR="005B0BEC" w:rsidRPr="005B0BEC">
              <w:rPr>
                <w:rFonts w:asciiTheme="minorHAnsi" w:hAnsiTheme="minorHAnsi" w:cstheme="minorHAnsi"/>
                <w:noProof/>
                <w:webHidden/>
                <w:szCs w:val="20"/>
              </w:rPr>
              <w:tab/>
            </w:r>
            <w:r w:rsidR="005B0BEC" w:rsidRPr="005B0BEC">
              <w:rPr>
                <w:rFonts w:asciiTheme="minorHAnsi" w:hAnsiTheme="minorHAnsi" w:cstheme="minorHAnsi"/>
                <w:noProof/>
                <w:webHidden/>
                <w:szCs w:val="20"/>
              </w:rPr>
              <w:fldChar w:fldCharType="begin"/>
            </w:r>
            <w:r w:rsidR="005B0BEC" w:rsidRPr="005B0BEC">
              <w:rPr>
                <w:rFonts w:asciiTheme="minorHAnsi" w:hAnsiTheme="minorHAnsi" w:cstheme="minorHAnsi"/>
                <w:noProof/>
                <w:webHidden/>
                <w:szCs w:val="20"/>
              </w:rPr>
              <w:instrText xml:space="preserve"> PAGEREF _Toc216865432 \h </w:instrText>
            </w:r>
            <w:r w:rsidR="005B0BEC" w:rsidRPr="005B0BEC">
              <w:rPr>
                <w:rFonts w:asciiTheme="minorHAnsi" w:hAnsiTheme="minorHAnsi" w:cstheme="minorHAnsi"/>
                <w:noProof/>
                <w:webHidden/>
                <w:szCs w:val="20"/>
              </w:rPr>
            </w:r>
            <w:r w:rsidR="005B0BEC"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w:t>
            </w:r>
            <w:r w:rsidR="005B0BEC" w:rsidRPr="005B0BEC">
              <w:rPr>
                <w:rFonts w:asciiTheme="minorHAnsi" w:hAnsiTheme="minorHAnsi" w:cstheme="minorHAnsi"/>
                <w:noProof/>
                <w:webHidden/>
                <w:szCs w:val="20"/>
              </w:rPr>
              <w:fldChar w:fldCharType="end"/>
            </w:r>
          </w:hyperlink>
        </w:p>
        <w:p w14:paraId="69EF6B59" w14:textId="5474F03F"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433" w:history="1">
            <w:r w:rsidRPr="005B0BEC">
              <w:rPr>
                <w:rStyle w:val="Hyperlink"/>
                <w:rFonts w:asciiTheme="minorHAnsi" w:eastAsiaTheme="majorEastAsia" w:hAnsiTheme="minorHAnsi" w:cstheme="minorHAnsi"/>
                <w:noProof/>
                <w:sz w:val="20"/>
                <w:szCs w:val="20"/>
              </w:rPr>
              <w:t>CHAPTER 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ABOUT THE GUIDELINES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_Toc216865433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w:t>
            </w:r>
            <w:r w:rsidRPr="005B0BEC">
              <w:rPr>
                <w:rFonts w:asciiTheme="minorHAnsi" w:hAnsiTheme="minorHAnsi" w:cstheme="minorHAnsi"/>
                <w:noProof/>
                <w:webHidden/>
                <w:szCs w:val="20"/>
              </w:rPr>
              <w:fldChar w:fldCharType="end"/>
            </w:r>
          </w:hyperlink>
        </w:p>
        <w:p w14:paraId="20F61578" w14:textId="77FE6F1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34" w:history="1">
            <w:r w:rsidRPr="005B0BEC">
              <w:rPr>
                <w:rStyle w:val="Hyperlink"/>
                <w:rFonts w:asciiTheme="minorHAnsi" w:eastAsiaTheme="majorEastAsia" w:hAnsiTheme="minorHAnsi" w:cstheme="minorHAnsi"/>
                <w:noProof/>
                <w:sz w:val="20"/>
                <w:szCs w:val="20"/>
              </w:rPr>
              <w:t>1.1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What the guidelines contain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_Toc216865434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w:t>
            </w:r>
            <w:r w:rsidRPr="005B0BEC">
              <w:rPr>
                <w:rFonts w:asciiTheme="minorHAnsi" w:hAnsiTheme="minorHAnsi" w:cstheme="minorHAnsi"/>
                <w:noProof/>
                <w:webHidden/>
                <w:szCs w:val="20"/>
              </w:rPr>
              <w:fldChar w:fldCharType="end"/>
            </w:r>
          </w:hyperlink>
        </w:p>
        <w:p w14:paraId="1BA251CC" w14:textId="19D4D0F1"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35" w:history="1">
            <w:r w:rsidRPr="005B0BEC">
              <w:rPr>
                <w:rStyle w:val="Hyperlink"/>
                <w:rFonts w:asciiTheme="minorHAnsi" w:eastAsiaTheme="majorEastAsia" w:hAnsiTheme="minorHAnsi" w:cstheme="minorHAnsi"/>
                <w:noProof/>
                <w:sz w:val="20"/>
                <w:szCs w:val="20"/>
              </w:rPr>
              <w:t>1.2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How the guidelines will be updated</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_Toc216865435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w:t>
            </w:r>
            <w:r w:rsidRPr="005B0BEC">
              <w:rPr>
                <w:rFonts w:asciiTheme="minorHAnsi" w:hAnsiTheme="minorHAnsi" w:cstheme="minorHAnsi"/>
                <w:noProof/>
                <w:webHidden/>
                <w:szCs w:val="20"/>
              </w:rPr>
              <w:fldChar w:fldCharType="end"/>
            </w:r>
          </w:hyperlink>
        </w:p>
        <w:p w14:paraId="3D28B13D" w14:textId="53513A5D"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36" w:history="1">
            <w:r w:rsidRPr="005B0BEC">
              <w:rPr>
                <w:rStyle w:val="Hyperlink"/>
                <w:rFonts w:asciiTheme="minorHAnsi" w:eastAsiaTheme="majorEastAsia" w:hAnsiTheme="minorHAnsi" w:cstheme="minorHAnsi"/>
                <w:noProof/>
                <w:sz w:val="20"/>
                <w:szCs w:val="20"/>
              </w:rPr>
              <w:t>1.3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Feedback</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_Toc216865436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w:t>
            </w:r>
            <w:r w:rsidRPr="005B0BEC">
              <w:rPr>
                <w:rFonts w:asciiTheme="minorHAnsi" w:hAnsiTheme="minorHAnsi" w:cstheme="minorHAnsi"/>
                <w:noProof/>
                <w:webHidden/>
                <w:szCs w:val="20"/>
              </w:rPr>
              <w:fldChar w:fldCharType="end"/>
            </w:r>
          </w:hyperlink>
        </w:p>
        <w:p w14:paraId="5D24387E" w14:textId="1A592C3E"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437" w:history="1">
            <w:r w:rsidRPr="005B0BEC">
              <w:rPr>
                <w:rStyle w:val="Hyperlink"/>
                <w:rFonts w:asciiTheme="minorHAnsi" w:eastAsiaTheme="majorEastAsia" w:hAnsiTheme="minorHAnsi" w:cstheme="minorHAnsi"/>
                <w:noProof/>
                <w:sz w:val="20"/>
                <w:szCs w:val="20"/>
              </w:rPr>
              <w:t>CHAPTER 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INTRODUCTION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_Toc216865437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w:t>
            </w:r>
            <w:r w:rsidRPr="005B0BEC">
              <w:rPr>
                <w:rFonts w:asciiTheme="minorHAnsi" w:hAnsiTheme="minorHAnsi" w:cstheme="minorHAnsi"/>
                <w:noProof/>
                <w:webHidden/>
                <w:szCs w:val="20"/>
              </w:rPr>
              <w:fldChar w:fldCharType="end"/>
            </w:r>
          </w:hyperlink>
        </w:p>
        <w:p w14:paraId="5198109D" w14:textId="11150E77"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38" w:history="1">
            <w:r w:rsidRPr="005B0BEC">
              <w:rPr>
                <w:rStyle w:val="Hyperlink"/>
                <w:rFonts w:asciiTheme="minorHAnsi" w:eastAsiaTheme="majorEastAsia" w:hAnsiTheme="minorHAnsi" w:cstheme="minorHAnsi"/>
                <w:noProof/>
                <w:sz w:val="20"/>
                <w:szCs w:val="20"/>
              </w:rPr>
              <w:t>2.1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Transition care in brief</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_Toc216865438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w:t>
            </w:r>
            <w:r w:rsidRPr="005B0BEC">
              <w:rPr>
                <w:rFonts w:asciiTheme="minorHAnsi" w:hAnsiTheme="minorHAnsi" w:cstheme="minorHAnsi"/>
                <w:noProof/>
                <w:webHidden/>
                <w:szCs w:val="20"/>
              </w:rPr>
              <w:fldChar w:fldCharType="end"/>
            </w:r>
          </w:hyperlink>
        </w:p>
        <w:p w14:paraId="51C244E1" w14:textId="666F7ED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39" w:history="1">
            <w:r w:rsidRPr="005B0BEC">
              <w:rPr>
                <w:rStyle w:val="Hyperlink"/>
                <w:rFonts w:asciiTheme="minorHAnsi" w:eastAsiaTheme="majorEastAsia" w:hAnsiTheme="minorHAnsi" w:cstheme="minorHAnsi"/>
                <w:noProof/>
                <w:sz w:val="20"/>
                <w:szCs w:val="20"/>
              </w:rPr>
              <w:t>2.2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Roles and responsibilities within the Transition Care Program</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_Toc216865439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w:t>
            </w:r>
            <w:r w:rsidRPr="005B0BEC">
              <w:rPr>
                <w:rFonts w:asciiTheme="minorHAnsi" w:hAnsiTheme="minorHAnsi" w:cstheme="minorHAnsi"/>
                <w:noProof/>
                <w:webHidden/>
                <w:szCs w:val="20"/>
              </w:rPr>
              <w:fldChar w:fldCharType="end"/>
            </w:r>
          </w:hyperlink>
        </w:p>
        <w:p w14:paraId="24D95085" w14:textId="7F3843A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0" w:history="1">
            <w:r w:rsidRPr="005B0BEC">
              <w:rPr>
                <w:rStyle w:val="Hyperlink"/>
                <w:rFonts w:asciiTheme="minorHAnsi" w:eastAsiaTheme="majorEastAsia" w:hAnsiTheme="minorHAnsi" w:cstheme="minorHAnsi"/>
                <w:noProof/>
                <w:sz w:val="20"/>
                <w:szCs w:val="20"/>
              </w:rPr>
              <w:t>2.2.1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Australian Government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w:t>
            </w:r>
            <w:r w:rsidRPr="005B0BEC">
              <w:rPr>
                <w:rFonts w:asciiTheme="minorHAnsi" w:hAnsiTheme="minorHAnsi" w:cstheme="minorHAnsi"/>
                <w:noProof/>
                <w:webHidden/>
                <w:szCs w:val="20"/>
              </w:rPr>
              <w:fldChar w:fldCharType="end"/>
            </w:r>
          </w:hyperlink>
        </w:p>
        <w:p w14:paraId="3FF2BD8E" w14:textId="0D5F76E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1" w:history="1">
            <w:r w:rsidRPr="005B0BEC">
              <w:rPr>
                <w:rStyle w:val="Hyperlink"/>
                <w:rFonts w:asciiTheme="minorHAnsi" w:eastAsiaTheme="majorEastAsia" w:hAnsiTheme="minorHAnsi" w:cstheme="minorHAnsi"/>
                <w:noProof/>
                <w:sz w:val="20"/>
                <w:szCs w:val="20"/>
              </w:rPr>
              <w:t>2.2.2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State/Territory governments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w:t>
            </w:r>
            <w:r w:rsidRPr="005B0BEC">
              <w:rPr>
                <w:rFonts w:asciiTheme="minorHAnsi" w:hAnsiTheme="minorHAnsi" w:cstheme="minorHAnsi"/>
                <w:noProof/>
                <w:webHidden/>
                <w:szCs w:val="20"/>
              </w:rPr>
              <w:fldChar w:fldCharType="end"/>
            </w:r>
          </w:hyperlink>
        </w:p>
        <w:p w14:paraId="5E5ED61D" w14:textId="5B17CE8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2" w:history="1">
            <w:r w:rsidRPr="005B0BEC">
              <w:rPr>
                <w:rStyle w:val="Hyperlink"/>
                <w:rFonts w:asciiTheme="minorHAnsi" w:eastAsiaTheme="majorEastAsia" w:hAnsiTheme="minorHAnsi" w:cstheme="minorHAnsi"/>
                <w:noProof/>
                <w:sz w:val="20"/>
                <w:szCs w:val="20"/>
              </w:rPr>
              <w:t>2.2.3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Registered Providers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5</w:t>
            </w:r>
            <w:r w:rsidRPr="005B0BEC">
              <w:rPr>
                <w:rFonts w:asciiTheme="minorHAnsi" w:hAnsiTheme="minorHAnsi" w:cstheme="minorHAnsi"/>
                <w:noProof/>
                <w:webHidden/>
                <w:szCs w:val="20"/>
              </w:rPr>
              <w:fldChar w:fldCharType="end"/>
            </w:r>
          </w:hyperlink>
        </w:p>
        <w:p w14:paraId="7748F517" w14:textId="3368E4C1"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3" w:history="1">
            <w:r w:rsidRPr="005B0BEC">
              <w:rPr>
                <w:rStyle w:val="Hyperlink"/>
                <w:rFonts w:asciiTheme="minorHAnsi" w:eastAsiaTheme="majorEastAsia" w:hAnsiTheme="minorHAnsi" w:cstheme="minorHAnsi"/>
                <w:noProof/>
                <w:sz w:val="20"/>
                <w:szCs w:val="20"/>
              </w:rPr>
              <w:t>2.3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Allocation of transition care places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5</w:t>
            </w:r>
            <w:r w:rsidRPr="005B0BEC">
              <w:rPr>
                <w:rFonts w:asciiTheme="minorHAnsi" w:hAnsiTheme="minorHAnsi" w:cstheme="minorHAnsi"/>
                <w:noProof/>
                <w:webHidden/>
                <w:szCs w:val="20"/>
              </w:rPr>
              <w:fldChar w:fldCharType="end"/>
            </w:r>
          </w:hyperlink>
        </w:p>
        <w:p w14:paraId="44EF7C66" w14:textId="13067CF3"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4" w:history="1">
            <w:r w:rsidRPr="005B0BEC">
              <w:rPr>
                <w:rStyle w:val="Hyperlink"/>
                <w:rFonts w:asciiTheme="minorHAnsi" w:eastAsiaTheme="majorEastAsia" w:hAnsiTheme="minorHAnsi" w:cstheme="minorHAnsi"/>
                <w:noProof/>
                <w:sz w:val="20"/>
                <w:szCs w:val="20"/>
              </w:rPr>
              <w:t>2.3.1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Notice of an allocation decision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6</w:t>
            </w:r>
            <w:r w:rsidRPr="005B0BEC">
              <w:rPr>
                <w:rFonts w:asciiTheme="minorHAnsi" w:hAnsiTheme="minorHAnsi" w:cstheme="minorHAnsi"/>
                <w:noProof/>
                <w:webHidden/>
                <w:szCs w:val="20"/>
              </w:rPr>
              <w:fldChar w:fldCharType="end"/>
            </w:r>
          </w:hyperlink>
        </w:p>
        <w:p w14:paraId="32843770" w14:textId="055FB25D"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5" w:history="1">
            <w:r w:rsidRPr="005B0BEC">
              <w:rPr>
                <w:rStyle w:val="Hyperlink"/>
                <w:rFonts w:asciiTheme="minorHAnsi" w:eastAsiaTheme="majorEastAsia" w:hAnsiTheme="minorHAnsi" w:cstheme="minorHAnsi"/>
                <w:noProof/>
                <w:sz w:val="20"/>
                <w:szCs w:val="20"/>
              </w:rPr>
              <w:t>2.3.2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Reallocation of TCP places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6</w:t>
            </w:r>
            <w:r w:rsidRPr="005B0BEC">
              <w:rPr>
                <w:rFonts w:asciiTheme="minorHAnsi" w:hAnsiTheme="minorHAnsi" w:cstheme="minorHAnsi"/>
                <w:noProof/>
                <w:webHidden/>
                <w:szCs w:val="20"/>
              </w:rPr>
              <w:fldChar w:fldCharType="end"/>
            </w:r>
          </w:hyperlink>
        </w:p>
        <w:p w14:paraId="154F8A1F" w14:textId="16827DFF"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6" w:history="1">
            <w:r w:rsidRPr="005B0BEC">
              <w:rPr>
                <w:rStyle w:val="Hyperlink"/>
                <w:rFonts w:asciiTheme="minorHAnsi" w:eastAsiaTheme="majorEastAsia" w:hAnsiTheme="minorHAnsi" w:cstheme="minorHAnsi"/>
                <w:noProof/>
                <w:sz w:val="20"/>
                <w:szCs w:val="20"/>
              </w:rPr>
              <w:t>2.3.3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Conditions that apply to an allocated place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6</w:t>
            </w:r>
            <w:r w:rsidRPr="005B0BEC">
              <w:rPr>
                <w:rFonts w:asciiTheme="minorHAnsi" w:hAnsiTheme="minorHAnsi" w:cstheme="minorHAnsi"/>
                <w:noProof/>
                <w:webHidden/>
                <w:szCs w:val="20"/>
              </w:rPr>
              <w:fldChar w:fldCharType="end"/>
            </w:r>
          </w:hyperlink>
        </w:p>
        <w:p w14:paraId="27729736" w14:textId="5045DA0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7" w:history="1">
            <w:r w:rsidRPr="005B0BEC">
              <w:rPr>
                <w:rStyle w:val="Hyperlink"/>
                <w:rFonts w:asciiTheme="minorHAnsi" w:eastAsiaTheme="majorEastAsia" w:hAnsiTheme="minorHAnsi" w:cstheme="minorHAnsi"/>
                <w:noProof/>
                <w:sz w:val="20"/>
                <w:szCs w:val="20"/>
              </w:rPr>
              <w:t>2.3.4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Varying conditions of allocation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7</w:t>
            </w:r>
            <w:r w:rsidRPr="005B0BEC">
              <w:rPr>
                <w:rFonts w:asciiTheme="minorHAnsi" w:hAnsiTheme="minorHAnsi" w:cstheme="minorHAnsi"/>
                <w:noProof/>
                <w:webHidden/>
                <w:szCs w:val="20"/>
              </w:rPr>
              <w:fldChar w:fldCharType="end"/>
            </w:r>
          </w:hyperlink>
        </w:p>
        <w:p w14:paraId="721FC52F" w14:textId="17873562"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8" w:history="1">
            <w:r w:rsidRPr="005B0BEC">
              <w:rPr>
                <w:rStyle w:val="Hyperlink"/>
                <w:rFonts w:asciiTheme="minorHAnsi" w:eastAsiaTheme="majorEastAsia" w:hAnsiTheme="minorHAnsi" w:cstheme="minorHAnsi"/>
                <w:noProof/>
                <w:sz w:val="20"/>
                <w:szCs w:val="20"/>
              </w:rPr>
              <w:t>2.3.5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How to participate in delivering transition care services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7</w:t>
            </w:r>
            <w:r w:rsidRPr="005B0BEC">
              <w:rPr>
                <w:rFonts w:asciiTheme="minorHAnsi" w:hAnsiTheme="minorHAnsi" w:cstheme="minorHAnsi"/>
                <w:noProof/>
                <w:webHidden/>
                <w:szCs w:val="20"/>
              </w:rPr>
              <w:fldChar w:fldCharType="end"/>
            </w:r>
          </w:hyperlink>
        </w:p>
        <w:p w14:paraId="47DCA2B8" w14:textId="5A466D37"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49" w:history="1">
            <w:r w:rsidRPr="005B0BEC">
              <w:rPr>
                <w:rStyle w:val="Hyperlink"/>
                <w:rFonts w:asciiTheme="minorHAnsi" w:eastAsiaTheme="majorEastAsia" w:hAnsiTheme="minorHAnsi" w:cstheme="minorHAnsi"/>
                <w:noProof/>
                <w:sz w:val="20"/>
                <w:szCs w:val="20"/>
              </w:rPr>
              <w:t>2.3.6</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Registration categories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_Toc216865449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7</w:t>
            </w:r>
            <w:r w:rsidRPr="005B0BEC">
              <w:rPr>
                <w:rFonts w:asciiTheme="minorHAnsi" w:hAnsiTheme="minorHAnsi" w:cstheme="minorHAnsi"/>
                <w:noProof/>
                <w:webHidden/>
                <w:szCs w:val="20"/>
              </w:rPr>
              <w:fldChar w:fldCharType="end"/>
            </w:r>
          </w:hyperlink>
        </w:p>
        <w:p w14:paraId="765B566A" w14:textId="453B0304"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0" w:history="1">
            <w:r w:rsidRPr="005B0BEC">
              <w:rPr>
                <w:rStyle w:val="Hyperlink"/>
                <w:rFonts w:asciiTheme="minorHAnsi" w:eastAsiaTheme="majorEastAsia" w:hAnsiTheme="minorHAnsi" w:cstheme="minorHAnsi"/>
                <w:noProof/>
                <w:sz w:val="20"/>
                <w:szCs w:val="20"/>
              </w:rPr>
              <w:t>2.4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Program funding</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7</w:t>
            </w:r>
            <w:r w:rsidRPr="005B0BEC">
              <w:rPr>
                <w:rFonts w:asciiTheme="minorHAnsi" w:hAnsiTheme="minorHAnsi" w:cstheme="minorHAnsi"/>
                <w:noProof/>
                <w:webHidden/>
                <w:szCs w:val="20"/>
              </w:rPr>
              <w:fldChar w:fldCharType="end"/>
            </w:r>
          </w:hyperlink>
        </w:p>
        <w:p w14:paraId="290F1E17" w14:textId="14C4D183"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1" w:history="1">
            <w:r w:rsidRPr="005B0BEC">
              <w:rPr>
                <w:rStyle w:val="Hyperlink"/>
                <w:rFonts w:asciiTheme="minorHAnsi" w:eastAsiaTheme="majorEastAsia" w:hAnsiTheme="minorHAnsi" w:cstheme="minorHAnsi"/>
                <w:noProof/>
                <w:sz w:val="20"/>
                <w:szCs w:val="20"/>
              </w:rPr>
              <w:t>2.5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Management of the Transition Care Program</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8</w:t>
            </w:r>
            <w:r w:rsidRPr="005B0BEC">
              <w:rPr>
                <w:rFonts w:asciiTheme="minorHAnsi" w:hAnsiTheme="minorHAnsi" w:cstheme="minorHAnsi"/>
                <w:noProof/>
                <w:webHidden/>
                <w:szCs w:val="20"/>
              </w:rPr>
              <w:fldChar w:fldCharType="end"/>
            </w:r>
          </w:hyperlink>
        </w:p>
        <w:p w14:paraId="44021C51" w14:textId="4E9793F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2" w:history="1">
            <w:r w:rsidRPr="005B0BEC">
              <w:rPr>
                <w:rStyle w:val="Hyperlink"/>
                <w:rFonts w:asciiTheme="minorHAnsi" w:eastAsiaTheme="majorEastAsia" w:hAnsiTheme="minorHAnsi" w:cstheme="minorHAnsi"/>
                <w:noProof/>
                <w:sz w:val="20"/>
                <w:szCs w:val="20"/>
              </w:rPr>
              <w:t>2.6</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Relevant legislation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8</w:t>
            </w:r>
            <w:r w:rsidRPr="005B0BEC">
              <w:rPr>
                <w:rFonts w:asciiTheme="minorHAnsi" w:hAnsiTheme="minorHAnsi" w:cstheme="minorHAnsi"/>
                <w:noProof/>
                <w:webHidden/>
                <w:szCs w:val="20"/>
              </w:rPr>
              <w:fldChar w:fldCharType="end"/>
            </w:r>
          </w:hyperlink>
        </w:p>
        <w:p w14:paraId="20051F9A" w14:textId="30FE3404"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3" w:history="1">
            <w:r w:rsidRPr="005B0BEC">
              <w:rPr>
                <w:rStyle w:val="Hyperlink"/>
                <w:rFonts w:asciiTheme="minorHAnsi" w:eastAsiaTheme="majorEastAsia" w:hAnsiTheme="minorHAnsi" w:cstheme="minorHAnsi"/>
                <w:noProof/>
                <w:sz w:val="20"/>
                <w:szCs w:val="20"/>
              </w:rPr>
              <w:t>2.7</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Additional national support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9</w:t>
            </w:r>
            <w:r w:rsidRPr="005B0BEC">
              <w:rPr>
                <w:rFonts w:asciiTheme="minorHAnsi" w:hAnsiTheme="minorHAnsi" w:cstheme="minorHAnsi"/>
                <w:noProof/>
                <w:webHidden/>
                <w:szCs w:val="20"/>
              </w:rPr>
              <w:fldChar w:fldCharType="end"/>
            </w:r>
          </w:hyperlink>
        </w:p>
        <w:p w14:paraId="7F9A180E" w14:textId="5D5571EF"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4" w:history="1">
            <w:r w:rsidRPr="005B0BEC">
              <w:rPr>
                <w:rStyle w:val="Hyperlink"/>
                <w:rFonts w:asciiTheme="minorHAnsi" w:eastAsiaTheme="majorEastAsia" w:hAnsiTheme="minorHAnsi" w:cstheme="minorHAnsi"/>
                <w:noProof/>
                <w:sz w:val="20"/>
                <w:szCs w:val="20"/>
              </w:rPr>
              <w:t>2.7.1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Translating and Interpreting Service (TIS National)</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9</w:t>
            </w:r>
            <w:r w:rsidRPr="005B0BEC">
              <w:rPr>
                <w:rFonts w:asciiTheme="minorHAnsi" w:hAnsiTheme="minorHAnsi" w:cstheme="minorHAnsi"/>
                <w:noProof/>
                <w:webHidden/>
                <w:szCs w:val="20"/>
              </w:rPr>
              <w:fldChar w:fldCharType="end"/>
            </w:r>
          </w:hyperlink>
        </w:p>
        <w:p w14:paraId="5599CB5E" w14:textId="644D1B7E"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5" w:history="1">
            <w:r w:rsidRPr="005B0BEC">
              <w:rPr>
                <w:rStyle w:val="Hyperlink"/>
                <w:rFonts w:asciiTheme="minorHAnsi" w:eastAsiaTheme="majorEastAsia" w:hAnsiTheme="minorHAnsi" w:cstheme="minorHAnsi"/>
                <w:noProof/>
                <w:sz w:val="20"/>
                <w:szCs w:val="20"/>
              </w:rPr>
              <w:t>2.7.2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My Aged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9</w:t>
            </w:r>
            <w:r w:rsidRPr="005B0BEC">
              <w:rPr>
                <w:rFonts w:asciiTheme="minorHAnsi" w:hAnsiTheme="minorHAnsi" w:cstheme="minorHAnsi"/>
                <w:noProof/>
                <w:webHidden/>
                <w:szCs w:val="20"/>
              </w:rPr>
              <w:fldChar w:fldCharType="end"/>
            </w:r>
          </w:hyperlink>
        </w:p>
        <w:p w14:paraId="081BBFC6" w14:textId="7FC3A53C"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6" w:history="1">
            <w:r w:rsidRPr="005B0BEC">
              <w:rPr>
                <w:rStyle w:val="Hyperlink"/>
                <w:rFonts w:asciiTheme="minorHAnsi" w:eastAsiaTheme="majorEastAsia" w:hAnsiTheme="minorHAnsi" w:cstheme="minorHAnsi"/>
                <w:noProof/>
                <w:sz w:val="20"/>
                <w:szCs w:val="20"/>
              </w:rPr>
              <w:t>2.7.3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Services Australia</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9</w:t>
            </w:r>
            <w:r w:rsidRPr="005B0BEC">
              <w:rPr>
                <w:rFonts w:asciiTheme="minorHAnsi" w:hAnsiTheme="minorHAnsi" w:cstheme="minorHAnsi"/>
                <w:noProof/>
                <w:webHidden/>
                <w:szCs w:val="20"/>
              </w:rPr>
              <w:fldChar w:fldCharType="end"/>
            </w:r>
          </w:hyperlink>
        </w:p>
        <w:p w14:paraId="2B98D49D" w14:textId="13119A67"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457" w:history="1">
            <w:r w:rsidRPr="005B0BEC">
              <w:rPr>
                <w:rStyle w:val="Hyperlink"/>
                <w:rFonts w:asciiTheme="minorHAnsi" w:eastAsiaTheme="majorEastAsia" w:hAnsiTheme="minorHAnsi" w:cstheme="minorHAnsi"/>
                <w:noProof/>
                <w:sz w:val="20"/>
                <w:szCs w:val="20"/>
              </w:rPr>
              <w:t>CHAPTER 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TRANSITION CARE PROGRAM</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11</w:t>
            </w:r>
            <w:r w:rsidRPr="005B0BEC">
              <w:rPr>
                <w:rFonts w:asciiTheme="minorHAnsi" w:hAnsiTheme="minorHAnsi" w:cstheme="minorHAnsi"/>
                <w:noProof/>
                <w:webHidden/>
                <w:szCs w:val="20"/>
              </w:rPr>
              <w:fldChar w:fldCharType="end"/>
            </w:r>
          </w:hyperlink>
        </w:p>
        <w:p w14:paraId="21216207" w14:textId="024760B7"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8" w:history="1">
            <w:r w:rsidRPr="005B0BEC">
              <w:rPr>
                <w:rStyle w:val="Hyperlink"/>
                <w:rFonts w:asciiTheme="minorHAnsi" w:eastAsiaTheme="majorEastAsia" w:hAnsiTheme="minorHAnsi" w:cstheme="minorHAnsi"/>
                <w:noProof/>
                <w:sz w:val="20"/>
                <w:szCs w:val="20"/>
              </w:rPr>
              <w:t>3.1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What is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11</w:t>
            </w:r>
            <w:r w:rsidRPr="005B0BEC">
              <w:rPr>
                <w:rFonts w:asciiTheme="minorHAnsi" w:hAnsiTheme="minorHAnsi" w:cstheme="minorHAnsi"/>
                <w:noProof/>
                <w:webHidden/>
                <w:szCs w:val="20"/>
              </w:rPr>
              <w:fldChar w:fldCharType="end"/>
            </w:r>
          </w:hyperlink>
        </w:p>
        <w:p w14:paraId="18BA7BF7" w14:textId="0B00F7E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59" w:history="1">
            <w:r w:rsidRPr="005B0BEC">
              <w:rPr>
                <w:rStyle w:val="Hyperlink"/>
                <w:rFonts w:asciiTheme="minorHAnsi" w:eastAsiaTheme="majorEastAsia" w:hAnsiTheme="minorHAnsi" w:cstheme="minorHAnsi"/>
                <w:noProof/>
                <w:sz w:val="20"/>
                <w:szCs w:val="20"/>
              </w:rPr>
              <w:t>3.1.1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Aim/Objectives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_Toc216865459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11</w:t>
            </w:r>
            <w:r w:rsidRPr="005B0BEC">
              <w:rPr>
                <w:rFonts w:asciiTheme="minorHAnsi" w:hAnsiTheme="minorHAnsi" w:cstheme="minorHAnsi"/>
                <w:noProof/>
                <w:webHidden/>
                <w:szCs w:val="20"/>
              </w:rPr>
              <w:fldChar w:fldCharType="end"/>
            </w:r>
          </w:hyperlink>
        </w:p>
        <w:p w14:paraId="453268E7" w14:textId="19CFAEB9"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0" w:history="1">
            <w:r w:rsidRPr="005B0BEC">
              <w:rPr>
                <w:rStyle w:val="Hyperlink"/>
                <w:rFonts w:asciiTheme="minorHAnsi" w:eastAsiaTheme="majorEastAsia" w:hAnsiTheme="minorHAnsi" w:cstheme="minorHAnsi"/>
                <w:noProof/>
                <w:sz w:val="20"/>
                <w:szCs w:val="20"/>
              </w:rPr>
              <w:t>3.1.2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Services provided through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11</w:t>
            </w:r>
            <w:r w:rsidRPr="005B0BEC">
              <w:rPr>
                <w:rFonts w:asciiTheme="minorHAnsi" w:hAnsiTheme="minorHAnsi" w:cstheme="minorHAnsi"/>
                <w:noProof/>
                <w:webHidden/>
                <w:szCs w:val="20"/>
              </w:rPr>
              <w:fldChar w:fldCharType="end"/>
            </w:r>
          </w:hyperlink>
        </w:p>
        <w:p w14:paraId="39EF4C45" w14:textId="66B0D3B6"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1" w:history="1">
            <w:r w:rsidRPr="005B0BEC">
              <w:rPr>
                <w:rStyle w:val="Hyperlink"/>
                <w:rFonts w:asciiTheme="minorHAnsi" w:eastAsiaTheme="majorEastAsia" w:hAnsiTheme="minorHAnsi" w:cstheme="minorHAnsi"/>
                <w:noProof/>
                <w:sz w:val="20"/>
                <w:szCs w:val="20"/>
              </w:rPr>
              <w:t>3.2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Individuals eligible for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13</w:t>
            </w:r>
            <w:r w:rsidRPr="005B0BEC">
              <w:rPr>
                <w:rFonts w:asciiTheme="minorHAnsi" w:hAnsiTheme="minorHAnsi" w:cstheme="minorHAnsi"/>
                <w:noProof/>
                <w:webHidden/>
                <w:szCs w:val="20"/>
              </w:rPr>
              <w:fldChar w:fldCharType="end"/>
            </w:r>
          </w:hyperlink>
        </w:p>
        <w:p w14:paraId="2C4DD18D" w14:textId="0BD81EAE"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2" w:history="1">
            <w:r w:rsidRPr="005B0BEC">
              <w:rPr>
                <w:rStyle w:val="Hyperlink"/>
                <w:rFonts w:asciiTheme="minorHAnsi" w:eastAsiaTheme="majorEastAsia" w:hAnsiTheme="minorHAnsi" w:cstheme="minorHAnsi"/>
                <w:noProof/>
                <w:sz w:val="20"/>
                <w:szCs w:val="20"/>
              </w:rPr>
              <w:t>3.2.1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Older people who usually reside interstate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13</w:t>
            </w:r>
            <w:r w:rsidRPr="005B0BEC">
              <w:rPr>
                <w:rFonts w:asciiTheme="minorHAnsi" w:hAnsiTheme="minorHAnsi" w:cstheme="minorHAnsi"/>
                <w:noProof/>
                <w:webHidden/>
                <w:szCs w:val="20"/>
              </w:rPr>
              <w:fldChar w:fldCharType="end"/>
            </w:r>
          </w:hyperlink>
        </w:p>
        <w:p w14:paraId="406CE9EF" w14:textId="79312E2E"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3" w:history="1">
            <w:r w:rsidRPr="005B0BEC">
              <w:rPr>
                <w:rStyle w:val="Hyperlink"/>
                <w:rFonts w:asciiTheme="minorHAnsi" w:eastAsiaTheme="majorEastAsia" w:hAnsiTheme="minorHAnsi" w:cstheme="minorHAnsi"/>
                <w:noProof/>
                <w:sz w:val="20"/>
                <w:szCs w:val="20"/>
              </w:rPr>
              <w:t>3.2.2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Non-Australian residents and older people from overseas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14</w:t>
            </w:r>
            <w:r w:rsidRPr="005B0BEC">
              <w:rPr>
                <w:rFonts w:asciiTheme="minorHAnsi" w:hAnsiTheme="minorHAnsi" w:cstheme="minorHAnsi"/>
                <w:noProof/>
                <w:webHidden/>
                <w:szCs w:val="20"/>
              </w:rPr>
              <w:fldChar w:fldCharType="end"/>
            </w:r>
          </w:hyperlink>
        </w:p>
        <w:p w14:paraId="2D575C41" w14:textId="2D2E1C42"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4" w:history="1">
            <w:r w:rsidRPr="005B0BEC">
              <w:rPr>
                <w:rStyle w:val="Hyperlink"/>
                <w:rFonts w:asciiTheme="minorHAnsi" w:eastAsiaTheme="majorEastAsia" w:hAnsiTheme="minorHAnsi" w:cstheme="minorHAnsi"/>
                <w:noProof/>
                <w:sz w:val="20"/>
                <w:szCs w:val="20"/>
              </w:rPr>
              <w:t>3.3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role of hospitals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14</w:t>
            </w:r>
            <w:r w:rsidRPr="005B0BEC">
              <w:rPr>
                <w:rFonts w:asciiTheme="minorHAnsi" w:hAnsiTheme="minorHAnsi" w:cstheme="minorHAnsi"/>
                <w:noProof/>
                <w:webHidden/>
                <w:szCs w:val="20"/>
              </w:rPr>
              <w:fldChar w:fldCharType="end"/>
            </w:r>
          </w:hyperlink>
        </w:p>
        <w:p w14:paraId="0B7AE8B5" w14:textId="36ED302C"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5" w:history="1">
            <w:r w:rsidRPr="005B0BEC">
              <w:rPr>
                <w:rStyle w:val="Hyperlink"/>
                <w:rFonts w:asciiTheme="minorHAnsi" w:eastAsiaTheme="majorEastAsia" w:hAnsiTheme="minorHAnsi" w:cstheme="minorHAnsi"/>
                <w:noProof/>
                <w:sz w:val="20"/>
                <w:szCs w:val="20"/>
              </w:rPr>
              <w:t>3.3.1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Referral process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14</w:t>
            </w:r>
            <w:r w:rsidRPr="005B0BEC">
              <w:rPr>
                <w:rFonts w:asciiTheme="minorHAnsi" w:hAnsiTheme="minorHAnsi" w:cstheme="minorHAnsi"/>
                <w:noProof/>
                <w:webHidden/>
                <w:szCs w:val="20"/>
              </w:rPr>
              <w:fldChar w:fldCharType="end"/>
            </w:r>
          </w:hyperlink>
        </w:p>
        <w:p w14:paraId="053E18FC" w14:textId="5FDE36A2"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6" w:history="1">
            <w:r w:rsidRPr="005B0BEC">
              <w:rPr>
                <w:rStyle w:val="Hyperlink"/>
                <w:rFonts w:asciiTheme="minorHAnsi" w:eastAsiaTheme="majorEastAsia" w:hAnsiTheme="minorHAnsi" w:cstheme="minorHAnsi"/>
                <w:noProof/>
                <w:sz w:val="20"/>
                <w:szCs w:val="20"/>
              </w:rPr>
              <w:t>3.4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Assessment and approval of individuals for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14</w:t>
            </w:r>
            <w:r w:rsidRPr="005B0BEC">
              <w:rPr>
                <w:rFonts w:asciiTheme="minorHAnsi" w:hAnsiTheme="minorHAnsi" w:cstheme="minorHAnsi"/>
                <w:noProof/>
                <w:webHidden/>
                <w:szCs w:val="20"/>
              </w:rPr>
              <w:fldChar w:fldCharType="end"/>
            </w:r>
          </w:hyperlink>
        </w:p>
        <w:p w14:paraId="3A513BFC" w14:textId="1BE1EE2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7" w:history="1">
            <w:r w:rsidRPr="005B0BEC">
              <w:rPr>
                <w:rStyle w:val="Hyperlink"/>
                <w:rFonts w:asciiTheme="minorHAnsi" w:eastAsiaTheme="majorEastAsia" w:hAnsiTheme="minorHAnsi" w:cstheme="minorHAnsi"/>
                <w:noProof/>
                <w:sz w:val="20"/>
                <w:szCs w:val="20"/>
              </w:rPr>
              <w:t>3.4.1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Assessment: role of the clinical aged care needs assessor</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15</w:t>
            </w:r>
            <w:r w:rsidRPr="005B0BEC">
              <w:rPr>
                <w:rFonts w:asciiTheme="minorHAnsi" w:hAnsiTheme="minorHAnsi" w:cstheme="minorHAnsi"/>
                <w:noProof/>
                <w:webHidden/>
                <w:szCs w:val="20"/>
              </w:rPr>
              <w:fldChar w:fldCharType="end"/>
            </w:r>
          </w:hyperlink>
        </w:p>
        <w:p w14:paraId="5977147A" w14:textId="4DC4281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8" w:history="1">
            <w:r w:rsidRPr="005B0BEC">
              <w:rPr>
                <w:rStyle w:val="Hyperlink"/>
                <w:rFonts w:asciiTheme="minorHAnsi" w:eastAsiaTheme="majorEastAsia" w:hAnsiTheme="minorHAnsi" w:cstheme="minorHAnsi"/>
                <w:noProof/>
                <w:sz w:val="20"/>
                <w:szCs w:val="20"/>
              </w:rPr>
              <w:t>3.4.2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Who should participate in an aged care needs assessment?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16</w:t>
            </w:r>
            <w:r w:rsidRPr="005B0BEC">
              <w:rPr>
                <w:rFonts w:asciiTheme="minorHAnsi" w:hAnsiTheme="minorHAnsi" w:cstheme="minorHAnsi"/>
                <w:noProof/>
                <w:webHidden/>
                <w:szCs w:val="20"/>
              </w:rPr>
              <w:fldChar w:fldCharType="end"/>
            </w:r>
          </w:hyperlink>
        </w:p>
        <w:p w14:paraId="485975AB" w14:textId="066B2E41"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69" w:history="1">
            <w:r w:rsidRPr="005B0BEC">
              <w:rPr>
                <w:rStyle w:val="Hyperlink"/>
                <w:rFonts w:asciiTheme="minorHAnsi" w:eastAsiaTheme="majorEastAsia" w:hAnsiTheme="minorHAnsi" w:cstheme="minorHAnsi"/>
                <w:noProof/>
                <w:sz w:val="20"/>
                <w:szCs w:val="20"/>
              </w:rPr>
              <w:t>3.4.3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Assessment process for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_Toc216865469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16</w:t>
            </w:r>
            <w:r w:rsidRPr="005B0BEC">
              <w:rPr>
                <w:rFonts w:asciiTheme="minorHAnsi" w:hAnsiTheme="minorHAnsi" w:cstheme="minorHAnsi"/>
                <w:noProof/>
                <w:webHidden/>
                <w:szCs w:val="20"/>
              </w:rPr>
              <w:fldChar w:fldCharType="end"/>
            </w:r>
          </w:hyperlink>
        </w:p>
        <w:p w14:paraId="2B0409CC" w14:textId="458A5E79"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0" w:history="1">
            <w:r w:rsidRPr="005B0BEC">
              <w:rPr>
                <w:rStyle w:val="Hyperlink"/>
                <w:rFonts w:asciiTheme="minorHAnsi" w:eastAsiaTheme="majorEastAsia" w:hAnsiTheme="minorHAnsi" w:cstheme="minorHAnsi"/>
                <w:noProof/>
                <w:sz w:val="20"/>
                <w:szCs w:val="20"/>
              </w:rPr>
              <w:t>3.4.4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Approval for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17</w:t>
            </w:r>
            <w:r w:rsidRPr="005B0BEC">
              <w:rPr>
                <w:rFonts w:asciiTheme="minorHAnsi" w:hAnsiTheme="minorHAnsi" w:cstheme="minorHAnsi"/>
                <w:noProof/>
                <w:webHidden/>
                <w:szCs w:val="20"/>
              </w:rPr>
              <w:fldChar w:fldCharType="end"/>
            </w:r>
          </w:hyperlink>
        </w:p>
        <w:p w14:paraId="54F8A76E" w14:textId="7317110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1" w:history="1">
            <w:r w:rsidRPr="005B0BEC">
              <w:rPr>
                <w:rStyle w:val="Hyperlink"/>
                <w:rFonts w:asciiTheme="minorHAnsi" w:eastAsiaTheme="majorEastAsia" w:hAnsiTheme="minorHAnsi" w:cstheme="minorHAnsi"/>
                <w:noProof/>
                <w:sz w:val="20"/>
                <w:szCs w:val="20"/>
              </w:rPr>
              <w:t>3.4.5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Assessment and approval within in a short stay unit of an emergency department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18</w:t>
            </w:r>
            <w:r w:rsidRPr="005B0BEC">
              <w:rPr>
                <w:rFonts w:asciiTheme="minorHAnsi" w:hAnsiTheme="minorHAnsi" w:cstheme="minorHAnsi"/>
                <w:noProof/>
                <w:webHidden/>
                <w:szCs w:val="20"/>
              </w:rPr>
              <w:fldChar w:fldCharType="end"/>
            </w:r>
          </w:hyperlink>
        </w:p>
        <w:p w14:paraId="623C1C5F" w14:textId="6FCA7D6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2" w:history="1">
            <w:r w:rsidRPr="005B0BEC">
              <w:rPr>
                <w:rStyle w:val="Hyperlink"/>
                <w:rFonts w:asciiTheme="minorHAnsi" w:eastAsiaTheme="majorEastAsia" w:hAnsiTheme="minorHAnsi" w:cstheme="minorHAnsi"/>
                <w:noProof/>
                <w:sz w:val="20"/>
                <w:szCs w:val="20"/>
              </w:rPr>
              <w:t>3.4.6</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Hospital and assessment information for care and services plan development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18</w:t>
            </w:r>
            <w:r w:rsidRPr="005B0BEC">
              <w:rPr>
                <w:rFonts w:asciiTheme="minorHAnsi" w:hAnsiTheme="minorHAnsi" w:cstheme="minorHAnsi"/>
                <w:noProof/>
                <w:webHidden/>
                <w:szCs w:val="20"/>
              </w:rPr>
              <w:fldChar w:fldCharType="end"/>
            </w:r>
          </w:hyperlink>
        </w:p>
        <w:p w14:paraId="37195A8E" w14:textId="26825B7E"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3" w:history="1">
            <w:r w:rsidRPr="005B0BEC">
              <w:rPr>
                <w:rStyle w:val="Hyperlink"/>
                <w:rFonts w:asciiTheme="minorHAnsi" w:eastAsiaTheme="majorEastAsia" w:hAnsiTheme="minorHAnsi" w:cstheme="minorHAnsi"/>
                <w:noProof/>
                <w:sz w:val="20"/>
                <w:szCs w:val="20"/>
              </w:rPr>
              <w:t>3.5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Entry to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18</w:t>
            </w:r>
            <w:r w:rsidRPr="005B0BEC">
              <w:rPr>
                <w:rFonts w:asciiTheme="minorHAnsi" w:hAnsiTheme="minorHAnsi" w:cstheme="minorHAnsi"/>
                <w:noProof/>
                <w:webHidden/>
                <w:szCs w:val="20"/>
              </w:rPr>
              <w:fldChar w:fldCharType="end"/>
            </w:r>
          </w:hyperlink>
        </w:p>
        <w:p w14:paraId="62B3BE98" w14:textId="0729FAE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4" w:history="1">
            <w:r w:rsidRPr="005B0BEC">
              <w:rPr>
                <w:rStyle w:val="Hyperlink"/>
                <w:rFonts w:asciiTheme="minorHAnsi" w:eastAsiaTheme="majorEastAsia" w:hAnsiTheme="minorHAnsi" w:cstheme="minorHAnsi"/>
                <w:noProof/>
                <w:sz w:val="20"/>
                <w:szCs w:val="20"/>
              </w:rPr>
              <w:t>3.5.1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Duration of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18</w:t>
            </w:r>
            <w:r w:rsidRPr="005B0BEC">
              <w:rPr>
                <w:rFonts w:asciiTheme="minorHAnsi" w:hAnsiTheme="minorHAnsi" w:cstheme="minorHAnsi"/>
                <w:noProof/>
                <w:webHidden/>
                <w:szCs w:val="20"/>
              </w:rPr>
              <w:fldChar w:fldCharType="end"/>
            </w:r>
          </w:hyperlink>
        </w:p>
        <w:p w14:paraId="24A3B239" w14:textId="3497B60D"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5" w:history="1">
            <w:r w:rsidRPr="005B0BEC">
              <w:rPr>
                <w:rStyle w:val="Hyperlink"/>
                <w:rFonts w:asciiTheme="minorHAnsi" w:eastAsiaTheme="majorEastAsia" w:hAnsiTheme="minorHAnsi" w:cstheme="minorHAnsi"/>
                <w:noProof/>
                <w:sz w:val="20"/>
                <w:szCs w:val="20"/>
              </w:rPr>
              <w:t>3.5.2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registered provider</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19</w:t>
            </w:r>
            <w:r w:rsidRPr="005B0BEC">
              <w:rPr>
                <w:rFonts w:asciiTheme="minorHAnsi" w:hAnsiTheme="minorHAnsi" w:cstheme="minorHAnsi"/>
                <w:noProof/>
                <w:webHidden/>
                <w:szCs w:val="20"/>
              </w:rPr>
              <w:fldChar w:fldCharType="end"/>
            </w:r>
          </w:hyperlink>
        </w:p>
        <w:p w14:paraId="36F908DA" w14:textId="34BA10D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6" w:history="1">
            <w:r w:rsidRPr="005B0BEC">
              <w:rPr>
                <w:rStyle w:val="Hyperlink"/>
                <w:rFonts w:asciiTheme="minorHAnsi" w:eastAsiaTheme="majorEastAsia" w:hAnsiTheme="minorHAnsi" w:cstheme="minorHAnsi"/>
                <w:noProof/>
                <w:sz w:val="20"/>
                <w:szCs w:val="20"/>
              </w:rPr>
              <w:t>3.5.3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Residential based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20</w:t>
            </w:r>
            <w:r w:rsidRPr="005B0BEC">
              <w:rPr>
                <w:rFonts w:asciiTheme="minorHAnsi" w:hAnsiTheme="minorHAnsi" w:cstheme="minorHAnsi"/>
                <w:noProof/>
                <w:webHidden/>
                <w:szCs w:val="20"/>
              </w:rPr>
              <w:fldChar w:fldCharType="end"/>
            </w:r>
          </w:hyperlink>
        </w:p>
        <w:p w14:paraId="0AD56C5D" w14:textId="6FDA5056"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7" w:history="1">
            <w:r w:rsidRPr="005B0BEC">
              <w:rPr>
                <w:rStyle w:val="Hyperlink"/>
                <w:rFonts w:asciiTheme="minorHAnsi" w:eastAsiaTheme="majorEastAsia" w:hAnsiTheme="minorHAnsi" w:cstheme="minorHAnsi"/>
                <w:noProof/>
                <w:sz w:val="20"/>
                <w:szCs w:val="20"/>
              </w:rPr>
              <w:t>3.5.4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Existing recipients of residential or home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20</w:t>
            </w:r>
            <w:r w:rsidRPr="005B0BEC">
              <w:rPr>
                <w:rFonts w:asciiTheme="minorHAnsi" w:hAnsiTheme="minorHAnsi" w:cstheme="minorHAnsi"/>
                <w:noProof/>
                <w:webHidden/>
                <w:szCs w:val="20"/>
              </w:rPr>
              <w:fldChar w:fldCharType="end"/>
            </w:r>
          </w:hyperlink>
        </w:p>
        <w:p w14:paraId="38AAE51B" w14:textId="789F45F4"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8" w:history="1">
            <w:r w:rsidRPr="005B0BEC">
              <w:rPr>
                <w:rStyle w:val="Hyperlink"/>
                <w:rFonts w:asciiTheme="minorHAnsi" w:eastAsiaTheme="majorEastAsia" w:hAnsiTheme="minorHAnsi" w:cstheme="minorHAnsi"/>
                <w:noProof/>
                <w:sz w:val="20"/>
                <w:szCs w:val="20"/>
              </w:rPr>
              <w:t>3.5.5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Movement between care settings and services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21</w:t>
            </w:r>
            <w:r w:rsidRPr="005B0BEC">
              <w:rPr>
                <w:rFonts w:asciiTheme="minorHAnsi" w:hAnsiTheme="minorHAnsi" w:cstheme="minorHAnsi"/>
                <w:noProof/>
                <w:webHidden/>
                <w:szCs w:val="20"/>
              </w:rPr>
              <w:fldChar w:fldCharType="end"/>
            </w:r>
          </w:hyperlink>
        </w:p>
        <w:p w14:paraId="0F2414ED" w14:textId="1D2DD19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79" w:history="1">
            <w:r w:rsidRPr="005B0BEC">
              <w:rPr>
                <w:rStyle w:val="Hyperlink"/>
                <w:rFonts w:asciiTheme="minorHAnsi" w:eastAsiaTheme="majorEastAsia" w:hAnsiTheme="minorHAnsi" w:cstheme="minorHAnsi"/>
                <w:noProof/>
                <w:sz w:val="20"/>
                <w:szCs w:val="20"/>
              </w:rPr>
              <w:t>3.5.6</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Interrupting a TCP episode – available break days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_Toc216865479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21</w:t>
            </w:r>
            <w:r w:rsidRPr="005B0BEC">
              <w:rPr>
                <w:rFonts w:asciiTheme="minorHAnsi" w:hAnsiTheme="minorHAnsi" w:cstheme="minorHAnsi"/>
                <w:noProof/>
                <w:webHidden/>
                <w:szCs w:val="20"/>
              </w:rPr>
              <w:fldChar w:fldCharType="end"/>
            </w:r>
          </w:hyperlink>
        </w:p>
        <w:p w14:paraId="764392F3" w14:textId="37D6A1E9"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0" w:history="1">
            <w:r w:rsidRPr="005B0BEC">
              <w:rPr>
                <w:rStyle w:val="Hyperlink"/>
                <w:rFonts w:asciiTheme="minorHAnsi" w:eastAsiaTheme="majorEastAsia" w:hAnsiTheme="minorHAnsi" w:cstheme="minorHAnsi"/>
                <w:noProof/>
                <w:sz w:val="20"/>
                <w:szCs w:val="20"/>
              </w:rPr>
              <w:t>3.5.7</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Readmission to hospital from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22</w:t>
            </w:r>
            <w:r w:rsidRPr="005B0BEC">
              <w:rPr>
                <w:rFonts w:asciiTheme="minorHAnsi" w:hAnsiTheme="minorHAnsi" w:cstheme="minorHAnsi"/>
                <w:noProof/>
                <w:webHidden/>
                <w:szCs w:val="20"/>
              </w:rPr>
              <w:fldChar w:fldCharType="end"/>
            </w:r>
          </w:hyperlink>
        </w:p>
        <w:p w14:paraId="19695FBA" w14:textId="7C1E8FCC"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1" w:history="1">
            <w:r w:rsidRPr="005B0BEC">
              <w:rPr>
                <w:rStyle w:val="Hyperlink"/>
                <w:rFonts w:asciiTheme="minorHAnsi" w:eastAsiaTheme="majorEastAsia" w:hAnsiTheme="minorHAnsi" w:cstheme="minorHAnsi"/>
                <w:noProof/>
                <w:sz w:val="20"/>
                <w:szCs w:val="20"/>
              </w:rPr>
              <w:t>3.5.8</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Extensions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22</w:t>
            </w:r>
            <w:r w:rsidRPr="005B0BEC">
              <w:rPr>
                <w:rFonts w:asciiTheme="minorHAnsi" w:hAnsiTheme="minorHAnsi" w:cstheme="minorHAnsi"/>
                <w:noProof/>
                <w:webHidden/>
                <w:szCs w:val="20"/>
              </w:rPr>
              <w:fldChar w:fldCharType="end"/>
            </w:r>
          </w:hyperlink>
        </w:p>
        <w:p w14:paraId="7A8A2853" w14:textId="27AB4E7B"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2" w:history="1">
            <w:r w:rsidRPr="005B0BEC">
              <w:rPr>
                <w:rStyle w:val="Hyperlink"/>
                <w:rFonts w:asciiTheme="minorHAnsi" w:eastAsiaTheme="majorEastAsia" w:hAnsiTheme="minorHAnsi" w:cstheme="minorHAnsi"/>
                <w:noProof/>
                <w:sz w:val="20"/>
                <w:szCs w:val="20"/>
              </w:rPr>
              <w:t>3.5.9</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Review of the assessment extension decisions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23</w:t>
            </w:r>
            <w:r w:rsidRPr="005B0BEC">
              <w:rPr>
                <w:rFonts w:asciiTheme="minorHAnsi" w:hAnsiTheme="minorHAnsi" w:cstheme="minorHAnsi"/>
                <w:noProof/>
                <w:webHidden/>
                <w:szCs w:val="20"/>
              </w:rPr>
              <w:fldChar w:fldCharType="end"/>
            </w:r>
          </w:hyperlink>
        </w:p>
        <w:p w14:paraId="2139FC7A" w14:textId="68F9BB39" w:rsidR="005B0BEC" w:rsidRPr="005B0BEC" w:rsidRDefault="005B0BEC">
          <w:pPr>
            <w:pStyle w:val="TOC2"/>
            <w:tabs>
              <w:tab w:val="left" w:pos="1100"/>
              <w:tab w:val="right" w:leader="dot" w:pos="9485"/>
            </w:tabs>
            <w:rPr>
              <w:rFonts w:asciiTheme="minorHAnsi" w:eastAsiaTheme="minorEastAsia" w:hAnsiTheme="minorHAnsi" w:cstheme="minorHAnsi"/>
              <w:noProof/>
              <w:spacing w:val="0"/>
              <w:kern w:val="2"/>
              <w:szCs w:val="20"/>
              <w14:ligatures w14:val="standardContextual"/>
            </w:rPr>
          </w:pPr>
          <w:hyperlink w:anchor="_Toc216865483" w:history="1">
            <w:r w:rsidRPr="005B0BEC">
              <w:rPr>
                <w:rStyle w:val="Hyperlink"/>
                <w:rFonts w:asciiTheme="minorHAnsi" w:eastAsiaTheme="majorEastAsia" w:hAnsiTheme="minorHAnsi" w:cstheme="minorHAnsi"/>
                <w:noProof/>
                <w:sz w:val="20"/>
                <w:szCs w:val="20"/>
              </w:rPr>
              <w:t>3.5.10</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Accessing ongoing residential care during/after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23</w:t>
            </w:r>
            <w:r w:rsidRPr="005B0BEC">
              <w:rPr>
                <w:rFonts w:asciiTheme="minorHAnsi" w:hAnsiTheme="minorHAnsi" w:cstheme="minorHAnsi"/>
                <w:noProof/>
                <w:webHidden/>
                <w:szCs w:val="20"/>
              </w:rPr>
              <w:fldChar w:fldCharType="end"/>
            </w:r>
          </w:hyperlink>
        </w:p>
        <w:p w14:paraId="4897A5C4" w14:textId="70DBDCC4"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484" w:history="1">
            <w:r w:rsidRPr="005B0BEC">
              <w:rPr>
                <w:rStyle w:val="Hyperlink"/>
                <w:rFonts w:asciiTheme="minorHAnsi" w:eastAsiaTheme="majorEastAsia" w:hAnsiTheme="minorHAnsi" w:cstheme="minorHAnsi"/>
                <w:noProof/>
                <w:sz w:val="20"/>
                <w:szCs w:val="20"/>
              </w:rPr>
              <w:t>CHAPTER 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TRANSITION CARE PROGRAM RESTORATIVE CARE REQUIREMENTS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24</w:t>
            </w:r>
            <w:r w:rsidRPr="005B0BEC">
              <w:rPr>
                <w:rFonts w:asciiTheme="minorHAnsi" w:hAnsiTheme="minorHAnsi" w:cstheme="minorHAnsi"/>
                <w:noProof/>
                <w:webHidden/>
                <w:szCs w:val="20"/>
              </w:rPr>
              <w:fldChar w:fldCharType="end"/>
            </w:r>
          </w:hyperlink>
        </w:p>
        <w:p w14:paraId="7CBF3B0C" w14:textId="561F611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5" w:history="1">
            <w:r w:rsidRPr="005B0BEC">
              <w:rPr>
                <w:rStyle w:val="Hyperlink"/>
                <w:rFonts w:asciiTheme="minorHAnsi" w:eastAsiaTheme="majorEastAsia" w:hAnsiTheme="minorHAnsi" w:cstheme="minorHAnsi"/>
                <w:noProof/>
                <w:sz w:val="20"/>
                <w:szCs w:val="20"/>
              </w:rPr>
              <w:t>4.1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Optimising Independence and Wellbeing – Requirement 1</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24</w:t>
            </w:r>
            <w:r w:rsidRPr="005B0BEC">
              <w:rPr>
                <w:rFonts w:asciiTheme="minorHAnsi" w:hAnsiTheme="minorHAnsi" w:cstheme="minorHAnsi"/>
                <w:noProof/>
                <w:webHidden/>
                <w:szCs w:val="20"/>
              </w:rPr>
              <w:fldChar w:fldCharType="end"/>
            </w:r>
          </w:hyperlink>
        </w:p>
        <w:p w14:paraId="4F493C4F" w14:textId="0D10870B"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6" w:history="1">
            <w:r w:rsidRPr="005B0BEC">
              <w:rPr>
                <w:rStyle w:val="Hyperlink"/>
                <w:rFonts w:asciiTheme="minorHAnsi" w:eastAsiaTheme="majorEastAsia" w:hAnsiTheme="minorHAnsi" w:cstheme="minorHAnsi"/>
                <w:noProof/>
                <w:sz w:val="20"/>
                <w:szCs w:val="20"/>
              </w:rPr>
              <w:t>4.1.1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Assessment processes: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24</w:t>
            </w:r>
            <w:r w:rsidRPr="005B0BEC">
              <w:rPr>
                <w:rFonts w:asciiTheme="minorHAnsi" w:hAnsiTheme="minorHAnsi" w:cstheme="minorHAnsi"/>
                <w:noProof/>
                <w:webHidden/>
                <w:szCs w:val="20"/>
              </w:rPr>
              <w:fldChar w:fldCharType="end"/>
            </w:r>
          </w:hyperlink>
        </w:p>
        <w:p w14:paraId="479B93C4" w14:textId="3DF6F5B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7" w:history="1">
            <w:r w:rsidRPr="005B0BEC">
              <w:rPr>
                <w:rStyle w:val="Hyperlink"/>
                <w:rFonts w:asciiTheme="minorHAnsi" w:eastAsiaTheme="majorEastAsia" w:hAnsiTheme="minorHAnsi" w:cstheme="minorHAnsi"/>
                <w:noProof/>
                <w:sz w:val="20"/>
                <w:szCs w:val="20"/>
              </w:rPr>
              <w:t>4.1.2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Care planning is focussed on optimising independence and wellbeing and includes a goal-oriented care plan for the care recipient that: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24</w:t>
            </w:r>
            <w:r w:rsidRPr="005B0BEC">
              <w:rPr>
                <w:rFonts w:asciiTheme="minorHAnsi" w:hAnsiTheme="minorHAnsi" w:cstheme="minorHAnsi"/>
                <w:noProof/>
                <w:webHidden/>
                <w:szCs w:val="20"/>
              </w:rPr>
              <w:fldChar w:fldCharType="end"/>
            </w:r>
          </w:hyperlink>
        </w:p>
        <w:p w14:paraId="3680A3B7" w14:textId="476793DD"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8" w:history="1">
            <w:r w:rsidRPr="005B0BEC">
              <w:rPr>
                <w:rStyle w:val="Hyperlink"/>
                <w:rFonts w:asciiTheme="minorHAnsi" w:eastAsiaTheme="majorEastAsia" w:hAnsiTheme="minorHAnsi" w:cstheme="minorHAnsi"/>
                <w:noProof/>
                <w:sz w:val="20"/>
                <w:szCs w:val="20"/>
              </w:rPr>
              <w:t>4.1.3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transition care registered provider demonstrates that its service: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24</w:t>
            </w:r>
            <w:r w:rsidRPr="005B0BEC">
              <w:rPr>
                <w:rFonts w:asciiTheme="minorHAnsi" w:hAnsiTheme="minorHAnsi" w:cstheme="minorHAnsi"/>
                <w:noProof/>
                <w:webHidden/>
                <w:szCs w:val="20"/>
              </w:rPr>
              <w:fldChar w:fldCharType="end"/>
            </w:r>
          </w:hyperlink>
        </w:p>
        <w:p w14:paraId="00157156" w14:textId="005A583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89" w:history="1">
            <w:r w:rsidRPr="005B0BEC">
              <w:rPr>
                <w:rStyle w:val="Hyperlink"/>
                <w:rFonts w:asciiTheme="minorHAnsi" w:eastAsiaTheme="majorEastAsia" w:hAnsiTheme="minorHAnsi" w:cstheme="minorHAnsi"/>
                <w:noProof/>
                <w:sz w:val="20"/>
                <w:szCs w:val="20"/>
              </w:rPr>
              <w:t>4.2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Multidisciplinary Approach and Therapy Focused Care – Requirement 2</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_Toc216865489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25</w:t>
            </w:r>
            <w:r w:rsidRPr="005B0BEC">
              <w:rPr>
                <w:rFonts w:asciiTheme="minorHAnsi" w:hAnsiTheme="minorHAnsi" w:cstheme="minorHAnsi"/>
                <w:noProof/>
                <w:webHidden/>
                <w:szCs w:val="20"/>
              </w:rPr>
              <w:fldChar w:fldCharType="end"/>
            </w:r>
          </w:hyperlink>
        </w:p>
        <w:p w14:paraId="51A99927" w14:textId="3FDD0196"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0" w:history="1">
            <w:r w:rsidRPr="005B0BEC">
              <w:rPr>
                <w:rStyle w:val="Hyperlink"/>
                <w:rFonts w:asciiTheme="minorHAnsi" w:eastAsiaTheme="majorEastAsia" w:hAnsiTheme="minorHAnsi" w:cstheme="minorHAnsi"/>
                <w:noProof/>
                <w:sz w:val="20"/>
                <w:szCs w:val="20"/>
              </w:rPr>
              <w:t>4.2.1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Assessment processes: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25</w:t>
            </w:r>
            <w:r w:rsidRPr="005B0BEC">
              <w:rPr>
                <w:rFonts w:asciiTheme="minorHAnsi" w:hAnsiTheme="minorHAnsi" w:cstheme="minorHAnsi"/>
                <w:noProof/>
                <w:webHidden/>
                <w:szCs w:val="20"/>
              </w:rPr>
              <w:fldChar w:fldCharType="end"/>
            </w:r>
          </w:hyperlink>
        </w:p>
        <w:p w14:paraId="72654DC0" w14:textId="41FD634F"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1" w:history="1">
            <w:r w:rsidRPr="005B0BEC">
              <w:rPr>
                <w:rStyle w:val="Hyperlink"/>
                <w:rFonts w:asciiTheme="minorHAnsi" w:eastAsiaTheme="majorEastAsia" w:hAnsiTheme="minorHAnsi" w:cstheme="minorHAnsi"/>
                <w:noProof/>
                <w:sz w:val="20"/>
                <w:szCs w:val="20"/>
              </w:rPr>
              <w:t>4.2.2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Care planning processes demonstrate that: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25</w:t>
            </w:r>
            <w:r w:rsidRPr="005B0BEC">
              <w:rPr>
                <w:rFonts w:asciiTheme="minorHAnsi" w:hAnsiTheme="minorHAnsi" w:cstheme="minorHAnsi"/>
                <w:noProof/>
                <w:webHidden/>
                <w:szCs w:val="20"/>
              </w:rPr>
              <w:fldChar w:fldCharType="end"/>
            </w:r>
          </w:hyperlink>
        </w:p>
        <w:p w14:paraId="3364AB66" w14:textId="5EC14E1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2" w:history="1">
            <w:r w:rsidRPr="005B0BEC">
              <w:rPr>
                <w:rStyle w:val="Hyperlink"/>
                <w:rFonts w:asciiTheme="minorHAnsi" w:eastAsiaTheme="majorEastAsia" w:hAnsiTheme="minorHAnsi" w:cstheme="minorHAnsi"/>
                <w:noProof/>
                <w:sz w:val="20"/>
                <w:szCs w:val="20"/>
              </w:rPr>
              <w:t>4.2.3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MDT approach to the planning and review of individual care demonstrates that: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26</w:t>
            </w:r>
            <w:r w:rsidRPr="005B0BEC">
              <w:rPr>
                <w:rFonts w:asciiTheme="minorHAnsi" w:hAnsiTheme="minorHAnsi" w:cstheme="minorHAnsi"/>
                <w:noProof/>
                <w:webHidden/>
                <w:szCs w:val="20"/>
              </w:rPr>
              <w:fldChar w:fldCharType="end"/>
            </w:r>
          </w:hyperlink>
        </w:p>
        <w:p w14:paraId="38102A38" w14:textId="3032DE5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3" w:history="1">
            <w:r w:rsidRPr="005B0BEC">
              <w:rPr>
                <w:rStyle w:val="Hyperlink"/>
                <w:rFonts w:asciiTheme="minorHAnsi" w:eastAsiaTheme="majorEastAsia" w:hAnsiTheme="minorHAnsi" w:cstheme="minorHAnsi"/>
                <w:noProof/>
                <w:sz w:val="20"/>
                <w:szCs w:val="20"/>
              </w:rPr>
              <w:t>4.3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Seamless Care – Requirement 3</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26</w:t>
            </w:r>
            <w:r w:rsidRPr="005B0BEC">
              <w:rPr>
                <w:rFonts w:asciiTheme="minorHAnsi" w:hAnsiTheme="minorHAnsi" w:cstheme="minorHAnsi"/>
                <w:noProof/>
                <w:webHidden/>
                <w:szCs w:val="20"/>
              </w:rPr>
              <w:fldChar w:fldCharType="end"/>
            </w:r>
          </w:hyperlink>
        </w:p>
        <w:p w14:paraId="5F3068BB" w14:textId="26856CFF"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4" w:history="1">
            <w:r w:rsidRPr="005B0BEC">
              <w:rPr>
                <w:rStyle w:val="Hyperlink"/>
                <w:rFonts w:asciiTheme="minorHAnsi" w:eastAsiaTheme="majorEastAsia" w:hAnsiTheme="minorHAnsi" w:cstheme="minorHAnsi"/>
                <w:noProof/>
                <w:sz w:val="20"/>
                <w:szCs w:val="20"/>
              </w:rPr>
              <w:t>4.3.1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Assessment processes: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26</w:t>
            </w:r>
            <w:r w:rsidRPr="005B0BEC">
              <w:rPr>
                <w:rFonts w:asciiTheme="minorHAnsi" w:hAnsiTheme="minorHAnsi" w:cstheme="minorHAnsi"/>
                <w:noProof/>
                <w:webHidden/>
                <w:szCs w:val="20"/>
              </w:rPr>
              <w:fldChar w:fldCharType="end"/>
            </w:r>
          </w:hyperlink>
        </w:p>
        <w:p w14:paraId="5F2EA539" w14:textId="5EEC76A7"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5" w:history="1">
            <w:r w:rsidRPr="005B0BEC">
              <w:rPr>
                <w:rStyle w:val="Hyperlink"/>
                <w:rFonts w:asciiTheme="minorHAnsi" w:eastAsiaTheme="majorEastAsia" w:hAnsiTheme="minorHAnsi" w:cstheme="minorHAnsi"/>
                <w:noProof/>
                <w:sz w:val="20"/>
                <w:szCs w:val="20"/>
              </w:rPr>
              <w:t>4.3.2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transition care service works within an integrated system of care with other organisations by:</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26</w:t>
            </w:r>
            <w:r w:rsidRPr="005B0BEC">
              <w:rPr>
                <w:rFonts w:asciiTheme="minorHAnsi" w:hAnsiTheme="minorHAnsi" w:cstheme="minorHAnsi"/>
                <w:noProof/>
                <w:webHidden/>
                <w:szCs w:val="20"/>
              </w:rPr>
              <w:fldChar w:fldCharType="end"/>
            </w:r>
          </w:hyperlink>
        </w:p>
        <w:p w14:paraId="1B856D00" w14:textId="3FEE649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6" w:history="1">
            <w:r w:rsidRPr="005B0BEC">
              <w:rPr>
                <w:rStyle w:val="Hyperlink"/>
                <w:rFonts w:asciiTheme="minorHAnsi" w:eastAsiaTheme="majorEastAsia" w:hAnsiTheme="minorHAnsi" w:cstheme="minorHAnsi"/>
                <w:noProof/>
                <w:sz w:val="20"/>
                <w:szCs w:val="20"/>
              </w:rPr>
              <w:t>4.3.3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transition care service develops systems for the safe discharge of individuals that help prevent re-admission, including:</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27</w:t>
            </w:r>
            <w:r w:rsidRPr="005B0BEC">
              <w:rPr>
                <w:rFonts w:asciiTheme="minorHAnsi" w:hAnsiTheme="minorHAnsi" w:cstheme="minorHAnsi"/>
                <w:noProof/>
                <w:webHidden/>
                <w:szCs w:val="20"/>
              </w:rPr>
              <w:fldChar w:fldCharType="end"/>
            </w:r>
          </w:hyperlink>
        </w:p>
        <w:p w14:paraId="68B3650D" w14:textId="17B4ACBB"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497" w:history="1">
            <w:r w:rsidRPr="005B0BEC">
              <w:rPr>
                <w:rStyle w:val="Hyperlink"/>
                <w:rFonts w:asciiTheme="minorHAnsi" w:eastAsiaTheme="majorEastAsia" w:hAnsiTheme="minorHAnsi" w:cstheme="minorHAnsi"/>
                <w:noProof/>
                <w:sz w:val="20"/>
                <w:szCs w:val="20"/>
              </w:rPr>
              <w:t>CHAPTER 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INDIVIDUALS RECEIVING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28</w:t>
            </w:r>
            <w:r w:rsidRPr="005B0BEC">
              <w:rPr>
                <w:rFonts w:asciiTheme="minorHAnsi" w:hAnsiTheme="minorHAnsi" w:cstheme="minorHAnsi"/>
                <w:noProof/>
                <w:webHidden/>
                <w:szCs w:val="20"/>
              </w:rPr>
              <w:fldChar w:fldCharType="end"/>
            </w:r>
          </w:hyperlink>
        </w:p>
        <w:p w14:paraId="45388B93" w14:textId="5CA15BDC"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8" w:history="1">
            <w:r w:rsidRPr="005B0BEC">
              <w:rPr>
                <w:rStyle w:val="Hyperlink"/>
                <w:rFonts w:asciiTheme="minorHAnsi" w:eastAsiaTheme="majorEastAsia" w:hAnsiTheme="minorHAnsi" w:cstheme="minorHAnsi"/>
                <w:noProof/>
                <w:sz w:val="20"/>
                <w:szCs w:val="20"/>
              </w:rPr>
              <w:t>5.1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Aged Care Statement of Rights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28</w:t>
            </w:r>
            <w:r w:rsidRPr="005B0BEC">
              <w:rPr>
                <w:rFonts w:asciiTheme="minorHAnsi" w:hAnsiTheme="minorHAnsi" w:cstheme="minorHAnsi"/>
                <w:noProof/>
                <w:webHidden/>
                <w:szCs w:val="20"/>
              </w:rPr>
              <w:fldChar w:fldCharType="end"/>
            </w:r>
          </w:hyperlink>
        </w:p>
        <w:p w14:paraId="254F56CD" w14:textId="0B85BE8B"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499" w:history="1">
            <w:r w:rsidRPr="005B0BEC">
              <w:rPr>
                <w:rStyle w:val="Hyperlink"/>
                <w:rFonts w:asciiTheme="minorHAnsi" w:eastAsiaTheme="majorEastAsia" w:hAnsiTheme="minorHAnsi" w:cstheme="minorHAnsi"/>
                <w:noProof/>
                <w:sz w:val="20"/>
                <w:szCs w:val="20"/>
              </w:rPr>
              <w:t>5.1.1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Provider responsibilities in relation to the Statement of Rights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_Toc216865499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28</w:t>
            </w:r>
            <w:r w:rsidRPr="005B0BEC">
              <w:rPr>
                <w:rFonts w:asciiTheme="minorHAnsi" w:hAnsiTheme="minorHAnsi" w:cstheme="minorHAnsi"/>
                <w:noProof/>
                <w:webHidden/>
                <w:szCs w:val="20"/>
              </w:rPr>
              <w:fldChar w:fldCharType="end"/>
            </w:r>
          </w:hyperlink>
        </w:p>
        <w:p w14:paraId="6FC1CC7D" w14:textId="7E5E7C59"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0" w:history="1">
            <w:r w:rsidRPr="005B0BEC">
              <w:rPr>
                <w:rStyle w:val="Hyperlink"/>
                <w:rFonts w:asciiTheme="minorHAnsi" w:eastAsiaTheme="majorEastAsia" w:hAnsiTheme="minorHAnsi" w:cstheme="minorHAnsi"/>
                <w:noProof/>
                <w:sz w:val="20"/>
                <w:szCs w:val="20"/>
              </w:rPr>
              <w:t>5.2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Individual Service Agreements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28</w:t>
            </w:r>
            <w:r w:rsidRPr="005B0BEC">
              <w:rPr>
                <w:rFonts w:asciiTheme="minorHAnsi" w:hAnsiTheme="minorHAnsi" w:cstheme="minorHAnsi"/>
                <w:noProof/>
                <w:webHidden/>
                <w:szCs w:val="20"/>
              </w:rPr>
              <w:fldChar w:fldCharType="end"/>
            </w:r>
          </w:hyperlink>
        </w:p>
        <w:p w14:paraId="78CEC554" w14:textId="56DF19CC"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1" w:history="1">
            <w:r w:rsidRPr="005B0BEC">
              <w:rPr>
                <w:rStyle w:val="Hyperlink"/>
                <w:rFonts w:asciiTheme="minorHAnsi" w:eastAsiaTheme="majorEastAsia" w:hAnsiTheme="minorHAnsi" w:cstheme="minorHAnsi"/>
                <w:noProof/>
                <w:sz w:val="20"/>
                <w:szCs w:val="20"/>
              </w:rPr>
              <w:t>5.3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Individual Care and Services Plans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30</w:t>
            </w:r>
            <w:r w:rsidRPr="005B0BEC">
              <w:rPr>
                <w:rFonts w:asciiTheme="minorHAnsi" w:hAnsiTheme="minorHAnsi" w:cstheme="minorHAnsi"/>
                <w:noProof/>
                <w:webHidden/>
                <w:szCs w:val="20"/>
              </w:rPr>
              <w:fldChar w:fldCharType="end"/>
            </w:r>
          </w:hyperlink>
        </w:p>
        <w:p w14:paraId="2F751357" w14:textId="7D47DE2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2" w:history="1">
            <w:r w:rsidRPr="005B0BEC">
              <w:rPr>
                <w:rStyle w:val="Hyperlink"/>
                <w:rFonts w:asciiTheme="minorHAnsi" w:eastAsiaTheme="majorEastAsia" w:hAnsiTheme="minorHAnsi" w:cstheme="minorHAnsi"/>
                <w:noProof/>
                <w:sz w:val="20"/>
                <w:szCs w:val="20"/>
              </w:rPr>
              <w:t>5.4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Individual responsibilities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30</w:t>
            </w:r>
            <w:r w:rsidRPr="005B0BEC">
              <w:rPr>
                <w:rFonts w:asciiTheme="minorHAnsi" w:hAnsiTheme="minorHAnsi" w:cstheme="minorHAnsi"/>
                <w:noProof/>
                <w:webHidden/>
                <w:szCs w:val="20"/>
              </w:rPr>
              <w:fldChar w:fldCharType="end"/>
            </w:r>
          </w:hyperlink>
        </w:p>
        <w:p w14:paraId="3973B2C5" w14:textId="3EC644E6"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3" w:history="1">
            <w:r w:rsidRPr="005B0BEC">
              <w:rPr>
                <w:rStyle w:val="Hyperlink"/>
                <w:rFonts w:asciiTheme="minorHAnsi" w:eastAsiaTheme="majorEastAsia" w:hAnsiTheme="minorHAnsi" w:cstheme="minorHAnsi"/>
                <w:noProof/>
                <w:snapToGrid w:val="0"/>
                <w:sz w:val="20"/>
                <w:szCs w:val="20"/>
              </w:rPr>
              <w:t>5.5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napToGrid w:val="0"/>
                <w:sz w:val="20"/>
                <w:szCs w:val="20"/>
              </w:rPr>
              <w:t>Advocacy</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31</w:t>
            </w:r>
            <w:r w:rsidRPr="005B0BEC">
              <w:rPr>
                <w:rFonts w:asciiTheme="minorHAnsi" w:hAnsiTheme="minorHAnsi" w:cstheme="minorHAnsi"/>
                <w:noProof/>
                <w:webHidden/>
                <w:szCs w:val="20"/>
              </w:rPr>
              <w:fldChar w:fldCharType="end"/>
            </w:r>
          </w:hyperlink>
        </w:p>
        <w:p w14:paraId="269DF1F4" w14:textId="684E588F"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4" w:history="1">
            <w:r w:rsidRPr="005B0BEC">
              <w:rPr>
                <w:rStyle w:val="Hyperlink"/>
                <w:rFonts w:asciiTheme="minorHAnsi" w:eastAsiaTheme="majorEastAsia" w:hAnsiTheme="minorHAnsi" w:cstheme="minorHAnsi"/>
                <w:noProof/>
                <w:snapToGrid w:val="0"/>
                <w:sz w:val="20"/>
                <w:szCs w:val="20"/>
              </w:rPr>
              <w:t>5.6</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napToGrid w:val="0"/>
                <w:sz w:val="20"/>
                <w:szCs w:val="20"/>
              </w:rPr>
              <w:t>Privacy/confidentiality</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31</w:t>
            </w:r>
            <w:r w:rsidRPr="005B0BEC">
              <w:rPr>
                <w:rFonts w:asciiTheme="minorHAnsi" w:hAnsiTheme="minorHAnsi" w:cstheme="minorHAnsi"/>
                <w:noProof/>
                <w:webHidden/>
                <w:szCs w:val="20"/>
              </w:rPr>
              <w:fldChar w:fldCharType="end"/>
            </w:r>
          </w:hyperlink>
        </w:p>
        <w:p w14:paraId="1457F4EF" w14:textId="73AC42A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5" w:history="1">
            <w:r w:rsidRPr="005B0BEC">
              <w:rPr>
                <w:rStyle w:val="Hyperlink"/>
                <w:rFonts w:asciiTheme="minorHAnsi" w:eastAsiaTheme="majorEastAsia" w:hAnsiTheme="minorHAnsi" w:cstheme="minorHAnsi"/>
                <w:noProof/>
                <w:sz w:val="20"/>
                <w:szCs w:val="20"/>
              </w:rPr>
              <w:t>5.7</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napToGrid w:val="0"/>
                <w:sz w:val="20"/>
                <w:szCs w:val="20"/>
              </w:rPr>
              <w:t>Fees payable by individuals receiving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31</w:t>
            </w:r>
            <w:r w:rsidRPr="005B0BEC">
              <w:rPr>
                <w:rFonts w:asciiTheme="minorHAnsi" w:hAnsiTheme="minorHAnsi" w:cstheme="minorHAnsi"/>
                <w:noProof/>
                <w:webHidden/>
                <w:szCs w:val="20"/>
              </w:rPr>
              <w:fldChar w:fldCharType="end"/>
            </w:r>
          </w:hyperlink>
        </w:p>
        <w:p w14:paraId="0D5C3FC2" w14:textId="4BBEFF6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6" w:history="1">
            <w:r w:rsidRPr="005B0BEC">
              <w:rPr>
                <w:rStyle w:val="Hyperlink"/>
                <w:rFonts w:asciiTheme="minorHAnsi" w:eastAsiaTheme="majorEastAsia" w:hAnsiTheme="minorHAnsi" w:cstheme="minorHAnsi"/>
                <w:noProof/>
                <w:sz w:val="20"/>
                <w:szCs w:val="20"/>
              </w:rPr>
              <w:t>5.7.1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Determining care fees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32</w:t>
            </w:r>
            <w:r w:rsidRPr="005B0BEC">
              <w:rPr>
                <w:rFonts w:asciiTheme="minorHAnsi" w:hAnsiTheme="minorHAnsi" w:cstheme="minorHAnsi"/>
                <w:noProof/>
                <w:webHidden/>
                <w:szCs w:val="20"/>
              </w:rPr>
              <w:fldChar w:fldCharType="end"/>
            </w:r>
          </w:hyperlink>
        </w:p>
        <w:p w14:paraId="27069B2B" w14:textId="5A1D7CDC"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7" w:history="1">
            <w:r w:rsidRPr="005B0BEC">
              <w:rPr>
                <w:rStyle w:val="Hyperlink"/>
                <w:rFonts w:asciiTheme="minorHAnsi" w:eastAsiaTheme="majorEastAsia" w:hAnsiTheme="minorHAnsi" w:cstheme="minorHAnsi"/>
                <w:noProof/>
                <w:sz w:val="20"/>
                <w:szCs w:val="20"/>
              </w:rPr>
              <w:t>5.7.2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Payment of fees in advance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32</w:t>
            </w:r>
            <w:r w:rsidRPr="005B0BEC">
              <w:rPr>
                <w:rFonts w:asciiTheme="minorHAnsi" w:hAnsiTheme="minorHAnsi" w:cstheme="minorHAnsi"/>
                <w:noProof/>
                <w:webHidden/>
                <w:szCs w:val="20"/>
              </w:rPr>
              <w:fldChar w:fldCharType="end"/>
            </w:r>
          </w:hyperlink>
        </w:p>
        <w:p w14:paraId="437B821C" w14:textId="51C690A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08" w:history="1">
            <w:r w:rsidRPr="005B0BEC">
              <w:rPr>
                <w:rStyle w:val="Hyperlink"/>
                <w:rFonts w:asciiTheme="minorHAnsi" w:eastAsiaTheme="majorEastAsia" w:hAnsiTheme="minorHAnsi" w:cstheme="minorHAnsi"/>
                <w:noProof/>
                <w:sz w:val="20"/>
                <w:szCs w:val="20"/>
              </w:rPr>
              <w:t>5.7.3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Waiving Fees (Financial Hardship)</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32</w:t>
            </w:r>
            <w:r w:rsidRPr="005B0BEC">
              <w:rPr>
                <w:rFonts w:asciiTheme="minorHAnsi" w:hAnsiTheme="minorHAnsi" w:cstheme="minorHAnsi"/>
                <w:noProof/>
                <w:webHidden/>
                <w:szCs w:val="20"/>
              </w:rPr>
              <w:fldChar w:fldCharType="end"/>
            </w:r>
          </w:hyperlink>
        </w:p>
        <w:p w14:paraId="743B3C91" w14:textId="6930CCDE"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509" w:history="1">
            <w:r w:rsidRPr="005B0BEC">
              <w:rPr>
                <w:rStyle w:val="Hyperlink"/>
                <w:rFonts w:asciiTheme="minorHAnsi" w:eastAsiaTheme="majorEastAsia" w:hAnsiTheme="minorHAnsi" w:cstheme="minorHAnsi"/>
                <w:noProof/>
                <w:sz w:val="20"/>
                <w:szCs w:val="20"/>
              </w:rPr>
              <w:t>CHAPTER 6</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RESPONSIBILITIES OF REGISTERED PROVIDERS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_Toc216865509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33</w:t>
            </w:r>
            <w:r w:rsidRPr="005B0BEC">
              <w:rPr>
                <w:rFonts w:asciiTheme="minorHAnsi" w:hAnsiTheme="minorHAnsi" w:cstheme="minorHAnsi"/>
                <w:noProof/>
                <w:webHidden/>
                <w:szCs w:val="20"/>
              </w:rPr>
              <w:fldChar w:fldCharType="end"/>
            </w:r>
          </w:hyperlink>
        </w:p>
        <w:p w14:paraId="1F8F830F" w14:textId="28C7367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0" w:history="1">
            <w:r w:rsidRPr="005B0BEC">
              <w:rPr>
                <w:rStyle w:val="Hyperlink"/>
                <w:rFonts w:asciiTheme="minorHAnsi" w:eastAsiaTheme="majorEastAsia" w:hAnsiTheme="minorHAnsi" w:cstheme="minorHAnsi"/>
                <w:noProof/>
                <w:sz w:val="20"/>
                <w:szCs w:val="20"/>
              </w:rPr>
              <w:t>6.1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Compliance with the legislation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33</w:t>
            </w:r>
            <w:r w:rsidRPr="005B0BEC">
              <w:rPr>
                <w:rFonts w:asciiTheme="minorHAnsi" w:hAnsiTheme="minorHAnsi" w:cstheme="minorHAnsi"/>
                <w:noProof/>
                <w:webHidden/>
                <w:szCs w:val="20"/>
              </w:rPr>
              <w:fldChar w:fldCharType="end"/>
            </w:r>
          </w:hyperlink>
        </w:p>
        <w:p w14:paraId="5FA39E01" w14:textId="717167B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1" w:history="1">
            <w:r w:rsidRPr="005B0BEC">
              <w:rPr>
                <w:rStyle w:val="Hyperlink"/>
                <w:rFonts w:asciiTheme="minorHAnsi" w:eastAsiaTheme="majorEastAsia" w:hAnsiTheme="minorHAnsi" w:cstheme="minorHAnsi"/>
                <w:noProof/>
                <w:sz w:val="20"/>
                <w:szCs w:val="20"/>
              </w:rPr>
              <w:t>6.1.1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Failure to comply</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33</w:t>
            </w:r>
            <w:r w:rsidRPr="005B0BEC">
              <w:rPr>
                <w:rFonts w:asciiTheme="minorHAnsi" w:hAnsiTheme="minorHAnsi" w:cstheme="minorHAnsi"/>
                <w:noProof/>
                <w:webHidden/>
                <w:szCs w:val="20"/>
              </w:rPr>
              <w:fldChar w:fldCharType="end"/>
            </w:r>
          </w:hyperlink>
        </w:p>
        <w:p w14:paraId="22F1781D" w14:textId="105FB72B"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2" w:history="1">
            <w:r w:rsidRPr="005B0BEC">
              <w:rPr>
                <w:rStyle w:val="Hyperlink"/>
                <w:rFonts w:asciiTheme="minorHAnsi" w:eastAsiaTheme="majorEastAsia" w:hAnsiTheme="minorHAnsi" w:cstheme="minorHAnsi"/>
                <w:noProof/>
                <w:sz w:val="20"/>
                <w:szCs w:val="20"/>
              </w:rPr>
              <w:t>6.1.2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Serious and immediate health and safety risk management and reporting</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33</w:t>
            </w:r>
            <w:r w:rsidRPr="005B0BEC">
              <w:rPr>
                <w:rFonts w:asciiTheme="minorHAnsi" w:hAnsiTheme="minorHAnsi" w:cstheme="minorHAnsi"/>
                <w:noProof/>
                <w:webHidden/>
                <w:szCs w:val="20"/>
              </w:rPr>
              <w:fldChar w:fldCharType="end"/>
            </w:r>
          </w:hyperlink>
        </w:p>
        <w:p w14:paraId="2499ABA8" w14:textId="598AB0CF"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3" w:history="1">
            <w:r w:rsidRPr="005B0BEC">
              <w:rPr>
                <w:rStyle w:val="Hyperlink"/>
                <w:rFonts w:asciiTheme="minorHAnsi" w:eastAsiaTheme="majorEastAsia" w:hAnsiTheme="minorHAnsi" w:cstheme="minorHAnsi"/>
                <w:noProof/>
                <w:sz w:val="20"/>
                <w:szCs w:val="20"/>
              </w:rPr>
              <w:t>6.1.3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Minimising the use of restraints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36</w:t>
            </w:r>
            <w:r w:rsidRPr="005B0BEC">
              <w:rPr>
                <w:rFonts w:asciiTheme="minorHAnsi" w:hAnsiTheme="minorHAnsi" w:cstheme="minorHAnsi"/>
                <w:noProof/>
                <w:webHidden/>
                <w:szCs w:val="20"/>
              </w:rPr>
              <w:fldChar w:fldCharType="end"/>
            </w:r>
          </w:hyperlink>
        </w:p>
        <w:p w14:paraId="365B0B92" w14:textId="018A462D"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4" w:history="1">
            <w:r w:rsidRPr="005B0BEC">
              <w:rPr>
                <w:rStyle w:val="Hyperlink"/>
                <w:rFonts w:asciiTheme="minorHAnsi" w:eastAsiaTheme="majorEastAsia" w:hAnsiTheme="minorHAnsi" w:cstheme="minorHAnsi"/>
                <w:noProof/>
                <w:sz w:val="20"/>
                <w:szCs w:val="20"/>
              </w:rPr>
              <w:t>6.2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Specific legislative requirements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36</w:t>
            </w:r>
            <w:r w:rsidRPr="005B0BEC">
              <w:rPr>
                <w:rFonts w:asciiTheme="minorHAnsi" w:hAnsiTheme="minorHAnsi" w:cstheme="minorHAnsi"/>
                <w:noProof/>
                <w:webHidden/>
                <w:szCs w:val="20"/>
              </w:rPr>
              <w:fldChar w:fldCharType="end"/>
            </w:r>
          </w:hyperlink>
        </w:p>
        <w:p w14:paraId="5DD7BB13" w14:textId="5905160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5" w:history="1">
            <w:r w:rsidRPr="005B0BEC">
              <w:rPr>
                <w:rStyle w:val="Hyperlink"/>
                <w:rFonts w:asciiTheme="minorHAnsi" w:eastAsiaTheme="majorEastAsia" w:hAnsiTheme="minorHAnsi" w:cstheme="minorHAnsi"/>
                <w:noProof/>
                <w:sz w:val="20"/>
                <w:szCs w:val="20"/>
              </w:rPr>
              <w:t>6.2.1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TCP subsidy</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36</w:t>
            </w:r>
            <w:r w:rsidRPr="005B0BEC">
              <w:rPr>
                <w:rFonts w:asciiTheme="minorHAnsi" w:hAnsiTheme="minorHAnsi" w:cstheme="minorHAnsi"/>
                <w:noProof/>
                <w:webHidden/>
                <w:szCs w:val="20"/>
              </w:rPr>
              <w:fldChar w:fldCharType="end"/>
            </w:r>
          </w:hyperlink>
        </w:p>
        <w:p w14:paraId="3830BC57" w14:textId="23E81A94"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6" w:history="1">
            <w:r w:rsidRPr="005B0BEC">
              <w:rPr>
                <w:rStyle w:val="Hyperlink"/>
                <w:rFonts w:asciiTheme="minorHAnsi" w:eastAsiaTheme="majorEastAsia" w:hAnsiTheme="minorHAnsi" w:cstheme="minorHAnsi"/>
                <w:noProof/>
                <w:sz w:val="20"/>
                <w:szCs w:val="20"/>
              </w:rPr>
              <w:t>6.2.2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Record keeping</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37</w:t>
            </w:r>
            <w:r w:rsidRPr="005B0BEC">
              <w:rPr>
                <w:rFonts w:asciiTheme="minorHAnsi" w:hAnsiTheme="minorHAnsi" w:cstheme="minorHAnsi"/>
                <w:noProof/>
                <w:webHidden/>
                <w:szCs w:val="20"/>
              </w:rPr>
              <w:fldChar w:fldCharType="end"/>
            </w:r>
          </w:hyperlink>
        </w:p>
        <w:p w14:paraId="40B639C9" w14:textId="1679847E"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7" w:history="1">
            <w:r w:rsidRPr="005B0BEC">
              <w:rPr>
                <w:rStyle w:val="Hyperlink"/>
                <w:rFonts w:asciiTheme="minorHAnsi" w:eastAsiaTheme="majorEastAsia" w:hAnsiTheme="minorHAnsi" w:cstheme="minorHAnsi"/>
                <w:noProof/>
                <w:sz w:val="20"/>
                <w:szCs w:val="20"/>
              </w:rPr>
              <w:t>6.2.3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Quality of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37</w:t>
            </w:r>
            <w:r w:rsidRPr="005B0BEC">
              <w:rPr>
                <w:rFonts w:asciiTheme="minorHAnsi" w:hAnsiTheme="minorHAnsi" w:cstheme="minorHAnsi"/>
                <w:noProof/>
                <w:webHidden/>
                <w:szCs w:val="20"/>
              </w:rPr>
              <w:fldChar w:fldCharType="end"/>
            </w:r>
          </w:hyperlink>
        </w:p>
        <w:p w14:paraId="29D3A83E" w14:textId="7DE629C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8" w:history="1">
            <w:r w:rsidRPr="005B0BEC">
              <w:rPr>
                <w:rStyle w:val="Hyperlink"/>
                <w:rFonts w:asciiTheme="minorHAnsi" w:eastAsiaTheme="majorEastAsia" w:hAnsiTheme="minorHAnsi" w:cstheme="minorHAnsi"/>
                <w:noProof/>
                <w:sz w:val="20"/>
                <w:szCs w:val="20"/>
              </w:rPr>
              <w:t>6.2.4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Aged care workers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37</w:t>
            </w:r>
            <w:r w:rsidRPr="005B0BEC">
              <w:rPr>
                <w:rFonts w:asciiTheme="minorHAnsi" w:hAnsiTheme="minorHAnsi" w:cstheme="minorHAnsi"/>
                <w:noProof/>
                <w:webHidden/>
                <w:szCs w:val="20"/>
              </w:rPr>
              <w:fldChar w:fldCharType="end"/>
            </w:r>
          </w:hyperlink>
        </w:p>
        <w:p w14:paraId="37EA0C4B" w14:textId="34FFF06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19" w:history="1">
            <w:r w:rsidRPr="005B0BEC">
              <w:rPr>
                <w:rStyle w:val="Hyperlink"/>
                <w:rFonts w:asciiTheme="minorHAnsi" w:eastAsiaTheme="majorEastAsia" w:hAnsiTheme="minorHAnsi" w:cstheme="minorHAnsi"/>
                <w:noProof/>
                <w:sz w:val="20"/>
                <w:szCs w:val="20"/>
              </w:rPr>
              <w:t>6.2.5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Notification of a change of circumstances including changes in responsible persons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_Toc216865519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37</w:t>
            </w:r>
            <w:r w:rsidRPr="005B0BEC">
              <w:rPr>
                <w:rFonts w:asciiTheme="minorHAnsi" w:hAnsiTheme="minorHAnsi" w:cstheme="minorHAnsi"/>
                <w:noProof/>
                <w:webHidden/>
                <w:szCs w:val="20"/>
              </w:rPr>
              <w:fldChar w:fldCharType="end"/>
            </w:r>
          </w:hyperlink>
        </w:p>
        <w:p w14:paraId="28E674CF" w14:textId="58E0E327"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0" w:history="1">
            <w:r w:rsidRPr="005B0BEC">
              <w:rPr>
                <w:rStyle w:val="Hyperlink"/>
                <w:rFonts w:asciiTheme="minorHAnsi" w:eastAsiaTheme="majorEastAsia" w:hAnsiTheme="minorHAnsi" w:cstheme="minorHAnsi"/>
                <w:noProof/>
                <w:sz w:val="20"/>
                <w:szCs w:val="20"/>
              </w:rPr>
              <w:t>6.2.6</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Notification of deceased TCP recipient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38</w:t>
            </w:r>
            <w:r w:rsidRPr="005B0BEC">
              <w:rPr>
                <w:rFonts w:asciiTheme="minorHAnsi" w:hAnsiTheme="minorHAnsi" w:cstheme="minorHAnsi"/>
                <w:noProof/>
                <w:webHidden/>
                <w:szCs w:val="20"/>
              </w:rPr>
              <w:fldChar w:fldCharType="end"/>
            </w:r>
          </w:hyperlink>
        </w:p>
        <w:p w14:paraId="2C1C01B1" w14:textId="6769A0FF"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521" w:history="1">
            <w:r w:rsidRPr="005B0BEC">
              <w:rPr>
                <w:rStyle w:val="Hyperlink"/>
                <w:rFonts w:asciiTheme="minorHAnsi" w:eastAsiaTheme="majorEastAsia" w:hAnsiTheme="minorHAnsi" w:cstheme="minorHAnsi"/>
                <w:noProof/>
                <w:sz w:val="20"/>
                <w:szCs w:val="20"/>
              </w:rPr>
              <w:t>CHAPTER 7</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QUALITY ASSURANCE AND COMPLAINTS IN TRANSITION CARE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39</w:t>
            </w:r>
            <w:r w:rsidRPr="005B0BEC">
              <w:rPr>
                <w:rFonts w:asciiTheme="minorHAnsi" w:hAnsiTheme="minorHAnsi" w:cstheme="minorHAnsi"/>
                <w:noProof/>
                <w:webHidden/>
                <w:szCs w:val="20"/>
              </w:rPr>
              <w:fldChar w:fldCharType="end"/>
            </w:r>
          </w:hyperlink>
        </w:p>
        <w:p w14:paraId="4979AAA2" w14:textId="207BEE94"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2" w:history="1">
            <w:r w:rsidRPr="005B0BEC">
              <w:rPr>
                <w:rStyle w:val="Hyperlink"/>
                <w:rFonts w:asciiTheme="minorHAnsi" w:eastAsiaTheme="majorEastAsia" w:hAnsiTheme="minorHAnsi" w:cstheme="minorHAnsi"/>
                <w:noProof/>
                <w:sz w:val="20"/>
                <w:szCs w:val="20"/>
              </w:rPr>
              <w:t>7.1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Aged Care Quality Standards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39</w:t>
            </w:r>
            <w:r w:rsidRPr="005B0BEC">
              <w:rPr>
                <w:rFonts w:asciiTheme="minorHAnsi" w:hAnsiTheme="minorHAnsi" w:cstheme="minorHAnsi"/>
                <w:noProof/>
                <w:webHidden/>
                <w:szCs w:val="20"/>
              </w:rPr>
              <w:fldChar w:fldCharType="end"/>
            </w:r>
          </w:hyperlink>
        </w:p>
        <w:p w14:paraId="5B93DFB1" w14:textId="3767E8F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3" w:history="1">
            <w:r w:rsidRPr="005B0BEC">
              <w:rPr>
                <w:rStyle w:val="Hyperlink"/>
                <w:rFonts w:asciiTheme="minorHAnsi" w:eastAsiaTheme="majorEastAsia" w:hAnsiTheme="minorHAnsi" w:cstheme="minorHAnsi"/>
                <w:noProof/>
                <w:sz w:val="20"/>
                <w:szCs w:val="20"/>
              </w:rPr>
              <w:t>7.2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Quality Monitoring and Reviews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39</w:t>
            </w:r>
            <w:r w:rsidRPr="005B0BEC">
              <w:rPr>
                <w:rFonts w:asciiTheme="minorHAnsi" w:hAnsiTheme="minorHAnsi" w:cstheme="minorHAnsi"/>
                <w:noProof/>
                <w:webHidden/>
                <w:szCs w:val="20"/>
              </w:rPr>
              <w:fldChar w:fldCharType="end"/>
            </w:r>
          </w:hyperlink>
        </w:p>
        <w:p w14:paraId="52F97725" w14:textId="38A7D61E"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4" w:history="1">
            <w:r w:rsidRPr="005B0BEC">
              <w:rPr>
                <w:rStyle w:val="Hyperlink"/>
                <w:rFonts w:asciiTheme="minorHAnsi" w:eastAsiaTheme="majorEastAsia" w:hAnsiTheme="minorHAnsi" w:cstheme="minorHAnsi"/>
                <w:noProof/>
                <w:sz w:val="20"/>
                <w:szCs w:val="20"/>
              </w:rPr>
              <w:t>7.2.1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How does the Commission regulate aged care services?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39</w:t>
            </w:r>
            <w:r w:rsidRPr="005B0BEC">
              <w:rPr>
                <w:rFonts w:asciiTheme="minorHAnsi" w:hAnsiTheme="minorHAnsi" w:cstheme="minorHAnsi"/>
                <w:noProof/>
                <w:webHidden/>
                <w:szCs w:val="20"/>
              </w:rPr>
              <w:fldChar w:fldCharType="end"/>
            </w:r>
          </w:hyperlink>
        </w:p>
        <w:p w14:paraId="475CAB38" w14:textId="0F9F011D"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5" w:history="1">
            <w:r w:rsidRPr="005B0BEC">
              <w:rPr>
                <w:rStyle w:val="Hyperlink"/>
                <w:rFonts w:asciiTheme="minorHAnsi" w:eastAsiaTheme="majorEastAsia" w:hAnsiTheme="minorHAnsi" w:cstheme="minorHAnsi"/>
                <w:noProof/>
                <w:sz w:val="20"/>
                <w:szCs w:val="20"/>
              </w:rPr>
              <w:t>7.2.2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Audit process for TCP service provision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39</w:t>
            </w:r>
            <w:r w:rsidRPr="005B0BEC">
              <w:rPr>
                <w:rFonts w:asciiTheme="minorHAnsi" w:hAnsiTheme="minorHAnsi" w:cstheme="minorHAnsi"/>
                <w:noProof/>
                <w:webHidden/>
                <w:szCs w:val="20"/>
              </w:rPr>
              <w:fldChar w:fldCharType="end"/>
            </w:r>
          </w:hyperlink>
        </w:p>
        <w:p w14:paraId="492168F2" w14:textId="61CBC508"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6" w:history="1">
            <w:r w:rsidRPr="005B0BEC">
              <w:rPr>
                <w:rStyle w:val="Hyperlink"/>
                <w:rFonts w:asciiTheme="minorHAnsi" w:eastAsiaTheme="majorEastAsia" w:hAnsiTheme="minorHAnsi" w:cstheme="minorHAnsi"/>
                <w:noProof/>
                <w:sz w:val="20"/>
                <w:szCs w:val="20"/>
              </w:rPr>
              <w:t>7.2.3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Managing non-compliance through continuous improvement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40</w:t>
            </w:r>
            <w:r w:rsidRPr="005B0BEC">
              <w:rPr>
                <w:rFonts w:asciiTheme="minorHAnsi" w:hAnsiTheme="minorHAnsi" w:cstheme="minorHAnsi"/>
                <w:noProof/>
                <w:webHidden/>
                <w:szCs w:val="20"/>
              </w:rPr>
              <w:fldChar w:fldCharType="end"/>
            </w:r>
          </w:hyperlink>
        </w:p>
        <w:p w14:paraId="21C3F172" w14:textId="3C3D9A3F"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7" w:history="1">
            <w:r w:rsidRPr="005B0BEC">
              <w:rPr>
                <w:rStyle w:val="Hyperlink"/>
                <w:rFonts w:asciiTheme="minorHAnsi" w:eastAsiaTheme="majorEastAsia" w:hAnsiTheme="minorHAnsi" w:cstheme="minorHAnsi"/>
                <w:noProof/>
                <w:sz w:val="20"/>
                <w:szCs w:val="20"/>
              </w:rPr>
              <w:t>7.2.4</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Alternative audit arrangements and the Integrated Health and Aged Care Services (IHACS) Module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40</w:t>
            </w:r>
            <w:r w:rsidRPr="005B0BEC">
              <w:rPr>
                <w:rFonts w:asciiTheme="minorHAnsi" w:hAnsiTheme="minorHAnsi" w:cstheme="minorHAnsi"/>
                <w:noProof/>
                <w:webHidden/>
                <w:szCs w:val="20"/>
              </w:rPr>
              <w:fldChar w:fldCharType="end"/>
            </w:r>
          </w:hyperlink>
        </w:p>
        <w:p w14:paraId="75125A9B" w14:textId="6BC99A35"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8" w:history="1">
            <w:r w:rsidRPr="005B0BEC">
              <w:rPr>
                <w:rStyle w:val="Hyperlink"/>
                <w:rFonts w:asciiTheme="minorHAnsi" w:eastAsiaTheme="majorEastAsia" w:hAnsiTheme="minorHAnsi" w:cstheme="minorHAnsi"/>
                <w:noProof/>
                <w:sz w:val="20"/>
                <w:szCs w:val="20"/>
              </w:rPr>
              <w:t>7.2.5</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Approach to regulation in transitioning to the Aged Care Act 2024</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41</w:t>
            </w:r>
            <w:r w:rsidRPr="005B0BEC">
              <w:rPr>
                <w:rFonts w:asciiTheme="minorHAnsi" w:hAnsiTheme="minorHAnsi" w:cstheme="minorHAnsi"/>
                <w:noProof/>
                <w:webHidden/>
                <w:szCs w:val="20"/>
              </w:rPr>
              <w:fldChar w:fldCharType="end"/>
            </w:r>
          </w:hyperlink>
        </w:p>
        <w:p w14:paraId="5C2AF55A" w14:textId="6BC68DE3"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29" w:history="1">
            <w:r w:rsidRPr="005B0BEC">
              <w:rPr>
                <w:rStyle w:val="Hyperlink"/>
                <w:rFonts w:asciiTheme="minorHAnsi" w:eastAsiaTheme="majorEastAsia" w:hAnsiTheme="minorHAnsi" w:cstheme="minorHAnsi"/>
                <w:noProof/>
                <w:sz w:val="20"/>
                <w:szCs w:val="20"/>
              </w:rPr>
              <w:t>7.3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Complaints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_Toc216865529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41</w:t>
            </w:r>
            <w:r w:rsidRPr="005B0BEC">
              <w:rPr>
                <w:rFonts w:asciiTheme="minorHAnsi" w:hAnsiTheme="minorHAnsi" w:cstheme="minorHAnsi"/>
                <w:noProof/>
                <w:webHidden/>
                <w:szCs w:val="20"/>
              </w:rPr>
              <w:fldChar w:fldCharType="end"/>
            </w:r>
          </w:hyperlink>
        </w:p>
        <w:p w14:paraId="77136013" w14:textId="5A3BA40C"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30" w:history="1">
            <w:r w:rsidRPr="005B0BEC">
              <w:rPr>
                <w:rStyle w:val="Hyperlink"/>
                <w:rFonts w:asciiTheme="minorHAnsi" w:eastAsiaTheme="majorEastAsia" w:hAnsiTheme="minorHAnsi" w:cstheme="minorHAnsi"/>
                <w:noProof/>
                <w:sz w:val="20"/>
                <w:szCs w:val="20"/>
              </w:rPr>
              <w:t>7.3.1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Internal complaints processes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_Toc216865530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41</w:t>
            </w:r>
            <w:r w:rsidRPr="005B0BEC">
              <w:rPr>
                <w:rFonts w:asciiTheme="minorHAnsi" w:hAnsiTheme="minorHAnsi" w:cstheme="minorHAnsi"/>
                <w:noProof/>
                <w:webHidden/>
                <w:szCs w:val="20"/>
              </w:rPr>
              <w:fldChar w:fldCharType="end"/>
            </w:r>
          </w:hyperlink>
        </w:p>
        <w:p w14:paraId="3D59A5B3" w14:textId="5A6B1742"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31" w:history="1">
            <w:r w:rsidRPr="005B0BEC">
              <w:rPr>
                <w:rStyle w:val="Hyperlink"/>
                <w:rFonts w:asciiTheme="minorHAnsi" w:eastAsiaTheme="majorEastAsia" w:hAnsiTheme="minorHAnsi" w:cstheme="minorHAnsi"/>
                <w:noProof/>
                <w:sz w:val="20"/>
                <w:szCs w:val="20"/>
              </w:rPr>
              <w:t>7.3.2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External complaints processes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_Toc216865531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42</w:t>
            </w:r>
            <w:r w:rsidRPr="005B0BEC">
              <w:rPr>
                <w:rFonts w:asciiTheme="minorHAnsi" w:hAnsiTheme="minorHAnsi" w:cstheme="minorHAnsi"/>
                <w:noProof/>
                <w:webHidden/>
                <w:szCs w:val="20"/>
              </w:rPr>
              <w:fldChar w:fldCharType="end"/>
            </w:r>
          </w:hyperlink>
        </w:p>
        <w:p w14:paraId="333693FA" w14:textId="0911412A"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32" w:history="1">
            <w:r w:rsidRPr="005B0BEC">
              <w:rPr>
                <w:rStyle w:val="Hyperlink"/>
                <w:rFonts w:asciiTheme="minorHAnsi" w:eastAsiaTheme="majorEastAsia" w:hAnsiTheme="minorHAnsi" w:cstheme="minorHAnsi"/>
                <w:noProof/>
                <w:sz w:val="20"/>
                <w:szCs w:val="20"/>
              </w:rPr>
              <w:t>7.3.3</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The Aged Care Quality and Safety Commission (the Commission)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_Toc216865532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42</w:t>
            </w:r>
            <w:r w:rsidRPr="005B0BEC">
              <w:rPr>
                <w:rFonts w:asciiTheme="minorHAnsi" w:hAnsiTheme="minorHAnsi" w:cstheme="minorHAnsi"/>
                <w:noProof/>
                <w:webHidden/>
                <w:szCs w:val="20"/>
              </w:rPr>
              <w:fldChar w:fldCharType="end"/>
            </w:r>
          </w:hyperlink>
        </w:p>
        <w:p w14:paraId="4FD7B064" w14:textId="1B0A86F7" w:rsidR="005B0BEC" w:rsidRPr="005B0BEC" w:rsidRDefault="005B0BEC">
          <w:pPr>
            <w:pStyle w:val="TOC1"/>
            <w:tabs>
              <w:tab w:val="left" w:pos="1320"/>
            </w:tabs>
            <w:rPr>
              <w:rFonts w:asciiTheme="minorHAnsi" w:eastAsiaTheme="minorEastAsia" w:hAnsiTheme="minorHAnsi" w:cstheme="minorHAnsi"/>
              <w:noProof/>
              <w:spacing w:val="0"/>
              <w:kern w:val="2"/>
              <w:szCs w:val="20"/>
              <w14:ligatures w14:val="standardContextual"/>
            </w:rPr>
          </w:pPr>
          <w:hyperlink w:anchor="_Toc216865533" w:history="1">
            <w:r w:rsidRPr="005B0BEC">
              <w:rPr>
                <w:rStyle w:val="Hyperlink"/>
                <w:rFonts w:asciiTheme="minorHAnsi" w:eastAsiaTheme="majorEastAsia" w:hAnsiTheme="minorHAnsi" w:cstheme="minorHAnsi"/>
                <w:noProof/>
                <w:sz w:val="20"/>
                <w:szCs w:val="20"/>
              </w:rPr>
              <w:t>CHAPTER 8</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TCP ADMINISTRAITON</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_Toc216865533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43</w:t>
            </w:r>
            <w:r w:rsidRPr="005B0BEC">
              <w:rPr>
                <w:rFonts w:asciiTheme="minorHAnsi" w:hAnsiTheme="minorHAnsi" w:cstheme="minorHAnsi"/>
                <w:noProof/>
                <w:webHidden/>
                <w:szCs w:val="20"/>
              </w:rPr>
              <w:fldChar w:fldCharType="end"/>
            </w:r>
          </w:hyperlink>
        </w:p>
        <w:p w14:paraId="2096CC9D" w14:textId="5AD80D63"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34" w:history="1">
            <w:r w:rsidRPr="005B0BEC">
              <w:rPr>
                <w:rStyle w:val="Hyperlink"/>
                <w:rFonts w:asciiTheme="minorHAnsi" w:eastAsiaTheme="majorEastAsia" w:hAnsiTheme="minorHAnsi" w:cstheme="minorHAnsi"/>
                <w:noProof/>
                <w:sz w:val="20"/>
                <w:szCs w:val="20"/>
              </w:rPr>
              <w:t>8.1</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Transition Care Program Agreement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_Toc216865534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43</w:t>
            </w:r>
            <w:r w:rsidRPr="005B0BEC">
              <w:rPr>
                <w:rFonts w:asciiTheme="minorHAnsi" w:hAnsiTheme="minorHAnsi" w:cstheme="minorHAnsi"/>
                <w:noProof/>
                <w:webHidden/>
                <w:szCs w:val="20"/>
              </w:rPr>
              <w:fldChar w:fldCharType="end"/>
            </w:r>
          </w:hyperlink>
        </w:p>
        <w:p w14:paraId="5434662C" w14:textId="184CFA10" w:rsidR="005B0BEC" w:rsidRPr="005B0BEC" w:rsidRDefault="005B0BEC">
          <w:pPr>
            <w:pStyle w:val="TOC2"/>
            <w:tabs>
              <w:tab w:val="left" w:pos="880"/>
              <w:tab w:val="right" w:leader="dot" w:pos="9485"/>
            </w:tabs>
            <w:rPr>
              <w:rFonts w:asciiTheme="minorHAnsi" w:eastAsiaTheme="minorEastAsia" w:hAnsiTheme="minorHAnsi" w:cstheme="minorHAnsi"/>
              <w:noProof/>
              <w:spacing w:val="0"/>
              <w:kern w:val="2"/>
              <w:szCs w:val="20"/>
              <w14:ligatures w14:val="standardContextual"/>
            </w:rPr>
          </w:pPr>
          <w:hyperlink w:anchor="_Toc216865535" w:history="1">
            <w:r w:rsidRPr="005B0BEC">
              <w:rPr>
                <w:rStyle w:val="Hyperlink"/>
                <w:rFonts w:asciiTheme="minorHAnsi" w:eastAsiaTheme="majorEastAsia" w:hAnsiTheme="minorHAnsi" w:cstheme="minorHAnsi"/>
                <w:noProof/>
                <w:sz w:val="20"/>
                <w:szCs w:val="20"/>
              </w:rPr>
              <w:t>8.2</w:t>
            </w:r>
            <w:r w:rsidRPr="005B0BEC">
              <w:rPr>
                <w:rFonts w:asciiTheme="minorHAnsi" w:eastAsiaTheme="minorEastAsia" w:hAnsiTheme="minorHAnsi" w:cstheme="minorHAnsi"/>
                <w:noProof/>
                <w:spacing w:val="0"/>
                <w:kern w:val="2"/>
                <w:szCs w:val="20"/>
                <w14:ligatures w14:val="standardContextual"/>
              </w:rPr>
              <w:tab/>
            </w:r>
            <w:r w:rsidRPr="005B0BEC">
              <w:rPr>
                <w:rStyle w:val="Hyperlink"/>
                <w:rFonts w:asciiTheme="minorHAnsi" w:eastAsiaTheme="majorEastAsia" w:hAnsiTheme="minorHAnsi" w:cstheme="minorHAnsi"/>
                <w:noProof/>
                <w:sz w:val="20"/>
                <w:szCs w:val="20"/>
              </w:rPr>
              <w:t>Annual Accountability Reporting by Registered Providers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_Toc216865535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43</w:t>
            </w:r>
            <w:r w:rsidRPr="005B0BEC">
              <w:rPr>
                <w:rFonts w:asciiTheme="minorHAnsi" w:hAnsiTheme="minorHAnsi" w:cstheme="minorHAnsi"/>
                <w:noProof/>
                <w:webHidden/>
                <w:szCs w:val="20"/>
              </w:rPr>
              <w:fldChar w:fldCharType="end"/>
            </w:r>
          </w:hyperlink>
        </w:p>
        <w:p w14:paraId="7940763B" w14:textId="1DE47531" w:rsidR="005B0BEC" w:rsidRPr="005B0BEC" w:rsidRDefault="005B0BEC">
          <w:pPr>
            <w:pStyle w:val="TOC1"/>
            <w:rPr>
              <w:rFonts w:asciiTheme="minorHAnsi" w:eastAsiaTheme="minorEastAsia" w:hAnsiTheme="minorHAnsi" w:cstheme="minorHAnsi"/>
              <w:noProof/>
              <w:spacing w:val="0"/>
              <w:kern w:val="2"/>
              <w:szCs w:val="20"/>
              <w14:ligatures w14:val="standardContextual"/>
            </w:rPr>
          </w:pPr>
          <w:hyperlink w:anchor="_Toc216865536" w:history="1">
            <w:r w:rsidRPr="005B0BEC">
              <w:rPr>
                <w:rStyle w:val="Hyperlink"/>
                <w:rFonts w:asciiTheme="minorHAnsi" w:eastAsiaTheme="majorEastAsia" w:hAnsiTheme="minorHAnsi" w:cstheme="minorHAnsi"/>
                <w:noProof/>
                <w:sz w:val="20"/>
                <w:szCs w:val="20"/>
              </w:rPr>
              <w:t>ATTACHMENT A – AGED CARE RULES – CHAPTER 1 – CONSOLIDATED TCP SERVICE LIST</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_Toc216865536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44</w:t>
            </w:r>
            <w:r w:rsidRPr="005B0BEC">
              <w:rPr>
                <w:rFonts w:asciiTheme="minorHAnsi" w:hAnsiTheme="minorHAnsi" w:cstheme="minorHAnsi"/>
                <w:noProof/>
                <w:webHidden/>
                <w:szCs w:val="20"/>
              </w:rPr>
              <w:fldChar w:fldCharType="end"/>
            </w:r>
          </w:hyperlink>
        </w:p>
        <w:p w14:paraId="3904A3E1" w14:textId="5CFB20D6" w:rsidR="005B0BEC" w:rsidRPr="005B0BEC" w:rsidRDefault="005B0BEC">
          <w:pPr>
            <w:pStyle w:val="TOC1"/>
            <w:rPr>
              <w:rFonts w:asciiTheme="minorHAnsi" w:eastAsiaTheme="minorEastAsia" w:hAnsiTheme="minorHAnsi" w:cstheme="minorHAnsi"/>
              <w:noProof/>
              <w:spacing w:val="0"/>
              <w:kern w:val="2"/>
              <w:szCs w:val="20"/>
              <w14:ligatures w14:val="standardContextual"/>
            </w:rPr>
          </w:pPr>
          <w:hyperlink w:anchor="_Toc216865537" w:history="1">
            <w:r w:rsidRPr="005B0BEC">
              <w:rPr>
                <w:rStyle w:val="Hyperlink"/>
                <w:rFonts w:asciiTheme="minorHAnsi" w:eastAsiaTheme="majorEastAsia" w:hAnsiTheme="minorHAnsi" w:cstheme="minorHAnsi"/>
                <w:noProof/>
                <w:sz w:val="20"/>
                <w:szCs w:val="20"/>
              </w:rPr>
              <w:t>ATTACHMENT B – CLIENT SERVICE AGREEMENT TEMPLATE</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_Toc216865537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61</w:t>
            </w:r>
            <w:r w:rsidRPr="005B0BEC">
              <w:rPr>
                <w:rFonts w:asciiTheme="minorHAnsi" w:hAnsiTheme="minorHAnsi" w:cstheme="minorHAnsi"/>
                <w:noProof/>
                <w:webHidden/>
                <w:szCs w:val="20"/>
              </w:rPr>
              <w:fldChar w:fldCharType="end"/>
            </w:r>
          </w:hyperlink>
        </w:p>
        <w:p w14:paraId="020FBEB1" w14:textId="70923D39" w:rsidR="005B0BEC" w:rsidRPr="005B0BEC" w:rsidRDefault="005B0BEC">
          <w:pPr>
            <w:pStyle w:val="TOC1"/>
            <w:rPr>
              <w:rFonts w:asciiTheme="minorHAnsi" w:eastAsiaTheme="minorEastAsia" w:hAnsiTheme="minorHAnsi" w:cstheme="minorHAnsi"/>
              <w:noProof/>
              <w:spacing w:val="0"/>
              <w:kern w:val="2"/>
              <w:szCs w:val="20"/>
              <w14:ligatures w14:val="standardContextual"/>
            </w:rPr>
          </w:pPr>
          <w:hyperlink w:anchor="_Toc216865538" w:history="1">
            <w:r w:rsidRPr="005B0BEC">
              <w:rPr>
                <w:rStyle w:val="Hyperlink"/>
                <w:rFonts w:asciiTheme="minorHAnsi" w:eastAsiaTheme="majorEastAsia" w:hAnsiTheme="minorHAnsi" w:cstheme="minorHAnsi"/>
                <w:noProof/>
                <w:sz w:val="20"/>
                <w:szCs w:val="20"/>
              </w:rPr>
              <w:t>ATTACHMENT C – RESPONSIBLE PERSONS FOR GOVERNMENT ENTITIES</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_Toc216865538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69</w:t>
            </w:r>
            <w:r w:rsidRPr="005B0BEC">
              <w:rPr>
                <w:rFonts w:asciiTheme="minorHAnsi" w:hAnsiTheme="minorHAnsi" w:cstheme="minorHAnsi"/>
                <w:noProof/>
                <w:webHidden/>
                <w:szCs w:val="20"/>
              </w:rPr>
              <w:fldChar w:fldCharType="end"/>
            </w:r>
          </w:hyperlink>
        </w:p>
        <w:p w14:paraId="31133882" w14:textId="02063BA3" w:rsidR="005B0BEC" w:rsidRPr="005B0BEC" w:rsidRDefault="005B0BEC">
          <w:pPr>
            <w:pStyle w:val="TOC1"/>
            <w:rPr>
              <w:rFonts w:asciiTheme="minorHAnsi" w:eastAsiaTheme="minorEastAsia" w:hAnsiTheme="minorHAnsi" w:cstheme="minorHAnsi"/>
              <w:noProof/>
              <w:spacing w:val="0"/>
              <w:kern w:val="2"/>
              <w:szCs w:val="20"/>
              <w14:ligatures w14:val="standardContextual"/>
            </w:rPr>
          </w:pPr>
          <w:hyperlink w:anchor="_Toc216865539" w:history="1">
            <w:r w:rsidRPr="005B0BEC">
              <w:rPr>
                <w:rStyle w:val="Hyperlink"/>
                <w:rFonts w:asciiTheme="minorHAnsi" w:eastAsiaTheme="majorEastAsia" w:hAnsiTheme="minorHAnsi" w:cstheme="minorHAnsi"/>
                <w:noProof/>
                <w:sz w:val="20"/>
                <w:szCs w:val="20"/>
              </w:rPr>
              <w:t>GLOSSARY</w:t>
            </w:r>
            <w:r w:rsidRPr="005B0BEC">
              <w:rPr>
                <w:rFonts w:asciiTheme="minorHAnsi" w:hAnsiTheme="minorHAnsi" w:cstheme="minorHAnsi"/>
                <w:noProof/>
                <w:webHidden/>
                <w:szCs w:val="20"/>
              </w:rPr>
              <w:tab/>
            </w:r>
            <w:r w:rsidRPr="005B0BEC">
              <w:rPr>
                <w:rFonts w:asciiTheme="minorHAnsi" w:hAnsiTheme="minorHAnsi" w:cstheme="minorHAnsi"/>
                <w:noProof/>
                <w:webHidden/>
                <w:szCs w:val="20"/>
              </w:rPr>
              <w:fldChar w:fldCharType="begin"/>
            </w:r>
            <w:r w:rsidRPr="005B0BEC">
              <w:rPr>
                <w:rFonts w:asciiTheme="minorHAnsi" w:hAnsiTheme="minorHAnsi" w:cstheme="minorHAnsi"/>
                <w:noProof/>
                <w:webHidden/>
                <w:szCs w:val="20"/>
              </w:rPr>
              <w:instrText xml:space="preserve"> PAGEREF _Toc216865539 \h </w:instrText>
            </w:r>
            <w:r w:rsidRPr="005B0BEC">
              <w:rPr>
                <w:rFonts w:asciiTheme="minorHAnsi" w:hAnsiTheme="minorHAnsi" w:cstheme="minorHAnsi"/>
                <w:noProof/>
                <w:webHidden/>
                <w:szCs w:val="20"/>
              </w:rPr>
            </w:r>
            <w:r w:rsidRPr="005B0BEC">
              <w:rPr>
                <w:rFonts w:asciiTheme="minorHAnsi" w:hAnsiTheme="minorHAnsi" w:cstheme="minorHAnsi"/>
                <w:noProof/>
                <w:webHidden/>
                <w:szCs w:val="20"/>
              </w:rPr>
              <w:fldChar w:fldCharType="separate"/>
            </w:r>
            <w:r w:rsidR="00655A75">
              <w:rPr>
                <w:rFonts w:asciiTheme="minorHAnsi" w:hAnsiTheme="minorHAnsi" w:cstheme="minorHAnsi"/>
                <w:noProof/>
                <w:webHidden/>
                <w:szCs w:val="20"/>
              </w:rPr>
              <w:t>71</w:t>
            </w:r>
            <w:r w:rsidRPr="005B0BEC">
              <w:rPr>
                <w:rFonts w:asciiTheme="minorHAnsi" w:hAnsiTheme="minorHAnsi" w:cstheme="minorHAnsi"/>
                <w:noProof/>
                <w:webHidden/>
                <w:szCs w:val="20"/>
              </w:rPr>
              <w:fldChar w:fldCharType="end"/>
            </w:r>
          </w:hyperlink>
        </w:p>
        <w:p w14:paraId="20C71ECE" w14:textId="496BB383" w:rsidR="00190D5A" w:rsidRPr="005B0BEC" w:rsidRDefault="00070A87" w:rsidP="00731906">
          <w:pPr>
            <w:spacing w:before="0" w:after="0"/>
            <w:rPr>
              <w:rFonts w:asciiTheme="minorHAnsi" w:hAnsiTheme="minorHAnsi" w:cstheme="minorHAnsi"/>
              <w:szCs w:val="20"/>
            </w:rPr>
            <w:sectPr w:rsidR="00190D5A" w:rsidRPr="005B0BEC" w:rsidSect="00B011D9">
              <w:headerReference w:type="default" r:id="rId16"/>
              <w:footerReference w:type="default" r:id="rId17"/>
              <w:headerReference w:type="first" r:id="rId18"/>
              <w:footerReference w:type="first" r:id="rId19"/>
              <w:pgSz w:w="11906" w:h="16838"/>
              <w:pgMar w:top="1134" w:right="1418" w:bottom="1418" w:left="993" w:header="284" w:footer="341" w:gutter="0"/>
              <w:pgNumType w:start="1"/>
              <w:cols w:space="708"/>
              <w:docGrid w:linePitch="360"/>
            </w:sectPr>
          </w:pPr>
          <w:r w:rsidRPr="005B0BEC">
            <w:rPr>
              <w:rFonts w:asciiTheme="minorHAnsi" w:hAnsiTheme="minorHAnsi" w:cstheme="minorHAnsi"/>
              <w:b/>
              <w:bCs/>
              <w:noProof/>
              <w:szCs w:val="20"/>
              <w:u w:val="single"/>
            </w:rPr>
            <w:fldChar w:fldCharType="end"/>
          </w:r>
        </w:p>
      </w:sdtContent>
    </w:sdt>
    <w:p w14:paraId="6D25F330" w14:textId="77777777" w:rsidR="00BF66F2" w:rsidRPr="007E509A" w:rsidRDefault="00BF66F2" w:rsidP="007E509A">
      <w:pPr>
        <w:rPr>
          <w:rStyle w:val="Strong"/>
        </w:rPr>
      </w:pPr>
      <w:r w:rsidRPr="007E509A">
        <w:rPr>
          <w:rStyle w:val="Strong"/>
        </w:rPr>
        <w:lastRenderedPageBreak/>
        <w:t>Version History</w:t>
      </w:r>
    </w:p>
    <w:tbl>
      <w:tblPr>
        <w:tblStyle w:val="TableGrid"/>
        <w:tblW w:w="0" w:type="auto"/>
        <w:tblLayout w:type="fixed"/>
        <w:tblLook w:val="06A0" w:firstRow="1" w:lastRow="0" w:firstColumn="1" w:lastColumn="0" w:noHBand="1" w:noVBand="1"/>
      </w:tblPr>
      <w:tblGrid>
        <w:gridCol w:w="2100"/>
        <w:gridCol w:w="6960"/>
      </w:tblGrid>
      <w:tr w:rsidR="00BF66F2" w:rsidRPr="0044580A" w14:paraId="7152F617" w14:textId="77777777" w:rsidTr="007E509A">
        <w:trPr>
          <w:cnfStyle w:val="100000000000" w:firstRow="1" w:lastRow="0" w:firstColumn="0" w:lastColumn="0" w:oddVBand="0" w:evenVBand="0" w:oddHBand="0" w:evenHBand="0" w:firstRowFirstColumn="0" w:firstRowLastColumn="0" w:lastRowFirstColumn="0" w:lastRowLastColumn="0"/>
          <w:trHeight w:val="300"/>
          <w:tblHeader/>
        </w:trPr>
        <w:tc>
          <w:tcPr>
            <w:tcW w:w="2100" w:type="dxa"/>
            <w:shd w:val="clear" w:color="auto" w:fill="7030A0"/>
          </w:tcPr>
          <w:p w14:paraId="63EF624F"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DATE</w:t>
            </w:r>
          </w:p>
        </w:tc>
        <w:tc>
          <w:tcPr>
            <w:tcW w:w="6960" w:type="dxa"/>
            <w:shd w:val="clear" w:color="auto" w:fill="7030A0"/>
          </w:tcPr>
          <w:p w14:paraId="719B63DC" w14:textId="77777777" w:rsidR="00BF66F2" w:rsidRPr="0044580A" w:rsidRDefault="00BF66F2" w:rsidP="006B69F2">
            <w:pPr>
              <w:rPr>
                <w:rFonts w:cs="Calibri"/>
                <w:b w:val="0"/>
                <w:bCs/>
                <w:color w:val="F8F8F8" w:themeColor="background2"/>
                <w:szCs w:val="20"/>
              </w:rPr>
            </w:pPr>
            <w:r w:rsidRPr="0044580A">
              <w:rPr>
                <w:rFonts w:cs="Calibri"/>
                <w:bCs/>
                <w:color w:val="F8F8F8" w:themeColor="background2"/>
                <w:szCs w:val="20"/>
              </w:rPr>
              <w:t>Summary of Change</w:t>
            </w:r>
          </w:p>
        </w:tc>
      </w:tr>
      <w:tr w:rsidR="00BF66F2" w:rsidRPr="00D079FD" w14:paraId="1801081B" w14:textId="77777777" w:rsidTr="006B69F2">
        <w:trPr>
          <w:trHeight w:val="300"/>
        </w:trPr>
        <w:tc>
          <w:tcPr>
            <w:tcW w:w="2100" w:type="dxa"/>
          </w:tcPr>
          <w:p w14:paraId="4DF40F08" w14:textId="25D854F5" w:rsidR="00BF66F2" w:rsidRPr="0044580A" w:rsidRDefault="00591B64" w:rsidP="006B69F2">
            <w:pPr>
              <w:rPr>
                <w:rFonts w:cs="Calibri"/>
                <w:b/>
                <w:bCs/>
                <w:szCs w:val="20"/>
              </w:rPr>
            </w:pPr>
            <w:r>
              <w:rPr>
                <w:rFonts w:cs="Calibri"/>
                <w:b/>
                <w:bCs/>
                <w:szCs w:val="20"/>
              </w:rPr>
              <w:t>October</w:t>
            </w:r>
            <w:r w:rsidR="00015A08">
              <w:rPr>
                <w:rFonts w:cs="Calibri"/>
                <w:b/>
                <w:bCs/>
                <w:szCs w:val="20"/>
              </w:rPr>
              <w:t xml:space="preserve"> 2025</w:t>
            </w:r>
          </w:p>
        </w:tc>
        <w:tc>
          <w:tcPr>
            <w:tcW w:w="6960" w:type="dxa"/>
          </w:tcPr>
          <w:p w14:paraId="26F17422" w14:textId="5FB0E1CD" w:rsidR="00BF66F2" w:rsidRPr="00133E61" w:rsidRDefault="00861AE0" w:rsidP="006B69F2">
            <w:pPr>
              <w:rPr>
                <w:rFonts w:cs="Calibri"/>
                <w:b/>
                <w:bCs/>
                <w:szCs w:val="20"/>
              </w:rPr>
            </w:pPr>
            <w:r>
              <w:rPr>
                <w:rFonts w:eastAsia="Arial" w:cs="Calibri"/>
                <w:szCs w:val="20"/>
              </w:rPr>
              <w:t>V1</w:t>
            </w:r>
            <w:r w:rsidR="008F609A">
              <w:rPr>
                <w:rFonts w:eastAsia="Arial" w:cs="Calibri"/>
                <w:szCs w:val="20"/>
              </w:rPr>
              <w:t xml:space="preserve"> </w:t>
            </w:r>
            <w:r w:rsidR="00F47165">
              <w:rPr>
                <w:rFonts w:eastAsia="Arial" w:cs="Calibri"/>
                <w:szCs w:val="20"/>
              </w:rPr>
              <w:t>–</w:t>
            </w:r>
            <w:r>
              <w:rPr>
                <w:rFonts w:eastAsia="Arial" w:cs="Calibri"/>
                <w:szCs w:val="20"/>
              </w:rPr>
              <w:t xml:space="preserve"> </w:t>
            </w:r>
            <w:r w:rsidR="005C50B1">
              <w:rPr>
                <w:rFonts w:eastAsia="Arial" w:cs="Calibri"/>
                <w:szCs w:val="20"/>
              </w:rPr>
              <w:t>New</w:t>
            </w:r>
            <w:r w:rsidR="00F47165">
              <w:rPr>
                <w:rFonts w:eastAsia="Arial" w:cs="Calibri"/>
                <w:szCs w:val="20"/>
              </w:rPr>
              <w:t xml:space="preserve"> </w:t>
            </w:r>
            <w:r w:rsidR="005C50B1">
              <w:rPr>
                <w:rFonts w:eastAsia="Arial" w:cs="Calibri"/>
                <w:szCs w:val="20"/>
              </w:rPr>
              <w:t>Guidelines</w:t>
            </w:r>
            <w:r>
              <w:rPr>
                <w:rFonts w:eastAsia="Arial" w:cs="Calibri"/>
                <w:szCs w:val="20"/>
              </w:rPr>
              <w:t xml:space="preserve"> to correlate with </w:t>
            </w:r>
            <w:r w:rsidR="00133E61">
              <w:rPr>
                <w:rFonts w:eastAsia="Arial" w:cs="Calibri"/>
                <w:szCs w:val="20"/>
              </w:rPr>
              <w:t xml:space="preserve">the new </w:t>
            </w:r>
            <w:r w:rsidR="003B7616" w:rsidRPr="00F90B2A">
              <w:rPr>
                <w:rFonts w:eastAsia="Arial" w:cs="Calibri"/>
                <w:i/>
                <w:iCs/>
                <w:szCs w:val="20"/>
              </w:rPr>
              <w:t xml:space="preserve">Aged Care Act </w:t>
            </w:r>
            <w:r w:rsidR="00133E61">
              <w:rPr>
                <w:rFonts w:eastAsia="Arial" w:cs="Calibri"/>
                <w:i/>
                <w:iCs/>
                <w:szCs w:val="20"/>
              </w:rPr>
              <w:t>2024</w:t>
            </w:r>
            <w:r w:rsidR="00AE5D94">
              <w:rPr>
                <w:rFonts w:eastAsia="Arial" w:cs="Calibri"/>
                <w:i/>
                <w:iCs/>
                <w:szCs w:val="20"/>
              </w:rPr>
              <w:t xml:space="preserve"> </w:t>
            </w:r>
            <w:r w:rsidR="00AE5D94">
              <w:rPr>
                <w:rFonts w:eastAsia="Arial" w:cs="Calibri"/>
                <w:szCs w:val="20"/>
              </w:rPr>
              <w:t>(Cth)</w:t>
            </w:r>
            <w:r w:rsidR="00133E61">
              <w:rPr>
                <w:rFonts w:eastAsia="Arial" w:cs="Calibri"/>
                <w:i/>
                <w:iCs/>
                <w:szCs w:val="20"/>
              </w:rPr>
              <w:t xml:space="preserve"> </w:t>
            </w:r>
            <w:r w:rsidR="00133E61">
              <w:rPr>
                <w:rFonts w:eastAsia="Arial" w:cs="Calibri"/>
                <w:szCs w:val="20"/>
              </w:rPr>
              <w:t xml:space="preserve">and Aged Care Rules 2025. </w:t>
            </w:r>
          </w:p>
        </w:tc>
      </w:tr>
      <w:tr w:rsidR="00F47165" w:rsidRPr="00D079FD" w14:paraId="51E10C83" w14:textId="77777777" w:rsidTr="006B69F2">
        <w:trPr>
          <w:trHeight w:val="300"/>
        </w:trPr>
        <w:tc>
          <w:tcPr>
            <w:tcW w:w="2100" w:type="dxa"/>
          </w:tcPr>
          <w:p w14:paraId="7AA0BFC8" w14:textId="12D4B773" w:rsidR="00F47165" w:rsidRPr="0044580A" w:rsidRDefault="00F47165" w:rsidP="00F47165">
            <w:pPr>
              <w:rPr>
                <w:rFonts w:cs="Calibri"/>
                <w:b/>
                <w:bCs/>
                <w:szCs w:val="20"/>
              </w:rPr>
            </w:pPr>
            <w:r>
              <w:rPr>
                <w:rFonts w:cs="Calibri"/>
                <w:b/>
                <w:bCs/>
                <w:szCs w:val="20"/>
              </w:rPr>
              <w:t>November 2025</w:t>
            </w:r>
          </w:p>
        </w:tc>
        <w:tc>
          <w:tcPr>
            <w:tcW w:w="6960" w:type="dxa"/>
          </w:tcPr>
          <w:p w14:paraId="03EA62E8" w14:textId="2F006922" w:rsidR="00F47165" w:rsidRPr="0044580A" w:rsidRDefault="00F47165" w:rsidP="00F47165">
            <w:pPr>
              <w:rPr>
                <w:rFonts w:cs="Calibri"/>
                <w:b/>
                <w:bCs/>
                <w:szCs w:val="20"/>
              </w:rPr>
            </w:pPr>
            <w:r>
              <w:rPr>
                <w:rFonts w:eastAsia="Arial" w:cs="Calibri"/>
                <w:szCs w:val="20"/>
              </w:rPr>
              <w:t xml:space="preserve">V2 – </w:t>
            </w:r>
            <w:r w:rsidR="00BB5D55">
              <w:rPr>
                <w:rFonts w:eastAsia="Arial" w:cs="Calibri"/>
                <w:szCs w:val="20"/>
              </w:rPr>
              <w:t xml:space="preserve">Links updated. </w:t>
            </w:r>
          </w:p>
        </w:tc>
      </w:tr>
      <w:tr w:rsidR="000A5B89" w:rsidRPr="00D079FD" w14:paraId="2880B663" w14:textId="77777777" w:rsidTr="006B69F2">
        <w:trPr>
          <w:trHeight w:val="300"/>
        </w:trPr>
        <w:tc>
          <w:tcPr>
            <w:tcW w:w="2100" w:type="dxa"/>
          </w:tcPr>
          <w:p w14:paraId="74B96277" w14:textId="098A07ED" w:rsidR="000A5B89" w:rsidRDefault="000A5B89" w:rsidP="00F47165">
            <w:pPr>
              <w:rPr>
                <w:rFonts w:cs="Calibri"/>
                <w:b/>
                <w:bCs/>
                <w:szCs w:val="20"/>
              </w:rPr>
            </w:pPr>
            <w:r>
              <w:rPr>
                <w:rFonts w:cs="Calibri"/>
                <w:b/>
                <w:bCs/>
                <w:szCs w:val="20"/>
              </w:rPr>
              <w:t>December 2025</w:t>
            </w:r>
          </w:p>
        </w:tc>
        <w:tc>
          <w:tcPr>
            <w:tcW w:w="6960" w:type="dxa"/>
          </w:tcPr>
          <w:p w14:paraId="07036685" w14:textId="5117CD11" w:rsidR="000A5B89" w:rsidRDefault="000A5B89" w:rsidP="00F47165">
            <w:pPr>
              <w:rPr>
                <w:rFonts w:eastAsia="Arial" w:cs="Calibri"/>
                <w:szCs w:val="20"/>
              </w:rPr>
            </w:pPr>
            <w:r>
              <w:rPr>
                <w:rFonts w:eastAsia="Arial" w:cs="Calibri"/>
                <w:szCs w:val="20"/>
              </w:rPr>
              <w:t xml:space="preserve">V3 </w:t>
            </w:r>
            <w:r w:rsidR="009F7C49">
              <w:rPr>
                <w:rFonts w:eastAsia="Arial" w:cs="Calibri"/>
                <w:szCs w:val="20"/>
              </w:rPr>
              <w:t>–</w:t>
            </w:r>
            <w:r>
              <w:rPr>
                <w:rFonts w:eastAsia="Arial" w:cs="Calibri"/>
                <w:szCs w:val="20"/>
              </w:rPr>
              <w:t xml:space="preserve"> </w:t>
            </w:r>
            <w:r w:rsidR="009F7C49">
              <w:rPr>
                <w:rFonts w:eastAsia="Arial" w:cs="Calibri"/>
                <w:szCs w:val="20"/>
              </w:rPr>
              <w:t xml:space="preserve">Text </w:t>
            </w:r>
            <w:r w:rsidR="001A0909">
              <w:rPr>
                <w:rFonts w:eastAsia="Arial" w:cs="Calibri"/>
                <w:szCs w:val="20"/>
              </w:rPr>
              <w:t xml:space="preserve">and formatting </w:t>
            </w:r>
            <w:r w:rsidR="009F7C49">
              <w:rPr>
                <w:rFonts w:eastAsia="Arial" w:cs="Calibri"/>
                <w:szCs w:val="20"/>
              </w:rPr>
              <w:t>updates</w:t>
            </w:r>
            <w:r w:rsidR="00D37D28">
              <w:rPr>
                <w:rFonts w:eastAsia="Arial" w:cs="Calibri"/>
                <w:szCs w:val="20"/>
              </w:rPr>
              <w:t>.</w:t>
            </w:r>
          </w:p>
        </w:tc>
      </w:tr>
    </w:tbl>
    <w:p w14:paraId="11F580C8" w14:textId="71143C62" w:rsidR="00605BA0" w:rsidRPr="003A173C" w:rsidRDefault="00605BA0" w:rsidP="004D7443">
      <w:pPr>
        <w:pStyle w:val="Heading1"/>
        <w:numPr>
          <w:ilvl w:val="0"/>
          <w:numId w:val="0"/>
        </w:numPr>
        <w:ind w:left="360" w:hanging="360"/>
        <w:rPr>
          <w:rFonts w:ascii="Calibri" w:hAnsi="Calibri" w:cs="Calibri"/>
        </w:rPr>
      </w:pPr>
      <w:bookmarkStart w:id="1" w:name="_Toc245536152"/>
      <w:bookmarkStart w:id="2" w:name="_Toc395537154"/>
      <w:bookmarkStart w:id="3" w:name="_Toc422732512"/>
      <w:bookmarkStart w:id="4" w:name="_Toc422752853"/>
      <w:bookmarkStart w:id="5" w:name="_Toc216865432"/>
      <w:r w:rsidRPr="003A173C">
        <w:rPr>
          <w:rFonts w:ascii="Calibri" w:hAnsi="Calibri" w:cs="Calibri"/>
        </w:rPr>
        <w:lastRenderedPageBreak/>
        <w:t>FOREWORD</w:t>
      </w:r>
      <w:bookmarkEnd w:id="1"/>
      <w:bookmarkEnd w:id="2"/>
      <w:bookmarkEnd w:id="3"/>
      <w:bookmarkEnd w:id="4"/>
      <w:bookmarkEnd w:id="5"/>
    </w:p>
    <w:p w14:paraId="125A3820" w14:textId="646E96A0" w:rsidR="00605BA0" w:rsidRPr="00980E79" w:rsidRDefault="002F1496" w:rsidP="00FA34AC">
      <w:r w:rsidRPr="00980E79">
        <w:t>The Transition</w:t>
      </w:r>
      <w:r w:rsidR="00190D5A" w:rsidRPr="00980E79">
        <w:t xml:space="preserve"> Care Program Guidelines </w:t>
      </w:r>
      <w:r w:rsidR="00466D79" w:rsidRPr="00980E79">
        <w:t>have been</w:t>
      </w:r>
      <w:r w:rsidRPr="00980E79">
        <w:t xml:space="preserve"> developed by the </w:t>
      </w:r>
      <w:r w:rsidR="00B250B2" w:rsidRPr="00980E79">
        <w:t xml:space="preserve">Australian </w:t>
      </w:r>
      <w:r w:rsidRPr="00980E79">
        <w:t xml:space="preserve">Government in consultation with all </w:t>
      </w:r>
      <w:r w:rsidR="00AA4804" w:rsidRPr="00980E79">
        <w:t>S</w:t>
      </w:r>
      <w:r w:rsidRPr="00980E79">
        <w:t xml:space="preserve">tates and </w:t>
      </w:r>
      <w:r w:rsidR="00AA4804" w:rsidRPr="00980E79">
        <w:t>T</w:t>
      </w:r>
      <w:r w:rsidRPr="00980E79">
        <w:t>erritories.</w:t>
      </w:r>
    </w:p>
    <w:p w14:paraId="54967C13" w14:textId="267EC730" w:rsidR="00605BA0" w:rsidRPr="00980E79" w:rsidRDefault="4113B1AE" w:rsidP="00FA34AC">
      <w:r w:rsidRPr="00980E79">
        <w:t xml:space="preserve">The guidelines are a resource for the </w:t>
      </w:r>
      <w:r w:rsidR="00AA4804" w:rsidRPr="00980E79">
        <w:t>S</w:t>
      </w:r>
      <w:r w:rsidRPr="00980E79">
        <w:t xml:space="preserve">tate and </w:t>
      </w:r>
      <w:r w:rsidR="00AA4804" w:rsidRPr="00980E79">
        <w:t>T</w:t>
      </w:r>
      <w:r w:rsidRPr="00980E79">
        <w:t xml:space="preserve">erritory governments, </w:t>
      </w:r>
      <w:r w:rsidR="00B40F68" w:rsidRPr="00980E79">
        <w:t xml:space="preserve">in their oversight role in managing </w:t>
      </w:r>
      <w:r w:rsidR="00CF20E7" w:rsidRPr="00980E79">
        <w:t xml:space="preserve">the </w:t>
      </w:r>
      <w:r w:rsidR="00F04624" w:rsidRPr="00980E79">
        <w:t xml:space="preserve">Transition Care Program </w:t>
      </w:r>
      <w:r w:rsidR="00B40F68" w:rsidRPr="00980E79">
        <w:t>in their respective jurisdictions</w:t>
      </w:r>
      <w:r w:rsidRPr="00980E79">
        <w:t xml:space="preserve">, as well as </w:t>
      </w:r>
      <w:r w:rsidR="00B40F68" w:rsidRPr="00980E79">
        <w:t xml:space="preserve">registered </w:t>
      </w:r>
      <w:r w:rsidRPr="00980E79">
        <w:t>providers</w:t>
      </w:r>
      <w:r w:rsidR="00B40F68" w:rsidRPr="00980E79">
        <w:t xml:space="preserve"> delivering transition care</w:t>
      </w:r>
      <w:r w:rsidR="00F04624" w:rsidRPr="00980E79">
        <w:t xml:space="preserve"> to individuals</w:t>
      </w:r>
      <w:r w:rsidRPr="00980E79">
        <w:t xml:space="preserve">, officers of the Department of </w:t>
      </w:r>
      <w:r w:rsidR="689B3D6B" w:rsidRPr="00980E79">
        <w:t>Health</w:t>
      </w:r>
      <w:r w:rsidR="1597748D" w:rsidRPr="00980E79">
        <w:t>,</w:t>
      </w:r>
      <w:r w:rsidR="35438532" w:rsidRPr="00980E79">
        <w:t xml:space="preserve"> Disability </w:t>
      </w:r>
      <w:r w:rsidR="31C3BFB8" w:rsidRPr="00980E79">
        <w:t>and Ag</w:t>
      </w:r>
      <w:r w:rsidR="4B32FE46" w:rsidRPr="00980E79">
        <w:t>eing</w:t>
      </w:r>
      <w:r w:rsidR="00F04624" w:rsidRPr="00980E79">
        <w:t>,</w:t>
      </w:r>
      <w:r w:rsidR="31C3BFB8" w:rsidRPr="00980E79">
        <w:t xml:space="preserve"> </w:t>
      </w:r>
      <w:r w:rsidRPr="00980E79">
        <w:t>and other interested parties.</w:t>
      </w:r>
    </w:p>
    <w:p w14:paraId="4D7A9F7F" w14:textId="4AFC4BF7" w:rsidR="00605BA0" w:rsidRPr="00980E79" w:rsidRDefault="4113B1AE" w:rsidP="00FA34AC">
      <w:r w:rsidRPr="00980E79">
        <w:t xml:space="preserve">The guidelines explain the Australian Government’s policy context and operational requirements for the </w:t>
      </w:r>
      <w:r w:rsidR="5D9F3B23" w:rsidRPr="00980E79">
        <w:t>T</w:t>
      </w:r>
      <w:r w:rsidRPr="00980E79">
        <w:t xml:space="preserve">ransition </w:t>
      </w:r>
      <w:r w:rsidR="5D9F3B23" w:rsidRPr="00980E79">
        <w:t>C</w:t>
      </w:r>
      <w:r w:rsidRPr="00980E79">
        <w:t xml:space="preserve">are </w:t>
      </w:r>
      <w:r w:rsidR="5D9F3B23" w:rsidRPr="00980E79">
        <w:t>P</w:t>
      </w:r>
      <w:r w:rsidRPr="00980E79">
        <w:t>rogram, including the clarification of responsibilities of the</w:t>
      </w:r>
      <w:r w:rsidR="002C142A" w:rsidRPr="00980E79">
        <w:t xml:space="preserve"> </w:t>
      </w:r>
      <w:r w:rsidR="00AA4804" w:rsidRPr="00980E79">
        <w:t>S</w:t>
      </w:r>
      <w:r w:rsidR="002C142A" w:rsidRPr="00980E79">
        <w:t xml:space="preserve">tate and </w:t>
      </w:r>
      <w:r w:rsidR="00AA4804" w:rsidRPr="00980E79">
        <w:t>T</w:t>
      </w:r>
      <w:r w:rsidR="002C142A" w:rsidRPr="00980E79">
        <w:t>erritory governments, and the registered</w:t>
      </w:r>
      <w:r w:rsidRPr="00980E79">
        <w:t xml:space="preserve"> providers under the </w:t>
      </w:r>
      <w:r w:rsidRPr="00980E79">
        <w:rPr>
          <w:i/>
        </w:rPr>
        <w:t xml:space="preserve">Aged Care Act </w:t>
      </w:r>
      <w:r w:rsidR="73D9D069" w:rsidRPr="00980E79">
        <w:rPr>
          <w:i/>
        </w:rPr>
        <w:t xml:space="preserve">2024 </w:t>
      </w:r>
      <w:r w:rsidR="73D9D069" w:rsidRPr="00980E79">
        <w:t>and Aged Care Rule</w:t>
      </w:r>
      <w:r w:rsidR="00D477C3" w:rsidRPr="00980E79">
        <w:t>s</w:t>
      </w:r>
      <w:r w:rsidR="73D9D069" w:rsidRPr="00980E79">
        <w:t xml:space="preserve"> 2025</w:t>
      </w:r>
      <w:r w:rsidRPr="00980E79">
        <w:t xml:space="preserve"> which govern the operation of the program.</w:t>
      </w:r>
      <w:r w:rsidR="414659CB" w:rsidRPr="00980E79">
        <w:t xml:space="preserve"> </w:t>
      </w:r>
      <w:r w:rsidRPr="00980E79">
        <w:t xml:space="preserve">Users of these guidelines should be aware </w:t>
      </w:r>
      <w:r w:rsidR="00127205" w:rsidRPr="00980E79">
        <w:t xml:space="preserve">that </w:t>
      </w:r>
      <w:r w:rsidR="00AA4804" w:rsidRPr="00980E79">
        <w:t>S</w:t>
      </w:r>
      <w:r w:rsidRPr="00980E79">
        <w:t xml:space="preserve">tate and </w:t>
      </w:r>
      <w:r w:rsidR="00AA4804" w:rsidRPr="00980E79">
        <w:t>T</w:t>
      </w:r>
      <w:r w:rsidRPr="00980E79">
        <w:t>erritory governments, may develop jurisdiction</w:t>
      </w:r>
      <w:r w:rsidR="002E119B" w:rsidRPr="00980E79">
        <w:t>-</w:t>
      </w:r>
      <w:r w:rsidRPr="00980E79">
        <w:t>specific operational guidelines t</w:t>
      </w:r>
      <w:r w:rsidR="31C3BFB8" w:rsidRPr="00980E79">
        <w:t>o</w:t>
      </w:r>
      <w:r w:rsidRPr="00980E79">
        <w:t xml:space="preserve"> compl</w:t>
      </w:r>
      <w:r w:rsidR="592A2EE8" w:rsidRPr="00980E79">
        <w:t>ement the national guidelines.</w:t>
      </w:r>
    </w:p>
    <w:p w14:paraId="74459982" w14:textId="6ACE6ACA" w:rsidR="00605BA0" w:rsidRPr="00980E79" w:rsidRDefault="00605BA0" w:rsidP="00FA34AC">
      <w:r w:rsidRPr="00980E79">
        <w:t>We trust you will find the</w:t>
      </w:r>
      <w:r w:rsidR="007F017E" w:rsidRPr="00980E79">
        <w:t>se</w:t>
      </w:r>
      <w:r w:rsidRPr="00980E79">
        <w:t xml:space="preserve"> guidelines a valuable tool t</w:t>
      </w:r>
      <w:r w:rsidR="00537296" w:rsidRPr="00980E79">
        <w:t>o</w:t>
      </w:r>
      <w:r w:rsidRPr="00980E79">
        <w:t xml:space="preserve"> assist in the provision and operation of transition care.</w:t>
      </w:r>
    </w:p>
    <w:p w14:paraId="66F2ED4A" w14:textId="21273EAB" w:rsidR="00601748" w:rsidRPr="00980E79" w:rsidRDefault="4113B1AE" w:rsidP="00FA34AC">
      <w:r w:rsidRPr="00980E79">
        <w:t xml:space="preserve">Australian Government Department of </w:t>
      </w:r>
      <w:r w:rsidR="689B3D6B" w:rsidRPr="00980E79">
        <w:t>Health</w:t>
      </w:r>
      <w:r w:rsidR="7DE5739A" w:rsidRPr="00980E79">
        <w:t>, Disability and Ageing</w:t>
      </w:r>
    </w:p>
    <w:p w14:paraId="42A8617C" w14:textId="3DBE7105" w:rsidR="00131462" w:rsidRPr="00980E79" w:rsidRDefault="5A45F081" w:rsidP="00FA34AC">
      <w:r w:rsidRPr="00980E79">
        <w:t xml:space="preserve">November </w:t>
      </w:r>
      <w:r w:rsidR="00131462" w:rsidRPr="00980E79">
        <w:t>2025</w:t>
      </w:r>
    </w:p>
    <w:p w14:paraId="606E8F6B" w14:textId="1E281992" w:rsidR="00C04025" w:rsidRPr="003A173C" w:rsidRDefault="6F18E9B1" w:rsidP="00A17066">
      <w:pPr>
        <w:pStyle w:val="Heading1"/>
        <w:rPr>
          <w:rFonts w:ascii="Calibri" w:hAnsi="Calibri" w:cs="Calibri"/>
          <w:szCs w:val="36"/>
        </w:rPr>
      </w:pPr>
      <w:bookmarkStart w:id="6" w:name="_Toc216865433"/>
      <w:bookmarkStart w:id="7" w:name="_Toc395537155"/>
      <w:bookmarkStart w:id="8" w:name="_Toc422732513"/>
      <w:bookmarkStart w:id="9" w:name="_Toc110834631"/>
      <w:r w:rsidRPr="003A173C">
        <w:rPr>
          <w:rFonts w:ascii="Calibri" w:hAnsi="Calibri" w:cs="Calibri"/>
        </w:rPr>
        <w:lastRenderedPageBreak/>
        <w:t>ABOUT THE GUIDELINES</w:t>
      </w:r>
      <w:bookmarkEnd w:id="6"/>
    </w:p>
    <w:bookmarkEnd w:id="7"/>
    <w:bookmarkEnd w:id="8"/>
    <w:bookmarkEnd w:id="9"/>
    <w:p w14:paraId="01179BF9" w14:textId="79241D9F" w:rsidR="00605BA0" w:rsidRPr="003A173C" w:rsidRDefault="00605BA0" w:rsidP="000E125E">
      <w:pPr>
        <w:autoSpaceDE w:val="0"/>
        <w:autoSpaceDN w:val="0"/>
        <w:adjustRightInd w:val="0"/>
        <w:spacing w:before="0" w:after="200"/>
        <w:rPr>
          <w:rFonts w:cs="Calibri"/>
          <w:bCs/>
          <w:szCs w:val="20"/>
        </w:rPr>
      </w:pPr>
      <w:r w:rsidRPr="003A173C">
        <w:rPr>
          <w:rFonts w:cs="Calibri"/>
          <w:bCs/>
          <w:szCs w:val="20"/>
        </w:rPr>
        <w:t xml:space="preserve">These guidelines provide general information about the </w:t>
      </w:r>
      <w:r w:rsidR="004D45E7" w:rsidRPr="003A173C">
        <w:rPr>
          <w:rFonts w:cs="Calibri"/>
          <w:bCs/>
          <w:szCs w:val="20"/>
        </w:rPr>
        <w:t>T</w:t>
      </w:r>
      <w:r w:rsidRPr="003A173C">
        <w:rPr>
          <w:rFonts w:cs="Calibri"/>
          <w:bCs/>
          <w:szCs w:val="20"/>
        </w:rPr>
        <w:t xml:space="preserve">ransition </w:t>
      </w:r>
      <w:r w:rsidR="004D45E7" w:rsidRPr="003A173C">
        <w:rPr>
          <w:rFonts w:cs="Calibri"/>
          <w:bCs/>
          <w:szCs w:val="20"/>
        </w:rPr>
        <w:t>C</w:t>
      </w:r>
      <w:r w:rsidRPr="003A173C">
        <w:rPr>
          <w:rFonts w:cs="Calibri"/>
          <w:bCs/>
          <w:szCs w:val="20"/>
        </w:rPr>
        <w:t xml:space="preserve">are </w:t>
      </w:r>
      <w:r w:rsidR="004D45E7" w:rsidRPr="003A173C">
        <w:rPr>
          <w:rFonts w:cs="Calibri"/>
          <w:bCs/>
          <w:szCs w:val="20"/>
        </w:rPr>
        <w:t>P</w:t>
      </w:r>
      <w:r w:rsidRPr="003A173C">
        <w:rPr>
          <w:rFonts w:cs="Calibri"/>
          <w:bCs/>
          <w:szCs w:val="20"/>
        </w:rPr>
        <w:t>rogram (</w:t>
      </w:r>
      <w:r w:rsidR="002311AC" w:rsidRPr="003A173C">
        <w:rPr>
          <w:rFonts w:cs="Calibri"/>
          <w:b/>
          <w:szCs w:val="20"/>
        </w:rPr>
        <w:t>TCP</w:t>
      </w:r>
      <w:r w:rsidRPr="003A173C">
        <w:rPr>
          <w:rFonts w:cs="Calibri"/>
          <w:bCs/>
          <w:szCs w:val="20"/>
        </w:rPr>
        <w:t xml:space="preserve">). The guidelines are linked to the </w:t>
      </w:r>
      <w:r w:rsidRPr="003A173C">
        <w:rPr>
          <w:rFonts w:cs="Calibri"/>
          <w:bCs/>
          <w:i/>
          <w:szCs w:val="20"/>
        </w:rPr>
        <w:t xml:space="preserve">Aged Care Act </w:t>
      </w:r>
      <w:r w:rsidR="004A31CC" w:rsidRPr="003A173C">
        <w:rPr>
          <w:rFonts w:cs="Calibri"/>
          <w:bCs/>
          <w:i/>
          <w:szCs w:val="20"/>
        </w:rPr>
        <w:t xml:space="preserve">2024 </w:t>
      </w:r>
      <w:r w:rsidR="00F8430F" w:rsidRPr="003A173C">
        <w:rPr>
          <w:rFonts w:cs="Calibri"/>
          <w:bCs/>
          <w:szCs w:val="20"/>
        </w:rPr>
        <w:t xml:space="preserve">(the </w:t>
      </w:r>
      <w:r w:rsidR="00F8430F" w:rsidRPr="003A173C">
        <w:rPr>
          <w:rFonts w:cs="Calibri"/>
          <w:b/>
          <w:szCs w:val="20"/>
        </w:rPr>
        <w:t>Act</w:t>
      </w:r>
      <w:r w:rsidR="00F8430F" w:rsidRPr="003A173C">
        <w:rPr>
          <w:rFonts w:cs="Calibri"/>
          <w:bCs/>
          <w:szCs w:val="20"/>
        </w:rPr>
        <w:t xml:space="preserve">) </w:t>
      </w:r>
      <w:r w:rsidR="004A31CC" w:rsidRPr="003A173C">
        <w:rPr>
          <w:rFonts w:cs="Calibri"/>
          <w:bCs/>
          <w:szCs w:val="20"/>
        </w:rPr>
        <w:t xml:space="preserve">and the Aged Care Rules 2025 (the </w:t>
      </w:r>
      <w:r w:rsidR="004A31CC" w:rsidRPr="003A173C">
        <w:rPr>
          <w:rFonts w:cs="Calibri"/>
          <w:b/>
          <w:szCs w:val="20"/>
        </w:rPr>
        <w:t>Rules</w:t>
      </w:r>
      <w:r w:rsidR="004A31CC" w:rsidRPr="003A173C">
        <w:rPr>
          <w:rFonts w:cs="Calibri"/>
          <w:bCs/>
          <w:szCs w:val="20"/>
        </w:rPr>
        <w:t xml:space="preserve">) </w:t>
      </w:r>
      <w:r w:rsidRPr="003A173C">
        <w:rPr>
          <w:rFonts w:cs="Calibri"/>
          <w:bCs/>
          <w:szCs w:val="20"/>
        </w:rPr>
        <w:t>and</w:t>
      </w:r>
      <w:r w:rsidR="00F8430F" w:rsidRPr="003A173C">
        <w:rPr>
          <w:rFonts w:cs="Calibri"/>
          <w:bCs/>
          <w:szCs w:val="20"/>
        </w:rPr>
        <w:t>, where relevant,</w:t>
      </w:r>
      <w:r w:rsidRPr="003A173C">
        <w:rPr>
          <w:rFonts w:cs="Calibri"/>
          <w:bCs/>
          <w:szCs w:val="20"/>
        </w:rPr>
        <w:t xml:space="preserve"> the </w:t>
      </w:r>
      <w:r w:rsidR="000E098E" w:rsidRPr="003A173C">
        <w:rPr>
          <w:rFonts w:cs="Calibri"/>
          <w:bCs/>
          <w:i/>
          <w:iCs/>
          <w:szCs w:val="20"/>
        </w:rPr>
        <w:t xml:space="preserve">Aged Care (Consequential and Transitional Provisions) Act 2024 </w:t>
      </w:r>
      <w:r w:rsidR="006E059E" w:rsidRPr="003A173C">
        <w:rPr>
          <w:rFonts w:cs="Calibri"/>
          <w:bCs/>
          <w:szCs w:val="20"/>
        </w:rPr>
        <w:t xml:space="preserve">(the </w:t>
      </w:r>
      <w:r w:rsidR="00C03331" w:rsidRPr="003A173C">
        <w:rPr>
          <w:rFonts w:cs="Calibri"/>
          <w:b/>
          <w:szCs w:val="20"/>
        </w:rPr>
        <w:t xml:space="preserve">Consequential and </w:t>
      </w:r>
      <w:r w:rsidR="006E059E" w:rsidRPr="003A173C">
        <w:rPr>
          <w:rFonts w:cs="Calibri"/>
          <w:b/>
          <w:szCs w:val="20"/>
        </w:rPr>
        <w:t>Transitional Provisions Act</w:t>
      </w:r>
      <w:r w:rsidR="006E059E" w:rsidRPr="00B62934">
        <w:rPr>
          <w:rFonts w:cs="Calibri"/>
          <w:bCs/>
          <w:szCs w:val="20"/>
        </w:rPr>
        <w:t>)</w:t>
      </w:r>
      <w:r w:rsidR="006E059E" w:rsidRPr="00B62934">
        <w:rPr>
          <w:rStyle w:val="FootnoteReference"/>
          <w:rFonts w:cs="Calibri"/>
          <w:bCs/>
          <w:snapToGrid w:val="0"/>
          <w:spacing w:val="0"/>
          <w:lang w:val="en-US" w:eastAsia="en-US"/>
        </w:rPr>
        <w:t xml:space="preserve"> </w:t>
      </w:r>
      <w:r w:rsidR="005E1431" w:rsidRPr="003A173C">
        <w:rPr>
          <w:rStyle w:val="FootnoteReference"/>
          <w:rFonts w:cs="Calibri"/>
          <w:snapToGrid w:val="0"/>
          <w:spacing w:val="0"/>
          <w:lang w:val="en-US" w:eastAsia="en-US"/>
        </w:rPr>
        <w:t xml:space="preserve"> </w:t>
      </w:r>
      <w:r w:rsidRPr="003A173C">
        <w:rPr>
          <w:rFonts w:cs="Calibri"/>
          <w:bCs/>
          <w:szCs w:val="20"/>
        </w:rPr>
        <w:t xml:space="preserve">through a </w:t>
      </w:r>
      <w:r w:rsidR="00445FC8" w:rsidRPr="003A173C">
        <w:rPr>
          <w:rFonts w:cs="Calibri"/>
          <w:bCs/>
          <w:szCs w:val="20"/>
        </w:rPr>
        <w:t xml:space="preserve">Transition Care Program Agreement </w:t>
      </w:r>
      <w:r w:rsidR="00784E2D" w:rsidRPr="00B62934">
        <w:rPr>
          <w:rFonts w:cs="Calibri"/>
          <w:bCs/>
          <w:szCs w:val="20"/>
        </w:rPr>
        <w:t>(</w:t>
      </w:r>
      <w:r w:rsidR="00784E2D" w:rsidRPr="003A173C">
        <w:rPr>
          <w:rFonts w:cs="Calibri"/>
          <w:b/>
          <w:szCs w:val="20"/>
        </w:rPr>
        <w:t>TCP</w:t>
      </w:r>
      <w:r w:rsidR="00445FC8" w:rsidRPr="003A173C">
        <w:rPr>
          <w:rFonts w:cs="Calibri"/>
          <w:b/>
          <w:szCs w:val="20"/>
        </w:rPr>
        <w:t xml:space="preserve"> Agreement</w:t>
      </w:r>
      <w:r w:rsidRPr="003A173C">
        <w:rPr>
          <w:rFonts w:cs="Calibri"/>
          <w:bCs/>
          <w:szCs w:val="20"/>
        </w:rPr>
        <w:t xml:space="preserve">) between the </w:t>
      </w:r>
      <w:r w:rsidR="00931641" w:rsidRPr="003A173C">
        <w:rPr>
          <w:rFonts w:cs="Calibri"/>
          <w:bCs/>
          <w:szCs w:val="20"/>
        </w:rPr>
        <w:t xml:space="preserve">Australian </w:t>
      </w:r>
      <w:r w:rsidRPr="003A173C">
        <w:rPr>
          <w:rFonts w:cs="Calibri"/>
          <w:bCs/>
          <w:szCs w:val="20"/>
        </w:rPr>
        <w:t xml:space="preserve">Government and each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 xml:space="preserve">erritory government. Compliance with the guidelines is a requirement under the </w:t>
      </w:r>
      <w:r w:rsidR="00784E2D" w:rsidRPr="003A173C">
        <w:rPr>
          <w:rFonts w:cs="Calibri"/>
          <w:bCs/>
          <w:szCs w:val="20"/>
        </w:rPr>
        <w:t xml:space="preserve">TCP Agreement. </w:t>
      </w:r>
    </w:p>
    <w:p w14:paraId="5497C596" w14:textId="6DF49133" w:rsidR="00605BA0" w:rsidRPr="003A173C" w:rsidRDefault="00605BA0" w:rsidP="00B42C61">
      <w:pPr>
        <w:autoSpaceDE w:val="0"/>
        <w:autoSpaceDN w:val="0"/>
        <w:adjustRightInd w:val="0"/>
        <w:spacing w:before="0" w:after="0"/>
        <w:rPr>
          <w:rFonts w:cs="Calibri"/>
          <w:bCs/>
          <w:szCs w:val="20"/>
        </w:rPr>
      </w:pPr>
      <w:r w:rsidRPr="003A173C">
        <w:rPr>
          <w:rFonts w:cs="Calibri"/>
          <w:bCs/>
          <w:szCs w:val="20"/>
        </w:rPr>
        <w:t>The guidelines should be read in conjunction with the</w:t>
      </w:r>
      <w:r w:rsidR="00F8430F" w:rsidRPr="003A173C">
        <w:rPr>
          <w:rFonts w:cs="Calibri"/>
          <w:bCs/>
          <w:szCs w:val="20"/>
        </w:rPr>
        <w:t xml:space="preserve"> Act</w:t>
      </w:r>
      <w:r w:rsidR="00BB0515" w:rsidRPr="003A173C">
        <w:rPr>
          <w:rFonts w:cs="Calibri"/>
          <w:bCs/>
          <w:szCs w:val="20"/>
        </w:rPr>
        <w:t>,</w:t>
      </w:r>
      <w:r w:rsidRPr="003A173C">
        <w:rPr>
          <w:rFonts w:cs="Calibri"/>
          <w:bCs/>
          <w:szCs w:val="20"/>
        </w:rPr>
        <w:t xml:space="preserve"> </w:t>
      </w:r>
      <w:r w:rsidR="00461DAE" w:rsidRPr="003A173C">
        <w:rPr>
          <w:rFonts w:cs="Calibri"/>
          <w:bCs/>
          <w:szCs w:val="20"/>
        </w:rPr>
        <w:t>the Rule</w:t>
      </w:r>
      <w:r w:rsidR="00A36C6B" w:rsidRPr="003A173C">
        <w:rPr>
          <w:rFonts w:cs="Calibri"/>
          <w:bCs/>
          <w:szCs w:val="20"/>
        </w:rPr>
        <w:t>s</w:t>
      </w:r>
      <w:r w:rsidR="00461DAE" w:rsidRPr="003A173C">
        <w:rPr>
          <w:rFonts w:cs="Calibri"/>
          <w:bCs/>
          <w:szCs w:val="20"/>
        </w:rPr>
        <w:t xml:space="preserve"> and </w:t>
      </w:r>
      <w:r w:rsidRPr="003A173C">
        <w:rPr>
          <w:rFonts w:cs="Calibri"/>
          <w:bCs/>
          <w:szCs w:val="20"/>
        </w:rPr>
        <w:t xml:space="preserve">the </w:t>
      </w:r>
      <w:r w:rsidR="00461DAE" w:rsidRPr="003A173C">
        <w:rPr>
          <w:rFonts w:cs="Calibri"/>
          <w:bCs/>
          <w:szCs w:val="20"/>
        </w:rPr>
        <w:t xml:space="preserve">Consequential and </w:t>
      </w:r>
      <w:r w:rsidR="006E059E" w:rsidRPr="003A173C">
        <w:rPr>
          <w:rFonts w:cs="Calibri"/>
          <w:szCs w:val="20"/>
        </w:rPr>
        <w:t>Transitional Provisions</w:t>
      </w:r>
      <w:r w:rsidR="00D75996" w:rsidRPr="003A173C">
        <w:rPr>
          <w:rFonts w:cs="Calibri"/>
          <w:szCs w:val="20"/>
        </w:rPr>
        <w:t xml:space="preserve"> Act</w:t>
      </w:r>
      <w:r w:rsidR="003B6C96" w:rsidRPr="003A173C">
        <w:rPr>
          <w:rFonts w:cs="Calibri"/>
          <w:szCs w:val="20"/>
        </w:rPr>
        <w:t xml:space="preserve"> </w:t>
      </w:r>
      <w:r w:rsidR="00F8430F" w:rsidRPr="003A173C">
        <w:rPr>
          <w:rFonts w:cs="Calibri"/>
          <w:szCs w:val="20"/>
        </w:rPr>
        <w:t>where relevant</w:t>
      </w:r>
      <w:r w:rsidR="00536CD3" w:rsidRPr="003A173C">
        <w:rPr>
          <w:rFonts w:cs="Calibri"/>
          <w:i/>
          <w:szCs w:val="20"/>
        </w:rPr>
        <w:t xml:space="preserve">. </w:t>
      </w:r>
      <w:r w:rsidR="00D07E67" w:rsidRPr="003A173C">
        <w:rPr>
          <w:rFonts w:cs="Calibri"/>
          <w:bCs/>
          <w:szCs w:val="20"/>
        </w:rPr>
        <w:t xml:space="preserve">Further information about the </w:t>
      </w:r>
      <w:r w:rsidR="00536CD3" w:rsidRPr="003A173C">
        <w:rPr>
          <w:rFonts w:cs="Calibri"/>
          <w:bCs/>
          <w:szCs w:val="20"/>
        </w:rPr>
        <w:t>TCP</w:t>
      </w:r>
      <w:r w:rsidR="00D07E67" w:rsidRPr="003A173C">
        <w:rPr>
          <w:rFonts w:cs="Calibri"/>
          <w:bCs/>
          <w:szCs w:val="20"/>
        </w:rPr>
        <w:t xml:space="preserve"> or clarification of</w:t>
      </w:r>
      <w:r w:rsidRPr="003A173C">
        <w:rPr>
          <w:rFonts w:cs="Calibri"/>
          <w:bCs/>
          <w:szCs w:val="20"/>
        </w:rPr>
        <w:t xml:space="preserve"> the guidelines</w:t>
      </w:r>
      <w:r w:rsidR="00D07E67" w:rsidRPr="003A173C">
        <w:rPr>
          <w:rFonts w:cs="Calibri"/>
          <w:bCs/>
          <w:szCs w:val="20"/>
        </w:rPr>
        <w:t xml:space="preserve"> can </w:t>
      </w:r>
      <w:r w:rsidRPr="003A173C">
        <w:rPr>
          <w:rFonts w:cs="Calibri"/>
          <w:bCs/>
          <w:szCs w:val="20"/>
        </w:rPr>
        <w:t>be sought from the</w:t>
      </w:r>
      <w:r w:rsidR="002800FA" w:rsidRPr="003A173C">
        <w:rPr>
          <w:rFonts w:cs="Calibri"/>
          <w:bCs/>
          <w:szCs w:val="20"/>
        </w:rPr>
        <w:t xml:space="preserve"> </w:t>
      </w:r>
      <w:r w:rsidR="00931641" w:rsidRPr="003A173C">
        <w:rPr>
          <w:rFonts w:cs="Calibri"/>
          <w:bCs/>
          <w:szCs w:val="20"/>
        </w:rPr>
        <w:t xml:space="preserve">Australian </w:t>
      </w:r>
      <w:r w:rsidR="002800FA" w:rsidRPr="003A173C">
        <w:rPr>
          <w:rFonts w:cs="Calibri"/>
          <w:bCs/>
          <w:szCs w:val="20"/>
        </w:rPr>
        <w:t>Government</w:t>
      </w:r>
      <w:r w:rsidRPr="003A173C">
        <w:rPr>
          <w:rFonts w:cs="Calibri"/>
          <w:bCs/>
          <w:szCs w:val="20"/>
        </w:rPr>
        <w:t xml:space="preserve"> Department of </w:t>
      </w:r>
      <w:r w:rsidR="00B82FC2" w:rsidRPr="003A173C">
        <w:rPr>
          <w:rFonts w:cs="Calibri"/>
          <w:bCs/>
          <w:szCs w:val="20"/>
        </w:rPr>
        <w:t>Health</w:t>
      </w:r>
      <w:r w:rsidR="00A36C6B" w:rsidRPr="003A173C">
        <w:rPr>
          <w:rFonts w:cs="Calibri"/>
          <w:bCs/>
          <w:szCs w:val="20"/>
        </w:rPr>
        <w:t>, Disability</w:t>
      </w:r>
      <w:r w:rsidR="00537296" w:rsidRPr="003A173C">
        <w:rPr>
          <w:rFonts w:cs="Calibri"/>
          <w:bCs/>
          <w:szCs w:val="20"/>
        </w:rPr>
        <w:t xml:space="preserve"> and Age</w:t>
      </w:r>
      <w:r w:rsidR="00A36C6B" w:rsidRPr="003A173C">
        <w:rPr>
          <w:rFonts w:cs="Calibri"/>
          <w:bCs/>
          <w:szCs w:val="20"/>
        </w:rPr>
        <w:t>ing</w:t>
      </w:r>
      <w:r w:rsidRPr="003A173C">
        <w:rPr>
          <w:rFonts w:cs="Calibri"/>
          <w:bCs/>
          <w:szCs w:val="20"/>
        </w:rPr>
        <w:t xml:space="preserve"> </w:t>
      </w:r>
      <w:r w:rsidR="00F43E59" w:rsidRPr="003A173C">
        <w:rPr>
          <w:rFonts w:cs="Calibri"/>
          <w:bCs/>
          <w:szCs w:val="20"/>
        </w:rPr>
        <w:t xml:space="preserve">(the </w:t>
      </w:r>
      <w:r w:rsidR="008241C0" w:rsidRPr="003A173C">
        <w:rPr>
          <w:rFonts w:cs="Calibri"/>
          <w:b/>
          <w:szCs w:val="20"/>
        </w:rPr>
        <w:t>D</w:t>
      </w:r>
      <w:r w:rsidR="00F43E59" w:rsidRPr="003A173C">
        <w:rPr>
          <w:rFonts w:cs="Calibri"/>
          <w:b/>
          <w:szCs w:val="20"/>
        </w:rPr>
        <w:t>epartment</w:t>
      </w:r>
      <w:r w:rsidR="00F43E59" w:rsidRPr="003A173C">
        <w:rPr>
          <w:rFonts w:cs="Calibri"/>
          <w:bCs/>
          <w:szCs w:val="20"/>
        </w:rPr>
        <w:t>)</w:t>
      </w:r>
      <w:r w:rsidR="00D07E67" w:rsidRPr="003A173C">
        <w:rPr>
          <w:rFonts w:cs="Calibri"/>
          <w:bCs/>
          <w:szCs w:val="20"/>
        </w:rPr>
        <w:t>,</w:t>
      </w:r>
      <w:r w:rsidR="00F43E59" w:rsidRPr="003A173C">
        <w:rPr>
          <w:rFonts w:cs="Calibri"/>
          <w:bCs/>
          <w:szCs w:val="20"/>
        </w:rPr>
        <w:t xml:space="preserve"> </w:t>
      </w:r>
      <w:r w:rsidRPr="003A173C">
        <w:rPr>
          <w:rFonts w:cs="Calibri"/>
          <w:bCs/>
          <w:szCs w:val="20"/>
        </w:rPr>
        <w:t xml:space="preserve">or the </w:t>
      </w:r>
      <w:r w:rsidR="005A6474" w:rsidRPr="003A173C">
        <w:rPr>
          <w:rFonts w:cs="Calibri"/>
          <w:bCs/>
          <w:szCs w:val="20"/>
        </w:rPr>
        <w:t xml:space="preserve">relevant </w:t>
      </w:r>
      <w:r w:rsidR="00AA4804" w:rsidRPr="003A173C">
        <w:rPr>
          <w:rFonts w:cs="Calibri"/>
          <w:bCs/>
          <w:szCs w:val="20"/>
        </w:rPr>
        <w:t>S</w:t>
      </w:r>
      <w:r w:rsidRPr="003A173C">
        <w:rPr>
          <w:rFonts w:cs="Calibri"/>
          <w:bCs/>
          <w:szCs w:val="20"/>
        </w:rPr>
        <w:t xml:space="preserve">tate or </w:t>
      </w:r>
      <w:r w:rsidR="00AA4804" w:rsidRPr="003A173C">
        <w:rPr>
          <w:rFonts w:cs="Calibri"/>
          <w:bCs/>
          <w:szCs w:val="20"/>
        </w:rPr>
        <w:t>T</w:t>
      </w:r>
      <w:r w:rsidRPr="003A173C">
        <w:rPr>
          <w:rFonts w:cs="Calibri"/>
          <w:bCs/>
          <w:szCs w:val="20"/>
        </w:rPr>
        <w:t>erritory government</w:t>
      </w:r>
      <w:r w:rsidR="009A2ADD" w:rsidRPr="003A173C">
        <w:rPr>
          <w:rFonts w:cs="Calibri"/>
          <w:bCs/>
          <w:szCs w:val="20"/>
        </w:rPr>
        <w:t>s</w:t>
      </w:r>
      <w:r w:rsidRPr="003A173C">
        <w:rPr>
          <w:rFonts w:cs="Calibri"/>
          <w:bCs/>
          <w:szCs w:val="20"/>
        </w:rPr>
        <w:t xml:space="preserve"> </w:t>
      </w:r>
      <w:r w:rsidR="009D58BC" w:rsidRPr="003A173C">
        <w:rPr>
          <w:rFonts w:cs="Calibri"/>
          <w:bCs/>
          <w:szCs w:val="20"/>
        </w:rPr>
        <w:t xml:space="preserve">who </w:t>
      </w:r>
      <w:r w:rsidR="00B250B2" w:rsidRPr="003A173C">
        <w:rPr>
          <w:rFonts w:cs="Calibri"/>
          <w:bCs/>
          <w:szCs w:val="20"/>
        </w:rPr>
        <w:t>oversee and manage the delivery</w:t>
      </w:r>
      <w:r w:rsidRPr="003A173C">
        <w:rPr>
          <w:rFonts w:cs="Calibri"/>
          <w:bCs/>
          <w:szCs w:val="20"/>
        </w:rPr>
        <w:t xml:space="preserve"> of transition care</w:t>
      </w:r>
      <w:r w:rsidR="00B250B2" w:rsidRPr="003A173C">
        <w:rPr>
          <w:rFonts w:cs="Calibri"/>
          <w:bCs/>
          <w:szCs w:val="20"/>
        </w:rPr>
        <w:t xml:space="preserve"> by registered providers in their jurisdiction</w:t>
      </w:r>
      <w:r w:rsidRPr="003A173C">
        <w:rPr>
          <w:rFonts w:cs="Calibri"/>
          <w:bCs/>
          <w:szCs w:val="20"/>
        </w:rPr>
        <w:t xml:space="preserve">. </w:t>
      </w:r>
      <w:bookmarkStart w:id="10" w:name="_Toc245536153"/>
      <w:r w:rsidR="00D07E67" w:rsidRPr="003A173C">
        <w:rPr>
          <w:rFonts w:cs="Calibri"/>
          <w:bCs/>
          <w:szCs w:val="20"/>
        </w:rPr>
        <w:t>These guidelines do not constitute legal advice.</w:t>
      </w:r>
    </w:p>
    <w:p w14:paraId="5D83EA3C" w14:textId="28DC13B7" w:rsidR="00605BA0" w:rsidRPr="003A173C" w:rsidRDefault="00605BA0" w:rsidP="00187113">
      <w:pPr>
        <w:pStyle w:val="Heading2"/>
        <w:rPr>
          <w:rFonts w:ascii="Calibri" w:hAnsi="Calibri" w:cs="Calibri"/>
        </w:rPr>
      </w:pPr>
      <w:bookmarkStart w:id="11" w:name="_Toc216865434"/>
      <w:r w:rsidRPr="003A173C">
        <w:rPr>
          <w:rFonts w:ascii="Calibri" w:hAnsi="Calibri" w:cs="Calibri"/>
        </w:rPr>
        <w:t>What the guidelines contain</w:t>
      </w:r>
      <w:bookmarkEnd w:id="10"/>
      <w:bookmarkEnd w:id="11"/>
    </w:p>
    <w:p w14:paraId="28BDF01E" w14:textId="5A734883" w:rsidR="00605BA0" w:rsidRPr="003A173C" w:rsidRDefault="00605BA0" w:rsidP="00FA34AC">
      <w:r w:rsidRPr="003A173C">
        <w:t xml:space="preserve">The guidelines explain the </w:t>
      </w:r>
      <w:r w:rsidR="00931641" w:rsidRPr="003A173C">
        <w:t xml:space="preserve">Australian </w:t>
      </w:r>
      <w:r w:rsidRPr="003A173C">
        <w:t>Government’s policy context and operational requirements for the</w:t>
      </w:r>
      <w:bookmarkStart w:id="12" w:name="_Toc245536154"/>
      <w:r w:rsidRPr="003A173C">
        <w:t xml:space="preserve"> provision of transition care.</w:t>
      </w:r>
    </w:p>
    <w:p w14:paraId="19B16D17" w14:textId="0B93C0CE" w:rsidR="00605BA0" w:rsidRPr="003A173C" w:rsidRDefault="00605BA0" w:rsidP="00605BA0">
      <w:pPr>
        <w:pStyle w:val="Heading2"/>
        <w:rPr>
          <w:rFonts w:ascii="Calibri" w:hAnsi="Calibri" w:cs="Calibri"/>
        </w:rPr>
      </w:pPr>
      <w:bookmarkStart w:id="13" w:name="_Toc216865435"/>
      <w:r w:rsidRPr="003A173C">
        <w:rPr>
          <w:rFonts w:ascii="Calibri" w:hAnsi="Calibri" w:cs="Calibri"/>
        </w:rPr>
        <w:t>How the guidelines will be updated</w:t>
      </w:r>
      <w:bookmarkEnd w:id="12"/>
      <w:bookmarkEnd w:id="13"/>
    </w:p>
    <w:p w14:paraId="46B2DC0E" w14:textId="2366E726" w:rsidR="00605BA0" w:rsidRPr="003A173C" w:rsidRDefault="00605BA0" w:rsidP="00FA34AC">
      <w:r w:rsidRPr="003A173C">
        <w:t xml:space="preserve">The Department will update the guidelines, as required, in consultation with </w:t>
      </w:r>
      <w:r w:rsidR="00AA4804" w:rsidRPr="003A173C">
        <w:t>S</w:t>
      </w:r>
      <w:r w:rsidRPr="003A173C">
        <w:t xml:space="preserve">tates and </w:t>
      </w:r>
      <w:r w:rsidR="00AA4804" w:rsidRPr="003A173C">
        <w:t>T</w:t>
      </w:r>
      <w:r w:rsidRPr="003A173C">
        <w:t>erritories, to ensure their currency and accuracy.</w:t>
      </w:r>
    </w:p>
    <w:p w14:paraId="583FF478" w14:textId="074CEFE4" w:rsidR="00605BA0" w:rsidRPr="003A173C" w:rsidRDefault="00605BA0" w:rsidP="00FA34AC">
      <w:r w:rsidRPr="003A173C">
        <w:t>Please refer to the online version of the guidelines located on the</w:t>
      </w:r>
      <w:r w:rsidR="00DB2703" w:rsidRPr="003A173C">
        <w:t xml:space="preserve"> Department’s</w:t>
      </w:r>
      <w:r w:rsidRPr="003A173C">
        <w:t xml:space="preserve"> </w:t>
      </w:r>
      <w:hyperlink r:id="rId20" w:history="1">
        <w:r w:rsidRPr="003A173C">
          <w:rPr>
            <w:rStyle w:val="Hyperlink"/>
            <w:rFonts w:ascii="Calibri" w:hAnsi="Calibri" w:cs="Calibri"/>
            <w:sz w:val="20"/>
            <w:szCs w:val="20"/>
          </w:rPr>
          <w:t>website</w:t>
        </w:r>
      </w:hyperlink>
      <w:r w:rsidRPr="003A173C">
        <w:t xml:space="preserve"> to ensure you have the most recent version. The footer of each page includes the</w:t>
      </w:r>
      <w:bookmarkStart w:id="14" w:name="_Toc245536155"/>
      <w:r w:rsidRPr="003A173C">
        <w:t xml:space="preserve"> issue date of the guidelines.</w:t>
      </w:r>
      <w:r w:rsidR="00645550" w:rsidRPr="003A173C">
        <w:t xml:space="preserve"> </w:t>
      </w:r>
    </w:p>
    <w:p w14:paraId="28928CD7" w14:textId="5259BE31" w:rsidR="00605BA0" w:rsidRPr="003A173C" w:rsidRDefault="00605BA0" w:rsidP="00B011D9">
      <w:pPr>
        <w:pStyle w:val="Heading2"/>
        <w:tabs>
          <w:tab w:val="left" w:pos="4239"/>
        </w:tabs>
        <w:rPr>
          <w:rFonts w:ascii="Calibri" w:hAnsi="Calibri" w:cs="Calibri"/>
        </w:rPr>
      </w:pPr>
      <w:bookmarkStart w:id="15" w:name="_Toc245536156"/>
      <w:bookmarkStart w:id="16" w:name="_Toc110834633"/>
      <w:bookmarkStart w:id="17" w:name="_Toc216865436"/>
      <w:bookmarkEnd w:id="14"/>
      <w:r w:rsidRPr="003A173C">
        <w:rPr>
          <w:rFonts w:ascii="Calibri" w:hAnsi="Calibri" w:cs="Calibri"/>
        </w:rPr>
        <w:t>Feedback</w:t>
      </w:r>
      <w:bookmarkEnd w:id="15"/>
      <w:bookmarkEnd w:id="16"/>
      <w:bookmarkEnd w:id="17"/>
    </w:p>
    <w:p w14:paraId="1931E781" w14:textId="684FC05A" w:rsidR="00605BA0" w:rsidRPr="003A173C" w:rsidRDefault="00605BA0" w:rsidP="00FA34AC">
      <w:r w:rsidRPr="003A173C">
        <w:t xml:space="preserve">The Department and all </w:t>
      </w:r>
      <w:r w:rsidR="00AA4804" w:rsidRPr="003A173C">
        <w:t>S</w:t>
      </w:r>
      <w:r w:rsidRPr="003A173C">
        <w:t xml:space="preserve">tate and </w:t>
      </w:r>
      <w:r w:rsidR="00AA4804" w:rsidRPr="003A173C">
        <w:t>T</w:t>
      </w:r>
      <w:r w:rsidRPr="003A173C">
        <w:t>erritory governments welcome any comments on the guidelines.</w:t>
      </w:r>
      <w:r w:rsidR="009F7ADE" w:rsidRPr="003A173C">
        <w:t xml:space="preserve"> </w:t>
      </w:r>
      <w:r w:rsidR="00BF6BD8" w:rsidRPr="003A173C">
        <w:t>Please provide any comments via email</w:t>
      </w:r>
      <w:r w:rsidR="00AB2C1D" w:rsidRPr="003A173C">
        <w:t xml:space="preserve"> to</w:t>
      </w:r>
      <w:r w:rsidR="00FE2836" w:rsidRPr="003A173C">
        <w:t xml:space="preserve"> </w:t>
      </w:r>
      <w:hyperlink r:id="rId21" w:history="1">
        <w:r w:rsidR="00FE2836" w:rsidRPr="003A173C">
          <w:rPr>
            <w:rStyle w:val="Hyperlink"/>
            <w:rFonts w:ascii="Calibri" w:hAnsi="Calibri" w:cs="Calibri"/>
            <w:sz w:val="20"/>
            <w:szCs w:val="20"/>
          </w:rPr>
          <w:t>TCP@health.gov.au</w:t>
        </w:r>
      </w:hyperlink>
      <w:r w:rsidR="00FE2836" w:rsidRPr="003A173C">
        <w:t>.</w:t>
      </w:r>
    </w:p>
    <w:p w14:paraId="309A7749" w14:textId="68BD0A45" w:rsidR="00605BA0" w:rsidRPr="003A173C" w:rsidRDefault="00605BA0" w:rsidP="00DF7B75">
      <w:pPr>
        <w:pStyle w:val="Heading1"/>
        <w:rPr>
          <w:rFonts w:ascii="Calibri" w:hAnsi="Calibri" w:cs="Calibri"/>
        </w:rPr>
      </w:pPr>
      <w:bookmarkStart w:id="18" w:name="_Toc422732514"/>
      <w:bookmarkStart w:id="19" w:name="_Toc422752854"/>
      <w:bookmarkStart w:id="20" w:name="_Toc216865437"/>
      <w:r w:rsidRPr="003A173C">
        <w:rPr>
          <w:rFonts w:ascii="Calibri" w:hAnsi="Calibri" w:cs="Calibri"/>
        </w:rPr>
        <w:lastRenderedPageBreak/>
        <w:t>INTRODUCTION</w:t>
      </w:r>
      <w:bookmarkStart w:id="21" w:name="_Hlk76983937"/>
      <w:bookmarkEnd w:id="18"/>
      <w:bookmarkEnd w:id="19"/>
      <w:bookmarkEnd w:id="20"/>
    </w:p>
    <w:p w14:paraId="30DEFFE4" w14:textId="2D02F4DE" w:rsidR="00605BA0" w:rsidRPr="003A173C" w:rsidRDefault="00605BA0" w:rsidP="00605BA0">
      <w:pPr>
        <w:pStyle w:val="Heading2"/>
        <w:rPr>
          <w:rFonts w:ascii="Calibri" w:hAnsi="Calibri" w:cs="Calibri"/>
        </w:rPr>
      </w:pPr>
      <w:bookmarkStart w:id="22" w:name="_Toc245536157"/>
      <w:bookmarkStart w:id="23" w:name="_Toc395537157"/>
      <w:bookmarkStart w:id="24" w:name="_Toc422732515"/>
      <w:bookmarkStart w:id="25" w:name="_Toc422752855"/>
      <w:bookmarkStart w:id="26" w:name="_Toc216865438"/>
      <w:bookmarkEnd w:id="21"/>
      <w:r w:rsidRPr="003A173C">
        <w:rPr>
          <w:rFonts w:ascii="Calibri" w:hAnsi="Calibri" w:cs="Calibri"/>
        </w:rPr>
        <w:t>Transition care</w:t>
      </w:r>
      <w:bookmarkEnd w:id="22"/>
      <w:r w:rsidRPr="003A173C">
        <w:rPr>
          <w:rFonts w:ascii="Calibri" w:hAnsi="Calibri" w:cs="Calibri"/>
        </w:rPr>
        <w:t xml:space="preserve"> in brief</w:t>
      </w:r>
      <w:bookmarkEnd w:id="23"/>
      <w:bookmarkEnd w:id="24"/>
      <w:bookmarkEnd w:id="25"/>
      <w:bookmarkEnd w:id="26"/>
      <w:r w:rsidRPr="003A173C">
        <w:rPr>
          <w:rFonts w:ascii="Calibri" w:hAnsi="Calibri" w:cs="Calibri"/>
        </w:rPr>
        <w:t xml:space="preserve"> </w:t>
      </w:r>
    </w:p>
    <w:p w14:paraId="760B9588" w14:textId="006F27AC" w:rsidR="00605BA0" w:rsidRPr="003A173C" w:rsidRDefault="20B0B6FB" w:rsidP="00FA34AC">
      <w:r w:rsidRPr="003A173C">
        <w:t>Transition care</w:t>
      </w:r>
      <w:r w:rsidR="0181C130" w:rsidRPr="003A173C">
        <w:t xml:space="preserve"> is a </w:t>
      </w:r>
      <w:r w:rsidR="0181C130" w:rsidRPr="003A173C">
        <w:rPr>
          <w:b/>
          <w:bCs/>
        </w:rPr>
        <w:t>specialist aged care program</w:t>
      </w:r>
      <w:r w:rsidR="0181C130" w:rsidRPr="003A173C">
        <w:t xml:space="preserve"> under section 7 of the Act</w:t>
      </w:r>
      <w:r w:rsidR="4CA1ED99" w:rsidRPr="003A173C">
        <w:t>. It</w:t>
      </w:r>
      <w:r w:rsidRPr="003A173C">
        <w:t xml:space="preserve"> provides short-term care to optimise the functioning and independence of older people after a hospital stay. Transition care is goal</w:t>
      </w:r>
      <w:r w:rsidR="6EFD6C09" w:rsidRPr="003A173C">
        <w:t>-</w:t>
      </w:r>
      <w:r w:rsidR="00D216C6" w:rsidRPr="003A173C">
        <w:noBreakHyphen/>
      </w:r>
      <w:r w:rsidRPr="003A173C">
        <w:t>oriented, time</w:t>
      </w:r>
      <w:r w:rsidR="4E44DE86" w:rsidRPr="003A173C">
        <w:t>-</w:t>
      </w:r>
      <w:r w:rsidRPr="003A173C">
        <w:t>limited and therapy</w:t>
      </w:r>
      <w:r w:rsidR="7BB056C9" w:rsidRPr="003A173C">
        <w:t xml:space="preserve"> </w:t>
      </w:r>
      <w:r w:rsidRPr="003A173C">
        <w:t xml:space="preserve">focused. It provides older people with a package of services that includes low intensity therapy such as physiotherapy and occupational therapy, as well as social work, nursing support </w:t>
      </w:r>
      <w:r w:rsidR="00796F4B" w:rsidRPr="003A173C">
        <w:t>and/</w:t>
      </w:r>
      <w:r w:rsidRPr="003A173C">
        <w:t>or personal care to maintain and improve physical and</w:t>
      </w:r>
      <w:r w:rsidR="1A5830BE" w:rsidRPr="003A173C">
        <w:t>/or</w:t>
      </w:r>
      <w:r w:rsidRPr="003A173C">
        <w:t xml:space="preserve"> cognitive functioning.</w:t>
      </w:r>
      <w:r w:rsidR="00605BA0" w:rsidRPr="003A173C">
        <w:rPr>
          <w:rStyle w:val="FootnoteReference"/>
          <w:rFonts w:cs="Calibri"/>
        </w:rPr>
        <w:footnoteReference w:id="2"/>
      </w:r>
      <w:r w:rsidRPr="003A173C">
        <w:t xml:space="preserve"> </w:t>
      </w:r>
      <w:r w:rsidR="2D03B704" w:rsidRPr="003A173C">
        <w:t>Whilst available to eligible permanent resident</w:t>
      </w:r>
      <w:r w:rsidR="4ECA026F" w:rsidRPr="003A173C">
        <w:t>s of</w:t>
      </w:r>
      <w:r w:rsidR="2D03B704" w:rsidRPr="003A173C">
        <w:t xml:space="preserve"> </w:t>
      </w:r>
      <w:r w:rsidR="002D4D33">
        <w:t>residential</w:t>
      </w:r>
      <w:r w:rsidR="2D03B704" w:rsidRPr="003A173C">
        <w:t xml:space="preserve"> care </w:t>
      </w:r>
      <w:r w:rsidR="4ECA026F" w:rsidRPr="003A173C">
        <w:t>homes</w:t>
      </w:r>
      <w:r w:rsidR="2D03B704" w:rsidRPr="003A173C">
        <w:t>, t</w:t>
      </w:r>
      <w:r w:rsidR="6E70FC59" w:rsidRPr="003A173C">
        <w:t xml:space="preserve">he </w:t>
      </w:r>
      <w:r w:rsidR="00B505C7" w:rsidRPr="003A173C">
        <w:t>program</w:t>
      </w:r>
      <w:r w:rsidRPr="003A173C">
        <w:t xml:space="preserve"> seeks to ena</w:t>
      </w:r>
      <w:r w:rsidR="74F7BF83" w:rsidRPr="003A173C">
        <w:t>ble older people</w:t>
      </w:r>
      <w:r w:rsidR="51F76CCB" w:rsidRPr="003A173C">
        <w:t xml:space="preserve">, </w:t>
      </w:r>
      <w:r w:rsidR="2D03B704" w:rsidRPr="003A173C">
        <w:t xml:space="preserve">where possible, </w:t>
      </w:r>
      <w:r w:rsidR="5BD18CB0" w:rsidRPr="003A173C">
        <w:t xml:space="preserve">to </w:t>
      </w:r>
      <w:r w:rsidR="74F7BF83" w:rsidRPr="003A173C">
        <w:t>return home</w:t>
      </w:r>
      <w:r w:rsidR="1F3AEFE4" w:rsidRPr="003A173C">
        <w:t xml:space="preserve"> </w:t>
      </w:r>
      <w:r w:rsidRPr="003A173C">
        <w:t>after a hospital stay rather than</w:t>
      </w:r>
      <w:r w:rsidR="5D892EBD" w:rsidRPr="003A173C">
        <w:t xml:space="preserve"> prematurely</w:t>
      </w:r>
      <w:r w:rsidRPr="003A173C">
        <w:t xml:space="preserve"> enter residential </w:t>
      </w:r>
      <w:r w:rsidR="42663A74" w:rsidRPr="003A173C">
        <w:t xml:space="preserve">aged </w:t>
      </w:r>
      <w:r w:rsidRPr="003A173C">
        <w:t>care.</w:t>
      </w:r>
    </w:p>
    <w:p w14:paraId="35747C17" w14:textId="43519766" w:rsidR="00605BA0" w:rsidRPr="003A173C" w:rsidRDefault="00605BA0" w:rsidP="00FA34AC">
      <w:pPr>
        <w:rPr>
          <w:szCs w:val="20"/>
        </w:rPr>
      </w:pPr>
      <w:r w:rsidRPr="003A173C">
        <w:rPr>
          <w:szCs w:val="20"/>
        </w:rPr>
        <w:t>Transition care facilitates a continuum of care for older people who have completed their hospital episode, including acute and subacute care</w:t>
      </w:r>
      <w:r w:rsidRPr="003A173C">
        <w:rPr>
          <w:rStyle w:val="FootnoteReference"/>
          <w:rFonts w:cs="Calibri"/>
          <w:szCs w:val="20"/>
        </w:rPr>
        <w:footnoteReference w:id="3"/>
      </w:r>
      <w:r w:rsidRPr="003A173C">
        <w:rPr>
          <w:szCs w:val="20"/>
        </w:rPr>
        <w:t xml:space="preserve"> (</w:t>
      </w:r>
      <w:r w:rsidR="00856328" w:rsidRPr="003A173C">
        <w:rPr>
          <w:szCs w:val="20"/>
        </w:rPr>
        <w:t>e.g.</w:t>
      </w:r>
      <w:r w:rsidRPr="003A173C">
        <w:rPr>
          <w:szCs w:val="20"/>
        </w:rPr>
        <w:t xml:space="preserve"> rehabilitation, geriatric evaluation and management), and who</w:t>
      </w:r>
      <w:r w:rsidR="00B92A20" w:rsidRPr="003A173C">
        <w:rPr>
          <w:szCs w:val="20"/>
        </w:rPr>
        <w:t xml:space="preserve"> may benefit from restorative care</w:t>
      </w:r>
      <w:r w:rsidRPr="003A173C">
        <w:rPr>
          <w:szCs w:val="20"/>
        </w:rPr>
        <w:t xml:space="preserve"> </w:t>
      </w:r>
      <w:r w:rsidR="00B92A20" w:rsidRPr="003A173C">
        <w:rPr>
          <w:szCs w:val="20"/>
        </w:rPr>
        <w:t xml:space="preserve">and </w:t>
      </w:r>
      <w:r w:rsidRPr="003A173C">
        <w:rPr>
          <w:szCs w:val="20"/>
        </w:rPr>
        <w:t xml:space="preserve">more time and support to make a decision on their </w:t>
      </w:r>
      <w:r w:rsidR="003A6D92" w:rsidRPr="003A173C">
        <w:rPr>
          <w:szCs w:val="20"/>
        </w:rPr>
        <w:t>long-term</w:t>
      </w:r>
      <w:r w:rsidRPr="003A173C">
        <w:rPr>
          <w:szCs w:val="20"/>
        </w:rPr>
        <w:t xml:space="preserve"> aged care options</w:t>
      </w:r>
      <w:r w:rsidR="00B92A20" w:rsidRPr="003A173C">
        <w:rPr>
          <w:szCs w:val="20"/>
        </w:rPr>
        <w:t xml:space="preserve"> if needed</w:t>
      </w:r>
      <w:r w:rsidRPr="003A173C">
        <w:rPr>
          <w:szCs w:val="20"/>
        </w:rPr>
        <w:t>.</w:t>
      </w:r>
    </w:p>
    <w:p w14:paraId="50C95798" w14:textId="6B6148C5" w:rsidR="0074706B" w:rsidRPr="003A173C" w:rsidRDefault="0074706B" w:rsidP="00322698">
      <w:pPr>
        <w:spacing w:before="0" w:after="0"/>
        <w:rPr>
          <w:rFonts w:cs="Calibri"/>
          <w:szCs w:val="20"/>
        </w:rPr>
      </w:pPr>
      <w:r w:rsidRPr="003A173C">
        <w:rPr>
          <w:rFonts w:cs="Calibri"/>
          <w:szCs w:val="20"/>
        </w:rPr>
        <w:t xml:space="preserve">The </w:t>
      </w:r>
      <w:r w:rsidR="00B505C7" w:rsidRPr="003A173C">
        <w:rPr>
          <w:rFonts w:cs="Calibri"/>
          <w:szCs w:val="20"/>
        </w:rPr>
        <w:t>program</w:t>
      </w:r>
      <w:r w:rsidRPr="003A173C">
        <w:rPr>
          <w:rFonts w:cs="Calibri"/>
          <w:szCs w:val="20"/>
        </w:rPr>
        <w:t xml:space="preserve"> is not intended to be a “holding” program for people </w:t>
      </w:r>
      <w:r w:rsidR="00C55250" w:rsidRPr="003A173C">
        <w:rPr>
          <w:rFonts w:cs="Calibri"/>
          <w:szCs w:val="20"/>
        </w:rPr>
        <w:t>a</w:t>
      </w:r>
      <w:r w:rsidRPr="003A173C">
        <w:rPr>
          <w:rFonts w:cs="Calibri"/>
          <w:szCs w:val="20"/>
        </w:rPr>
        <w:t>waiting placement in a residential care</w:t>
      </w:r>
      <w:r w:rsidR="00DF12F7" w:rsidRPr="003A173C">
        <w:rPr>
          <w:rFonts w:cs="Calibri"/>
          <w:szCs w:val="20"/>
        </w:rPr>
        <w:t xml:space="preserve"> home</w:t>
      </w:r>
      <w:r w:rsidRPr="003A173C">
        <w:rPr>
          <w:rFonts w:cs="Calibri"/>
          <w:szCs w:val="20"/>
        </w:rPr>
        <w:t xml:space="preserve"> or </w:t>
      </w:r>
      <w:r w:rsidR="00413952" w:rsidRPr="003A173C">
        <w:rPr>
          <w:rFonts w:cs="Calibri"/>
          <w:szCs w:val="20"/>
        </w:rPr>
        <w:t xml:space="preserve">a </w:t>
      </w:r>
      <w:r w:rsidRPr="003A173C">
        <w:rPr>
          <w:rFonts w:cs="Calibri"/>
          <w:szCs w:val="20"/>
        </w:rPr>
        <w:t>residential Multi-Purpose</w:t>
      </w:r>
      <w:r w:rsidR="00413952" w:rsidRPr="003A173C">
        <w:rPr>
          <w:rFonts w:cs="Calibri"/>
          <w:szCs w:val="20"/>
        </w:rPr>
        <w:t xml:space="preserve"> Service</w:t>
      </w:r>
      <w:r w:rsidRPr="003A173C">
        <w:rPr>
          <w:rFonts w:cs="Calibri"/>
          <w:szCs w:val="20"/>
        </w:rPr>
        <w:t xml:space="preserve">. The primary function of the </w:t>
      </w:r>
      <w:r w:rsidR="00B505C7" w:rsidRPr="003A173C">
        <w:rPr>
          <w:rFonts w:cs="Calibri"/>
          <w:szCs w:val="20"/>
        </w:rPr>
        <w:t>program</w:t>
      </w:r>
      <w:r w:rsidRPr="003A173C">
        <w:rPr>
          <w:rFonts w:cs="Calibri"/>
          <w:szCs w:val="20"/>
        </w:rPr>
        <w:t xml:space="preserve"> is therap</w:t>
      </w:r>
      <w:r w:rsidR="00413952" w:rsidRPr="003A173C">
        <w:rPr>
          <w:rFonts w:cs="Calibri"/>
          <w:szCs w:val="20"/>
        </w:rPr>
        <w:t>eutic</w:t>
      </w:r>
      <w:r w:rsidRPr="003A173C">
        <w:rPr>
          <w:rFonts w:cs="Calibri"/>
          <w:szCs w:val="20"/>
        </w:rPr>
        <w:t>.</w:t>
      </w:r>
    </w:p>
    <w:p w14:paraId="573248DF" w14:textId="099E079C" w:rsidR="00605BA0" w:rsidRPr="003A173C" w:rsidRDefault="00605BA0" w:rsidP="00605BA0">
      <w:pPr>
        <w:pStyle w:val="Heading2"/>
        <w:rPr>
          <w:rFonts w:ascii="Calibri" w:hAnsi="Calibri" w:cs="Calibri"/>
        </w:rPr>
      </w:pPr>
      <w:bookmarkStart w:id="27" w:name="_Toc395537158"/>
      <w:bookmarkStart w:id="28" w:name="_Toc422732516"/>
      <w:bookmarkStart w:id="29" w:name="_Toc422752856"/>
      <w:bookmarkStart w:id="30" w:name="_Toc216865439"/>
      <w:r w:rsidRPr="003A173C">
        <w:rPr>
          <w:rFonts w:ascii="Calibri" w:hAnsi="Calibri" w:cs="Calibri"/>
        </w:rPr>
        <w:t xml:space="preserve">Roles and responsibilities within the </w:t>
      </w:r>
      <w:r w:rsidR="0005402E" w:rsidRPr="003A173C">
        <w:rPr>
          <w:rFonts w:ascii="Calibri" w:hAnsi="Calibri" w:cs="Calibri"/>
        </w:rPr>
        <w:t>T</w:t>
      </w:r>
      <w:r w:rsidRPr="003A173C">
        <w:rPr>
          <w:rFonts w:ascii="Calibri" w:hAnsi="Calibri" w:cs="Calibri"/>
        </w:rPr>
        <w:t xml:space="preserve">ransition </w:t>
      </w:r>
      <w:r w:rsidR="0005402E" w:rsidRPr="003A173C">
        <w:rPr>
          <w:rFonts w:ascii="Calibri" w:hAnsi="Calibri" w:cs="Calibri"/>
        </w:rPr>
        <w:t>C</w:t>
      </w:r>
      <w:r w:rsidRPr="003A173C">
        <w:rPr>
          <w:rFonts w:ascii="Calibri" w:hAnsi="Calibri" w:cs="Calibri"/>
        </w:rPr>
        <w:t xml:space="preserve">are </w:t>
      </w:r>
      <w:bookmarkEnd w:id="27"/>
      <w:bookmarkEnd w:id="28"/>
      <w:bookmarkEnd w:id="29"/>
      <w:r w:rsidR="00B505C7" w:rsidRPr="003A173C">
        <w:rPr>
          <w:rFonts w:ascii="Calibri" w:hAnsi="Calibri" w:cs="Calibri"/>
        </w:rPr>
        <w:t>Program</w:t>
      </w:r>
      <w:bookmarkEnd w:id="30"/>
    </w:p>
    <w:p w14:paraId="3F226702" w14:textId="330822B7" w:rsidR="00605BA0" w:rsidRPr="003A173C" w:rsidRDefault="004B2453" w:rsidP="005633B5">
      <w:pPr>
        <w:spacing w:before="0" w:after="60"/>
        <w:rPr>
          <w:rFonts w:cs="Calibri"/>
          <w:szCs w:val="20"/>
        </w:rPr>
      </w:pPr>
      <w:r w:rsidRPr="003A173C">
        <w:rPr>
          <w:rFonts w:cs="Calibri"/>
          <w:szCs w:val="20"/>
        </w:rPr>
        <w:t xml:space="preserve">Six </w:t>
      </w:r>
      <w:r w:rsidR="00605BA0" w:rsidRPr="003A173C">
        <w:rPr>
          <w:rFonts w:cs="Calibri"/>
          <w:szCs w:val="20"/>
        </w:rPr>
        <w:t xml:space="preserve">key entities </w:t>
      </w:r>
      <w:r w:rsidRPr="003A173C">
        <w:rPr>
          <w:rFonts w:cs="Calibri"/>
          <w:szCs w:val="20"/>
        </w:rPr>
        <w:t>h</w:t>
      </w:r>
      <w:r w:rsidR="00605BA0" w:rsidRPr="003A173C">
        <w:rPr>
          <w:rFonts w:cs="Calibri"/>
          <w:szCs w:val="20"/>
        </w:rPr>
        <w:t xml:space="preserve">ave roles and responsibilities within the </w:t>
      </w:r>
      <w:r w:rsidR="00B505C7" w:rsidRPr="003A173C">
        <w:rPr>
          <w:rFonts w:cs="Calibri"/>
          <w:szCs w:val="20"/>
        </w:rPr>
        <w:t>program</w:t>
      </w:r>
      <w:r w:rsidR="00605BA0" w:rsidRPr="003A173C">
        <w:rPr>
          <w:rFonts w:cs="Calibri"/>
          <w:szCs w:val="20"/>
        </w:rPr>
        <w:t>:</w:t>
      </w:r>
    </w:p>
    <w:p w14:paraId="25D682F5" w14:textId="5A289F7E" w:rsidR="00605BA0" w:rsidRPr="003A173C" w:rsidRDefault="00AD681F" w:rsidP="00FA34AC">
      <w:pPr>
        <w:pStyle w:val="ListBullet"/>
      </w:pPr>
      <w:r w:rsidRPr="003A173C">
        <w:t>t</w:t>
      </w:r>
      <w:r w:rsidR="004D45E7" w:rsidRPr="003A173C">
        <w:t xml:space="preserve">he </w:t>
      </w:r>
      <w:r w:rsidR="00931641" w:rsidRPr="003A173C">
        <w:t xml:space="preserve">Australian </w:t>
      </w:r>
      <w:r w:rsidR="00605BA0" w:rsidRPr="003A173C">
        <w:t>Government;</w:t>
      </w:r>
    </w:p>
    <w:p w14:paraId="316AB291" w14:textId="183E6A76" w:rsidR="00605BA0" w:rsidRPr="003A173C" w:rsidRDefault="00C16319" w:rsidP="00FA34AC">
      <w:pPr>
        <w:pStyle w:val="ListBullet"/>
      </w:pPr>
      <w:r w:rsidRPr="003A173C">
        <w:t>S</w:t>
      </w:r>
      <w:r w:rsidR="007761A9" w:rsidRPr="003A173C">
        <w:t xml:space="preserve">tate and </w:t>
      </w:r>
      <w:r w:rsidRPr="003A173C">
        <w:t>T</w:t>
      </w:r>
      <w:r w:rsidR="007761A9" w:rsidRPr="003A173C">
        <w:t xml:space="preserve">erritory </w:t>
      </w:r>
      <w:r w:rsidR="00261E28" w:rsidRPr="003A173C">
        <w:t>g</w:t>
      </w:r>
      <w:r w:rsidR="007761A9" w:rsidRPr="003A173C">
        <w:t>overnments</w:t>
      </w:r>
      <w:r w:rsidR="00605BA0" w:rsidRPr="003A173C">
        <w:t>;</w:t>
      </w:r>
    </w:p>
    <w:p w14:paraId="65513C0A" w14:textId="2C29FA73" w:rsidR="00605BA0" w:rsidRPr="003A173C" w:rsidRDefault="00AD681F" w:rsidP="00FA34AC">
      <w:pPr>
        <w:pStyle w:val="ListBullet"/>
      </w:pPr>
      <w:r w:rsidRPr="003A173C">
        <w:t>t</w:t>
      </w:r>
      <w:r w:rsidR="00413952" w:rsidRPr="003A173C">
        <w:t xml:space="preserve">ransition care </w:t>
      </w:r>
      <w:r w:rsidRPr="003A173C">
        <w:t>registered</w:t>
      </w:r>
      <w:r w:rsidR="00605BA0" w:rsidRPr="003A173C">
        <w:t xml:space="preserve"> providers</w:t>
      </w:r>
      <w:r w:rsidR="00B70613" w:rsidRPr="003A173C">
        <w:t xml:space="preserve"> who</w:t>
      </w:r>
      <w:r w:rsidR="00AE7742" w:rsidRPr="003A173C">
        <w:t xml:space="preserve"> are nominated by </w:t>
      </w:r>
      <w:r w:rsidR="00C16319" w:rsidRPr="003A173C">
        <w:t>S</w:t>
      </w:r>
      <w:r w:rsidR="00AE7742" w:rsidRPr="003A173C">
        <w:t xml:space="preserve">tate or </w:t>
      </w:r>
      <w:r w:rsidR="00C16319" w:rsidRPr="003A173C">
        <w:t>T</w:t>
      </w:r>
      <w:r w:rsidR="00AE7742" w:rsidRPr="003A173C">
        <w:t>erritory governments to deliver transition care;</w:t>
      </w:r>
    </w:p>
    <w:p w14:paraId="787943E4" w14:textId="211A9E2F" w:rsidR="00605BA0" w:rsidRPr="003A173C" w:rsidRDefault="00AD681F" w:rsidP="00FA34AC">
      <w:pPr>
        <w:pStyle w:val="ListBullet"/>
        <w:rPr>
          <w:szCs w:val="20"/>
        </w:rPr>
      </w:pPr>
      <w:r w:rsidRPr="003A173C">
        <w:t>a</w:t>
      </w:r>
      <w:r w:rsidR="00605BA0" w:rsidRPr="003A173C">
        <w:t>ssessment</w:t>
      </w:r>
      <w:r w:rsidR="00E76234" w:rsidRPr="003A173C">
        <w:t xml:space="preserve"> </w:t>
      </w:r>
      <w:r w:rsidR="003C6D4B" w:rsidRPr="003A173C">
        <w:t>o</w:t>
      </w:r>
      <w:r w:rsidR="00E76234" w:rsidRPr="003A173C">
        <w:t>rganisation</w:t>
      </w:r>
      <w:r w:rsidR="00764E63" w:rsidRPr="003A173C">
        <w:t>s</w:t>
      </w:r>
      <w:r w:rsidR="53F184F2" w:rsidRPr="003A173C">
        <w:t xml:space="preserve"> (</w:t>
      </w:r>
      <w:r w:rsidR="53F184F2" w:rsidRPr="008202E1">
        <w:t>who conduct</w:t>
      </w:r>
      <w:r w:rsidR="4FD45096" w:rsidRPr="008202E1">
        <w:t xml:space="preserve"> aged care needs assessments for in-home aged care, </w:t>
      </w:r>
      <w:r w:rsidR="00AE7742" w:rsidRPr="008202E1">
        <w:t>specialised aged</w:t>
      </w:r>
      <w:r w:rsidR="4FD45096" w:rsidRPr="008202E1">
        <w:t xml:space="preserve"> care programs, residential respite and entry into residential aged care</w:t>
      </w:r>
      <w:r w:rsidR="002D70A5" w:rsidRPr="008202E1">
        <w:t>)</w:t>
      </w:r>
      <w:r w:rsidR="002933BA" w:rsidRPr="008202E1">
        <w:t>;</w:t>
      </w:r>
    </w:p>
    <w:p w14:paraId="5F2E701F" w14:textId="0E57CBE6" w:rsidR="00605BA0" w:rsidRPr="003A173C" w:rsidRDefault="00CA5BDB" w:rsidP="00FA34AC">
      <w:pPr>
        <w:pStyle w:val="ListBullet"/>
      </w:pPr>
      <w:r w:rsidRPr="003A173C">
        <w:t>h</w:t>
      </w:r>
      <w:r w:rsidR="00605BA0" w:rsidRPr="003A173C">
        <w:t>ospitals; and</w:t>
      </w:r>
    </w:p>
    <w:p w14:paraId="13903D7D" w14:textId="2BB9837D" w:rsidR="00605BA0" w:rsidRPr="003A173C" w:rsidRDefault="00AD681F" w:rsidP="00FA34AC">
      <w:pPr>
        <w:pStyle w:val="ListBullet"/>
      </w:pPr>
      <w:r w:rsidRPr="003A173C">
        <w:t>i</w:t>
      </w:r>
      <w:r w:rsidR="00E16A2C" w:rsidRPr="003A173C">
        <w:t>ndividual</w:t>
      </w:r>
      <w:r w:rsidR="00605BA0" w:rsidRPr="003A173C">
        <w:t>s</w:t>
      </w:r>
      <w:r w:rsidRPr="003A173C">
        <w:t xml:space="preserve"> receiving transition care</w:t>
      </w:r>
      <w:r w:rsidR="00605BA0" w:rsidRPr="003A173C">
        <w:t>.</w:t>
      </w:r>
    </w:p>
    <w:p w14:paraId="1F93B14A" w14:textId="4E897AC9" w:rsidR="00605BA0" w:rsidRPr="003A173C" w:rsidRDefault="00605BA0" w:rsidP="00413952">
      <w:pPr>
        <w:spacing w:before="0" w:after="200"/>
        <w:rPr>
          <w:rFonts w:cs="Calibri"/>
          <w:szCs w:val="20"/>
        </w:rPr>
      </w:pPr>
      <w:r w:rsidRPr="003A173C">
        <w:rPr>
          <w:rFonts w:cs="Calibri"/>
          <w:szCs w:val="20"/>
        </w:rPr>
        <w:t xml:space="preserve">The roles of the </w:t>
      </w:r>
      <w:r w:rsidR="00931641" w:rsidRPr="003A173C">
        <w:rPr>
          <w:rFonts w:cs="Calibri"/>
          <w:szCs w:val="20"/>
        </w:rPr>
        <w:t xml:space="preserve">Australian </w:t>
      </w:r>
      <w:r w:rsidRPr="003A173C">
        <w:rPr>
          <w:rFonts w:cs="Calibri"/>
          <w:szCs w:val="20"/>
        </w:rPr>
        <w:t xml:space="preserve">Government and </w:t>
      </w:r>
      <w:r w:rsidR="00C16319" w:rsidRPr="003A173C">
        <w:rPr>
          <w:rFonts w:cs="Calibri"/>
          <w:szCs w:val="20"/>
        </w:rPr>
        <w:t>S</w:t>
      </w:r>
      <w:r w:rsidRPr="003A173C">
        <w:rPr>
          <w:rFonts w:cs="Calibri"/>
          <w:szCs w:val="20"/>
        </w:rPr>
        <w:t xml:space="preserve">tate and </w:t>
      </w:r>
      <w:r w:rsidR="00C16319" w:rsidRPr="003A173C">
        <w:rPr>
          <w:rFonts w:cs="Calibri"/>
          <w:szCs w:val="20"/>
        </w:rPr>
        <w:t>T</w:t>
      </w:r>
      <w:r w:rsidRPr="003A173C">
        <w:rPr>
          <w:rFonts w:cs="Calibri"/>
          <w:szCs w:val="20"/>
        </w:rPr>
        <w:t xml:space="preserve">erritory governments are outlined below. For the other entities, see sections </w:t>
      </w:r>
      <w:r w:rsidRPr="003A173C">
        <w:rPr>
          <w:rFonts w:cs="Calibri"/>
          <w:i/>
          <w:szCs w:val="20"/>
        </w:rPr>
        <w:t>3.3 The role of hospitals</w:t>
      </w:r>
      <w:r w:rsidRPr="003A173C">
        <w:rPr>
          <w:rFonts w:cs="Calibri"/>
          <w:szCs w:val="20"/>
        </w:rPr>
        <w:t xml:space="preserve">, </w:t>
      </w:r>
      <w:r w:rsidRPr="003A173C">
        <w:rPr>
          <w:rFonts w:cs="Calibri"/>
          <w:i/>
          <w:szCs w:val="20"/>
        </w:rPr>
        <w:t xml:space="preserve">3.4.1 </w:t>
      </w:r>
      <w:r w:rsidR="00453E56" w:rsidRPr="003A173C">
        <w:rPr>
          <w:rFonts w:cs="Calibri"/>
          <w:i/>
          <w:szCs w:val="20"/>
        </w:rPr>
        <w:t>Assessment: the roles of the clinical aged care needs assessor</w:t>
      </w:r>
      <w:r w:rsidRPr="003A173C">
        <w:rPr>
          <w:rFonts w:cs="Calibri"/>
          <w:szCs w:val="20"/>
        </w:rPr>
        <w:t xml:space="preserve">, </w:t>
      </w:r>
      <w:r w:rsidRPr="003A173C">
        <w:rPr>
          <w:rFonts w:cs="Calibri"/>
          <w:i/>
          <w:szCs w:val="20"/>
        </w:rPr>
        <w:t xml:space="preserve">3.5.2 The </w:t>
      </w:r>
      <w:r w:rsidR="00CA5BDB" w:rsidRPr="003A173C">
        <w:rPr>
          <w:rFonts w:cs="Calibri"/>
          <w:i/>
          <w:szCs w:val="20"/>
        </w:rPr>
        <w:t xml:space="preserve">registered </w:t>
      </w:r>
      <w:r w:rsidRPr="003A173C">
        <w:rPr>
          <w:rFonts w:cs="Calibri"/>
          <w:i/>
          <w:szCs w:val="20"/>
        </w:rPr>
        <w:t>provider</w:t>
      </w:r>
      <w:r w:rsidRPr="003A173C">
        <w:rPr>
          <w:rFonts w:cs="Calibri"/>
          <w:szCs w:val="20"/>
        </w:rPr>
        <w:t xml:space="preserve">, and </w:t>
      </w:r>
      <w:r w:rsidR="003E6A6C" w:rsidRPr="003A173C">
        <w:rPr>
          <w:rFonts w:cs="Calibri"/>
          <w:i/>
          <w:szCs w:val="20"/>
        </w:rPr>
        <w:t>5</w:t>
      </w:r>
      <w:r w:rsidRPr="003A173C">
        <w:rPr>
          <w:rFonts w:cs="Calibri"/>
          <w:i/>
          <w:szCs w:val="20"/>
        </w:rPr>
        <w:t xml:space="preserve">.3 </w:t>
      </w:r>
      <w:r w:rsidR="00E16A2C" w:rsidRPr="003A173C">
        <w:rPr>
          <w:rFonts w:cs="Calibri"/>
          <w:i/>
          <w:szCs w:val="20"/>
        </w:rPr>
        <w:t>Individual</w:t>
      </w:r>
      <w:r w:rsidRPr="003A173C">
        <w:rPr>
          <w:rFonts w:cs="Calibri"/>
          <w:i/>
          <w:szCs w:val="20"/>
        </w:rPr>
        <w:t xml:space="preserve"> responsibilities</w:t>
      </w:r>
      <w:r w:rsidR="00CA5BDB" w:rsidRPr="003A173C">
        <w:rPr>
          <w:rFonts w:cs="Calibri"/>
          <w:i/>
          <w:szCs w:val="20"/>
        </w:rPr>
        <w:t>,</w:t>
      </w:r>
      <w:r w:rsidRPr="003A173C">
        <w:rPr>
          <w:rFonts w:cs="Calibri"/>
          <w:szCs w:val="20"/>
        </w:rPr>
        <w:t xml:space="preserve"> of these guidelines.</w:t>
      </w:r>
    </w:p>
    <w:p w14:paraId="49DE67BF" w14:textId="6FD851DD" w:rsidR="00DF3C00" w:rsidRDefault="00931641" w:rsidP="00A504B5">
      <w:pPr>
        <w:pStyle w:val="Style3"/>
        <w:tabs>
          <w:tab w:val="clear" w:pos="2410"/>
        </w:tabs>
        <w:ind w:left="993" w:hanging="993"/>
      </w:pPr>
      <w:bookmarkStart w:id="31" w:name="_Toc395537159"/>
      <w:bookmarkStart w:id="32" w:name="_Toc422732517"/>
      <w:bookmarkStart w:id="33" w:name="_Toc422752857"/>
      <w:bookmarkStart w:id="34" w:name="_Toc216865440"/>
      <w:r w:rsidRPr="00721280">
        <w:t xml:space="preserve">Australian </w:t>
      </w:r>
      <w:r w:rsidR="00605BA0" w:rsidRPr="00721280">
        <w:t>Government</w:t>
      </w:r>
      <w:bookmarkEnd w:id="31"/>
      <w:bookmarkEnd w:id="32"/>
      <w:bookmarkEnd w:id="33"/>
      <w:bookmarkEnd w:id="34"/>
    </w:p>
    <w:p w14:paraId="60749E0A" w14:textId="64AE9133" w:rsidR="00605BA0" w:rsidRPr="003A173C" w:rsidRDefault="00605BA0" w:rsidP="005633B5">
      <w:pPr>
        <w:spacing w:before="0" w:after="60"/>
        <w:rPr>
          <w:rFonts w:cs="Calibri"/>
          <w:szCs w:val="20"/>
        </w:rPr>
      </w:pPr>
      <w:r w:rsidRPr="003A173C">
        <w:rPr>
          <w:rFonts w:cs="Calibri"/>
          <w:szCs w:val="20"/>
        </w:rPr>
        <w:t xml:space="preserve">The </w:t>
      </w:r>
      <w:r w:rsidR="00931641" w:rsidRPr="003A173C">
        <w:rPr>
          <w:rFonts w:cs="Calibri"/>
          <w:szCs w:val="20"/>
        </w:rPr>
        <w:t xml:space="preserve">Australian </w:t>
      </w:r>
      <w:r w:rsidRPr="003A173C">
        <w:rPr>
          <w:rFonts w:cs="Calibri"/>
          <w:szCs w:val="20"/>
        </w:rPr>
        <w:t xml:space="preserve">Government’s roles and responsibilities in relation to the </w:t>
      </w:r>
      <w:r w:rsidR="00B505C7" w:rsidRPr="003A173C">
        <w:rPr>
          <w:rFonts w:cs="Calibri"/>
          <w:szCs w:val="20"/>
        </w:rPr>
        <w:t>program</w:t>
      </w:r>
      <w:r w:rsidRPr="003A173C">
        <w:rPr>
          <w:rFonts w:cs="Calibri"/>
          <w:szCs w:val="20"/>
        </w:rPr>
        <w:t xml:space="preserve"> are to:</w:t>
      </w:r>
    </w:p>
    <w:p w14:paraId="74DFBFC5" w14:textId="13ACD579" w:rsidR="00605BA0" w:rsidRPr="003A173C" w:rsidRDefault="00605BA0" w:rsidP="00FA34AC">
      <w:pPr>
        <w:pStyle w:val="ListBullet"/>
      </w:pPr>
      <w:r w:rsidRPr="003A173C">
        <w:t xml:space="preserve">develop and implement national policies to meet the objectives of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w:t>
      </w:r>
      <w:r w:rsidR="003D0C60" w:rsidRPr="003A173C">
        <w:t>;</w:t>
      </w:r>
    </w:p>
    <w:p w14:paraId="46CCE3F9" w14:textId="48E37BBB" w:rsidR="00605BA0" w:rsidRPr="003A173C" w:rsidRDefault="00605BA0" w:rsidP="00FA34AC">
      <w:pPr>
        <w:pStyle w:val="ListBullet"/>
      </w:pPr>
      <w:r w:rsidRPr="003A173C">
        <w:t xml:space="preserve">administer the </w:t>
      </w:r>
      <w:r w:rsidR="00B505C7" w:rsidRPr="003A173C">
        <w:t>program</w:t>
      </w:r>
      <w:r w:rsidRPr="003A173C">
        <w:t xml:space="preserve"> in partnership with the </w:t>
      </w:r>
      <w:r w:rsidR="00C16319" w:rsidRPr="003A173C">
        <w:t>S</w:t>
      </w:r>
      <w:r w:rsidRPr="003A173C">
        <w:t xml:space="preserve">tate and </w:t>
      </w:r>
      <w:r w:rsidR="00C16319" w:rsidRPr="003A173C">
        <w:t>T</w:t>
      </w:r>
      <w:r w:rsidRPr="003A173C">
        <w:t>erritory governments, including the development of operating guidelines;</w:t>
      </w:r>
    </w:p>
    <w:p w14:paraId="3D52A797" w14:textId="2839987D" w:rsidR="00605BA0" w:rsidRPr="003A173C" w:rsidRDefault="00605BA0" w:rsidP="00FA34AC">
      <w:pPr>
        <w:pStyle w:val="ListBullet"/>
      </w:pPr>
      <w:r w:rsidRPr="003A173C">
        <w:t>allocate transition care places;</w:t>
      </w:r>
    </w:p>
    <w:p w14:paraId="26F4276B" w14:textId="599D443C" w:rsidR="00605BA0" w:rsidRPr="003A173C" w:rsidRDefault="00605BA0" w:rsidP="00FA34AC">
      <w:pPr>
        <w:pStyle w:val="ListBullet"/>
      </w:pPr>
      <w:r w:rsidRPr="003A173C">
        <w:t>provide a subsidy under the Act to each occupied transition care place</w:t>
      </w:r>
      <w:r w:rsidR="003D0C60" w:rsidRPr="003A173C">
        <w:t>,</w:t>
      </w:r>
      <w:r w:rsidRPr="003A173C">
        <w:t xml:space="preserve"> for care and services</w:t>
      </w:r>
      <w:r w:rsidR="003D0C60" w:rsidRPr="003A173C">
        <w:t xml:space="preserve"> provided</w:t>
      </w:r>
      <w:r w:rsidRPr="003A173C">
        <w:t>;</w:t>
      </w:r>
    </w:p>
    <w:p w14:paraId="2D7C131E" w14:textId="79C70D2F" w:rsidR="00605BA0" w:rsidRPr="003A173C" w:rsidRDefault="00605BA0" w:rsidP="00FA34AC">
      <w:pPr>
        <w:pStyle w:val="ListBullet"/>
      </w:pPr>
      <w:r w:rsidRPr="003A173C">
        <w:t xml:space="preserve">collaborate with </w:t>
      </w:r>
      <w:r w:rsidR="00C16319" w:rsidRPr="003A173C">
        <w:t>S</w:t>
      </w:r>
      <w:r w:rsidRPr="003A173C">
        <w:t xml:space="preserve">tate and </w:t>
      </w:r>
      <w:r w:rsidR="00C16319" w:rsidRPr="003A173C">
        <w:t>T</w:t>
      </w:r>
      <w:r w:rsidRPr="003A173C">
        <w:t xml:space="preserve">erritory governments in the evaluation of the </w:t>
      </w:r>
      <w:r w:rsidR="00B505C7" w:rsidRPr="003A173C">
        <w:t>program</w:t>
      </w:r>
      <w:r w:rsidRPr="003A173C">
        <w:t xml:space="preserve"> and reporting of transition care data;</w:t>
      </w:r>
      <w:r w:rsidR="003D0C60" w:rsidRPr="003A173C">
        <w:t xml:space="preserve"> </w:t>
      </w:r>
      <w:r w:rsidRPr="003A173C">
        <w:t>and</w:t>
      </w:r>
    </w:p>
    <w:p w14:paraId="77AB3AF0" w14:textId="22635603" w:rsidR="00AE408C" w:rsidRPr="003A173C" w:rsidRDefault="00605BA0" w:rsidP="00FA34AC">
      <w:pPr>
        <w:pStyle w:val="ListBullet"/>
        <w:rPr>
          <w:szCs w:val="20"/>
        </w:rPr>
      </w:pPr>
      <w:r w:rsidRPr="003A173C">
        <w:t>provide strategic direction.</w:t>
      </w:r>
    </w:p>
    <w:p w14:paraId="0B3D95A5" w14:textId="2DF53FC9" w:rsidR="00605BA0" w:rsidRPr="00721280" w:rsidRDefault="00605BA0" w:rsidP="00B4095B">
      <w:pPr>
        <w:pStyle w:val="Style3"/>
        <w:tabs>
          <w:tab w:val="clear" w:pos="2410"/>
        </w:tabs>
        <w:ind w:left="993" w:hanging="993"/>
      </w:pPr>
      <w:bookmarkStart w:id="35" w:name="_Toc197076858"/>
      <w:bookmarkStart w:id="36" w:name="_Toc395537160"/>
      <w:bookmarkStart w:id="37" w:name="_Toc422732518"/>
      <w:bookmarkStart w:id="38" w:name="_Toc422752858"/>
      <w:bookmarkStart w:id="39" w:name="_Toc216865441"/>
      <w:bookmarkEnd w:id="35"/>
      <w:r w:rsidRPr="00721280">
        <w:t>State/</w:t>
      </w:r>
      <w:r w:rsidR="00A1735A" w:rsidRPr="00721280">
        <w:t>T</w:t>
      </w:r>
      <w:r w:rsidRPr="00721280">
        <w:t xml:space="preserve">erritory </w:t>
      </w:r>
      <w:r w:rsidRPr="001E36FD">
        <w:t>government</w:t>
      </w:r>
      <w:r w:rsidR="00F50215" w:rsidRPr="001E36FD">
        <w:t>s</w:t>
      </w:r>
      <w:bookmarkStart w:id="40" w:name="_Toc245536158"/>
      <w:bookmarkEnd w:id="36"/>
      <w:bookmarkEnd w:id="37"/>
      <w:bookmarkEnd w:id="38"/>
      <w:bookmarkEnd w:id="39"/>
    </w:p>
    <w:p w14:paraId="54A29A2E" w14:textId="7085CAEF" w:rsidR="00605BA0" w:rsidRPr="003A173C" w:rsidRDefault="00605BA0" w:rsidP="005633B5">
      <w:pPr>
        <w:spacing w:before="0" w:after="60"/>
        <w:rPr>
          <w:rFonts w:cs="Calibri"/>
          <w:szCs w:val="20"/>
        </w:rPr>
      </w:pPr>
      <w:r w:rsidRPr="003A173C">
        <w:rPr>
          <w:rFonts w:cs="Calibri"/>
          <w:szCs w:val="20"/>
        </w:rPr>
        <w:t xml:space="preserve">State and </w:t>
      </w:r>
      <w:r w:rsidR="00A1735A" w:rsidRPr="003A173C">
        <w:rPr>
          <w:rFonts w:cs="Calibri"/>
          <w:szCs w:val="20"/>
        </w:rPr>
        <w:t>T</w:t>
      </w:r>
      <w:r w:rsidRPr="003A173C">
        <w:rPr>
          <w:rFonts w:cs="Calibri"/>
          <w:szCs w:val="20"/>
        </w:rPr>
        <w:t xml:space="preserve">erritory </w:t>
      </w:r>
      <w:r w:rsidR="00600B3C" w:rsidRPr="003A173C">
        <w:rPr>
          <w:rFonts w:cs="Calibri"/>
          <w:szCs w:val="20"/>
        </w:rPr>
        <w:t>G</w:t>
      </w:r>
      <w:r w:rsidRPr="003A173C">
        <w:rPr>
          <w:rFonts w:cs="Calibri"/>
          <w:szCs w:val="20"/>
        </w:rPr>
        <w:t>overnment</w:t>
      </w:r>
      <w:r w:rsidR="003F38ED" w:rsidRPr="003A173C">
        <w:rPr>
          <w:rFonts w:cs="Calibri"/>
          <w:szCs w:val="20"/>
        </w:rPr>
        <w:t>s’</w:t>
      </w:r>
      <w:r w:rsidRPr="003A173C">
        <w:rPr>
          <w:rFonts w:cs="Calibri"/>
          <w:szCs w:val="20"/>
        </w:rPr>
        <w:t xml:space="preserve"> responsibilities in relation to the </w:t>
      </w:r>
      <w:r w:rsidR="00B505C7" w:rsidRPr="003A173C">
        <w:rPr>
          <w:rFonts w:cs="Calibri"/>
          <w:szCs w:val="20"/>
        </w:rPr>
        <w:t>program</w:t>
      </w:r>
      <w:r w:rsidRPr="003A173C">
        <w:rPr>
          <w:rFonts w:cs="Calibri"/>
          <w:szCs w:val="20"/>
        </w:rPr>
        <w:t xml:space="preserve"> are broadly defined as follows:</w:t>
      </w:r>
    </w:p>
    <w:p w14:paraId="7D01C7BD" w14:textId="1A60B233" w:rsidR="00605BA0" w:rsidRPr="003A173C" w:rsidRDefault="00605BA0" w:rsidP="00FA34AC">
      <w:pPr>
        <w:pStyle w:val="ListBullet"/>
      </w:pPr>
      <w:r w:rsidRPr="003A173C">
        <w:t xml:space="preserve">in partnership with the </w:t>
      </w:r>
      <w:r w:rsidR="00931641" w:rsidRPr="003A173C">
        <w:t xml:space="preserve">Australian </w:t>
      </w:r>
      <w:r w:rsidRPr="003A173C">
        <w:t>Government, develop and implement policies;</w:t>
      </w:r>
    </w:p>
    <w:p w14:paraId="48588AE8" w14:textId="2B23077F" w:rsidR="00605BA0" w:rsidRPr="00C64C7C" w:rsidRDefault="00FC2F63" w:rsidP="00FA34AC">
      <w:pPr>
        <w:pStyle w:val="ListBullet"/>
      </w:pPr>
      <w:r w:rsidRPr="00C64C7C">
        <w:t xml:space="preserve"> plan, manage and monitor the allocation of </w:t>
      </w:r>
      <w:r w:rsidR="005A10B8">
        <w:t>p</w:t>
      </w:r>
      <w:r w:rsidRPr="00C64C7C">
        <w:t>laces within their jurisdiction</w:t>
      </w:r>
      <w:r w:rsidR="00605BA0" w:rsidRPr="00C64C7C">
        <w:t>;</w:t>
      </w:r>
    </w:p>
    <w:p w14:paraId="0E858967" w14:textId="79E3561F" w:rsidR="00605BA0" w:rsidRPr="003A173C" w:rsidRDefault="00605BA0" w:rsidP="00FA34AC">
      <w:pPr>
        <w:pStyle w:val="ListBullet"/>
      </w:pPr>
      <w:r w:rsidRPr="003A173C">
        <w:t>collaborate with the</w:t>
      </w:r>
      <w:r w:rsidR="00915042" w:rsidRPr="003A173C">
        <w:t xml:space="preserve"> </w:t>
      </w:r>
      <w:r w:rsidR="00931641" w:rsidRPr="003A173C">
        <w:t xml:space="preserve">Australian </w:t>
      </w:r>
      <w:r w:rsidRPr="003A173C">
        <w:t xml:space="preserve">Government in </w:t>
      </w:r>
      <w:r w:rsidR="002D55F7" w:rsidRPr="003A173C">
        <w:t xml:space="preserve">any review </w:t>
      </w:r>
      <w:r w:rsidR="00B72612" w:rsidRPr="003A173C">
        <w:t>or</w:t>
      </w:r>
      <w:r w:rsidRPr="003A173C">
        <w:t xml:space="preserve"> national evaluation of the </w:t>
      </w:r>
      <w:r w:rsidR="00B505C7" w:rsidRPr="003A173C">
        <w:t>program</w:t>
      </w:r>
      <w:r w:rsidR="002427AE" w:rsidRPr="003A173C">
        <w:t xml:space="preserve"> that may occur from tim</w:t>
      </w:r>
      <w:r w:rsidR="00A748F7" w:rsidRPr="003A173C">
        <w:t>e to time</w:t>
      </w:r>
      <w:r w:rsidRPr="003A173C">
        <w:t>;</w:t>
      </w:r>
    </w:p>
    <w:p w14:paraId="54BBF603" w14:textId="214F8CE2" w:rsidR="00605BA0" w:rsidRPr="003A173C" w:rsidRDefault="00644B41" w:rsidP="00FA34AC">
      <w:pPr>
        <w:pStyle w:val="ListBullet"/>
      </w:pPr>
      <w:r w:rsidRPr="003A173C">
        <w:t xml:space="preserve">as co-funders of the program, </w:t>
      </w:r>
      <w:r w:rsidR="00605BA0" w:rsidRPr="003A173C">
        <w:t xml:space="preserve">provide proportionate funding towards the operation of the </w:t>
      </w:r>
      <w:r w:rsidR="00B505C7" w:rsidRPr="003A173C">
        <w:t>program</w:t>
      </w:r>
      <w:r w:rsidR="00605BA0" w:rsidRPr="003A173C">
        <w:t>;</w:t>
      </w:r>
    </w:p>
    <w:p w14:paraId="25E40845" w14:textId="001CDDD6" w:rsidR="006935C9" w:rsidRPr="003A173C" w:rsidRDefault="003D52F2" w:rsidP="00FA34AC">
      <w:pPr>
        <w:pStyle w:val="ListBullet"/>
      </w:pPr>
      <w:r w:rsidRPr="006935C9">
        <w:lastRenderedPageBreak/>
        <w:t xml:space="preserve">use reasonable endeavours to ensure that any </w:t>
      </w:r>
      <w:r w:rsidR="008366F7">
        <w:t>n</w:t>
      </w:r>
      <w:r w:rsidRPr="006935C9">
        <w:t xml:space="preserve">ominated </w:t>
      </w:r>
      <w:r w:rsidR="008366F7">
        <w:t>r</w:t>
      </w:r>
      <w:r w:rsidRPr="006935C9">
        <w:t xml:space="preserve">egistered </w:t>
      </w:r>
      <w:r w:rsidR="008366F7">
        <w:t>p</w:t>
      </w:r>
      <w:r w:rsidRPr="006935C9">
        <w:t>roviders comply with the Transition Care Guidelines and Transition Care Restorative Care Requirements; and</w:t>
      </w:r>
    </w:p>
    <w:p w14:paraId="3D17EE4D" w14:textId="450220FB" w:rsidR="00B92A20" w:rsidRPr="003A173C" w:rsidRDefault="00EB5EF9" w:rsidP="00FA34AC">
      <w:pPr>
        <w:pStyle w:val="ListBullet"/>
      </w:pPr>
      <w:r>
        <w:t xml:space="preserve">monitor </w:t>
      </w:r>
      <w:r w:rsidR="003D52F2" w:rsidRPr="008202E1">
        <w:t>system-level performance of the TCP to inform strategic policy advice and the management and allocation of TCP places.</w:t>
      </w:r>
      <w:bookmarkStart w:id="41" w:name="_Toc395537161"/>
      <w:bookmarkStart w:id="42" w:name="_Toc422732519"/>
      <w:bookmarkStart w:id="43" w:name="_Toc422752859"/>
    </w:p>
    <w:p w14:paraId="28D3D234" w14:textId="3988F6FB" w:rsidR="008F78E6" w:rsidRPr="00721280" w:rsidRDefault="009D0D05" w:rsidP="008974DB">
      <w:pPr>
        <w:pStyle w:val="Style3"/>
      </w:pPr>
      <w:bookmarkStart w:id="44" w:name="_Toc216865442"/>
      <w:r w:rsidRPr="00721280">
        <w:t xml:space="preserve">Registered </w:t>
      </w:r>
      <w:r w:rsidR="00EA291E" w:rsidRPr="00721280">
        <w:t>Providers</w:t>
      </w:r>
      <w:bookmarkEnd w:id="44"/>
    </w:p>
    <w:p w14:paraId="5A1DC368" w14:textId="29BAC443" w:rsidR="00F7731A" w:rsidRPr="003A173C" w:rsidRDefault="00EA291E" w:rsidP="00781B94">
      <w:pPr>
        <w:rPr>
          <w:rFonts w:cs="Calibri"/>
        </w:rPr>
      </w:pPr>
      <w:r w:rsidRPr="003A173C">
        <w:rPr>
          <w:rFonts w:cs="Calibri"/>
        </w:rPr>
        <w:t>R</w:t>
      </w:r>
      <w:r w:rsidR="00547F7F" w:rsidRPr="003A173C">
        <w:rPr>
          <w:rFonts w:cs="Calibri"/>
        </w:rPr>
        <w:t>egistered providers</w:t>
      </w:r>
      <w:r w:rsidR="00F7731A" w:rsidRPr="003A173C">
        <w:rPr>
          <w:rFonts w:cs="Calibri"/>
        </w:rPr>
        <w:t xml:space="preserve"> are responsible for meeting all </w:t>
      </w:r>
      <w:r w:rsidR="00D55468" w:rsidRPr="003A173C">
        <w:rPr>
          <w:rFonts w:cs="Calibri"/>
        </w:rPr>
        <w:t>registered</w:t>
      </w:r>
      <w:r w:rsidR="00F7731A" w:rsidRPr="003A173C">
        <w:rPr>
          <w:rFonts w:cs="Calibri"/>
        </w:rPr>
        <w:t xml:space="preserve"> provider obligations and r</w:t>
      </w:r>
      <w:r w:rsidR="00261E28" w:rsidRPr="003A173C">
        <w:rPr>
          <w:rFonts w:cs="Calibri"/>
        </w:rPr>
        <w:t>esponsibilities under the Act</w:t>
      </w:r>
      <w:r w:rsidR="00915042" w:rsidRPr="003A173C">
        <w:rPr>
          <w:rFonts w:cs="Calibri"/>
        </w:rPr>
        <w:t xml:space="preserve"> and Rules</w:t>
      </w:r>
      <w:r w:rsidR="00261E28" w:rsidRPr="003A173C">
        <w:rPr>
          <w:rFonts w:cs="Calibri"/>
        </w:rPr>
        <w:t>. The u</w:t>
      </w:r>
      <w:r w:rsidR="00F7731A" w:rsidRPr="003A173C">
        <w:rPr>
          <w:rFonts w:cs="Calibri"/>
        </w:rPr>
        <w:t>se of sub</w:t>
      </w:r>
      <w:r w:rsidR="00402C97" w:rsidRPr="003A173C">
        <w:rPr>
          <w:rFonts w:cs="Calibri"/>
        </w:rPr>
        <w:noBreakHyphen/>
      </w:r>
      <w:r w:rsidR="00F7731A" w:rsidRPr="003A173C">
        <w:rPr>
          <w:rFonts w:cs="Calibri"/>
        </w:rPr>
        <w:t xml:space="preserve">contractors </w:t>
      </w:r>
      <w:r w:rsidR="00190C28" w:rsidRPr="003A173C">
        <w:rPr>
          <w:rFonts w:cs="Calibri"/>
        </w:rPr>
        <w:t xml:space="preserve">or associated providers </w:t>
      </w:r>
      <w:r w:rsidR="00F7731A" w:rsidRPr="003A173C">
        <w:rPr>
          <w:rFonts w:cs="Calibri"/>
        </w:rPr>
        <w:t>does not negate these legal obligations.</w:t>
      </w:r>
    </w:p>
    <w:p w14:paraId="692E78E6" w14:textId="58CD3ED2" w:rsidR="00CA08B1" w:rsidRPr="003A173C" w:rsidRDefault="00CA08B1" w:rsidP="00781B94">
      <w:pPr>
        <w:rPr>
          <w:rFonts w:cs="Calibri"/>
        </w:rPr>
      </w:pPr>
      <w:r w:rsidRPr="003A173C">
        <w:rPr>
          <w:rFonts w:cs="Calibri"/>
          <w:szCs w:val="20"/>
        </w:rPr>
        <w:t xml:space="preserve">Registered </w:t>
      </w:r>
      <w:r w:rsidR="00612829" w:rsidRPr="003A173C">
        <w:rPr>
          <w:rFonts w:cs="Calibri"/>
          <w:szCs w:val="20"/>
        </w:rPr>
        <w:t>p</w:t>
      </w:r>
      <w:r w:rsidR="001624D1" w:rsidRPr="003A173C">
        <w:rPr>
          <w:rFonts w:cs="Calibri"/>
          <w:szCs w:val="20"/>
        </w:rPr>
        <w:t xml:space="preserve">rovider </w:t>
      </w:r>
      <w:r w:rsidRPr="003A173C">
        <w:rPr>
          <w:rFonts w:cs="Calibri"/>
          <w:szCs w:val="20"/>
        </w:rPr>
        <w:t>responsibilities in relation to the program are broadly defined as follows:</w:t>
      </w:r>
    </w:p>
    <w:p w14:paraId="7B3194D9" w14:textId="2AFB4C2D" w:rsidR="0078704B" w:rsidRPr="003A173C" w:rsidRDefault="002019F4" w:rsidP="00FA34AC">
      <w:pPr>
        <w:pStyle w:val="ListBullet"/>
      </w:pPr>
      <w:r w:rsidRPr="003A173C">
        <w:t xml:space="preserve">manage the day-to-day operation of their TCP </w:t>
      </w:r>
      <w:r w:rsidR="000F4042" w:rsidRPr="003A173C">
        <w:t>service</w:t>
      </w:r>
      <w:r w:rsidR="00CE048A" w:rsidRPr="003A173C">
        <w:t>;</w:t>
      </w:r>
    </w:p>
    <w:p w14:paraId="0F826E34" w14:textId="56EA7259" w:rsidR="00EA291E" w:rsidRPr="003A173C" w:rsidRDefault="007960AF" w:rsidP="00FA34AC">
      <w:pPr>
        <w:pStyle w:val="ListBullet"/>
      </w:pPr>
      <w:r w:rsidRPr="003A173C">
        <w:t>ensure quality care is provided in accordance with the Aged Care Quality Standards under Chapter 1 of the Rules</w:t>
      </w:r>
      <w:r w:rsidR="0078704B" w:rsidRPr="003A173C">
        <w:t>;</w:t>
      </w:r>
    </w:p>
    <w:p w14:paraId="44022B6B" w14:textId="4781027E" w:rsidR="00762555" w:rsidRPr="003A173C" w:rsidRDefault="003C2EA7" w:rsidP="00FA34AC">
      <w:pPr>
        <w:pStyle w:val="ListBullet"/>
      </w:pPr>
      <w:r w:rsidRPr="003A173C">
        <w:t>manage complaints</w:t>
      </w:r>
      <w:r w:rsidR="00760989" w:rsidRPr="003A173C">
        <w:t xml:space="preserve"> and </w:t>
      </w:r>
      <w:r w:rsidR="00181E7B" w:rsidRPr="003A173C">
        <w:t xml:space="preserve">where necessary </w:t>
      </w:r>
      <w:r w:rsidR="00760989" w:rsidRPr="003A173C">
        <w:t xml:space="preserve">cooperate with the </w:t>
      </w:r>
      <w:r w:rsidR="009B199D" w:rsidRPr="003A173C">
        <w:t xml:space="preserve">Aged Care Quality and Safety </w:t>
      </w:r>
      <w:r w:rsidR="00760989" w:rsidRPr="003A173C">
        <w:t>Commission</w:t>
      </w:r>
      <w:r w:rsidR="009B199D" w:rsidRPr="003A173C">
        <w:t xml:space="preserve"> (</w:t>
      </w:r>
      <w:r w:rsidR="009B199D" w:rsidRPr="003A173C">
        <w:rPr>
          <w:b/>
          <w:bCs/>
        </w:rPr>
        <w:t>the Commission)</w:t>
      </w:r>
      <w:r w:rsidR="00760989" w:rsidRPr="003A173C">
        <w:t xml:space="preserve"> or the </w:t>
      </w:r>
      <w:r w:rsidR="00181E7B" w:rsidRPr="003A173C">
        <w:t>relevant complaints body in their jurisdiction</w:t>
      </w:r>
      <w:r w:rsidR="00E2738C" w:rsidRPr="003A173C">
        <w:t>;</w:t>
      </w:r>
    </w:p>
    <w:p w14:paraId="2BF5B465" w14:textId="77777777" w:rsidR="0033328B" w:rsidRPr="0033328B" w:rsidRDefault="00E2738C" w:rsidP="00FA34AC">
      <w:pPr>
        <w:pStyle w:val="ListBullet"/>
        <w:rPr>
          <w:szCs w:val="20"/>
        </w:rPr>
      </w:pPr>
      <w:r w:rsidRPr="003A173C">
        <w:t xml:space="preserve">comply with the requirements of the </w:t>
      </w:r>
      <w:r w:rsidR="00861041" w:rsidRPr="003A173C">
        <w:t xml:space="preserve">Serious </w:t>
      </w:r>
      <w:r w:rsidR="0076594D" w:rsidRPr="003A173C">
        <w:t>I</w:t>
      </w:r>
      <w:r w:rsidR="00861041" w:rsidRPr="003A173C">
        <w:t>ncident Response Scheme (</w:t>
      </w:r>
      <w:r w:rsidR="00861041" w:rsidRPr="003A173C">
        <w:rPr>
          <w:b/>
          <w:bCs/>
        </w:rPr>
        <w:t>SIRS</w:t>
      </w:r>
      <w:r w:rsidR="00861041" w:rsidRPr="003A173C">
        <w:t>)</w:t>
      </w:r>
      <w:r w:rsidR="00E9346A" w:rsidRPr="003A173C">
        <w:t>; and</w:t>
      </w:r>
      <w:r w:rsidR="00D859E4">
        <w:t xml:space="preserve"> </w:t>
      </w:r>
    </w:p>
    <w:p w14:paraId="772D1B3B" w14:textId="307C4F29" w:rsidR="0078704B" w:rsidRPr="008202E1" w:rsidRDefault="47844A6F" w:rsidP="00FA34AC">
      <w:pPr>
        <w:pStyle w:val="ListBullet"/>
        <w:rPr>
          <w:szCs w:val="20"/>
        </w:rPr>
      </w:pPr>
      <w:r w:rsidRPr="008202E1">
        <w:t>collect and report data to the Commonwealth as required</w:t>
      </w:r>
      <w:r w:rsidR="7B5263EF" w:rsidRPr="008202E1">
        <w:t>.</w:t>
      </w:r>
    </w:p>
    <w:p w14:paraId="17A477DD" w14:textId="77777777" w:rsidR="004B538B" w:rsidRDefault="4307A611" w:rsidP="00CE6FE4">
      <w:pPr>
        <w:rPr>
          <w:rFonts w:cs="Calibri"/>
        </w:rPr>
      </w:pPr>
      <w:r w:rsidRPr="003A173C">
        <w:rPr>
          <w:rFonts w:cs="Calibri"/>
        </w:rPr>
        <w:t>Registered provider</w:t>
      </w:r>
      <w:r w:rsidR="02A86083" w:rsidRPr="003A173C">
        <w:rPr>
          <w:rFonts w:cs="Calibri"/>
        </w:rPr>
        <w:t>s</w:t>
      </w:r>
      <w:r w:rsidRPr="003A173C">
        <w:rPr>
          <w:rFonts w:cs="Calibri"/>
        </w:rPr>
        <w:t xml:space="preserve"> </w:t>
      </w:r>
      <w:r w:rsidR="6D6831E7" w:rsidRPr="003A173C">
        <w:rPr>
          <w:rFonts w:cs="Calibri"/>
        </w:rPr>
        <w:t xml:space="preserve">will be audited by the Commission </w:t>
      </w:r>
      <w:r w:rsidR="6776978F" w:rsidRPr="003A173C">
        <w:rPr>
          <w:rFonts w:cs="Calibri"/>
        </w:rPr>
        <w:t xml:space="preserve">to monitor for compliance with </w:t>
      </w:r>
      <w:r w:rsidR="0E350207" w:rsidRPr="003A173C">
        <w:rPr>
          <w:rFonts w:cs="Calibri"/>
        </w:rPr>
        <w:t>the Aged Care Qua</w:t>
      </w:r>
      <w:r w:rsidR="41AA2021" w:rsidRPr="003A173C">
        <w:rPr>
          <w:rFonts w:cs="Calibri"/>
        </w:rPr>
        <w:t>lity Standards, as part of t</w:t>
      </w:r>
      <w:r w:rsidR="2AED0F47" w:rsidRPr="003A173C">
        <w:rPr>
          <w:rFonts w:cs="Calibri"/>
        </w:rPr>
        <w:t>he Commission’s</w:t>
      </w:r>
      <w:r w:rsidR="41AA2021" w:rsidRPr="003A173C">
        <w:rPr>
          <w:rFonts w:cs="Calibri"/>
        </w:rPr>
        <w:t xml:space="preserve"> ongoing and periodic audit program</w:t>
      </w:r>
      <w:r w:rsidR="0A8849BE" w:rsidRPr="003A173C">
        <w:rPr>
          <w:rFonts w:cs="Calibri"/>
        </w:rPr>
        <w:t xml:space="preserve">. Where </w:t>
      </w:r>
      <w:r w:rsidR="4426D961" w:rsidRPr="003A173C">
        <w:rPr>
          <w:rFonts w:cs="Calibri"/>
        </w:rPr>
        <w:t>local health networks within a State or Territory are the registered provider</w:t>
      </w:r>
      <w:r w:rsidR="2AED0F47" w:rsidRPr="003A173C">
        <w:rPr>
          <w:rFonts w:cs="Calibri"/>
        </w:rPr>
        <w:t>s</w:t>
      </w:r>
      <w:r w:rsidR="4426D961" w:rsidRPr="003A173C">
        <w:rPr>
          <w:rFonts w:cs="Calibri"/>
        </w:rPr>
        <w:t xml:space="preserve"> of TCP services, they</w:t>
      </w:r>
      <w:r w:rsidR="4E2C45A4" w:rsidRPr="003A173C">
        <w:rPr>
          <w:rFonts w:cs="Calibri"/>
        </w:rPr>
        <w:t xml:space="preserve"> </w:t>
      </w:r>
      <w:r w:rsidR="4426D961" w:rsidRPr="003A173C">
        <w:rPr>
          <w:rFonts w:cs="Calibri"/>
        </w:rPr>
        <w:t xml:space="preserve">will be subject to the site audits to be conducted by the Commission. </w:t>
      </w:r>
      <w:r w:rsidR="61F37845" w:rsidRPr="003A173C">
        <w:rPr>
          <w:rFonts w:cs="Calibri"/>
        </w:rPr>
        <w:t xml:space="preserve">Where services are further sub-contracted out to </w:t>
      </w:r>
      <w:r w:rsidR="1CD0843B" w:rsidRPr="003A173C">
        <w:rPr>
          <w:rFonts w:cs="Calibri"/>
        </w:rPr>
        <w:t>associated</w:t>
      </w:r>
      <w:r w:rsidR="61F37845" w:rsidRPr="003A173C">
        <w:rPr>
          <w:rFonts w:cs="Calibri"/>
        </w:rPr>
        <w:t xml:space="preserve"> </w:t>
      </w:r>
      <w:r w:rsidR="1CD0843B" w:rsidRPr="003A173C">
        <w:rPr>
          <w:rFonts w:cs="Calibri"/>
        </w:rPr>
        <w:t>provider</w:t>
      </w:r>
      <w:r w:rsidR="76EB4721" w:rsidRPr="003A173C">
        <w:rPr>
          <w:rFonts w:cs="Calibri"/>
        </w:rPr>
        <w:t xml:space="preserve">s, registered providers will be responsible for the quality, </w:t>
      </w:r>
      <w:r w:rsidR="2AED0F47" w:rsidRPr="003A173C">
        <w:rPr>
          <w:rFonts w:cs="Calibri"/>
        </w:rPr>
        <w:t>safety</w:t>
      </w:r>
      <w:r w:rsidR="76EB4721" w:rsidRPr="003A173C">
        <w:rPr>
          <w:rFonts w:cs="Calibri"/>
        </w:rPr>
        <w:t xml:space="preserve"> and </w:t>
      </w:r>
      <w:r w:rsidR="2AED0F47" w:rsidRPr="003A173C">
        <w:rPr>
          <w:rFonts w:cs="Calibri"/>
        </w:rPr>
        <w:t>com</w:t>
      </w:r>
      <w:r w:rsidR="7723F29D" w:rsidRPr="003A173C">
        <w:rPr>
          <w:rFonts w:cs="Calibri"/>
        </w:rPr>
        <w:t xml:space="preserve">pliance </w:t>
      </w:r>
      <w:r w:rsidR="76EB4721" w:rsidRPr="003A173C">
        <w:rPr>
          <w:rFonts w:cs="Calibri"/>
        </w:rPr>
        <w:t xml:space="preserve">of the services delivered by </w:t>
      </w:r>
      <w:r w:rsidR="7723F29D" w:rsidRPr="003A173C">
        <w:rPr>
          <w:rFonts w:cs="Calibri"/>
        </w:rPr>
        <w:t>associated</w:t>
      </w:r>
      <w:r w:rsidR="76EB4721" w:rsidRPr="003A173C">
        <w:rPr>
          <w:rFonts w:cs="Calibri"/>
        </w:rPr>
        <w:t xml:space="preserve"> providers</w:t>
      </w:r>
      <w:r w:rsidR="023B99E9" w:rsidRPr="003A173C">
        <w:rPr>
          <w:rFonts w:cs="Calibri"/>
        </w:rPr>
        <w:t xml:space="preserve">. </w:t>
      </w:r>
    </w:p>
    <w:p w14:paraId="4D60863F" w14:textId="3E311BCE" w:rsidR="00992335" w:rsidRDefault="54D645C6" w:rsidP="00CE6FE4">
      <w:pPr>
        <w:rPr>
          <w:rFonts w:cs="Calibri"/>
        </w:rPr>
      </w:pPr>
      <w:r w:rsidRPr="003A173C">
        <w:rPr>
          <w:rFonts w:cs="Calibri"/>
        </w:rPr>
        <w:t xml:space="preserve">Further information on </w:t>
      </w:r>
      <w:r w:rsidR="6D4FE1AF" w:rsidRPr="003A173C">
        <w:rPr>
          <w:rFonts w:cs="Calibri"/>
        </w:rPr>
        <w:t>r</w:t>
      </w:r>
      <w:r w:rsidRPr="003A173C">
        <w:rPr>
          <w:rFonts w:cs="Calibri"/>
        </w:rPr>
        <w:t>egistered</w:t>
      </w:r>
      <w:r w:rsidR="6D4FE1AF" w:rsidRPr="003A173C">
        <w:rPr>
          <w:rFonts w:cs="Calibri"/>
        </w:rPr>
        <w:t xml:space="preserve"> p</w:t>
      </w:r>
      <w:r w:rsidRPr="003A173C">
        <w:rPr>
          <w:rFonts w:cs="Calibri"/>
        </w:rPr>
        <w:t>rovider</w:t>
      </w:r>
      <w:r w:rsidR="34F0745E" w:rsidRPr="003A173C">
        <w:rPr>
          <w:rFonts w:cs="Calibri"/>
        </w:rPr>
        <w:t xml:space="preserve"> and associated provider</w:t>
      </w:r>
      <w:r w:rsidRPr="003A173C">
        <w:rPr>
          <w:rFonts w:cs="Calibri"/>
        </w:rPr>
        <w:t xml:space="preserve"> responsibilities </w:t>
      </w:r>
      <w:r w:rsidR="34F0745E" w:rsidRPr="003A173C">
        <w:rPr>
          <w:rFonts w:cs="Calibri"/>
        </w:rPr>
        <w:t xml:space="preserve">in relation to compliance and audits </w:t>
      </w:r>
      <w:r w:rsidRPr="003A173C">
        <w:rPr>
          <w:rFonts w:cs="Calibri"/>
        </w:rPr>
        <w:t xml:space="preserve">can be found </w:t>
      </w:r>
      <w:r w:rsidR="3E0473EF" w:rsidRPr="003A173C">
        <w:rPr>
          <w:rFonts w:cs="Calibri"/>
        </w:rPr>
        <w:t xml:space="preserve">on the Commission’s website at </w:t>
      </w:r>
      <w:hyperlink r:id="rId22" w:anchor=":~:text=This%20regulatory%20bulletin%20explains%20the%20types%20of%20entities,in%20the%20delivery%20of%20their%20aged%20care%20services." w:history="1">
        <w:r w:rsidR="30114E3F" w:rsidRPr="003A173C">
          <w:rPr>
            <w:rStyle w:val="Hyperlink"/>
            <w:rFonts w:ascii="Calibri" w:hAnsi="Calibri" w:cs="Calibri"/>
            <w:sz w:val="20"/>
            <w:szCs w:val="20"/>
          </w:rPr>
          <w:t>Regulatory Bulletin RB 2025-1 Associated providers | Aged Care Quality and Safety Commission</w:t>
        </w:r>
      </w:hyperlink>
      <w:r w:rsidR="7723F29D" w:rsidRPr="003A173C">
        <w:rPr>
          <w:rFonts w:cs="Calibri"/>
        </w:rPr>
        <w:t>, and in Chapter</w:t>
      </w:r>
      <w:r w:rsidR="69358F19" w:rsidRPr="003A173C">
        <w:rPr>
          <w:rFonts w:cs="Calibri"/>
        </w:rPr>
        <w:t>s 6 and 7</w:t>
      </w:r>
      <w:r w:rsidR="00272759">
        <w:rPr>
          <w:rFonts w:cs="Calibri"/>
        </w:rPr>
        <w:t>.</w:t>
      </w:r>
    </w:p>
    <w:p w14:paraId="7FB1B25F" w14:textId="3191487E" w:rsidR="00CC35DE" w:rsidRDefault="00CC35DE" w:rsidP="00CC35DE">
      <w:pPr>
        <w:rPr>
          <w:rFonts w:cs="Calibri"/>
        </w:rPr>
      </w:pPr>
      <w:r>
        <w:rPr>
          <w:rFonts w:cs="Calibri"/>
        </w:rPr>
        <w:t xml:space="preserve">Registered providers must </w:t>
      </w:r>
      <w:r w:rsidRPr="003A173C">
        <w:rPr>
          <w:rFonts w:cs="Calibri"/>
        </w:rPr>
        <w:t xml:space="preserve">maintain appropriate insurance while providing transition care services </w:t>
      </w:r>
      <w:r w:rsidR="00FE02E4">
        <w:rPr>
          <w:rFonts w:cs="Calibri"/>
        </w:rPr>
        <w:t xml:space="preserve">and </w:t>
      </w:r>
      <w:r w:rsidRPr="003A173C">
        <w:rPr>
          <w:rFonts w:cs="Calibri"/>
        </w:rPr>
        <w:t>be aware of any relevant State or Territory legislation regarding insurance requirements and standards that may affect the delivery of transition care services.</w:t>
      </w:r>
    </w:p>
    <w:p w14:paraId="059EC228" w14:textId="015461CC" w:rsidR="00CC35DE" w:rsidRPr="003A173C" w:rsidRDefault="00CC35DE" w:rsidP="00CE6FE4">
      <w:pPr>
        <w:rPr>
          <w:rFonts w:cs="Calibri"/>
        </w:rPr>
      </w:pPr>
      <w:r>
        <w:rPr>
          <w:rFonts w:cs="Calibri"/>
        </w:rPr>
        <w:t>R</w:t>
      </w:r>
      <w:r w:rsidRPr="003A173C">
        <w:rPr>
          <w:rFonts w:cs="Calibri"/>
        </w:rPr>
        <w:t xml:space="preserve">egistered providers must </w:t>
      </w:r>
      <w:r>
        <w:rPr>
          <w:rFonts w:cs="Calibri"/>
        </w:rPr>
        <w:t xml:space="preserve">also </w:t>
      </w:r>
      <w:r w:rsidRPr="003A173C">
        <w:rPr>
          <w:rFonts w:cs="Calibri"/>
        </w:rPr>
        <w:t>comply with the provisions of any relevant statutes, regulations, by-laws and requirements of the Australian Government, State or Territory government, or local authority.</w:t>
      </w:r>
      <w:r>
        <w:rPr>
          <w:rFonts w:cs="Calibri"/>
        </w:rPr>
        <w:t xml:space="preserve"> </w:t>
      </w:r>
      <w:r w:rsidR="00B63B8C">
        <w:rPr>
          <w:rFonts w:cs="Calibri"/>
        </w:rPr>
        <w:t xml:space="preserve"> </w:t>
      </w:r>
    </w:p>
    <w:p w14:paraId="42DE58E7" w14:textId="3B55C36F" w:rsidR="00605BA0" w:rsidRPr="003A173C" w:rsidRDefault="00605BA0" w:rsidP="00605BA0">
      <w:pPr>
        <w:pStyle w:val="Heading2"/>
        <w:rPr>
          <w:rFonts w:ascii="Calibri" w:hAnsi="Calibri" w:cs="Calibri"/>
        </w:rPr>
      </w:pPr>
      <w:bookmarkStart w:id="45" w:name="_Toc216865443"/>
      <w:r w:rsidRPr="003A173C">
        <w:rPr>
          <w:rFonts w:ascii="Calibri" w:hAnsi="Calibri" w:cs="Calibri"/>
        </w:rPr>
        <w:t>Allocation of transition care places</w:t>
      </w:r>
      <w:bookmarkEnd w:id="40"/>
      <w:bookmarkEnd w:id="41"/>
      <w:bookmarkEnd w:id="42"/>
      <w:bookmarkEnd w:id="43"/>
      <w:bookmarkEnd w:id="45"/>
    </w:p>
    <w:p w14:paraId="670573E0" w14:textId="3A3BBF46" w:rsidR="00605BA0" w:rsidRPr="003A173C" w:rsidRDefault="4113B1AE" w:rsidP="1CBD4533">
      <w:pPr>
        <w:autoSpaceDE w:val="0"/>
        <w:autoSpaceDN w:val="0"/>
        <w:adjustRightInd w:val="0"/>
        <w:spacing w:before="0" w:after="200"/>
        <w:rPr>
          <w:rFonts w:cs="Calibri"/>
        </w:rPr>
      </w:pPr>
      <w:r w:rsidRPr="003A173C">
        <w:rPr>
          <w:rFonts w:cs="Calibri"/>
        </w:rPr>
        <w:t xml:space="preserve">The </w:t>
      </w:r>
      <w:r w:rsidR="00931641" w:rsidRPr="003A173C">
        <w:rPr>
          <w:rFonts w:cs="Calibri"/>
        </w:rPr>
        <w:t xml:space="preserve">Australian </w:t>
      </w:r>
      <w:r w:rsidRPr="003A173C">
        <w:rPr>
          <w:rFonts w:cs="Calibri"/>
        </w:rPr>
        <w:t xml:space="preserve">Government and </w:t>
      </w:r>
      <w:r w:rsidR="00A1735A" w:rsidRPr="003A173C">
        <w:rPr>
          <w:rFonts w:cs="Calibri"/>
        </w:rPr>
        <w:t>S</w:t>
      </w:r>
      <w:r w:rsidRPr="003A173C">
        <w:rPr>
          <w:rFonts w:cs="Calibri"/>
        </w:rPr>
        <w:t xml:space="preserve">tate and </w:t>
      </w:r>
      <w:r w:rsidR="00A1735A" w:rsidRPr="003A173C">
        <w:rPr>
          <w:rFonts w:cs="Calibri"/>
        </w:rPr>
        <w:t>T</w:t>
      </w:r>
      <w:r w:rsidRPr="003A173C">
        <w:rPr>
          <w:rFonts w:cs="Calibri"/>
        </w:rPr>
        <w:t>erritory governments have clearly de</w:t>
      </w:r>
      <w:r w:rsidR="0332EA88" w:rsidRPr="003A173C">
        <w:rPr>
          <w:rFonts w:cs="Calibri"/>
        </w:rPr>
        <w:t xml:space="preserve">fined </w:t>
      </w:r>
      <w:r w:rsidRPr="003A173C">
        <w:rPr>
          <w:rFonts w:cs="Calibri"/>
        </w:rPr>
        <w:t xml:space="preserve">roles </w:t>
      </w:r>
      <w:r w:rsidR="50E0596D" w:rsidRPr="003A173C">
        <w:rPr>
          <w:rFonts w:cs="Calibri"/>
        </w:rPr>
        <w:t xml:space="preserve">in relation </w:t>
      </w:r>
      <w:r w:rsidRPr="003A173C">
        <w:rPr>
          <w:rFonts w:cs="Calibri"/>
        </w:rPr>
        <w:t>to the alloca</w:t>
      </w:r>
      <w:r w:rsidR="05682FB8" w:rsidRPr="003A173C">
        <w:rPr>
          <w:rFonts w:cs="Calibri"/>
        </w:rPr>
        <w:t>tion of transition care places.</w:t>
      </w:r>
    </w:p>
    <w:p w14:paraId="573B5009" w14:textId="5B0AF534" w:rsidR="00605BA0" w:rsidRPr="003A173C" w:rsidRDefault="00667447" w:rsidP="00CE6FE4">
      <w:pPr>
        <w:spacing w:before="0" w:after="200"/>
        <w:rPr>
          <w:rFonts w:cs="Calibri"/>
        </w:rPr>
      </w:pPr>
      <w:r w:rsidRPr="003A173C">
        <w:rPr>
          <w:rFonts w:cs="Calibri"/>
        </w:rPr>
        <w:t>The</w:t>
      </w:r>
      <w:r w:rsidR="4169C8AD" w:rsidRPr="003A173C">
        <w:rPr>
          <w:rFonts w:cs="Calibri"/>
        </w:rPr>
        <w:t xml:space="preserve"> </w:t>
      </w:r>
      <w:r w:rsidR="001A39CC">
        <w:rPr>
          <w:rFonts w:cs="Calibri"/>
        </w:rPr>
        <w:t>Australian Government will determine</w:t>
      </w:r>
      <w:r w:rsidR="4169C8AD" w:rsidRPr="003A173C">
        <w:rPr>
          <w:rFonts w:cs="Calibri"/>
        </w:rPr>
        <w:t xml:space="preserve"> the number of places available to be allocated to ent</w:t>
      </w:r>
      <w:r w:rsidR="250F9B85" w:rsidRPr="003A173C">
        <w:rPr>
          <w:rFonts w:cs="Calibri"/>
        </w:rPr>
        <w:t xml:space="preserve">ities </w:t>
      </w:r>
      <w:r w:rsidR="4169C8AD" w:rsidRPr="003A173C">
        <w:rPr>
          <w:rFonts w:cs="Calibri"/>
        </w:rPr>
        <w:t xml:space="preserve">for delivering </w:t>
      </w:r>
      <w:r w:rsidR="6E2D4819" w:rsidRPr="003A173C">
        <w:rPr>
          <w:rFonts w:cs="Calibri"/>
        </w:rPr>
        <w:t xml:space="preserve">transition care and </w:t>
      </w:r>
      <w:r w:rsidR="149953F6" w:rsidRPr="003A173C">
        <w:rPr>
          <w:rFonts w:cs="Calibri"/>
        </w:rPr>
        <w:t xml:space="preserve">how many of these places must be used to deliver transition care in a specified </w:t>
      </w:r>
      <w:r w:rsidR="00A1735A" w:rsidRPr="003A173C">
        <w:rPr>
          <w:rFonts w:cs="Calibri"/>
        </w:rPr>
        <w:t>S</w:t>
      </w:r>
      <w:r w:rsidR="149953F6" w:rsidRPr="003A173C">
        <w:rPr>
          <w:rFonts w:cs="Calibri"/>
        </w:rPr>
        <w:t xml:space="preserve">tate or </w:t>
      </w:r>
      <w:r w:rsidR="00A1735A" w:rsidRPr="003A173C">
        <w:rPr>
          <w:rFonts w:cs="Calibri"/>
        </w:rPr>
        <w:t>T</w:t>
      </w:r>
      <w:r w:rsidR="149953F6" w:rsidRPr="003A173C">
        <w:rPr>
          <w:rFonts w:cs="Calibri"/>
        </w:rPr>
        <w:t>erritory</w:t>
      </w:r>
      <w:r w:rsidRPr="003A173C">
        <w:rPr>
          <w:rFonts w:cs="Calibri"/>
        </w:rPr>
        <w:t xml:space="preserve"> (section 94 of the Act)</w:t>
      </w:r>
      <w:r w:rsidR="149953F6" w:rsidRPr="003A173C">
        <w:rPr>
          <w:rFonts w:cs="Calibri"/>
        </w:rPr>
        <w:t>.</w:t>
      </w:r>
    </w:p>
    <w:p w14:paraId="5F3D66DF" w14:textId="4BDC175D" w:rsidR="20B0B6FB" w:rsidRPr="003A173C" w:rsidRDefault="00731518" w:rsidP="000854E0">
      <w:pPr>
        <w:spacing w:before="0" w:after="200"/>
        <w:rPr>
          <w:rFonts w:cs="Calibri"/>
        </w:rPr>
      </w:pPr>
      <w:r w:rsidRPr="003A173C">
        <w:rPr>
          <w:rFonts w:cs="Calibri"/>
        </w:rPr>
        <w:t>The</w:t>
      </w:r>
      <w:r w:rsidR="75A54621" w:rsidRPr="003A173C">
        <w:rPr>
          <w:rFonts w:cs="Calibri"/>
        </w:rPr>
        <w:t xml:space="preserve"> Department</w:t>
      </w:r>
      <w:r w:rsidR="004940D4" w:rsidRPr="003A173C">
        <w:rPr>
          <w:rFonts w:cs="Calibri"/>
        </w:rPr>
        <w:t>al delegate</w:t>
      </w:r>
      <w:r w:rsidR="75A54621" w:rsidRPr="003A173C">
        <w:rPr>
          <w:rFonts w:cs="Calibri"/>
        </w:rPr>
        <w:t xml:space="preserve"> may decide </w:t>
      </w:r>
      <w:r w:rsidR="570FB198" w:rsidRPr="003A173C">
        <w:rPr>
          <w:rFonts w:cs="Calibri"/>
        </w:rPr>
        <w:t xml:space="preserve">whether </w:t>
      </w:r>
      <w:r w:rsidR="75A54621" w:rsidRPr="003A173C">
        <w:rPr>
          <w:rFonts w:cs="Calibri"/>
        </w:rPr>
        <w:t xml:space="preserve">to allocate transition care places </w:t>
      </w:r>
      <w:r w:rsidR="136E2E47" w:rsidRPr="003A173C">
        <w:rPr>
          <w:rFonts w:cs="Calibri"/>
        </w:rPr>
        <w:t xml:space="preserve">to an entity </w:t>
      </w:r>
      <w:r w:rsidR="00096A89" w:rsidRPr="003A173C">
        <w:rPr>
          <w:rFonts w:cs="Calibri"/>
        </w:rPr>
        <w:t>once</w:t>
      </w:r>
      <w:r w:rsidR="75A54621" w:rsidRPr="003A173C">
        <w:rPr>
          <w:rFonts w:cs="Calibri"/>
        </w:rPr>
        <w:t xml:space="preserve"> the Minister has determine</w:t>
      </w:r>
      <w:r w:rsidR="3C3FE8D8" w:rsidRPr="003A173C">
        <w:rPr>
          <w:rFonts w:cs="Calibri"/>
        </w:rPr>
        <w:t>d</w:t>
      </w:r>
      <w:r w:rsidR="75A54621" w:rsidRPr="003A173C">
        <w:rPr>
          <w:rFonts w:cs="Calibri"/>
        </w:rPr>
        <w:t xml:space="preserve"> there are places for allocation</w:t>
      </w:r>
      <w:r w:rsidR="00096A89" w:rsidRPr="003A173C">
        <w:rPr>
          <w:rFonts w:cs="Calibri"/>
        </w:rPr>
        <w:t xml:space="preserve"> </w:t>
      </w:r>
      <w:r w:rsidR="00667447" w:rsidRPr="003A173C">
        <w:rPr>
          <w:rFonts w:cs="Calibri"/>
        </w:rPr>
        <w:t>(section 95</w:t>
      </w:r>
      <w:r w:rsidR="00096A89" w:rsidRPr="003A173C">
        <w:rPr>
          <w:rFonts w:cs="Calibri"/>
        </w:rPr>
        <w:t xml:space="preserve"> of the Act</w:t>
      </w:r>
      <w:r w:rsidR="00667447" w:rsidRPr="003A173C">
        <w:rPr>
          <w:rFonts w:cs="Calibri"/>
        </w:rPr>
        <w:t>)</w:t>
      </w:r>
      <w:r w:rsidR="75A54621" w:rsidRPr="003A173C">
        <w:rPr>
          <w:rFonts w:cs="Calibri"/>
        </w:rPr>
        <w:t>.</w:t>
      </w:r>
      <w:r w:rsidR="62E5329D" w:rsidRPr="003A173C">
        <w:rPr>
          <w:rFonts w:cs="Calibri"/>
        </w:rPr>
        <w:t xml:space="preserve"> </w:t>
      </w:r>
    </w:p>
    <w:p w14:paraId="5B91C01C" w14:textId="6B108E37" w:rsidR="0CC2D0F9" w:rsidRPr="003A173C" w:rsidRDefault="00FD7DA7" w:rsidP="002265B1">
      <w:pPr>
        <w:spacing w:before="0" w:after="60"/>
        <w:rPr>
          <w:rFonts w:cs="Calibri"/>
        </w:rPr>
      </w:pPr>
      <w:r w:rsidRPr="003A173C">
        <w:rPr>
          <w:rFonts w:cs="Calibri"/>
        </w:rPr>
        <w:t>The D</w:t>
      </w:r>
      <w:r w:rsidR="43DD1299" w:rsidRPr="003A173C">
        <w:rPr>
          <w:rFonts w:cs="Calibri"/>
        </w:rPr>
        <w:t>epartment</w:t>
      </w:r>
      <w:r w:rsidR="00096A89" w:rsidRPr="003A173C">
        <w:rPr>
          <w:rFonts w:cs="Calibri"/>
        </w:rPr>
        <w:t xml:space="preserve"> can invite </w:t>
      </w:r>
      <w:r w:rsidR="00A1735A" w:rsidRPr="003A173C">
        <w:rPr>
          <w:rFonts w:cs="Calibri"/>
        </w:rPr>
        <w:t>S</w:t>
      </w:r>
      <w:r w:rsidR="00096A89" w:rsidRPr="003A173C">
        <w:rPr>
          <w:rFonts w:cs="Calibri"/>
        </w:rPr>
        <w:t xml:space="preserve">tate or </w:t>
      </w:r>
      <w:r w:rsidR="00A1735A" w:rsidRPr="003A173C">
        <w:rPr>
          <w:rFonts w:cs="Calibri"/>
        </w:rPr>
        <w:t>T</w:t>
      </w:r>
      <w:r w:rsidR="00096A89" w:rsidRPr="003A173C">
        <w:rPr>
          <w:rFonts w:cs="Calibri"/>
        </w:rPr>
        <w:t>erritory government</w:t>
      </w:r>
      <w:r w:rsidRPr="003A173C">
        <w:rPr>
          <w:rFonts w:cs="Calibri"/>
        </w:rPr>
        <w:t>s</w:t>
      </w:r>
      <w:r w:rsidR="43DD1299" w:rsidRPr="003A173C">
        <w:rPr>
          <w:rFonts w:cs="Calibri"/>
        </w:rPr>
        <w:t xml:space="preserve"> to apply on </w:t>
      </w:r>
      <w:r w:rsidRPr="003A173C">
        <w:rPr>
          <w:rFonts w:cs="Calibri"/>
        </w:rPr>
        <w:t>their</w:t>
      </w:r>
      <w:r w:rsidR="43DD1299" w:rsidRPr="003A173C">
        <w:rPr>
          <w:rFonts w:cs="Calibri"/>
        </w:rPr>
        <w:t xml:space="preserve"> own behalf or on behalf of another entity (the nominated entity) for </w:t>
      </w:r>
      <w:r w:rsidR="001B75B7" w:rsidRPr="003A173C">
        <w:rPr>
          <w:rFonts w:cs="Calibri"/>
        </w:rPr>
        <w:t>an</w:t>
      </w:r>
      <w:r w:rsidR="43DD1299" w:rsidRPr="003A173C">
        <w:rPr>
          <w:rFonts w:cs="Calibri"/>
        </w:rPr>
        <w:t xml:space="preserve"> allocation of</w:t>
      </w:r>
      <w:r w:rsidR="00096A89" w:rsidRPr="003A173C">
        <w:rPr>
          <w:rFonts w:cs="Calibri"/>
        </w:rPr>
        <w:t xml:space="preserve"> TCP </w:t>
      </w:r>
      <w:r w:rsidR="43DD1299" w:rsidRPr="003A173C">
        <w:rPr>
          <w:rFonts w:cs="Calibri"/>
        </w:rPr>
        <w:t>place</w:t>
      </w:r>
      <w:r w:rsidR="00096A89" w:rsidRPr="003A173C">
        <w:rPr>
          <w:rFonts w:cs="Calibri"/>
        </w:rPr>
        <w:t>s in their jurisdiction</w:t>
      </w:r>
      <w:r w:rsidRPr="003A173C">
        <w:rPr>
          <w:rFonts w:cs="Calibri"/>
        </w:rPr>
        <w:t xml:space="preserve"> (section 95-5 of the Rules). This application must be made as per the criteria</w:t>
      </w:r>
      <w:r w:rsidR="0CC2D0F9" w:rsidRPr="003A173C">
        <w:rPr>
          <w:rFonts w:cs="Calibri"/>
        </w:rPr>
        <w:t xml:space="preserve"> </w:t>
      </w:r>
      <w:r w:rsidRPr="003A173C">
        <w:rPr>
          <w:rFonts w:cs="Calibri"/>
        </w:rPr>
        <w:t xml:space="preserve">in </w:t>
      </w:r>
      <w:r w:rsidR="0CC2D0F9" w:rsidRPr="003A173C">
        <w:rPr>
          <w:rFonts w:cs="Calibri"/>
        </w:rPr>
        <w:t xml:space="preserve">section </w:t>
      </w:r>
      <w:r w:rsidR="43DD1299" w:rsidRPr="003A173C">
        <w:rPr>
          <w:rFonts w:cs="Calibri"/>
        </w:rPr>
        <w:t xml:space="preserve">95-10 </w:t>
      </w:r>
      <w:r w:rsidR="19C0C3CC" w:rsidRPr="003A173C">
        <w:rPr>
          <w:rFonts w:cs="Calibri"/>
        </w:rPr>
        <w:t>of the Rules</w:t>
      </w:r>
      <w:r w:rsidRPr="003A173C">
        <w:rPr>
          <w:rFonts w:cs="Calibri"/>
        </w:rPr>
        <w:t>. It must</w:t>
      </w:r>
      <w:r w:rsidR="00F20CD0" w:rsidRPr="003A173C">
        <w:rPr>
          <w:rFonts w:cs="Calibri"/>
        </w:rPr>
        <w:t xml:space="preserve"> specify</w:t>
      </w:r>
      <w:r w:rsidR="19C0C3CC" w:rsidRPr="003A173C">
        <w:rPr>
          <w:rFonts w:cs="Calibri"/>
        </w:rPr>
        <w:t>:</w:t>
      </w:r>
    </w:p>
    <w:p w14:paraId="79F5C51A" w14:textId="01CB079B" w:rsidR="43DD1299" w:rsidRPr="003A173C" w:rsidRDefault="43DD1299" w:rsidP="00FA34AC">
      <w:pPr>
        <w:pStyle w:val="ListBullet"/>
      </w:pPr>
      <w:r w:rsidRPr="003A173C">
        <w:t>whether the application is being made on an entity’s own behalf</w:t>
      </w:r>
      <w:r w:rsidR="33C00267" w:rsidRPr="003A173C">
        <w:t xml:space="preserve"> or </w:t>
      </w:r>
      <w:r w:rsidRPr="003A173C">
        <w:t>on behalf of a nominated entity to which the place is to be allocated;</w:t>
      </w:r>
    </w:p>
    <w:p w14:paraId="01CA97CF" w14:textId="015A3AD7" w:rsidR="43DD1299" w:rsidRPr="003A173C" w:rsidRDefault="43DD1299" w:rsidP="00FA34AC">
      <w:pPr>
        <w:pStyle w:val="ListBullet"/>
        <w:rPr>
          <w:szCs w:val="20"/>
        </w:rPr>
      </w:pPr>
      <w:r w:rsidRPr="003A173C">
        <w:t>the number of places applied for;</w:t>
      </w:r>
    </w:p>
    <w:p w14:paraId="1880D6C2" w14:textId="32B14AC7" w:rsidR="43DD1299" w:rsidRPr="003A173C" w:rsidRDefault="43DD1299" w:rsidP="00FA34AC">
      <w:pPr>
        <w:pStyle w:val="ListBullet"/>
        <w:rPr>
          <w:szCs w:val="20"/>
        </w:rPr>
      </w:pPr>
      <w:r w:rsidRPr="003A173C">
        <w:t>the number of those places that will be used to deliver funded aged care services to Aboriginal or Torres Strait Islander persons;</w:t>
      </w:r>
      <w:r w:rsidR="286689BE" w:rsidRPr="003A173C">
        <w:t xml:space="preserve"> and</w:t>
      </w:r>
    </w:p>
    <w:p w14:paraId="7C34E6C2" w14:textId="491E7F74" w:rsidR="43DD1299" w:rsidRPr="003A173C" w:rsidRDefault="43DD1299" w:rsidP="00FA34AC">
      <w:pPr>
        <w:pStyle w:val="ListBullet"/>
        <w:rPr>
          <w:szCs w:val="20"/>
        </w:rPr>
      </w:pPr>
      <w:r w:rsidRPr="003A173C">
        <w:t>the area or areas in which the places will be used to deliver funded aged care services.</w:t>
      </w:r>
    </w:p>
    <w:p w14:paraId="4EEED677" w14:textId="68323FB9" w:rsidR="43DD1299" w:rsidRPr="003A173C" w:rsidRDefault="43DD1299" w:rsidP="002265B1">
      <w:pPr>
        <w:spacing w:before="0" w:after="60"/>
        <w:rPr>
          <w:rFonts w:cs="Calibri"/>
        </w:rPr>
      </w:pPr>
      <w:r w:rsidRPr="003A173C">
        <w:rPr>
          <w:rFonts w:cs="Calibri"/>
        </w:rPr>
        <w:t xml:space="preserve">For each area specified </w:t>
      </w:r>
      <w:r w:rsidR="23A2F93D" w:rsidRPr="003A173C">
        <w:rPr>
          <w:rFonts w:cs="Calibri"/>
        </w:rPr>
        <w:t>in the application where TCP will be delivered,</w:t>
      </w:r>
      <w:r w:rsidRPr="003A173C">
        <w:rPr>
          <w:rFonts w:cs="Calibri"/>
        </w:rPr>
        <w:t xml:space="preserve"> the application must also specify:</w:t>
      </w:r>
    </w:p>
    <w:p w14:paraId="7879C139" w14:textId="5F52A62F" w:rsidR="43DD1299" w:rsidRPr="003A173C" w:rsidRDefault="43DD1299" w:rsidP="00FA34AC">
      <w:pPr>
        <w:pStyle w:val="ListBullet"/>
        <w:rPr>
          <w:szCs w:val="20"/>
        </w:rPr>
      </w:pPr>
      <w:r w:rsidRPr="003A173C">
        <w:lastRenderedPageBreak/>
        <w:t>the number of persons</w:t>
      </w:r>
      <w:r w:rsidRPr="00333C84">
        <w:rPr>
          <w:szCs w:val="20"/>
          <w:vertAlign w:val="superscript"/>
        </w:rPr>
        <w:footnoteReference w:id="4"/>
      </w:r>
      <w:r w:rsidRPr="00333C84">
        <w:rPr>
          <w:vertAlign w:val="superscript"/>
        </w:rPr>
        <w:t xml:space="preserve"> </w:t>
      </w:r>
      <w:r w:rsidRPr="003A173C">
        <w:t>residing in the area or areas who are aged at least 70, other than Aboriginal or Torres Strait Islander persons;</w:t>
      </w:r>
    </w:p>
    <w:p w14:paraId="5AAE2EE9" w14:textId="6D444940" w:rsidR="43DD1299" w:rsidRPr="003A173C" w:rsidRDefault="43DD1299" w:rsidP="00FA34AC">
      <w:pPr>
        <w:pStyle w:val="ListBullet"/>
        <w:rPr>
          <w:szCs w:val="20"/>
        </w:rPr>
      </w:pPr>
      <w:r w:rsidRPr="003A173C">
        <w:t>the number of Aboriginal or Torres Strait Islander persons residing in the area or areas who are aged at least 50;</w:t>
      </w:r>
    </w:p>
    <w:p w14:paraId="542BF3A0" w14:textId="566989B4" w:rsidR="43DD1299" w:rsidRPr="003A173C" w:rsidRDefault="43DD1299" w:rsidP="00FA34AC">
      <w:pPr>
        <w:pStyle w:val="ListBullet"/>
      </w:pPr>
      <w:r w:rsidRPr="003A173C">
        <w:t xml:space="preserve">the number of persons mentioned </w:t>
      </w:r>
      <w:r w:rsidR="79A7FDF0" w:rsidRPr="003A173C">
        <w:t>in the abo</w:t>
      </w:r>
      <w:r w:rsidR="49A8AE5F" w:rsidRPr="003A173C">
        <w:t>v</w:t>
      </w:r>
      <w:r w:rsidR="79A7FDF0" w:rsidRPr="003A173C">
        <w:t>e two categories,</w:t>
      </w:r>
      <w:r w:rsidRPr="003A173C">
        <w:t xml:space="preserve"> who are expected to be discharged from hospital;</w:t>
      </w:r>
      <w:r w:rsidR="2D0F9640" w:rsidRPr="003A173C">
        <w:t xml:space="preserve"> </w:t>
      </w:r>
    </w:p>
    <w:p w14:paraId="0EC7F33D" w14:textId="0351F4B6" w:rsidR="43DD1299" w:rsidRPr="003A173C" w:rsidRDefault="43DD1299" w:rsidP="00FA34AC">
      <w:pPr>
        <w:pStyle w:val="ListBullet"/>
      </w:pPr>
      <w:r w:rsidRPr="003A173C">
        <w:t xml:space="preserve">the number of persons expected to be discharged from hospital who are </w:t>
      </w:r>
      <w:r w:rsidR="532AD6E5" w:rsidRPr="003A173C">
        <w:t xml:space="preserve">also </w:t>
      </w:r>
      <w:r w:rsidRPr="003A173C">
        <w:t>expected to benefit from funded aged care services delivered under the TCP after discharge</w:t>
      </w:r>
      <w:r w:rsidR="27F54530" w:rsidRPr="003A173C">
        <w:t xml:space="preserve">; and </w:t>
      </w:r>
    </w:p>
    <w:p w14:paraId="55C44FC8" w14:textId="0115B169" w:rsidR="27F54530" w:rsidRPr="003A173C" w:rsidRDefault="27F54530" w:rsidP="00FA34AC">
      <w:pPr>
        <w:pStyle w:val="ListBullet"/>
        <w:rPr>
          <w:szCs w:val="20"/>
        </w:rPr>
      </w:pPr>
      <w:r w:rsidRPr="003A173C">
        <w:rPr>
          <w:szCs w:val="20"/>
        </w:rPr>
        <w:t>if the application is made on behalf of one or more nominated entities to which the places are to be allocated—the nominated entity or entities that will deliver funded aged care services under each place applied for.</w:t>
      </w:r>
    </w:p>
    <w:p w14:paraId="768702DC" w14:textId="7C4E5DE2" w:rsidR="30EC104B" w:rsidRPr="003A173C" w:rsidRDefault="30EC104B">
      <w:pPr>
        <w:rPr>
          <w:rFonts w:cs="Calibri"/>
        </w:rPr>
      </w:pPr>
      <w:r w:rsidRPr="003A173C">
        <w:rPr>
          <w:rFonts w:cs="Calibri"/>
        </w:rPr>
        <w:t>Transition care places may be delivered</w:t>
      </w:r>
      <w:r w:rsidR="00BD7F60" w:rsidRPr="003A173C">
        <w:rPr>
          <w:rFonts w:cs="Calibri"/>
        </w:rPr>
        <w:t xml:space="preserve"> fle</w:t>
      </w:r>
      <w:r w:rsidR="00E87EB2" w:rsidRPr="003A173C">
        <w:rPr>
          <w:rFonts w:cs="Calibri"/>
        </w:rPr>
        <w:t>x</w:t>
      </w:r>
      <w:r w:rsidR="00BD7F60" w:rsidRPr="003A173C">
        <w:rPr>
          <w:rFonts w:cs="Calibri"/>
        </w:rPr>
        <w:t>i</w:t>
      </w:r>
      <w:r w:rsidR="00E87EB2" w:rsidRPr="003A173C">
        <w:rPr>
          <w:rFonts w:cs="Calibri"/>
        </w:rPr>
        <w:t>bly</w:t>
      </w:r>
      <w:r w:rsidRPr="003A173C">
        <w:rPr>
          <w:rFonts w:cs="Calibri"/>
        </w:rPr>
        <w:t xml:space="preserve"> in either a residential</w:t>
      </w:r>
      <w:r w:rsidR="0087486D">
        <w:rPr>
          <w:rFonts w:cs="Calibri"/>
        </w:rPr>
        <w:t xml:space="preserve"> setting</w:t>
      </w:r>
      <w:r w:rsidR="00E87EB2" w:rsidRPr="003A173C">
        <w:rPr>
          <w:rFonts w:cs="Calibri"/>
        </w:rPr>
        <w:t>,</w:t>
      </w:r>
      <w:r w:rsidRPr="003A173C">
        <w:rPr>
          <w:rFonts w:cs="Calibri"/>
        </w:rPr>
        <w:t xml:space="preserve"> a </w:t>
      </w:r>
      <w:r w:rsidR="00F20CD0" w:rsidRPr="003A173C">
        <w:rPr>
          <w:rFonts w:cs="Calibri"/>
        </w:rPr>
        <w:t>home/</w:t>
      </w:r>
      <w:r w:rsidRPr="003A173C">
        <w:rPr>
          <w:rFonts w:cs="Calibri"/>
        </w:rPr>
        <w:t>community setting</w:t>
      </w:r>
      <w:r w:rsidR="00E87EB2" w:rsidRPr="003A173C">
        <w:rPr>
          <w:rFonts w:cs="Calibri"/>
        </w:rPr>
        <w:t xml:space="preserve"> or a combination of both</w:t>
      </w:r>
      <w:r w:rsidRPr="003A173C">
        <w:rPr>
          <w:rFonts w:cs="Calibri"/>
        </w:rPr>
        <w:t xml:space="preserve">. State and </w:t>
      </w:r>
      <w:r w:rsidR="00A1735A" w:rsidRPr="003A173C">
        <w:rPr>
          <w:rFonts w:cs="Calibri"/>
        </w:rPr>
        <w:t>T</w:t>
      </w:r>
      <w:r w:rsidRPr="003A173C">
        <w:rPr>
          <w:rFonts w:cs="Calibri"/>
        </w:rPr>
        <w:t>erritory governments have the flexibility to determine the mix of care delivery settings in line with local service capacity (including spare residential setting capacity) and individual needs.</w:t>
      </w:r>
    </w:p>
    <w:p w14:paraId="54462455" w14:textId="579B5C2E" w:rsidR="1CBD4533" w:rsidRDefault="7F5F581A" w:rsidP="1CBD4533">
      <w:pPr>
        <w:rPr>
          <w:rFonts w:cs="Calibri"/>
          <w:i/>
          <w:iCs/>
          <w:szCs w:val="20"/>
        </w:rPr>
      </w:pPr>
      <w:r w:rsidRPr="003A173C">
        <w:rPr>
          <w:rFonts w:cs="Calibri"/>
        </w:rPr>
        <w:t xml:space="preserve">Registered providers may assign </w:t>
      </w:r>
      <w:r w:rsidR="00F20CD0" w:rsidRPr="003A173C">
        <w:rPr>
          <w:rFonts w:cs="Calibri"/>
        </w:rPr>
        <w:t>or</w:t>
      </w:r>
      <w:r w:rsidRPr="003A173C">
        <w:rPr>
          <w:rFonts w:cs="Calibri"/>
        </w:rPr>
        <w:t xml:space="preserve"> sub-contract out day-to-day </w:t>
      </w:r>
      <w:r w:rsidR="00F20CD0" w:rsidRPr="003A173C">
        <w:rPr>
          <w:rFonts w:cs="Calibri"/>
        </w:rPr>
        <w:t>care and service provision</w:t>
      </w:r>
      <w:r w:rsidRPr="003A173C">
        <w:rPr>
          <w:rFonts w:cs="Calibri"/>
        </w:rPr>
        <w:t xml:space="preserve"> responsibility to other service providers known as </w:t>
      </w:r>
      <w:r w:rsidR="00F20CD0" w:rsidRPr="003A173C">
        <w:rPr>
          <w:rFonts w:cs="Calibri"/>
        </w:rPr>
        <w:t>a</w:t>
      </w:r>
      <w:r w:rsidRPr="003A173C">
        <w:rPr>
          <w:rFonts w:cs="Calibri"/>
        </w:rPr>
        <w:t xml:space="preserve">ssociated </w:t>
      </w:r>
      <w:r w:rsidR="00F20CD0" w:rsidRPr="003A173C">
        <w:rPr>
          <w:rFonts w:cs="Calibri"/>
        </w:rPr>
        <w:t>p</w:t>
      </w:r>
      <w:r w:rsidRPr="003A173C">
        <w:rPr>
          <w:rFonts w:cs="Calibri"/>
        </w:rPr>
        <w:t>roviders under the Act.</w:t>
      </w:r>
      <w:r w:rsidRPr="003A173C">
        <w:rPr>
          <w:rStyle w:val="FootnoteReference"/>
          <w:rFonts w:cs="Calibri"/>
        </w:rPr>
        <w:footnoteReference w:id="5"/>
      </w:r>
      <w:r w:rsidRPr="003A173C">
        <w:rPr>
          <w:rFonts w:cs="Calibri"/>
        </w:rPr>
        <w:t xml:space="preserve"> </w:t>
      </w:r>
      <w:r w:rsidR="00A07DE0" w:rsidRPr="003A173C">
        <w:rPr>
          <w:rFonts w:cs="Calibri"/>
        </w:rPr>
        <w:t>Therefore, a</w:t>
      </w:r>
      <w:r w:rsidRPr="003A173C">
        <w:rPr>
          <w:rFonts w:cs="Calibri"/>
        </w:rPr>
        <w:t>ssociated providers may manage the delivery of transition care on behalf of the registered provider</w:t>
      </w:r>
      <w:r w:rsidR="00A07DE0" w:rsidRPr="003A173C">
        <w:rPr>
          <w:rFonts w:cs="Calibri"/>
        </w:rPr>
        <w:t>s</w:t>
      </w:r>
      <w:r w:rsidRPr="003A173C">
        <w:rPr>
          <w:rFonts w:cs="Calibri"/>
        </w:rPr>
        <w:t>. Where associated providers are assigned responsibility for the delivery of transition care, registered providers remain accountable for ensuring all requirements in the Act and the Rules are met (</w:t>
      </w:r>
      <w:r w:rsidR="38A450D5" w:rsidRPr="003A173C">
        <w:rPr>
          <w:rFonts w:cs="Calibri"/>
        </w:rPr>
        <w:t>f</w:t>
      </w:r>
      <w:r w:rsidRPr="003A173C">
        <w:rPr>
          <w:rFonts w:cs="Calibri"/>
        </w:rPr>
        <w:t>urther information on legislative requirement</w:t>
      </w:r>
      <w:r w:rsidR="00C8675D" w:rsidRPr="003A173C">
        <w:rPr>
          <w:rFonts w:cs="Calibri"/>
        </w:rPr>
        <w:t>s</w:t>
      </w:r>
      <w:r w:rsidRPr="003A173C">
        <w:rPr>
          <w:rFonts w:cs="Calibri"/>
        </w:rPr>
        <w:t xml:space="preserve"> is in </w:t>
      </w:r>
      <w:r w:rsidRPr="003A173C">
        <w:rPr>
          <w:rFonts w:cs="Calibri"/>
          <w:i/>
          <w:iCs/>
          <w:szCs w:val="20"/>
        </w:rPr>
        <w:t xml:space="preserve">Chapter 6 Responsibilities of </w:t>
      </w:r>
      <w:r w:rsidR="00A87815" w:rsidRPr="003A173C">
        <w:rPr>
          <w:rFonts w:cs="Calibri"/>
          <w:i/>
          <w:iCs/>
          <w:szCs w:val="20"/>
        </w:rPr>
        <w:t>Registered</w:t>
      </w:r>
      <w:r w:rsidRPr="003A173C">
        <w:rPr>
          <w:rFonts w:cs="Calibri"/>
          <w:i/>
          <w:iCs/>
          <w:szCs w:val="20"/>
        </w:rPr>
        <w:t xml:space="preserve"> Providers of Transition Care</w:t>
      </w:r>
      <w:r w:rsidR="3DFE707A" w:rsidRPr="003A173C">
        <w:rPr>
          <w:rFonts w:cs="Calibri"/>
          <w:i/>
          <w:iCs/>
          <w:szCs w:val="20"/>
        </w:rPr>
        <w:t>).</w:t>
      </w:r>
    </w:p>
    <w:p w14:paraId="00ADE906" w14:textId="5C09D4F2" w:rsidR="005E16B7" w:rsidRPr="00382E99" w:rsidRDefault="005E16B7" w:rsidP="1CBD4533">
      <w:pPr>
        <w:rPr>
          <w:rFonts w:cs="Calibri"/>
        </w:rPr>
      </w:pPr>
      <w:r>
        <w:rPr>
          <w:rFonts w:cs="Calibri"/>
        </w:rPr>
        <w:t>Registered providers</w:t>
      </w:r>
      <w:r w:rsidRPr="008422B4">
        <w:rPr>
          <w:rFonts w:cs="Calibri"/>
        </w:rPr>
        <w:t xml:space="preserve"> cannot exceed the number of transition care places allocated to them. For example, if a </w:t>
      </w:r>
      <w:r>
        <w:rPr>
          <w:rFonts w:cs="Calibri"/>
        </w:rPr>
        <w:t>provider</w:t>
      </w:r>
      <w:r w:rsidRPr="008422B4">
        <w:rPr>
          <w:rFonts w:cs="Calibri"/>
        </w:rPr>
        <w:t xml:space="preserve"> has been allocated </w:t>
      </w:r>
      <w:r w:rsidR="00186EF7">
        <w:rPr>
          <w:rFonts w:cs="Calibri"/>
        </w:rPr>
        <w:t>10</w:t>
      </w:r>
      <w:r w:rsidRPr="008422B4">
        <w:rPr>
          <w:rFonts w:cs="Calibri"/>
        </w:rPr>
        <w:t xml:space="preserve"> transition care places, it may only claim subsidy for up to ten </w:t>
      </w:r>
      <w:r>
        <w:rPr>
          <w:rFonts w:cs="Calibri"/>
        </w:rPr>
        <w:t>TCP clients</w:t>
      </w:r>
      <w:r w:rsidRPr="008422B4">
        <w:rPr>
          <w:rFonts w:cs="Calibri"/>
        </w:rPr>
        <w:t xml:space="preserve"> on any given day.</w:t>
      </w:r>
    </w:p>
    <w:p w14:paraId="037EF34B" w14:textId="39CE6817" w:rsidR="00511673" w:rsidRPr="00FA34AC" w:rsidRDefault="00511673" w:rsidP="008974DB">
      <w:pPr>
        <w:pStyle w:val="Style3"/>
      </w:pPr>
      <w:bookmarkStart w:id="46" w:name="_Toc216865444"/>
      <w:r w:rsidRPr="00FA34AC">
        <w:t>Notice of</w:t>
      </w:r>
      <w:r w:rsidR="00AA4015" w:rsidRPr="00FA34AC">
        <w:t xml:space="preserve"> an</w:t>
      </w:r>
      <w:r w:rsidRPr="00FA34AC">
        <w:t xml:space="preserve"> allocation</w:t>
      </w:r>
      <w:r w:rsidR="00AA4015" w:rsidRPr="00FA34AC">
        <w:t xml:space="preserve"> decision</w:t>
      </w:r>
      <w:bookmarkEnd w:id="46"/>
    </w:p>
    <w:p w14:paraId="168783F9" w14:textId="1951A7A5" w:rsidR="00BE4636" w:rsidRPr="003A173C" w:rsidRDefault="003516FF" w:rsidP="00BE4636">
      <w:pPr>
        <w:rPr>
          <w:rFonts w:cs="Calibri"/>
          <w:szCs w:val="20"/>
        </w:rPr>
      </w:pPr>
      <w:r w:rsidRPr="003A173C">
        <w:rPr>
          <w:rFonts w:cs="Calibri"/>
          <w:szCs w:val="20"/>
        </w:rPr>
        <w:t xml:space="preserve">Once a decision to allocate transition care places </w:t>
      </w:r>
      <w:r w:rsidR="004D61B3">
        <w:rPr>
          <w:rFonts w:cs="Calibri"/>
          <w:szCs w:val="20"/>
        </w:rPr>
        <w:t>has been made</w:t>
      </w:r>
      <w:r w:rsidRPr="003A173C">
        <w:rPr>
          <w:rFonts w:cs="Calibri"/>
          <w:szCs w:val="20"/>
        </w:rPr>
        <w:t xml:space="preserve"> </w:t>
      </w:r>
      <w:r w:rsidR="00EC621A" w:rsidRPr="003A173C">
        <w:rPr>
          <w:rFonts w:cs="Calibri"/>
          <w:szCs w:val="20"/>
        </w:rPr>
        <w:t>the Department will provide each State and Territory</w:t>
      </w:r>
      <w:r w:rsidR="005732B7" w:rsidRPr="003A173C">
        <w:rPr>
          <w:rFonts w:cs="Calibri"/>
          <w:szCs w:val="20"/>
        </w:rPr>
        <w:t xml:space="preserve"> with </w:t>
      </w:r>
      <w:r w:rsidRPr="003A173C">
        <w:rPr>
          <w:rFonts w:cs="Calibri"/>
          <w:szCs w:val="20"/>
        </w:rPr>
        <w:t xml:space="preserve">a notice of decision </w:t>
      </w:r>
      <w:r w:rsidR="005732B7" w:rsidRPr="003A173C">
        <w:rPr>
          <w:rFonts w:cs="Calibri"/>
          <w:szCs w:val="20"/>
        </w:rPr>
        <w:t xml:space="preserve">which </w:t>
      </w:r>
      <w:r w:rsidRPr="003A173C">
        <w:rPr>
          <w:rFonts w:cs="Calibri"/>
          <w:szCs w:val="20"/>
        </w:rPr>
        <w:t xml:space="preserve">must be given to </w:t>
      </w:r>
      <w:r w:rsidR="0033149F" w:rsidRPr="003A173C">
        <w:rPr>
          <w:rFonts w:cs="Calibri"/>
          <w:szCs w:val="20"/>
        </w:rPr>
        <w:t>relevant nominated</w:t>
      </w:r>
      <w:r w:rsidRPr="003A173C">
        <w:rPr>
          <w:rFonts w:cs="Calibri"/>
          <w:szCs w:val="20"/>
        </w:rPr>
        <w:t xml:space="preserve"> </w:t>
      </w:r>
      <w:r w:rsidR="006834DD" w:rsidRPr="003A173C">
        <w:rPr>
          <w:rFonts w:cs="Calibri"/>
          <w:szCs w:val="20"/>
        </w:rPr>
        <w:t>registered provider</w:t>
      </w:r>
      <w:r w:rsidR="0033149F" w:rsidRPr="003A173C">
        <w:rPr>
          <w:rFonts w:cs="Calibri"/>
          <w:szCs w:val="20"/>
        </w:rPr>
        <w:t>s</w:t>
      </w:r>
      <w:r w:rsidR="00443BD4" w:rsidRPr="003A173C">
        <w:rPr>
          <w:rFonts w:cs="Calibri"/>
          <w:szCs w:val="20"/>
        </w:rPr>
        <w:t xml:space="preserve"> </w:t>
      </w:r>
      <w:r w:rsidR="00BE4636" w:rsidRPr="003A173C">
        <w:rPr>
          <w:rFonts w:cs="Calibri"/>
          <w:szCs w:val="20"/>
        </w:rPr>
        <w:t xml:space="preserve">within 14 days </w:t>
      </w:r>
      <w:r w:rsidR="002632C6" w:rsidRPr="003A173C">
        <w:rPr>
          <w:rFonts w:cs="Calibri"/>
          <w:szCs w:val="20"/>
        </w:rPr>
        <w:t>of</w:t>
      </w:r>
      <w:r w:rsidR="00BE4636" w:rsidRPr="003A173C">
        <w:rPr>
          <w:rFonts w:cs="Calibri"/>
          <w:szCs w:val="20"/>
        </w:rPr>
        <w:t xml:space="preserve"> the delegate mak</w:t>
      </w:r>
      <w:r w:rsidR="002632C6" w:rsidRPr="003A173C">
        <w:rPr>
          <w:rFonts w:cs="Calibri"/>
          <w:szCs w:val="20"/>
        </w:rPr>
        <w:t>ing</w:t>
      </w:r>
      <w:r w:rsidR="00BE4636" w:rsidRPr="003A173C">
        <w:rPr>
          <w:rFonts w:cs="Calibri"/>
          <w:szCs w:val="20"/>
        </w:rPr>
        <w:t xml:space="preserve"> the decision</w:t>
      </w:r>
      <w:r w:rsidR="002632C6" w:rsidRPr="003A173C">
        <w:rPr>
          <w:rFonts w:cs="Calibri"/>
          <w:szCs w:val="20"/>
        </w:rPr>
        <w:t>. This will</w:t>
      </w:r>
      <w:r w:rsidR="00BE4636" w:rsidRPr="003A173C">
        <w:rPr>
          <w:rFonts w:cs="Calibri"/>
          <w:szCs w:val="20"/>
        </w:rPr>
        <w:t xml:space="preserve"> include the following:</w:t>
      </w:r>
      <w:r w:rsidRPr="003A173C">
        <w:rPr>
          <w:rFonts w:cs="Calibri"/>
          <w:szCs w:val="20"/>
        </w:rPr>
        <w:t xml:space="preserve"> </w:t>
      </w:r>
    </w:p>
    <w:p w14:paraId="64CA2C9F" w14:textId="5D898052" w:rsidR="00511673" w:rsidRPr="003A173C" w:rsidRDefault="00511673" w:rsidP="00FA34AC">
      <w:pPr>
        <w:pStyle w:val="ListBullet"/>
      </w:pPr>
      <w:r w:rsidRPr="003A173C">
        <w:t xml:space="preserve">the specialist aged care program </w:t>
      </w:r>
      <w:r w:rsidR="00317942" w:rsidRPr="003A173C">
        <w:t xml:space="preserve">(in this case the transition care program) </w:t>
      </w:r>
      <w:r w:rsidRPr="003A173C">
        <w:t>and service groups for which</w:t>
      </w:r>
      <w:r w:rsidR="003516FF" w:rsidRPr="003A173C">
        <w:t xml:space="preserve"> </w:t>
      </w:r>
      <w:r w:rsidR="00317942" w:rsidRPr="003A173C">
        <w:t xml:space="preserve">the </w:t>
      </w:r>
      <w:r w:rsidR="00A414E1" w:rsidRPr="003A173C">
        <w:t>nominated registered provider of the State or Territory</w:t>
      </w:r>
      <w:r w:rsidR="00317942" w:rsidRPr="003A173C">
        <w:t xml:space="preserve"> has been allocated places</w:t>
      </w:r>
      <w:r w:rsidR="00FE75E0" w:rsidRPr="003A173C">
        <w:t xml:space="preserve">; </w:t>
      </w:r>
    </w:p>
    <w:p w14:paraId="462B8661" w14:textId="7F0CB83B" w:rsidR="00FE75E0" w:rsidRPr="003A173C" w:rsidRDefault="00511673" w:rsidP="00FA34AC">
      <w:pPr>
        <w:pStyle w:val="ListBullet"/>
      </w:pPr>
      <w:r w:rsidRPr="003A173C">
        <w:t>any condition on the allocation of the place</w:t>
      </w:r>
      <w:r w:rsidR="00FE75E0" w:rsidRPr="003A173C">
        <w:t>s</w:t>
      </w:r>
      <w:r w:rsidRPr="003A173C">
        <w:t>;</w:t>
      </w:r>
      <w:r w:rsidR="00FE75E0" w:rsidRPr="003A173C">
        <w:t xml:space="preserve"> and</w:t>
      </w:r>
    </w:p>
    <w:p w14:paraId="62097E0A" w14:textId="47875573" w:rsidR="005030DB" w:rsidRPr="003A173C" w:rsidRDefault="00511673" w:rsidP="00FA34AC">
      <w:pPr>
        <w:pStyle w:val="ListBullet"/>
      </w:pPr>
      <w:r w:rsidRPr="003A173C">
        <w:t>details about when the place takes effect</w:t>
      </w:r>
      <w:r w:rsidR="00A414E1" w:rsidRPr="003A173C">
        <w:t>.</w:t>
      </w:r>
    </w:p>
    <w:p w14:paraId="0F26E101" w14:textId="041A641A" w:rsidR="71FB87D0" w:rsidRPr="00FA34AC" w:rsidRDefault="71FB87D0" w:rsidP="008974DB">
      <w:pPr>
        <w:pStyle w:val="Style3"/>
      </w:pPr>
      <w:bookmarkStart w:id="47" w:name="_Toc216865445"/>
      <w:r w:rsidRPr="00FA34AC">
        <w:t>Reallocation of TCP places</w:t>
      </w:r>
      <w:bookmarkEnd w:id="47"/>
    </w:p>
    <w:p w14:paraId="120A5655" w14:textId="5D707DB1" w:rsidR="1CBD4533" w:rsidRPr="003A173C" w:rsidRDefault="00B63742" w:rsidP="1CBD4533">
      <w:pPr>
        <w:spacing w:before="0" w:after="60"/>
        <w:rPr>
          <w:rFonts w:cs="Calibri"/>
          <w:szCs w:val="20"/>
        </w:rPr>
      </w:pPr>
      <w:r w:rsidRPr="003A173C">
        <w:rPr>
          <w:rFonts w:cs="Calibri"/>
          <w:szCs w:val="20"/>
        </w:rPr>
        <w:t>A</w:t>
      </w:r>
      <w:r w:rsidR="4B63D669" w:rsidRPr="003A173C">
        <w:rPr>
          <w:rFonts w:cs="Calibri"/>
          <w:szCs w:val="20"/>
        </w:rPr>
        <w:t xml:space="preserve"> </w:t>
      </w:r>
      <w:r w:rsidR="00C92235" w:rsidRPr="003A173C">
        <w:rPr>
          <w:rFonts w:cs="Calibri"/>
          <w:szCs w:val="20"/>
        </w:rPr>
        <w:t>S</w:t>
      </w:r>
      <w:r w:rsidR="4B63D669" w:rsidRPr="003A173C">
        <w:rPr>
          <w:rFonts w:cs="Calibri"/>
          <w:szCs w:val="20"/>
        </w:rPr>
        <w:t xml:space="preserve">tate or </w:t>
      </w:r>
      <w:r w:rsidR="00C92235" w:rsidRPr="003A173C">
        <w:rPr>
          <w:rFonts w:cs="Calibri"/>
          <w:szCs w:val="20"/>
        </w:rPr>
        <w:t>T</w:t>
      </w:r>
      <w:r w:rsidR="4B63D669" w:rsidRPr="003A173C">
        <w:rPr>
          <w:rFonts w:cs="Calibri"/>
          <w:szCs w:val="20"/>
        </w:rPr>
        <w:t>erritory may apply to the</w:t>
      </w:r>
      <w:r w:rsidR="0A932EFF" w:rsidRPr="003A173C">
        <w:rPr>
          <w:rFonts w:cs="Calibri"/>
          <w:szCs w:val="20"/>
        </w:rPr>
        <w:t xml:space="preserve"> Department </w:t>
      </w:r>
      <w:r w:rsidR="4B63D669" w:rsidRPr="003A173C">
        <w:rPr>
          <w:rFonts w:cs="Calibri"/>
          <w:szCs w:val="20"/>
        </w:rPr>
        <w:t xml:space="preserve">for </w:t>
      </w:r>
      <w:r w:rsidR="1F06ACF1" w:rsidRPr="003A173C">
        <w:rPr>
          <w:rFonts w:cs="Calibri"/>
          <w:szCs w:val="20"/>
        </w:rPr>
        <w:t>TCP</w:t>
      </w:r>
      <w:r w:rsidR="4B63D669" w:rsidRPr="003A173C">
        <w:rPr>
          <w:rFonts w:cs="Calibri"/>
          <w:szCs w:val="20"/>
        </w:rPr>
        <w:t xml:space="preserve"> place</w:t>
      </w:r>
      <w:r w:rsidRPr="003A173C">
        <w:rPr>
          <w:rFonts w:cs="Calibri"/>
          <w:szCs w:val="20"/>
        </w:rPr>
        <w:t>s</w:t>
      </w:r>
      <w:r w:rsidR="4B63D669" w:rsidRPr="003A173C">
        <w:rPr>
          <w:rFonts w:cs="Calibri"/>
          <w:szCs w:val="20"/>
        </w:rPr>
        <w:t xml:space="preserve"> </w:t>
      </w:r>
      <w:r w:rsidR="00292BF4" w:rsidRPr="003A173C">
        <w:rPr>
          <w:rFonts w:cs="Calibri"/>
          <w:szCs w:val="20"/>
        </w:rPr>
        <w:t xml:space="preserve">within its jurisdiction </w:t>
      </w:r>
      <w:r w:rsidR="4B63D669" w:rsidRPr="003A173C">
        <w:rPr>
          <w:rFonts w:cs="Calibri"/>
          <w:szCs w:val="20"/>
        </w:rPr>
        <w:t xml:space="preserve">to be </w:t>
      </w:r>
      <w:r w:rsidR="00E43EC8" w:rsidRPr="003A173C">
        <w:rPr>
          <w:rFonts w:cs="Calibri"/>
          <w:szCs w:val="20"/>
        </w:rPr>
        <w:t>re</w:t>
      </w:r>
      <w:r w:rsidR="4B63D669" w:rsidRPr="003A173C">
        <w:rPr>
          <w:rFonts w:cs="Calibri"/>
          <w:szCs w:val="20"/>
        </w:rPr>
        <w:t>allocated</w:t>
      </w:r>
      <w:r w:rsidR="00292BF4" w:rsidRPr="003A173C">
        <w:rPr>
          <w:rFonts w:cs="Calibri"/>
          <w:szCs w:val="20"/>
        </w:rPr>
        <w:t xml:space="preserve"> from one nominated registered provider to another </w:t>
      </w:r>
      <w:r w:rsidRPr="003A173C">
        <w:rPr>
          <w:rFonts w:cs="Calibri"/>
          <w:szCs w:val="20"/>
        </w:rPr>
        <w:t>u</w:t>
      </w:r>
      <w:r w:rsidR="00502933" w:rsidRPr="003A173C">
        <w:rPr>
          <w:rFonts w:cs="Calibri"/>
          <w:szCs w:val="20"/>
        </w:rPr>
        <w:t>nder section 97-25 of</w:t>
      </w:r>
      <w:r w:rsidRPr="003A173C">
        <w:rPr>
          <w:rFonts w:cs="Calibri"/>
          <w:szCs w:val="20"/>
        </w:rPr>
        <w:t xml:space="preserve"> the Rules</w:t>
      </w:r>
      <w:r w:rsidR="4B63D669" w:rsidRPr="003A173C">
        <w:rPr>
          <w:rFonts w:cs="Calibri"/>
          <w:szCs w:val="20"/>
        </w:rPr>
        <w:t xml:space="preserve">. If the </w:t>
      </w:r>
      <w:r w:rsidR="00E43EC8" w:rsidRPr="003A173C">
        <w:rPr>
          <w:rFonts w:cs="Calibri"/>
          <w:szCs w:val="20"/>
        </w:rPr>
        <w:t>S</w:t>
      </w:r>
      <w:r w:rsidR="4B63D669" w:rsidRPr="003A173C">
        <w:rPr>
          <w:rFonts w:cs="Calibri"/>
          <w:szCs w:val="20"/>
        </w:rPr>
        <w:t xml:space="preserve">tate or </w:t>
      </w:r>
      <w:r w:rsidR="00E43EC8" w:rsidRPr="003A173C">
        <w:rPr>
          <w:rFonts w:cs="Calibri"/>
          <w:szCs w:val="20"/>
        </w:rPr>
        <w:t>T</w:t>
      </w:r>
      <w:r w:rsidR="4B63D669" w:rsidRPr="003A173C">
        <w:rPr>
          <w:rFonts w:cs="Calibri"/>
          <w:szCs w:val="20"/>
        </w:rPr>
        <w:t>erritory makes an application to the System Governor</w:t>
      </w:r>
      <w:r w:rsidR="0696A042" w:rsidRPr="003A173C">
        <w:rPr>
          <w:rFonts w:cs="Calibri"/>
          <w:szCs w:val="20"/>
        </w:rPr>
        <w:t>,</w:t>
      </w:r>
      <w:r w:rsidR="4B63D669" w:rsidRPr="003A173C">
        <w:rPr>
          <w:rFonts w:cs="Calibri"/>
          <w:szCs w:val="20"/>
        </w:rPr>
        <w:t xml:space="preserve"> the System Governor may decide to </w:t>
      </w:r>
      <w:r w:rsidRPr="003A173C">
        <w:rPr>
          <w:rFonts w:cs="Calibri"/>
          <w:szCs w:val="20"/>
        </w:rPr>
        <w:t>re</w:t>
      </w:r>
      <w:r w:rsidR="4B63D669" w:rsidRPr="003A173C">
        <w:rPr>
          <w:rFonts w:cs="Calibri"/>
          <w:szCs w:val="20"/>
        </w:rPr>
        <w:t>allocate the place</w:t>
      </w:r>
      <w:r w:rsidRPr="003A173C">
        <w:rPr>
          <w:rFonts w:cs="Calibri"/>
          <w:szCs w:val="20"/>
        </w:rPr>
        <w:t>s</w:t>
      </w:r>
      <w:r w:rsidR="4B63D669" w:rsidRPr="003A173C">
        <w:rPr>
          <w:rFonts w:cs="Calibri"/>
          <w:szCs w:val="20"/>
        </w:rPr>
        <w:t xml:space="preserve"> to the other </w:t>
      </w:r>
      <w:r w:rsidR="00292BF4" w:rsidRPr="003A173C">
        <w:rPr>
          <w:rFonts w:cs="Calibri"/>
          <w:szCs w:val="20"/>
        </w:rPr>
        <w:t xml:space="preserve">nominated registered provider </w:t>
      </w:r>
      <w:r w:rsidR="4B63D669" w:rsidRPr="003A173C">
        <w:rPr>
          <w:rFonts w:cs="Calibri"/>
          <w:szCs w:val="20"/>
        </w:rPr>
        <w:t xml:space="preserve">under </w:t>
      </w:r>
      <w:r w:rsidRPr="003A173C">
        <w:rPr>
          <w:rFonts w:cs="Calibri"/>
          <w:szCs w:val="20"/>
        </w:rPr>
        <w:t xml:space="preserve">section </w:t>
      </w:r>
      <w:r w:rsidR="4B63D669" w:rsidRPr="003A173C">
        <w:rPr>
          <w:rFonts w:cs="Calibri"/>
          <w:szCs w:val="20"/>
        </w:rPr>
        <w:t>95(1) of the Act</w:t>
      </w:r>
      <w:r w:rsidR="7FB00A47" w:rsidRPr="003A173C">
        <w:rPr>
          <w:rFonts w:cs="Calibri"/>
          <w:szCs w:val="20"/>
        </w:rPr>
        <w:t xml:space="preserve"> and</w:t>
      </w:r>
      <w:r w:rsidR="4B63D669" w:rsidRPr="003A173C">
        <w:rPr>
          <w:rFonts w:cs="Calibri"/>
          <w:szCs w:val="20"/>
        </w:rPr>
        <w:t xml:space="preserve"> if the System Governor so decides, the place</w:t>
      </w:r>
      <w:r w:rsidRPr="003A173C">
        <w:rPr>
          <w:rFonts w:cs="Calibri"/>
          <w:szCs w:val="20"/>
        </w:rPr>
        <w:t>s will</w:t>
      </w:r>
      <w:r w:rsidR="4B63D669" w:rsidRPr="003A173C">
        <w:rPr>
          <w:rFonts w:cs="Calibri"/>
          <w:szCs w:val="20"/>
        </w:rPr>
        <w:t xml:space="preserve"> come into effect in accordance with section 97-5</w:t>
      </w:r>
      <w:r w:rsidRPr="003A173C">
        <w:rPr>
          <w:rFonts w:cs="Calibri"/>
          <w:szCs w:val="20"/>
        </w:rPr>
        <w:t xml:space="preserve"> of the Rules</w:t>
      </w:r>
      <w:r w:rsidR="4B63D669" w:rsidRPr="003A173C">
        <w:rPr>
          <w:rFonts w:cs="Calibri"/>
          <w:szCs w:val="20"/>
        </w:rPr>
        <w:t>.</w:t>
      </w:r>
      <w:r w:rsidR="002F4300" w:rsidRPr="003A173C">
        <w:rPr>
          <w:rFonts w:cs="Calibri"/>
          <w:szCs w:val="20"/>
        </w:rPr>
        <w:t xml:space="preserve"> </w:t>
      </w:r>
    </w:p>
    <w:p w14:paraId="2E8BD9F6" w14:textId="16FA0257" w:rsidR="4B63D669" w:rsidRPr="00FA34AC" w:rsidRDefault="4B63D669" w:rsidP="008974DB">
      <w:pPr>
        <w:pStyle w:val="Style3"/>
      </w:pPr>
      <w:bookmarkStart w:id="48" w:name="_Toc216865446"/>
      <w:r w:rsidRPr="00FA34AC">
        <w:t>Conditions that apply to an allocated place</w:t>
      </w:r>
      <w:bookmarkEnd w:id="48"/>
    </w:p>
    <w:p w14:paraId="1EF6874B" w14:textId="5724CCFB" w:rsidR="3AD83DC0" w:rsidRPr="003A173C" w:rsidRDefault="3AD83DC0" w:rsidP="1CBD4533">
      <w:pPr>
        <w:spacing w:before="0" w:after="60"/>
        <w:rPr>
          <w:rFonts w:eastAsia="Arial" w:cs="Calibri"/>
          <w:szCs w:val="20"/>
        </w:rPr>
      </w:pPr>
      <w:r w:rsidRPr="003A173C">
        <w:rPr>
          <w:rFonts w:cs="Calibri"/>
        </w:rPr>
        <w:t xml:space="preserve">An allocation of TCP </w:t>
      </w:r>
      <w:r w:rsidR="39AE368E" w:rsidRPr="003A173C">
        <w:rPr>
          <w:rFonts w:cs="Calibri"/>
        </w:rPr>
        <w:t>places</w:t>
      </w:r>
      <w:r w:rsidRPr="003A173C">
        <w:rPr>
          <w:rFonts w:cs="Calibri"/>
        </w:rPr>
        <w:t xml:space="preserve"> under section 9</w:t>
      </w:r>
      <w:r w:rsidR="00332253" w:rsidRPr="003A173C">
        <w:rPr>
          <w:rFonts w:cs="Calibri"/>
        </w:rPr>
        <w:t>9</w:t>
      </w:r>
      <w:r w:rsidRPr="003A173C">
        <w:rPr>
          <w:rFonts w:cs="Calibri"/>
        </w:rPr>
        <w:t xml:space="preserve"> of the Act is subject to the following conditions:</w:t>
      </w:r>
    </w:p>
    <w:p w14:paraId="7A497A07" w14:textId="3853B76A" w:rsidR="12F97948" w:rsidRPr="008202E1" w:rsidRDefault="12F97948" w:rsidP="00FA34AC">
      <w:pPr>
        <w:pStyle w:val="ListBullet"/>
      </w:pPr>
      <w:r w:rsidRPr="003A173C">
        <w:t>the place must only be used by the entity once the entity has become a registered provider and the entity’s registration is in effect and covers any funded aged care service delivered under the place;</w:t>
      </w:r>
    </w:p>
    <w:p w14:paraId="3A7851B9" w14:textId="48AF6261" w:rsidR="12F97948" w:rsidRPr="008202E1" w:rsidRDefault="12F97948" w:rsidP="00FA34AC">
      <w:pPr>
        <w:pStyle w:val="ListBullet"/>
      </w:pPr>
      <w:r w:rsidRPr="003A173C">
        <w:t xml:space="preserve">the place must only be used by the entity to deliver </w:t>
      </w:r>
      <w:r w:rsidR="00DD29E8" w:rsidRPr="003A173C">
        <w:t xml:space="preserve">transition care </w:t>
      </w:r>
      <w:r w:rsidRPr="003A173C">
        <w:t>to an individual when the place is in effect;</w:t>
      </w:r>
    </w:p>
    <w:p w14:paraId="643E192F" w14:textId="507B04A9" w:rsidR="12F97948" w:rsidRPr="008202E1" w:rsidRDefault="12F97948" w:rsidP="00FA34AC">
      <w:pPr>
        <w:pStyle w:val="ListBullet"/>
      </w:pPr>
      <w:r w:rsidRPr="003A173C">
        <w:t xml:space="preserve">the place must only be used to deliver </w:t>
      </w:r>
      <w:r w:rsidR="00D54206" w:rsidRPr="003A173C">
        <w:t>transition care</w:t>
      </w:r>
      <w:r w:rsidR="00D06C60" w:rsidRPr="003A173C">
        <w:t>,</w:t>
      </w:r>
      <w:r w:rsidR="00D54206" w:rsidRPr="003A173C">
        <w:t xml:space="preserve"> </w:t>
      </w:r>
      <w:r w:rsidRPr="003A173C">
        <w:t xml:space="preserve">to an individual with an access approval in effect </w:t>
      </w:r>
      <w:r w:rsidR="00D54206" w:rsidRPr="003A173C">
        <w:t xml:space="preserve">with the relevant classification type </w:t>
      </w:r>
      <w:r w:rsidRPr="003A173C">
        <w:t>hospital transition for the service group in which the service is included</w:t>
      </w:r>
      <w:r w:rsidR="00D06C60" w:rsidRPr="003A173C">
        <w:t>,</w:t>
      </w:r>
      <w:r w:rsidRPr="003A173C">
        <w:t xml:space="preserve"> and for which the place is allocated</w:t>
      </w:r>
      <w:r w:rsidR="006E10D9" w:rsidRPr="003A173C">
        <w:t>;</w:t>
      </w:r>
    </w:p>
    <w:p w14:paraId="2AC940CF" w14:textId="220A2D83" w:rsidR="12F97948" w:rsidRPr="008202E1" w:rsidRDefault="12F97948" w:rsidP="00FA34AC">
      <w:pPr>
        <w:pStyle w:val="ListBullet"/>
      </w:pPr>
      <w:r w:rsidRPr="003A173C">
        <w:t>the place must only be used</w:t>
      </w:r>
      <w:r w:rsidR="00DD29E8" w:rsidRPr="003A173C">
        <w:t xml:space="preserve"> </w:t>
      </w:r>
      <w:r w:rsidRPr="003A173C">
        <w:t>to</w:t>
      </w:r>
      <w:r w:rsidR="00DD29E8" w:rsidRPr="003A173C">
        <w:t xml:space="preserve"> deliver transition </w:t>
      </w:r>
      <w:r w:rsidR="003813C2" w:rsidRPr="003A173C">
        <w:t>c</w:t>
      </w:r>
      <w:r w:rsidR="00DD29E8" w:rsidRPr="003A173C">
        <w:t>are to</w:t>
      </w:r>
      <w:r w:rsidRPr="003A173C">
        <w:t xml:space="preserve"> an individual in the </w:t>
      </w:r>
      <w:r w:rsidR="005E6DAF" w:rsidRPr="003A173C">
        <w:t>S</w:t>
      </w:r>
      <w:r w:rsidRPr="003A173C">
        <w:t xml:space="preserve">tate or </w:t>
      </w:r>
      <w:r w:rsidR="005E6DAF" w:rsidRPr="003A173C">
        <w:t>T</w:t>
      </w:r>
      <w:r w:rsidRPr="003A173C">
        <w:t>erritory for which the place was allocated</w:t>
      </w:r>
      <w:r w:rsidR="072F104E" w:rsidRPr="003A173C">
        <w:t>;</w:t>
      </w:r>
    </w:p>
    <w:p w14:paraId="652EB729" w14:textId="2728CDFA" w:rsidR="12F97948" w:rsidRPr="008202E1" w:rsidRDefault="12F97948" w:rsidP="00FA34AC">
      <w:pPr>
        <w:pStyle w:val="ListBullet"/>
      </w:pPr>
      <w:r w:rsidRPr="008202E1">
        <w:t xml:space="preserve">any </w:t>
      </w:r>
      <w:r w:rsidR="041892FF" w:rsidRPr="008202E1">
        <w:t xml:space="preserve">other </w:t>
      </w:r>
      <w:r w:rsidRPr="008202E1">
        <w:t>conditions determined by the</w:t>
      </w:r>
      <w:r w:rsidR="34D4D998" w:rsidRPr="008202E1">
        <w:t xml:space="preserve"> System Governor</w:t>
      </w:r>
      <w:r w:rsidR="1305F997" w:rsidRPr="008202E1">
        <w:t xml:space="preserve"> under section 99(2) of the Act; and</w:t>
      </w:r>
    </w:p>
    <w:p w14:paraId="5C53E103" w14:textId="67FA3059" w:rsidR="12F97948" w:rsidRPr="008202E1" w:rsidRDefault="12F97948" w:rsidP="00FA34AC">
      <w:pPr>
        <w:pStyle w:val="ListBullet"/>
      </w:pPr>
      <w:r w:rsidRPr="008202E1">
        <w:t xml:space="preserve">any condition prescribed by the </w:t>
      </w:r>
      <w:r w:rsidR="006E10D9" w:rsidRPr="008202E1">
        <w:t>R</w:t>
      </w:r>
      <w:r w:rsidRPr="008202E1">
        <w:t xml:space="preserve">ules. </w:t>
      </w:r>
    </w:p>
    <w:p w14:paraId="4907E94E" w14:textId="26C07280" w:rsidR="1CBD4533" w:rsidRPr="003A173C" w:rsidRDefault="0046764B" w:rsidP="1CBD4533">
      <w:pPr>
        <w:spacing w:before="0" w:after="60"/>
        <w:rPr>
          <w:rFonts w:eastAsia="Arial" w:cs="Calibri"/>
          <w:szCs w:val="20"/>
        </w:rPr>
      </w:pPr>
      <w:r w:rsidRPr="003A173C">
        <w:rPr>
          <w:rFonts w:cs="Calibri"/>
          <w:szCs w:val="20"/>
        </w:rPr>
        <w:t xml:space="preserve">In accordance with </w:t>
      </w:r>
      <w:r w:rsidR="2F90CACE" w:rsidRPr="003A173C">
        <w:rPr>
          <w:rFonts w:cs="Calibri"/>
          <w:szCs w:val="20"/>
        </w:rPr>
        <w:t>section 99-5 of the Rules</w:t>
      </w:r>
      <w:r w:rsidR="005E6DAF" w:rsidRPr="003A173C">
        <w:rPr>
          <w:rFonts w:cs="Calibri"/>
          <w:szCs w:val="20"/>
        </w:rPr>
        <w:t>,</w:t>
      </w:r>
      <w:r w:rsidR="000B6DE0" w:rsidRPr="003A173C">
        <w:rPr>
          <w:rFonts w:cs="Calibri"/>
          <w:szCs w:val="20"/>
        </w:rPr>
        <w:t xml:space="preserve"> </w:t>
      </w:r>
      <w:r w:rsidR="004705AD" w:rsidRPr="003A173C">
        <w:rPr>
          <w:rFonts w:cs="Calibri"/>
          <w:szCs w:val="20"/>
        </w:rPr>
        <w:t>S</w:t>
      </w:r>
      <w:r w:rsidR="00E06588" w:rsidRPr="003A173C">
        <w:rPr>
          <w:rFonts w:cs="Calibri"/>
          <w:szCs w:val="20"/>
        </w:rPr>
        <w:t xml:space="preserve">tates and Territories </w:t>
      </w:r>
      <w:r w:rsidR="4B63D669" w:rsidRPr="003A173C">
        <w:rPr>
          <w:rFonts w:cs="Calibri"/>
          <w:szCs w:val="20"/>
        </w:rPr>
        <w:t xml:space="preserve">must notify the </w:t>
      </w:r>
      <w:r w:rsidR="00E06588" w:rsidRPr="003A173C">
        <w:rPr>
          <w:rFonts w:cs="Calibri"/>
          <w:szCs w:val="20"/>
        </w:rPr>
        <w:t>Department</w:t>
      </w:r>
      <w:r w:rsidR="4B63D669" w:rsidRPr="003A173C">
        <w:rPr>
          <w:rFonts w:cs="Calibri"/>
          <w:szCs w:val="20"/>
        </w:rPr>
        <w:t xml:space="preserve"> </w:t>
      </w:r>
      <w:r w:rsidR="430AFED1" w:rsidRPr="003A173C">
        <w:rPr>
          <w:rFonts w:cs="Calibri"/>
          <w:szCs w:val="20"/>
        </w:rPr>
        <w:t>i</w:t>
      </w:r>
      <w:r w:rsidR="4B63D669" w:rsidRPr="003A173C">
        <w:rPr>
          <w:rFonts w:cs="Calibri"/>
          <w:szCs w:val="20"/>
        </w:rPr>
        <w:t xml:space="preserve">f </w:t>
      </w:r>
      <w:r w:rsidR="00154A07" w:rsidRPr="003A173C">
        <w:rPr>
          <w:rFonts w:cs="Calibri"/>
          <w:szCs w:val="20"/>
        </w:rPr>
        <w:t xml:space="preserve">it or a nominated registered provider </w:t>
      </w:r>
      <w:r w:rsidR="4B63D669" w:rsidRPr="003A173C">
        <w:rPr>
          <w:rFonts w:cs="Calibri"/>
          <w:szCs w:val="20"/>
        </w:rPr>
        <w:t>will not be able to, or does not intend to, use</w:t>
      </w:r>
      <w:r w:rsidR="005E6DAF" w:rsidRPr="003A173C">
        <w:rPr>
          <w:rFonts w:cs="Calibri"/>
          <w:szCs w:val="20"/>
        </w:rPr>
        <w:t xml:space="preserve"> places</w:t>
      </w:r>
      <w:r w:rsidR="4B63D669" w:rsidRPr="003A173C">
        <w:rPr>
          <w:rFonts w:cs="Calibri"/>
          <w:szCs w:val="20"/>
        </w:rPr>
        <w:t xml:space="preserve"> to deliver</w:t>
      </w:r>
      <w:r w:rsidR="72B2A6BA" w:rsidRPr="003A173C">
        <w:rPr>
          <w:rFonts w:cs="Calibri"/>
          <w:szCs w:val="20"/>
        </w:rPr>
        <w:t xml:space="preserve"> transition care </w:t>
      </w:r>
      <w:r w:rsidR="4B63D669" w:rsidRPr="003A173C">
        <w:rPr>
          <w:rFonts w:cs="Calibri"/>
          <w:szCs w:val="20"/>
        </w:rPr>
        <w:t>for a period of 12 months or more</w:t>
      </w:r>
      <w:r w:rsidR="2C13AC49" w:rsidRPr="003A173C">
        <w:rPr>
          <w:rFonts w:cs="Calibri"/>
          <w:szCs w:val="20"/>
        </w:rPr>
        <w:t>.</w:t>
      </w:r>
    </w:p>
    <w:p w14:paraId="7C20EE0A" w14:textId="461A8234" w:rsidR="4CEC12BD" w:rsidRPr="00FA34AC" w:rsidRDefault="4CEC12BD" w:rsidP="008974DB">
      <w:pPr>
        <w:pStyle w:val="Style3"/>
      </w:pPr>
      <w:bookmarkStart w:id="49" w:name="_Toc216865447"/>
      <w:r w:rsidRPr="00FA34AC">
        <w:lastRenderedPageBreak/>
        <w:t>Varying conditions of allocation</w:t>
      </w:r>
      <w:bookmarkEnd w:id="49"/>
    </w:p>
    <w:p w14:paraId="1A939FD2" w14:textId="56B68292" w:rsidR="5B1EDA52" w:rsidRPr="003A173C" w:rsidRDefault="004C4744" w:rsidP="00913DD5">
      <w:pPr>
        <w:rPr>
          <w:rFonts w:cs="Calibri"/>
        </w:rPr>
      </w:pPr>
      <w:r w:rsidRPr="003A173C">
        <w:rPr>
          <w:rFonts w:cs="Calibri"/>
        </w:rPr>
        <w:t>States and Territories</w:t>
      </w:r>
      <w:r w:rsidR="00907243" w:rsidRPr="003A173C">
        <w:rPr>
          <w:rFonts w:cs="Calibri"/>
        </w:rPr>
        <w:t xml:space="preserve"> </w:t>
      </w:r>
      <w:r w:rsidR="7AEBB9AE" w:rsidRPr="003A173C">
        <w:rPr>
          <w:rFonts w:cs="Calibri"/>
        </w:rPr>
        <w:t xml:space="preserve">may apply to the System Governor to vary </w:t>
      </w:r>
      <w:r w:rsidRPr="003A173C">
        <w:rPr>
          <w:rFonts w:cs="Calibri"/>
        </w:rPr>
        <w:t>conditions of allocation which apply</w:t>
      </w:r>
      <w:r w:rsidR="7AEBB9AE" w:rsidRPr="003A173C">
        <w:rPr>
          <w:rFonts w:cs="Calibri"/>
        </w:rPr>
        <w:t xml:space="preserve"> to </w:t>
      </w:r>
      <w:r w:rsidRPr="003A173C">
        <w:rPr>
          <w:rFonts w:cs="Calibri"/>
        </w:rPr>
        <w:t xml:space="preserve">one or more of their </w:t>
      </w:r>
      <w:r w:rsidR="00AB6831" w:rsidRPr="003A173C">
        <w:rPr>
          <w:rFonts w:cs="Calibri"/>
        </w:rPr>
        <w:t>n</w:t>
      </w:r>
      <w:r w:rsidRPr="003A173C">
        <w:rPr>
          <w:rFonts w:cs="Calibri"/>
        </w:rPr>
        <w:t xml:space="preserve">ominated </w:t>
      </w:r>
      <w:r w:rsidR="00AB6831" w:rsidRPr="003A173C">
        <w:rPr>
          <w:rFonts w:cs="Calibri"/>
        </w:rPr>
        <w:t>r</w:t>
      </w:r>
      <w:r w:rsidRPr="003A173C">
        <w:rPr>
          <w:rFonts w:cs="Calibri"/>
        </w:rPr>
        <w:t xml:space="preserve">egistered </w:t>
      </w:r>
      <w:r w:rsidR="00AB6831" w:rsidRPr="003A173C">
        <w:rPr>
          <w:rFonts w:cs="Calibri"/>
        </w:rPr>
        <w:t>p</w:t>
      </w:r>
      <w:r w:rsidRPr="003A173C">
        <w:rPr>
          <w:rFonts w:cs="Calibri"/>
        </w:rPr>
        <w:t>roviders</w:t>
      </w:r>
      <w:r w:rsidR="00907243" w:rsidRPr="003A173C">
        <w:rPr>
          <w:rFonts w:cs="Calibri"/>
        </w:rPr>
        <w:t xml:space="preserve"> under section 100 of the Act</w:t>
      </w:r>
      <w:r w:rsidR="7AEBB9AE" w:rsidRPr="003A173C">
        <w:rPr>
          <w:rFonts w:cs="Calibri"/>
        </w:rPr>
        <w:t>.</w:t>
      </w:r>
      <w:r w:rsidRPr="003A173C">
        <w:rPr>
          <w:rFonts w:cs="Calibri"/>
        </w:rPr>
        <w:t> </w:t>
      </w:r>
      <w:r w:rsidR="7AEBB9AE" w:rsidRPr="003A173C">
        <w:rPr>
          <w:rFonts w:cs="Calibri"/>
        </w:rPr>
        <w:t>The application must be in an approved form</w:t>
      </w:r>
      <w:r w:rsidR="739E2A68" w:rsidRPr="003A173C">
        <w:rPr>
          <w:rFonts w:cs="Calibri"/>
        </w:rPr>
        <w:t xml:space="preserve"> and meet the criteria </w:t>
      </w:r>
      <w:r w:rsidR="00907243" w:rsidRPr="003A173C">
        <w:rPr>
          <w:rFonts w:cs="Calibri"/>
        </w:rPr>
        <w:t>as per</w:t>
      </w:r>
      <w:r w:rsidR="739E2A68" w:rsidRPr="003A173C">
        <w:rPr>
          <w:rFonts w:cs="Calibri"/>
        </w:rPr>
        <w:t xml:space="preserve"> section 100(3</w:t>
      </w:r>
      <w:r w:rsidR="009F0079" w:rsidRPr="003A173C">
        <w:rPr>
          <w:rFonts w:cs="Calibri"/>
        </w:rPr>
        <w:t>)</w:t>
      </w:r>
      <w:r w:rsidR="7AEBB9AE" w:rsidRPr="003A173C">
        <w:rPr>
          <w:rFonts w:cs="Calibri"/>
        </w:rPr>
        <w:t>.</w:t>
      </w:r>
      <w:r w:rsidR="0D2DD725" w:rsidRPr="003A173C">
        <w:rPr>
          <w:rFonts w:cs="Calibri"/>
        </w:rPr>
        <w:t xml:space="preserve"> </w:t>
      </w:r>
      <w:r w:rsidR="3A09AEDB" w:rsidRPr="003A173C">
        <w:rPr>
          <w:rFonts w:cs="Calibri"/>
        </w:rPr>
        <w:t xml:space="preserve">In </w:t>
      </w:r>
      <w:r w:rsidR="5277ED86" w:rsidRPr="003A173C">
        <w:rPr>
          <w:rFonts w:cs="Calibri"/>
        </w:rPr>
        <w:t xml:space="preserve">making </w:t>
      </w:r>
      <w:r w:rsidR="3A09AEDB" w:rsidRPr="003A173C">
        <w:rPr>
          <w:rFonts w:cs="Calibri"/>
        </w:rPr>
        <w:t xml:space="preserve">a </w:t>
      </w:r>
      <w:r w:rsidR="699FE572" w:rsidRPr="003A173C">
        <w:rPr>
          <w:rFonts w:cs="Calibri"/>
        </w:rPr>
        <w:t xml:space="preserve">decision </w:t>
      </w:r>
      <w:r w:rsidR="3A09AEDB" w:rsidRPr="003A173C">
        <w:rPr>
          <w:rFonts w:cs="Calibri"/>
        </w:rPr>
        <w:t xml:space="preserve">to vary a </w:t>
      </w:r>
      <w:r w:rsidR="26AA6D93" w:rsidRPr="003A173C">
        <w:rPr>
          <w:rFonts w:cs="Calibri"/>
        </w:rPr>
        <w:t>condition</w:t>
      </w:r>
      <w:r w:rsidR="3A09AEDB" w:rsidRPr="003A173C">
        <w:rPr>
          <w:rFonts w:cs="Calibri"/>
        </w:rPr>
        <w:t xml:space="preserve">, the </w:t>
      </w:r>
      <w:r w:rsidR="0A7870D4" w:rsidRPr="003A173C">
        <w:rPr>
          <w:rFonts w:cs="Calibri"/>
        </w:rPr>
        <w:t>System</w:t>
      </w:r>
      <w:r w:rsidR="3A09AEDB" w:rsidRPr="003A173C">
        <w:rPr>
          <w:rFonts w:cs="Calibri"/>
        </w:rPr>
        <w:t xml:space="preserve"> Gover</w:t>
      </w:r>
      <w:r w:rsidR="04E0C9AA" w:rsidRPr="003A173C">
        <w:rPr>
          <w:rFonts w:cs="Calibri"/>
        </w:rPr>
        <w:t xml:space="preserve">nor </w:t>
      </w:r>
      <w:r w:rsidR="3A09AEDB" w:rsidRPr="003A173C">
        <w:rPr>
          <w:rFonts w:cs="Calibri"/>
        </w:rPr>
        <w:t xml:space="preserve">must </w:t>
      </w:r>
      <w:r w:rsidR="474F24A0" w:rsidRPr="003A173C">
        <w:rPr>
          <w:rFonts w:cs="Calibri"/>
        </w:rPr>
        <w:t>consider</w:t>
      </w:r>
      <w:r w:rsidR="3A09AEDB" w:rsidRPr="003A173C">
        <w:rPr>
          <w:rFonts w:cs="Calibri"/>
        </w:rPr>
        <w:t xml:space="preserve"> the </w:t>
      </w:r>
      <w:r w:rsidR="79D80110" w:rsidRPr="003A173C">
        <w:rPr>
          <w:rFonts w:cs="Calibri"/>
        </w:rPr>
        <w:t>factors</w:t>
      </w:r>
      <w:r w:rsidR="3A09AEDB" w:rsidRPr="003A173C">
        <w:rPr>
          <w:rFonts w:cs="Calibri"/>
        </w:rPr>
        <w:t xml:space="preserve"> as set out in section 101 of the Act and 101-5 </w:t>
      </w:r>
      <w:r w:rsidR="007648AF" w:rsidRPr="003A173C">
        <w:rPr>
          <w:rFonts w:cs="Calibri"/>
        </w:rPr>
        <w:t>o</w:t>
      </w:r>
      <w:r w:rsidR="3A09AEDB" w:rsidRPr="003A173C">
        <w:rPr>
          <w:rFonts w:cs="Calibri"/>
        </w:rPr>
        <w:t>f the Rules.</w:t>
      </w:r>
      <w:r w:rsidR="009F0079" w:rsidRPr="003A173C">
        <w:rPr>
          <w:rFonts w:cs="Calibri"/>
        </w:rPr>
        <w:t xml:space="preserve"> The System Governor must give notice of a decision to vary conditions, within 14 days of making the decision to the applicant. </w:t>
      </w:r>
    </w:p>
    <w:p w14:paraId="5D6ABFD8" w14:textId="5A673D08" w:rsidR="00CD16C0" w:rsidRPr="003A173C" w:rsidRDefault="00E745F8" w:rsidP="00D81DB7">
      <w:pPr>
        <w:rPr>
          <w:rFonts w:cs="Calibri"/>
        </w:rPr>
      </w:pPr>
      <w:r w:rsidRPr="003A173C">
        <w:rPr>
          <w:rFonts w:cs="Calibri"/>
        </w:rPr>
        <w:t>To</w:t>
      </w:r>
      <w:r w:rsidR="34C274EC" w:rsidRPr="003A173C">
        <w:rPr>
          <w:rFonts w:cs="Calibri"/>
        </w:rPr>
        <w:t xml:space="preserve"> apply for a variation to conditions of allocation for TCP places</w:t>
      </w:r>
      <w:r w:rsidR="34C274EC" w:rsidRPr="003A173C">
        <w:rPr>
          <w:rFonts w:cs="Calibri"/>
          <w:i/>
          <w:iCs/>
        </w:rPr>
        <w:t>,</w:t>
      </w:r>
      <w:r w:rsidR="34C274EC" w:rsidRPr="003A173C">
        <w:rPr>
          <w:rFonts w:cs="Calibri"/>
        </w:rPr>
        <w:t xml:space="preserve"> </w:t>
      </w:r>
      <w:r w:rsidR="00C67201">
        <w:rPr>
          <w:rFonts w:cs="Calibri"/>
        </w:rPr>
        <w:t xml:space="preserve">please email </w:t>
      </w:r>
      <w:hyperlink r:id="rId23" w:history="1">
        <w:r w:rsidR="00C67201" w:rsidRPr="00345FB1">
          <w:rPr>
            <w:rStyle w:val="Hyperlink"/>
            <w:rFonts w:ascii="Calibri" w:hAnsi="Calibri" w:cs="Calibri"/>
            <w:sz w:val="20"/>
          </w:rPr>
          <w:t>TCP@health.gov.au</w:t>
        </w:r>
      </w:hyperlink>
      <w:r w:rsidR="00C67201">
        <w:rPr>
          <w:rFonts w:cs="Calibri"/>
        </w:rPr>
        <w:t xml:space="preserve">. </w:t>
      </w:r>
    </w:p>
    <w:p w14:paraId="139D0990" w14:textId="7E7750EE" w:rsidR="000A73F9" w:rsidRPr="00FA34AC" w:rsidRDefault="00605BA0" w:rsidP="008974DB">
      <w:pPr>
        <w:pStyle w:val="Style3"/>
      </w:pPr>
      <w:bookmarkStart w:id="50" w:name="_Toc202451999"/>
      <w:bookmarkStart w:id="51" w:name="_Toc203056983"/>
      <w:bookmarkStart w:id="52" w:name="_Toc203117213"/>
      <w:bookmarkStart w:id="53" w:name="_Toc203379278"/>
      <w:bookmarkStart w:id="54" w:name="_Toc205369403"/>
      <w:bookmarkStart w:id="55" w:name="_Toc205374355"/>
      <w:bookmarkStart w:id="56" w:name="_Toc205374503"/>
      <w:bookmarkStart w:id="57" w:name="_Toc205378216"/>
      <w:bookmarkStart w:id="58" w:name="_Toc205378449"/>
      <w:bookmarkStart w:id="59" w:name="_Toc205378683"/>
      <w:bookmarkStart w:id="60" w:name="_Toc205378916"/>
      <w:bookmarkStart w:id="61" w:name="_Toc205379149"/>
      <w:bookmarkStart w:id="62" w:name="_Toc205379382"/>
      <w:bookmarkStart w:id="63" w:name="_Toc205379607"/>
      <w:bookmarkStart w:id="64" w:name="_Toc205379831"/>
      <w:bookmarkStart w:id="65" w:name="_Toc205395289"/>
      <w:bookmarkStart w:id="66" w:name="_Toc205396083"/>
      <w:bookmarkStart w:id="67" w:name="_Toc205397614"/>
      <w:bookmarkStart w:id="68" w:name="_Toc205397839"/>
      <w:bookmarkStart w:id="69" w:name="_Toc205468465"/>
      <w:bookmarkStart w:id="70" w:name="_Toc205468924"/>
      <w:bookmarkStart w:id="71" w:name="_Toc205479716"/>
      <w:bookmarkStart w:id="72" w:name="_Toc205560789"/>
      <w:bookmarkStart w:id="73" w:name="_Toc205561014"/>
      <w:bookmarkStart w:id="74" w:name="_Toc205819066"/>
      <w:bookmarkStart w:id="75" w:name="_Toc205890614"/>
      <w:bookmarkStart w:id="76" w:name="_Toc205890754"/>
      <w:bookmarkStart w:id="77" w:name="_Toc205891964"/>
      <w:bookmarkStart w:id="78" w:name="_Toc205897121"/>
      <w:bookmarkStart w:id="79" w:name="_Toc205906004"/>
      <w:bookmarkStart w:id="80" w:name="_Toc205909142"/>
      <w:bookmarkStart w:id="81" w:name="_Toc205909635"/>
      <w:bookmarkStart w:id="82" w:name="_Toc205909941"/>
      <w:bookmarkStart w:id="83" w:name="_Toc205974450"/>
      <w:bookmarkStart w:id="84" w:name="_Toc205974590"/>
      <w:bookmarkStart w:id="85" w:name="_Toc205974730"/>
      <w:bookmarkStart w:id="86" w:name="_Toc205999029"/>
      <w:bookmarkStart w:id="87" w:name="_Toc206001338"/>
      <w:bookmarkStart w:id="88" w:name="_Toc206001480"/>
      <w:bookmarkStart w:id="89" w:name="_Toc206001621"/>
      <w:bookmarkStart w:id="90" w:name="_Toc206001763"/>
      <w:bookmarkStart w:id="91" w:name="_Toc206003685"/>
      <w:bookmarkStart w:id="92" w:name="_Toc206006173"/>
      <w:bookmarkStart w:id="93" w:name="_Toc206006494"/>
      <w:bookmarkStart w:id="94" w:name="_Toc206006635"/>
      <w:bookmarkStart w:id="95" w:name="_Toc206059510"/>
      <w:bookmarkStart w:id="96" w:name="_Toc206084427"/>
      <w:bookmarkStart w:id="97" w:name="_Toc206143875"/>
      <w:bookmarkStart w:id="98" w:name="_Toc206153563"/>
      <w:bookmarkStart w:id="99" w:name="_Toc206155612"/>
      <w:bookmarkStart w:id="100" w:name="_Toc206155753"/>
      <w:bookmarkStart w:id="101" w:name="_Toc206156959"/>
      <w:bookmarkStart w:id="102" w:name="_Toc206157179"/>
      <w:bookmarkStart w:id="103" w:name="_Toc202452000"/>
      <w:bookmarkStart w:id="104" w:name="_Toc203056984"/>
      <w:bookmarkStart w:id="105" w:name="_Toc203117214"/>
      <w:bookmarkStart w:id="106" w:name="_Toc203379279"/>
      <w:bookmarkStart w:id="107" w:name="_Toc205369404"/>
      <w:bookmarkStart w:id="108" w:name="_Toc205374356"/>
      <w:bookmarkStart w:id="109" w:name="_Toc205374504"/>
      <w:bookmarkStart w:id="110" w:name="_Toc205378217"/>
      <w:bookmarkStart w:id="111" w:name="_Toc205378450"/>
      <w:bookmarkStart w:id="112" w:name="_Toc205378684"/>
      <w:bookmarkStart w:id="113" w:name="_Toc205378917"/>
      <w:bookmarkStart w:id="114" w:name="_Toc205379150"/>
      <w:bookmarkStart w:id="115" w:name="_Toc205379383"/>
      <w:bookmarkStart w:id="116" w:name="_Toc205379608"/>
      <w:bookmarkStart w:id="117" w:name="_Toc205379832"/>
      <w:bookmarkStart w:id="118" w:name="_Toc205395290"/>
      <w:bookmarkStart w:id="119" w:name="_Toc205396084"/>
      <w:bookmarkStart w:id="120" w:name="_Toc205397615"/>
      <w:bookmarkStart w:id="121" w:name="_Toc205397840"/>
      <w:bookmarkStart w:id="122" w:name="_Toc205468466"/>
      <w:bookmarkStart w:id="123" w:name="_Toc205468925"/>
      <w:bookmarkStart w:id="124" w:name="_Toc205479717"/>
      <w:bookmarkStart w:id="125" w:name="_Toc205560790"/>
      <w:bookmarkStart w:id="126" w:name="_Toc205561015"/>
      <w:bookmarkStart w:id="127" w:name="_Toc205819067"/>
      <w:bookmarkStart w:id="128" w:name="_Toc205890615"/>
      <w:bookmarkStart w:id="129" w:name="_Toc205890755"/>
      <w:bookmarkStart w:id="130" w:name="_Toc205891965"/>
      <w:bookmarkStart w:id="131" w:name="_Toc205897122"/>
      <w:bookmarkStart w:id="132" w:name="_Toc205906005"/>
      <w:bookmarkStart w:id="133" w:name="_Toc205909143"/>
      <w:bookmarkStart w:id="134" w:name="_Toc205909636"/>
      <w:bookmarkStart w:id="135" w:name="_Toc205909942"/>
      <w:bookmarkStart w:id="136" w:name="_Toc205974451"/>
      <w:bookmarkStart w:id="137" w:name="_Toc205974591"/>
      <w:bookmarkStart w:id="138" w:name="_Toc205974731"/>
      <w:bookmarkStart w:id="139" w:name="_Toc205999030"/>
      <w:bookmarkStart w:id="140" w:name="_Toc206001339"/>
      <w:bookmarkStart w:id="141" w:name="_Toc206001481"/>
      <w:bookmarkStart w:id="142" w:name="_Toc206001622"/>
      <w:bookmarkStart w:id="143" w:name="_Toc206001764"/>
      <w:bookmarkStart w:id="144" w:name="_Toc206003686"/>
      <w:bookmarkStart w:id="145" w:name="_Toc206006174"/>
      <w:bookmarkStart w:id="146" w:name="_Toc206006495"/>
      <w:bookmarkStart w:id="147" w:name="_Toc206006636"/>
      <w:bookmarkStart w:id="148" w:name="_Toc206059511"/>
      <w:bookmarkStart w:id="149" w:name="_Toc206084428"/>
      <w:bookmarkStart w:id="150" w:name="_Toc206143876"/>
      <w:bookmarkStart w:id="151" w:name="_Toc206153564"/>
      <w:bookmarkStart w:id="152" w:name="_Toc206155613"/>
      <w:bookmarkStart w:id="153" w:name="_Toc206155754"/>
      <w:bookmarkStart w:id="154" w:name="_Toc206156960"/>
      <w:bookmarkStart w:id="155" w:name="_Toc206157180"/>
      <w:bookmarkStart w:id="156" w:name="_Toc202452001"/>
      <w:bookmarkStart w:id="157" w:name="_Toc203056985"/>
      <w:bookmarkStart w:id="158" w:name="_Toc203117215"/>
      <w:bookmarkStart w:id="159" w:name="_Toc203379280"/>
      <w:bookmarkStart w:id="160" w:name="_Toc205369405"/>
      <w:bookmarkStart w:id="161" w:name="_Toc205374357"/>
      <w:bookmarkStart w:id="162" w:name="_Toc205374505"/>
      <w:bookmarkStart w:id="163" w:name="_Toc205378218"/>
      <w:bookmarkStart w:id="164" w:name="_Toc205378451"/>
      <w:bookmarkStart w:id="165" w:name="_Toc205378685"/>
      <w:bookmarkStart w:id="166" w:name="_Toc205378918"/>
      <w:bookmarkStart w:id="167" w:name="_Toc205379151"/>
      <w:bookmarkStart w:id="168" w:name="_Toc205379384"/>
      <w:bookmarkStart w:id="169" w:name="_Toc205379609"/>
      <w:bookmarkStart w:id="170" w:name="_Toc205379833"/>
      <w:bookmarkStart w:id="171" w:name="_Toc205395291"/>
      <w:bookmarkStart w:id="172" w:name="_Toc205396085"/>
      <w:bookmarkStart w:id="173" w:name="_Toc205397616"/>
      <w:bookmarkStart w:id="174" w:name="_Toc205397841"/>
      <w:bookmarkStart w:id="175" w:name="_Toc205468467"/>
      <w:bookmarkStart w:id="176" w:name="_Toc205468926"/>
      <w:bookmarkStart w:id="177" w:name="_Toc205479718"/>
      <w:bookmarkStart w:id="178" w:name="_Toc205560791"/>
      <w:bookmarkStart w:id="179" w:name="_Toc205561016"/>
      <w:bookmarkStart w:id="180" w:name="_Toc205819068"/>
      <w:bookmarkStart w:id="181" w:name="_Toc205890616"/>
      <w:bookmarkStart w:id="182" w:name="_Toc205890756"/>
      <w:bookmarkStart w:id="183" w:name="_Toc205891966"/>
      <w:bookmarkStart w:id="184" w:name="_Toc205897123"/>
      <w:bookmarkStart w:id="185" w:name="_Toc205906006"/>
      <w:bookmarkStart w:id="186" w:name="_Toc205909144"/>
      <w:bookmarkStart w:id="187" w:name="_Toc205909637"/>
      <w:bookmarkStart w:id="188" w:name="_Toc205909943"/>
      <w:bookmarkStart w:id="189" w:name="_Toc205974452"/>
      <w:bookmarkStart w:id="190" w:name="_Toc205974592"/>
      <w:bookmarkStart w:id="191" w:name="_Toc205974732"/>
      <w:bookmarkStart w:id="192" w:name="_Toc205999031"/>
      <w:bookmarkStart w:id="193" w:name="_Toc206001340"/>
      <w:bookmarkStart w:id="194" w:name="_Toc206001482"/>
      <w:bookmarkStart w:id="195" w:name="_Toc206001623"/>
      <w:bookmarkStart w:id="196" w:name="_Toc206001765"/>
      <w:bookmarkStart w:id="197" w:name="_Toc206003687"/>
      <w:bookmarkStart w:id="198" w:name="_Toc206006175"/>
      <w:bookmarkStart w:id="199" w:name="_Toc206006496"/>
      <w:bookmarkStart w:id="200" w:name="_Toc206006637"/>
      <w:bookmarkStart w:id="201" w:name="_Toc206059512"/>
      <w:bookmarkStart w:id="202" w:name="_Toc206084429"/>
      <w:bookmarkStart w:id="203" w:name="_Toc206143877"/>
      <w:bookmarkStart w:id="204" w:name="_Toc206153565"/>
      <w:bookmarkStart w:id="205" w:name="_Toc206155614"/>
      <w:bookmarkStart w:id="206" w:name="_Toc206155755"/>
      <w:bookmarkStart w:id="207" w:name="_Toc206156961"/>
      <w:bookmarkStart w:id="208" w:name="_Toc206157181"/>
      <w:bookmarkStart w:id="209" w:name="_Toc202452002"/>
      <w:bookmarkStart w:id="210" w:name="_Toc203056986"/>
      <w:bookmarkStart w:id="211" w:name="_Toc203117216"/>
      <w:bookmarkStart w:id="212" w:name="_Toc203379281"/>
      <w:bookmarkStart w:id="213" w:name="_Toc205369406"/>
      <w:bookmarkStart w:id="214" w:name="_Toc205374358"/>
      <w:bookmarkStart w:id="215" w:name="_Toc205374506"/>
      <w:bookmarkStart w:id="216" w:name="_Toc205378219"/>
      <w:bookmarkStart w:id="217" w:name="_Toc205378452"/>
      <w:bookmarkStart w:id="218" w:name="_Toc205378686"/>
      <w:bookmarkStart w:id="219" w:name="_Toc205378919"/>
      <w:bookmarkStart w:id="220" w:name="_Toc205379152"/>
      <w:bookmarkStart w:id="221" w:name="_Toc205379385"/>
      <w:bookmarkStart w:id="222" w:name="_Toc205379610"/>
      <w:bookmarkStart w:id="223" w:name="_Toc205379834"/>
      <w:bookmarkStart w:id="224" w:name="_Toc205395292"/>
      <w:bookmarkStart w:id="225" w:name="_Toc205396086"/>
      <w:bookmarkStart w:id="226" w:name="_Toc205397617"/>
      <w:bookmarkStart w:id="227" w:name="_Toc205397842"/>
      <w:bookmarkStart w:id="228" w:name="_Toc205468468"/>
      <w:bookmarkStart w:id="229" w:name="_Toc205468927"/>
      <w:bookmarkStart w:id="230" w:name="_Toc205479719"/>
      <w:bookmarkStart w:id="231" w:name="_Toc205560792"/>
      <w:bookmarkStart w:id="232" w:name="_Toc205561017"/>
      <w:bookmarkStart w:id="233" w:name="_Toc205819069"/>
      <w:bookmarkStart w:id="234" w:name="_Toc205890617"/>
      <w:bookmarkStart w:id="235" w:name="_Toc205890757"/>
      <w:bookmarkStart w:id="236" w:name="_Toc205891967"/>
      <w:bookmarkStart w:id="237" w:name="_Toc205897124"/>
      <w:bookmarkStart w:id="238" w:name="_Toc205906007"/>
      <w:bookmarkStart w:id="239" w:name="_Toc205909145"/>
      <w:bookmarkStart w:id="240" w:name="_Toc205909638"/>
      <w:bookmarkStart w:id="241" w:name="_Toc205909944"/>
      <w:bookmarkStart w:id="242" w:name="_Toc205974453"/>
      <w:bookmarkStart w:id="243" w:name="_Toc205974593"/>
      <w:bookmarkStart w:id="244" w:name="_Toc205974733"/>
      <w:bookmarkStart w:id="245" w:name="_Toc205999032"/>
      <w:bookmarkStart w:id="246" w:name="_Toc206001341"/>
      <w:bookmarkStart w:id="247" w:name="_Toc206001483"/>
      <w:bookmarkStart w:id="248" w:name="_Toc206001624"/>
      <w:bookmarkStart w:id="249" w:name="_Toc206001766"/>
      <w:bookmarkStart w:id="250" w:name="_Toc206003688"/>
      <w:bookmarkStart w:id="251" w:name="_Toc206006176"/>
      <w:bookmarkStart w:id="252" w:name="_Toc206006497"/>
      <w:bookmarkStart w:id="253" w:name="_Toc206006638"/>
      <w:bookmarkStart w:id="254" w:name="_Toc206059513"/>
      <w:bookmarkStart w:id="255" w:name="_Toc206084430"/>
      <w:bookmarkStart w:id="256" w:name="_Toc206143878"/>
      <w:bookmarkStart w:id="257" w:name="_Toc206153566"/>
      <w:bookmarkStart w:id="258" w:name="_Toc206155615"/>
      <w:bookmarkStart w:id="259" w:name="_Toc206155756"/>
      <w:bookmarkStart w:id="260" w:name="_Toc206156962"/>
      <w:bookmarkStart w:id="261" w:name="_Toc206157182"/>
      <w:bookmarkStart w:id="262" w:name="_Toc202452003"/>
      <w:bookmarkStart w:id="263" w:name="_Toc203056987"/>
      <w:bookmarkStart w:id="264" w:name="_Toc203117217"/>
      <w:bookmarkStart w:id="265" w:name="_Toc203379282"/>
      <w:bookmarkStart w:id="266" w:name="_Toc205369407"/>
      <w:bookmarkStart w:id="267" w:name="_Toc205374359"/>
      <w:bookmarkStart w:id="268" w:name="_Toc205374507"/>
      <w:bookmarkStart w:id="269" w:name="_Toc205378220"/>
      <w:bookmarkStart w:id="270" w:name="_Toc205378453"/>
      <w:bookmarkStart w:id="271" w:name="_Toc205378687"/>
      <w:bookmarkStart w:id="272" w:name="_Toc205378920"/>
      <w:bookmarkStart w:id="273" w:name="_Toc205379153"/>
      <w:bookmarkStart w:id="274" w:name="_Toc205379386"/>
      <w:bookmarkStart w:id="275" w:name="_Toc205379611"/>
      <w:bookmarkStart w:id="276" w:name="_Toc205379835"/>
      <w:bookmarkStart w:id="277" w:name="_Toc205395293"/>
      <w:bookmarkStart w:id="278" w:name="_Toc205396087"/>
      <w:bookmarkStart w:id="279" w:name="_Toc205397618"/>
      <w:bookmarkStart w:id="280" w:name="_Toc205397843"/>
      <w:bookmarkStart w:id="281" w:name="_Toc205468469"/>
      <w:bookmarkStart w:id="282" w:name="_Toc205468928"/>
      <w:bookmarkStart w:id="283" w:name="_Toc205479720"/>
      <w:bookmarkStart w:id="284" w:name="_Toc205560793"/>
      <w:bookmarkStart w:id="285" w:name="_Toc205561018"/>
      <w:bookmarkStart w:id="286" w:name="_Toc205819070"/>
      <w:bookmarkStart w:id="287" w:name="_Toc205890618"/>
      <w:bookmarkStart w:id="288" w:name="_Toc205890758"/>
      <w:bookmarkStart w:id="289" w:name="_Toc205891968"/>
      <w:bookmarkStart w:id="290" w:name="_Toc205897125"/>
      <w:bookmarkStart w:id="291" w:name="_Toc205906008"/>
      <w:bookmarkStart w:id="292" w:name="_Toc205909146"/>
      <w:bookmarkStart w:id="293" w:name="_Toc205909639"/>
      <w:bookmarkStart w:id="294" w:name="_Toc205909945"/>
      <w:bookmarkStart w:id="295" w:name="_Toc205974454"/>
      <w:bookmarkStart w:id="296" w:name="_Toc205974594"/>
      <w:bookmarkStart w:id="297" w:name="_Toc205974734"/>
      <w:bookmarkStart w:id="298" w:name="_Toc205999033"/>
      <w:bookmarkStart w:id="299" w:name="_Toc206001342"/>
      <w:bookmarkStart w:id="300" w:name="_Toc206001484"/>
      <w:bookmarkStart w:id="301" w:name="_Toc206001625"/>
      <w:bookmarkStart w:id="302" w:name="_Toc206001767"/>
      <w:bookmarkStart w:id="303" w:name="_Toc206003689"/>
      <w:bookmarkStart w:id="304" w:name="_Toc206006177"/>
      <w:bookmarkStart w:id="305" w:name="_Toc206006498"/>
      <w:bookmarkStart w:id="306" w:name="_Toc206006639"/>
      <w:bookmarkStart w:id="307" w:name="_Toc206059514"/>
      <w:bookmarkStart w:id="308" w:name="_Toc206084431"/>
      <w:bookmarkStart w:id="309" w:name="_Toc206143879"/>
      <w:bookmarkStart w:id="310" w:name="_Toc206153567"/>
      <w:bookmarkStart w:id="311" w:name="_Toc206155616"/>
      <w:bookmarkStart w:id="312" w:name="_Toc206155757"/>
      <w:bookmarkStart w:id="313" w:name="_Toc206156963"/>
      <w:bookmarkStart w:id="314" w:name="_Toc206157183"/>
      <w:bookmarkStart w:id="315" w:name="_Toc202452004"/>
      <w:bookmarkStart w:id="316" w:name="_Toc203056988"/>
      <w:bookmarkStart w:id="317" w:name="_Toc203117218"/>
      <w:bookmarkStart w:id="318" w:name="_Toc203379283"/>
      <w:bookmarkStart w:id="319" w:name="_Toc205369408"/>
      <w:bookmarkStart w:id="320" w:name="_Toc205374360"/>
      <w:bookmarkStart w:id="321" w:name="_Toc205374508"/>
      <w:bookmarkStart w:id="322" w:name="_Toc205378221"/>
      <w:bookmarkStart w:id="323" w:name="_Toc205378454"/>
      <w:bookmarkStart w:id="324" w:name="_Toc205378688"/>
      <w:bookmarkStart w:id="325" w:name="_Toc205378921"/>
      <w:bookmarkStart w:id="326" w:name="_Toc205379154"/>
      <w:bookmarkStart w:id="327" w:name="_Toc205379387"/>
      <w:bookmarkStart w:id="328" w:name="_Toc205379612"/>
      <w:bookmarkStart w:id="329" w:name="_Toc205379836"/>
      <w:bookmarkStart w:id="330" w:name="_Toc205395294"/>
      <w:bookmarkStart w:id="331" w:name="_Toc205396088"/>
      <w:bookmarkStart w:id="332" w:name="_Toc205397619"/>
      <w:bookmarkStart w:id="333" w:name="_Toc205397844"/>
      <w:bookmarkStart w:id="334" w:name="_Toc205468470"/>
      <w:bookmarkStart w:id="335" w:name="_Toc205468929"/>
      <w:bookmarkStart w:id="336" w:name="_Toc205479721"/>
      <w:bookmarkStart w:id="337" w:name="_Toc205560794"/>
      <w:bookmarkStart w:id="338" w:name="_Toc205561019"/>
      <w:bookmarkStart w:id="339" w:name="_Toc205819071"/>
      <w:bookmarkStart w:id="340" w:name="_Toc205890619"/>
      <w:bookmarkStart w:id="341" w:name="_Toc205890759"/>
      <w:bookmarkStart w:id="342" w:name="_Toc205891969"/>
      <w:bookmarkStart w:id="343" w:name="_Toc205897126"/>
      <w:bookmarkStart w:id="344" w:name="_Toc205906009"/>
      <w:bookmarkStart w:id="345" w:name="_Toc205909147"/>
      <w:bookmarkStart w:id="346" w:name="_Toc205909640"/>
      <w:bookmarkStart w:id="347" w:name="_Toc205909946"/>
      <w:bookmarkStart w:id="348" w:name="_Toc205974455"/>
      <w:bookmarkStart w:id="349" w:name="_Toc205974595"/>
      <w:bookmarkStart w:id="350" w:name="_Toc205974735"/>
      <w:bookmarkStart w:id="351" w:name="_Toc205999034"/>
      <w:bookmarkStart w:id="352" w:name="_Toc206001343"/>
      <w:bookmarkStart w:id="353" w:name="_Toc206001485"/>
      <w:bookmarkStart w:id="354" w:name="_Toc206001626"/>
      <w:bookmarkStart w:id="355" w:name="_Toc206001768"/>
      <w:bookmarkStart w:id="356" w:name="_Toc206003690"/>
      <w:bookmarkStart w:id="357" w:name="_Toc206006178"/>
      <w:bookmarkStart w:id="358" w:name="_Toc206006499"/>
      <w:bookmarkStart w:id="359" w:name="_Toc206006640"/>
      <w:bookmarkStart w:id="360" w:name="_Toc206059515"/>
      <w:bookmarkStart w:id="361" w:name="_Toc206084432"/>
      <w:bookmarkStart w:id="362" w:name="_Toc206143880"/>
      <w:bookmarkStart w:id="363" w:name="_Toc206153568"/>
      <w:bookmarkStart w:id="364" w:name="_Toc206155617"/>
      <w:bookmarkStart w:id="365" w:name="_Toc206155758"/>
      <w:bookmarkStart w:id="366" w:name="_Toc206156964"/>
      <w:bookmarkStart w:id="367" w:name="_Toc206157184"/>
      <w:bookmarkStart w:id="368" w:name="_Toc395537164"/>
      <w:bookmarkStart w:id="369" w:name="_Toc422732522"/>
      <w:bookmarkStart w:id="370" w:name="_Toc422752862"/>
      <w:bookmarkStart w:id="371" w:name="_Toc21686544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FA34AC">
        <w:t xml:space="preserve">How to participate in </w:t>
      </w:r>
      <w:r w:rsidR="00800190" w:rsidRPr="00FA34AC">
        <w:t xml:space="preserve">delivering </w:t>
      </w:r>
      <w:r w:rsidRPr="00FA34AC">
        <w:t>transition care service</w:t>
      </w:r>
      <w:r w:rsidR="00800190" w:rsidRPr="00FA34AC">
        <w:t>s</w:t>
      </w:r>
      <w:bookmarkStart w:id="372" w:name="_Toc245536159"/>
      <w:bookmarkEnd w:id="368"/>
      <w:bookmarkEnd w:id="369"/>
      <w:bookmarkEnd w:id="370"/>
      <w:bookmarkEnd w:id="371"/>
    </w:p>
    <w:p w14:paraId="0F71F864" w14:textId="4C63C357" w:rsidR="000A73F9" w:rsidRPr="00256D98" w:rsidRDefault="000A73F9" w:rsidP="00992335">
      <w:pPr>
        <w:rPr>
          <w:rFonts w:cs="Calibri"/>
        </w:rPr>
      </w:pPr>
      <w:r w:rsidRPr="00256D98">
        <w:rPr>
          <w:rFonts w:cs="Calibri"/>
        </w:rPr>
        <w:t xml:space="preserve">Transition </w:t>
      </w:r>
      <w:r w:rsidR="009B199D" w:rsidRPr="00256D98">
        <w:rPr>
          <w:rFonts w:cs="Calibri"/>
        </w:rPr>
        <w:t>c</w:t>
      </w:r>
      <w:r w:rsidRPr="00256D98">
        <w:rPr>
          <w:rFonts w:cs="Calibri"/>
        </w:rPr>
        <w:t>are is managed</w:t>
      </w:r>
      <w:r w:rsidR="00464314" w:rsidRPr="00256D98">
        <w:rPr>
          <w:rFonts w:cs="Calibri"/>
        </w:rPr>
        <w:t xml:space="preserve"> by State and </w:t>
      </w:r>
      <w:r w:rsidR="008C1591" w:rsidRPr="00256D98">
        <w:rPr>
          <w:rFonts w:cs="Calibri"/>
        </w:rPr>
        <w:t>Territory</w:t>
      </w:r>
      <w:r w:rsidR="00464314" w:rsidRPr="00256D98">
        <w:rPr>
          <w:rFonts w:cs="Calibri"/>
        </w:rPr>
        <w:t xml:space="preserve"> </w:t>
      </w:r>
      <w:r w:rsidR="006E0ED8" w:rsidRPr="00256D98">
        <w:rPr>
          <w:rFonts w:cs="Calibri"/>
        </w:rPr>
        <w:t>G</w:t>
      </w:r>
      <w:r w:rsidR="00464314" w:rsidRPr="00256D98">
        <w:rPr>
          <w:rFonts w:cs="Calibri"/>
        </w:rPr>
        <w:t xml:space="preserve">overnments within their jurisdiction, and they will have agreements </w:t>
      </w:r>
      <w:r w:rsidR="0064762F" w:rsidRPr="00256D98">
        <w:rPr>
          <w:rFonts w:cs="Calibri"/>
        </w:rPr>
        <w:t xml:space="preserve">or arrangements </w:t>
      </w:r>
      <w:r w:rsidR="00464314" w:rsidRPr="00256D98">
        <w:rPr>
          <w:rFonts w:cs="Calibri"/>
        </w:rPr>
        <w:t xml:space="preserve">in place with </w:t>
      </w:r>
      <w:r w:rsidR="002A3760" w:rsidRPr="00256D98">
        <w:rPr>
          <w:rFonts w:cs="Calibri"/>
        </w:rPr>
        <w:t xml:space="preserve">the registered provider/s whom they wish to </w:t>
      </w:r>
      <w:r w:rsidR="00C55E9C" w:rsidRPr="00256D98">
        <w:rPr>
          <w:rFonts w:cs="Calibri"/>
        </w:rPr>
        <w:t xml:space="preserve">operate </w:t>
      </w:r>
      <w:r w:rsidR="009B199D" w:rsidRPr="00256D98">
        <w:rPr>
          <w:rFonts w:cs="Calibri"/>
        </w:rPr>
        <w:t>t</w:t>
      </w:r>
      <w:r w:rsidR="00C55E9C" w:rsidRPr="00256D98">
        <w:rPr>
          <w:rFonts w:cs="Calibri"/>
        </w:rPr>
        <w:t xml:space="preserve">ransition </w:t>
      </w:r>
      <w:r w:rsidR="009B199D" w:rsidRPr="00256D98">
        <w:rPr>
          <w:rFonts w:cs="Calibri"/>
        </w:rPr>
        <w:t>c</w:t>
      </w:r>
      <w:r w:rsidR="00C55E9C" w:rsidRPr="00256D98">
        <w:rPr>
          <w:rFonts w:cs="Calibri"/>
        </w:rPr>
        <w:t>are services.</w:t>
      </w:r>
    </w:p>
    <w:p w14:paraId="37572DC0" w14:textId="4CDF44E7" w:rsidR="00992335" w:rsidRPr="00256D98" w:rsidRDefault="00DD7CBB" w:rsidP="00992335">
      <w:pPr>
        <w:rPr>
          <w:rFonts w:cs="Calibri"/>
        </w:rPr>
      </w:pPr>
      <w:r w:rsidRPr="00336055">
        <w:rPr>
          <w:rFonts w:eastAsia="Calibri" w:cs="Calibri"/>
          <w:szCs w:val="20"/>
        </w:rPr>
        <w:t>R</w:t>
      </w:r>
      <w:r w:rsidR="3044B181" w:rsidRPr="00336055">
        <w:rPr>
          <w:rFonts w:eastAsia="Calibri" w:cs="Calibri"/>
          <w:szCs w:val="20"/>
        </w:rPr>
        <w:t>egistered provider</w:t>
      </w:r>
      <w:r w:rsidR="000E54E6" w:rsidRPr="00336055">
        <w:rPr>
          <w:rFonts w:eastAsia="Calibri" w:cs="Calibri"/>
          <w:szCs w:val="20"/>
        </w:rPr>
        <w:t>s</w:t>
      </w:r>
      <w:r w:rsidR="3044B181" w:rsidRPr="00336055">
        <w:rPr>
          <w:rFonts w:eastAsia="Calibri" w:cs="Calibri"/>
          <w:szCs w:val="20"/>
        </w:rPr>
        <w:t xml:space="preserve"> will need to meet obligations based on the type of services </w:t>
      </w:r>
      <w:r w:rsidR="009F0079" w:rsidRPr="00336055">
        <w:rPr>
          <w:rFonts w:eastAsia="Calibri" w:cs="Calibri"/>
          <w:szCs w:val="20"/>
        </w:rPr>
        <w:t>they</w:t>
      </w:r>
      <w:r w:rsidR="3044B181" w:rsidRPr="00336055">
        <w:rPr>
          <w:rFonts w:eastAsia="Calibri" w:cs="Calibri"/>
          <w:szCs w:val="20"/>
        </w:rPr>
        <w:t xml:space="preserve"> deliver. These obligations make providers accountable for the safety and quality of care they provide.</w:t>
      </w:r>
      <w:r w:rsidR="00786245" w:rsidRPr="00336055">
        <w:rPr>
          <w:rFonts w:eastAsia="Calibri" w:cs="Calibri"/>
          <w:szCs w:val="20"/>
        </w:rPr>
        <w:t xml:space="preserve"> </w:t>
      </w:r>
      <w:r w:rsidR="3044B181" w:rsidRPr="00336055">
        <w:rPr>
          <w:rFonts w:eastAsia="Calibri" w:cs="Calibri"/>
          <w:szCs w:val="20"/>
        </w:rPr>
        <w:t xml:space="preserve">Obligations are intended to be proportionate to the environment a provider operates in, the services they deliver and any risks of harm that may be present. </w:t>
      </w:r>
    </w:p>
    <w:p w14:paraId="148751EA" w14:textId="7DF0FA8C" w:rsidR="00605BA0" w:rsidRPr="00256D98" w:rsidRDefault="3044B181" w:rsidP="00992335">
      <w:pPr>
        <w:rPr>
          <w:rFonts w:cs="Calibri"/>
        </w:rPr>
      </w:pPr>
      <w:r w:rsidRPr="00336055">
        <w:rPr>
          <w:rFonts w:eastAsia="Calibri" w:cs="Calibri"/>
          <w:szCs w:val="20"/>
        </w:rPr>
        <w:t>The</w:t>
      </w:r>
      <w:r w:rsidR="00F32F49">
        <w:rPr>
          <w:rFonts w:eastAsia="Calibri" w:cs="Calibri"/>
          <w:szCs w:val="20"/>
        </w:rPr>
        <w:t xml:space="preserve"> </w:t>
      </w:r>
      <w:hyperlink r:id="rId24" w:history="1">
        <w:r w:rsidR="00F32F49" w:rsidRPr="00D20309">
          <w:rPr>
            <w:rStyle w:val="Hyperlink"/>
            <w:rFonts w:ascii="Calibri" w:eastAsia="Calibri" w:hAnsi="Calibri" w:cs="Calibri"/>
            <w:sz w:val="20"/>
            <w:szCs w:val="20"/>
          </w:rPr>
          <w:t xml:space="preserve">Find a </w:t>
        </w:r>
        <w:r w:rsidRPr="00D20309">
          <w:rPr>
            <w:rStyle w:val="Hyperlink"/>
            <w:rFonts w:ascii="Calibri" w:eastAsia="Calibri" w:hAnsi="Calibri" w:cs="Calibri"/>
            <w:sz w:val="20"/>
            <w:szCs w:val="20"/>
          </w:rPr>
          <w:t>Provider</w:t>
        </w:r>
        <w:r w:rsidR="00F32F49" w:rsidRPr="00D20309">
          <w:rPr>
            <w:rStyle w:val="Hyperlink"/>
            <w:rFonts w:ascii="Calibri" w:eastAsia="Calibri" w:hAnsi="Calibri" w:cs="Calibri"/>
            <w:sz w:val="20"/>
            <w:szCs w:val="20"/>
          </w:rPr>
          <w:t xml:space="preserve"> Tool</w:t>
        </w:r>
      </w:hyperlink>
      <w:r w:rsidR="00D20309">
        <w:rPr>
          <w:rFonts w:eastAsia="Calibri" w:cs="Calibri"/>
          <w:szCs w:val="20"/>
        </w:rPr>
        <w:t xml:space="preserve"> on the My Aged Care </w:t>
      </w:r>
      <w:r w:rsidR="00D745DA">
        <w:rPr>
          <w:rFonts w:eastAsia="Calibri" w:cs="Calibri"/>
          <w:szCs w:val="20"/>
        </w:rPr>
        <w:t>w</w:t>
      </w:r>
      <w:r w:rsidR="00D20309">
        <w:rPr>
          <w:rFonts w:eastAsia="Calibri" w:cs="Calibri"/>
          <w:szCs w:val="20"/>
        </w:rPr>
        <w:t>ebsite</w:t>
      </w:r>
      <w:r w:rsidR="0072723F">
        <w:rPr>
          <w:rFonts w:eastAsia="Calibri" w:cs="Calibri"/>
          <w:szCs w:val="20"/>
        </w:rPr>
        <w:t xml:space="preserve"> </w:t>
      </w:r>
      <w:r w:rsidRPr="00336055">
        <w:rPr>
          <w:rFonts w:eastAsia="Calibri" w:cs="Calibri"/>
          <w:szCs w:val="20"/>
        </w:rPr>
        <w:t>publish</w:t>
      </w:r>
      <w:r w:rsidR="0072723F">
        <w:rPr>
          <w:rFonts w:eastAsia="Calibri" w:cs="Calibri"/>
          <w:szCs w:val="20"/>
        </w:rPr>
        <w:t>es</w:t>
      </w:r>
      <w:r w:rsidRPr="00336055">
        <w:rPr>
          <w:rFonts w:eastAsia="Calibri" w:cs="Calibri"/>
          <w:szCs w:val="20"/>
        </w:rPr>
        <w:t xml:space="preserve"> information on registered providers such as: </w:t>
      </w:r>
    </w:p>
    <w:p w14:paraId="1240ED2A" w14:textId="6ED559E0" w:rsidR="00605BA0" w:rsidRPr="008202E1" w:rsidRDefault="3044B181" w:rsidP="00FA34AC">
      <w:pPr>
        <w:pStyle w:val="ListBullet"/>
      </w:pPr>
      <w:r w:rsidRPr="008202E1">
        <w:t>registration categories</w:t>
      </w:r>
      <w:r w:rsidR="00317D05">
        <w:t>;</w:t>
      </w:r>
    </w:p>
    <w:p w14:paraId="20969407" w14:textId="238D2B1A" w:rsidR="00605BA0" w:rsidRPr="008202E1" w:rsidRDefault="3044B181" w:rsidP="00FA34AC">
      <w:pPr>
        <w:pStyle w:val="ListBullet"/>
      </w:pPr>
      <w:r w:rsidRPr="008202E1">
        <w:t>service types</w:t>
      </w:r>
      <w:r w:rsidR="00317D05">
        <w:t>;</w:t>
      </w:r>
      <w:r w:rsidR="00E334FB">
        <w:t xml:space="preserve"> and</w:t>
      </w:r>
    </w:p>
    <w:p w14:paraId="22DF0699" w14:textId="04FCF150" w:rsidR="00605BA0" w:rsidRPr="008202E1" w:rsidRDefault="3044B181" w:rsidP="00FA34AC">
      <w:pPr>
        <w:pStyle w:val="ListBullet"/>
      </w:pPr>
      <w:r w:rsidRPr="008202E1">
        <w:t>registration period</w:t>
      </w:r>
      <w:r w:rsidR="00786245" w:rsidRPr="008202E1">
        <w:t>.</w:t>
      </w:r>
    </w:p>
    <w:p w14:paraId="5921E955" w14:textId="3CA77C01" w:rsidR="00833111" w:rsidRPr="003A173C" w:rsidRDefault="00786245" w:rsidP="11F2F57C">
      <w:pPr>
        <w:rPr>
          <w:rFonts w:eastAsia="Calibri" w:cs="Calibri"/>
        </w:rPr>
      </w:pPr>
      <w:r w:rsidRPr="11F2F57C">
        <w:rPr>
          <w:rFonts w:eastAsia="Calibri" w:cs="Calibri"/>
          <w:color w:val="313131"/>
        </w:rPr>
        <w:t>The Commission</w:t>
      </w:r>
      <w:r w:rsidR="00CE1EB4" w:rsidRPr="11F2F57C">
        <w:rPr>
          <w:rFonts w:eastAsia="Calibri" w:cs="Calibri"/>
          <w:color w:val="313131"/>
        </w:rPr>
        <w:t xml:space="preserve"> will monitor providers to make sure their obligations are being met.</w:t>
      </w:r>
    </w:p>
    <w:p w14:paraId="7AE44C9B" w14:textId="4CE6CA9A" w:rsidR="00605BA0" w:rsidRPr="00FA34AC" w:rsidRDefault="43D3231F" w:rsidP="008974DB">
      <w:pPr>
        <w:pStyle w:val="Style3"/>
      </w:pPr>
      <w:bookmarkStart w:id="373" w:name="_Toc216865449"/>
      <w:r w:rsidRPr="00FA34AC">
        <w:t>Registration categories</w:t>
      </w:r>
      <w:bookmarkEnd w:id="373"/>
    </w:p>
    <w:p w14:paraId="1C783DF1" w14:textId="0E9DC6A1" w:rsidR="00605BA0" w:rsidRPr="00913DD5" w:rsidRDefault="43D3231F" w:rsidP="00913DD5">
      <w:pPr>
        <w:rPr>
          <w:rFonts w:cs="Calibri"/>
        </w:rPr>
      </w:pPr>
      <w:r w:rsidRPr="00913DD5">
        <w:rPr>
          <w:rFonts w:cs="Calibri"/>
        </w:rPr>
        <w:t xml:space="preserve">There will be </w:t>
      </w:r>
      <w:r w:rsidR="002A3227" w:rsidRPr="00913DD5">
        <w:rPr>
          <w:rFonts w:cs="Calibri"/>
        </w:rPr>
        <w:t>six</w:t>
      </w:r>
      <w:r w:rsidRPr="00913DD5">
        <w:rPr>
          <w:rFonts w:cs="Calibri"/>
        </w:rPr>
        <w:t xml:space="preserve"> registration categories that group service types based on similar care complexity and risk.</w:t>
      </w:r>
      <w:r w:rsidR="00B72C25" w:rsidRPr="00913DD5">
        <w:rPr>
          <w:rFonts w:cs="Calibri"/>
        </w:rPr>
        <w:t xml:space="preserve"> </w:t>
      </w:r>
      <w:r w:rsidRPr="00913DD5">
        <w:rPr>
          <w:rFonts w:cs="Calibri"/>
        </w:rPr>
        <w:t>This means registration requirements, related provider obligations and regulatory oversight will be linked to these registration categories and be proportionate to the service types being offered.</w:t>
      </w:r>
    </w:p>
    <w:p w14:paraId="1A8CC54E" w14:textId="5408D3F2" w:rsidR="00605BA0" w:rsidRPr="00913DD5" w:rsidRDefault="004F2C80" w:rsidP="00913DD5">
      <w:pPr>
        <w:rPr>
          <w:rFonts w:cs="Calibri"/>
        </w:rPr>
      </w:pPr>
      <w:r w:rsidRPr="00913DD5">
        <w:rPr>
          <w:rFonts w:cs="Calibri"/>
        </w:rPr>
        <w:t>Providers</w:t>
      </w:r>
      <w:r w:rsidR="43D3231F" w:rsidRPr="00913DD5">
        <w:rPr>
          <w:rFonts w:cs="Calibri"/>
        </w:rPr>
        <w:t xml:space="preserve"> can register into one or more of the </w:t>
      </w:r>
      <w:r w:rsidRPr="00913DD5">
        <w:rPr>
          <w:rFonts w:cs="Calibri"/>
        </w:rPr>
        <w:t>six</w:t>
      </w:r>
      <w:r w:rsidR="43D3231F" w:rsidRPr="00913DD5">
        <w:rPr>
          <w:rFonts w:cs="Calibri"/>
        </w:rPr>
        <w:t xml:space="preserve"> categories relevant to the type of services </w:t>
      </w:r>
      <w:r w:rsidRPr="00913DD5">
        <w:rPr>
          <w:rFonts w:cs="Calibri"/>
        </w:rPr>
        <w:t>they wish to</w:t>
      </w:r>
      <w:r w:rsidR="43D3231F" w:rsidRPr="00913DD5">
        <w:rPr>
          <w:rFonts w:cs="Calibri"/>
        </w:rPr>
        <w:t xml:space="preserve"> provide or services as required by </w:t>
      </w:r>
      <w:r w:rsidRPr="00913DD5">
        <w:rPr>
          <w:rFonts w:cs="Calibri"/>
        </w:rPr>
        <w:t xml:space="preserve">their </w:t>
      </w:r>
      <w:r w:rsidR="43D3231F" w:rsidRPr="00913DD5">
        <w:rPr>
          <w:rFonts w:cs="Calibri"/>
        </w:rPr>
        <w:t>current</w:t>
      </w:r>
      <w:r w:rsidR="00B865F2" w:rsidRPr="00913DD5">
        <w:rPr>
          <w:rFonts w:cs="Calibri"/>
        </w:rPr>
        <w:t xml:space="preserve"> </w:t>
      </w:r>
      <w:r w:rsidR="43D3231F" w:rsidRPr="00913DD5">
        <w:rPr>
          <w:rFonts w:cs="Calibri"/>
        </w:rPr>
        <w:t>agreement</w:t>
      </w:r>
      <w:r w:rsidR="00B865F2" w:rsidRPr="00913DD5">
        <w:rPr>
          <w:rFonts w:cs="Calibri"/>
        </w:rPr>
        <w:t>s</w:t>
      </w:r>
      <w:r w:rsidR="00C606C6" w:rsidRPr="00913DD5">
        <w:rPr>
          <w:rFonts w:cs="Calibri"/>
        </w:rPr>
        <w:t xml:space="preserve"> and arrangements </w:t>
      </w:r>
      <w:r w:rsidR="00CF706B" w:rsidRPr="00913DD5">
        <w:rPr>
          <w:rFonts w:cs="Calibri"/>
        </w:rPr>
        <w:t>for</w:t>
      </w:r>
      <w:r w:rsidR="00C606C6" w:rsidRPr="00913DD5">
        <w:rPr>
          <w:rFonts w:cs="Calibri"/>
        </w:rPr>
        <w:t xml:space="preserve"> delivering TCP services</w:t>
      </w:r>
      <w:r w:rsidR="00B865F2" w:rsidRPr="00913DD5">
        <w:rPr>
          <w:rFonts w:cs="Calibri"/>
        </w:rPr>
        <w:t xml:space="preserve"> with the State or Territory Government</w:t>
      </w:r>
      <w:r w:rsidR="00AC5776" w:rsidRPr="00913DD5">
        <w:rPr>
          <w:rFonts w:cs="Calibri"/>
        </w:rPr>
        <w:t>s</w:t>
      </w:r>
      <w:r w:rsidR="43D3231F" w:rsidRPr="00913DD5">
        <w:rPr>
          <w:rFonts w:cs="Calibri"/>
        </w:rPr>
        <w:t xml:space="preserve">. </w:t>
      </w:r>
    </w:p>
    <w:p w14:paraId="2D24E886" w14:textId="38B21A05" w:rsidR="00AC5776" w:rsidRPr="00913DD5" w:rsidRDefault="00AC5776" w:rsidP="00913DD5">
      <w:pPr>
        <w:rPr>
          <w:rFonts w:cs="Calibri"/>
        </w:rPr>
      </w:pPr>
      <w:r w:rsidRPr="003A173C">
        <w:rPr>
          <w:rFonts w:cs="Calibri"/>
        </w:rPr>
        <w:t xml:space="preserve">TCP providers nominated by State or Territory Governments to be registered providers in each jurisdiction from the commencement of the new Act, have </w:t>
      </w:r>
      <w:r w:rsidR="003357B3">
        <w:rPr>
          <w:rFonts w:cs="Calibri"/>
        </w:rPr>
        <w:t xml:space="preserve">had </w:t>
      </w:r>
      <w:r w:rsidRPr="003A173C">
        <w:rPr>
          <w:rFonts w:cs="Calibri"/>
        </w:rPr>
        <w:t>their registrations deemed over by the Commission under all six registration categories. While existing TCP providers will be registered in all categories, this will not require them to deliver services within each category or across all categories (including every service type within a particular category).</w:t>
      </w:r>
    </w:p>
    <w:p w14:paraId="498CEC58" w14:textId="34909701" w:rsidR="00AC5776" w:rsidRPr="00913DD5" w:rsidRDefault="00A133F5" w:rsidP="00913DD5">
      <w:pPr>
        <w:rPr>
          <w:rFonts w:cs="Calibri"/>
        </w:rPr>
      </w:pPr>
      <w:r w:rsidRPr="00913DD5">
        <w:rPr>
          <w:rFonts w:cs="Calibri"/>
        </w:rPr>
        <w:t>Following commencement of the new Act, registration across the categories can be further updated as required by TCP registered providers</w:t>
      </w:r>
      <w:r w:rsidR="001644B5" w:rsidRPr="00913DD5">
        <w:rPr>
          <w:rFonts w:cs="Calibri"/>
        </w:rPr>
        <w:t xml:space="preserve">, </w:t>
      </w:r>
      <w:r w:rsidR="006A1495" w:rsidRPr="00913DD5">
        <w:rPr>
          <w:rFonts w:cs="Calibri"/>
        </w:rPr>
        <w:t>for example at the time of the next</w:t>
      </w:r>
      <w:r w:rsidR="004A28DB" w:rsidRPr="00913DD5">
        <w:rPr>
          <w:rFonts w:cs="Calibri"/>
        </w:rPr>
        <w:t xml:space="preserve"> registration</w:t>
      </w:r>
      <w:r w:rsidR="006A1495" w:rsidRPr="00913DD5">
        <w:rPr>
          <w:rFonts w:cs="Calibri"/>
        </w:rPr>
        <w:t xml:space="preserve"> renewal</w:t>
      </w:r>
      <w:r w:rsidRPr="00913DD5">
        <w:rPr>
          <w:rFonts w:cs="Calibri"/>
        </w:rPr>
        <w:t>.</w:t>
      </w:r>
    </w:p>
    <w:p w14:paraId="1C9E0590" w14:textId="1CC67B09" w:rsidR="00605BA0" w:rsidRPr="003A173C" w:rsidRDefault="43D3231F" w:rsidP="0022113B">
      <w:pPr>
        <w:spacing w:before="0" w:after="160"/>
        <w:rPr>
          <w:rFonts w:eastAsia="Calibri" w:cs="Calibri"/>
        </w:rPr>
      </w:pPr>
      <w:r w:rsidRPr="003A173C">
        <w:rPr>
          <w:rFonts w:eastAsia="Calibri" w:cs="Calibri"/>
          <w:szCs w:val="20"/>
        </w:rPr>
        <w:t xml:space="preserve">Further details regarding each </w:t>
      </w:r>
      <w:r w:rsidR="003241DB" w:rsidRPr="003A173C">
        <w:rPr>
          <w:rFonts w:eastAsia="Calibri" w:cs="Calibri"/>
          <w:szCs w:val="20"/>
        </w:rPr>
        <w:t>r</w:t>
      </w:r>
      <w:r w:rsidRPr="003A173C">
        <w:rPr>
          <w:rFonts w:eastAsia="Calibri" w:cs="Calibri"/>
          <w:szCs w:val="20"/>
        </w:rPr>
        <w:t xml:space="preserve">egistration </w:t>
      </w:r>
      <w:r w:rsidR="003241DB" w:rsidRPr="003A173C">
        <w:rPr>
          <w:rFonts w:eastAsia="Calibri" w:cs="Calibri"/>
          <w:szCs w:val="20"/>
        </w:rPr>
        <w:t>c</w:t>
      </w:r>
      <w:r w:rsidRPr="003A173C">
        <w:rPr>
          <w:rFonts w:eastAsia="Calibri" w:cs="Calibri"/>
          <w:szCs w:val="20"/>
        </w:rPr>
        <w:t xml:space="preserve">ategory can be located at: </w:t>
      </w:r>
      <w:hyperlink r:id="rId25" w:anchor="new-universal-provider-registration" w:history="1">
        <w:r w:rsidRPr="003A173C">
          <w:rPr>
            <w:rStyle w:val="Hyperlink"/>
            <w:rFonts w:ascii="Calibri" w:eastAsia="Calibri" w:hAnsi="Calibri" w:cs="Calibri"/>
            <w:color w:val="467886"/>
            <w:sz w:val="20"/>
            <w:szCs w:val="20"/>
          </w:rPr>
          <w:t>How the new aged care regulatory model will work | Australian Government Department of Health, Disability and Ageing</w:t>
        </w:r>
      </w:hyperlink>
      <w:r w:rsidR="00B95942" w:rsidRPr="003A173C">
        <w:rPr>
          <w:rFonts w:cs="Calibri"/>
        </w:rPr>
        <w:t>.</w:t>
      </w:r>
    </w:p>
    <w:p w14:paraId="5E63EB6A" w14:textId="3A034448" w:rsidR="00E745F8" w:rsidRPr="003A173C" w:rsidRDefault="00B95942" w:rsidP="00412682">
      <w:pPr>
        <w:pStyle w:val="Heading2"/>
        <w:rPr>
          <w:rFonts w:ascii="Calibri" w:hAnsi="Calibri" w:cs="Calibri"/>
        </w:rPr>
      </w:pPr>
      <w:bookmarkStart w:id="374" w:name="_Toc205378691"/>
      <w:bookmarkStart w:id="375" w:name="_Toc205378924"/>
      <w:bookmarkStart w:id="376" w:name="_Toc205379157"/>
      <w:bookmarkStart w:id="377" w:name="_Toc205379390"/>
      <w:bookmarkStart w:id="378" w:name="_Toc205379615"/>
      <w:bookmarkStart w:id="379" w:name="_Toc205379839"/>
      <w:bookmarkStart w:id="380" w:name="_Toc205395297"/>
      <w:bookmarkStart w:id="381" w:name="_Toc205396091"/>
      <w:bookmarkStart w:id="382" w:name="_Toc205397622"/>
      <w:bookmarkStart w:id="383" w:name="_Toc205397847"/>
      <w:bookmarkStart w:id="384" w:name="_Toc205468473"/>
      <w:bookmarkStart w:id="385" w:name="_Toc205468932"/>
      <w:bookmarkStart w:id="386" w:name="_Toc205479724"/>
      <w:bookmarkStart w:id="387" w:name="_Toc205560797"/>
      <w:bookmarkStart w:id="388" w:name="_Toc205561022"/>
      <w:bookmarkStart w:id="389" w:name="_Toc205819074"/>
      <w:bookmarkStart w:id="390" w:name="_Toc205890622"/>
      <w:bookmarkStart w:id="391" w:name="_Toc205890762"/>
      <w:bookmarkStart w:id="392" w:name="_Toc205891972"/>
      <w:bookmarkStart w:id="393" w:name="_Toc205897129"/>
      <w:bookmarkStart w:id="394" w:name="_Toc205906012"/>
      <w:bookmarkStart w:id="395" w:name="_Toc205909150"/>
      <w:bookmarkStart w:id="396" w:name="_Toc205909643"/>
      <w:bookmarkStart w:id="397" w:name="_Toc205909949"/>
      <w:bookmarkStart w:id="398" w:name="_Toc205974458"/>
      <w:bookmarkStart w:id="399" w:name="_Toc205974598"/>
      <w:bookmarkStart w:id="400" w:name="_Toc205974738"/>
      <w:bookmarkStart w:id="401" w:name="_Toc205999037"/>
      <w:bookmarkStart w:id="402" w:name="_Toc206001346"/>
      <w:bookmarkStart w:id="403" w:name="_Toc206001488"/>
      <w:bookmarkStart w:id="404" w:name="_Toc206001629"/>
      <w:bookmarkStart w:id="405" w:name="_Toc206001771"/>
      <w:bookmarkStart w:id="406" w:name="_Toc206003693"/>
      <w:bookmarkStart w:id="407" w:name="_Toc206006181"/>
      <w:bookmarkStart w:id="408" w:name="_Toc206006502"/>
      <w:bookmarkStart w:id="409" w:name="_Toc206006643"/>
      <w:bookmarkStart w:id="410" w:name="_Toc206059518"/>
      <w:bookmarkStart w:id="411" w:name="_Toc206084435"/>
      <w:bookmarkStart w:id="412" w:name="_Toc206143883"/>
      <w:bookmarkStart w:id="413" w:name="_Toc206153571"/>
      <w:bookmarkStart w:id="414" w:name="_Toc206155620"/>
      <w:bookmarkStart w:id="415" w:name="_Toc206155761"/>
      <w:bookmarkStart w:id="416" w:name="_Toc206156967"/>
      <w:bookmarkStart w:id="417" w:name="_Toc206157187"/>
      <w:bookmarkStart w:id="418" w:name="_Toc216865450"/>
      <w:bookmarkEnd w:id="372"/>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3A173C">
        <w:rPr>
          <w:rFonts w:ascii="Calibri" w:hAnsi="Calibri" w:cs="Calibri"/>
        </w:rPr>
        <w:t xml:space="preserve">Program </w:t>
      </w:r>
      <w:r w:rsidR="00693B7E" w:rsidRPr="003A173C">
        <w:rPr>
          <w:rFonts w:ascii="Calibri" w:hAnsi="Calibri" w:cs="Calibri"/>
        </w:rPr>
        <w:t>f</w:t>
      </w:r>
      <w:r w:rsidRPr="003A173C">
        <w:rPr>
          <w:rFonts w:ascii="Calibri" w:hAnsi="Calibri" w:cs="Calibri"/>
        </w:rPr>
        <w:t>unding</w:t>
      </w:r>
      <w:bookmarkEnd w:id="418"/>
    </w:p>
    <w:p w14:paraId="695375E8" w14:textId="33C53A4F" w:rsidR="00605BA0" w:rsidRPr="003A173C" w:rsidRDefault="00605BA0" w:rsidP="00D81DB7">
      <w:pPr>
        <w:rPr>
          <w:rFonts w:cs="Calibri"/>
          <w:snapToGrid w:val="0"/>
        </w:rPr>
      </w:pPr>
      <w:r w:rsidRPr="003A173C">
        <w:rPr>
          <w:rFonts w:cs="Calibri"/>
          <w:snapToGrid w:val="0"/>
        </w:rPr>
        <w:t xml:space="preserve">The </w:t>
      </w:r>
      <w:r w:rsidR="00931641" w:rsidRPr="003A173C">
        <w:rPr>
          <w:rFonts w:cs="Calibri"/>
          <w:snapToGrid w:val="0"/>
        </w:rPr>
        <w:t xml:space="preserve">Australian </w:t>
      </w:r>
      <w:r w:rsidRPr="003A173C">
        <w:rPr>
          <w:rFonts w:cs="Calibri"/>
          <w:snapToGrid w:val="0"/>
        </w:rPr>
        <w:t xml:space="preserve">Government and </w:t>
      </w:r>
      <w:r w:rsidR="00F64E94" w:rsidRPr="003A173C">
        <w:rPr>
          <w:rFonts w:cs="Calibri"/>
          <w:snapToGrid w:val="0"/>
        </w:rPr>
        <w:t>S</w:t>
      </w:r>
      <w:r w:rsidRPr="003A173C">
        <w:rPr>
          <w:rFonts w:cs="Calibri"/>
          <w:snapToGrid w:val="0"/>
        </w:rPr>
        <w:t xml:space="preserve">tates and </w:t>
      </w:r>
      <w:r w:rsidR="00F64E94" w:rsidRPr="003A173C">
        <w:rPr>
          <w:rFonts w:cs="Calibri"/>
          <w:snapToGrid w:val="0"/>
        </w:rPr>
        <w:t>T</w:t>
      </w:r>
      <w:r w:rsidRPr="003A173C">
        <w:rPr>
          <w:rFonts w:cs="Calibri"/>
          <w:snapToGrid w:val="0"/>
        </w:rPr>
        <w:t>erritor</w:t>
      </w:r>
      <w:r w:rsidR="0045594E" w:rsidRPr="003A173C">
        <w:rPr>
          <w:rFonts w:cs="Calibri"/>
          <w:snapToGrid w:val="0"/>
        </w:rPr>
        <w:t xml:space="preserve">y governments </w:t>
      </w:r>
      <w:r w:rsidRPr="003A173C">
        <w:rPr>
          <w:rFonts w:cs="Calibri"/>
          <w:snapToGrid w:val="0"/>
        </w:rPr>
        <w:t xml:space="preserve">jointly fund the </w:t>
      </w:r>
      <w:r w:rsidR="00B505C7" w:rsidRPr="003A173C">
        <w:rPr>
          <w:rFonts w:cs="Calibri"/>
          <w:snapToGrid w:val="0"/>
        </w:rPr>
        <w:t>program</w:t>
      </w:r>
      <w:r w:rsidRPr="003A173C">
        <w:rPr>
          <w:rFonts w:cs="Calibri"/>
          <w:snapToGrid w:val="0"/>
        </w:rPr>
        <w:t>.</w:t>
      </w:r>
    </w:p>
    <w:p w14:paraId="41DF3958" w14:textId="24192159" w:rsidR="00CE2AD6" w:rsidRPr="003A173C" w:rsidRDefault="00931641" w:rsidP="1CBD4533">
      <w:pPr>
        <w:rPr>
          <w:rFonts w:cs="Calibri"/>
          <w:i/>
          <w:iCs/>
          <w:snapToGrid w:val="0"/>
        </w:rPr>
      </w:pPr>
      <w:r w:rsidRPr="003A173C">
        <w:rPr>
          <w:rFonts w:cs="Calibri"/>
        </w:rPr>
        <w:t xml:space="preserve">Australian </w:t>
      </w:r>
      <w:r w:rsidR="4113B1AE" w:rsidRPr="003A173C">
        <w:rPr>
          <w:rFonts w:cs="Calibri"/>
        </w:rPr>
        <w:t>Government funding for transition care is provided in the form of</w:t>
      </w:r>
      <w:r w:rsidR="4A6804AC" w:rsidRPr="003A173C">
        <w:rPr>
          <w:rFonts w:cs="Calibri"/>
        </w:rPr>
        <w:t xml:space="preserve"> a</w:t>
      </w:r>
      <w:r w:rsidR="4113B1AE" w:rsidRPr="003A173C">
        <w:rPr>
          <w:rFonts w:cs="Calibri"/>
        </w:rPr>
        <w:t xml:space="preserve"> subsidy</w:t>
      </w:r>
      <w:r w:rsidR="13D7CAD3" w:rsidRPr="003A173C">
        <w:rPr>
          <w:rFonts w:cs="Calibri"/>
        </w:rPr>
        <w:t xml:space="preserve"> for a specialised aged care program</w:t>
      </w:r>
      <w:r w:rsidR="4113B1AE" w:rsidRPr="003A173C">
        <w:rPr>
          <w:rFonts w:cs="Calibri"/>
        </w:rPr>
        <w:t xml:space="preserve"> under</w:t>
      </w:r>
      <w:r w:rsidR="2A21E666" w:rsidRPr="003A173C">
        <w:rPr>
          <w:rFonts w:cs="Calibri"/>
        </w:rPr>
        <w:t xml:space="preserve"> section 247 of</w:t>
      </w:r>
      <w:r w:rsidR="4113B1AE" w:rsidRPr="003A173C">
        <w:rPr>
          <w:rFonts w:cs="Calibri"/>
        </w:rPr>
        <w:t xml:space="preserve"> the </w:t>
      </w:r>
      <w:r w:rsidR="70032FFC" w:rsidRPr="003A173C">
        <w:rPr>
          <w:rFonts w:cs="Calibri"/>
        </w:rPr>
        <w:t>Ac</w:t>
      </w:r>
      <w:r w:rsidR="5AC06BEA" w:rsidRPr="003A173C">
        <w:rPr>
          <w:rFonts w:cs="Calibri"/>
        </w:rPr>
        <w:t>t</w:t>
      </w:r>
      <w:r w:rsidR="00683041" w:rsidRPr="003A173C">
        <w:rPr>
          <w:rFonts w:cs="Calibri"/>
        </w:rPr>
        <w:t xml:space="preserve"> and s</w:t>
      </w:r>
      <w:r w:rsidR="4709CE12" w:rsidRPr="003A173C">
        <w:rPr>
          <w:rFonts w:cs="Calibri"/>
        </w:rPr>
        <w:t>ection 249-90 of the Rul</w:t>
      </w:r>
      <w:r w:rsidR="70880373" w:rsidRPr="003A173C">
        <w:rPr>
          <w:rFonts w:cs="Calibri"/>
        </w:rPr>
        <w:t>es</w:t>
      </w:r>
      <w:r w:rsidR="00683041" w:rsidRPr="003A173C">
        <w:rPr>
          <w:rFonts w:cs="Calibri"/>
        </w:rPr>
        <w:t>. The</w:t>
      </w:r>
      <w:r w:rsidR="70880373" w:rsidRPr="003A173C">
        <w:rPr>
          <w:rFonts w:eastAsia="Arial" w:cs="Calibri"/>
          <w:szCs w:val="20"/>
        </w:rPr>
        <w:t xml:space="preserve"> amount of </w:t>
      </w:r>
      <w:r w:rsidRPr="003A173C">
        <w:rPr>
          <w:rFonts w:eastAsia="Arial" w:cs="Calibri"/>
          <w:szCs w:val="20"/>
        </w:rPr>
        <w:t>Australian</w:t>
      </w:r>
      <w:r w:rsidR="006F7197" w:rsidRPr="003A173C">
        <w:rPr>
          <w:rFonts w:eastAsia="Arial" w:cs="Calibri"/>
          <w:szCs w:val="20"/>
        </w:rPr>
        <w:t xml:space="preserve"> Government</w:t>
      </w:r>
      <w:r w:rsidRPr="003A173C">
        <w:rPr>
          <w:rFonts w:eastAsia="Arial" w:cs="Calibri"/>
          <w:szCs w:val="20"/>
        </w:rPr>
        <w:t xml:space="preserve"> </w:t>
      </w:r>
      <w:r w:rsidR="54481705" w:rsidRPr="003A173C">
        <w:rPr>
          <w:rFonts w:eastAsia="Arial" w:cs="Calibri"/>
          <w:szCs w:val="20"/>
        </w:rPr>
        <w:t xml:space="preserve"> </w:t>
      </w:r>
      <w:r w:rsidR="70880373" w:rsidRPr="003A173C">
        <w:rPr>
          <w:rFonts w:eastAsia="Arial" w:cs="Calibri"/>
          <w:szCs w:val="20"/>
        </w:rPr>
        <w:t xml:space="preserve">transition care subsidy a registered provider </w:t>
      </w:r>
      <w:r w:rsidR="009C4720" w:rsidRPr="003A173C">
        <w:rPr>
          <w:rFonts w:eastAsia="Arial" w:cs="Calibri"/>
          <w:szCs w:val="20"/>
        </w:rPr>
        <w:t>can claim</w:t>
      </w:r>
      <w:r w:rsidR="70880373" w:rsidRPr="003A173C">
        <w:rPr>
          <w:rFonts w:eastAsia="Arial" w:cs="Calibri"/>
          <w:szCs w:val="20"/>
        </w:rPr>
        <w:t xml:space="preserve"> on a day</w:t>
      </w:r>
      <w:r w:rsidR="00AE51A6" w:rsidRPr="003A173C">
        <w:rPr>
          <w:rFonts w:eastAsia="Arial" w:cs="Calibri"/>
          <w:szCs w:val="20"/>
        </w:rPr>
        <w:t xml:space="preserve"> can be found </w:t>
      </w:r>
      <w:r w:rsidR="00D925CB" w:rsidRPr="003A173C">
        <w:rPr>
          <w:rFonts w:eastAsia="Arial" w:cs="Calibri"/>
          <w:szCs w:val="20"/>
        </w:rPr>
        <w:t>in</w:t>
      </w:r>
      <w:r w:rsidR="007566A7">
        <w:rPr>
          <w:rFonts w:eastAsia="Arial" w:cs="Calibri"/>
          <w:szCs w:val="20"/>
        </w:rPr>
        <w:t xml:space="preserve"> the</w:t>
      </w:r>
      <w:r w:rsidR="00D925CB" w:rsidRPr="003A173C">
        <w:rPr>
          <w:rFonts w:eastAsia="Arial" w:cs="Calibri"/>
          <w:szCs w:val="20"/>
        </w:rPr>
        <w:t xml:space="preserve"> </w:t>
      </w:r>
      <w:hyperlink r:id="rId26" w:history="1">
        <w:r w:rsidR="007566A7" w:rsidRPr="007566A7">
          <w:rPr>
            <w:rStyle w:val="Hyperlink"/>
            <w:rFonts w:ascii="Calibri" w:eastAsia="Arial" w:hAnsi="Calibri" w:cs="Calibri"/>
            <w:sz w:val="20"/>
            <w:szCs w:val="20"/>
          </w:rPr>
          <w:t>Schedule of Subsidies and Supplements for Residential and Transition Care | Australian Government Department of Health, Disability and Ageing</w:t>
        </w:r>
      </w:hyperlink>
      <w:r w:rsidR="00683041" w:rsidRPr="003A173C">
        <w:rPr>
          <w:rFonts w:eastAsia="Arial" w:cs="Calibri"/>
          <w:szCs w:val="20"/>
        </w:rPr>
        <w:t xml:space="preserve">. </w:t>
      </w:r>
      <w:r w:rsidR="000E6F5E" w:rsidRPr="003A173C">
        <w:rPr>
          <w:rFonts w:eastAsia="Arial" w:cs="Calibri"/>
          <w:szCs w:val="20"/>
        </w:rPr>
        <w:t xml:space="preserve">The rate is subject to change from 1 July each year in line with indexation. </w:t>
      </w:r>
    </w:p>
    <w:p w14:paraId="2BA7CCAC" w14:textId="5354ED6A" w:rsidR="00605BA0" w:rsidRPr="003A173C" w:rsidRDefault="482702BB" w:rsidP="00F453A1">
      <w:pPr>
        <w:rPr>
          <w:rFonts w:cs="Calibri"/>
        </w:rPr>
      </w:pPr>
      <w:r w:rsidRPr="003A173C">
        <w:rPr>
          <w:rFonts w:cs="Calibri"/>
        </w:rPr>
        <w:t>R</w:t>
      </w:r>
      <w:r w:rsidR="2BFA8932" w:rsidRPr="003A173C">
        <w:rPr>
          <w:rFonts w:cs="Calibri"/>
        </w:rPr>
        <w:t>egistered</w:t>
      </w:r>
      <w:r w:rsidR="64D972FC" w:rsidRPr="003A173C">
        <w:rPr>
          <w:rFonts w:cs="Calibri"/>
        </w:rPr>
        <w:t xml:space="preserve"> </w:t>
      </w:r>
      <w:r w:rsidR="20B0B6FB" w:rsidRPr="003A173C">
        <w:rPr>
          <w:rFonts w:cs="Calibri"/>
          <w:snapToGrid w:val="0"/>
        </w:rPr>
        <w:t xml:space="preserve">providers </w:t>
      </w:r>
      <w:r w:rsidR="0088199E" w:rsidRPr="003A173C">
        <w:rPr>
          <w:rFonts w:cs="Calibri"/>
          <w:snapToGrid w:val="0"/>
        </w:rPr>
        <w:t>are also paid</w:t>
      </w:r>
      <w:r w:rsidR="20B0B6FB" w:rsidRPr="003A173C">
        <w:rPr>
          <w:rFonts w:cs="Calibri"/>
          <w:snapToGrid w:val="0"/>
        </w:rPr>
        <w:t xml:space="preserve"> the dementia and veterans’ supplement equivalent amount, in addition to the basic subsidy amount</w:t>
      </w:r>
      <w:r w:rsidR="00040D40" w:rsidRPr="003A173C">
        <w:rPr>
          <w:rFonts w:cs="Calibri"/>
          <w:snapToGrid w:val="0"/>
        </w:rPr>
        <w:t xml:space="preserve">, all of which together make up the total </w:t>
      </w:r>
      <w:r w:rsidR="00791444" w:rsidRPr="003A173C">
        <w:rPr>
          <w:rFonts w:cs="Calibri"/>
          <w:snapToGrid w:val="0"/>
        </w:rPr>
        <w:t xml:space="preserve">Australian </w:t>
      </w:r>
      <w:r w:rsidR="0007070C" w:rsidRPr="003A173C">
        <w:rPr>
          <w:rFonts w:cs="Calibri"/>
          <w:snapToGrid w:val="0"/>
        </w:rPr>
        <w:t>G</w:t>
      </w:r>
      <w:r w:rsidR="00791444" w:rsidRPr="003A173C">
        <w:rPr>
          <w:rFonts w:cs="Calibri"/>
          <w:snapToGrid w:val="0"/>
        </w:rPr>
        <w:t xml:space="preserve">overnment </w:t>
      </w:r>
      <w:r w:rsidR="00040D40" w:rsidRPr="003A173C">
        <w:rPr>
          <w:rFonts w:cs="Calibri"/>
          <w:snapToGrid w:val="0"/>
        </w:rPr>
        <w:t>TCP subsidy amount</w:t>
      </w:r>
      <w:r w:rsidR="20B0B6FB" w:rsidRPr="003A173C">
        <w:rPr>
          <w:rFonts w:cs="Calibri"/>
          <w:snapToGrid w:val="0"/>
        </w:rPr>
        <w:t>. This additional funding is paid in recognition</w:t>
      </w:r>
      <w:r w:rsidR="6ADA994A" w:rsidRPr="003A173C">
        <w:rPr>
          <w:rFonts w:cs="Calibri"/>
          <w:snapToGrid w:val="0"/>
        </w:rPr>
        <w:t xml:space="preserve"> that registered providers </w:t>
      </w:r>
      <w:r w:rsidR="20B0B6FB" w:rsidRPr="003A173C">
        <w:rPr>
          <w:rFonts w:cs="Calibri"/>
          <w:snapToGrid w:val="0"/>
        </w:rPr>
        <w:t>may provide care to veterans with an accepted mental health condition and others with higher care needs associated with dementia.</w:t>
      </w:r>
    </w:p>
    <w:p w14:paraId="3545E092" w14:textId="77777777" w:rsidR="006408D3" w:rsidRDefault="4113B1AE" w:rsidP="00BD3D05">
      <w:pPr>
        <w:rPr>
          <w:rFonts w:cs="Calibri"/>
          <w:snapToGrid w:val="0"/>
        </w:rPr>
      </w:pPr>
      <w:r w:rsidRPr="003A173C">
        <w:rPr>
          <w:rFonts w:cs="Calibri"/>
        </w:rPr>
        <w:t>Th</w:t>
      </w:r>
      <w:r w:rsidR="00090B34" w:rsidRPr="003A173C">
        <w:rPr>
          <w:rFonts w:cs="Calibri"/>
        </w:rPr>
        <w:t>is is complemented by</w:t>
      </w:r>
      <w:r w:rsidRPr="003A173C">
        <w:rPr>
          <w:rFonts w:cs="Calibri"/>
        </w:rPr>
        <w:t xml:space="preserve"> </w:t>
      </w:r>
      <w:r w:rsidR="00F64E94" w:rsidRPr="003A173C">
        <w:rPr>
          <w:rFonts w:cs="Calibri"/>
        </w:rPr>
        <w:t>S</w:t>
      </w:r>
      <w:r w:rsidRPr="003A173C">
        <w:rPr>
          <w:rFonts w:cs="Calibri"/>
        </w:rPr>
        <w:t xml:space="preserve">tate and </w:t>
      </w:r>
      <w:r w:rsidR="00F64E94" w:rsidRPr="003A173C">
        <w:rPr>
          <w:rFonts w:cs="Calibri"/>
        </w:rPr>
        <w:t>T</w:t>
      </w:r>
      <w:r w:rsidRPr="003A173C">
        <w:rPr>
          <w:rFonts w:cs="Calibri"/>
        </w:rPr>
        <w:t>erritory funding contribution</w:t>
      </w:r>
      <w:r w:rsidR="4A6804AC" w:rsidRPr="003A173C">
        <w:rPr>
          <w:rFonts w:cs="Calibri"/>
        </w:rPr>
        <w:t>s</w:t>
      </w:r>
      <w:r w:rsidRPr="003A173C">
        <w:rPr>
          <w:rFonts w:cs="Calibri"/>
        </w:rPr>
        <w:t xml:space="preserve"> </w:t>
      </w:r>
      <w:r w:rsidR="00C26C67" w:rsidRPr="003A173C">
        <w:rPr>
          <w:rFonts w:cs="Calibri"/>
        </w:rPr>
        <w:t xml:space="preserve">which </w:t>
      </w:r>
      <w:r w:rsidR="338B92DC" w:rsidRPr="003A173C">
        <w:rPr>
          <w:rFonts w:cs="Calibri"/>
        </w:rPr>
        <w:t>are</w:t>
      </w:r>
      <w:r w:rsidRPr="003A173C">
        <w:rPr>
          <w:rFonts w:cs="Calibri"/>
        </w:rPr>
        <w:t xml:space="preserve"> </w:t>
      </w:r>
      <w:r w:rsidR="06D29E9D" w:rsidRPr="003A173C">
        <w:rPr>
          <w:rFonts w:cs="Calibri"/>
        </w:rPr>
        <w:t xml:space="preserve">made </w:t>
      </w:r>
      <w:r w:rsidR="58B57CA1" w:rsidRPr="003A173C">
        <w:rPr>
          <w:rFonts w:cs="Calibri"/>
        </w:rPr>
        <w:t>by</w:t>
      </w:r>
      <w:r w:rsidRPr="003A173C">
        <w:rPr>
          <w:rFonts w:cs="Calibri"/>
        </w:rPr>
        <w:t xml:space="preserve"> </w:t>
      </w:r>
      <w:r w:rsidR="00C26C67" w:rsidRPr="003A173C">
        <w:rPr>
          <w:rFonts w:cs="Calibri"/>
        </w:rPr>
        <w:t xml:space="preserve">additional </w:t>
      </w:r>
      <w:r w:rsidRPr="003A173C">
        <w:rPr>
          <w:rFonts w:cs="Calibri"/>
        </w:rPr>
        <w:t>direct funding and</w:t>
      </w:r>
      <w:r w:rsidR="00C26C67" w:rsidRPr="003A173C">
        <w:rPr>
          <w:rFonts w:cs="Calibri"/>
        </w:rPr>
        <w:t>/or</w:t>
      </w:r>
      <w:r w:rsidRPr="003A173C">
        <w:rPr>
          <w:rFonts w:cs="Calibri"/>
        </w:rPr>
        <w:t xml:space="preserve"> in-kind contributions.</w:t>
      </w:r>
      <w:r w:rsidR="006A05FA">
        <w:rPr>
          <w:rFonts w:cs="Calibri"/>
        </w:rPr>
        <w:t xml:space="preserve"> Th</w:t>
      </w:r>
      <w:r w:rsidR="002F6BE0">
        <w:rPr>
          <w:rFonts w:cs="Calibri"/>
        </w:rPr>
        <w:t>e minimum State/Territory</w:t>
      </w:r>
      <w:r w:rsidR="006A05FA">
        <w:rPr>
          <w:rFonts w:cs="Calibri"/>
        </w:rPr>
        <w:t xml:space="preserve"> contribution </w:t>
      </w:r>
      <w:r w:rsidR="002F6BE0">
        <w:rPr>
          <w:rFonts w:cs="Calibri"/>
        </w:rPr>
        <w:t>is</w:t>
      </w:r>
      <w:r w:rsidR="006A05FA">
        <w:rPr>
          <w:rFonts w:cs="Calibri"/>
        </w:rPr>
        <w:t xml:space="preserve"> equivalent </w:t>
      </w:r>
      <w:r w:rsidR="004A55F3">
        <w:rPr>
          <w:rFonts w:cs="Calibri"/>
        </w:rPr>
        <w:t xml:space="preserve">to one third of the </w:t>
      </w:r>
      <w:r w:rsidR="00DA4BED">
        <w:rPr>
          <w:rFonts w:cs="Calibri"/>
        </w:rPr>
        <w:t xml:space="preserve">Australian Government’s </w:t>
      </w:r>
      <w:r w:rsidR="002E47F4">
        <w:rPr>
          <w:rFonts w:cs="Calibri"/>
        </w:rPr>
        <w:t>basic subsidy</w:t>
      </w:r>
      <w:r w:rsidR="001706D3">
        <w:rPr>
          <w:rFonts w:cs="Calibri"/>
        </w:rPr>
        <w:t xml:space="preserve"> contributi</w:t>
      </w:r>
      <w:r w:rsidR="00F311BD">
        <w:rPr>
          <w:rFonts w:cs="Calibri"/>
        </w:rPr>
        <w:t xml:space="preserve">on (excluding the </w:t>
      </w:r>
      <w:r w:rsidR="00F311BD" w:rsidRPr="003A173C">
        <w:rPr>
          <w:rFonts w:cs="Calibri"/>
          <w:snapToGrid w:val="0"/>
        </w:rPr>
        <w:t>dementia and veterans’ supplement equivalent amount</w:t>
      </w:r>
      <w:r w:rsidR="00D342C5">
        <w:rPr>
          <w:rFonts w:cs="Calibri"/>
          <w:snapToGrid w:val="0"/>
        </w:rPr>
        <w:t>)</w:t>
      </w:r>
      <w:r w:rsidR="00B60C55">
        <w:rPr>
          <w:rFonts w:cs="Calibri"/>
          <w:snapToGrid w:val="0"/>
        </w:rPr>
        <w:t>, noting that some jurisdiction</w:t>
      </w:r>
      <w:r w:rsidR="00061691">
        <w:rPr>
          <w:rFonts w:cs="Calibri"/>
          <w:snapToGrid w:val="0"/>
        </w:rPr>
        <w:t>s</w:t>
      </w:r>
      <w:r w:rsidR="00B60C55">
        <w:rPr>
          <w:rFonts w:cs="Calibri"/>
          <w:snapToGrid w:val="0"/>
        </w:rPr>
        <w:t xml:space="preserve"> contribute significantly more tha</w:t>
      </w:r>
      <w:r w:rsidR="00E7218C">
        <w:rPr>
          <w:rFonts w:cs="Calibri"/>
          <w:snapToGrid w:val="0"/>
        </w:rPr>
        <w:t>n this</w:t>
      </w:r>
      <w:r w:rsidR="00D342C5">
        <w:rPr>
          <w:rFonts w:cs="Calibri"/>
          <w:snapToGrid w:val="0"/>
        </w:rPr>
        <w:t>.</w:t>
      </w:r>
    </w:p>
    <w:p w14:paraId="1E91A824" w14:textId="4365D915" w:rsidR="00637209" w:rsidRPr="003A173C" w:rsidRDefault="00637209" w:rsidP="00BD3D05">
      <w:pPr>
        <w:rPr>
          <w:rFonts w:cs="Calibri"/>
        </w:rPr>
      </w:pPr>
      <w:r w:rsidRPr="003A173C">
        <w:rPr>
          <w:rFonts w:cs="Calibri"/>
        </w:rPr>
        <w:lastRenderedPageBreak/>
        <w:t xml:space="preserve">To confirm the </w:t>
      </w:r>
      <w:r w:rsidR="00931641" w:rsidRPr="003A173C">
        <w:rPr>
          <w:rFonts w:cs="Calibri"/>
        </w:rPr>
        <w:t xml:space="preserve">Australian </w:t>
      </w:r>
      <w:r w:rsidR="006F7197" w:rsidRPr="003A173C">
        <w:rPr>
          <w:rFonts w:cs="Calibri"/>
        </w:rPr>
        <w:t>Government</w:t>
      </w:r>
      <w:r w:rsidRPr="003A173C">
        <w:rPr>
          <w:rFonts w:cs="Calibri"/>
        </w:rPr>
        <w:t xml:space="preserve"> and </w:t>
      </w:r>
      <w:r w:rsidR="00F62378" w:rsidRPr="003A173C">
        <w:rPr>
          <w:rFonts w:cs="Calibri"/>
        </w:rPr>
        <w:t>S</w:t>
      </w:r>
      <w:r w:rsidRPr="003A173C">
        <w:rPr>
          <w:rFonts w:cs="Calibri"/>
        </w:rPr>
        <w:t xml:space="preserve">tate and </w:t>
      </w:r>
      <w:r w:rsidR="00F62378" w:rsidRPr="003A173C">
        <w:rPr>
          <w:rFonts w:cs="Calibri"/>
        </w:rPr>
        <w:t>T</w:t>
      </w:r>
      <w:r w:rsidRPr="003A173C">
        <w:rPr>
          <w:rFonts w:cs="Calibri"/>
        </w:rPr>
        <w:t>erritory funding contributions to</w:t>
      </w:r>
      <w:r w:rsidR="00A45564" w:rsidRPr="003A173C">
        <w:rPr>
          <w:rFonts w:cs="Calibri"/>
        </w:rPr>
        <w:t>wards</w:t>
      </w:r>
      <w:r w:rsidRPr="003A173C">
        <w:rPr>
          <w:rFonts w:cs="Calibri"/>
        </w:rPr>
        <w:t xml:space="preserve"> the program annually, there is an exchange of formal correspondence between the </w:t>
      </w:r>
      <w:r w:rsidR="00213A7B" w:rsidRPr="003A173C">
        <w:rPr>
          <w:rFonts w:cs="Calibri"/>
        </w:rPr>
        <w:t>S</w:t>
      </w:r>
      <w:r w:rsidRPr="003A173C">
        <w:rPr>
          <w:rFonts w:cs="Calibri"/>
        </w:rPr>
        <w:t xml:space="preserve">tate and </w:t>
      </w:r>
      <w:r w:rsidR="00213A7B" w:rsidRPr="003A173C">
        <w:rPr>
          <w:rFonts w:cs="Calibri"/>
        </w:rPr>
        <w:t>T</w:t>
      </w:r>
      <w:r w:rsidRPr="003A173C">
        <w:rPr>
          <w:rFonts w:cs="Calibri"/>
        </w:rPr>
        <w:t xml:space="preserve">erritory </w:t>
      </w:r>
      <w:r w:rsidR="00A45564" w:rsidRPr="003A173C">
        <w:rPr>
          <w:rFonts w:cs="Calibri"/>
        </w:rPr>
        <w:t>g</w:t>
      </w:r>
      <w:r w:rsidRPr="003A173C">
        <w:rPr>
          <w:rFonts w:cs="Calibri"/>
        </w:rPr>
        <w:t>overnments’</w:t>
      </w:r>
      <w:r w:rsidR="008A77D6" w:rsidRPr="003A173C">
        <w:rPr>
          <w:rFonts w:cs="Calibri"/>
        </w:rPr>
        <w:t xml:space="preserve"> representatives</w:t>
      </w:r>
      <w:r w:rsidRPr="003A173C">
        <w:rPr>
          <w:rFonts w:cs="Calibri"/>
        </w:rPr>
        <w:t xml:space="preserve"> and the </w:t>
      </w:r>
      <w:r w:rsidR="00931641" w:rsidRPr="003A173C">
        <w:rPr>
          <w:rFonts w:cs="Calibri"/>
        </w:rPr>
        <w:t xml:space="preserve">Australian </w:t>
      </w:r>
      <w:r w:rsidRPr="003A173C">
        <w:rPr>
          <w:rFonts w:cs="Calibri"/>
        </w:rPr>
        <w:t xml:space="preserve">Government’s representative. This is an opportunity to recognise </w:t>
      </w:r>
      <w:r w:rsidR="00A45564" w:rsidRPr="003A173C">
        <w:rPr>
          <w:rFonts w:cs="Calibri"/>
        </w:rPr>
        <w:t>each party’s</w:t>
      </w:r>
      <w:r w:rsidRPr="003A173C">
        <w:rPr>
          <w:rFonts w:cs="Calibri"/>
        </w:rPr>
        <w:t xml:space="preserve"> funding contributions that will go to delivering the program in each jurisdiction</w:t>
      </w:r>
      <w:r w:rsidR="002E0545" w:rsidRPr="003A173C">
        <w:rPr>
          <w:rFonts w:cs="Calibri"/>
        </w:rPr>
        <w:t>,</w:t>
      </w:r>
      <w:r w:rsidR="0090399A" w:rsidRPr="003A173C">
        <w:rPr>
          <w:rFonts w:cs="Calibri"/>
        </w:rPr>
        <w:t xml:space="preserve"> taking into consideration annual increases in the </w:t>
      </w:r>
      <w:r w:rsidR="00931641" w:rsidRPr="003A173C">
        <w:rPr>
          <w:rFonts w:cs="Calibri"/>
        </w:rPr>
        <w:t>Australian</w:t>
      </w:r>
      <w:r w:rsidR="006F7197" w:rsidRPr="003A173C">
        <w:rPr>
          <w:rFonts w:cs="Calibri"/>
        </w:rPr>
        <w:t xml:space="preserve"> Government</w:t>
      </w:r>
      <w:r w:rsidR="0090399A" w:rsidRPr="003A173C">
        <w:rPr>
          <w:rFonts w:cs="Calibri"/>
        </w:rPr>
        <w:t xml:space="preserve"> subsidy rate in line with indexation. The relative proportion of </w:t>
      </w:r>
      <w:r w:rsidR="00931641" w:rsidRPr="003A173C">
        <w:rPr>
          <w:rFonts w:cs="Calibri"/>
        </w:rPr>
        <w:t>Australian</w:t>
      </w:r>
      <w:r w:rsidR="006F7197" w:rsidRPr="003A173C">
        <w:rPr>
          <w:rFonts w:cs="Calibri"/>
        </w:rPr>
        <w:t xml:space="preserve"> Government</w:t>
      </w:r>
      <w:r w:rsidR="00931641" w:rsidRPr="003A173C">
        <w:rPr>
          <w:rFonts w:cs="Calibri"/>
        </w:rPr>
        <w:t xml:space="preserve"> </w:t>
      </w:r>
      <w:r w:rsidR="0090399A" w:rsidRPr="003A173C">
        <w:rPr>
          <w:rFonts w:cs="Calibri"/>
        </w:rPr>
        <w:t>and</w:t>
      </w:r>
      <w:r w:rsidR="002E0545" w:rsidRPr="003A173C">
        <w:rPr>
          <w:rFonts w:cs="Calibri"/>
        </w:rPr>
        <w:t xml:space="preserve"> </w:t>
      </w:r>
      <w:r w:rsidR="00F64E94" w:rsidRPr="003A173C">
        <w:rPr>
          <w:rFonts w:cs="Calibri"/>
        </w:rPr>
        <w:t>S</w:t>
      </w:r>
      <w:r w:rsidR="0090399A" w:rsidRPr="003A173C">
        <w:rPr>
          <w:rFonts w:cs="Calibri"/>
        </w:rPr>
        <w:t>tate</w:t>
      </w:r>
      <w:r w:rsidR="00AC6F9C" w:rsidRPr="003A173C">
        <w:rPr>
          <w:rFonts w:cs="Calibri"/>
        </w:rPr>
        <w:t>/</w:t>
      </w:r>
      <w:r w:rsidR="00F64E94" w:rsidRPr="003A173C">
        <w:rPr>
          <w:rFonts w:cs="Calibri"/>
        </w:rPr>
        <w:t>T</w:t>
      </w:r>
      <w:r w:rsidR="00AC6F9C" w:rsidRPr="003A173C">
        <w:rPr>
          <w:rFonts w:cs="Calibri"/>
        </w:rPr>
        <w:t>erritory funding towards the program are specified in the</w:t>
      </w:r>
      <w:r w:rsidRPr="003A173C">
        <w:rPr>
          <w:rFonts w:cs="Calibri"/>
        </w:rPr>
        <w:t xml:space="preserve"> </w:t>
      </w:r>
      <w:r w:rsidR="002E0545" w:rsidRPr="003A173C">
        <w:rPr>
          <w:rFonts w:cs="Calibri"/>
        </w:rPr>
        <w:t>TCP</w:t>
      </w:r>
      <w:r w:rsidRPr="003A173C">
        <w:rPr>
          <w:rFonts w:cs="Calibri"/>
        </w:rPr>
        <w:t xml:space="preserve"> Agreement. </w:t>
      </w:r>
    </w:p>
    <w:p w14:paraId="16372580" w14:textId="36382C65" w:rsidR="0045060A" w:rsidRPr="003A173C" w:rsidRDefault="00936E96" w:rsidP="00F453A1">
      <w:pPr>
        <w:rPr>
          <w:rFonts w:cs="Calibri"/>
          <w:snapToGrid w:val="0"/>
        </w:rPr>
      </w:pPr>
      <w:r w:rsidRPr="003A173C">
        <w:rPr>
          <w:rFonts w:cs="Calibri"/>
          <w:snapToGrid w:val="0"/>
        </w:rPr>
        <w:t>Registered</w:t>
      </w:r>
      <w:r w:rsidR="6BA435F8" w:rsidRPr="003A173C">
        <w:rPr>
          <w:rFonts w:cs="Calibri"/>
          <w:snapToGrid w:val="0"/>
        </w:rPr>
        <w:t xml:space="preserve"> providers may </w:t>
      </w:r>
      <w:r w:rsidR="002E0545" w:rsidRPr="003A173C">
        <w:rPr>
          <w:rFonts w:cs="Calibri"/>
          <w:snapToGrid w:val="0"/>
        </w:rPr>
        <w:t xml:space="preserve">also </w:t>
      </w:r>
      <w:r w:rsidR="6BA435F8" w:rsidRPr="003A173C">
        <w:rPr>
          <w:rFonts w:cs="Calibri"/>
          <w:snapToGrid w:val="0"/>
        </w:rPr>
        <w:t xml:space="preserve">request fees from </w:t>
      </w:r>
      <w:r w:rsidR="00E16A2C" w:rsidRPr="003A173C">
        <w:rPr>
          <w:rFonts w:cs="Calibri"/>
          <w:snapToGrid w:val="0"/>
        </w:rPr>
        <w:t>individual</w:t>
      </w:r>
      <w:r w:rsidR="6BA435F8" w:rsidRPr="003A173C">
        <w:rPr>
          <w:rFonts w:cs="Calibri"/>
          <w:snapToGrid w:val="0"/>
        </w:rPr>
        <w:t xml:space="preserve">s </w:t>
      </w:r>
      <w:r w:rsidR="11FF76FB" w:rsidRPr="003A173C">
        <w:rPr>
          <w:rFonts w:cs="Calibri"/>
          <w:snapToGrid w:val="0"/>
        </w:rPr>
        <w:t xml:space="preserve">who are </w:t>
      </w:r>
      <w:r w:rsidR="4113B1AE" w:rsidRPr="003A173C">
        <w:rPr>
          <w:rFonts w:cs="Calibri"/>
          <w:snapToGrid w:val="0"/>
        </w:rPr>
        <w:t>able to contribute to the cost of their care (see also section</w:t>
      </w:r>
      <w:r w:rsidR="406E277A" w:rsidRPr="003A173C">
        <w:rPr>
          <w:rFonts w:cs="Calibri"/>
          <w:snapToGrid w:val="0"/>
        </w:rPr>
        <w:t>s</w:t>
      </w:r>
      <w:r w:rsidR="4113B1AE" w:rsidRPr="003A173C">
        <w:rPr>
          <w:rFonts w:cs="Calibri"/>
          <w:snapToGrid w:val="0"/>
        </w:rPr>
        <w:t xml:space="preserve"> </w:t>
      </w:r>
      <w:r w:rsidR="6197C48A" w:rsidRPr="003A173C">
        <w:rPr>
          <w:rFonts w:cs="Calibri"/>
          <w:i/>
          <w:iCs/>
          <w:snapToGrid w:val="0"/>
        </w:rPr>
        <w:t>5</w:t>
      </w:r>
      <w:r w:rsidR="4113B1AE" w:rsidRPr="003A173C">
        <w:rPr>
          <w:rFonts w:cs="Calibri"/>
          <w:i/>
          <w:iCs/>
          <w:snapToGrid w:val="0"/>
        </w:rPr>
        <w:t>.</w:t>
      </w:r>
      <w:r w:rsidR="00BB6329">
        <w:rPr>
          <w:rFonts w:cs="Calibri"/>
          <w:i/>
          <w:iCs/>
          <w:snapToGrid w:val="0"/>
        </w:rPr>
        <w:t>7</w:t>
      </w:r>
      <w:r w:rsidR="4113B1AE" w:rsidRPr="003A173C">
        <w:rPr>
          <w:rFonts w:cs="Calibri"/>
          <w:i/>
          <w:iCs/>
          <w:snapToGrid w:val="0"/>
        </w:rPr>
        <w:t xml:space="preserve"> Fees payable by </w:t>
      </w:r>
      <w:r w:rsidR="00E16A2C" w:rsidRPr="003A173C">
        <w:rPr>
          <w:rFonts w:cs="Calibri"/>
          <w:i/>
          <w:iCs/>
          <w:snapToGrid w:val="0"/>
        </w:rPr>
        <w:t>individual</w:t>
      </w:r>
      <w:r w:rsidR="4113B1AE" w:rsidRPr="003A173C">
        <w:rPr>
          <w:rFonts w:cs="Calibri"/>
          <w:i/>
          <w:iCs/>
          <w:snapToGrid w:val="0"/>
        </w:rPr>
        <w:t>s</w:t>
      </w:r>
      <w:r w:rsidR="4113B1AE" w:rsidRPr="003A173C">
        <w:rPr>
          <w:rFonts w:cs="Calibri"/>
          <w:snapToGrid w:val="0"/>
        </w:rPr>
        <w:t>).</w:t>
      </w:r>
    </w:p>
    <w:p w14:paraId="6E9BD6C1" w14:textId="5B39718C" w:rsidR="72E7C879" w:rsidRPr="003A173C" w:rsidRDefault="72E7C879" w:rsidP="00E32452">
      <w:pPr>
        <w:pStyle w:val="Heading2"/>
        <w:rPr>
          <w:rFonts w:ascii="Calibri" w:hAnsi="Calibri" w:cs="Calibri"/>
        </w:rPr>
      </w:pPr>
      <w:bookmarkStart w:id="419" w:name="_Toc216865451"/>
      <w:r w:rsidRPr="003A173C">
        <w:rPr>
          <w:rFonts w:ascii="Calibri" w:hAnsi="Calibri" w:cs="Calibri"/>
        </w:rPr>
        <w:t>Management of the Transition Care Program</w:t>
      </w:r>
      <w:bookmarkEnd w:id="419"/>
    </w:p>
    <w:p w14:paraId="7D212F04" w14:textId="3DED38AC" w:rsidR="20D8D0C8" w:rsidRPr="003A173C" w:rsidRDefault="20D8D0C8" w:rsidP="1CBD4533">
      <w:pPr>
        <w:spacing w:before="0" w:after="60"/>
        <w:rPr>
          <w:rFonts w:cs="Calibri"/>
        </w:rPr>
      </w:pPr>
      <w:r w:rsidRPr="003A173C">
        <w:rPr>
          <w:rFonts w:cs="Calibri"/>
        </w:rPr>
        <w:t xml:space="preserve">The </w:t>
      </w:r>
      <w:r w:rsidR="00824A16" w:rsidRPr="003A173C">
        <w:rPr>
          <w:rFonts w:cs="Calibri"/>
        </w:rPr>
        <w:t>S</w:t>
      </w:r>
      <w:r w:rsidR="006920DB" w:rsidRPr="003A173C">
        <w:rPr>
          <w:rFonts w:cs="Calibri"/>
        </w:rPr>
        <w:t xml:space="preserve">tate and </w:t>
      </w:r>
      <w:r w:rsidR="00284A12" w:rsidRPr="003A173C">
        <w:rPr>
          <w:rFonts w:cs="Calibri"/>
        </w:rPr>
        <w:t>T</w:t>
      </w:r>
      <w:r w:rsidR="006920DB" w:rsidRPr="003A173C">
        <w:rPr>
          <w:rFonts w:cs="Calibri"/>
        </w:rPr>
        <w:t>erritory governments are</w:t>
      </w:r>
      <w:r w:rsidR="55D92309" w:rsidRPr="003A173C">
        <w:rPr>
          <w:rFonts w:cs="Calibri"/>
        </w:rPr>
        <w:t xml:space="preserve"> </w:t>
      </w:r>
      <w:r w:rsidRPr="003A173C">
        <w:rPr>
          <w:rFonts w:cs="Calibri"/>
        </w:rPr>
        <w:t>responsible for planning the model of transition care service delivery based on local needs. Where appropriate, the Department is to be consulted as part of this process.</w:t>
      </w:r>
    </w:p>
    <w:p w14:paraId="2F809419" w14:textId="565996AB" w:rsidR="000D7DB6" w:rsidRPr="003A173C" w:rsidRDefault="000D7DB6" w:rsidP="1CBD4533">
      <w:pPr>
        <w:spacing w:before="0" w:after="60"/>
        <w:rPr>
          <w:rFonts w:cs="Calibri"/>
        </w:rPr>
      </w:pPr>
      <w:r w:rsidRPr="003A173C">
        <w:rPr>
          <w:rFonts w:cs="Calibri"/>
        </w:rPr>
        <w:t xml:space="preserve">States and Territories should enter into </w:t>
      </w:r>
      <w:r w:rsidR="00D56C3B" w:rsidRPr="003A173C">
        <w:rPr>
          <w:rFonts w:cs="Calibri"/>
        </w:rPr>
        <w:t xml:space="preserve">appropriate </w:t>
      </w:r>
      <w:r w:rsidR="00263491" w:rsidRPr="003A173C">
        <w:rPr>
          <w:rFonts w:cs="Calibri"/>
        </w:rPr>
        <w:t>arrangements/</w:t>
      </w:r>
      <w:r w:rsidRPr="003A173C">
        <w:rPr>
          <w:rFonts w:cs="Calibri"/>
        </w:rPr>
        <w:t xml:space="preserve">agreements on the management of </w:t>
      </w:r>
      <w:r w:rsidR="001E788B" w:rsidRPr="003A173C">
        <w:rPr>
          <w:rFonts w:cs="Calibri"/>
        </w:rPr>
        <w:t>TCP service provision with their nominated registered provider/s.</w:t>
      </w:r>
    </w:p>
    <w:p w14:paraId="4C1CACC6" w14:textId="4955BF90" w:rsidR="000079C7" w:rsidRPr="003A173C" w:rsidRDefault="000079C7" w:rsidP="000079C7">
      <w:pPr>
        <w:rPr>
          <w:rFonts w:cs="Calibri"/>
        </w:rPr>
      </w:pPr>
      <w:r w:rsidRPr="003A173C">
        <w:rPr>
          <w:rFonts w:cs="Calibri"/>
        </w:rPr>
        <w:t xml:space="preserve">Registered providers of transition care in each jurisdiction are responsible for ensuring they and any associate providers comply with the provisions of the TCP legislation and TCP Agreement. </w:t>
      </w:r>
    </w:p>
    <w:p w14:paraId="095FF856" w14:textId="0D715FB3" w:rsidR="00605BA0" w:rsidRPr="003A173C" w:rsidRDefault="4113B1AE">
      <w:pPr>
        <w:rPr>
          <w:rFonts w:cs="Calibri"/>
        </w:rPr>
      </w:pPr>
      <w:r w:rsidRPr="003A173C">
        <w:rPr>
          <w:rFonts w:cs="Calibri"/>
        </w:rPr>
        <w:t xml:space="preserve">To meet their responsibilities, </w:t>
      </w:r>
      <w:r w:rsidR="227BE20F" w:rsidRPr="003A173C">
        <w:rPr>
          <w:rFonts w:cs="Calibri"/>
        </w:rPr>
        <w:t xml:space="preserve">registered </w:t>
      </w:r>
      <w:r w:rsidRPr="003A173C">
        <w:rPr>
          <w:rFonts w:cs="Calibri"/>
        </w:rPr>
        <w:t xml:space="preserve">providers should </w:t>
      </w:r>
      <w:r w:rsidR="003F303A" w:rsidRPr="003A173C">
        <w:rPr>
          <w:rFonts w:cs="Calibri"/>
        </w:rPr>
        <w:t>enter into</w:t>
      </w:r>
      <w:r w:rsidRPr="003A173C">
        <w:rPr>
          <w:rFonts w:cs="Calibri"/>
        </w:rPr>
        <w:t xml:space="preserve"> agreements with</w:t>
      </w:r>
      <w:r w:rsidR="1E2B395E" w:rsidRPr="003A173C">
        <w:rPr>
          <w:rFonts w:cs="Calibri"/>
        </w:rPr>
        <w:t xml:space="preserve"> any associated providers </w:t>
      </w:r>
      <w:r w:rsidRPr="003A173C">
        <w:rPr>
          <w:rFonts w:cs="Calibri"/>
        </w:rPr>
        <w:t xml:space="preserve">that mirror the relevant requirements of the </w:t>
      </w:r>
      <w:r w:rsidR="03F848A1" w:rsidRPr="003A173C">
        <w:rPr>
          <w:rFonts w:cs="Calibri"/>
        </w:rPr>
        <w:t>TCP Ag</w:t>
      </w:r>
      <w:r w:rsidRPr="003A173C">
        <w:rPr>
          <w:rFonts w:cs="Calibri"/>
        </w:rPr>
        <w:t>reement</w:t>
      </w:r>
      <w:r w:rsidR="00CC5FEC" w:rsidRPr="003A173C">
        <w:rPr>
          <w:rFonts w:cs="Calibri"/>
        </w:rPr>
        <w:t xml:space="preserve"> and/or </w:t>
      </w:r>
      <w:r w:rsidR="008F251B" w:rsidRPr="003A173C">
        <w:rPr>
          <w:rFonts w:cs="Calibri"/>
        </w:rPr>
        <w:t>other appropriate arrangements in place with the State or Territory Governments</w:t>
      </w:r>
      <w:r w:rsidRPr="003A173C">
        <w:rPr>
          <w:rFonts w:cs="Calibri"/>
        </w:rPr>
        <w:t>, including compliance with these guidelines.</w:t>
      </w:r>
    </w:p>
    <w:p w14:paraId="61604A86" w14:textId="5B08DDC8" w:rsidR="00C73AE4" w:rsidRPr="003A173C" w:rsidRDefault="1419BC3A">
      <w:pPr>
        <w:rPr>
          <w:rFonts w:cs="Calibri"/>
        </w:rPr>
      </w:pPr>
      <w:r w:rsidRPr="003A173C">
        <w:rPr>
          <w:rFonts w:cs="Calibri"/>
        </w:rPr>
        <w:t xml:space="preserve">Registered providers </w:t>
      </w:r>
      <w:r w:rsidR="00FA4311" w:rsidRPr="003A173C">
        <w:rPr>
          <w:rFonts w:cs="Calibri"/>
        </w:rPr>
        <w:t xml:space="preserve">delivering TCP services in both a home/community setting and/or residential care setting </w:t>
      </w:r>
      <w:r w:rsidRPr="003A173C">
        <w:rPr>
          <w:rFonts w:cs="Calibri"/>
        </w:rPr>
        <w:t xml:space="preserve">will be </w:t>
      </w:r>
      <w:r w:rsidR="4BBC7B99" w:rsidRPr="003A173C">
        <w:rPr>
          <w:rFonts w:cs="Calibri"/>
        </w:rPr>
        <w:t>required</w:t>
      </w:r>
      <w:r w:rsidRPr="003A173C">
        <w:rPr>
          <w:rFonts w:cs="Calibri"/>
        </w:rPr>
        <w:t xml:space="preserve"> to enter into a </w:t>
      </w:r>
      <w:r w:rsidR="00C84754" w:rsidRPr="003A173C">
        <w:rPr>
          <w:rFonts w:cs="Calibri"/>
        </w:rPr>
        <w:t>Client S</w:t>
      </w:r>
      <w:r w:rsidR="20424E7A" w:rsidRPr="003A173C">
        <w:rPr>
          <w:rFonts w:cs="Calibri"/>
        </w:rPr>
        <w:t xml:space="preserve">ervice </w:t>
      </w:r>
      <w:r w:rsidR="00C84754" w:rsidRPr="003A173C">
        <w:rPr>
          <w:rFonts w:cs="Calibri"/>
        </w:rPr>
        <w:t>A</w:t>
      </w:r>
      <w:r w:rsidR="20424E7A" w:rsidRPr="003A173C">
        <w:rPr>
          <w:rFonts w:cs="Calibri"/>
        </w:rPr>
        <w:t>greement</w:t>
      </w:r>
      <w:r w:rsidR="00820625" w:rsidRPr="003A173C">
        <w:rPr>
          <w:rFonts w:cs="Calibri"/>
        </w:rPr>
        <w:t xml:space="preserve"> (</w:t>
      </w:r>
      <w:r w:rsidR="00820625" w:rsidRPr="003A173C">
        <w:rPr>
          <w:rFonts w:cs="Calibri"/>
          <w:b/>
          <w:bCs/>
        </w:rPr>
        <w:t>service agreement</w:t>
      </w:r>
      <w:r w:rsidR="00820625" w:rsidRPr="003A173C">
        <w:rPr>
          <w:rFonts w:cs="Calibri"/>
        </w:rPr>
        <w:t>)</w:t>
      </w:r>
      <w:r w:rsidR="20424E7A" w:rsidRPr="003A173C">
        <w:rPr>
          <w:rFonts w:cs="Calibri"/>
        </w:rPr>
        <w:t xml:space="preserve"> </w:t>
      </w:r>
      <w:r w:rsidR="7B7B72AC" w:rsidRPr="003A173C">
        <w:rPr>
          <w:rFonts w:cs="Calibri"/>
        </w:rPr>
        <w:t>with each TCP client</w:t>
      </w:r>
      <w:r w:rsidR="00FA4311" w:rsidRPr="003A173C">
        <w:rPr>
          <w:rFonts w:cs="Calibri"/>
        </w:rPr>
        <w:t>.</w:t>
      </w:r>
      <w:r w:rsidR="001376AA" w:rsidRPr="003A173C">
        <w:rPr>
          <w:rFonts w:cs="Calibri"/>
        </w:rPr>
        <w:t xml:space="preserve"> The service agreement will set out</w:t>
      </w:r>
      <w:r w:rsidR="008B713B">
        <w:rPr>
          <w:rFonts w:cs="Calibri"/>
        </w:rPr>
        <w:t xml:space="preserve"> key service information including</w:t>
      </w:r>
      <w:r w:rsidR="00CB22A0" w:rsidRPr="003A173C">
        <w:rPr>
          <w:rFonts w:cs="Calibri"/>
        </w:rPr>
        <w:t xml:space="preserve"> the care and ser</w:t>
      </w:r>
      <w:r w:rsidR="7B7B72AC" w:rsidRPr="003A173C">
        <w:rPr>
          <w:rFonts w:cs="Calibri"/>
        </w:rPr>
        <w:t xml:space="preserve">vices the client will receive. </w:t>
      </w:r>
      <w:r w:rsidR="0071153E" w:rsidRPr="003A173C">
        <w:rPr>
          <w:rFonts w:cs="Calibri"/>
        </w:rPr>
        <w:t>For e</w:t>
      </w:r>
      <w:r w:rsidR="008268B9" w:rsidRPr="003A173C">
        <w:rPr>
          <w:rFonts w:cs="Calibri"/>
        </w:rPr>
        <w:t>xisting</w:t>
      </w:r>
      <w:r w:rsidR="00810B76" w:rsidRPr="003A173C">
        <w:rPr>
          <w:rFonts w:cs="Calibri"/>
        </w:rPr>
        <w:t xml:space="preserve"> TCP clients </w:t>
      </w:r>
      <w:r w:rsidR="008268B9" w:rsidRPr="003A173C">
        <w:rPr>
          <w:rFonts w:cs="Calibri"/>
        </w:rPr>
        <w:t xml:space="preserve">as at 31 October 2025, </w:t>
      </w:r>
      <w:r w:rsidR="0071153E" w:rsidRPr="003A173C">
        <w:rPr>
          <w:rFonts w:cs="Calibri"/>
        </w:rPr>
        <w:t>the</w:t>
      </w:r>
      <w:r w:rsidR="00D577A0">
        <w:rPr>
          <w:rFonts w:cs="Calibri"/>
        </w:rPr>
        <w:t>ir</w:t>
      </w:r>
      <w:r w:rsidR="0071153E" w:rsidRPr="003A173C">
        <w:rPr>
          <w:rFonts w:cs="Calibri"/>
        </w:rPr>
        <w:t xml:space="preserve"> </w:t>
      </w:r>
      <w:r w:rsidR="00D577A0">
        <w:rPr>
          <w:rFonts w:cs="Calibri"/>
        </w:rPr>
        <w:t xml:space="preserve">existing </w:t>
      </w:r>
      <w:r w:rsidR="0071153E" w:rsidRPr="003A173C">
        <w:rPr>
          <w:rFonts w:cs="Calibri"/>
        </w:rPr>
        <w:t>agreements will be automatically deemed over under the new Act</w:t>
      </w:r>
      <w:r w:rsidR="00F7626D" w:rsidRPr="003A173C">
        <w:rPr>
          <w:rFonts w:cs="Calibri"/>
        </w:rPr>
        <w:t>.</w:t>
      </w:r>
      <w:r w:rsidR="008268B9" w:rsidRPr="003A173C">
        <w:rPr>
          <w:rFonts w:cs="Calibri"/>
        </w:rPr>
        <w:t xml:space="preserve"> </w:t>
      </w:r>
      <w:r w:rsidR="00CB22A0" w:rsidRPr="003A173C">
        <w:rPr>
          <w:rFonts w:cs="Calibri"/>
        </w:rPr>
        <w:t xml:space="preserve">See Chapter </w:t>
      </w:r>
      <w:r w:rsidR="00392E5C" w:rsidRPr="003A173C">
        <w:rPr>
          <w:rFonts w:cs="Calibri"/>
        </w:rPr>
        <w:t>3,</w:t>
      </w:r>
      <w:r w:rsidR="00B463AD" w:rsidRPr="003A173C">
        <w:rPr>
          <w:rFonts w:cs="Calibri"/>
        </w:rPr>
        <w:t xml:space="preserve"> s</w:t>
      </w:r>
      <w:r w:rsidR="00392E5C" w:rsidRPr="003A173C">
        <w:rPr>
          <w:rFonts w:cs="Calibri"/>
        </w:rPr>
        <w:t xml:space="preserve">ection 3.1 for a summary of the different service types TCP clients will receive from the Aged Care Service </w:t>
      </w:r>
      <w:r w:rsidR="00B463AD" w:rsidRPr="003A173C">
        <w:rPr>
          <w:rFonts w:cs="Calibri"/>
        </w:rPr>
        <w:t>L</w:t>
      </w:r>
      <w:r w:rsidR="00392E5C" w:rsidRPr="003A173C">
        <w:rPr>
          <w:rFonts w:cs="Calibri"/>
        </w:rPr>
        <w:t xml:space="preserve">ist (as at </w:t>
      </w:r>
      <w:r w:rsidR="00392E5C" w:rsidRPr="003A173C">
        <w:rPr>
          <w:rFonts w:cs="Calibri"/>
          <w:i/>
          <w:iCs/>
        </w:rPr>
        <w:t>Attachment A</w:t>
      </w:r>
      <w:r w:rsidR="00392E5C" w:rsidRPr="003A173C">
        <w:rPr>
          <w:rFonts w:cs="Calibri"/>
        </w:rPr>
        <w:t>)</w:t>
      </w:r>
      <w:r w:rsidR="000D517F" w:rsidRPr="003A173C">
        <w:rPr>
          <w:rFonts w:cs="Calibri"/>
        </w:rPr>
        <w:t xml:space="preserve">, in a home/community care setting and residential care setting. </w:t>
      </w:r>
    </w:p>
    <w:p w14:paraId="7F68AC28" w14:textId="72CB4F80" w:rsidR="00605BA0" w:rsidRPr="003A173C" w:rsidRDefault="00605BA0" w:rsidP="00605BA0">
      <w:pPr>
        <w:pStyle w:val="Heading2"/>
        <w:rPr>
          <w:rFonts w:ascii="Calibri" w:hAnsi="Calibri" w:cs="Calibri"/>
        </w:rPr>
      </w:pPr>
      <w:bookmarkStart w:id="420" w:name="_Toc202452007"/>
      <w:bookmarkStart w:id="421" w:name="_Toc203056991"/>
      <w:bookmarkStart w:id="422" w:name="_Toc203117221"/>
      <w:bookmarkStart w:id="423" w:name="_Toc203379286"/>
      <w:bookmarkStart w:id="424" w:name="_Toc205369413"/>
      <w:bookmarkStart w:id="425" w:name="_Toc205374365"/>
      <w:bookmarkStart w:id="426" w:name="_Toc205374513"/>
      <w:bookmarkStart w:id="427" w:name="_Toc205378226"/>
      <w:bookmarkStart w:id="428" w:name="_Toc205378460"/>
      <w:bookmarkStart w:id="429" w:name="_Toc205378694"/>
      <w:bookmarkStart w:id="430" w:name="_Toc205378927"/>
      <w:bookmarkStart w:id="431" w:name="_Toc205379160"/>
      <w:bookmarkStart w:id="432" w:name="_Toc205379393"/>
      <w:bookmarkStart w:id="433" w:name="_Toc205379618"/>
      <w:bookmarkStart w:id="434" w:name="_Toc205379842"/>
      <w:bookmarkStart w:id="435" w:name="_Toc205395300"/>
      <w:bookmarkStart w:id="436" w:name="_Toc205396094"/>
      <w:bookmarkStart w:id="437" w:name="_Toc205397625"/>
      <w:bookmarkStart w:id="438" w:name="_Toc205397850"/>
      <w:bookmarkStart w:id="439" w:name="_Toc205468476"/>
      <w:bookmarkStart w:id="440" w:name="_Toc205468935"/>
      <w:bookmarkStart w:id="441" w:name="_Toc205479727"/>
      <w:bookmarkStart w:id="442" w:name="_Toc205560800"/>
      <w:bookmarkStart w:id="443" w:name="_Toc205561025"/>
      <w:bookmarkStart w:id="444" w:name="_Toc205819077"/>
      <w:bookmarkStart w:id="445" w:name="_Toc205890625"/>
      <w:bookmarkStart w:id="446" w:name="_Toc205890765"/>
      <w:bookmarkStart w:id="447" w:name="_Toc205891975"/>
      <w:bookmarkStart w:id="448" w:name="_Toc205897132"/>
      <w:bookmarkStart w:id="449" w:name="_Toc205906015"/>
      <w:bookmarkStart w:id="450" w:name="_Toc205909153"/>
      <w:bookmarkStart w:id="451" w:name="_Toc205909646"/>
      <w:bookmarkStart w:id="452" w:name="_Toc205909952"/>
      <w:bookmarkStart w:id="453" w:name="_Toc205974461"/>
      <w:bookmarkStart w:id="454" w:name="_Toc205974601"/>
      <w:bookmarkStart w:id="455" w:name="_Toc205974741"/>
      <w:bookmarkStart w:id="456" w:name="_Toc205999040"/>
      <w:bookmarkStart w:id="457" w:name="_Toc206001349"/>
      <w:bookmarkStart w:id="458" w:name="_Toc206001491"/>
      <w:bookmarkStart w:id="459" w:name="_Toc206001632"/>
      <w:bookmarkStart w:id="460" w:name="_Toc206001774"/>
      <w:bookmarkStart w:id="461" w:name="_Toc206003696"/>
      <w:bookmarkStart w:id="462" w:name="_Toc206006184"/>
      <w:bookmarkStart w:id="463" w:name="_Toc206006505"/>
      <w:bookmarkStart w:id="464" w:name="_Toc206006646"/>
      <w:bookmarkStart w:id="465" w:name="_Toc206059521"/>
      <w:bookmarkStart w:id="466" w:name="_Toc206084438"/>
      <w:bookmarkStart w:id="467" w:name="_Toc206143886"/>
      <w:bookmarkStart w:id="468" w:name="_Toc206153574"/>
      <w:bookmarkStart w:id="469" w:name="_Toc206155623"/>
      <w:bookmarkStart w:id="470" w:name="_Toc206155764"/>
      <w:bookmarkStart w:id="471" w:name="_Toc206156970"/>
      <w:bookmarkStart w:id="472" w:name="_Toc206157190"/>
      <w:bookmarkStart w:id="473" w:name="_Toc245536160"/>
      <w:bookmarkStart w:id="474" w:name="_Toc395537166"/>
      <w:bookmarkStart w:id="475" w:name="_Toc422732524"/>
      <w:bookmarkStart w:id="476" w:name="_Toc422752864"/>
      <w:bookmarkStart w:id="477" w:name="_Toc216865452"/>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r w:rsidRPr="003A173C">
        <w:rPr>
          <w:rFonts w:ascii="Calibri" w:hAnsi="Calibri" w:cs="Calibri"/>
        </w:rPr>
        <w:t xml:space="preserve">Relevant </w:t>
      </w:r>
      <w:r w:rsidR="00126FAE" w:rsidRPr="003A173C">
        <w:rPr>
          <w:rFonts w:ascii="Calibri" w:hAnsi="Calibri" w:cs="Calibri"/>
        </w:rPr>
        <w:t>l</w:t>
      </w:r>
      <w:r w:rsidRPr="003A173C">
        <w:rPr>
          <w:rFonts w:ascii="Calibri" w:hAnsi="Calibri" w:cs="Calibri"/>
        </w:rPr>
        <w:t>egislation</w:t>
      </w:r>
      <w:bookmarkEnd w:id="473"/>
      <w:bookmarkEnd w:id="474"/>
      <w:bookmarkEnd w:id="475"/>
      <w:bookmarkEnd w:id="476"/>
      <w:bookmarkEnd w:id="477"/>
    </w:p>
    <w:p w14:paraId="55BCD6C4" w14:textId="5A45DA66" w:rsidR="006F1FBF" w:rsidRPr="003A173C" w:rsidRDefault="4113B1AE" w:rsidP="00F453A1">
      <w:pPr>
        <w:rPr>
          <w:rFonts w:cs="Calibri"/>
          <w:b/>
          <w:bCs/>
        </w:rPr>
      </w:pPr>
      <w:r w:rsidRPr="003A173C">
        <w:rPr>
          <w:rFonts w:cs="Calibri"/>
        </w:rPr>
        <w:t xml:space="preserve">Transition care is legislated by the </w:t>
      </w:r>
      <w:r w:rsidR="70032FFC" w:rsidRPr="003A173C">
        <w:rPr>
          <w:rFonts w:cs="Calibri"/>
        </w:rPr>
        <w:t>Act</w:t>
      </w:r>
      <w:r w:rsidRPr="003A173C">
        <w:rPr>
          <w:rFonts w:cs="Calibri"/>
        </w:rPr>
        <w:t xml:space="preserve"> and</w:t>
      </w:r>
      <w:r w:rsidRPr="003A173C">
        <w:rPr>
          <w:rFonts w:cs="Calibri"/>
          <w:i/>
          <w:iCs/>
        </w:rPr>
        <w:t xml:space="preserve"> </w:t>
      </w:r>
      <w:r w:rsidRPr="003A173C">
        <w:rPr>
          <w:rFonts w:cs="Calibri"/>
        </w:rPr>
        <w:t xml:space="preserve">the </w:t>
      </w:r>
      <w:r w:rsidR="35FD1F71" w:rsidRPr="003A173C">
        <w:rPr>
          <w:rFonts w:cs="Calibri"/>
        </w:rPr>
        <w:t>Rules</w:t>
      </w:r>
      <w:r w:rsidR="087BEE6D" w:rsidRPr="003A173C">
        <w:rPr>
          <w:rFonts w:cs="Calibri"/>
        </w:rPr>
        <w:t>.</w:t>
      </w:r>
    </w:p>
    <w:p w14:paraId="6DA17D34" w14:textId="3C64B074" w:rsidR="00605BA0" w:rsidRPr="003A173C" w:rsidRDefault="4F3BB328">
      <w:pPr>
        <w:rPr>
          <w:rFonts w:cs="Calibri"/>
        </w:rPr>
      </w:pPr>
      <w:r w:rsidRPr="003A173C">
        <w:rPr>
          <w:rFonts w:cs="Calibri"/>
        </w:rPr>
        <w:t>Registered providers</w:t>
      </w:r>
      <w:r w:rsidR="4113B1AE" w:rsidRPr="003A173C">
        <w:rPr>
          <w:rFonts w:cs="Calibri"/>
        </w:rPr>
        <w:t xml:space="preserve"> are required to meet all the</w:t>
      </w:r>
      <w:r w:rsidR="263406DF" w:rsidRPr="003A173C">
        <w:rPr>
          <w:rFonts w:cs="Calibri"/>
        </w:rPr>
        <w:t xml:space="preserve"> obligations and</w:t>
      </w:r>
      <w:r w:rsidR="4113B1AE" w:rsidRPr="003A173C">
        <w:rPr>
          <w:rFonts w:cs="Calibri"/>
        </w:rPr>
        <w:t xml:space="preserve"> conditions specified by the legislation, the </w:t>
      </w:r>
      <w:r w:rsidR="3D4D7FC1" w:rsidRPr="003A173C">
        <w:rPr>
          <w:rFonts w:cs="Calibri"/>
        </w:rPr>
        <w:t>TCP</w:t>
      </w:r>
      <w:r w:rsidR="4113B1AE" w:rsidRPr="003A173C">
        <w:rPr>
          <w:rFonts w:cs="Calibri"/>
        </w:rPr>
        <w:t xml:space="preserve"> </w:t>
      </w:r>
      <w:r w:rsidR="6A9B9DA9" w:rsidRPr="003A173C">
        <w:rPr>
          <w:rFonts w:cs="Calibri"/>
        </w:rPr>
        <w:t>A</w:t>
      </w:r>
      <w:r w:rsidR="4113B1AE" w:rsidRPr="003A173C">
        <w:rPr>
          <w:rFonts w:cs="Calibri"/>
        </w:rPr>
        <w:t xml:space="preserve">greement and </w:t>
      </w:r>
      <w:r w:rsidR="003C7947" w:rsidRPr="003A173C">
        <w:rPr>
          <w:rFonts w:cs="Calibri"/>
        </w:rPr>
        <w:t>s</w:t>
      </w:r>
      <w:r w:rsidR="2B8A0D09" w:rsidRPr="003A173C">
        <w:rPr>
          <w:rFonts w:cs="Calibri"/>
        </w:rPr>
        <w:t xml:space="preserve">ervice </w:t>
      </w:r>
      <w:r w:rsidR="003C7947" w:rsidRPr="003A173C">
        <w:rPr>
          <w:rFonts w:cs="Calibri"/>
        </w:rPr>
        <w:t>a</w:t>
      </w:r>
      <w:r w:rsidR="2B8A0D09" w:rsidRPr="003A173C">
        <w:rPr>
          <w:rFonts w:cs="Calibri"/>
        </w:rPr>
        <w:t xml:space="preserve">greements </w:t>
      </w:r>
      <w:r w:rsidR="003C7947" w:rsidRPr="003A173C">
        <w:rPr>
          <w:rFonts w:cs="Calibri"/>
        </w:rPr>
        <w:t>in place with TCP clients.</w:t>
      </w:r>
    </w:p>
    <w:p w14:paraId="16925CF4" w14:textId="3F9C2A6B" w:rsidR="00605BA0" w:rsidRPr="003A173C" w:rsidRDefault="4113B1AE">
      <w:pPr>
        <w:rPr>
          <w:rFonts w:cs="Calibri"/>
        </w:rPr>
      </w:pPr>
      <w:r w:rsidRPr="003A173C">
        <w:rPr>
          <w:rFonts w:cs="Calibri"/>
        </w:rPr>
        <w:t>Throughout these guidelines, specific references are made to relevant sections of the Act</w:t>
      </w:r>
      <w:r w:rsidR="000053A4" w:rsidRPr="000409BF">
        <w:rPr>
          <w:rFonts w:cs="Calibri"/>
        </w:rPr>
        <w:t xml:space="preserve"> and</w:t>
      </w:r>
      <w:r w:rsidRPr="003A173C">
        <w:rPr>
          <w:rFonts w:cs="Calibri"/>
        </w:rPr>
        <w:t xml:space="preserve"> the </w:t>
      </w:r>
      <w:r w:rsidR="4C174FEC" w:rsidRPr="003A173C">
        <w:rPr>
          <w:rFonts w:cs="Calibri"/>
        </w:rPr>
        <w:t>Rules</w:t>
      </w:r>
      <w:r w:rsidR="000053A4">
        <w:rPr>
          <w:rFonts w:cs="Calibri"/>
        </w:rPr>
        <w:t>.</w:t>
      </w:r>
      <w:r w:rsidR="4C174FEC" w:rsidRPr="003A173C">
        <w:rPr>
          <w:rFonts w:cs="Calibri"/>
        </w:rPr>
        <w:t xml:space="preserve"> </w:t>
      </w:r>
      <w:r w:rsidR="05A7A987" w:rsidRPr="003A173C">
        <w:rPr>
          <w:rFonts w:cs="Calibri"/>
        </w:rPr>
        <w:t>Th</w:t>
      </w:r>
      <w:r w:rsidR="43C641C4" w:rsidRPr="003A173C">
        <w:rPr>
          <w:rFonts w:cs="Calibri"/>
        </w:rPr>
        <w:t>ese</w:t>
      </w:r>
      <w:r w:rsidRPr="003A173C">
        <w:rPr>
          <w:rFonts w:cs="Calibri"/>
        </w:rPr>
        <w:t xml:space="preserve"> </w:t>
      </w:r>
      <w:r w:rsidR="648691F2" w:rsidRPr="003A173C">
        <w:rPr>
          <w:rFonts w:cs="Calibri"/>
        </w:rPr>
        <w:t>docu</w:t>
      </w:r>
      <w:r w:rsidR="61D9E3F4" w:rsidRPr="003A173C">
        <w:rPr>
          <w:rFonts w:cs="Calibri"/>
        </w:rPr>
        <w:t>ments</w:t>
      </w:r>
      <w:r w:rsidRPr="003A173C">
        <w:rPr>
          <w:rFonts w:cs="Calibri"/>
        </w:rPr>
        <w:t xml:space="preserve"> should be referred to when </w:t>
      </w:r>
      <w:r w:rsidR="7253FF22" w:rsidRPr="003A173C">
        <w:rPr>
          <w:rFonts w:cs="Calibri"/>
        </w:rPr>
        <w:t xml:space="preserve">more detailed </w:t>
      </w:r>
      <w:r w:rsidR="13B80C5C" w:rsidRPr="003A173C">
        <w:rPr>
          <w:rFonts w:cs="Calibri"/>
        </w:rPr>
        <w:t>clarification</w:t>
      </w:r>
      <w:r w:rsidR="7253FF22" w:rsidRPr="003A173C">
        <w:rPr>
          <w:rFonts w:cs="Calibri"/>
        </w:rPr>
        <w:t xml:space="preserve"> is required</w:t>
      </w:r>
      <w:r w:rsidRPr="003A173C">
        <w:rPr>
          <w:rFonts w:cs="Calibri"/>
        </w:rPr>
        <w:t>.</w:t>
      </w:r>
    </w:p>
    <w:p w14:paraId="0804B7D6" w14:textId="016DA511" w:rsidR="00605BA0" w:rsidRPr="007206E9" w:rsidRDefault="4113B1AE" w:rsidP="1CBD4533">
      <w:r w:rsidRPr="003A173C">
        <w:rPr>
          <w:rFonts w:cs="Calibri"/>
        </w:rPr>
        <w:t xml:space="preserve">Copies of </w:t>
      </w:r>
      <w:r w:rsidR="22B44E36" w:rsidRPr="003A173C">
        <w:rPr>
          <w:rFonts w:cs="Calibri"/>
        </w:rPr>
        <w:t xml:space="preserve">the </w:t>
      </w:r>
      <w:hyperlink r:id="rId27" w:history="1">
        <w:r w:rsidRPr="00BF275F">
          <w:rPr>
            <w:rStyle w:val="Hyperlink"/>
            <w:rFonts w:ascii="Calibri" w:hAnsi="Calibri" w:cs="Calibri"/>
            <w:sz w:val="20"/>
          </w:rPr>
          <w:t>Act</w:t>
        </w:r>
      </w:hyperlink>
      <w:r w:rsidRPr="003A173C">
        <w:rPr>
          <w:rFonts w:cs="Calibri"/>
        </w:rPr>
        <w:t xml:space="preserve">, the </w:t>
      </w:r>
      <w:hyperlink r:id="rId28" w:history="1">
        <w:r w:rsidR="52345525" w:rsidRPr="000E4B84">
          <w:rPr>
            <w:rStyle w:val="Hyperlink"/>
            <w:rFonts w:ascii="Calibri" w:hAnsi="Calibri" w:cs="Calibri"/>
            <w:sz w:val="20"/>
          </w:rPr>
          <w:t>Rules</w:t>
        </w:r>
      </w:hyperlink>
      <w:r w:rsidRPr="003A173C">
        <w:rPr>
          <w:rFonts w:cs="Calibri"/>
          <w:i/>
          <w:iCs/>
        </w:rPr>
        <w:t xml:space="preserve"> </w:t>
      </w:r>
      <w:r w:rsidRPr="003A173C">
        <w:rPr>
          <w:rFonts w:cs="Calibri"/>
        </w:rPr>
        <w:t>and any amendments to the legislation can be found on the</w:t>
      </w:r>
      <w:r w:rsidR="6F1F40D8" w:rsidRPr="003A173C">
        <w:rPr>
          <w:rFonts w:cs="Calibri"/>
        </w:rPr>
        <w:t xml:space="preserve"> </w:t>
      </w:r>
      <w:r w:rsidR="26A76E75" w:rsidRPr="003A173C">
        <w:rPr>
          <w:rFonts w:cs="Calibri"/>
          <w:szCs w:val="20"/>
        </w:rPr>
        <w:t xml:space="preserve">Federal </w:t>
      </w:r>
      <w:r w:rsidR="003C7947" w:rsidRPr="003A173C">
        <w:rPr>
          <w:rFonts w:cs="Calibri"/>
          <w:szCs w:val="20"/>
        </w:rPr>
        <w:t>R</w:t>
      </w:r>
      <w:r w:rsidR="26A76E75" w:rsidRPr="003A173C">
        <w:rPr>
          <w:rFonts w:cs="Calibri"/>
          <w:szCs w:val="20"/>
        </w:rPr>
        <w:t xml:space="preserve">egister of </w:t>
      </w:r>
      <w:r w:rsidR="003C7947" w:rsidRPr="003A173C">
        <w:rPr>
          <w:rFonts w:cs="Calibri"/>
          <w:szCs w:val="20"/>
        </w:rPr>
        <w:t>L</w:t>
      </w:r>
      <w:r w:rsidR="26A76E75" w:rsidRPr="003A173C">
        <w:rPr>
          <w:rFonts w:cs="Calibri"/>
          <w:szCs w:val="20"/>
        </w:rPr>
        <w:t>egislation website</w:t>
      </w:r>
      <w:r w:rsidR="003C7947" w:rsidRPr="007206E9">
        <w:t>.</w:t>
      </w:r>
    </w:p>
    <w:p w14:paraId="380D5340" w14:textId="7465B2A0" w:rsidR="00605BA0" w:rsidRPr="003A173C" w:rsidRDefault="4113B1AE" w:rsidP="00F453A1">
      <w:pPr>
        <w:rPr>
          <w:rFonts w:cs="Calibri"/>
        </w:rPr>
      </w:pPr>
      <w:r w:rsidRPr="003A173C">
        <w:rPr>
          <w:rFonts w:cs="Calibri"/>
        </w:rPr>
        <w:t>The table belo</w:t>
      </w:r>
      <w:r w:rsidR="1B2DAA2D" w:rsidRPr="003A173C">
        <w:rPr>
          <w:rFonts w:cs="Calibri"/>
        </w:rPr>
        <w:t>w sets out the parts of the Act</w:t>
      </w:r>
      <w:r w:rsidRPr="003A173C">
        <w:rPr>
          <w:rFonts w:cs="Calibri"/>
        </w:rPr>
        <w:t xml:space="preserve"> </w:t>
      </w:r>
      <w:r w:rsidR="1D95930E" w:rsidRPr="003A173C">
        <w:rPr>
          <w:rFonts w:cs="Calibri"/>
        </w:rPr>
        <w:t>relevan</w:t>
      </w:r>
      <w:r w:rsidR="3B75437A" w:rsidRPr="003A173C">
        <w:rPr>
          <w:rFonts w:cs="Calibri"/>
        </w:rPr>
        <w:t>t</w:t>
      </w:r>
      <w:r w:rsidRPr="003A173C">
        <w:rPr>
          <w:rFonts w:cs="Calibri"/>
        </w:rPr>
        <w:t xml:space="preserve"> to the program</w:t>
      </w:r>
      <w:r w:rsidR="05EC47E5" w:rsidRPr="003A173C">
        <w:rPr>
          <w:rFonts w:cs="Calibri"/>
        </w:rPr>
        <w:t xml:space="preserve"> and should be read in conjunction with</w:t>
      </w:r>
      <w:r w:rsidR="22E5104B" w:rsidRPr="003A173C">
        <w:rPr>
          <w:rFonts w:cs="Calibri"/>
        </w:rPr>
        <w:t xml:space="preserve"> the Rules.</w:t>
      </w:r>
    </w:p>
    <w:tbl>
      <w:tblPr>
        <w:tblStyle w:val="DSSDatatablestyle"/>
        <w:tblW w:w="9639" w:type="dxa"/>
        <w:tblInd w:w="0" w:type="dxa"/>
        <w:tblLook w:val="04E0" w:firstRow="1" w:lastRow="1" w:firstColumn="1" w:lastColumn="0" w:noHBand="0" w:noVBand="1"/>
        <w:tblDescription w:val="This table is a list of the chapters and how eact part relates to the Act for each programme."/>
      </w:tblPr>
      <w:tblGrid>
        <w:gridCol w:w="3794"/>
        <w:gridCol w:w="5845"/>
      </w:tblGrid>
      <w:tr w:rsidR="00605BA0" w:rsidRPr="003A173C" w14:paraId="1C7AD046" w14:textId="77777777" w:rsidTr="1CBD4533">
        <w:trPr>
          <w:cnfStyle w:val="100000000000" w:firstRow="1" w:lastRow="0" w:firstColumn="0" w:lastColumn="0" w:oddVBand="0" w:evenVBand="0" w:oddHBand="0" w:evenHBand="0" w:firstRowFirstColumn="0" w:firstRowLastColumn="0" w:lastRowFirstColumn="0" w:lastRowLastColumn="0"/>
          <w:tblHeader/>
        </w:trPr>
        <w:tc>
          <w:tcPr>
            <w:tcW w:w="3794" w:type="dxa"/>
          </w:tcPr>
          <w:p w14:paraId="723F952A" w14:textId="77777777" w:rsidR="00605BA0" w:rsidRPr="003A173C" w:rsidRDefault="4113B1AE" w:rsidP="00DF7B75">
            <w:pPr>
              <w:rPr>
                <w:rFonts w:cs="Calibri"/>
                <w:sz w:val="22"/>
                <w:szCs w:val="22"/>
              </w:rPr>
            </w:pPr>
            <w:r w:rsidRPr="003A173C">
              <w:rPr>
                <w:rFonts w:cs="Calibri"/>
                <w:sz w:val="22"/>
                <w:szCs w:val="22"/>
              </w:rPr>
              <w:t>Chapter</w:t>
            </w:r>
          </w:p>
        </w:tc>
        <w:tc>
          <w:tcPr>
            <w:tcW w:w="5845" w:type="dxa"/>
          </w:tcPr>
          <w:p w14:paraId="0C4A6113" w14:textId="77777777" w:rsidR="00605BA0" w:rsidRPr="003A173C" w:rsidRDefault="4113B1AE" w:rsidP="00DF7B75">
            <w:pPr>
              <w:rPr>
                <w:rFonts w:cs="Calibri"/>
                <w:sz w:val="22"/>
                <w:szCs w:val="22"/>
              </w:rPr>
            </w:pPr>
            <w:r w:rsidRPr="003A173C">
              <w:rPr>
                <w:rFonts w:cs="Calibri"/>
                <w:sz w:val="22"/>
                <w:szCs w:val="22"/>
              </w:rPr>
              <w:t>Part</w:t>
            </w:r>
          </w:p>
        </w:tc>
      </w:tr>
      <w:tr w:rsidR="00605BA0" w:rsidRPr="003A173C" w14:paraId="6C99AB32" w14:textId="77777777" w:rsidTr="1CBD4533">
        <w:trPr>
          <w:trHeight w:val="454"/>
        </w:trPr>
        <w:tc>
          <w:tcPr>
            <w:tcW w:w="3794" w:type="dxa"/>
            <w:tcBorders>
              <w:bottom w:val="single" w:sz="4" w:space="0" w:color="auto"/>
            </w:tcBorders>
          </w:tcPr>
          <w:p w14:paraId="2E94D403" w14:textId="1966D3E5" w:rsidR="00605BA0" w:rsidRPr="003A173C" w:rsidRDefault="4113B1AE" w:rsidP="1CBD4533">
            <w:pPr>
              <w:spacing w:before="0" w:after="60"/>
              <w:rPr>
                <w:rFonts w:cs="Calibri"/>
              </w:rPr>
            </w:pPr>
            <w:r w:rsidRPr="003A173C">
              <w:rPr>
                <w:rFonts w:cs="Calibri"/>
              </w:rPr>
              <w:t xml:space="preserve">Chapter </w:t>
            </w:r>
            <w:r w:rsidR="1CB42BCD" w:rsidRPr="003A173C">
              <w:rPr>
                <w:rFonts w:cs="Calibri"/>
              </w:rPr>
              <w:t>1</w:t>
            </w:r>
            <w:r w:rsidRPr="003A173C">
              <w:rPr>
                <w:rFonts w:cs="Calibri"/>
              </w:rPr>
              <w:t xml:space="preserve"> – </w:t>
            </w:r>
            <w:r w:rsidR="29490AC2" w:rsidRPr="003A173C">
              <w:rPr>
                <w:rFonts w:cs="Calibri"/>
              </w:rPr>
              <w:t>Introduction</w:t>
            </w:r>
          </w:p>
        </w:tc>
        <w:tc>
          <w:tcPr>
            <w:tcW w:w="5845" w:type="dxa"/>
            <w:tcBorders>
              <w:bottom w:val="single" w:sz="4" w:space="0" w:color="auto"/>
            </w:tcBorders>
          </w:tcPr>
          <w:p w14:paraId="1E9654FA" w14:textId="670A5C30" w:rsidR="00605BA0" w:rsidRPr="003A173C" w:rsidRDefault="4113B1AE" w:rsidP="1CBD4533">
            <w:pPr>
              <w:spacing w:before="0" w:after="60"/>
              <w:rPr>
                <w:rFonts w:cs="Calibri"/>
              </w:rPr>
            </w:pPr>
            <w:r w:rsidRPr="003A173C">
              <w:rPr>
                <w:rFonts w:cs="Calibri"/>
              </w:rPr>
              <w:t xml:space="preserve">Part 2 – </w:t>
            </w:r>
            <w:r w:rsidR="47338086" w:rsidRPr="003A173C">
              <w:rPr>
                <w:rFonts w:cs="Calibri"/>
              </w:rPr>
              <w:t>Definition</w:t>
            </w:r>
            <w:r w:rsidR="001C5FD9" w:rsidRPr="003A173C">
              <w:rPr>
                <w:rFonts w:cs="Calibri"/>
              </w:rPr>
              <w:t>s</w:t>
            </w:r>
            <w:r w:rsidR="6C1A3094" w:rsidRPr="003A173C">
              <w:rPr>
                <w:rFonts w:cs="Calibri"/>
              </w:rPr>
              <w:t xml:space="preserve"> of transition care program</w:t>
            </w:r>
            <w:r w:rsidR="00246A29" w:rsidRPr="003A173C">
              <w:rPr>
                <w:rFonts w:cs="Calibri"/>
              </w:rPr>
              <w:t xml:space="preserve">, </w:t>
            </w:r>
            <w:r w:rsidR="6C1A3094" w:rsidRPr="003A173C">
              <w:rPr>
                <w:rFonts w:cs="Calibri"/>
              </w:rPr>
              <w:t>Aged Care Service List</w:t>
            </w:r>
            <w:r w:rsidR="00246A29" w:rsidRPr="003A173C">
              <w:rPr>
                <w:rFonts w:cs="Calibri"/>
              </w:rPr>
              <w:t xml:space="preserve"> and Aged Care Quality Standards</w:t>
            </w:r>
          </w:p>
          <w:p w14:paraId="1E0623D7" w14:textId="6131566F" w:rsidR="00605BA0" w:rsidRPr="003A173C" w:rsidRDefault="4113B1AE" w:rsidP="007206E9">
            <w:pPr>
              <w:spacing w:before="0" w:after="60"/>
              <w:rPr>
                <w:rFonts w:cs="Calibri"/>
              </w:rPr>
            </w:pPr>
            <w:r w:rsidRPr="003A173C">
              <w:rPr>
                <w:rFonts w:cs="Calibri"/>
              </w:rPr>
              <w:t xml:space="preserve">Part </w:t>
            </w:r>
            <w:r w:rsidR="4A5D1180" w:rsidRPr="003A173C">
              <w:rPr>
                <w:rFonts w:cs="Calibri"/>
              </w:rPr>
              <w:t>3</w:t>
            </w:r>
            <w:r w:rsidRPr="003A173C">
              <w:rPr>
                <w:rFonts w:cs="Calibri"/>
              </w:rPr>
              <w:t xml:space="preserve"> – A</w:t>
            </w:r>
            <w:r w:rsidR="7BE9940D" w:rsidRPr="003A173C">
              <w:rPr>
                <w:rFonts w:cs="Calibri"/>
              </w:rPr>
              <w:t>ged care rights and Aged care principles</w:t>
            </w:r>
          </w:p>
        </w:tc>
      </w:tr>
      <w:tr w:rsidR="00605BA0" w:rsidRPr="003A173C" w14:paraId="743F8E64" w14:textId="77777777" w:rsidTr="002265B1">
        <w:trPr>
          <w:cnfStyle w:val="000000010000" w:firstRow="0" w:lastRow="0" w:firstColumn="0" w:lastColumn="0" w:oddVBand="0" w:evenVBand="0" w:oddHBand="0" w:evenHBand="1" w:firstRowFirstColumn="0" w:firstRowLastColumn="0" w:lastRowFirstColumn="0" w:lastRowLastColumn="0"/>
          <w:trHeight w:val="300"/>
        </w:trPr>
        <w:tc>
          <w:tcPr>
            <w:tcW w:w="0" w:type="dxa"/>
            <w:tcBorders>
              <w:top w:val="single" w:sz="4" w:space="0" w:color="auto"/>
              <w:bottom w:val="single" w:sz="4" w:space="0" w:color="auto"/>
            </w:tcBorders>
          </w:tcPr>
          <w:p w14:paraId="17D326AC" w14:textId="3FCBC1DC" w:rsidR="00605BA0" w:rsidRPr="003A173C" w:rsidRDefault="4113B1AE">
            <w:pPr>
              <w:spacing w:before="0" w:after="60"/>
              <w:rPr>
                <w:rFonts w:cs="Calibri"/>
              </w:rPr>
            </w:pPr>
            <w:r w:rsidRPr="003A173C">
              <w:rPr>
                <w:rFonts w:cs="Calibri"/>
              </w:rPr>
              <w:t xml:space="preserve">Chapter </w:t>
            </w:r>
            <w:r w:rsidR="2BBB71B5" w:rsidRPr="003A173C">
              <w:rPr>
                <w:rFonts w:cs="Calibri"/>
              </w:rPr>
              <w:t>3</w:t>
            </w:r>
            <w:r w:rsidRPr="003A173C">
              <w:rPr>
                <w:rFonts w:cs="Calibri"/>
              </w:rPr>
              <w:t xml:space="preserve"> – </w:t>
            </w:r>
            <w:r w:rsidR="2B580FD3" w:rsidRPr="003A173C">
              <w:rPr>
                <w:rFonts w:cs="Calibri"/>
              </w:rPr>
              <w:t>Registered providers, aged care workers and aged care digital platform operators</w:t>
            </w:r>
          </w:p>
        </w:tc>
        <w:tc>
          <w:tcPr>
            <w:tcW w:w="0" w:type="dxa"/>
            <w:tcBorders>
              <w:top w:val="single" w:sz="4" w:space="0" w:color="auto"/>
              <w:bottom w:val="single" w:sz="4" w:space="0" w:color="auto"/>
            </w:tcBorders>
          </w:tcPr>
          <w:p w14:paraId="5CC1073D" w14:textId="08B6A053" w:rsidR="00605BA0" w:rsidRPr="003A173C" w:rsidRDefault="4113B1AE" w:rsidP="007206E9">
            <w:pPr>
              <w:spacing w:before="0" w:after="60"/>
              <w:rPr>
                <w:rFonts w:cs="Calibri"/>
              </w:rPr>
            </w:pPr>
            <w:r w:rsidRPr="003A173C">
              <w:rPr>
                <w:rFonts w:cs="Calibri"/>
              </w:rPr>
              <w:t xml:space="preserve">Part 4 – </w:t>
            </w:r>
            <w:r w:rsidR="020E7DCA" w:rsidRPr="003A173C">
              <w:rPr>
                <w:rFonts w:cs="Calibri"/>
              </w:rPr>
              <w:t>Obligations of registered providers etc. and conditions of registration of registered providers</w:t>
            </w:r>
          </w:p>
        </w:tc>
      </w:tr>
      <w:tr w:rsidR="00605BA0" w:rsidRPr="003A173C" w14:paraId="2BA292AF" w14:textId="77777777" w:rsidTr="1CBD4533">
        <w:trPr>
          <w:cnfStyle w:val="010000000000" w:firstRow="0" w:lastRow="1" w:firstColumn="0" w:lastColumn="0" w:oddVBand="0" w:evenVBand="0" w:oddHBand="0" w:evenHBand="0" w:firstRowFirstColumn="0" w:firstRowLastColumn="0" w:lastRowFirstColumn="0" w:lastRowLastColumn="0"/>
          <w:trHeight w:val="454"/>
        </w:trPr>
        <w:tc>
          <w:tcPr>
            <w:tcW w:w="3794" w:type="dxa"/>
            <w:tcBorders>
              <w:top w:val="single" w:sz="4" w:space="0" w:color="auto"/>
            </w:tcBorders>
            <w:shd w:val="clear" w:color="auto" w:fill="F5F5F5"/>
          </w:tcPr>
          <w:p w14:paraId="45468D5C" w14:textId="663D0E0B" w:rsidR="00605BA0" w:rsidRPr="003A173C" w:rsidRDefault="4113B1AE" w:rsidP="1CBD4533">
            <w:pPr>
              <w:spacing w:before="0" w:after="60"/>
              <w:rPr>
                <w:rFonts w:cs="Calibri"/>
                <w:b w:val="0"/>
              </w:rPr>
            </w:pPr>
            <w:r w:rsidRPr="003A173C">
              <w:rPr>
                <w:rFonts w:cs="Calibri"/>
                <w:b w:val="0"/>
              </w:rPr>
              <w:t xml:space="preserve">Chapter </w:t>
            </w:r>
            <w:r w:rsidR="0FE0A11D" w:rsidRPr="003A173C">
              <w:rPr>
                <w:rFonts w:cs="Calibri"/>
                <w:b w:val="0"/>
              </w:rPr>
              <w:t>4</w:t>
            </w:r>
            <w:r w:rsidR="7DB910FC" w:rsidRPr="003A173C">
              <w:rPr>
                <w:rFonts w:cs="Calibri"/>
                <w:b w:val="0"/>
              </w:rPr>
              <w:t xml:space="preserve"> – Funding of aged care services</w:t>
            </w:r>
          </w:p>
        </w:tc>
        <w:tc>
          <w:tcPr>
            <w:tcW w:w="5845" w:type="dxa"/>
            <w:tcBorders>
              <w:top w:val="single" w:sz="4" w:space="0" w:color="auto"/>
            </w:tcBorders>
            <w:shd w:val="clear" w:color="auto" w:fill="F5F5F5"/>
          </w:tcPr>
          <w:p w14:paraId="3EA9E627" w14:textId="149693EF" w:rsidR="00605BA0" w:rsidRPr="003A173C" w:rsidRDefault="4113B1AE" w:rsidP="1CBD4533">
            <w:pPr>
              <w:spacing w:before="0" w:after="60"/>
              <w:rPr>
                <w:rFonts w:cs="Calibri"/>
                <w:b w:val="0"/>
              </w:rPr>
            </w:pPr>
            <w:r w:rsidRPr="003A173C">
              <w:rPr>
                <w:rFonts w:cs="Calibri"/>
                <w:b w:val="0"/>
              </w:rPr>
              <w:t xml:space="preserve">Part </w:t>
            </w:r>
            <w:r w:rsidR="60DEB79C" w:rsidRPr="003A173C">
              <w:rPr>
                <w:rFonts w:cs="Calibri"/>
                <w:b w:val="0"/>
              </w:rPr>
              <w:t>2</w:t>
            </w:r>
            <w:r w:rsidRPr="003A173C">
              <w:rPr>
                <w:rFonts w:cs="Calibri"/>
                <w:b w:val="0"/>
              </w:rPr>
              <w:t xml:space="preserve"> – </w:t>
            </w:r>
            <w:r w:rsidR="006F7197" w:rsidRPr="003A173C">
              <w:rPr>
                <w:rFonts w:cs="Calibri"/>
                <w:b w:val="0"/>
              </w:rPr>
              <w:t>Commonwealth</w:t>
            </w:r>
            <w:r w:rsidR="1B66126E" w:rsidRPr="003A173C">
              <w:rPr>
                <w:rFonts w:cs="Calibri"/>
                <w:b w:val="0"/>
              </w:rPr>
              <w:t xml:space="preserve"> contributions</w:t>
            </w:r>
          </w:p>
          <w:p w14:paraId="7D6F231A" w14:textId="49E8F2C7" w:rsidR="00605BA0" w:rsidRPr="003A173C" w:rsidRDefault="4113B1AE" w:rsidP="007206E9">
            <w:pPr>
              <w:spacing w:before="0" w:after="60"/>
              <w:rPr>
                <w:rFonts w:cs="Calibri"/>
                <w:b w:val="0"/>
              </w:rPr>
            </w:pPr>
            <w:r w:rsidRPr="003A173C">
              <w:rPr>
                <w:rFonts w:cs="Calibri"/>
                <w:b w:val="0"/>
              </w:rPr>
              <w:t xml:space="preserve">Part </w:t>
            </w:r>
            <w:r w:rsidR="666CB29C" w:rsidRPr="003A173C">
              <w:rPr>
                <w:rFonts w:cs="Calibri"/>
                <w:b w:val="0"/>
              </w:rPr>
              <w:t>3</w:t>
            </w:r>
            <w:r w:rsidRPr="003A173C">
              <w:rPr>
                <w:rFonts w:cs="Calibri"/>
                <w:b w:val="0"/>
              </w:rPr>
              <w:t xml:space="preserve"> – </w:t>
            </w:r>
            <w:r w:rsidR="4EB29381" w:rsidRPr="003A173C">
              <w:rPr>
                <w:rFonts w:cs="Calibri"/>
                <w:b w:val="0"/>
              </w:rPr>
              <w:t>Individual fees and contributions</w:t>
            </w:r>
          </w:p>
        </w:tc>
      </w:tr>
    </w:tbl>
    <w:p w14:paraId="457523A8" w14:textId="4FF2158C" w:rsidR="00FB5473" w:rsidRPr="003A173C" w:rsidRDefault="00351F53" w:rsidP="00187113">
      <w:pPr>
        <w:keepNext/>
        <w:pageBreakBefore/>
        <w:rPr>
          <w:rFonts w:cs="Calibri"/>
        </w:rPr>
      </w:pPr>
      <w:bookmarkStart w:id="478" w:name="_Toc395537167"/>
      <w:bookmarkStart w:id="479" w:name="_Toc422732525"/>
      <w:bookmarkStart w:id="480" w:name="_Toc422752865"/>
      <w:r w:rsidRPr="003A173C">
        <w:rPr>
          <w:rFonts w:cs="Calibri"/>
        </w:rPr>
        <w:lastRenderedPageBreak/>
        <w:t>The</w:t>
      </w:r>
      <w:r w:rsidR="3CC0E294" w:rsidRPr="003A173C">
        <w:rPr>
          <w:rFonts w:cs="Calibri"/>
        </w:rPr>
        <w:t>se guidelines should be considered in conjunction with:</w:t>
      </w:r>
    </w:p>
    <w:p w14:paraId="07A837E5" w14:textId="7BD3C953" w:rsidR="3CC0E294" w:rsidRPr="003A173C" w:rsidRDefault="3CC0E294" w:rsidP="00FA34AC">
      <w:pPr>
        <w:pStyle w:val="ListBullet"/>
      </w:pPr>
      <w:r w:rsidRPr="003A173C">
        <w:t xml:space="preserve">the Act and the </w:t>
      </w:r>
      <w:r w:rsidR="5098D7F0" w:rsidRPr="003A173C">
        <w:t>Rules</w:t>
      </w:r>
      <w:r w:rsidRPr="003A173C">
        <w:t>;</w:t>
      </w:r>
    </w:p>
    <w:p w14:paraId="086A6E68" w14:textId="288BA7C1" w:rsidR="1E00431E" w:rsidRPr="003A173C" w:rsidRDefault="00EE56D6" w:rsidP="00FA34AC">
      <w:pPr>
        <w:pStyle w:val="ListBullet"/>
      </w:pPr>
      <w:r w:rsidRPr="003A173C">
        <w:t>t</w:t>
      </w:r>
      <w:r w:rsidR="1E00431E" w:rsidRPr="003A173C">
        <w:t>he Transition Care Program Agreement</w:t>
      </w:r>
      <w:r w:rsidRPr="003A173C">
        <w:t>;</w:t>
      </w:r>
    </w:p>
    <w:p w14:paraId="1AE27179" w14:textId="2608B086" w:rsidR="00533E20" w:rsidRPr="003A173C" w:rsidRDefault="00D9047B" w:rsidP="00FA34AC">
      <w:pPr>
        <w:pStyle w:val="ListBullet"/>
      </w:pPr>
      <w:r w:rsidRPr="003A173C">
        <w:t>S</w:t>
      </w:r>
      <w:r w:rsidR="00533E20" w:rsidRPr="003A173C">
        <w:t xml:space="preserve">tate and </w:t>
      </w:r>
      <w:r w:rsidRPr="003A173C">
        <w:t>T</w:t>
      </w:r>
      <w:r w:rsidR="00533E20" w:rsidRPr="003A173C">
        <w:t>erritory agreements with any nominated registered providers;</w:t>
      </w:r>
    </w:p>
    <w:p w14:paraId="4BE87079" w14:textId="6D368821" w:rsidR="00281E54" w:rsidRPr="003A173C" w:rsidRDefault="3CC0E294" w:rsidP="00FA34AC">
      <w:pPr>
        <w:pStyle w:val="ListBullet"/>
      </w:pPr>
      <w:r w:rsidRPr="003A173C">
        <w:t xml:space="preserve">relevant </w:t>
      </w:r>
      <w:r w:rsidR="003B7CAD" w:rsidRPr="003A173C">
        <w:t>S</w:t>
      </w:r>
      <w:r w:rsidRPr="003A173C">
        <w:t xml:space="preserve">tate and </w:t>
      </w:r>
      <w:r w:rsidR="003B7CAD" w:rsidRPr="003A173C">
        <w:t>T</w:t>
      </w:r>
      <w:r w:rsidRPr="003A173C">
        <w:t>erritory legislation</w:t>
      </w:r>
      <w:r w:rsidR="74290B99" w:rsidRPr="003A173C">
        <w:t>;</w:t>
      </w:r>
      <w:r w:rsidR="1C03E5AB" w:rsidRPr="003A173C">
        <w:t xml:space="preserve"> and</w:t>
      </w:r>
    </w:p>
    <w:p w14:paraId="7FEF3AC2" w14:textId="08130CBA" w:rsidR="00FB5473" w:rsidRPr="003A173C" w:rsidRDefault="3CC0E294" w:rsidP="00FA34AC">
      <w:pPr>
        <w:pStyle w:val="ListBullet"/>
      </w:pPr>
      <w:r w:rsidRPr="003A173C">
        <w:t xml:space="preserve">the </w:t>
      </w:r>
      <w:r w:rsidR="00533E20" w:rsidRPr="003A173C">
        <w:t>s</w:t>
      </w:r>
      <w:r w:rsidRPr="003A173C">
        <w:t xml:space="preserve">ervice </w:t>
      </w:r>
      <w:r w:rsidR="00EE56D6" w:rsidRPr="003A173C">
        <w:t>a</w:t>
      </w:r>
      <w:r w:rsidRPr="003A173C">
        <w:t>greement</w:t>
      </w:r>
      <w:r w:rsidR="00EE56D6" w:rsidRPr="003A173C">
        <w:t>s that registered providers enter into with individuals receiving transition care</w:t>
      </w:r>
      <w:r w:rsidR="748B62CD" w:rsidRPr="003A173C">
        <w:t>.</w:t>
      </w:r>
    </w:p>
    <w:p w14:paraId="0F183515" w14:textId="73964C27" w:rsidR="00804AB0" w:rsidRPr="003A173C" w:rsidRDefault="6F1F40D8" w:rsidP="1CBD4533">
      <w:pPr>
        <w:pStyle w:val="Heading2"/>
        <w:rPr>
          <w:rFonts w:ascii="Calibri" w:hAnsi="Calibri" w:cs="Calibri"/>
        </w:rPr>
      </w:pPr>
      <w:bookmarkStart w:id="481" w:name="_Toc202452009"/>
      <w:bookmarkStart w:id="482" w:name="_Toc203056993"/>
      <w:bookmarkStart w:id="483" w:name="_Toc203117223"/>
      <w:bookmarkStart w:id="484" w:name="_Toc203379288"/>
      <w:bookmarkStart w:id="485" w:name="_Toc205369415"/>
      <w:bookmarkStart w:id="486" w:name="_Toc205374367"/>
      <w:bookmarkStart w:id="487" w:name="_Toc205374515"/>
      <w:bookmarkStart w:id="488" w:name="_Toc205378228"/>
      <w:bookmarkStart w:id="489" w:name="_Toc205378462"/>
      <w:bookmarkStart w:id="490" w:name="_Toc205378696"/>
      <w:bookmarkStart w:id="491" w:name="_Toc205378929"/>
      <w:bookmarkStart w:id="492" w:name="_Toc205379162"/>
      <w:bookmarkStart w:id="493" w:name="_Toc205379395"/>
      <w:bookmarkStart w:id="494" w:name="_Toc205379620"/>
      <w:bookmarkStart w:id="495" w:name="_Toc205379844"/>
      <w:bookmarkStart w:id="496" w:name="_Toc205395302"/>
      <w:bookmarkStart w:id="497" w:name="_Toc205396096"/>
      <w:bookmarkStart w:id="498" w:name="_Toc205397627"/>
      <w:bookmarkStart w:id="499" w:name="_Toc205397852"/>
      <w:bookmarkStart w:id="500" w:name="_Toc205468478"/>
      <w:bookmarkStart w:id="501" w:name="_Toc205468937"/>
      <w:bookmarkStart w:id="502" w:name="_Toc205479729"/>
      <w:bookmarkStart w:id="503" w:name="_Toc205560802"/>
      <w:bookmarkStart w:id="504" w:name="_Toc205561027"/>
      <w:bookmarkStart w:id="505" w:name="_Toc205819079"/>
      <w:bookmarkStart w:id="506" w:name="_Toc205890627"/>
      <w:bookmarkStart w:id="507" w:name="_Toc205890767"/>
      <w:bookmarkStart w:id="508" w:name="_Toc205891977"/>
      <w:bookmarkStart w:id="509" w:name="_Toc205897134"/>
      <w:bookmarkStart w:id="510" w:name="_Toc205906017"/>
      <w:bookmarkStart w:id="511" w:name="_Toc205909155"/>
      <w:bookmarkStart w:id="512" w:name="_Toc205909648"/>
      <w:bookmarkStart w:id="513" w:name="_Toc205909954"/>
      <w:bookmarkStart w:id="514" w:name="_Toc205974463"/>
      <w:bookmarkStart w:id="515" w:name="_Toc205974603"/>
      <w:bookmarkStart w:id="516" w:name="_Toc205974743"/>
      <w:bookmarkStart w:id="517" w:name="_Toc205999042"/>
      <w:bookmarkStart w:id="518" w:name="_Toc206001351"/>
      <w:bookmarkStart w:id="519" w:name="_Toc206001493"/>
      <w:bookmarkStart w:id="520" w:name="_Toc206001634"/>
      <w:bookmarkStart w:id="521" w:name="_Toc206001776"/>
      <w:bookmarkStart w:id="522" w:name="_Toc206003698"/>
      <w:bookmarkStart w:id="523" w:name="_Toc206006186"/>
      <w:bookmarkStart w:id="524" w:name="_Toc206006507"/>
      <w:bookmarkStart w:id="525" w:name="_Toc206006648"/>
      <w:bookmarkStart w:id="526" w:name="_Toc206059523"/>
      <w:bookmarkStart w:id="527" w:name="_Toc206084440"/>
      <w:bookmarkStart w:id="528" w:name="_Toc206143888"/>
      <w:bookmarkStart w:id="529" w:name="_Toc206153576"/>
      <w:bookmarkStart w:id="530" w:name="_Toc206155625"/>
      <w:bookmarkStart w:id="531" w:name="_Toc206155766"/>
      <w:bookmarkStart w:id="532" w:name="_Toc206156972"/>
      <w:bookmarkStart w:id="533" w:name="_Toc206157192"/>
      <w:bookmarkStart w:id="534" w:name="_Toc216865453"/>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3A173C">
        <w:rPr>
          <w:rFonts w:ascii="Calibri" w:hAnsi="Calibri" w:cs="Calibri"/>
        </w:rPr>
        <w:t xml:space="preserve">Additional </w:t>
      </w:r>
      <w:r w:rsidR="00126FAE" w:rsidRPr="003A173C">
        <w:rPr>
          <w:rFonts w:ascii="Calibri" w:hAnsi="Calibri" w:cs="Calibri"/>
        </w:rPr>
        <w:t>n</w:t>
      </w:r>
      <w:r w:rsidR="7671CF17" w:rsidRPr="003A173C">
        <w:rPr>
          <w:rFonts w:ascii="Calibri" w:hAnsi="Calibri" w:cs="Calibri"/>
        </w:rPr>
        <w:t xml:space="preserve">ational </w:t>
      </w:r>
      <w:r w:rsidR="008058E2" w:rsidRPr="003A173C">
        <w:rPr>
          <w:rFonts w:ascii="Calibri" w:hAnsi="Calibri" w:cs="Calibri"/>
        </w:rPr>
        <w:t>s</w:t>
      </w:r>
      <w:r w:rsidR="7671CF17" w:rsidRPr="003A173C">
        <w:rPr>
          <w:rFonts w:ascii="Calibri" w:hAnsi="Calibri" w:cs="Calibri"/>
        </w:rPr>
        <w:t>upport</w:t>
      </w:r>
      <w:bookmarkEnd w:id="534"/>
    </w:p>
    <w:p w14:paraId="2EB91815" w14:textId="1A8C6283" w:rsidR="00FD54DC" w:rsidRPr="00721280" w:rsidRDefault="32463182" w:rsidP="008974DB">
      <w:pPr>
        <w:pStyle w:val="Style3"/>
      </w:pPr>
      <w:bookmarkStart w:id="535" w:name="_Toc216865454"/>
      <w:r w:rsidRPr="00721280">
        <w:t>Translating and Interpreting Service (TIS National)</w:t>
      </w:r>
      <w:bookmarkEnd w:id="535"/>
    </w:p>
    <w:p w14:paraId="0DDDB2FA" w14:textId="4FEDB482" w:rsidR="00FD54DC" w:rsidRPr="003A173C" w:rsidRDefault="32463182" w:rsidP="1CBD4533">
      <w:pPr>
        <w:rPr>
          <w:rFonts w:cs="Calibri"/>
        </w:rPr>
      </w:pPr>
      <w:r w:rsidRPr="003A173C">
        <w:rPr>
          <w:rFonts w:cs="Calibri"/>
        </w:rPr>
        <w:t>TIS National is an interpreting service provided by the</w:t>
      </w:r>
      <w:r w:rsidR="2C4DD236" w:rsidRPr="003A173C">
        <w:rPr>
          <w:rFonts w:cs="Calibri"/>
        </w:rPr>
        <w:t xml:space="preserve"> Australian Government</w:t>
      </w:r>
      <w:r w:rsidRPr="003A173C">
        <w:rPr>
          <w:rFonts w:cs="Calibri"/>
        </w:rPr>
        <w:t xml:space="preserve"> Department of Home Affairs for people who do not speak English and for agencies and businesses </w:t>
      </w:r>
      <w:r w:rsidR="6057A710" w:rsidRPr="003A173C">
        <w:rPr>
          <w:rFonts w:cs="Calibri"/>
        </w:rPr>
        <w:t>who</w:t>
      </w:r>
      <w:r w:rsidRPr="003A173C">
        <w:rPr>
          <w:rFonts w:cs="Calibri"/>
        </w:rPr>
        <w:t xml:space="preserve"> need to communicate with non-English speaking clients.</w:t>
      </w:r>
    </w:p>
    <w:p w14:paraId="0D27D007" w14:textId="26114D5C" w:rsidR="00344099" w:rsidRPr="003A173C" w:rsidRDefault="32463182" w:rsidP="1CBD4533">
      <w:pPr>
        <w:rPr>
          <w:rFonts w:cs="Calibri"/>
        </w:rPr>
      </w:pPr>
      <w:r w:rsidRPr="003A173C">
        <w:rPr>
          <w:rFonts w:cs="Calibri"/>
        </w:rPr>
        <w:t>TIS National provides immediate phone interpreting, pre-booked phone interpreting and on-site interpreting</w:t>
      </w:r>
      <w:r w:rsidR="7A578333" w:rsidRPr="003A173C">
        <w:rPr>
          <w:rFonts w:cs="Calibri"/>
        </w:rPr>
        <w:t xml:space="preserve"> services </w:t>
      </w:r>
      <w:r w:rsidR="1D95930E" w:rsidRPr="003A173C">
        <w:rPr>
          <w:rFonts w:cs="Calibri"/>
        </w:rPr>
        <w:t>for</w:t>
      </w:r>
      <w:r w:rsidR="7A578333" w:rsidRPr="003A173C">
        <w:rPr>
          <w:rFonts w:cs="Calibri"/>
        </w:rPr>
        <w:t xml:space="preserve"> Australian Government funded</w:t>
      </w:r>
      <w:r w:rsidR="7C2F4F74" w:rsidRPr="003A173C">
        <w:rPr>
          <w:rFonts w:cs="Calibri"/>
        </w:rPr>
        <w:t xml:space="preserve"> aged care programs, including transition c</w:t>
      </w:r>
      <w:r w:rsidR="7A578333" w:rsidRPr="003A173C">
        <w:rPr>
          <w:rFonts w:cs="Calibri"/>
        </w:rPr>
        <w:t>are.</w:t>
      </w:r>
    </w:p>
    <w:p w14:paraId="4B6460A7" w14:textId="77777777" w:rsidR="00FD54DC" w:rsidRPr="003A173C" w:rsidRDefault="7A578333" w:rsidP="1CBD4533">
      <w:pPr>
        <w:rPr>
          <w:rFonts w:cs="Calibri"/>
        </w:rPr>
      </w:pPr>
      <w:r w:rsidRPr="003A173C">
        <w:rPr>
          <w:rFonts w:cs="Calibri"/>
        </w:rPr>
        <w:t xml:space="preserve">TIS National </w:t>
      </w:r>
      <w:r w:rsidR="2C4DD236" w:rsidRPr="003A173C">
        <w:rPr>
          <w:rFonts w:cs="Calibri"/>
        </w:rPr>
        <w:t xml:space="preserve">has </w:t>
      </w:r>
      <w:r w:rsidR="70EBDE70" w:rsidRPr="003A173C">
        <w:rPr>
          <w:rFonts w:cs="Calibri"/>
        </w:rPr>
        <w:t>access</w:t>
      </w:r>
      <w:r w:rsidR="7253FF22" w:rsidRPr="003A173C">
        <w:rPr>
          <w:rFonts w:cs="Calibri"/>
        </w:rPr>
        <w:t xml:space="preserve"> to</w:t>
      </w:r>
      <w:r w:rsidR="70EBDE70" w:rsidRPr="003A173C">
        <w:rPr>
          <w:rFonts w:cs="Calibri"/>
        </w:rPr>
        <w:t>:</w:t>
      </w:r>
    </w:p>
    <w:p w14:paraId="64DCC4C7" w14:textId="77777777" w:rsidR="00FD54DC" w:rsidRPr="003A173C" w:rsidRDefault="32463182" w:rsidP="00FA34AC">
      <w:pPr>
        <w:pStyle w:val="ListBullet"/>
      </w:pPr>
      <w:r w:rsidRPr="003A173C">
        <w:t>more than 3</w:t>
      </w:r>
      <w:r w:rsidR="04698620" w:rsidRPr="003A173C">
        <w:t>,</w:t>
      </w:r>
      <w:r w:rsidRPr="003A173C">
        <w:t>000 contracted interpreters across Australia</w:t>
      </w:r>
      <w:r w:rsidR="1B4B78AC" w:rsidRPr="003A173C">
        <w:t>; and</w:t>
      </w:r>
    </w:p>
    <w:p w14:paraId="0475E588" w14:textId="500985E5" w:rsidR="009F7ADE" w:rsidRPr="003A173C" w:rsidRDefault="32463182" w:rsidP="00FA34AC">
      <w:pPr>
        <w:pStyle w:val="ListBullet"/>
      </w:pPr>
      <w:r w:rsidRPr="003A173C">
        <w:t>interpreters speaking more than 160 languages.</w:t>
      </w:r>
    </w:p>
    <w:p w14:paraId="3415CA94" w14:textId="53943B79" w:rsidR="008A617E" w:rsidRPr="000A3183" w:rsidRDefault="32463182" w:rsidP="1CBD4533">
      <w:pPr>
        <w:rPr>
          <w:rFonts w:cs="Calibri"/>
          <w:szCs w:val="20"/>
        </w:rPr>
      </w:pPr>
      <w:r w:rsidRPr="003A173C">
        <w:rPr>
          <w:rFonts w:cs="Calibri"/>
        </w:rPr>
        <w:t xml:space="preserve">TIS National’s immediate phone interpreting service is available 24 hours a day, every day of the year for any person or organisation in Australia who needs </w:t>
      </w:r>
      <w:r w:rsidRPr="000A3183">
        <w:rPr>
          <w:rFonts w:cs="Calibri"/>
          <w:szCs w:val="20"/>
        </w:rPr>
        <w:t xml:space="preserve">an interpreter. </w:t>
      </w:r>
      <w:r w:rsidR="0524500C" w:rsidRPr="000A3183">
        <w:rPr>
          <w:rFonts w:cs="Calibri"/>
          <w:szCs w:val="20"/>
        </w:rPr>
        <w:t xml:space="preserve">Registered </w:t>
      </w:r>
      <w:r w:rsidR="21FA2EE2" w:rsidRPr="000A3183">
        <w:rPr>
          <w:rFonts w:cs="Calibri"/>
          <w:szCs w:val="20"/>
        </w:rPr>
        <w:t xml:space="preserve">providers of </w:t>
      </w:r>
      <w:r w:rsidR="1D2B8E7D" w:rsidRPr="000A3183">
        <w:rPr>
          <w:rFonts w:cs="Calibri"/>
          <w:szCs w:val="20"/>
        </w:rPr>
        <w:t>funded aged care services</w:t>
      </w:r>
      <w:r w:rsidR="21FA2EE2" w:rsidRPr="000A3183">
        <w:rPr>
          <w:rFonts w:cs="Calibri"/>
          <w:szCs w:val="20"/>
        </w:rPr>
        <w:t>, including transition care, can use TIS National for free when discussing care needs, fees, care plans and budgets with clients.</w:t>
      </w:r>
    </w:p>
    <w:p w14:paraId="3CF79270" w14:textId="77777777" w:rsidR="008A617E" w:rsidRPr="000A3183" w:rsidRDefault="5D8F64CD" w:rsidP="1CBD4533">
      <w:pPr>
        <w:rPr>
          <w:rFonts w:cs="Calibri"/>
          <w:szCs w:val="20"/>
        </w:rPr>
      </w:pPr>
      <w:r w:rsidRPr="000A3183">
        <w:rPr>
          <w:rFonts w:cs="Calibri"/>
          <w:szCs w:val="20"/>
        </w:rPr>
        <w:t>TIS National can be contacted through the following channels:</w:t>
      </w:r>
    </w:p>
    <w:p w14:paraId="00B9AC61" w14:textId="4B6A3C5C" w:rsidR="008A617E" w:rsidRPr="000A3183" w:rsidRDefault="5D8F64CD" w:rsidP="00FA34AC">
      <w:pPr>
        <w:pStyle w:val="ListBullet"/>
      </w:pPr>
      <w:r w:rsidRPr="000A3183">
        <w:t xml:space="preserve">Online: </w:t>
      </w:r>
      <w:hyperlink w:history="1">
        <w:r w:rsidR="00735EC1" w:rsidRPr="000A3183">
          <w:rPr>
            <w:rStyle w:val="Hyperlink"/>
            <w:rFonts w:ascii="Calibri" w:hAnsi="Calibri" w:cs="Calibri"/>
            <w:sz w:val="20"/>
            <w:szCs w:val="20"/>
          </w:rPr>
          <w:t xml:space="preserve">www.tisnational.gov.au  </w:t>
        </w:r>
      </w:hyperlink>
    </w:p>
    <w:p w14:paraId="6E16C8F9" w14:textId="77777777" w:rsidR="008A617E" w:rsidRPr="000A3183" w:rsidRDefault="5D8F64CD" w:rsidP="00FA34AC">
      <w:pPr>
        <w:pStyle w:val="ListBullet"/>
      </w:pPr>
      <w:r w:rsidRPr="000A3183">
        <w:t>General telephone enquiries: 1300 655 820</w:t>
      </w:r>
    </w:p>
    <w:p w14:paraId="7B28DA16" w14:textId="77777777" w:rsidR="008A617E" w:rsidRPr="000A3183" w:rsidRDefault="5D8F64CD" w:rsidP="00FA34AC">
      <w:pPr>
        <w:pStyle w:val="ListBullet"/>
      </w:pPr>
      <w:r w:rsidRPr="000A3183">
        <w:t>Immediate phone interpreting: 131 450</w:t>
      </w:r>
    </w:p>
    <w:p w14:paraId="59CC4080" w14:textId="0AA5BDA1" w:rsidR="008A617E" w:rsidRPr="000A3183" w:rsidRDefault="5D8F64CD" w:rsidP="005C59EE">
      <w:pPr>
        <w:pStyle w:val="ListBullet"/>
      </w:pPr>
      <w:r w:rsidRPr="000A3183">
        <w:t xml:space="preserve">Email: </w:t>
      </w:r>
      <w:hyperlink r:id="rId29" w:history="1">
        <w:r w:rsidRPr="00AA4BB2">
          <w:rPr>
            <w:color w:val="002060"/>
            <w:u w:val="single"/>
          </w:rPr>
          <w:t>tispromo@homeaffairs.gov.au</w:t>
        </w:r>
      </w:hyperlink>
      <w:r w:rsidRPr="000A3183">
        <w:t xml:space="preserve"> </w:t>
      </w:r>
    </w:p>
    <w:p w14:paraId="372EB0A9" w14:textId="1B4CDD66" w:rsidR="0058327D" w:rsidRPr="000A3183" w:rsidRDefault="6E309936" w:rsidP="1CBD4533">
      <w:pPr>
        <w:rPr>
          <w:rFonts w:cs="Calibri"/>
          <w:spacing w:val="0"/>
          <w:szCs w:val="20"/>
        </w:rPr>
      </w:pPr>
      <w:r w:rsidRPr="000A3183">
        <w:rPr>
          <w:rFonts w:cs="Calibri"/>
          <w:szCs w:val="20"/>
        </w:rPr>
        <w:t xml:space="preserve">For information on registering </w:t>
      </w:r>
      <w:r w:rsidR="4A6804AC" w:rsidRPr="000A3183">
        <w:rPr>
          <w:rFonts w:cs="Calibri"/>
          <w:szCs w:val="20"/>
        </w:rPr>
        <w:t xml:space="preserve">with </w:t>
      </w:r>
      <w:r w:rsidRPr="000A3183">
        <w:rPr>
          <w:rFonts w:cs="Calibri"/>
          <w:szCs w:val="20"/>
        </w:rPr>
        <w:t>and accessing TIS National, please see the Department’s website at:</w:t>
      </w:r>
      <w:r w:rsidRPr="000A3183">
        <w:rPr>
          <w:rFonts w:eastAsia="Calibri" w:cs="Calibri"/>
          <w:spacing w:val="0"/>
          <w:szCs w:val="20"/>
          <w:lang w:eastAsia="en-US"/>
        </w:rPr>
        <w:t xml:space="preserve"> </w:t>
      </w:r>
      <w:hyperlink r:id="rId30" w:anchor="registering-for-tis-national" w:history="1">
        <w:r w:rsidR="5BFEDEE8" w:rsidRPr="000A3183">
          <w:rPr>
            <w:rStyle w:val="Hyperlink"/>
            <w:rFonts w:ascii="Calibri" w:eastAsia="Calibri" w:hAnsi="Calibri" w:cs="Calibri"/>
            <w:sz w:val="20"/>
            <w:szCs w:val="20"/>
            <w:lang w:eastAsia="en-US"/>
          </w:rPr>
          <w:t>Translating and Interpreting Service (TIS National) for aged care service providers and older people in aged care | Australian Government Department of Health and Aged Care</w:t>
        </w:r>
      </w:hyperlink>
      <w:r w:rsidR="5BFEDEE8" w:rsidRPr="000A3183">
        <w:rPr>
          <w:rFonts w:eastAsia="Calibri" w:cs="Calibri"/>
          <w:szCs w:val="20"/>
          <w:lang w:eastAsia="en-US"/>
        </w:rPr>
        <w:t xml:space="preserve">. </w:t>
      </w:r>
    </w:p>
    <w:p w14:paraId="153C0B41" w14:textId="00DA2775" w:rsidR="00FD54DC" w:rsidRPr="00FA34AC" w:rsidRDefault="32463182" w:rsidP="008974DB">
      <w:pPr>
        <w:pStyle w:val="Style3"/>
      </w:pPr>
      <w:bookmarkStart w:id="536" w:name="_Toc216865455"/>
      <w:r w:rsidRPr="00FA34AC">
        <w:t>My Aged Care</w:t>
      </w:r>
      <w:bookmarkEnd w:id="536"/>
    </w:p>
    <w:p w14:paraId="3B887782" w14:textId="2CE5C7B3" w:rsidR="00D426C7" w:rsidRPr="003A173C" w:rsidRDefault="009E090F" w:rsidP="1CBD4533">
      <w:pPr>
        <w:rPr>
          <w:rFonts w:cs="Calibri"/>
        </w:rPr>
      </w:pPr>
      <w:r w:rsidRPr="003A173C">
        <w:rPr>
          <w:rFonts w:cs="Calibri"/>
        </w:rPr>
        <w:t xml:space="preserve">The </w:t>
      </w:r>
      <w:r w:rsidR="0EEAE1CD" w:rsidRPr="003A173C">
        <w:rPr>
          <w:rFonts w:cs="Calibri"/>
        </w:rPr>
        <w:t>My A</w:t>
      </w:r>
      <w:r w:rsidR="6F1F40D8" w:rsidRPr="003A173C">
        <w:rPr>
          <w:rFonts w:cs="Calibri"/>
        </w:rPr>
        <w:t>g</w:t>
      </w:r>
      <w:r w:rsidR="5983941D" w:rsidRPr="003A173C">
        <w:rPr>
          <w:rFonts w:cs="Calibri"/>
        </w:rPr>
        <w:t xml:space="preserve">ed </w:t>
      </w:r>
      <w:r w:rsidR="63AACBC7" w:rsidRPr="003A173C">
        <w:rPr>
          <w:rFonts w:cs="Calibri"/>
        </w:rPr>
        <w:t>C</w:t>
      </w:r>
      <w:r w:rsidR="5983941D" w:rsidRPr="003A173C">
        <w:rPr>
          <w:rFonts w:cs="Calibri"/>
        </w:rPr>
        <w:t>are</w:t>
      </w:r>
      <w:r w:rsidRPr="003A173C">
        <w:rPr>
          <w:rFonts w:cs="Calibri"/>
        </w:rPr>
        <w:t xml:space="preserve"> website</w:t>
      </w:r>
      <w:r w:rsidR="5983941D" w:rsidRPr="003A173C">
        <w:rPr>
          <w:rFonts w:cs="Calibri"/>
        </w:rPr>
        <w:t xml:space="preserve"> is the </w:t>
      </w:r>
      <w:r w:rsidR="63AACBC7" w:rsidRPr="003A173C">
        <w:rPr>
          <w:rFonts w:cs="Calibri"/>
        </w:rPr>
        <w:t xml:space="preserve">entry </w:t>
      </w:r>
      <w:r w:rsidR="5983941D" w:rsidRPr="003A173C">
        <w:rPr>
          <w:rFonts w:cs="Calibri"/>
        </w:rPr>
        <w:t>point to access Australian Government funded aged care services</w:t>
      </w:r>
      <w:r w:rsidR="63AACBC7" w:rsidRPr="003A173C">
        <w:rPr>
          <w:rFonts w:cs="Calibri"/>
        </w:rPr>
        <w:t xml:space="preserve"> and </w:t>
      </w:r>
      <w:r w:rsidR="59A2ACF9" w:rsidRPr="003A173C">
        <w:rPr>
          <w:rFonts w:cs="Calibri"/>
        </w:rPr>
        <w:t xml:space="preserve">provides </w:t>
      </w:r>
      <w:r w:rsidR="63AACBC7" w:rsidRPr="003A173C">
        <w:rPr>
          <w:rFonts w:cs="Calibri"/>
        </w:rPr>
        <w:t xml:space="preserve">information about </w:t>
      </w:r>
      <w:r w:rsidR="59A2ACF9" w:rsidRPr="003A173C">
        <w:rPr>
          <w:rFonts w:cs="Calibri"/>
        </w:rPr>
        <w:t xml:space="preserve">the </w:t>
      </w:r>
      <w:r w:rsidR="63AACBC7" w:rsidRPr="003A173C">
        <w:rPr>
          <w:rFonts w:cs="Calibri"/>
        </w:rPr>
        <w:t xml:space="preserve">types of aged care services available, eligibility for services, referrals to </w:t>
      </w:r>
      <w:r w:rsidR="59A2ACF9" w:rsidRPr="003A173C">
        <w:rPr>
          <w:rFonts w:cs="Calibri"/>
        </w:rPr>
        <w:t>service providers that meet a client’s</w:t>
      </w:r>
      <w:r w:rsidR="63AACBC7" w:rsidRPr="003A173C">
        <w:rPr>
          <w:rFonts w:cs="Calibri"/>
        </w:rPr>
        <w:t xml:space="preserve"> needs</w:t>
      </w:r>
      <w:r w:rsidR="6057A710" w:rsidRPr="003A173C">
        <w:rPr>
          <w:rFonts w:cs="Calibri"/>
        </w:rPr>
        <w:t>,</w:t>
      </w:r>
      <w:r w:rsidR="63AACBC7" w:rsidRPr="003A173C">
        <w:rPr>
          <w:rFonts w:cs="Calibri"/>
        </w:rPr>
        <w:t xml:space="preserve"> and the contribution</w:t>
      </w:r>
      <w:r w:rsidR="00F936DB" w:rsidRPr="003A173C">
        <w:rPr>
          <w:rFonts w:cs="Calibri"/>
        </w:rPr>
        <w:t>s</w:t>
      </w:r>
      <w:r w:rsidR="63AACBC7" w:rsidRPr="003A173C">
        <w:rPr>
          <w:rFonts w:cs="Calibri"/>
        </w:rPr>
        <w:t xml:space="preserve"> </w:t>
      </w:r>
      <w:r w:rsidR="73FA6F15" w:rsidRPr="003A173C">
        <w:rPr>
          <w:rFonts w:cs="Calibri"/>
        </w:rPr>
        <w:t xml:space="preserve">they </w:t>
      </w:r>
      <w:r w:rsidR="63AACBC7" w:rsidRPr="003A173C">
        <w:rPr>
          <w:rFonts w:cs="Calibri"/>
        </w:rPr>
        <w:t>can be asked to pay</w:t>
      </w:r>
      <w:r w:rsidR="5983941D" w:rsidRPr="003A173C">
        <w:rPr>
          <w:rFonts w:cs="Calibri"/>
        </w:rPr>
        <w:t>.</w:t>
      </w:r>
      <w:r w:rsidR="67CFF360" w:rsidRPr="003A173C">
        <w:rPr>
          <w:rFonts w:cs="Calibri"/>
        </w:rPr>
        <w:t xml:space="preserve"> </w:t>
      </w:r>
      <w:r w:rsidR="1236BA7D" w:rsidRPr="003A173C">
        <w:rPr>
          <w:rFonts w:cs="Calibri"/>
        </w:rPr>
        <w:t>The</w:t>
      </w:r>
      <w:r w:rsidR="5983941D" w:rsidRPr="003A173C">
        <w:rPr>
          <w:rFonts w:cs="Calibri"/>
        </w:rPr>
        <w:t xml:space="preserve"> </w:t>
      </w:r>
      <w:r w:rsidR="1236BA7D" w:rsidRPr="003A173C">
        <w:rPr>
          <w:rFonts w:cs="Calibri"/>
        </w:rPr>
        <w:t>My</w:t>
      </w:r>
      <w:r w:rsidR="215600CB" w:rsidRPr="003A173C">
        <w:rPr>
          <w:rFonts w:cs="Calibri"/>
        </w:rPr>
        <w:t> </w:t>
      </w:r>
      <w:r w:rsidR="1236BA7D" w:rsidRPr="003A173C">
        <w:rPr>
          <w:rFonts w:cs="Calibri"/>
        </w:rPr>
        <w:t>A</w:t>
      </w:r>
      <w:r w:rsidR="5983941D" w:rsidRPr="003A173C">
        <w:rPr>
          <w:rFonts w:cs="Calibri"/>
        </w:rPr>
        <w:t xml:space="preserve">ged </w:t>
      </w:r>
      <w:r w:rsidR="1236BA7D" w:rsidRPr="003A173C">
        <w:rPr>
          <w:rFonts w:cs="Calibri"/>
        </w:rPr>
        <w:t>C</w:t>
      </w:r>
      <w:r w:rsidR="5983941D" w:rsidRPr="003A173C">
        <w:rPr>
          <w:rFonts w:cs="Calibri"/>
        </w:rPr>
        <w:t xml:space="preserve">are phone line and website can </w:t>
      </w:r>
      <w:r w:rsidR="27B040AE" w:rsidRPr="003A173C">
        <w:rPr>
          <w:rFonts w:cs="Calibri"/>
        </w:rPr>
        <w:t xml:space="preserve">be used to </w:t>
      </w:r>
      <w:r w:rsidR="5983941D" w:rsidRPr="003A173C">
        <w:rPr>
          <w:rFonts w:cs="Calibri"/>
        </w:rPr>
        <w:t xml:space="preserve">find information </w:t>
      </w:r>
      <w:r w:rsidR="70EBDE70" w:rsidRPr="003A173C">
        <w:rPr>
          <w:rFonts w:cs="Calibri"/>
        </w:rPr>
        <w:t xml:space="preserve">about the </w:t>
      </w:r>
      <w:r w:rsidR="00F936DB" w:rsidRPr="003A173C">
        <w:rPr>
          <w:rFonts w:cs="Calibri"/>
        </w:rPr>
        <w:t xml:space="preserve">transition care </w:t>
      </w:r>
      <w:r w:rsidR="00B505C7" w:rsidRPr="003A173C">
        <w:rPr>
          <w:rFonts w:cs="Calibri"/>
        </w:rPr>
        <w:t>program</w:t>
      </w:r>
      <w:r w:rsidR="73FA6F15" w:rsidRPr="003A173C">
        <w:rPr>
          <w:rFonts w:cs="Calibri"/>
        </w:rPr>
        <w:t>. T</w:t>
      </w:r>
      <w:r w:rsidR="7DA7EBEE" w:rsidRPr="003A173C">
        <w:rPr>
          <w:rFonts w:cs="Calibri"/>
        </w:rPr>
        <w:t>he</w:t>
      </w:r>
      <w:r w:rsidR="0EEAE1CD" w:rsidRPr="003A173C">
        <w:rPr>
          <w:rFonts w:cs="Calibri"/>
        </w:rPr>
        <w:t xml:space="preserve"> My</w:t>
      </w:r>
      <w:r w:rsidR="215600CB" w:rsidRPr="003A173C">
        <w:rPr>
          <w:rFonts w:cs="Calibri"/>
        </w:rPr>
        <w:t> </w:t>
      </w:r>
      <w:r w:rsidR="0EEAE1CD" w:rsidRPr="003A173C">
        <w:rPr>
          <w:rFonts w:cs="Calibri"/>
        </w:rPr>
        <w:t>Aged Care contact centre</w:t>
      </w:r>
      <w:r w:rsidR="73FA6F15" w:rsidRPr="003A173C">
        <w:rPr>
          <w:rFonts w:cs="Calibri"/>
        </w:rPr>
        <w:t xml:space="preserve"> can be contacted on </w:t>
      </w:r>
      <w:r w:rsidR="0EEAE1CD" w:rsidRPr="003A173C">
        <w:rPr>
          <w:rFonts w:cs="Calibri"/>
        </w:rPr>
        <w:t>1800 200 422</w:t>
      </w:r>
      <w:r w:rsidR="00F936DB" w:rsidRPr="003A173C">
        <w:rPr>
          <w:rFonts w:cs="Calibri"/>
        </w:rPr>
        <w:t xml:space="preserve"> and its operating hours are</w:t>
      </w:r>
      <w:r w:rsidR="0EEAE1CD" w:rsidRPr="003A173C">
        <w:rPr>
          <w:rFonts w:cs="Calibri"/>
        </w:rPr>
        <w:t>:</w:t>
      </w:r>
    </w:p>
    <w:p w14:paraId="7D5D8738" w14:textId="77777777" w:rsidR="00FD54DC" w:rsidRPr="003A173C" w:rsidRDefault="0EEAE1CD" w:rsidP="00FA34AC">
      <w:pPr>
        <w:pStyle w:val="ListBullet"/>
      </w:pPr>
      <w:r w:rsidRPr="003A173C">
        <w:t>Monday to Friday 8am – 8pm</w:t>
      </w:r>
    </w:p>
    <w:p w14:paraId="08197D1D" w14:textId="77777777" w:rsidR="00D426C7" w:rsidRPr="003A173C" w:rsidRDefault="0EEAE1CD" w:rsidP="00FA34AC">
      <w:pPr>
        <w:pStyle w:val="ListBullet"/>
      </w:pPr>
      <w:r w:rsidRPr="003A173C">
        <w:t>Saturdays 10am – 2pm</w:t>
      </w:r>
    </w:p>
    <w:p w14:paraId="54E1681F" w14:textId="17CAF4B2" w:rsidR="00D426C7" w:rsidRPr="003A173C" w:rsidRDefault="0EEAE1CD" w:rsidP="00FA34AC">
      <w:pPr>
        <w:pStyle w:val="ListBullet"/>
      </w:pPr>
      <w:r w:rsidRPr="003A173C">
        <w:t>Sundays and national public holidays – Closed</w:t>
      </w:r>
    </w:p>
    <w:p w14:paraId="66645C01" w14:textId="45A2E85E" w:rsidR="00402CDD" w:rsidRPr="003A173C" w:rsidRDefault="391CC062" w:rsidP="00F453A1">
      <w:pPr>
        <w:rPr>
          <w:rFonts w:cs="Calibri"/>
          <w:lang w:eastAsia="en-US"/>
        </w:rPr>
      </w:pPr>
      <w:r w:rsidRPr="003A173C">
        <w:rPr>
          <w:rFonts w:cs="Calibri"/>
          <w:lang w:eastAsia="en-US"/>
        </w:rPr>
        <w:t>A</w:t>
      </w:r>
      <w:r w:rsidR="63AACBC7" w:rsidRPr="003A173C">
        <w:rPr>
          <w:rFonts w:cs="Calibri"/>
          <w:lang w:eastAsia="en-US"/>
        </w:rPr>
        <w:t>dditional information</w:t>
      </w:r>
      <w:r w:rsidRPr="003A173C">
        <w:rPr>
          <w:rFonts w:cs="Calibri"/>
          <w:lang w:eastAsia="en-US"/>
        </w:rPr>
        <w:t xml:space="preserve"> can be found at the </w:t>
      </w:r>
      <w:hyperlink r:id="rId31" w:history="1">
        <w:r w:rsidR="0EEAE1CD" w:rsidRPr="003A173C">
          <w:rPr>
            <w:rStyle w:val="Hyperlink"/>
            <w:rFonts w:ascii="Calibri" w:eastAsiaTheme="majorEastAsia" w:hAnsi="Calibri" w:cs="Calibri"/>
            <w:sz w:val="20"/>
            <w:szCs w:val="20"/>
            <w:lang w:eastAsia="en-US"/>
          </w:rPr>
          <w:t>My Aged Care Website</w:t>
        </w:r>
      </w:hyperlink>
      <w:r w:rsidR="0EEAE1CD" w:rsidRPr="003A173C">
        <w:rPr>
          <w:rFonts w:cs="Calibri"/>
          <w:lang w:eastAsia="en-US"/>
        </w:rPr>
        <w:t>.</w:t>
      </w:r>
    </w:p>
    <w:p w14:paraId="332A7E09" w14:textId="78BA66B8" w:rsidR="00D426C7" w:rsidRPr="00FA34AC" w:rsidRDefault="008E66C3" w:rsidP="008974DB">
      <w:pPr>
        <w:pStyle w:val="Style3"/>
      </w:pPr>
      <w:bookmarkStart w:id="537" w:name="_Toc216865456"/>
      <w:r w:rsidRPr="00FA34AC">
        <w:t>Services Australia</w:t>
      </w:r>
      <w:bookmarkEnd w:id="537"/>
    </w:p>
    <w:p w14:paraId="3CF6202D" w14:textId="1FA9AF91" w:rsidR="009E1964" w:rsidRPr="003A173C" w:rsidRDefault="009E1964" w:rsidP="00781B94">
      <w:pPr>
        <w:rPr>
          <w:rFonts w:cs="Calibri"/>
          <w:lang w:eastAsia="en-US"/>
        </w:rPr>
      </w:pPr>
      <w:r w:rsidRPr="003A173C">
        <w:rPr>
          <w:rFonts w:eastAsia="Calibri" w:cs="Calibri"/>
          <w:color w:val="1F497D"/>
          <w:spacing w:val="0"/>
          <w:sz w:val="22"/>
          <w:szCs w:val="22"/>
          <w:lang w:eastAsia="en-US"/>
        </w:rPr>
        <w:t>S</w:t>
      </w:r>
      <w:r w:rsidRPr="003A173C">
        <w:rPr>
          <w:rFonts w:cs="Calibri"/>
          <w:lang w:eastAsia="en-US"/>
        </w:rPr>
        <w:t>ervices Australia is responsible for processing the payment of transition care subsidies.</w:t>
      </w:r>
    </w:p>
    <w:p w14:paraId="4C25C0AC" w14:textId="1AF404B2" w:rsidR="009E1964" w:rsidRPr="003A173C" w:rsidRDefault="7125A60A" w:rsidP="00F453A1">
      <w:pPr>
        <w:rPr>
          <w:rFonts w:cs="Calibri"/>
          <w:lang w:eastAsia="en-US"/>
        </w:rPr>
      </w:pPr>
      <w:r w:rsidRPr="003A173C">
        <w:rPr>
          <w:rFonts w:cs="Calibri"/>
          <w:lang w:eastAsia="en-US"/>
        </w:rPr>
        <w:t>TCP subsidy</w:t>
      </w:r>
      <w:r w:rsidR="009E1964" w:rsidRPr="003A173C">
        <w:rPr>
          <w:rFonts w:cs="Calibri"/>
          <w:lang w:eastAsia="en-US"/>
        </w:rPr>
        <w:t xml:space="preserve"> claims for </w:t>
      </w:r>
      <w:r w:rsidR="009B7E25" w:rsidRPr="003A173C">
        <w:rPr>
          <w:rFonts w:cs="Calibri"/>
          <w:lang w:eastAsia="en-US"/>
        </w:rPr>
        <w:t xml:space="preserve">individuals </w:t>
      </w:r>
      <w:r w:rsidR="009E1964" w:rsidRPr="003A173C">
        <w:rPr>
          <w:rFonts w:cs="Calibri"/>
          <w:lang w:eastAsia="en-US"/>
        </w:rPr>
        <w:t xml:space="preserve">receiving transition care are processed in accordance with section </w:t>
      </w:r>
      <w:r w:rsidR="006E13B4" w:rsidRPr="003A173C">
        <w:rPr>
          <w:rFonts w:cs="Calibri"/>
          <w:lang w:eastAsia="en-US"/>
        </w:rPr>
        <w:t>260</w:t>
      </w:r>
      <w:r w:rsidR="009E1964" w:rsidRPr="003A173C">
        <w:rPr>
          <w:rFonts w:cs="Calibri"/>
          <w:lang w:eastAsia="en-US"/>
        </w:rPr>
        <w:t xml:space="preserve"> of the Act and</w:t>
      </w:r>
      <w:r w:rsidR="001E79B8" w:rsidRPr="003A173C">
        <w:rPr>
          <w:rFonts w:cs="Calibri"/>
          <w:lang w:eastAsia="en-US"/>
        </w:rPr>
        <w:t xml:space="preserve"> section 260-15 and 260-20</w:t>
      </w:r>
      <w:r w:rsidR="009E1964" w:rsidRPr="003A173C">
        <w:rPr>
          <w:rFonts w:cs="Calibri"/>
          <w:lang w:eastAsia="en-US"/>
        </w:rPr>
        <w:t xml:space="preserve"> </w:t>
      </w:r>
      <w:r w:rsidR="008578BF" w:rsidRPr="003A173C">
        <w:rPr>
          <w:rFonts w:cs="Calibri"/>
          <w:lang w:eastAsia="en-US"/>
        </w:rPr>
        <w:t xml:space="preserve">Rules, </w:t>
      </w:r>
      <w:r w:rsidR="00F936DB" w:rsidRPr="003A173C">
        <w:rPr>
          <w:rFonts w:cs="Calibri"/>
          <w:lang w:eastAsia="en-US"/>
        </w:rPr>
        <w:t xml:space="preserve">and </w:t>
      </w:r>
      <w:r w:rsidR="009E1964" w:rsidRPr="003A173C">
        <w:rPr>
          <w:rFonts w:cs="Calibri"/>
          <w:lang w:eastAsia="en-US"/>
        </w:rPr>
        <w:t xml:space="preserve">the </w:t>
      </w:r>
      <w:r w:rsidR="008578BF" w:rsidRPr="003A173C">
        <w:rPr>
          <w:rFonts w:cs="Calibri"/>
          <w:lang w:eastAsia="en-US"/>
        </w:rPr>
        <w:t>TCP Agreement be</w:t>
      </w:r>
      <w:r w:rsidR="009E1964" w:rsidRPr="003A173C">
        <w:rPr>
          <w:rFonts w:cs="Calibri"/>
          <w:lang w:eastAsia="en-US"/>
        </w:rPr>
        <w:t xml:space="preserve">tween the </w:t>
      </w:r>
      <w:r w:rsidR="00931641" w:rsidRPr="003A173C">
        <w:rPr>
          <w:rFonts w:cs="Calibri"/>
          <w:lang w:eastAsia="en-US"/>
        </w:rPr>
        <w:t xml:space="preserve">Australian </w:t>
      </w:r>
      <w:r w:rsidR="00734954" w:rsidRPr="003A173C">
        <w:rPr>
          <w:rFonts w:cs="Calibri"/>
          <w:lang w:eastAsia="en-US"/>
        </w:rPr>
        <w:t xml:space="preserve">Government and </w:t>
      </w:r>
      <w:r w:rsidR="003B7CAD" w:rsidRPr="003A173C">
        <w:rPr>
          <w:rFonts w:cs="Calibri"/>
          <w:lang w:eastAsia="en-US"/>
        </w:rPr>
        <w:t>S</w:t>
      </w:r>
      <w:r w:rsidR="00734954" w:rsidRPr="003A173C">
        <w:rPr>
          <w:rFonts w:cs="Calibri"/>
          <w:lang w:eastAsia="en-US"/>
        </w:rPr>
        <w:t xml:space="preserve">tate and </w:t>
      </w:r>
      <w:r w:rsidR="003B7CAD" w:rsidRPr="003A173C">
        <w:rPr>
          <w:rFonts w:cs="Calibri"/>
          <w:lang w:eastAsia="en-US"/>
        </w:rPr>
        <w:t>T</w:t>
      </w:r>
      <w:r w:rsidR="00734954" w:rsidRPr="003A173C">
        <w:rPr>
          <w:rFonts w:cs="Calibri"/>
          <w:lang w:eastAsia="en-US"/>
        </w:rPr>
        <w:t>erritory governments</w:t>
      </w:r>
      <w:r w:rsidR="009E1964" w:rsidRPr="003A173C">
        <w:rPr>
          <w:rFonts w:cs="Calibri"/>
          <w:lang w:eastAsia="en-US"/>
        </w:rPr>
        <w:t>.</w:t>
      </w:r>
    </w:p>
    <w:p w14:paraId="1A035BD2" w14:textId="1D9595F8" w:rsidR="009E1964" w:rsidRPr="003A173C" w:rsidRDefault="00BA488D" w:rsidP="00F453A1">
      <w:pPr>
        <w:rPr>
          <w:rFonts w:cs="Calibri"/>
          <w:lang w:eastAsia="en-US"/>
        </w:rPr>
      </w:pPr>
      <w:r w:rsidRPr="003A173C">
        <w:rPr>
          <w:rFonts w:cs="Calibri"/>
          <w:lang w:eastAsia="en-US"/>
        </w:rPr>
        <w:t>Subs</w:t>
      </w:r>
      <w:r w:rsidR="009E1964" w:rsidRPr="003A173C">
        <w:rPr>
          <w:rFonts w:cs="Calibri"/>
          <w:lang w:eastAsia="en-US"/>
        </w:rPr>
        <w:t xml:space="preserve">idy claims are lodged </w:t>
      </w:r>
      <w:r w:rsidR="004E036F" w:rsidRPr="003A173C">
        <w:rPr>
          <w:rFonts w:cs="Calibri"/>
          <w:lang w:eastAsia="en-US"/>
        </w:rPr>
        <w:t xml:space="preserve">monthly </w:t>
      </w:r>
      <w:r w:rsidR="009E1964" w:rsidRPr="003A173C">
        <w:rPr>
          <w:rFonts w:cs="Calibri"/>
          <w:lang w:eastAsia="en-US"/>
        </w:rPr>
        <w:t>by TCP service providers via the Aged Care Provider Portal (</w:t>
      </w:r>
      <w:r w:rsidR="009E1964" w:rsidRPr="003A173C">
        <w:rPr>
          <w:rFonts w:cs="Calibri"/>
          <w:b/>
          <w:bCs/>
          <w:lang w:eastAsia="en-US"/>
        </w:rPr>
        <w:t>ACPP</w:t>
      </w:r>
      <w:r w:rsidR="009E1964" w:rsidRPr="003A173C">
        <w:rPr>
          <w:rFonts w:cs="Calibri"/>
          <w:lang w:eastAsia="en-US"/>
        </w:rPr>
        <w:t xml:space="preserve">), a secure online platform </w:t>
      </w:r>
      <w:r w:rsidR="009C268B" w:rsidRPr="003A173C">
        <w:rPr>
          <w:rFonts w:cs="Calibri"/>
          <w:lang w:eastAsia="en-US"/>
        </w:rPr>
        <w:t xml:space="preserve">managed by Services Australia. </w:t>
      </w:r>
    </w:p>
    <w:p w14:paraId="57BEFC77" w14:textId="0EA6FF19" w:rsidR="009E1964" w:rsidRPr="003A173C" w:rsidRDefault="009E1964" w:rsidP="00F453A1">
      <w:pPr>
        <w:rPr>
          <w:rFonts w:cs="Calibri"/>
          <w:lang w:eastAsia="en-US"/>
        </w:rPr>
      </w:pPr>
      <w:r w:rsidRPr="003A173C">
        <w:rPr>
          <w:rFonts w:cs="Calibri"/>
          <w:lang w:eastAsia="en-US"/>
        </w:rPr>
        <w:t xml:space="preserve">The ACPP has integrated features which makes the platform user friendly, including quick links. It allows </w:t>
      </w:r>
      <w:r w:rsidR="00464606" w:rsidRPr="003A173C">
        <w:rPr>
          <w:rFonts w:cs="Calibri"/>
          <w:lang w:eastAsia="en-US"/>
        </w:rPr>
        <w:t xml:space="preserve">users </w:t>
      </w:r>
      <w:r w:rsidRPr="003A173C">
        <w:rPr>
          <w:rFonts w:cs="Calibri"/>
          <w:lang w:eastAsia="en-US"/>
        </w:rPr>
        <w:t xml:space="preserve">to easily manage claims utilising self-service tools, with the capacity to quickly filter details in claim and event screens and to securely search for </w:t>
      </w:r>
      <w:r w:rsidR="00932E5F" w:rsidRPr="003A173C">
        <w:rPr>
          <w:rFonts w:cs="Calibri"/>
          <w:lang w:eastAsia="en-US"/>
        </w:rPr>
        <w:t>individuals</w:t>
      </w:r>
      <w:r w:rsidRPr="003A173C">
        <w:rPr>
          <w:rFonts w:cs="Calibri"/>
          <w:lang w:eastAsia="en-US"/>
        </w:rPr>
        <w:t xml:space="preserve"> and events.</w:t>
      </w:r>
    </w:p>
    <w:p w14:paraId="6CAA8DA6" w14:textId="234556E2" w:rsidR="009E1964" w:rsidRPr="002912CA" w:rsidRDefault="009E1964" w:rsidP="00F453A1">
      <w:pPr>
        <w:rPr>
          <w:rFonts w:cs="Calibri"/>
          <w:lang w:eastAsia="en-US"/>
        </w:rPr>
      </w:pPr>
      <w:r w:rsidRPr="003A173C">
        <w:rPr>
          <w:rFonts w:cs="Calibri"/>
          <w:lang w:eastAsia="en-US"/>
        </w:rPr>
        <w:lastRenderedPageBreak/>
        <w:t xml:space="preserve">Users with ‘organisation’ administration access can use provider self-service features to manage which users have access to claim on behalf of a </w:t>
      </w:r>
      <w:r w:rsidR="00464606" w:rsidRPr="003A173C">
        <w:rPr>
          <w:rFonts w:cs="Calibri"/>
          <w:lang w:eastAsia="en-US"/>
        </w:rPr>
        <w:t xml:space="preserve">registered provider and/or its </w:t>
      </w:r>
      <w:r w:rsidRPr="003A173C">
        <w:rPr>
          <w:rFonts w:cs="Calibri"/>
          <w:lang w:eastAsia="en-US"/>
        </w:rPr>
        <w:t>service</w:t>
      </w:r>
      <w:r w:rsidR="00464606" w:rsidRPr="003A173C">
        <w:rPr>
          <w:rFonts w:cs="Calibri"/>
          <w:lang w:eastAsia="en-US"/>
        </w:rPr>
        <w:t>s</w:t>
      </w:r>
      <w:r w:rsidRPr="003A173C">
        <w:rPr>
          <w:rFonts w:cs="Calibri"/>
          <w:lang w:eastAsia="en-US"/>
        </w:rPr>
        <w:t xml:space="preserve">. Users can also use these features to update key </w:t>
      </w:r>
      <w:r w:rsidR="00464606" w:rsidRPr="003A173C">
        <w:rPr>
          <w:rFonts w:cs="Calibri"/>
          <w:lang w:eastAsia="en-US"/>
        </w:rPr>
        <w:t xml:space="preserve">provider </w:t>
      </w:r>
      <w:r w:rsidRPr="003A173C">
        <w:rPr>
          <w:rFonts w:cs="Calibri"/>
          <w:lang w:eastAsia="en-US"/>
        </w:rPr>
        <w:t>information online in real-time.</w:t>
      </w:r>
    </w:p>
    <w:p w14:paraId="646E64ED" w14:textId="65141AF8" w:rsidR="00417009" w:rsidRPr="002912CA" w:rsidRDefault="009E1964" w:rsidP="00F453A1">
      <w:pPr>
        <w:rPr>
          <w:rFonts w:eastAsia="Calibri" w:cs="Calibri"/>
          <w:lang w:eastAsia="en-US"/>
        </w:rPr>
      </w:pPr>
      <w:r w:rsidRPr="002912CA">
        <w:rPr>
          <w:rFonts w:eastAsia="Calibri" w:cs="Calibri"/>
          <w:lang w:eastAsia="en-US"/>
        </w:rPr>
        <w:t xml:space="preserve">Information regarding the ACPP, including access guidelines and user resources </w:t>
      </w:r>
      <w:r w:rsidR="00DD0276">
        <w:rPr>
          <w:rFonts w:eastAsia="Calibri" w:cs="Calibri"/>
          <w:lang w:eastAsia="en-US"/>
        </w:rPr>
        <w:t xml:space="preserve">including claiming processes </w:t>
      </w:r>
      <w:r w:rsidRPr="002912CA">
        <w:rPr>
          <w:rFonts w:eastAsia="Calibri" w:cs="Calibri"/>
          <w:lang w:eastAsia="en-US"/>
        </w:rPr>
        <w:t>are available at the</w:t>
      </w:r>
      <w:r w:rsidR="00BF10A0">
        <w:rPr>
          <w:rFonts w:eastAsia="Calibri" w:cs="Calibri"/>
          <w:lang w:eastAsia="en-US"/>
        </w:rPr>
        <w:t>se</w:t>
      </w:r>
      <w:r w:rsidRPr="002912CA">
        <w:rPr>
          <w:rFonts w:eastAsia="Calibri" w:cs="Calibri"/>
          <w:lang w:eastAsia="en-US"/>
        </w:rPr>
        <w:t xml:space="preserve"> Services Australia website</w:t>
      </w:r>
      <w:r w:rsidR="004502F1">
        <w:rPr>
          <w:rFonts w:eastAsia="Calibri" w:cs="Calibri"/>
          <w:lang w:eastAsia="en-US"/>
        </w:rPr>
        <w:t>s</w:t>
      </w:r>
      <w:r w:rsidRPr="002912CA">
        <w:rPr>
          <w:rFonts w:eastAsia="Calibri" w:cs="Calibri"/>
          <w:lang w:eastAsia="en-US"/>
        </w:rPr>
        <w:t xml:space="preserve">: </w:t>
      </w:r>
    </w:p>
    <w:p w14:paraId="56CD6F7B" w14:textId="77777777" w:rsidR="007323C0" w:rsidRPr="004502F1" w:rsidRDefault="007323C0" w:rsidP="00FA34AC">
      <w:pPr>
        <w:pStyle w:val="ListBullet"/>
        <w:rPr>
          <w:rFonts w:eastAsia="Calibri"/>
          <w:lang w:eastAsia="en-US"/>
        </w:rPr>
      </w:pPr>
      <w:hyperlink r:id="rId32" w:history="1">
        <w:r w:rsidRPr="004502F1">
          <w:rPr>
            <w:rStyle w:val="Hyperlink"/>
            <w:rFonts w:ascii="Calibri" w:hAnsi="Calibri" w:cs="Calibri"/>
            <w:sz w:val="20"/>
          </w:rPr>
          <w:t>Aged Care Provider Portal - Health professionals - Services Australia</w:t>
        </w:r>
      </w:hyperlink>
    </w:p>
    <w:p w14:paraId="2EFAB3C5" w14:textId="07252CA2" w:rsidR="00417009" w:rsidRDefault="00417009" w:rsidP="00FA34AC">
      <w:pPr>
        <w:pStyle w:val="ListBullet"/>
        <w:rPr>
          <w:rFonts w:eastAsia="Calibri"/>
          <w:color w:val="1F497D"/>
          <w:lang w:eastAsia="en-US"/>
        </w:rPr>
      </w:pPr>
      <w:hyperlink r:id="rId33" w:anchor="info" w:history="1">
        <w:r w:rsidRPr="002912CA">
          <w:rPr>
            <w:rStyle w:val="Hyperlink"/>
            <w:rFonts w:ascii="Calibri" w:eastAsia="Calibri" w:hAnsi="Calibri" w:cs="Calibri"/>
            <w:sz w:val="20"/>
            <w:lang w:eastAsia="en-US"/>
          </w:rPr>
          <w:t>Aged Care Provider Portal (ACPP) - Flexible Care - Health Professional Education Resources</w:t>
        </w:r>
      </w:hyperlink>
    </w:p>
    <w:p w14:paraId="4E182AD3" w14:textId="53030106" w:rsidR="002C0ABF" w:rsidRPr="002912CA" w:rsidRDefault="002C0ABF" w:rsidP="00FA34AC">
      <w:pPr>
        <w:pStyle w:val="ListBullet"/>
        <w:rPr>
          <w:rFonts w:eastAsia="Calibri"/>
          <w:lang w:eastAsia="en-US"/>
        </w:rPr>
      </w:pPr>
      <w:hyperlink r:id="rId34" w:history="1">
        <w:r w:rsidRPr="002C0ABF">
          <w:rPr>
            <w:rStyle w:val="Hyperlink"/>
            <w:rFonts w:ascii="Calibri" w:eastAsia="Calibri" w:hAnsi="Calibri" w:cs="Calibri"/>
            <w:sz w:val="20"/>
            <w:lang w:eastAsia="en-US"/>
          </w:rPr>
          <w:t>Register flexible care recipient events - Health professionals - Services Australia</w:t>
        </w:r>
      </w:hyperlink>
    </w:p>
    <w:p w14:paraId="5B55CAA6" w14:textId="379517CE" w:rsidR="009E1964" w:rsidRPr="002912CA" w:rsidRDefault="009E1964" w:rsidP="00F453A1">
      <w:pPr>
        <w:rPr>
          <w:rFonts w:eastAsia="Calibri" w:cs="Calibri"/>
          <w:lang w:eastAsia="en-US"/>
        </w:rPr>
      </w:pPr>
      <w:r w:rsidRPr="002912CA">
        <w:rPr>
          <w:rFonts w:eastAsia="Calibri" w:cs="Calibri"/>
          <w:lang w:eastAsia="en-US"/>
        </w:rPr>
        <w:t xml:space="preserve">For claiming and payment enquiries and assistance, </w:t>
      </w:r>
      <w:r w:rsidR="002D12DE" w:rsidRPr="002912CA">
        <w:rPr>
          <w:rFonts w:eastAsia="Calibri" w:cs="Calibri"/>
          <w:lang w:eastAsia="en-US"/>
        </w:rPr>
        <w:t xml:space="preserve">registered </w:t>
      </w:r>
      <w:r w:rsidRPr="002912CA">
        <w:rPr>
          <w:rFonts w:eastAsia="Calibri" w:cs="Calibri"/>
          <w:lang w:eastAsia="en-US"/>
        </w:rPr>
        <w:t>providers are advised to contact</w:t>
      </w:r>
      <w:r w:rsidR="00663177" w:rsidRPr="002912CA">
        <w:rPr>
          <w:rFonts w:eastAsia="Calibri" w:cs="Calibri"/>
          <w:lang w:eastAsia="en-US"/>
        </w:rPr>
        <w:t xml:space="preserve"> the</w:t>
      </w:r>
      <w:r w:rsidRPr="002912CA">
        <w:rPr>
          <w:rFonts w:eastAsia="Calibri" w:cs="Calibri"/>
          <w:lang w:eastAsia="en-US"/>
        </w:rPr>
        <w:t xml:space="preserve"> Services Australia online claiming helpdesk via email: </w:t>
      </w:r>
      <w:hyperlink r:id="rId35" w:history="1">
        <w:r w:rsidRPr="002912CA">
          <w:rPr>
            <w:rStyle w:val="Hyperlink"/>
            <w:rFonts w:ascii="Calibri" w:eastAsiaTheme="majorEastAsia" w:hAnsi="Calibri" w:cs="Calibri"/>
            <w:sz w:val="20"/>
            <w:szCs w:val="26"/>
          </w:rPr>
          <w:t>aged.care.liaison@servicesaustralia.gov.au</w:t>
        </w:r>
      </w:hyperlink>
      <w:r w:rsidRPr="002912CA">
        <w:rPr>
          <w:rFonts w:eastAsia="Calibri" w:cs="Calibri"/>
          <w:color w:val="1F497D"/>
          <w:lang w:eastAsia="en-US"/>
        </w:rPr>
        <w:t xml:space="preserve"> </w:t>
      </w:r>
      <w:r w:rsidRPr="002912CA">
        <w:rPr>
          <w:rFonts w:eastAsia="Calibri" w:cs="Calibri"/>
          <w:lang w:eastAsia="en-US"/>
        </w:rPr>
        <w:t>or phone: 1800 195 206.</w:t>
      </w:r>
    </w:p>
    <w:p w14:paraId="4F42BA11" w14:textId="599A786C" w:rsidR="00605BA0" w:rsidRPr="003A173C" w:rsidRDefault="4113B1AE" w:rsidP="00DF7B75">
      <w:pPr>
        <w:pStyle w:val="Heading1"/>
        <w:rPr>
          <w:rFonts w:ascii="Calibri" w:hAnsi="Calibri" w:cs="Calibri"/>
        </w:rPr>
      </w:pPr>
      <w:bookmarkStart w:id="538" w:name="_Toc216865457"/>
      <w:r w:rsidRPr="003A173C">
        <w:rPr>
          <w:rFonts w:ascii="Calibri" w:hAnsi="Calibri" w:cs="Calibri"/>
        </w:rPr>
        <w:lastRenderedPageBreak/>
        <w:t>THE TRANSITION CARE PROGRAM</w:t>
      </w:r>
      <w:bookmarkStart w:id="539" w:name="_Toc29371643"/>
      <w:bookmarkStart w:id="540" w:name="_Toc110834641"/>
      <w:bookmarkStart w:id="541" w:name="_Toc245536162"/>
      <w:bookmarkStart w:id="542" w:name="_Toc395537168"/>
      <w:bookmarkEnd w:id="478"/>
      <w:bookmarkEnd w:id="479"/>
      <w:bookmarkEnd w:id="480"/>
      <w:bookmarkEnd w:id="538"/>
    </w:p>
    <w:p w14:paraId="4DE8F65E" w14:textId="51FF6BBF" w:rsidR="00605BA0" w:rsidRPr="003A173C" w:rsidRDefault="00605BA0" w:rsidP="00605BA0">
      <w:pPr>
        <w:pStyle w:val="Heading2"/>
        <w:rPr>
          <w:rFonts w:ascii="Calibri" w:hAnsi="Calibri" w:cs="Calibri"/>
        </w:rPr>
      </w:pPr>
      <w:bookmarkStart w:id="543" w:name="_Toc422732526"/>
      <w:bookmarkStart w:id="544" w:name="_Toc422752866"/>
      <w:bookmarkStart w:id="545" w:name="_Toc216865458"/>
      <w:r w:rsidRPr="003A173C">
        <w:rPr>
          <w:rFonts w:ascii="Calibri" w:hAnsi="Calibri" w:cs="Calibri"/>
        </w:rPr>
        <w:t>What is transition care?</w:t>
      </w:r>
      <w:bookmarkEnd w:id="539"/>
      <w:bookmarkEnd w:id="540"/>
      <w:bookmarkEnd w:id="541"/>
      <w:bookmarkEnd w:id="542"/>
      <w:bookmarkEnd w:id="543"/>
      <w:bookmarkEnd w:id="544"/>
      <w:bookmarkEnd w:id="545"/>
    </w:p>
    <w:p w14:paraId="3632D7BE" w14:textId="2336CA4A" w:rsidR="003C364A" w:rsidRPr="003A173C" w:rsidRDefault="00605BA0" w:rsidP="00F453A1">
      <w:pPr>
        <w:rPr>
          <w:rFonts w:cs="Calibri"/>
        </w:rPr>
      </w:pPr>
      <w:r w:rsidRPr="003A173C">
        <w:rPr>
          <w:rFonts w:cs="Calibri"/>
        </w:rPr>
        <w:t>On 23 April 2004</w:t>
      </w:r>
      <w:r w:rsidR="00291BB7" w:rsidRPr="003A173C">
        <w:rPr>
          <w:rFonts w:cs="Calibri"/>
        </w:rPr>
        <w:t>,</w:t>
      </w:r>
      <w:r w:rsidRPr="003A173C">
        <w:rPr>
          <w:rFonts w:cs="Calibri"/>
        </w:rPr>
        <w:t xml:space="preserve"> </w:t>
      </w:r>
      <w:r w:rsidR="00AF720D" w:rsidRPr="003A173C">
        <w:rPr>
          <w:rFonts w:cs="Calibri"/>
        </w:rPr>
        <w:t>H</w:t>
      </w:r>
      <w:r w:rsidR="00A65B34" w:rsidRPr="003A173C">
        <w:rPr>
          <w:rFonts w:cs="Calibri"/>
        </w:rPr>
        <w:t>ealth</w:t>
      </w:r>
      <w:r w:rsidRPr="003A173C">
        <w:rPr>
          <w:rFonts w:cs="Calibri"/>
        </w:rPr>
        <w:t xml:space="preserve"> Ministers endorsed the definition of transition care (its role, functions and target group) developed by the Care of Older Australians Working Group. An extract of the definition is contained below</w:t>
      </w:r>
      <w:r w:rsidR="00E97114" w:rsidRPr="003A173C">
        <w:rPr>
          <w:rFonts w:cs="Calibri"/>
        </w:rPr>
        <w:t xml:space="preserve"> under section </w:t>
      </w:r>
      <w:r w:rsidR="00E97114" w:rsidRPr="003A173C">
        <w:rPr>
          <w:rFonts w:cs="Calibri"/>
          <w:i/>
          <w:iCs/>
        </w:rPr>
        <w:t>3.1.1 Aim/Objectives.</w:t>
      </w:r>
    </w:p>
    <w:p w14:paraId="3CD26C18" w14:textId="77777777" w:rsidR="001C5FD9" w:rsidRPr="00FA34AC" w:rsidRDefault="001C5FD9" w:rsidP="008974DB">
      <w:pPr>
        <w:pStyle w:val="Style3"/>
      </w:pPr>
      <w:bookmarkStart w:id="546" w:name="_Toc216865459"/>
      <w:r w:rsidRPr="00FA34AC">
        <w:t>Aim/Objectives</w:t>
      </w:r>
      <w:bookmarkEnd w:id="546"/>
    </w:p>
    <w:p w14:paraId="098B8292" w14:textId="01431D9E" w:rsidR="003C364A" w:rsidRPr="00C90B63" w:rsidRDefault="003C364A" w:rsidP="003C364A">
      <w:pPr>
        <w:rPr>
          <w:rFonts w:cs="Calibri"/>
        </w:rPr>
      </w:pPr>
      <w:r w:rsidRPr="00C90B63">
        <w:rPr>
          <w:rFonts w:cs="Calibri"/>
        </w:rPr>
        <w:t>Transition care provides short-term support and active management for older people at the interface of the acute/subacute and residential aged care sectors.</w:t>
      </w:r>
      <w:r w:rsidRPr="00C90B63">
        <w:rPr>
          <w:rFonts w:cs="Calibri"/>
          <w:vertAlign w:val="superscript"/>
        </w:rPr>
        <w:footnoteReference w:id="6"/>
      </w:r>
      <w:r w:rsidRPr="00C90B63">
        <w:rPr>
          <w:rFonts w:cs="Calibri"/>
        </w:rPr>
        <w:t xml:space="preserve"> It is goal-oriented, time-limited and targets older people at the conclusion of a hospital episode who require more time and support in a non</w:t>
      </w:r>
      <w:r w:rsidRPr="00C90B63">
        <w:rPr>
          <w:rFonts w:cs="Calibri"/>
        </w:rPr>
        <w:noBreakHyphen/>
        <w:t>hospital environment to complete their restorative process, optimise their functional capacity, and finalise and access their care arrangements.</w:t>
      </w:r>
    </w:p>
    <w:p w14:paraId="481CCC91" w14:textId="77777777" w:rsidR="003C364A" w:rsidRPr="00C90B63" w:rsidRDefault="003C364A" w:rsidP="003C364A">
      <w:pPr>
        <w:rPr>
          <w:rFonts w:cs="Calibri"/>
        </w:rPr>
      </w:pPr>
      <w:r w:rsidRPr="00C90B63">
        <w:rPr>
          <w:rFonts w:cs="Calibri"/>
        </w:rPr>
        <w:t>The potential for further recovery will vary according to the individual. Therefore, the services provided will vary from individual to individual, ranging from those that further improve physical, cognitive and psycho-social functioning thereby improving the person’s capacity for independent living, to those that actively maintain the individual’s functioning while assisting them and their family and carers to make appropriate long-term care arrangements.</w:t>
      </w:r>
    </w:p>
    <w:p w14:paraId="7D4045F7" w14:textId="6A6E38AB" w:rsidR="00605BA0" w:rsidRPr="00C90B63" w:rsidRDefault="003C364A" w:rsidP="00F453A1">
      <w:pPr>
        <w:rPr>
          <w:rFonts w:cs="Calibri"/>
        </w:rPr>
      </w:pPr>
      <w:r w:rsidRPr="00C90B63">
        <w:rPr>
          <w:rFonts w:cs="Calibri"/>
        </w:rPr>
        <w:t>An outcome of transition care is that inappropriate extended hospital lengths of stay and premature admission to residential aged care are minimised. However, it should be stressed that transition care’s primary function is therapeutic, rather than administrative.</w:t>
      </w:r>
    </w:p>
    <w:p w14:paraId="0AAE4D72" w14:textId="46629870" w:rsidR="004F2B51" w:rsidRPr="00721280" w:rsidRDefault="20B0B6FB" w:rsidP="008974DB">
      <w:pPr>
        <w:pStyle w:val="Style3"/>
      </w:pPr>
      <w:bookmarkStart w:id="547" w:name="_Toc216865460"/>
      <w:r w:rsidRPr="00721280">
        <w:t>Services</w:t>
      </w:r>
      <w:r w:rsidR="7BE49553" w:rsidRPr="00721280">
        <w:t xml:space="preserve"> provided through transition care</w:t>
      </w:r>
      <w:r w:rsidR="00605BA0" w:rsidRPr="00B93D5E">
        <w:rPr>
          <w:vertAlign w:val="superscript"/>
        </w:rPr>
        <w:footnoteReference w:id="7"/>
      </w:r>
      <w:bookmarkEnd w:id="547"/>
    </w:p>
    <w:p w14:paraId="62FE58E8" w14:textId="5E9CB07C" w:rsidR="00605BA0" w:rsidRPr="003A173C" w:rsidRDefault="2A83A8D7" w:rsidP="008202E1">
      <w:pPr>
        <w:spacing w:before="60" w:after="60" w:line="276" w:lineRule="auto"/>
        <w:rPr>
          <w:rFonts w:cs="Calibri"/>
          <w:szCs w:val="20"/>
        </w:rPr>
      </w:pPr>
      <w:r w:rsidRPr="003A173C">
        <w:rPr>
          <w:rFonts w:cs="Calibri"/>
        </w:rPr>
        <w:t xml:space="preserve">Transition care provides older people with a package of services that includes specialised restorative care therapy services such as physiotherapy and occupational therapy, as well as nursing support </w:t>
      </w:r>
      <w:r w:rsidR="004B3938" w:rsidRPr="003A173C">
        <w:rPr>
          <w:rFonts w:cs="Calibri"/>
        </w:rPr>
        <w:t xml:space="preserve">and </w:t>
      </w:r>
      <w:r w:rsidRPr="003A173C">
        <w:rPr>
          <w:rFonts w:cs="Calibri"/>
        </w:rPr>
        <w:t xml:space="preserve">personal care. Transition care must be provided in </w:t>
      </w:r>
      <w:r w:rsidRPr="003A173C">
        <w:rPr>
          <w:rFonts w:cs="Calibri"/>
          <w:szCs w:val="20"/>
        </w:rPr>
        <w:t xml:space="preserve">accordance with the Aged Care Service </w:t>
      </w:r>
      <w:r w:rsidRPr="00A47EBD">
        <w:rPr>
          <w:rFonts w:cs="Calibri"/>
          <w:szCs w:val="20"/>
        </w:rPr>
        <w:t>List</w:t>
      </w:r>
      <w:r w:rsidR="004378E2" w:rsidRPr="00A47EBD">
        <w:rPr>
          <w:rFonts w:cs="Calibri"/>
          <w:szCs w:val="20"/>
        </w:rPr>
        <w:t>,</w:t>
      </w:r>
      <w:r w:rsidRPr="00A47EBD">
        <w:rPr>
          <w:rFonts w:cs="Calibri"/>
          <w:szCs w:val="20"/>
        </w:rPr>
        <w:t xml:space="preserve"> and</w:t>
      </w:r>
      <w:r w:rsidRPr="00A47EBD">
        <w:rPr>
          <w:rFonts w:cs="Calibri"/>
          <w:i/>
          <w:iCs/>
          <w:szCs w:val="20"/>
        </w:rPr>
        <w:t xml:space="preserve"> </w:t>
      </w:r>
      <w:r w:rsidR="004B3938" w:rsidRPr="003A173C">
        <w:rPr>
          <w:rFonts w:cs="Calibri"/>
          <w:szCs w:val="20"/>
        </w:rPr>
        <w:t xml:space="preserve">the </w:t>
      </w:r>
      <w:r w:rsidRPr="003A173C">
        <w:rPr>
          <w:rFonts w:cs="Calibri"/>
          <w:i/>
          <w:iCs/>
          <w:szCs w:val="20"/>
        </w:rPr>
        <w:t xml:space="preserve">Transition Care </w:t>
      </w:r>
      <w:r w:rsidR="00B505C7" w:rsidRPr="003A173C">
        <w:rPr>
          <w:rFonts w:cs="Calibri"/>
          <w:i/>
          <w:iCs/>
          <w:szCs w:val="20"/>
        </w:rPr>
        <w:t>Program</w:t>
      </w:r>
      <w:r w:rsidRPr="003A173C">
        <w:rPr>
          <w:rFonts w:cs="Calibri"/>
          <w:i/>
          <w:iCs/>
          <w:szCs w:val="20"/>
        </w:rPr>
        <w:t xml:space="preserve"> Restorative Care Requirements</w:t>
      </w:r>
      <w:r w:rsidR="004B3938" w:rsidRPr="003A173C">
        <w:rPr>
          <w:rFonts w:cs="Calibri"/>
          <w:szCs w:val="20"/>
        </w:rPr>
        <w:t xml:space="preserve"> (see Chapter 4). </w:t>
      </w:r>
    </w:p>
    <w:p w14:paraId="583FD331" w14:textId="682BAD64" w:rsidR="000A2B1F" w:rsidRDefault="4113B1AE" w:rsidP="1CBD4533">
      <w:pPr>
        <w:rPr>
          <w:rFonts w:cs="Calibri"/>
          <w:szCs w:val="20"/>
        </w:rPr>
      </w:pPr>
      <w:r w:rsidRPr="003A173C">
        <w:rPr>
          <w:rFonts w:cs="Calibri"/>
          <w:szCs w:val="20"/>
        </w:rPr>
        <w:t>Depending on their assessed level of need</w:t>
      </w:r>
      <w:r w:rsidR="004B3938" w:rsidRPr="003A173C">
        <w:rPr>
          <w:rFonts w:cs="Calibri"/>
          <w:szCs w:val="20"/>
        </w:rPr>
        <w:t xml:space="preserve"> and care setting</w:t>
      </w:r>
      <w:r w:rsidRPr="003A173C">
        <w:rPr>
          <w:rFonts w:cs="Calibri"/>
          <w:szCs w:val="20"/>
        </w:rPr>
        <w:t>, transition care offer</w:t>
      </w:r>
      <w:r w:rsidR="350FAB9F" w:rsidRPr="003A173C">
        <w:rPr>
          <w:rFonts w:cs="Calibri"/>
          <w:szCs w:val="20"/>
        </w:rPr>
        <w:t>s</w:t>
      </w:r>
      <w:r w:rsidRPr="003A173C">
        <w:rPr>
          <w:rFonts w:cs="Calibri"/>
          <w:szCs w:val="20"/>
        </w:rPr>
        <w:t xml:space="preserve"> eligible older people the </w:t>
      </w:r>
      <w:r w:rsidR="00943458" w:rsidRPr="003A173C">
        <w:rPr>
          <w:rFonts w:cs="Calibri"/>
          <w:szCs w:val="20"/>
        </w:rPr>
        <w:t xml:space="preserve">below </w:t>
      </w:r>
      <w:r w:rsidR="041E0743" w:rsidRPr="003A173C">
        <w:rPr>
          <w:rFonts w:cs="Calibri"/>
          <w:szCs w:val="20"/>
        </w:rPr>
        <w:t>service</w:t>
      </w:r>
      <w:r w:rsidR="24FA6B56" w:rsidRPr="003A173C">
        <w:rPr>
          <w:rFonts w:cs="Calibri"/>
          <w:szCs w:val="20"/>
        </w:rPr>
        <w:t xml:space="preserve"> types </w:t>
      </w:r>
      <w:r w:rsidR="041E0743" w:rsidRPr="003A173C">
        <w:rPr>
          <w:rFonts w:cs="Calibri"/>
          <w:szCs w:val="20"/>
        </w:rPr>
        <w:t>from the Aged Care Service List</w:t>
      </w:r>
      <w:r w:rsidR="004B3938" w:rsidRPr="003A173C">
        <w:rPr>
          <w:rFonts w:cs="Calibri"/>
          <w:szCs w:val="20"/>
        </w:rPr>
        <w:t xml:space="preserve"> as</w:t>
      </w:r>
      <w:r w:rsidR="0000142C" w:rsidRPr="003A173C">
        <w:rPr>
          <w:rFonts w:cs="Calibri"/>
          <w:szCs w:val="20"/>
        </w:rPr>
        <w:t xml:space="preserve"> contained in</w:t>
      </w:r>
      <w:r w:rsidR="007E7F88" w:rsidRPr="003A173C">
        <w:rPr>
          <w:rFonts w:cs="Calibri"/>
          <w:szCs w:val="20"/>
        </w:rPr>
        <w:t xml:space="preserve"> Part 3 of</w:t>
      </w:r>
      <w:r w:rsidR="0000142C" w:rsidRPr="003A173C">
        <w:rPr>
          <w:rFonts w:cs="Calibri"/>
          <w:szCs w:val="20"/>
        </w:rPr>
        <w:t xml:space="preserve"> Chapter 1 of the </w:t>
      </w:r>
      <w:hyperlink r:id="rId36" w:history="1">
        <w:r w:rsidR="0000142C" w:rsidRPr="003A173C">
          <w:rPr>
            <w:rStyle w:val="Hyperlink"/>
            <w:rFonts w:ascii="Calibri" w:hAnsi="Calibri" w:cs="Calibri"/>
            <w:sz w:val="20"/>
            <w:szCs w:val="20"/>
          </w:rPr>
          <w:t>Aged Care Rules 2025</w:t>
        </w:r>
      </w:hyperlink>
      <w:r w:rsidR="00943458" w:rsidRPr="003A173C">
        <w:rPr>
          <w:rFonts w:cs="Calibri"/>
          <w:szCs w:val="20"/>
        </w:rPr>
        <w:t>.</w:t>
      </w:r>
      <w:r w:rsidR="00BC553D">
        <w:rPr>
          <w:rFonts w:cs="Calibri"/>
          <w:szCs w:val="20"/>
        </w:rPr>
        <w:t xml:space="preserve"> </w:t>
      </w:r>
      <w:r w:rsidR="00423F27">
        <w:rPr>
          <w:rFonts w:cs="Calibri"/>
          <w:szCs w:val="20"/>
        </w:rPr>
        <w:t>A</w:t>
      </w:r>
      <w:r w:rsidR="00BC553D" w:rsidRPr="00A47EBD">
        <w:rPr>
          <w:rFonts w:cs="Calibri"/>
          <w:szCs w:val="20"/>
        </w:rPr>
        <w:t>n abbreviated version of</w:t>
      </w:r>
      <w:r w:rsidR="00423F27">
        <w:rPr>
          <w:rFonts w:cs="Calibri"/>
          <w:szCs w:val="20"/>
        </w:rPr>
        <w:t xml:space="preserve"> the Aged Care Service List</w:t>
      </w:r>
      <w:r w:rsidR="00BC553D" w:rsidRPr="00A47EBD">
        <w:rPr>
          <w:rFonts w:cs="Calibri"/>
          <w:szCs w:val="20"/>
        </w:rPr>
        <w:t xml:space="preserve"> consolidating </w:t>
      </w:r>
      <w:r w:rsidR="00BC553D" w:rsidRPr="00411EC7">
        <w:rPr>
          <w:rFonts w:cs="Calibri"/>
          <w:szCs w:val="20"/>
        </w:rPr>
        <w:t>all</w:t>
      </w:r>
      <w:r w:rsidR="00BC553D" w:rsidRPr="00A47EBD">
        <w:rPr>
          <w:rFonts w:cs="Calibri"/>
          <w:szCs w:val="20"/>
        </w:rPr>
        <w:t xml:space="preserve"> Service Types and Items relevant to the TCP can be found at </w:t>
      </w:r>
      <w:r w:rsidR="00BC553D" w:rsidRPr="00411EC7">
        <w:rPr>
          <w:rFonts w:cs="Calibri"/>
          <w:i/>
          <w:iCs/>
          <w:szCs w:val="20"/>
        </w:rPr>
        <w:t>Attachment A</w:t>
      </w:r>
      <w:r w:rsidR="00423F27">
        <w:rPr>
          <w:rFonts w:cs="Calibri"/>
          <w:i/>
          <w:iCs/>
          <w:szCs w:val="20"/>
        </w:rPr>
        <w:t>.</w:t>
      </w:r>
      <w:r w:rsidR="00943458" w:rsidRPr="003A173C">
        <w:rPr>
          <w:rFonts w:cs="Calibri"/>
          <w:szCs w:val="20"/>
        </w:rPr>
        <w:t xml:space="preserve"> </w:t>
      </w:r>
    </w:p>
    <w:p w14:paraId="5BDDBCCB" w14:textId="66BB5914" w:rsidR="00605BA0" w:rsidRPr="003A173C" w:rsidRDefault="00943458" w:rsidP="1CBD4533">
      <w:pPr>
        <w:rPr>
          <w:rFonts w:cs="Calibri"/>
          <w:szCs w:val="20"/>
        </w:rPr>
      </w:pPr>
      <w:r w:rsidRPr="003A173C">
        <w:rPr>
          <w:rFonts w:cs="Calibri"/>
          <w:szCs w:val="20"/>
        </w:rPr>
        <w:t xml:space="preserve">It is important to note that some service types </w:t>
      </w:r>
      <w:r w:rsidR="008004BF" w:rsidRPr="003A173C">
        <w:rPr>
          <w:rFonts w:cs="Calibri"/>
          <w:szCs w:val="20"/>
        </w:rPr>
        <w:t xml:space="preserve">are essential </w:t>
      </w:r>
      <w:r w:rsidR="00C02472" w:rsidRPr="003A173C">
        <w:rPr>
          <w:rFonts w:cs="Calibri"/>
          <w:szCs w:val="20"/>
        </w:rPr>
        <w:t xml:space="preserve">core </w:t>
      </w:r>
      <w:r w:rsidR="00DE3F37" w:rsidRPr="003A173C">
        <w:rPr>
          <w:rFonts w:cs="Calibri"/>
          <w:szCs w:val="20"/>
        </w:rPr>
        <w:t xml:space="preserve">program </w:t>
      </w:r>
      <w:r w:rsidR="00C02472" w:rsidRPr="003A173C">
        <w:rPr>
          <w:rFonts w:cs="Calibri"/>
          <w:szCs w:val="20"/>
        </w:rPr>
        <w:t>services which are provided to all TCP clients as specified below</w:t>
      </w:r>
      <w:r w:rsidR="00DE3F37" w:rsidRPr="003A173C">
        <w:rPr>
          <w:rFonts w:cs="Calibri"/>
          <w:szCs w:val="20"/>
        </w:rPr>
        <w:t>,</w:t>
      </w:r>
      <w:r w:rsidR="00C02472" w:rsidRPr="003A173C">
        <w:rPr>
          <w:rFonts w:cs="Calibri"/>
          <w:szCs w:val="20"/>
        </w:rPr>
        <w:t xml:space="preserve"> whereas others are provided if the client needs them, also as specified below. </w:t>
      </w:r>
      <w:r w:rsidR="00FF61CB">
        <w:rPr>
          <w:rFonts w:cs="Calibri"/>
          <w:szCs w:val="20"/>
        </w:rPr>
        <w:t>T</w:t>
      </w:r>
      <w:r w:rsidR="009A462E" w:rsidRPr="003A173C">
        <w:rPr>
          <w:rFonts w:cs="Calibri"/>
          <w:szCs w:val="20"/>
        </w:rPr>
        <w:t>he actual services provided to clients</w:t>
      </w:r>
      <w:r w:rsidR="00777B2D" w:rsidRPr="003A173C">
        <w:rPr>
          <w:rFonts w:cs="Calibri"/>
          <w:szCs w:val="20"/>
        </w:rPr>
        <w:t xml:space="preserve"> during their episode </w:t>
      </w:r>
      <w:r w:rsidR="00927CAF" w:rsidRPr="003A173C">
        <w:rPr>
          <w:rFonts w:cs="Calibri"/>
          <w:szCs w:val="20"/>
        </w:rPr>
        <w:t xml:space="preserve">is based on their </w:t>
      </w:r>
      <w:r w:rsidR="003B2C3E" w:rsidRPr="003A173C">
        <w:rPr>
          <w:rFonts w:cs="Calibri"/>
          <w:szCs w:val="20"/>
        </w:rPr>
        <w:t xml:space="preserve">individual </w:t>
      </w:r>
      <w:r w:rsidR="007A4089" w:rsidRPr="003A173C">
        <w:rPr>
          <w:rFonts w:cs="Calibri"/>
          <w:szCs w:val="20"/>
        </w:rPr>
        <w:t xml:space="preserve">assessed </w:t>
      </w:r>
      <w:r w:rsidR="00927CAF" w:rsidRPr="003A173C">
        <w:rPr>
          <w:rFonts w:cs="Calibri"/>
          <w:szCs w:val="20"/>
        </w:rPr>
        <w:t>needs</w:t>
      </w:r>
      <w:r w:rsidR="00BF4194" w:rsidRPr="003A173C">
        <w:rPr>
          <w:rFonts w:cs="Calibri"/>
          <w:szCs w:val="20"/>
        </w:rPr>
        <w:t xml:space="preserve"> </w:t>
      </w:r>
      <w:r w:rsidR="00927CAF" w:rsidRPr="003A173C">
        <w:rPr>
          <w:rFonts w:cs="Calibri"/>
          <w:szCs w:val="20"/>
        </w:rPr>
        <w:t xml:space="preserve">and will be </w:t>
      </w:r>
      <w:r w:rsidR="005E1ABE">
        <w:rPr>
          <w:rFonts w:cs="Calibri"/>
          <w:szCs w:val="20"/>
        </w:rPr>
        <w:t>detailed</w:t>
      </w:r>
      <w:r w:rsidR="00334A39" w:rsidRPr="003A173C">
        <w:rPr>
          <w:rFonts w:cs="Calibri"/>
          <w:szCs w:val="20"/>
        </w:rPr>
        <w:t xml:space="preserve"> </w:t>
      </w:r>
      <w:r w:rsidR="00927CAF" w:rsidRPr="003A173C">
        <w:rPr>
          <w:rFonts w:cs="Calibri"/>
          <w:szCs w:val="20"/>
        </w:rPr>
        <w:t>in the</w:t>
      </w:r>
      <w:r w:rsidR="00334A39" w:rsidRPr="003A173C">
        <w:rPr>
          <w:rFonts w:cs="Calibri"/>
          <w:szCs w:val="20"/>
        </w:rPr>
        <w:t xml:space="preserve"> client’s </w:t>
      </w:r>
      <w:r w:rsidR="005B5650">
        <w:rPr>
          <w:rFonts w:cs="Calibri"/>
          <w:szCs w:val="20"/>
        </w:rPr>
        <w:t>c</w:t>
      </w:r>
      <w:r w:rsidR="00927CAF" w:rsidRPr="003A173C">
        <w:rPr>
          <w:rFonts w:cs="Calibri"/>
          <w:szCs w:val="20"/>
        </w:rPr>
        <w:t xml:space="preserve">are and </w:t>
      </w:r>
      <w:r w:rsidR="005B5650">
        <w:rPr>
          <w:rFonts w:cs="Calibri"/>
          <w:szCs w:val="20"/>
        </w:rPr>
        <w:t>s</w:t>
      </w:r>
      <w:r w:rsidR="00927CAF" w:rsidRPr="003A173C">
        <w:rPr>
          <w:rFonts w:cs="Calibri"/>
          <w:szCs w:val="20"/>
        </w:rPr>
        <w:t xml:space="preserve">ervices </w:t>
      </w:r>
      <w:r w:rsidR="005B5650">
        <w:rPr>
          <w:rFonts w:cs="Calibri"/>
          <w:szCs w:val="20"/>
        </w:rPr>
        <w:t>p</w:t>
      </w:r>
      <w:r w:rsidR="00927CAF" w:rsidRPr="003A173C">
        <w:rPr>
          <w:rFonts w:cs="Calibri"/>
          <w:szCs w:val="20"/>
        </w:rPr>
        <w:t>lan</w:t>
      </w:r>
      <w:r w:rsidR="00BA2F07" w:rsidRPr="003A173C">
        <w:rPr>
          <w:rFonts w:cs="Calibri"/>
          <w:szCs w:val="20"/>
        </w:rPr>
        <w:t>.</w:t>
      </w:r>
    </w:p>
    <w:p w14:paraId="2C6263E8" w14:textId="548F3568" w:rsidR="00AC3414" w:rsidRPr="002C1234" w:rsidRDefault="009E44B8" w:rsidP="007206E9">
      <w:pPr>
        <w:pStyle w:val="heading4withoutnumbers"/>
      </w:pPr>
      <w:r w:rsidRPr="00EF51AD">
        <w:rPr>
          <w:rFonts w:cs="Calibri"/>
          <w:b/>
          <w:bCs/>
        </w:rPr>
        <w:t xml:space="preserve">TCP </w:t>
      </w:r>
      <w:r w:rsidR="00303DCB" w:rsidRPr="00EF51AD">
        <w:rPr>
          <w:rFonts w:cs="Calibri"/>
          <w:b/>
          <w:bCs/>
        </w:rPr>
        <w:t xml:space="preserve">Services </w:t>
      </w:r>
      <w:r w:rsidR="002E47B1" w:rsidRPr="00EF51AD">
        <w:rPr>
          <w:rFonts w:cs="Calibri"/>
          <w:b/>
          <w:bCs/>
        </w:rPr>
        <w:t>for</w:t>
      </w:r>
      <w:r w:rsidR="00303DCB" w:rsidRPr="00EF51AD">
        <w:rPr>
          <w:rFonts w:cs="Calibri"/>
          <w:b/>
          <w:bCs/>
        </w:rPr>
        <w:t xml:space="preserve"> all</w:t>
      </w:r>
      <w:r w:rsidR="00C0588F" w:rsidRPr="00EF51AD">
        <w:rPr>
          <w:rFonts w:cs="Calibri"/>
          <w:b/>
          <w:bCs/>
        </w:rPr>
        <w:t xml:space="preserve"> TCP clients</w:t>
      </w:r>
    </w:p>
    <w:p w14:paraId="0DDDE4DB" w14:textId="24E121CE" w:rsidR="00A50707" w:rsidRDefault="0039227E" w:rsidP="00FA34AC">
      <w:pPr>
        <w:pStyle w:val="ListBullet"/>
      </w:pPr>
      <w:r w:rsidRPr="002C1234">
        <w:t xml:space="preserve">Section 8-20 </w:t>
      </w:r>
      <w:r w:rsidRPr="00A15E68">
        <w:t>– Assistance with transition care</w:t>
      </w:r>
      <w:r w:rsidR="003150BB" w:rsidRPr="00A15E68">
        <w:t>,</w:t>
      </w:r>
      <w:r w:rsidR="00B00683" w:rsidRPr="00A15E68">
        <w:t xml:space="preserve"> Items 1-</w:t>
      </w:r>
      <w:r w:rsidR="00D6403A" w:rsidRPr="00A15E68">
        <w:t>2</w:t>
      </w:r>
    </w:p>
    <w:p w14:paraId="714DF9F8" w14:textId="2151059A" w:rsidR="00A50707" w:rsidRPr="002C1234" w:rsidRDefault="00237607" w:rsidP="00FA34AC">
      <w:pPr>
        <w:pStyle w:val="ListBullet2"/>
      </w:pPr>
      <w:r w:rsidRPr="008202E1">
        <w:t>Item 1: Transition care management</w:t>
      </w:r>
    </w:p>
    <w:p w14:paraId="1E9A7D97" w14:textId="49610323" w:rsidR="00AF6CD8" w:rsidRPr="007206E9" w:rsidRDefault="008C0AD7" w:rsidP="00FA34AC">
      <w:pPr>
        <w:pStyle w:val="ListBullet2"/>
      </w:pPr>
      <w:r w:rsidRPr="002C1234">
        <w:t>I</w:t>
      </w:r>
      <w:r w:rsidR="00237607" w:rsidRPr="008202E1">
        <w:t>tem 2: Assistance to access medical practitioner</w:t>
      </w:r>
      <w:r w:rsidR="00237607" w:rsidRPr="008202E1" w:rsidDel="00237607">
        <w:t xml:space="preserve"> </w:t>
      </w:r>
    </w:p>
    <w:p w14:paraId="7A1632F0" w14:textId="48BAFA46" w:rsidR="0039227E" w:rsidRPr="008202E1" w:rsidRDefault="00B52392" w:rsidP="007206E9">
      <w:pPr>
        <w:rPr>
          <w:rFonts w:cs="Calibri"/>
        </w:rPr>
      </w:pPr>
      <w:r w:rsidRPr="008202E1">
        <w:rPr>
          <w:rFonts w:cs="Calibri"/>
        </w:rPr>
        <w:t>These are c</w:t>
      </w:r>
      <w:r w:rsidR="0074794C" w:rsidRPr="008202E1">
        <w:rPr>
          <w:rFonts w:cs="Calibri"/>
        </w:rPr>
        <w:t xml:space="preserve">ore TCP </w:t>
      </w:r>
      <w:r w:rsidRPr="008202E1">
        <w:rPr>
          <w:rFonts w:cs="Calibri"/>
        </w:rPr>
        <w:t>services</w:t>
      </w:r>
      <w:r w:rsidR="0074794C" w:rsidRPr="008202E1">
        <w:rPr>
          <w:rFonts w:cs="Calibri"/>
        </w:rPr>
        <w:t xml:space="preserve">. </w:t>
      </w:r>
      <w:r w:rsidR="009F50E3" w:rsidRPr="008202E1">
        <w:rPr>
          <w:rFonts w:cs="Calibri"/>
        </w:rPr>
        <w:t>Item 1 must be provided to all TCP clients</w:t>
      </w:r>
      <w:r w:rsidR="00B70021" w:rsidRPr="008202E1">
        <w:rPr>
          <w:rFonts w:cs="Calibri"/>
        </w:rPr>
        <w:t xml:space="preserve">. Item </w:t>
      </w:r>
      <w:r w:rsidR="00B469E2" w:rsidRPr="008202E1">
        <w:rPr>
          <w:rFonts w:cs="Calibri"/>
        </w:rPr>
        <w:t>2</w:t>
      </w:r>
      <w:r w:rsidR="00B70021" w:rsidRPr="008202E1">
        <w:rPr>
          <w:rFonts w:cs="Calibri"/>
        </w:rPr>
        <w:t xml:space="preserve"> must be provided</w:t>
      </w:r>
      <w:r w:rsidR="00BA54A2" w:rsidRPr="008202E1">
        <w:rPr>
          <w:rFonts w:cs="Calibri"/>
        </w:rPr>
        <w:t xml:space="preserve"> on an as needs </w:t>
      </w:r>
      <w:r w:rsidR="00BA54A2" w:rsidRPr="007206E9">
        <w:t>basis</w:t>
      </w:r>
      <w:r w:rsidR="00BA54A2" w:rsidRPr="008202E1">
        <w:rPr>
          <w:rFonts w:cs="Calibri"/>
        </w:rPr>
        <w:t>.</w:t>
      </w:r>
    </w:p>
    <w:p w14:paraId="20BA83AA" w14:textId="135ADF12" w:rsidR="006E2446" w:rsidRPr="002C1234" w:rsidRDefault="006E2446" w:rsidP="00C16DA9">
      <w:pPr>
        <w:ind w:left="720"/>
        <w:rPr>
          <w:rFonts w:cs="Calibri"/>
        </w:rPr>
      </w:pPr>
      <w:r w:rsidRPr="002C1234">
        <w:rPr>
          <w:rFonts w:cs="Calibri"/>
        </w:rPr>
        <w:t>Pl</w:t>
      </w:r>
      <w:r w:rsidR="00375AB5" w:rsidRPr="002C1234">
        <w:rPr>
          <w:rFonts w:cs="Calibri"/>
        </w:rPr>
        <w:t>ease note that</w:t>
      </w:r>
      <w:r w:rsidR="00E54149" w:rsidRPr="002C1234">
        <w:rPr>
          <w:rFonts w:cs="Calibri"/>
        </w:rPr>
        <w:t xml:space="preserve"> these </w:t>
      </w:r>
      <w:r w:rsidR="00E11CDF" w:rsidRPr="002C1234">
        <w:rPr>
          <w:rFonts w:cs="Calibri"/>
        </w:rPr>
        <w:t>two</w:t>
      </w:r>
      <w:r w:rsidR="00E54149" w:rsidRPr="002C1234">
        <w:rPr>
          <w:rFonts w:cs="Calibri"/>
        </w:rPr>
        <w:t xml:space="preserve"> Items apply to all TCP clients, regardless of their care setting.</w:t>
      </w:r>
    </w:p>
    <w:p w14:paraId="6677C1CB" w14:textId="67C0BFA2" w:rsidR="11E4BB5C" w:rsidRPr="00EF51AD" w:rsidRDefault="11E4BB5C" w:rsidP="007206E9">
      <w:pPr>
        <w:pStyle w:val="heading4withoutnumbers"/>
        <w:rPr>
          <w:rFonts w:cs="Calibri"/>
          <w:b/>
          <w:bCs/>
        </w:rPr>
      </w:pPr>
      <w:r w:rsidRPr="00EF51AD">
        <w:rPr>
          <w:rFonts w:cs="Calibri"/>
          <w:b/>
          <w:bCs/>
        </w:rPr>
        <w:t xml:space="preserve">TCP in </w:t>
      </w:r>
      <w:r w:rsidR="00880922" w:rsidRPr="00EF51AD">
        <w:rPr>
          <w:rFonts w:cs="Calibri"/>
          <w:b/>
          <w:bCs/>
        </w:rPr>
        <w:t>a</w:t>
      </w:r>
      <w:r w:rsidRPr="00EF51AD">
        <w:rPr>
          <w:rFonts w:cs="Calibri"/>
          <w:b/>
          <w:bCs/>
        </w:rPr>
        <w:t xml:space="preserve"> home or community</w:t>
      </w:r>
      <w:r w:rsidR="435B67A8" w:rsidRPr="00EF51AD">
        <w:rPr>
          <w:rFonts w:cs="Calibri"/>
          <w:b/>
          <w:bCs/>
        </w:rPr>
        <w:t xml:space="preserve"> setting</w:t>
      </w:r>
    </w:p>
    <w:p w14:paraId="797F256F" w14:textId="22F63D6B" w:rsidR="006057BB" w:rsidRPr="007206E9" w:rsidRDefault="006057BB" w:rsidP="00FA34AC">
      <w:pPr>
        <w:pStyle w:val="ListBullet"/>
      </w:pPr>
      <w:r w:rsidRPr="003A173C">
        <w:t xml:space="preserve">Section 8-15 - Allied Health and Therapy </w:t>
      </w:r>
    </w:p>
    <w:p w14:paraId="51173F2D" w14:textId="392876F1" w:rsidR="0061749A" w:rsidRPr="007206E9" w:rsidRDefault="00570843" w:rsidP="007206E9">
      <w:pPr>
        <w:rPr>
          <w:rFonts w:cs="Calibri"/>
        </w:rPr>
      </w:pPr>
      <w:r w:rsidRPr="003A173C">
        <w:rPr>
          <w:rFonts w:cs="Calibri"/>
        </w:rPr>
        <w:t xml:space="preserve">This </w:t>
      </w:r>
      <w:r w:rsidRPr="007206E9">
        <w:t>Item</w:t>
      </w:r>
      <w:r w:rsidRPr="003A173C">
        <w:rPr>
          <w:rFonts w:cs="Calibri"/>
        </w:rPr>
        <w:t xml:space="preserve"> </w:t>
      </w:r>
      <w:r w:rsidR="00FE1177" w:rsidRPr="003A173C">
        <w:rPr>
          <w:rFonts w:cs="Calibri"/>
          <w:szCs w:val="20"/>
        </w:rPr>
        <w:t>must be provided to all TCP clients receiving care in a home or community setting</w:t>
      </w:r>
      <w:r w:rsidR="00196060" w:rsidRPr="003A173C">
        <w:rPr>
          <w:rFonts w:cs="Calibri"/>
          <w:szCs w:val="20"/>
        </w:rPr>
        <w:t xml:space="preserve">. </w:t>
      </w:r>
    </w:p>
    <w:p w14:paraId="07FFF8BF" w14:textId="202C77B4" w:rsidR="57EF593B" w:rsidRPr="003A173C" w:rsidRDefault="57EF593B" w:rsidP="00FA34AC">
      <w:pPr>
        <w:pStyle w:val="ListBullet"/>
      </w:pPr>
      <w:r w:rsidRPr="003A173C">
        <w:t xml:space="preserve">Section </w:t>
      </w:r>
      <w:r w:rsidR="0000142C" w:rsidRPr="003A173C">
        <w:t>8-20</w:t>
      </w:r>
      <w:r w:rsidRPr="003A173C">
        <w:t xml:space="preserve"> – Assistance with transition care</w:t>
      </w:r>
      <w:r w:rsidR="00465D1B" w:rsidRPr="003A173C">
        <w:t xml:space="preserve">, Items </w:t>
      </w:r>
      <w:r w:rsidR="006130A8" w:rsidRPr="003A173C">
        <w:t>3-6</w:t>
      </w:r>
    </w:p>
    <w:p w14:paraId="795DD825" w14:textId="64F8F6C6" w:rsidR="003D4C49" w:rsidRPr="003A173C" w:rsidRDefault="003D4C49" w:rsidP="00FA34AC">
      <w:pPr>
        <w:pStyle w:val="ListBullet2"/>
      </w:pPr>
      <w:r w:rsidRPr="003A173C">
        <w:lastRenderedPageBreak/>
        <w:t>Item 3: Transition care medication management</w:t>
      </w:r>
      <w:r w:rsidR="00994BEC" w:rsidRPr="003D34B7">
        <w:rPr>
          <w:vertAlign w:val="superscript"/>
        </w:rPr>
        <w:footnoteReference w:id="8"/>
      </w:r>
    </w:p>
    <w:p w14:paraId="648C6F62" w14:textId="77777777" w:rsidR="003D4C49" w:rsidRPr="003A173C" w:rsidRDefault="003D4C49" w:rsidP="00FA34AC">
      <w:pPr>
        <w:pStyle w:val="ListBullet2"/>
      </w:pPr>
      <w:r w:rsidRPr="003A173C">
        <w:t>Item 4: Transition care emergency or after-hours assistance</w:t>
      </w:r>
    </w:p>
    <w:p w14:paraId="0CF003EF" w14:textId="77777777" w:rsidR="003D4C49" w:rsidRPr="003A173C" w:rsidRDefault="003D4C49" w:rsidP="00FA34AC">
      <w:pPr>
        <w:pStyle w:val="ListBullet2"/>
      </w:pPr>
      <w:r w:rsidRPr="003A173C">
        <w:t>Item 5: Transition care continence management</w:t>
      </w:r>
    </w:p>
    <w:p w14:paraId="04FC5EC5" w14:textId="6CC34A66" w:rsidR="0002052D" w:rsidRPr="007206E9" w:rsidRDefault="003D4C49" w:rsidP="00FA34AC">
      <w:pPr>
        <w:pStyle w:val="ListBullet2"/>
      </w:pPr>
      <w:r w:rsidRPr="003A173C">
        <w:t>Item 6: Waste disposal</w:t>
      </w:r>
    </w:p>
    <w:p w14:paraId="5194893E" w14:textId="46D4DD15" w:rsidR="0072270A" w:rsidRPr="007206E9" w:rsidRDefault="00A02B88" w:rsidP="007206E9">
      <w:r w:rsidRPr="003A173C">
        <w:rPr>
          <w:rFonts w:cs="Calibri"/>
          <w:szCs w:val="20"/>
        </w:rPr>
        <w:t xml:space="preserve">These four </w:t>
      </w:r>
      <w:r w:rsidR="00BF7257" w:rsidRPr="003A173C">
        <w:rPr>
          <w:rFonts w:cs="Calibri"/>
          <w:szCs w:val="20"/>
        </w:rPr>
        <w:t>Items must be provided to all TCP clients receiving care in a home or community setting who need them</w:t>
      </w:r>
      <w:r w:rsidR="00BF7257" w:rsidRPr="007206E9">
        <w:t>.</w:t>
      </w:r>
    </w:p>
    <w:p w14:paraId="13AD3F8E" w14:textId="3E200796" w:rsidR="00C45E95" w:rsidRPr="003A173C" w:rsidRDefault="005D6ACC" w:rsidP="007206E9">
      <w:pPr>
        <w:rPr>
          <w:rFonts w:cs="Calibri"/>
          <w:szCs w:val="20"/>
        </w:rPr>
      </w:pPr>
      <w:r w:rsidRPr="007206E9">
        <w:t xml:space="preserve">Under Section 8-20, Item 5 </w:t>
      </w:r>
      <w:r w:rsidR="00DE394F" w:rsidRPr="007206E9">
        <w:t xml:space="preserve">– </w:t>
      </w:r>
      <w:r w:rsidRPr="007206E9">
        <w:t>Transition</w:t>
      </w:r>
      <w:r w:rsidR="00DE394F" w:rsidRPr="007206E9">
        <w:t xml:space="preserve"> </w:t>
      </w:r>
      <w:r w:rsidRPr="007206E9">
        <w:t xml:space="preserve">care continence management, providers are required to provide as many continence aid as needed to meet the individual’s needs. If, however, the individual is already receiving continence aids through other programs such as the Continence Aids </w:t>
      </w:r>
      <w:r w:rsidR="006E5FEA" w:rsidRPr="007206E9">
        <w:t>Payments</w:t>
      </w:r>
      <w:r w:rsidRPr="007206E9">
        <w:t xml:space="preserve"> Scheme or Support at Home, the TCP</w:t>
      </w:r>
      <w:r w:rsidRPr="003A173C">
        <w:rPr>
          <w:rFonts w:cs="Calibri"/>
          <w:szCs w:val="20"/>
        </w:rPr>
        <w:t xml:space="preserve"> provider would only need to top up those supplies if needed, rather than becoming the primary source of continence aids provision</w:t>
      </w:r>
      <w:r w:rsidR="004E0C0A" w:rsidRPr="003A173C">
        <w:rPr>
          <w:rFonts w:cs="Calibri"/>
          <w:szCs w:val="20"/>
        </w:rPr>
        <w:t>.</w:t>
      </w:r>
    </w:p>
    <w:p w14:paraId="4E1CED4F" w14:textId="6DCFD06B" w:rsidR="004E13AB" w:rsidRPr="003A173C" w:rsidRDefault="00641C42" w:rsidP="00FD5F95">
      <w:pPr>
        <w:rPr>
          <w:rFonts w:cs="Calibri"/>
          <w:szCs w:val="20"/>
        </w:rPr>
      </w:pPr>
      <w:r w:rsidRPr="003A173C">
        <w:rPr>
          <w:rFonts w:cs="Calibri"/>
          <w:szCs w:val="20"/>
        </w:rPr>
        <w:t xml:space="preserve">The following </w:t>
      </w:r>
      <w:r w:rsidR="00015840" w:rsidRPr="003A173C">
        <w:rPr>
          <w:rFonts w:cs="Calibri"/>
          <w:szCs w:val="20"/>
        </w:rPr>
        <w:t>I</w:t>
      </w:r>
      <w:r w:rsidRPr="003A173C">
        <w:rPr>
          <w:rFonts w:cs="Calibri"/>
          <w:szCs w:val="20"/>
        </w:rPr>
        <w:t xml:space="preserve">tems must be provided to TCP clients in a home or community setting </w:t>
      </w:r>
      <w:r w:rsidR="00071B8E" w:rsidRPr="003A173C">
        <w:rPr>
          <w:rFonts w:cs="Calibri"/>
          <w:szCs w:val="20"/>
        </w:rPr>
        <w:t xml:space="preserve">if </w:t>
      </w:r>
      <w:r w:rsidR="002F3DAC" w:rsidRPr="003A173C">
        <w:rPr>
          <w:rFonts w:cs="Calibri"/>
          <w:szCs w:val="20"/>
        </w:rPr>
        <w:t>required to</w:t>
      </w:r>
      <w:r w:rsidR="00011D89" w:rsidRPr="003A173C">
        <w:rPr>
          <w:rFonts w:cs="Calibri"/>
          <w:szCs w:val="20"/>
        </w:rPr>
        <w:t xml:space="preserve"> address the goals specified in</w:t>
      </w:r>
      <w:r w:rsidR="00071B8E" w:rsidRPr="003A173C">
        <w:rPr>
          <w:rFonts w:cs="Calibri"/>
          <w:szCs w:val="20"/>
        </w:rPr>
        <w:t xml:space="preserve"> the client’s </w:t>
      </w:r>
      <w:r w:rsidR="0081559E" w:rsidRPr="003A173C">
        <w:rPr>
          <w:rFonts w:cs="Calibri"/>
          <w:szCs w:val="20"/>
        </w:rPr>
        <w:t>Support</w:t>
      </w:r>
      <w:r w:rsidR="00FD5F95" w:rsidRPr="003A173C">
        <w:rPr>
          <w:rFonts w:cs="Calibri"/>
          <w:szCs w:val="20"/>
        </w:rPr>
        <w:t xml:space="preserve"> </w:t>
      </w:r>
      <w:r w:rsidR="0081559E" w:rsidRPr="003A173C">
        <w:rPr>
          <w:rFonts w:cs="Calibri"/>
          <w:szCs w:val="20"/>
        </w:rPr>
        <w:t>Plan developed as part of</w:t>
      </w:r>
      <w:r w:rsidR="00AF0C80" w:rsidRPr="003A173C">
        <w:rPr>
          <w:rFonts w:cs="Calibri"/>
          <w:szCs w:val="20"/>
        </w:rPr>
        <w:t xml:space="preserve"> their </w:t>
      </w:r>
      <w:r w:rsidR="00AA66CE" w:rsidRPr="003A173C">
        <w:rPr>
          <w:rFonts w:cs="Calibri"/>
          <w:szCs w:val="20"/>
        </w:rPr>
        <w:t>a</w:t>
      </w:r>
      <w:r w:rsidR="003A0193" w:rsidRPr="003A173C">
        <w:rPr>
          <w:rFonts w:cs="Calibri"/>
          <w:szCs w:val="20"/>
        </w:rPr>
        <w:t xml:space="preserve">ged </w:t>
      </w:r>
      <w:r w:rsidR="00AA66CE" w:rsidRPr="003A173C">
        <w:rPr>
          <w:rFonts w:cs="Calibri"/>
          <w:szCs w:val="20"/>
        </w:rPr>
        <w:t>c</w:t>
      </w:r>
      <w:r w:rsidR="003A0193" w:rsidRPr="003A173C">
        <w:rPr>
          <w:rFonts w:cs="Calibri"/>
          <w:szCs w:val="20"/>
        </w:rPr>
        <w:t xml:space="preserve">are </w:t>
      </w:r>
      <w:r w:rsidR="00AA66CE" w:rsidRPr="003A173C">
        <w:rPr>
          <w:rFonts w:cs="Calibri"/>
          <w:szCs w:val="20"/>
        </w:rPr>
        <w:t>n</w:t>
      </w:r>
      <w:r w:rsidR="003A0193" w:rsidRPr="003A173C">
        <w:rPr>
          <w:rFonts w:cs="Calibri"/>
          <w:szCs w:val="20"/>
        </w:rPr>
        <w:t xml:space="preserve">eeds </w:t>
      </w:r>
      <w:r w:rsidR="00AA66CE" w:rsidRPr="003A173C">
        <w:rPr>
          <w:rFonts w:cs="Calibri"/>
          <w:szCs w:val="20"/>
        </w:rPr>
        <w:t>a</w:t>
      </w:r>
      <w:r w:rsidR="003A0193" w:rsidRPr="003A173C">
        <w:rPr>
          <w:rFonts w:cs="Calibri"/>
          <w:szCs w:val="20"/>
        </w:rPr>
        <w:t>ssessment.</w:t>
      </w:r>
      <w:r w:rsidR="00BA06F4" w:rsidRPr="003A173C">
        <w:rPr>
          <w:rFonts w:cs="Calibri"/>
          <w:szCs w:val="20"/>
        </w:rPr>
        <w:t xml:space="preserve"> These items may be delivered </w:t>
      </w:r>
      <w:r w:rsidR="00C544BD" w:rsidRPr="003A173C">
        <w:rPr>
          <w:rFonts w:cs="Calibri"/>
          <w:szCs w:val="20"/>
        </w:rPr>
        <w:t xml:space="preserve">through CHSP or existing Support at Home arrangements, provided services are coordinated and duplication does not occur. </w:t>
      </w:r>
    </w:p>
    <w:p w14:paraId="0922975E" w14:textId="57192F62" w:rsidR="57EF593B" w:rsidRPr="003A173C" w:rsidRDefault="57EF593B" w:rsidP="00FA34AC">
      <w:pPr>
        <w:pStyle w:val="ListBullet"/>
      </w:pPr>
      <w:r w:rsidRPr="003A173C">
        <w:t xml:space="preserve">Section </w:t>
      </w:r>
      <w:r w:rsidR="0000142C" w:rsidRPr="003A173C">
        <w:t>8-35</w:t>
      </w:r>
      <w:r w:rsidRPr="003A173C">
        <w:t xml:space="preserve"> – Domestic assistance</w:t>
      </w:r>
    </w:p>
    <w:p w14:paraId="572090E3" w14:textId="7C3BA80D" w:rsidR="57EF593B" w:rsidRPr="003A173C" w:rsidRDefault="57EF593B" w:rsidP="00FA34AC">
      <w:pPr>
        <w:pStyle w:val="ListBullet"/>
      </w:pPr>
      <w:r w:rsidRPr="003A173C">
        <w:t xml:space="preserve">Section </w:t>
      </w:r>
      <w:r w:rsidR="0000142C" w:rsidRPr="003A173C">
        <w:t>8-45</w:t>
      </w:r>
      <w:r w:rsidRPr="003A173C">
        <w:t xml:space="preserve"> – Home maintenance and repairs</w:t>
      </w:r>
    </w:p>
    <w:p w14:paraId="6CE367BC" w14:textId="5DA864D5" w:rsidR="57EF593B" w:rsidRPr="003A173C" w:rsidRDefault="57EF593B" w:rsidP="00FA34AC">
      <w:pPr>
        <w:pStyle w:val="ListBullet"/>
      </w:pPr>
      <w:r w:rsidRPr="003A173C">
        <w:t xml:space="preserve">Section </w:t>
      </w:r>
      <w:r w:rsidR="0000142C" w:rsidRPr="003A173C">
        <w:t>8-55</w:t>
      </w:r>
      <w:r w:rsidR="00A71844">
        <w:t xml:space="preserve"> </w:t>
      </w:r>
      <w:r w:rsidRPr="003A173C">
        <w:t>– Meals</w:t>
      </w:r>
    </w:p>
    <w:p w14:paraId="4D2DB854" w14:textId="1512EBBA" w:rsidR="57EF593B" w:rsidRPr="003A173C" w:rsidRDefault="57EF593B" w:rsidP="00FA34AC">
      <w:pPr>
        <w:pStyle w:val="ListBullet"/>
      </w:pPr>
      <w:r w:rsidRPr="003A173C">
        <w:t xml:space="preserve">Section </w:t>
      </w:r>
      <w:r w:rsidR="0000142C" w:rsidRPr="003A173C">
        <w:t>8-60</w:t>
      </w:r>
      <w:r w:rsidRPr="003A173C">
        <w:t xml:space="preserve"> – Nursing care</w:t>
      </w:r>
    </w:p>
    <w:p w14:paraId="5A68A8D2" w14:textId="11EA011C" w:rsidR="57EF593B" w:rsidRPr="003A173C" w:rsidRDefault="57EF593B" w:rsidP="00FA34AC">
      <w:pPr>
        <w:pStyle w:val="ListBullet"/>
      </w:pPr>
      <w:r w:rsidRPr="003A173C">
        <w:t xml:space="preserve">Section </w:t>
      </w:r>
      <w:r w:rsidR="0000142C" w:rsidRPr="003A173C">
        <w:t>8-65</w:t>
      </w:r>
      <w:r w:rsidRPr="003A173C">
        <w:t xml:space="preserve"> – Nutrition</w:t>
      </w:r>
    </w:p>
    <w:p w14:paraId="24425B1A" w14:textId="59394E09" w:rsidR="57EF593B" w:rsidRPr="003A173C" w:rsidRDefault="57EF593B" w:rsidP="00FA34AC">
      <w:pPr>
        <w:pStyle w:val="ListBullet"/>
      </w:pPr>
      <w:r w:rsidRPr="003A173C">
        <w:t xml:space="preserve">Section </w:t>
      </w:r>
      <w:r w:rsidR="0000142C" w:rsidRPr="003A173C">
        <w:t>8-70</w:t>
      </w:r>
      <w:r w:rsidRPr="003A173C">
        <w:t xml:space="preserve"> – Personal care</w:t>
      </w:r>
    </w:p>
    <w:p w14:paraId="2EA77D64" w14:textId="2E9A34A4" w:rsidR="002672AD" w:rsidRPr="003A173C" w:rsidRDefault="6E6EA067" w:rsidP="00FA34AC">
      <w:pPr>
        <w:pStyle w:val="ListBullet"/>
      </w:pPr>
      <w:r w:rsidRPr="003A173C">
        <w:t xml:space="preserve">Section </w:t>
      </w:r>
      <w:r w:rsidR="0000142C" w:rsidRPr="003A173C">
        <w:t>8-110</w:t>
      </w:r>
      <w:r w:rsidRPr="003A173C">
        <w:t xml:space="preserve"> – Equipment and products</w:t>
      </w:r>
      <w:r w:rsidR="00975F74" w:rsidRPr="003A173C">
        <w:t xml:space="preserve">, Items </w:t>
      </w:r>
      <w:r w:rsidR="00C25F98" w:rsidRPr="003A173C">
        <w:t xml:space="preserve">5, </w:t>
      </w:r>
      <w:r w:rsidR="00975F74" w:rsidRPr="003A173C">
        <w:t>6</w:t>
      </w:r>
      <w:r w:rsidR="00CF5D13" w:rsidRPr="003A173C">
        <w:t xml:space="preserve"> &amp; 11</w:t>
      </w:r>
      <w:r w:rsidRPr="003A173C">
        <w:t xml:space="preserve"> </w:t>
      </w:r>
    </w:p>
    <w:p w14:paraId="0366C0EC" w14:textId="219FEF56" w:rsidR="003225B2" w:rsidRPr="003A173C" w:rsidRDefault="00CE5A5C" w:rsidP="007206E9">
      <w:pPr>
        <w:rPr>
          <w:rFonts w:cs="Calibri"/>
        </w:rPr>
      </w:pPr>
      <w:r w:rsidRPr="003A173C">
        <w:rPr>
          <w:rFonts w:cs="Calibri"/>
          <w:b/>
        </w:rPr>
        <w:t xml:space="preserve">Note: </w:t>
      </w:r>
      <w:r w:rsidR="002672AD" w:rsidRPr="007206E9">
        <w:t>F</w:t>
      </w:r>
      <w:r w:rsidR="004B3938" w:rsidRPr="007206E9">
        <w:t>rom</w:t>
      </w:r>
      <w:r w:rsidR="004B3938" w:rsidRPr="003A173C">
        <w:rPr>
          <w:rFonts w:cs="Calibri"/>
        </w:rPr>
        <w:t xml:space="preserve"> the</w:t>
      </w:r>
      <w:r w:rsidR="002672AD" w:rsidRPr="003A173C">
        <w:rPr>
          <w:rFonts w:cs="Calibri"/>
        </w:rPr>
        <w:t xml:space="preserve"> services </w:t>
      </w:r>
      <w:r w:rsidR="004B3938" w:rsidRPr="003A173C">
        <w:rPr>
          <w:rFonts w:cs="Calibri"/>
        </w:rPr>
        <w:t xml:space="preserve">listed </w:t>
      </w:r>
      <w:r w:rsidR="002672AD" w:rsidRPr="003A173C">
        <w:rPr>
          <w:rFonts w:cs="Calibri"/>
        </w:rPr>
        <w:t xml:space="preserve">under </w:t>
      </w:r>
      <w:r w:rsidR="002672AD" w:rsidRPr="003A173C">
        <w:rPr>
          <w:rFonts w:cs="Calibri"/>
          <w:b/>
        </w:rPr>
        <w:t>section 8-110</w:t>
      </w:r>
      <w:r w:rsidR="00F91517" w:rsidRPr="003A173C">
        <w:rPr>
          <w:rFonts w:cs="Calibri"/>
          <w:b/>
        </w:rPr>
        <w:t xml:space="preserve"> Equipment and products</w:t>
      </w:r>
      <w:r w:rsidR="002672AD" w:rsidRPr="003A173C">
        <w:rPr>
          <w:rFonts w:cs="Calibri"/>
          <w:b/>
        </w:rPr>
        <w:t>,</w:t>
      </w:r>
      <w:r w:rsidR="002672AD" w:rsidRPr="003A173C">
        <w:rPr>
          <w:rFonts w:cs="Calibri"/>
        </w:rPr>
        <w:t xml:space="preserve"> </w:t>
      </w:r>
      <w:r w:rsidR="0000142C" w:rsidRPr="003A173C">
        <w:rPr>
          <w:rFonts w:cs="Calibri"/>
        </w:rPr>
        <w:t xml:space="preserve">TCP </w:t>
      </w:r>
      <w:r w:rsidR="009835E2" w:rsidRPr="003A173C">
        <w:rPr>
          <w:rFonts w:cs="Calibri"/>
        </w:rPr>
        <w:t xml:space="preserve">clients are entitled to receive </w:t>
      </w:r>
      <w:r w:rsidR="00F91517" w:rsidRPr="003A173C">
        <w:rPr>
          <w:rFonts w:cs="Calibri"/>
        </w:rPr>
        <w:t xml:space="preserve">those services as listed </w:t>
      </w:r>
      <w:r w:rsidR="00F91517" w:rsidRPr="003A173C">
        <w:rPr>
          <w:rFonts w:cs="Calibri"/>
          <w:b/>
        </w:rPr>
        <w:t>at</w:t>
      </w:r>
      <w:r w:rsidR="000C1F18" w:rsidRPr="003A173C">
        <w:rPr>
          <w:rFonts w:cs="Calibri"/>
          <w:b/>
        </w:rPr>
        <w:t xml:space="preserve"> Item 5</w:t>
      </w:r>
      <w:r w:rsidR="00915534" w:rsidRPr="003A173C">
        <w:rPr>
          <w:rFonts w:cs="Calibri"/>
          <w:b/>
        </w:rPr>
        <w:t xml:space="preserve">: Mobility </w:t>
      </w:r>
      <w:r w:rsidR="00CB3CDB" w:rsidRPr="003A173C">
        <w:rPr>
          <w:rFonts w:cs="Calibri"/>
          <w:b/>
        </w:rPr>
        <w:t>items 5 (non-loan)</w:t>
      </w:r>
      <w:r w:rsidR="00643ACB" w:rsidRPr="003A173C">
        <w:rPr>
          <w:rFonts w:cs="Calibri"/>
        </w:rPr>
        <w:t>,</w:t>
      </w:r>
      <w:r w:rsidR="00F91517" w:rsidRPr="003A173C">
        <w:rPr>
          <w:rFonts w:cs="Calibri"/>
        </w:rPr>
        <w:t xml:space="preserve"> </w:t>
      </w:r>
      <w:r w:rsidR="00F91517" w:rsidRPr="003A173C">
        <w:rPr>
          <w:rFonts w:cs="Calibri"/>
          <w:b/>
        </w:rPr>
        <w:t>Item 6 – Mobility items</w:t>
      </w:r>
      <w:r w:rsidR="007F0560" w:rsidRPr="003A173C">
        <w:rPr>
          <w:rFonts w:cs="Calibri"/>
          <w:b/>
        </w:rPr>
        <w:t xml:space="preserve"> (loan)</w:t>
      </w:r>
      <w:r w:rsidR="00395F70" w:rsidRPr="003A173C">
        <w:rPr>
          <w:rFonts w:cs="Calibri"/>
          <w:b/>
        </w:rPr>
        <w:t>,</w:t>
      </w:r>
      <w:r w:rsidR="00F91517" w:rsidRPr="003A173C">
        <w:rPr>
          <w:rFonts w:cs="Calibri"/>
        </w:rPr>
        <w:t xml:space="preserve"> and </w:t>
      </w:r>
      <w:r w:rsidR="00F91517" w:rsidRPr="003A173C">
        <w:rPr>
          <w:rFonts w:cs="Calibri"/>
          <w:b/>
        </w:rPr>
        <w:t>Item 11 – Assistive technology prescription and clinical support</w:t>
      </w:r>
      <w:r w:rsidR="000200B0" w:rsidRPr="003A173C">
        <w:rPr>
          <w:rFonts w:cs="Calibri"/>
          <w:b/>
        </w:rPr>
        <w:t xml:space="preserve"> </w:t>
      </w:r>
      <w:r w:rsidR="000200B0" w:rsidRPr="003A173C">
        <w:rPr>
          <w:rFonts w:cs="Calibri"/>
        </w:rPr>
        <w:t>according to assessed need</w:t>
      </w:r>
      <w:r w:rsidR="00F91517" w:rsidRPr="003A173C">
        <w:rPr>
          <w:rFonts w:cs="Calibri"/>
        </w:rPr>
        <w:t xml:space="preserve">. </w:t>
      </w:r>
    </w:p>
    <w:p w14:paraId="29A522B1" w14:textId="799CDA86" w:rsidR="00E1207D" w:rsidRDefault="003225B2" w:rsidP="007206E9">
      <w:pPr>
        <w:rPr>
          <w:rFonts w:cs="Calibri"/>
        </w:rPr>
      </w:pPr>
      <w:r w:rsidRPr="003A173C">
        <w:rPr>
          <w:rFonts w:cs="Calibri"/>
        </w:rPr>
        <w:t xml:space="preserve">The provision of loaned </w:t>
      </w:r>
      <w:r w:rsidRPr="003A173C">
        <w:rPr>
          <w:rFonts w:cs="Calibri"/>
          <w:b/>
          <w:bCs/>
          <w:szCs w:val="20"/>
        </w:rPr>
        <w:t>equipment and products</w:t>
      </w:r>
      <w:r w:rsidRPr="003A173C">
        <w:rPr>
          <w:rFonts w:cs="Calibri"/>
        </w:rPr>
        <w:t xml:space="preserve"> to assist clients with mobility </w:t>
      </w:r>
      <w:r w:rsidR="00DD6F2E" w:rsidRPr="003A173C">
        <w:rPr>
          <w:rFonts w:cs="Calibri"/>
        </w:rPr>
        <w:t xml:space="preserve">under section </w:t>
      </w:r>
      <w:r w:rsidR="00FC3145" w:rsidRPr="003A173C">
        <w:rPr>
          <w:rFonts w:cs="Calibri"/>
        </w:rPr>
        <w:t xml:space="preserve">8-110 </w:t>
      </w:r>
      <w:r w:rsidRPr="003A173C">
        <w:rPr>
          <w:rFonts w:cs="Calibri"/>
        </w:rPr>
        <w:t xml:space="preserve">will continue to be offered by providers. Funding for this will continue to be covered through the transition care daily subsidy rate (paid to providers). There is no need to apply for separate funding under the Assistive Technology Service Group. The provision and management of equipment under TCP is, however, determined at the discretion of each State and Territory. </w:t>
      </w:r>
      <w:r w:rsidR="00B72BE1" w:rsidRPr="003A173C">
        <w:rPr>
          <w:rFonts w:cs="Calibri"/>
        </w:rPr>
        <w:t>States and Territories</w:t>
      </w:r>
      <w:r w:rsidRPr="003A173C">
        <w:rPr>
          <w:rFonts w:cs="Calibri"/>
        </w:rPr>
        <w:t xml:space="preserve"> may choose to provide equipment on either a permanent or loaned basis, depending on their local policies and operational arrangements.</w:t>
      </w:r>
    </w:p>
    <w:p w14:paraId="42DB9D10" w14:textId="0225D37D" w:rsidR="00D25BCC" w:rsidRPr="003A173C" w:rsidRDefault="00D25BCC" w:rsidP="007206E9">
      <w:pPr>
        <w:rPr>
          <w:rFonts w:cs="Calibri"/>
        </w:rPr>
      </w:pPr>
      <w:r>
        <w:rPr>
          <w:rFonts w:cs="Calibri"/>
        </w:rPr>
        <w:t>Wh</w:t>
      </w:r>
      <w:r w:rsidR="00183EC0">
        <w:rPr>
          <w:rFonts w:cs="Calibri"/>
        </w:rPr>
        <w:t xml:space="preserve">ere some of these services are being provided through other programs such as the CHSP or Support at Home, </w:t>
      </w:r>
      <w:r w:rsidR="0092285D">
        <w:rPr>
          <w:rFonts w:cs="Calibri"/>
        </w:rPr>
        <w:t xml:space="preserve">TCP </w:t>
      </w:r>
      <w:r w:rsidR="0053287F">
        <w:rPr>
          <w:rFonts w:cs="Calibri"/>
        </w:rPr>
        <w:t>services</w:t>
      </w:r>
      <w:r w:rsidR="0092285D">
        <w:rPr>
          <w:rFonts w:cs="Calibri"/>
        </w:rPr>
        <w:t xml:space="preserve"> should </w:t>
      </w:r>
      <w:r w:rsidR="0053287F">
        <w:rPr>
          <w:rFonts w:cs="Calibri"/>
        </w:rPr>
        <w:t>complement, rather than duplicate th</w:t>
      </w:r>
      <w:r w:rsidR="0013526A">
        <w:rPr>
          <w:rFonts w:cs="Calibri"/>
        </w:rPr>
        <w:t>ose services.</w:t>
      </w:r>
      <w:r w:rsidR="0092285D">
        <w:rPr>
          <w:rFonts w:cs="Calibri"/>
        </w:rPr>
        <w:t xml:space="preserve"> </w:t>
      </w:r>
    </w:p>
    <w:p w14:paraId="7FBB5DB7" w14:textId="5E1E72E3" w:rsidR="435B67A8" w:rsidRPr="004029F0" w:rsidRDefault="435B67A8" w:rsidP="007206E9">
      <w:pPr>
        <w:pStyle w:val="heading4withoutnumbers"/>
        <w:rPr>
          <w:rFonts w:cs="Calibri"/>
          <w:b/>
          <w:bCs/>
        </w:rPr>
      </w:pPr>
      <w:r w:rsidRPr="004029F0">
        <w:rPr>
          <w:rFonts w:cs="Calibri"/>
          <w:b/>
          <w:bCs/>
        </w:rPr>
        <w:t>TCP in a residential care setting</w:t>
      </w:r>
    </w:p>
    <w:p w14:paraId="7ABB4F11" w14:textId="14ADBF03" w:rsidR="00B272A5" w:rsidRPr="003A173C" w:rsidRDefault="00BB41F3" w:rsidP="002265B1">
      <w:pPr>
        <w:rPr>
          <w:rFonts w:cs="Calibri"/>
          <w:szCs w:val="20"/>
        </w:rPr>
      </w:pPr>
      <w:r w:rsidRPr="003A173C">
        <w:rPr>
          <w:rFonts w:cs="Calibri"/>
          <w:szCs w:val="20"/>
        </w:rPr>
        <w:t>Division 8</w:t>
      </w:r>
      <w:r w:rsidR="00EC4AC1" w:rsidRPr="003A173C">
        <w:rPr>
          <w:rFonts w:cs="Calibri"/>
          <w:szCs w:val="20"/>
        </w:rPr>
        <w:t xml:space="preserve"> sets out the </w:t>
      </w:r>
      <w:r w:rsidR="008E0BB7" w:rsidRPr="003A173C">
        <w:rPr>
          <w:rFonts w:cs="Calibri"/>
          <w:szCs w:val="20"/>
        </w:rPr>
        <w:t xml:space="preserve">care </w:t>
      </w:r>
      <w:r w:rsidR="00EC4AC1" w:rsidRPr="003A173C">
        <w:rPr>
          <w:rFonts w:cs="Calibri"/>
          <w:szCs w:val="20"/>
        </w:rPr>
        <w:t>services</w:t>
      </w:r>
      <w:r w:rsidR="00344C9B" w:rsidRPr="003A173C">
        <w:rPr>
          <w:rFonts w:cs="Calibri"/>
          <w:szCs w:val="20"/>
        </w:rPr>
        <w:t xml:space="preserve"> that </w:t>
      </w:r>
      <w:r w:rsidR="00754E7E" w:rsidRPr="003A173C">
        <w:rPr>
          <w:rFonts w:cs="Calibri"/>
          <w:szCs w:val="20"/>
        </w:rPr>
        <w:t>must</w:t>
      </w:r>
      <w:r w:rsidR="00022E67" w:rsidRPr="003A173C">
        <w:rPr>
          <w:rFonts w:cs="Calibri"/>
          <w:szCs w:val="20"/>
        </w:rPr>
        <w:t xml:space="preserve"> be provided to all TCP clients receiving care in a </w:t>
      </w:r>
      <w:r w:rsidR="004B38D7" w:rsidRPr="003A173C">
        <w:rPr>
          <w:rFonts w:cs="Calibri"/>
          <w:szCs w:val="20"/>
        </w:rPr>
        <w:t>residential</w:t>
      </w:r>
      <w:r w:rsidR="00022E67" w:rsidRPr="003A173C">
        <w:rPr>
          <w:rFonts w:cs="Calibri"/>
          <w:szCs w:val="20"/>
        </w:rPr>
        <w:t xml:space="preserve"> setting who need them.</w:t>
      </w:r>
    </w:p>
    <w:p w14:paraId="0E67036D" w14:textId="3FC8F560" w:rsidR="2CB5F870" w:rsidRPr="003A173C" w:rsidRDefault="2CB5F870" w:rsidP="00FA34AC">
      <w:pPr>
        <w:pStyle w:val="ListBullet"/>
      </w:pPr>
      <w:r w:rsidRPr="003A173C">
        <w:t xml:space="preserve">Section </w:t>
      </w:r>
      <w:r w:rsidR="00AF24D0" w:rsidRPr="003A173C">
        <w:t>8-140</w:t>
      </w:r>
      <w:r w:rsidRPr="003A173C">
        <w:t xml:space="preserve"> – </w:t>
      </w:r>
      <w:r w:rsidR="5DBF0CA9" w:rsidRPr="003A173C">
        <w:t>Residential accommodation</w:t>
      </w:r>
    </w:p>
    <w:p w14:paraId="621AF656" w14:textId="1B7A400A" w:rsidR="2CB5F870" w:rsidRPr="003A173C" w:rsidRDefault="2CB5F870" w:rsidP="00FA34AC">
      <w:pPr>
        <w:pStyle w:val="ListBullet"/>
      </w:pPr>
      <w:r w:rsidRPr="003A173C">
        <w:t xml:space="preserve">Section </w:t>
      </w:r>
      <w:r w:rsidR="00AF24D0" w:rsidRPr="003A173C">
        <w:t>8-145</w:t>
      </w:r>
      <w:r w:rsidRPr="003A173C">
        <w:t xml:space="preserve"> – </w:t>
      </w:r>
      <w:r w:rsidR="05F68577" w:rsidRPr="003A173C">
        <w:t>Residential everyday living</w:t>
      </w:r>
    </w:p>
    <w:p w14:paraId="0ACF1EB0" w14:textId="3BF78325" w:rsidR="2CB5F870" w:rsidRPr="003A173C" w:rsidRDefault="2CB5F870" w:rsidP="00FA34AC">
      <w:pPr>
        <w:pStyle w:val="ListBullet"/>
      </w:pPr>
      <w:r w:rsidRPr="003A173C">
        <w:t xml:space="preserve">Section </w:t>
      </w:r>
      <w:r w:rsidR="00AF24D0" w:rsidRPr="003A173C">
        <w:t>8-150</w:t>
      </w:r>
      <w:r w:rsidRPr="003A173C">
        <w:t xml:space="preserve"> – </w:t>
      </w:r>
      <w:r w:rsidR="445A454C" w:rsidRPr="003A173C">
        <w:t>Residential non-clinical care</w:t>
      </w:r>
    </w:p>
    <w:p w14:paraId="65C2DC31" w14:textId="216EEF2C" w:rsidR="2CB5F870" w:rsidRPr="003A173C" w:rsidRDefault="2CB5F870" w:rsidP="00FA34AC">
      <w:pPr>
        <w:pStyle w:val="ListBullet"/>
      </w:pPr>
      <w:r w:rsidRPr="003A173C">
        <w:t xml:space="preserve">Section </w:t>
      </w:r>
      <w:r w:rsidR="00AF24D0" w:rsidRPr="003A173C">
        <w:t>8-155</w:t>
      </w:r>
      <w:r w:rsidRPr="003A173C">
        <w:t xml:space="preserve"> – </w:t>
      </w:r>
      <w:r w:rsidR="049D8088" w:rsidRPr="003A173C">
        <w:t xml:space="preserve">Residential clinical care </w:t>
      </w:r>
    </w:p>
    <w:p w14:paraId="39ED2F25" w14:textId="626B616E" w:rsidR="00605BA0" w:rsidRPr="003A173C" w:rsidRDefault="001B5E4C" w:rsidP="00F453A1">
      <w:pPr>
        <w:rPr>
          <w:rFonts w:cs="Calibri"/>
        </w:rPr>
      </w:pPr>
      <w:r w:rsidRPr="003A173C">
        <w:rPr>
          <w:rFonts w:cs="Calibri"/>
        </w:rPr>
        <w:t>Services</w:t>
      </w:r>
      <w:r w:rsidR="4113B1AE" w:rsidRPr="003A173C">
        <w:rPr>
          <w:rFonts w:cs="Calibri"/>
        </w:rPr>
        <w:t xml:space="preserve"> provided as part of the </w:t>
      </w:r>
      <w:r w:rsidR="00B505C7" w:rsidRPr="003A173C">
        <w:rPr>
          <w:rFonts w:cs="Calibri"/>
        </w:rPr>
        <w:t>program</w:t>
      </w:r>
      <w:r w:rsidR="4113B1AE" w:rsidRPr="003A173C">
        <w:rPr>
          <w:rFonts w:cs="Calibri"/>
        </w:rPr>
        <w:t xml:space="preserve"> are designed to meet a</w:t>
      </w:r>
      <w:r w:rsidR="005E6282" w:rsidRPr="003A173C">
        <w:rPr>
          <w:rFonts w:cs="Calibri"/>
        </w:rPr>
        <w:t>n</w:t>
      </w:r>
      <w:r w:rsidR="4113B1AE" w:rsidRPr="003A173C">
        <w:rPr>
          <w:rFonts w:cs="Calibri"/>
        </w:rPr>
        <w:t xml:space="preserve"> </w:t>
      </w:r>
      <w:r w:rsidR="00E16A2C" w:rsidRPr="003A173C">
        <w:rPr>
          <w:rFonts w:cs="Calibri"/>
        </w:rPr>
        <w:t>individual</w:t>
      </w:r>
      <w:r w:rsidR="7A6E8783" w:rsidRPr="003A173C">
        <w:rPr>
          <w:rFonts w:cs="Calibri"/>
        </w:rPr>
        <w:t xml:space="preserve">’s </w:t>
      </w:r>
      <w:r w:rsidR="4113B1AE" w:rsidRPr="003A173C">
        <w:rPr>
          <w:rFonts w:cs="Calibri"/>
        </w:rPr>
        <w:t xml:space="preserve">daily care needs and provide additional therapeutic care to enable the </w:t>
      </w:r>
      <w:r w:rsidR="00E16A2C" w:rsidRPr="003A173C">
        <w:rPr>
          <w:rFonts w:cs="Calibri"/>
        </w:rPr>
        <w:t>individual</w:t>
      </w:r>
      <w:r w:rsidR="7A6E8783" w:rsidRPr="003A173C">
        <w:rPr>
          <w:rFonts w:cs="Calibri"/>
        </w:rPr>
        <w:t xml:space="preserve"> </w:t>
      </w:r>
      <w:r w:rsidR="4113B1AE" w:rsidRPr="003A173C">
        <w:rPr>
          <w:rFonts w:cs="Calibri"/>
        </w:rPr>
        <w:t>to maintain or improve their physical, cognitive and psycho</w:t>
      </w:r>
      <w:r w:rsidR="25B9A5FA" w:rsidRPr="003A173C">
        <w:rPr>
          <w:rFonts w:cs="Calibri"/>
        </w:rPr>
        <w:t>-</w:t>
      </w:r>
      <w:r w:rsidR="4113B1AE" w:rsidRPr="003A173C">
        <w:rPr>
          <w:rFonts w:cs="Calibri"/>
        </w:rPr>
        <w:t xml:space="preserve">social functioning, thereby improving their capacity for independent living. </w:t>
      </w:r>
    </w:p>
    <w:p w14:paraId="5B367116" w14:textId="3CCD8397" w:rsidR="00605BA0" w:rsidRPr="003A173C" w:rsidRDefault="4113B1AE" w:rsidP="00F453A1">
      <w:pPr>
        <w:rPr>
          <w:rFonts w:cs="Calibri"/>
        </w:rPr>
      </w:pPr>
      <w:r w:rsidRPr="003A173C">
        <w:rPr>
          <w:rFonts w:cs="Calibri"/>
        </w:rPr>
        <w:t>Therapeutic care will vary from person to person, ranging from services that improve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’s </w:t>
      </w:r>
      <w:r w:rsidRPr="003A173C">
        <w:rPr>
          <w:rFonts w:cs="Calibri"/>
        </w:rPr>
        <w:t>capacity for independent living</w:t>
      </w:r>
      <w:r w:rsidR="43EC1F40" w:rsidRPr="003A173C">
        <w:rPr>
          <w:rFonts w:cs="Calibri"/>
        </w:rPr>
        <w:t>,</w:t>
      </w:r>
      <w:r w:rsidRPr="003A173C">
        <w:rPr>
          <w:rFonts w:cs="Calibri"/>
        </w:rPr>
        <w:t xml:space="preserve"> to services that enable a</w:t>
      </w:r>
      <w:r w:rsidR="005E6282" w:rsidRPr="003A173C">
        <w:rPr>
          <w:rFonts w:cs="Calibri"/>
        </w:rPr>
        <w:t>n</w:t>
      </w:r>
      <w:r w:rsidRPr="003A173C">
        <w:rPr>
          <w:rFonts w:cs="Calibri"/>
        </w:rPr>
        <w:t xml:space="preserve"> </w:t>
      </w:r>
      <w:r w:rsidR="00E16A2C" w:rsidRPr="003A173C">
        <w:rPr>
          <w:rFonts w:cs="Calibri"/>
        </w:rPr>
        <w:t>individual</w:t>
      </w:r>
      <w:r w:rsidR="7A6E8783" w:rsidRPr="003A173C">
        <w:rPr>
          <w:rFonts w:cs="Calibri"/>
        </w:rPr>
        <w:t xml:space="preserve"> </w:t>
      </w:r>
      <w:r w:rsidRPr="003A173C">
        <w:rPr>
          <w:rFonts w:cs="Calibri"/>
        </w:rPr>
        <w:t>to enter</w:t>
      </w:r>
      <w:r w:rsidR="39CDA862" w:rsidRPr="003A173C">
        <w:rPr>
          <w:rFonts w:cs="Calibri"/>
        </w:rPr>
        <w:t xml:space="preserve"> or remain in </w:t>
      </w:r>
      <w:r w:rsidRPr="003A173C">
        <w:rPr>
          <w:rFonts w:cs="Calibri"/>
        </w:rPr>
        <w:t>residential aged care at an optimum level of physical and cognitive functioning.</w:t>
      </w:r>
    </w:p>
    <w:p w14:paraId="529D403E" w14:textId="62BBEB69" w:rsidR="00B714E6" w:rsidRPr="003A173C" w:rsidRDefault="2AC075F6" w:rsidP="00F453A1">
      <w:pPr>
        <w:rPr>
          <w:rFonts w:cs="Calibri"/>
        </w:rPr>
      </w:pPr>
      <w:r w:rsidRPr="003A173C">
        <w:rPr>
          <w:rFonts w:cs="Calibri"/>
        </w:rPr>
        <w:t xml:space="preserve">Some people entering transition care are likely </w:t>
      </w:r>
      <w:r w:rsidR="0D1D2708" w:rsidRPr="003A173C">
        <w:rPr>
          <w:rFonts w:cs="Calibri"/>
        </w:rPr>
        <w:t xml:space="preserve">to </w:t>
      </w:r>
      <w:r w:rsidRPr="003A173C">
        <w:rPr>
          <w:rFonts w:cs="Calibri"/>
        </w:rPr>
        <w:t>have dementia or be experiencing a level of cognitive confusion. Therefore, where needed</w:t>
      </w:r>
      <w:r w:rsidR="41CB5AB7" w:rsidRPr="003A173C">
        <w:rPr>
          <w:rFonts w:cs="Calibri"/>
        </w:rPr>
        <w:t>,</w:t>
      </w:r>
      <w:r w:rsidRPr="003A173C">
        <w:rPr>
          <w:rFonts w:cs="Calibri"/>
        </w:rPr>
        <w:t xml:space="preserve"> therapeutic care </w:t>
      </w:r>
      <w:r w:rsidR="6B5FACF9" w:rsidRPr="003A173C">
        <w:rPr>
          <w:rFonts w:cs="Calibri"/>
        </w:rPr>
        <w:t>would</w:t>
      </w:r>
      <w:r w:rsidRPr="003A173C">
        <w:rPr>
          <w:rFonts w:cs="Calibri"/>
        </w:rPr>
        <w:t xml:space="preserve"> include appropriate cognitive therapy to assist with restoration or stabilisation of cognitive skills.</w:t>
      </w:r>
    </w:p>
    <w:p w14:paraId="75B66FE6" w14:textId="333E1AD6" w:rsidR="00605BA0" w:rsidRPr="003A173C" w:rsidRDefault="4113B1AE" w:rsidP="00F453A1">
      <w:pPr>
        <w:rPr>
          <w:rFonts w:cs="Calibri"/>
        </w:rPr>
      </w:pPr>
      <w:r w:rsidRPr="003A173C">
        <w:rPr>
          <w:rFonts w:cs="Calibri"/>
        </w:rPr>
        <w:t xml:space="preserve">In providing transition care, the </w:t>
      </w:r>
      <w:r w:rsidR="43941353" w:rsidRPr="003A173C">
        <w:rPr>
          <w:rFonts w:cs="Calibri"/>
        </w:rPr>
        <w:t>registered providers</w:t>
      </w:r>
      <w:r w:rsidRPr="003A173C">
        <w:rPr>
          <w:rFonts w:cs="Calibri"/>
        </w:rPr>
        <w:t xml:space="preserve"> must have systems in place to identify and ensure compliance with all relevant legislation, regulatory requirements, professional standards, quality </w:t>
      </w:r>
      <w:r w:rsidR="4EC0A01B" w:rsidRPr="003A173C">
        <w:rPr>
          <w:rFonts w:cs="Calibri"/>
        </w:rPr>
        <w:t>standards</w:t>
      </w:r>
      <w:r w:rsidRPr="003A173C">
        <w:rPr>
          <w:rFonts w:cs="Calibri"/>
        </w:rPr>
        <w:t xml:space="preserve"> and guidelines relevant to transition care</w:t>
      </w:r>
      <w:r w:rsidR="4EC0A01B" w:rsidRPr="003A173C">
        <w:rPr>
          <w:rFonts w:cs="Calibri"/>
        </w:rPr>
        <w:t xml:space="preserve"> service</w:t>
      </w:r>
      <w:r w:rsidRPr="003A173C">
        <w:rPr>
          <w:rFonts w:cs="Calibri"/>
        </w:rPr>
        <w:t xml:space="preserve"> provision.</w:t>
      </w:r>
    </w:p>
    <w:p w14:paraId="16182AEB" w14:textId="240BE906" w:rsidR="1303BF32" w:rsidRPr="003A173C" w:rsidRDefault="1303BF32">
      <w:pPr>
        <w:rPr>
          <w:rFonts w:cs="Calibri"/>
        </w:rPr>
      </w:pPr>
      <w:r w:rsidRPr="003A173C">
        <w:rPr>
          <w:rFonts w:cs="Calibri"/>
        </w:rPr>
        <w:lastRenderedPageBreak/>
        <w:t>Transition care clients can continue to access the Pharmaceutical Benefits Scheme (</w:t>
      </w:r>
      <w:r w:rsidRPr="003A173C">
        <w:rPr>
          <w:rFonts w:cs="Calibri"/>
          <w:b/>
          <w:bCs/>
        </w:rPr>
        <w:t>PBS</w:t>
      </w:r>
      <w:r w:rsidRPr="003A173C">
        <w:rPr>
          <w:rFonts w:cs="Calibri"/>
        </w:rPr>
        <w:t xml:space="preserve">) and Medicare. Some people from overseas, however, do not have access to the PBS and Medicare and therefore will need to meet their own medical costs while accessing the program (see also section </w:t>
      </w:r>
      <w:r w:rsidRPr="003A173C">
        <w:rPr>
          <w:rFonts w:cs="Calibri"/>
          <w:i/>
          <w:iCs/>
        </w:rPr>
        <w:t>3.2.</w:t>
      </w:r>
      <w:r w:rsidR="00BB6329">
        <w:rPr>
          <w:rFonts w:cs="Calibri"/>
          <w:i/>
          <w:iCs/>
        </w:rPr>
        <w:t>2</w:t>
      </w:r>
      <w:r w:rsidRPr="003A173C">
        <w:rPr>
          <w:rFonts w:cs="Calibri"/>
          <w:i/>
          <w:iCs/>
        </w:rPr>
        <w:t xml:space="preserve"> Non-Australian residents and older people from overseas</w:t>
      </w:r>
      <w:r w:rsidRPr="003A173C">
        <w:rPr>
          <w:rFonts w:cs="Calibri"/>
        </w:rPr>
        <w:t>).</w:t>
      </w:r>
    </w:p>
    <w:p w14:paraId="72EFC18A" w14:textId="1FFD524B" w:rsidR="00605BA0" w:rsidRPr="003A173C" w:rsidRDefault="00C02E2F">
      <w:pPr>
        <w:pStyle w:val="Heading2"/>
        <w:rPr>
          <w:rFonts w:ascii="Calibri" w:hAnsi="Calibri" w:cs="Calibri"/>
        </w:rPr>
      </w:pPr>
      <w:bookmarkStart w:id="548" w:name="_Toc216865461"/>
      <w:r w:rsidRPr="003A173C">
        <w:rPr>
          <w:rFonts w:ascii="Calibri" w:hAnsi="Calibri" w:cs="Calibri"/>
        </w:rPr>
        <w:t>Individuals eligible for transition care</w:t>
      </w:r>
      <w:bookmarkEnd w:id="548"/>
    </w:p>
    <w:p w14:paraId="321F686D" w14:textId="72F35346" w:rsidR="00F246AF" w:rsidRPr="003A173C" w:rsidRDefault="00F246AF">
      <w:pPr>
        <w:rPr>
          <w:rFonts w:cs="Calibri"/>
        </w:rPr>
      </w:pPr>
      <w:r w:rsidRPr="003A173C">
        <w:rPr>
          <w:rFonts w:cs="Calibri"/>
        </w:rPr>
        <w:t>Part 2 of Chapter 2 of</w:t>
      </w:r>
      <w:r w:rsidR="1C40651E" w:rsidRPr="003A173C">
        <w:rPr>
          <w:rFonts w:cs="Calibri"/>
        </w:rPr>
        <w:t xml:space="preserve"> the Act</w:t>
      </w:r>
      <w:r w:rsidR="4113B1AE" w:rsidRPr="003A173C">
        <w:rPr>
          <w:rFonts w:cs="Calibri"/>
        </w:rPr>
        <w:t xml:space="preserve"> sets </w:t>
      </w:r>
      <w:r w:rsidR="69EDB586" w:rsidRPr="003A173C">
        <w:rPr>
          <w:rFonts w:cs="Calibri"/>
        </w:rPr>
        <w:t>procedures for</w:t>
      </w:r>
      <w:r w:rsidR="0F062AD1" w:rsidRPr="003A173C">
        <w:rPr>
          <w:rFonts w:cs="Calibri"/>
        </w:rPr>
        <w:t xml:space="preserve"> entry </w:t>
      </w:r>
      <w:r w:rsidR="20735B5A" w:rsidRPr="003A173C">
        <w:rPr>
          <w:rFonts w:cs="Calibri"/>
        </w:rPr>
        <w:t>into</w:t>
      </w:r>
      <w:r w:rsidR="0F062AD1" w:rsidRPr="003A173C">
        <w:rPr>
          <w:rFonts w:cs="Calibri"/>
        </w:rPr>
        <w:t xml:space="preserve"> the </w:t>
      </w:r>
      <w:r w:rsidR="00931641" w:rsidRPr="003A173C">
        <w:rPr>
          <w:rFonts w:cs="Calibri"/>
        </w:rPr>
        <w:t xml:space="preserve">Australian </w:t>
      </w:r>
      <w:r w:rsidR="005B56EF" w:rsidRPr="003A173C">
        <w:rPr>
          <w:rFonts w:cs="Calibri"/>
        </w:rPr>
        <w:t xml:space="preserve">Government </w:t>
      </w:r>
      <w:r w:rsidR="0F062AD1" w:rsidRPr="003A173C">
        <w:rPr>
          <w:rFonts w:cs="Calibri"/>
        </w:rPr>
        <w:t xml:space="preserve">aged </w:t>
      </w:r>
      <w:r w:rsidR="10305315" w:rsidRPr="003A173C">
        <w:rPr>
          <w:rFonts w:cs="Calibri"/>
        </w:rPr>
        <w:t xml:space="preserve">care system by </w:t>
      </w:r>
      <w:r w:rsidR="4113B1AE" w:rsidRPr="003A173C">
        <w:rPr>
          <w:rFonts w:cs="Calibri"/>
        </w:rPr>
        <w:t xml:space="preserve">a person </w:t>
      </w:r>
      <w:r w:rsidR="481FCDD8" w:rsidRPr="003A173C">
        <w:rPr>
          <w:rFonts w:cs="Calibri"/>
        </w:rPr>
        <w:t xml:space="preserve">seeking aged care services. An individual is required to apply to the System </w:t>
      </w:r>
      <w:r w:rsidR="2099581A" w:rsidRPr="003A173C">
        <w:rPr>
          <w:rFonts w:cs="Calibri"/>
        </w:rPr>
        <w:t>Governor</w:t>
      </w:r>
      <w:r w:rsidR="481FCDD8" w:rsidRPr="003A173C">
        <w:rPr>
          <w:rFonts w:cs="Calibri"/>
        </w:rPr>
        <w:t xml:space="preserve"> f</w:t>
      </w:r>
      <w:r w:rsidR="2F82A46E" w:rsidRPr="003A173C">
        <w:rPr>
          <w:rFonts w:cs="Calibri"/>
        </w:rPr>
        <w:t>o</w:t>
      </w:r>
      <w:r w:rsidR="481FCDD8" w:rsidRPr="003A173C">
        <w:rPr>
          <w:rFonts w:cs="Calibri"/>
        </w:rPr>
        <w:t>r access to funded aged care services</w:t>
      </w:r>
      <w:r w:rsidR="7B442EF1" w:rsidRPr="003A173C">
        <w:rPr>
          <w:rFonts w:cs="Calibri"/>
        </w:rPr>
        <w:t xml:space="preserve"> under section 56 of Act.</w:t>
      </w:r>
      <w:r w:rsidRPr="003A173C">
        <w:rPr>
          <w:rFonts w:cs="Calibri"/>
        </w:rPr>
        <w:t xml:space="preserve"> Upon receiving an application, </w:t>
      </w:r>
      <w:r w:rsidR="7B442EF1" w:rsidRPr="003A173C">
        <w:rPr>
          <w:rFonts w:cs="Calibri"/>
        </w:rPr>
        <w:t xml:space="preserve">the System Governor must </w:t>
      </w:r>
      <w:r w:rsidR="303EAEB9" w:rsidRPr="003A173C">
        <w:rPr>
          <w:rFonts w:cs="Calibri"/>
        </w:rPr>
        <w:t>decide</w:t>
      </w:r>
      <w:r w:rsidR="7B442EF1" w:rsidRPr="003A173C">
        <w:rPr>
          <w:rFonts w:cs="Calibri"/>
        </w:rPr>
        <w:t xml:space="preserve"> whether to </w:t>
      </w:r>
      <w:r w:rsidR="2B4F70BB" w:rsidRPr="003A173C">
        <w:rPr>
          <w:rFonts w:cs="Calibri"/>
        </w:rPr>
        <w:t>make</w:t>
      </w:r>
      <w:r w:rsidR="7B442EF1" w:rsidRPr="003A173C">
        <w:rPr>
          <w:rFonts w:cs="Calibri"/>
        </w:rPr>
        <w:t xml:space="preserve"> an eligib</w:t>
      </w:r>
      <w:r w:rsidR="20A97238" w:rsidRPr="003A173C">
        <w:rPr>
          <w:rFonts w:cs="Calibri"/>
        </w:rPr>
        <w:t>ility determination</w:t>
      </w:r>
      <w:r w:rsidR="7B442EF1" w:rsidRPr="003A173C">
        <w:rPr>
          <w:rFonts w:cs="Calibri"/>
        </w:rPr>
        <w:t xml:space="preserve"> for an aged care need</w:t>
      </w:r>
      <w:r w:rsidRPr="003A173C">
        <w:rPr>
          <w:rFonts w:cs="Calibri"/>
        </w:rPr>
        <w:t>s</w:t>
      </w:r>
      <w:r w:rsidR="7B442EF1" w:rsidRPr="003A173C">
        <w:rPr>
          <w:rFonts w:cs="Calibri"/>
        </w:rPr>
        <w:t xml:space="preserve"> assessment for the indi</w:t>
      </w:r>
      <w:r w:rsidR="07F86AB1" w:rsidRPr="003A173C">
        <w:rPr>
          <w:rFonts w:cs="Calibri"/>
        </w:rPr>
        <w:t>vidual</w:t>
      </w:r>
      <w:r w:rsidRPr="003A173C">
        <w:rPr>
          <w:rFonts w:cs="Calibri"/>
        </w:rPr>
        <w:t xml:space="preserve"> (section 57 of the Act)</w:t>
      </w:r>
      <w:r w:rsidR="61B66551" w:rsidRPr="003A173C">
        <w:rPr>
          <w:rFonts w:cs="Calibri"/>
        </w:rPr>
        <w:t>.</w:t>
      </w:r>
    </w:p>
    <w:p w14:paraId="7B51A354" w14:textId="1DA2EC4F" w:rsidR="00F246AF" w:rsidRPr="003A173C" w:rsidRDefault="24CF8B0E">
      <w:pPr>
        <w:rPr>
          <w:rFonts w:cs="Calibri"/>
        </w:rPr>
      </w:pPr>
      <w:r w:rsidRPr="003A173C">
        <w:rPr>
          <w:rFonts w:cs="Calibri"/>
        </w:rPr>
        <w:t xml:space="preserve">An </w:t>
      </w:r>
      <w:r w:rsidR="326D73A7" w:rsidRPr="003A173C">
        <w:rPr>
          <w:rFonts w:cs="Calibri"/>
        </w:rPr>
        <w:t>aged care needs assessment must be conducted by an approved</w:t>
      </w:r>
      <w:r w:rsidR="00F246AF" w:rsidRPr="003A173C">
        <w:rPr>
          <w:rFonts w:cs="Calibri"/>
        </w:rPr>
        <w:t xml:space="preserve"> aged care</w:t>
      </w:r>
      <w:r w:rsidR="326D73A7" w:rsidRPr="003A173C">
        <w:rPr>
          <w:rFonts w:cs="Calibri"/>
        </w:rPr>
        <w:t xml:space="preserve"> needs assessor</w:t>
      </w:r>
      <w:r w:rsidR="41FE708C" w:rsidRPr="003A173C">
        <w:rPr>
          <w:rFonts w:cs="Calibri"/>
        </w:rPr>
        <w:t xml:space="preserve"> once an eligibility determ</w:t>
      </w:r>
      <w:r w:rsidR="1D186AAC" w:rsidRPr="003A173C">
        <w:rPr>
          <w:rFonts w:cs="Calibri"/>
        </w:rPr>
        <w:t>ination</w:t>
      </w:r>
      <w:r w:rsidR="41FE708C" w:rsidRPr="003A173C">
        <w:rPr>
          <w:rFonts w:cs="Calibri"/>
        </w:rPr>
        <w:t xml:space="preserve"> has been made by the System Governor. </w:t>
      </w:r>
      <w:r w:rsidR="7318AD37" w:rsidRPr="003A173C">
        <w:rPr>
          <w:rFonts w:cs="Calibri"/>
        </w:rPr>
        <w:t xml:space="preserve">As part of the aged care needs assessment, to be </w:t>
      </w:r>
      <w:r w:rsidR="45BD9BE4" w:rsidRPr="003A173C">
        <w:rPr>
          <w:rFonts w:cs="Calibri"/>
        </w:rPr>
        <w:t>eligible for transition care, the person must be an admitted patient of a public or private hospital</w:t>
      </w:r>
      <w:r w:rsidR="0909201D" w:rsidRPr="003A173C">
        <w:rPr>
          <w:rFonts w:cs="Calibri"/>
        </w:rPr>
        <w:t xml:space="preserve">, </w:t>
      </w:r>
      <w:r w:rsidR="2541427F" w:rsidRPr="003A173C">
        <w:rPr>
          <w:rFonts w:cs="Calibri"/>
        </w:rPr>
        <w:t>receive a comprehensive assessment from a clinical aged care needs assessor and be approved for transition care by an assessment delegate</w:t>
      </w:r>
      <w:r w:rsidR="45BD9BE4" w:rsidRPr="003A173C">
        <w:rPr>
          <w:rFonts w:cs="Calibri"/>
        </w:rPr>
        <w:t>. For the purposes of transition care, an admitted patient includes people receiving hospital-in-the-home</w:t>
      </w:r>
      <w:r w:rsidR="00F45A93" w:rsidRPr="003A173C">
        <w:rPr>
          <w:rFonts w:cs="Calibri"/>
        </w:rPr>
        <w:t xml:space="preserve"> o</w:t>
      </w:r>
      <w:r w:rsidR="00307B78" w:rsidRPr="003A173C">
        <w:rPr>
          <w:rFonts w:cs="Calibri"/>
        </w:rPr>
        <w:t>r equivalent program</w:t>
      </w:r>
      <w:r w:rsidR="00A95E9B" w:rsidRPr="003A173C">
        <w:rPr>
          <w:rFonts w:cs="Calibri"/>
        </w:rPr>
        <w:t xml:space="preserve">. Other </w:t>
      </w:r>
      <w:r w:rsidR="00846001" w:rsidRPr="003A173C">
        <w:rPr>
          <w:rFonts w:cs="Calibri"/>
        </w:rPr>
        <w:t>out-of-hospital in-patient</w:t>
      </w:r>
      <w:r w:rsidR="00A95E9B" w:rsidRPr="003A173C">
        <w:rPr>
          <w:rFonts w:cs="Calibri"/>
        </w:rPr>
        <w:t xml:space="preserve"> programs such </w:t>
      </w:r>
      <w:r w:rsidR="007E1000" w:rsidRPr="003A173C">
        <w:rPr>
          <w:rFonts w:cs="Calibri"/>
        </w:rPr>
        <w:t>as</w:t>
      </w:r>
      <w:r w:rsidR="00E3456D" w:rsidRPr="003A173C">
        <w:rPr>
          <w:rFonts w:cs="Calibri"/>
        </w:rPr>
        <w:t xml:space="preserve"> rehabilitation </w:t>
      </w:r>
      <w:r w:rsidR="00E86FE2" w:rsidRPr="003A173C">
        <w:rPr>
          <w:rFonts w:cs="Calibri"/>
        </w:rPr>
        <w:t xml:space="preserve">or geriatric care in the home would also </w:t>
      </w:r>
      <w:r w:rsidR="007C6D26" w:rsidRPr="003A173C">
        <w:rPr>
          <w:rFonts w:cs="Calibri"/>
        </w:rPr>
        <w:t>qualify the person as admitted</w:t>
      </w:r>
      <w:r w:rsidR="00E86FE2" w:rsidRPr="003A173C">
        <w:rPr>
          <w:rFonts w:cs="Calibri"/>
        </w:rPr>
        <w:t>, as long as the</w:t>
      </w:r>
      <w:r w:rsidR="00260438" w:rsidRPr="003A173C">
        <w:rPr>
          <w:rFonts w:cs="Calibri"/>
        </w:rPr>
        <w:t xml:space="preserve">y </w:t>
      </w:r>
      <w:r w:rsidR="00E86FE2" w:rsidRPr="003A173C">
        <w:rPr>
          <w:rFonts w:cs="Calibri"/>
        </w:rPr>
        <w:t xml:space="preserve">remain </w:t>
      </w:r>
      <w:r w:rsidR="00875DE0" w:rsidRPr="003A173C">
        <w:rPr>
          <w:rFonts w:cs="Calibri"/>
        </w:rPr>
        <w:t>a hospital patient and ha</w:t>
      </w:r>
      <w:r w:rsidR="00277D95" w:rsidRPr="003A173C">
        <w:rPr>
          <w:rFonts w:cs="Calibri"/>
        </w:rPr>
        <w:t>ve</w:t>
      </w:r>
      <w:r w:rsidR="00875DE0" w:rsidRPr="003A173C">
        <w:rPr>
          <w:rFonts w:cs="Calibri"/>
        </w:rPr>
        <w:t xml:space="preserve">n’t been discharged from </w:t>
      </w:r>
      <w:r w:rsidR="00515E1C">
        <w:rPr>
          <w:rFonts w:cs="Calibri"/>
        </w:rPr>
        <w:t xml:space="preserve">hospital </w:t>
      </w:r>
      <w:r w:rsidR="00875DE0" w:rsidRPr="003A173C">
        <w:rPr>
          <w:rFonts w:cs="Calibri"/>
        </w:rPr>
        <w:t>care</w:t>
      </w:r>
      <w:r w:rsidR="45BD9BE4" w:rsidRPr="003A173C">
        <w:rPr>
          <w:rFonts w:cs="Calibri"/>
        </w:rPr>
        <w:t>.</w:t>
      </w:r>
      <w:r w:rsidR="7EDAC567" w:rsidRPr="003A173C">
        <w:rPr>
          <w:rFonts w:cs="Calibri"/>
        </w:rPr>
        <w:t xml:space="preserve"> </w:t>
      </w:r>
    </w:p>
    <w:p w14:paraId="68D60CCE" w14:textId="77777777" w:rsidR="00C51E7D" w:rsidRPr="003A173C" w:rsidRDefault="00C51E7D" w:rsidP="00C51E7D">
      <w:pPr>
        <w:rPr>
          <w:rFonts w:cs="Calibri"/>
        </w:rPr>
      </w:pPr>
      <w:r w:rsidRPr="003A173C">
        <w:rPr>
          <w:rFonts w:cs="Calibri"/>
        </w:rPr>
        <w:t>A person must enter the program upon discharge from hospital. Transition care can be delivered in either a residential care home or in a community setting, e.g. the person’s own home. It is possible to receive transition care in a residential care home first and then in a home care setting, or vice versa.</w:t>
      </w:r>
    </w:p>
    <w:p w14:paraId="0B821866" w14:textId="35D46DEB" w:rsidR="00605BA0" w:rsidRPr="003A173C" w:rsidRDefault="4113B1AE">
      <w:pPr>
        <w:rPr>
          <w:rFonts w:cs="Calibri"/>
        </w:rPr>
      </w:pPr>
      <w:r w:rsidRPr="003A173C">
        <w:rPr>
          <w:rFonts w:cs="Calibri"/>
          <w:shd w:val="clear" w:color="auto" w:fill="FFFFFF" w:themeFill="background1"/>
        </w:rPr>
        <w:t xml:space="preserve">The </w:t>
      </w:r>
      <w:r w:rsidR="648FEC55" w:rsidRPr="003A173C">
        <w:rPr>
          <w:rFonts w:cs="Calibri"/>
        </w:rPr>
        <w:t xml:space="preserve">clinical aged care needs </w:t>
      </w:r>
      <w:r w:rsidR="00AFCCB0" w:rsidRPr="003A173C">
        <w:rPr>
          <w:rFonts w:cs="Calibri"/>
        </w:rPr>
        <w:t>assessor</w:t>
      </w:r>
      <w:r w:rsidR="00AFCCB0" w:rsidRPr="003A173C" w:rsidDel="001A4A09">
        <w:rPr>
          <w:rFonts w:cs="Calibri"/>
          <w:shd w:val="clear" w:color="auto" w:fill="FFFFFF" w:themeFill="background1"/>
        </w:rPr>
        <w:t xml:space="preserve"> </w:t>
      </w:r>
      <w:r w:rsidR="00AFCCB0" w:rsidRPr="003A173C">
        <w:rPr>
          <w:rFonts w:cs="Calibri"/>
        </w:rPr>
        <w:t>may</w:t>
      </w:r>
      <w:r w:rsidRPr="003A173C">
        <w:rPr>
          <w:rFonts w:cs="Calibri"/>
        </w:rPr>
        <w:t xml:space="preserve"> need to assess the person in consultation with the hospital geriatric rehabilitation service or members of the multidisciplinary team treating the person (which may include the treating physician, a registered nurse, occupational therapist, physiotherapist, social worker or </w:t>
      </w:r>
      <w:r w:rsidR="0D6129A8" w:rsidRPr="003A173C">
        <w:rPr>
          <w:rFonts w:cs="Calibri"/>
        </w:rPr>
        <w:t xml:space="preserve">a health professional from another </w:t>
      </w:r>
      <w:r w:rsidRPr="003A173C">
        <w:rPr>
          <w:rFonts w:cs="Calibri"/>
        </w:rPr>
        <w:t xml:space="preserve">allied health discipline), as well as carers, </w:t>
      </w:r>
      <w:r w:rsidR="68617F8A" w:rsidRPr="003A173C">
        <w:rPr>
          <w:rFonts w:cs="Calibri"/>
        </w:rPr>
        <w:t xml:space="preserve">supporters </w:t>
      </w:r>
      <w:r w:rsidRPr="003A173C">
        <w:rPr>
          <w:rFonts w:cs="Calibri"/>
        </w:rPr>
        <w:t>or family members as appropriate.</w:t>
      </w:r>
    </w:p>
    <w:p w14:paraId="1B768BE6" w14:textId="77777777" w:rsidR="00AA7F30" w:rsidRPr="003A173C" w:rsidRDefault="4113B1AE" w:rsidP="1CBD4533">
      <w:pPr>
        <w:rPr>
          <w:rFonts w:cs="Calibri"/>
        </w:rPr>
      </w:pPr>
      <w:r w:rsidRPr="003A173C">
        <w:rPr>
          <w:rFonts w:cs="Calibri"/>
        </w:rPr>
        <w:t xml:space="preserve">In assessing a person’s eligibility for transition care, the </w:t>
      </w:r>
      <w:r w:rsidR="648FEC55" w:rsidRPr="003A173C">
        <w:rPr>
          <w:rFonts w:cs="Calibri"/>
        </w:rPr>
        <w:t xml:space="preserve">clinical aged care needs </w:t>
      </w:r>
      <w:r w:rsidR="0ABEBC8B" w:rsidRPr="003A173C">
        <w:rPr>
          <w:rFonts w:cs="Calibri"/>
        </w:rPr>
        <w:t>assessor must</w:t>
      </w:r>
      <w:r w:rsidRPr="003A173C">
        <w:rPr>
          <w:rFonts w:cs="Calibri"/>
        </w:rPr>
        <w:t xml:space="preserve"> use the eligibility criteria listed at section </w:t>
      </w:r>
      <w:r w:rsidRPr="003A173C">
        <w:rPr>
          <w:rFonts w:cs="Calibri"/>
          <w:i/>
          <w:iCs/>
        </w:rPr>
        <w:t>3.4.3</w:t>
      </w:r>
      <w:r w:rsidRPr="003A173C">
        <w:rPr>
          <w:rFonts w:cs="Calibri"/>
        </w:rPr>
        <w:t xml:space="preserve"> </w:t>
      </w:r>
      <w:r w:rsidRPr="003A173C">
        <w:rPr>
          <w:rFonts w:cs="Calibri"/>
          <w:i/>
          <w:iCs/>
        </w:rPr>
        <w:t>Assessment process for transition care</w:t>
      </w:r>
      <w:r w:rsidRPr="003A173C">
        <w:rPr>
          <w:rFonts w:cs="Calibri"/>
        </w:rPr>
        <w:t>.</w:t>
      </w:r>
      <w:r w:rsidR="5549E570" w:rsidRPr="003A173C">
        <w:rPr>
          <w:rFonts w:cs="Calibri"/>
        </w:rPr>
        <w:t xml:space="preserve"> </w:t>
      </w:r>
      <w:r w:rsidRPr="003A173C">
        <w:rPr>
          <w:rFonts w:cs="Calibri"/>
        </w:rPr>
        <w:t xml:space="preserve">The </w:t>
      </w:r>
      <w:r w:rsidR="4804DB39" w:rsidRPr="003A173C">
        <w:rPr>
          <w:rFonts w:cs="Calibri"/>
        </w:rPr>
        <w:t>assessment delegate</w:t>
      </w:r>
      <w:r w:rsidR="5C76DD74" w:rsidRPr="003A173C">
        <w:rPr>
          <w:rFonts w:cs="Calibri"/>
        </w:rPr>
        <w:t xml:space="preserve"> </w:t>
      </w:r>
      <w:r w:rsidRPr="003A173C">
        <w:rPr>
          <w:rFonts w:cs="Calibri"/>
        </w:rPr>
        <w:t>will only approve a person for transition care if the person meets the eligibility criteria</w:t>
      </w:r>
      <w:r w:rsidR="00AA7F30" w:rsidRPr="003A173C">
        <w:rPr>
          <w:rFonts w:cs="Calibri"/>
        </w:rPr>
        <w:t>.</w:t>
      </w:r>
    </w:p>
    <w:p w14:paraId="77FDFA17" w14:textId="169B5773" w:rsidR="00E432D4" w:rsidRPr="003A173C" w:rsidRDefault="00B05689" w:rsidP="1CBD4533">
      <w:pPr>
        <w:rPr>
          <w:rFonts w:cs="Calibri"/>
        </w:rPr>
      </w:pPr>
      <w:r w:rsidRPr="003A173C">
        <w:rPr>
          <w:rFonts w:cs="Calibri"/>
        </w:rPr>
        <w:t>Once the assessment decision is made and the client has been referred to a TCP service</w:t>
      </w:r>
      <w:r w:rsidR="67971CAF" w:rsidRPr="003A173C">
        <w:rPr>
          <w:rFonts w:cs="Calibri"/>
        </w:rPr>
        <w:t>,</w:t>
      </w:r>
      <w:r w:rsidR="00F246AF" w:rsidRPr="003A173C">
        <w:rPr>
          <w:rFonts w:cs="Calibri"/>
        </w:rPr>
        <w:t xml:space="preserve"> the following requirements will </w:t>
      </w:r>
      <w:r w:rsidR="00EB4433" w:rsidRPr="003A173C">
        <w:rPr>
          <w:rFonts w:cs="Calibri"/>
        </w:rPr>
        <w:t xml:space="preserve">need to </w:t>
      </w:r>
      <w:r w:rsidR="00F246AF" w:rsidRPr="003A173C">
        <w:rPr>
          <w:rFonts w:cs="Calibri"/>
        </w:rPr>
        <w:t>be met</w:t>
      </w:r>
      <w:r w:rsidR="00EB4433" w:rsidRPr="003A173C">
        <w:rPr>
          <w:rFonts w:cs="Calibri"/>
        </w:rPr>
        <w:t xml:space="preserve"> upon discharge from</w:t>
      </w:r>
      <w:r w:rsidR="00B3780A" w:rsidRPr="003A173C">
        <w:rPr>
          <w:rFonts w:cs="Calibri"/>
        </w:rPr>
        <w:t xml:space="preserve"> hospital in order to commence transition care</w:t>
      </w:r>
      <w:r w:rsidR="56F9F602" w:rsidRPr="003A173C">
        <w:rPr>
          <w:rFonts w:cs="Calibri"/>
        </w:rPr>
        <w:t>:</w:t>
      </w:r>
    </w:p>
    <w:p w14:paraId="1E926D34" w14:textId="739FBDCD" w:rsidR="00466D7F" w:rsidRPr="003A173C" w:rsidRDefault="00F246AF" w:rsidP="00FA34AC">
      <w:pPr>
        <w:pStyle w:val="ListBullet"/>
      </w:pPr>
      <w:r w:rsidRPr="003A173C">
        <w:t>i</w:t>
      </w:r>
      <w:r w:rsidR="56F9F602" w:rsidRPr="003A173C">
        <w:t xml:space="preserve">f transition care is to be delivered in a residential care setting, the person </w:t>
      </w:r>
      <w:r w:rsidR="1B34ED93" w:rsidRPr="003A173C">
        <w:t>must</w:t>
      </w:r>
      <w:r w:rsidR="56F9F602" w:rsidRPr="003A173C">
        <w:t xml:space="preserve"> </w:t>
      </w:r>
      <w:r w:rsidRPr="003A173C">
        <w:t xml:space="preserve">be able to </w:t>
      </w:r>
      <w:r w:rsidR="56F9F602" w:rsidRPr="003A173C">
        <w:t>enter care immediately (within 24 hours) on discharge from hospital</w:t>
      </w:r>
      <w:r w:rsidR="288B90C4" w:rsidRPr="003A173C">
        <w:t>;</w:t>
      </w:r>
      <w:r w:rsidR="4A73AD36" w:rsidRPr="003A173C">
        <w:t xml:space="preserve"> or</w:t>
      </w:r>
    </w:p>
    <w:p w14:paraId="7D4BE794" w14:textId="77777777" w:rsidR="00F246AF" w:rsidRPr="003A173C" w:rsidRDefault="00F246AF" w:rsidP="00FA34AC">
      <w:pPr>
        <w:pStyle w:val="ListBullet"/>
      </w:pPr>
      <w:r w:rsidRPr="003A173C">
        <w:t>i</w:t>
      </w:r>
      <w:r w:rsidR="6E3E2DEE" w:rsidRPr="003A173C">
        <w:t>f transition care is to be delivered in a home</w:t>
      </w:r>
      <w:r w:rsidR="0F972644" w:rsidRPr="003A173C">
        <w:t>/community</w:t>
      </w:r>
      <w:r w:rsidR="6E3E2DEE" w:rsidRPr="003A173C">
        <w:t xml:space="preserve"> setting, the person </w:t>
      </w:r>
      <w:r w:rsidR="00C5471E" w:rsidRPr="003A173C">
        <w:t>must</w:t>
      </w:r>
      <w:r w:rsidR="6E3E2DEE" w:rsidRPr="003A173C">
        <w:t xml:space="preserve"> </w:t>
      </w:r>
      <w:r w:rsidRPr="003A173C">
        <w:t xml:space="preserve">be able to </w:t>
      </w:r>
      <w:r w:rsidR="6E3E2DEE" w:rsidRPr="003A173C">
        <w:t>enter care within 48</w:t>
      </w:r>
      <w:r w:rsidR="78FE8362" w:rsidRPr="003A173C">
        <w:t> </w:t>
      </w:r>
      <w:r w:rsidR="5DF2A168" w:rsidRPr="003A173C">
        <w:t>hours of</w:t>
      </w:r>
      <w:r w:rsidR="6E3E2DEE" w:rsidRPr="003A173C">
        <w:t xml:space="preserve"> </w:t>
      </w:r>
      <w:r w:rsidR="294D8842" w:rsidRPr="003A173C">
        <w:t xml:space="preserve">their </w:t>
      </w:r>
      <w:r w:rsidR="72085B35" w:rsidRPr="003A173C">
        <w:t xml:space="preserve">date of </w:t>
      </w:r>
      <w:r w:rsidR="6E3E2DEE" w:rsidRPr="003A173C">
        <w:t xml:space="preserve">discharge from hospital. </w:t>
      </w:r>
    </w:p>
    <w:p w14:paraId="05DCCEA5" w14:textId="77777777" w:rsidR="0042687B" w:rsidRDefault="0042687B" w:rsidP="002E40AB">
      <w:pPr>
        <w:pStyle w:val="ListBullet"/>
        <w:numPr>
          <w:ilvl w:val="0"/>
          <w:numId w:val="0"/>
        </w:numPr>
        <w:contextualSpacing w:val="0"/>
        <w:rPr>
          <w:rFonts w:cs="Calibri"/>
        </w:rPr>
      </w:pPr>
    </w:p>
    <w:p w14:paraId="2626769E" w14:textId="64CF7588" w:rsidR="006C629A" w:rsidRPr="003A173C" w:rsidRDefault="00F44A66" w:rsidP="002E40AB">
      <w:pPr>
        <w:pStyle w:val="ListBullet"/>
        <w:numPr>
          <w:ilvl w:val="0"/>
          <w:numId w:val="0"/>
        </w:numPr>
        <w:contextualSpacing w:val="0"/>
        <w:rPr>
          <w:rFonts w:cs="Calibri"/>
        </w:rPr>
      </w:pPr>
      <w:r w:rsidRPr="003A173C">
        <w:rPr>
          <w:rFonts w:cs="Calibri"/>
        </w:rPr>
        <w:t>Hospitals</w:t>
      </w:r>
      <w:r w:rsidR="6E3E2DEE" w:rsidRPr="003A173C">
        <w:rPr>
          <w:rFonts w:cs="Calibri"/>
        </w:rPr>
        <w:t xml:space="preserve"> remain responsible for ensuring safe discharge practices are followed and as such, be</w:t>
      </w:r>
      <w:r w:rsidR="00F246AF" w:rsidRPr="003A173C">
        <w:rPr>
          <w:rFonts w:cs="Calibri"/>
        </w:rPr>
        <w:t xml:space="preserve"> </w:t>
      </w:r>
      <w:r w:rsidR="6E3E2DEE" w:rsidRPr="003A173C">
        <w:rPr>
          <w:rFonts w:cs="Calibri"/>
        </w:rPr>
        <w:t xml:space="preserve">confident the discharging patient will be adequately supported for the period prior to entry into </w:t>
      </w:r>
      <w:r w:rsidR="00F246AF" w:rsidRPr="003A173C">
        <w:rPr>
          <w:rFonts w:cs="Calibri"/>
        </w:rPr>
        <w:t xml:space="preserve">residential or </w:t>
      </w:r>
      <w:r w:rsidR="6E3E2DEE" w:rsidRPr="003A173C">
        <w:rPr>
          <w:rFonts w:cs="Calibri"/>
        </w:rPr>
        <w:t>home</w:t>
      </w:r>
      <w:r w:rsidR="5BF28A14" w:rsidRPr="003A173C">
        <w:rPr>
          <w:rFonts w:cs="Calibri"/>
        </w:rPr>
        <w:t>/community</w:t>
      </w:r>
      <w:r w:rsidR="6E3E2DEE" w:rsidRPr="003A173C">
        <w:rPr>
          <w:rFonts w:cs="Calibri"/>
        </w:rPr>
        <w:t>-based TCP</w:t>
      </w:r>
      <w:r w:rsidR="664BB0EE" w:rsidRPr="003A173C">
        <w:rPr>
          <w:rFonts w:cs="Calibri"/>
        </w:rPr>
        <w:t>.</w:t>
      </w:r>
      <w:r w:rsidR="006C629A" w:rsidRPr="003A173C">
        <w:rPr>
          <w:rFonts w:cs="Calibri"/>
        </w:rPr>
        <w:t xml:space="preserve"> </w:t>
      </w:r>
      <w:r w:rsidR="00DD7648" w:rsidRPr="003A173C">
        <w:rPr>
          <w:rFonts w:cs="Calibri"/>
        </w:rPr>
        <w:t>Registered providers should</w:t>
      </w:r>
      <w:r w:rsidR="00F34045" w:rsidRPr="003A173C">
        <w:rPr>
          <w:rFonts w:cs="Calibri"/>
        </w:rPr>
        <w:t xml:space="preserve"> coordinate and</w:t>
      </w:r>
      <w:r w:rsidR="00DD7648" w:rsidRPr="003A173C">
        <w:rPr>
          <w:rFonts w:cs="Calibri"/>
        </w:rPr>
        <w:t xml:space="preserve"> liaise with the hospital discharge team </w:t>
      </w:r>
      <w:r w:rsidR="00BC6BBC" w:rsidRPr="003A173C">
        <w:rPr>
          <w:rFonts w:cs="Calibri"/>
        </w:rPr>
        <w:t>to ensure the client has the</w:t>
      </w:r>
      <w:r w:rsidR="00713440" w:rsidRPr="003A173C">
        <w:rPr>
          <w:rFonts w:cs="Calibri"/>
        </w:rPr>
        <w:t xml:space="preserve"> </w:t>
      </w:r>
      <w:r w:rsidR="00AF7E88" w:rsidRPr="003A173C">
        <w:rPr>
          <w:rFonts w:cs="Calibri"/>
        </w:rPr>
        <w:t xml:space="preserve">arrangements in place </w:t>
      </w:r>
      <w:r w:rsidR="00BC6BBC" w:rsidRPr="003A173C">
        <w:rPr>
          <w:rFonts w:cs="Calibri"/>
        </w:rPr>
        <w:t xml:space="preserve">to </w:t>
      </w:r>
      <w:r w:rsidR="00AF7E88" w:rsidRPr="003A173C">
        <w:rPr>
          <w:rFonts w:cs="Calibri"/>
        </w:rPr>
        <w:t xml:space="preserve">be able to </w:t>
      </w:r>
      <w:r w:rsidR="00BC6BBC" w:rsidRPr="003A173C">
        <w:rPr>
          <w:rFonts w:cs="Calibri"/>
        </w:rPr>
        <w:t xml:space="preserve">enter their </w:t>
      </w:r>
      <w:r w:rsidR="00AF7E88" w:rsidRPr="003A173C">
        <w:rPr>
          <w:rFonts w:cs="Calibri"/>
        </w:rPr>
        <w:t xml:space="preserve">TCP services within the above stated timeframes </w:t>
      </w:r>
      <w:r w:rsidR="00A95909" w:rsidRPr="003A173C">
        <w:rPr>
          <w:rFonts w:cs="Calibri"/>
        </w:rPr>
        <w:t xml:space="preserve">from discharge. </w:t>
      </w:r>
    </w:p>
    <w:p w14:paraId="2033FC79" w14:textId="2CA16072" w:rsidR="002E4931" w:rsidRPr="003A173C" w:rsidRDefault="31C457CD" w:rsidP="00AF0547">
      <w:pPr>
        <w:pStyle w:val="ListBullet"/>
        <w:numPr>
          <w:ilvl w:val="0"/>
          <w:numId w:val="0"/>
        </w:numPr>
        <w:rPr>
          <w:rFonts w:cs="Calibri"/>
        </w:rPr>
      </w:pPr>
      <w:r w:rsidRPr="003A173C">
        <w:rPr>
          <w:rFonts w:cs="Calibri"/>
        </w:rPr>
        <w:t xml:space="preserve">Further </w:t>
      </w:r>
      <w:r w:rsidR="0070433E" w:rsidRPr="003A173C">
        <w:rPr>
          <w:rFonts w:cs="Calibri"/>
        </w:rPr>
        <w:t xml:space="preserve">eligibility </w:t>
      </w:r>
      <w:r w:rsidRPr="003A173C">
        <w:rPr>
          <w:rFonts w:cs="Calibri"/>
        </w:rPr>
        <w:t xml:space="preserve">specifications </w:t>
      </w:r>
      <w:r w:rsidR="008B40BB" w:rsidRPr="003A173C">
        <w:rPr>
          <w:rFonts w:cs="Calibri"/>
        </w:rPr>
        <w:t xml:space="preserve">for the program are outlined below. </w:t>
      </w:r>
    </w:p>
    <w:p w14:paraId="2E00C891" w14:textId="0F82003C" w:rsidR="00605BA0" w:rsidRPr="00FA34AC" w:rsidRDefault="4113B1AE" w:rsidP="008974DB">
      <w:pPr>
        <w:pStyle w:val="Style3"/>
      </w:pPr>
      <w:bookmarkStart w:id="549" w:name="_Toc395537174"/>
      <w:bookmarkStart w:id="550" w:name="_Toc422732532"/>
      <w:bookmarkStart w:id="551" w:name="_Toc422752872"/>
      <w:bookmarkStart w:id="552" w:name="_Toc216865462"/>
      <w:r w:rsidRPr="00FA34AC">
        <w:t>Older people who usually reside interstate</w:t>
      </w:r>
      <w:bookmarkEnd w:id="549"/>
      <w:bookmarkEnd w:id="550"/>
      <w:bookmarkEnd w:id="551"/>
      <w:bookmarkEnd w:id="552"/>
    </w:p>
    <w:p w14:paraId="50528178" w14:textId="67812B95" w:rsidR="4113B1AE" w:rsidRPr="003A173C" w:rsidRDefault="4113B1AE" w:rsidP="39DEC4BD">
      <w:pPr>
        <w:rPr>
          <w:rFonts w:cs="Calibri"/>
        </w:rPr>
      </w:pPr>
      <w:r w:rsidRPr="003A173C">
        <w:rPr>
          <w:rFonts w:cs="Calibri"/>
        </w:rPr>
        <w:t>The eligibility provisions for transition care under the A</w:t>
      </w:r>
      <w:r w:rsidR="37835E6E" w:rsidRPr="003A173C">
        <w:rPr>
          <w:rFonts w:cs="Calibri"/>
        </w:rPr>
        <w:t>ct</w:t>
      </w:r>
      <w:r w:rsidR="37835E6E" w:rsidRPr="003A173C">
        <w:rPr>
          <w:rFonts w:cs="Calibri"/>
          <w:i/>
          <w:iCs/>
        </w:rPr>
        <w:t xml:space="preserve"> </w:t>
      </w:r>
      <w:r w:rsidRPr="003A173C">
        <w:rPr>
          <w:rFonts w:cs="Calibri"/>
        </w:rPr>
        <w:t xml:space="preserve">do not restrict provision of care based on where </w:t>
      </w:r>
      <w:r w:rsidR="00E16A2C" w:rsidRPr="003A173C">
        <w:rPr>
          <w:rFonts w:cs="Calibri"/>
        </w:rPr>
        <w:t>individual</w:t>
      </w:r>
      <w:r w:rsidRPr="003A173C">
        <w:rPr>
          <w:rFonts w:cs="Calibri"/>
        </w:rPr>
        <w:t xml:space="preserve">s live, or where they are assessed. Older people who are not residents of a particular </w:t>
      </w:r>
      <w:r w:rsidR="6A7BC123" w:rsidRPr="003A173C">
        <w:rPr>
          <w:rFonts w:cs="Calibri"/>
        </w:rPr>
        <w:t>S</w:t>
      </w:r>
      <w:r w:rsidRPr="003A173C">
        <w:rPr>
          <w:rFonts w:cs="Calibri"/>
        </w:rPr>
        <w:t xml:space="preserve">tate, </w:t>
      </w:r>
      <w:r w:rsidR="6A7BC123" w:rsidRPr="003A173C">
        <w:rPr>
          <w:rFonts w:cs="Calibri"/>
        </w:rPr>
        <w:t>T</w:t>
      </w:r>
      <w:r w:rsidRPr="003A173C">
        <w:rPr>
          <w:rFonts w:cs="Calibri"/>
        </w:rPr>
        <w:t xml:space="preserve">erritory or region can access transition care services in that </w:t>
      </w:r>
      <w:r w:rsidR="6A7BC123" w:rsidRPr="003A173C">
        <w:rPr>
          <w:rFonts w:cs="Calibri"/>
        </w:rPr>
        <w:t>S</w:t>
      </w:r>
      <w:r w:rsidRPr="003A173C">
        <w:rPr>
          <w:rFonts w:cs="Calibri"/>
        </w:rPr>
        <w:t xml:space="preserve">tate, </w:t>
      </w:r>
      <w:r w:rsidR="6A7BC123" w:rsidRPr="003A173C">
        <w:rPr>
          <w:rFonts w:cs="Calibri"/>
        </w:rPr>
        <w:t>T</w:t>
      </w:r>
      <w:r w:rsidR="24F39C22" w:rsidRPr="003A173C">
        <w:rPr>
          <w:rFonts w:cs="Calibri"/>
        </w:rPr>
        <w:t>erritory,</w:t>
      </w:r>
      <w:r w:rsidRPr="003A173C">
        <w:rPr>
          <w:rFonts w:cs="Calibri"/>
        </w:rPr>
        <w:t xml:space="preserve"> or region in particular circumstances. For example, a</w:t>
      </w:r>
      <w:r w:rsidR="59B7D752"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transferred to a tertiary hospital away from their usual place of residence to access specialist care can be discharged to a transition care service in another location, based on their follow-up arrangements with their family, carer and/or </w:t>
      </w:r>
      <w:r w:rsidR="60F8F70D" w:rsidRPr="003A173C">
        <w:rPr>
          <w:rFonts w:cs="Calibri"/>
        </w:rPr>
        <w:t>supporters</w:t>
      </w:r>
      <w:r w:rsidRPr="003A173C">
        <w:rPr>
          <w:rFonts w:cs="Calibri"/>
        </w:rPr>
        <w:t xml:space="preserve">. It is important transition care commences immediately on discharge from hospital </w:t>
      </w:r>
      <w:r w:rsidR="43FF6085" w:rsidRPr="003A173C">
        <w:rPr>
          <w:rFonts w:cs="Calibri"/>
        </w:rPr>
        <w:t>if the person is entering transition care in a residential care setting, or within 48</w:t>
      </w:r>
      <w:r w:rsidR="24F39C22" w:rsidRPr="003A173C">
        <w:rPr>
          <w:rFonts w:cs="Calibri"/>
        </w:rPr>
        <w:t> </w:t>
      </w:r>
      <w:r w:rsidR="43FF6085" w:rsidRPr="003A173C">
        <w:rPr>
          <w:rFonts w:cs="Calibri"/>
        </w:rPr>
        <w:t xml:space="preserve">hours if the person is to receive transition care in their own home </w:t>
      </w:r>
      <w:r w:rsidRPr="003A173C">
        <w:rPr>
          <w:rFonts w:cs="Calibri"/>
        </w:rPr>
        <w:t xml:space="preserve">(see also section </w:t>
      </w:r>
      <w:r w:rsidRPr="003A173C">
        <w:rPr>
          <w:rFonts w:cs="Calibri"/>
          <w:i/>
          <w:iCs/>
        </w:rPr>
        <w:t>3.5.5 Movement between care settings and services</w:t>
      </w:r>
      <w:r w:rsidRPr="003A173C">
        <w:rPr>
          <w:rFonts w:cs="Calibri"/>
        </w:rPr>
        <w:t>).</w:t>
      </w:r>
    </w:p>
    <w:p w14:paraId="7E419B6C" w14:textId="7EAE6F8F" w:rsidR="00605BA0" w:rsidRPr="00FA34AC" w:rsidRDefault="00631782" w:rsidP="008974DB">
      <w:pPr>
        <w:pStyle w:val="Style3"/>
      </w:pPr>
      <w:bookmarkStart w:id="553" w:name="_Toc395537175"/>
      <w:bookmarkStart w:id="554" w:name="_Toc422732533"/>
      <w:bookmarkStart w:id="555" w:name="_Toc422752873"/>
      <w:r>
        <w:br w:type="column"/>
      </w:r>
      <w:bookmarkStart w:id="556" w:name="_Toc216865463"/>
      <w:r w:rsidR="56F9F602" w:rsidRPr="00FA34AC">
        <w:lastRenderedPageBreak/>
        <w:t>Non-Australian residents and ol</w:t>
      </w:r>
      <w:r w:rsidR="4113B1AE" w:rsidRPr="00FA34AC">
        <w:t>der people from overseas</w:t>
      </w:r>
      <w:bookmarkEnd w:id="553"/>
      <w:bookmarkEnd w:id="554"/>
      <w:bookmarkEnd w:id="555"/>
      <w:bookmarkEnd w:id="556"/>
    </w:p>
    <w:p w14:paraId="35F47226" w14:textId="3E8B1DAA" w:rsidR="00605BA0" w:rsidRPr="003A173C" w:rsidRDefault="56F9F602" w:rsidP="1CBD4533">
      <w:pPr>
        <w:rPr>
          <w:rFonts w:cs="Calibri"/>
        </w:rPr>
      </w:pPr>
      <w:r w:rsidRPr="003A173C">
        <w:rPr>
          <w:rFonts w:cs="Calibri"/>
        </w:rPr>
        <w:t>Non-Australian residents and o</w:t>
      </w:r>
      <w:r w:rsidR="4113B1AE" w:rsidRPr="003A173C">
        <w:rPr>
          <w:rFonts w:cs="Calibri"/>
        </w:rPr>
        <w:t xml:space="preserve">lder people from overseas can access the </w:t>
      </w:r>
      <w:r w:rsidR="00B505C7" w:rsidRPr="003A173C">
        <w:rPr>
          <w:rFonts w:cs="Calibri"/>
        </w:rPr>
        <w:t>program</w:t>
      </w:r>
      <w:r w:rsidR="4113B1AE" w:rsidRPr="003A173C">
        <w:rPr>
          <w:rFonts w:cs="Calibri"/>
        </w:rPr>
        <w:t xml:space="preserve"> if they are assessed and approved as eligible using the same criteria as other </w:t>
      </w:r>
      <w:r w:rsidR="5D9F3B23" w:rsidRPr="003A173C">
        <w:rPr>
          <w:rFonts w:cs="Calibri"/>
        </w:rPr>
        <w:t>clients</w:t>
      </w:r>
      <w:r w:rsidR="62DF67B3" w:rsidRPr="003A173C">
        <w:rPr>
          <w:rFonts w:cs="Calibri"/>
        </w:rPr>
        <w:t xml:space="preserve"> by a</w:t>
      </w:r>
      <w:r w:rsidR="24B5EBE7" w:rsidRPr="003A173C">
        <w:rPr>
          <w:rFonts w:cs="Calibri"/>
        </w:rPr>
        <w:t xml:space="preserve"> clini</w:t>
      </w:r>
      <w:r w:rsidR="4A395D67" w:rsidRPr="003A173C">
        <w:rPr>
          <w:rFonts w:cs="Calibri"/>
        </w:rPr>
        <w:t xml:space="preserve">cal </w:t>
      </w:r>
      <w:r w:rsidR="62DF67B3" w:rsidRPr="003A173C">
        <w:rPr>
          <w:rFonts w:cs="Calibri"/>
        </w:rPr>
        <w:t>aged care</w:t>
      </w:r>
      <w:r w:rsidR="740CB760" w:rsidRPr="003A173C">
        <w:rPr>
          <w:rFonts w:cs="Calibri"/>
        </w:rPr>
        <w:t xml:space="preserve"> needs</w:t>
      </w:r>
      <w:r w:rsidR="62DF67B3" w:rsidRPr="003A173C">
        <w:rPr>
          <w:rFonts w:cs="Calibri"/>
        </w:rPr>
        <w:t xml:space="preserve"> assessor</w:t>
      </w:r>
      <w:r w:rsidR="4113B1AE" w:rsidRPr="003A173C">
        <w:rPr>
          <w:rFonts w:cs="Calibri"/>
        </w:rPr>
        <w:t>. I</w:t>
      </w:r>
      <w:r w:rsidR="5F218C69" w:rsidRPr="003A173C">
        <w:rPr>
          <w:rFonts w:cs="Calibri"/>
        </w:rPr>
        <w:t>mportantly,</w:t>
      </w:r>
      <w:r w:rsidR="4113B1AE" w:rsidRPr="003A173C">
        <w:rPr>
          <w:rFonts w:cs="Calibri"/>
        </w:rPr>
        <w:t xml:space="preserve"> people who are not permanent residents of Australia may not be eligible for </w:t>
      </w:r>
      <w:r w:rsidR="4EC0A01B" w:rsidRPr="003A173C">
        <w:rPr>
          <w:rFonts w:cs="Calibri"/>
        </w:rPr>
        <w:t xml:space="preserve">the PBS and </w:t>
      </w:r>
      <w:r w:rsidR="351412FE" w:rsidRPr="003A173C">
        <w:rPr>
          <w:rFonts w:cs="Calibri"/>
        </w:rPr>
        <w:t>Medicare and</w:t>
      </w:r>
      <w:r w:rsidR="4113B1AE" w:rsidRPr="003A173C">
        <w:rPr>
          <w:rFonts w:cs="Calibri"/>
        </w:rPr>
        <w:t xml:space="preserve"> would thus be responsible for meeting their own medical and pharmaceutical expenses while in transition care.</w:t>
      </w:r>
      <w:r w:rsidR="11DD3BD2" w:rsidRPr="003A173C">
        <w:rPr>
          <w:rFonts w:cs="Calibri"/>
        </w:rPr>
        <w:t xml:space="preserve"> There are several countries, </w:t>
      </w:r>
      <w:r w:rsidR="10DFDC0B" w:rsidRPr="003A173C">
        <w:rPr>
          <w:rFonts w:cs="Calibri"/>
        </w:rPr>
        <w:t>h</w:t>
      </w:r>
      <w:r w:rsidR="11DD3BD2" w:rsidRPr="003A173C">
        <w:rPr>
          <w:rFonts w:cs="Calibri"/>
        </w:rPr>
        <w:t>ow</w:t>
      </w:r>
      <w:r w:rsidR="10DFDC0B" w:rsidRPr="003A173C">
        <w:rPr>
          <w:rFonts w:cs="Calibri"/>
        </w:rPr>
        <w:t>ever</w:t>
      </w:r>
      <w:r w:rsidR="4113B1AE" w:rsidRPr="003A173C">
        <w:rPr>
          <w:rFonts w:cs="Calibri"/>
        </w:rPr>
        <w:t>, with which Australia has reciprocal health agreements, and people from these countries may be eligible for Medicare</w:t>
      </w:r>
      <w:r w:rsidR="12845C98" w:rsidRPr="003A173C">
        <w:rPr>
          <w:rFonts w:cs="Calibri"/>
        </w:rPr>
        <w:t xml:space="preserve"> and PBS medicines</w:t>
      </w:r>
      <w:r w:rsidR="4113B1AE" w:rsidRPr="003A173C">
        <w:rPr>
          <w:rFonts w:cs="Calibri"/>
        </w:rPr>
        <w:t xml:space="preserve">. Further information is available on the </w:t>
      </w:r>
      <w:hyperlink r:id="rId37" w:history="1">
        <w:r w:rsidR="4113B1AE" w:rsidRPr="003A173C">
          <w:rPr>
            <w:rStyle w:val="Hyperlink"/>
            <w:rFonts w:ascii="Calibri" w:hAnsi="Calibri" w:cs="Calibri"/>
            <w:sz w:val="20"/>
            <w:szCs w:val="20"/>
          </w:rPr>
          <w:t>Services</w:t>
        </w:r>
        <w:r w:rsidR="498F7FD4" w:rsidRPr="003A173C">
          <w:rPr>
            <w:rStyle w:val="Hyperlink"/>
            <w:rFonts w:ascii="Calibri" w:hAnsi="Calibri" w:cs="Calibri"/>
            <w:sz w:val="20"/>
            <w:szCs w:val="20"/>
          </w:rPr>
          <w:t xml:space="preserve"> Australia</w:t>
        </w:r>
        <w:r w:rsidR="4113B1AE" w:rsidRPr="003A173C">
          <w:rPr>
            <w:rStyle w:val="Hyperlink"/>
            <w:rFonts w:ascii="Calibri" w:hAnsi="Calibri" w:cs="Calibri"/>
            <w:sz w:val="20"/>
            <w:szCs w:val="20"/>
          </w:rPr>
          <w:t xml:space="preserve"> website</w:t>
        </w:r>
      </w:hyperlink>
      <w:r w:rsidR="4113B1AE" w:rsidRPr="003A173C">
        <w:rPr>
          <w:rFonts w:cs="Calibri"/>
        </w:rPr>
        <w:t>.</w:t>
      </w:r>
    </w:p>
    <w:p w14:paraId="7DCBF5A4" w14:textId="7B9FC493" w:rsidR="00896884" w:rsidRPr="003A173C" w:rsidRDefault="7EB99E28">
      <w:pPr>
        <w:rPr>
          <w:rFonts w:cs="Calibri"/>
        </w:rPr>
      </w:pPr>
      <w:r w:rsidRPr="003A173C">
        <w:rPr>
          <w:rFonts w:cs="Calibri"/>
        </w:rPr>
        <w:t xml:space="preserve">Where a </w:t>
      </w:r>
      <w:r w:rsidR="7A6E8783" w:rsidRPr="003A173C">
        <w:rPr>
          <w:rFonts w:cs="Calibri"/>
        </w:rPr>
        <w:t>person</w:t>
      </w:r>
      <w:r w:rsidRPr="003A173C">
        <w:rPr>
          <w:rFonts w:cs="Calibri"/>
        </w:rPr>
        <w:t xml:space="preserve"> from overseas enters the </w:t>
      </w:r>
      <w:r w:rsidR="00B505C7" w:rsidRPr="003A173C">
        <w:rPr>
          <w:rFonts w:cs="Calibri"/>
        </w:rPr>
        <w:t>program</w:t>
      </w:r>
      <w:r w:rsidR="4BE0F700" w:rsidRPr="003A173C">
        <w:rPr>
          <w:rFonts w:cs="Calibri"/>
        </w:rPr>
        <w:t xml:space="preserve"> and</w:t>
      </w:r>
      <w:r w:rsidRPr="003A173C">
        <w:rPr>
          <w:rFonts w:cs="Calibri"/>
        </w:rPr>
        <w:t xml:space="preserve"> decides to meet their own expenses as a result of being ineligible for</w:t>
      </w:r>
      <w:r w:rsidR="3F000EEA" w:rsidRPr="003A173C">
        <w:rPr>
          <w:rFonts w:cs="Calibri"/>
        </w:rPr>
        <w:t xml:space="preserve"> the PBS or</w:t>
      </w:r>
      <w:r w:rsidRPr="003A173C">
        <w:rPr>
          <w:rFonts w:cs="Calibri"/>
        </w:rPr>
        <w:t xml:space="preserve"> Medicare, a service may still claim </w:t>
      </w:r>
      <w:r w:rsidR="7A33C7E2" w:rsidRPr="003A173C">
        <w:rPr>
          <w:rFonts w:cs="Calibri"/>
        </w:rPr>
        <w:t>the</w:t>
      </w:r>
      <w:r w:rsidRPr="003A173C">
        <w:rPr>
          <w:rFonts w:cs="Calibri"/>
        </w:rPr>
        <w:t xml:space="preserve"> subsidy in respect </w:t>
      </w:r>
      <w:r w:rsidR="49B5C2A8" w:rsidRPr="003A173C">
        <w:rPr>
          <w:rFonts w:cs="Calibri"/>
        </w:rPr>
        <w:t>of</w:t>
      </w:r>
      <w:r w:rsidRPr="003A173C">
        <w:rPr>
          <w:rFonts w:cs="Calibri"/>
        </w:rPr>
        <w:t xml:space="preserve"> the provision o</w:t>
      </w:r>
      <w:r w:rsidR="7A6E8783" w:rsidRPr="003A173C">
        <w:rPr>
          <w:rFonts w:cs="Calibri"/>
        </w:rPr>
        <w:t xml:space="preserve">f transition care </w:t>
      </w:r>
      <w:r w:rsidR="3F032036" w:rsidRPr="003A173C">
        <w:rPr>
          <w:rFonts w:cs="Calibri"/>
        </w:rPr>
        <w:t>for</w:t>
      </w:r>
      <w:r w:rsidR="7A6E8783" w:rsidRPr="003A173C">
        <w:rPr>
          <w:rFonts w:cs="Calibri"/>
        </w:rPr>
        <w:t xml:space="preserve"> that </w:t>
      </w:r>
      <w:r w:rsidR="146D286A" w:rsidRPr="003A173C">
        <w:rPr>
          <w:rFonts w:cs="Calibri"/>
        </w:rPr>
        <w:t>individual</w:t>
      </w:r>
      <w:r w:rsidRPr="003A173C">
        <w:rPr>
          <w:rFonts w:cs="Calibri"/>
        </w:rPr>
        <w:t xml:space="preserve">. </w:t>
      </w:r>
      <w:r w:rsidR="6702DB25" w:rsidRPr="003A173C">
        <w:rPr>
          <w:rFonts w:cs="Calibri"/>
        </w:rPr>
        <w:t>Registered</w:t>
      </w:r>
      <w:r w:rsidR="7F58A855" w:rsidRPr="003A173C">
        <w:rPr>
          <w:rFonts w:cs="Calibri"/>
        </w:rPr>
        <w:t xml:space="preserve"> providers</w:t>
      </w:r>
      <w:r w:rsidRPr="003A173C">
        <w:rPr>
          <w:rFonts w:cs="Calibri"/>
        </w:rPr>
        <w:t xml:space="preserve"> </w:t>
      </w:r>
      <w:r w:rsidR="3F032036" w:rsidRPr="003A173C">
        <w:rPr>
          <w:rFonts w:cs="Calibri"/>
        </w:rPr>
        <w:t>must</w:t>
      </w:r>
      <w:r w:rsidRPr="003A173C">
        <w:rPr>
          <w:rFonts w:cs="Calibri"/>
        </w:rPr>
        <w:t xml:space="preserve"> inform such </w:t>
      </w:r>
      <w:r w:rsidR="0F986A2A" w:rsidRPr="003A173C">
        <w:rPr>
          <w:rFonts w:cs="Calibri"/>
        </w:rPr>
        <w:t>individuals</w:t>
      </w:r>
      <w:r w:rsidR="1E20962C" w:rsidRPr="003A173C">
        <w:rPr>
          <w:rFonts w:cs="Calibri"/>
        </w:rPr>
        <w:t xml:space="preserve"> </w:t>
      </w:r>
      <w:r w:rsidRPr="003A173C">
        <w:rPr>
          <w:rFonts w:cs="Calibri"/>
        </w:rPr>
        <w:t xml:space="preserve">of their responsibility to meet these costs before they enter the </w:t>
      </w:r>
      <w:r w:rsidR="00B505C7" w:rsidRPr="003A173C">
        <w:rPr>
          <w:rFonts w:cs="Calibri"/>
        </w:rPr>
        <w:t>program</w:t>
      </w:r>
      <w:r w:rsidRPr="003A173C">
        <w:rPr>
          <w:rFonts w:cs="Calibri"/>
        </w:rPr>
        <w:t>.</w:t>
      </w:r>
    </w:p>
    <w:p w14:paraId="1AACDAE1" w14:textId="77F745D8" w:rsidR="068DE528" w:rsidRPr="003A173C" w:rsidRDefault="4113B1AE" w:rsidP="007206E9">
      <w:pPr>
        <w:autoSpaceDE w:val="0"/>
        <w:autoSpaceDN w:val="0"/>
        <w:adjustRightInd w:val="0"/>
        <w:spacing w:before="0" w:after="0"/>
        <w:rPr>
          <w:rFonts w:cs="Calibri"/>
        </w:rPr>
      </w:pPr>
      <w:r w:rsidRPr="003A173C">
        <w:rPr>
          <w:rFonts w:cs="Calibri"/>
        </w:rPr>
        <w:t xml:space="preserve">These guidelines, including section </w:t>
      </w:r>
      <w:r w:rsidR="41C1B5E7" w:rsidRPr="003A173C">
        <w:rPr>
          <w:rFonts w:cs="Calibri"/>
          <w:i/>
          <w:iCs/>
        </w:rPr>
        <w:t>5</w:t>
      </w:r>
      <w:r w:rsidRPr="003A173C">
        <w:rPr>
          <w:rFonts w:cs="Calibri"/>
          <w:i/>
          <w:iCs/>
        </w:rPr>
        <w:t>.</w:t>
      </w:r>
      <w:r w:rsidR="008D1F33">
        <w:rPr>
          <w:rFonts w:cs="Calibri"/>
          <w:i/>
          <w:iCs/>
        </w:rPr>
        <w:t>7</w:t>
      </w:r>
      <w:r w:rsidRPr="003A173C">
        <w:rPr>
          <w:rFonts w:cs="Calibri"/>
          <w:i/>
          <w:iCs/>
        </w:rPr>
        <w:t xml:space="preserve"> Fees payable by </w:t>
      </w:r>
      <w:r w:rsidR="56664CCD" w:rsidRPr="003A173C">
        <w:rPr>
          <w:rFonts w:cs="Calibri"/>
          <w:i/>
          <w:iCs/>
        </w:rPr>
        <w:t>individuals receiving transition care,</w:t>
      </w:r>
      <w:r w:rsidRPr="003A173C">
        <w:rPr>
          <w:rFonts w:cs="Calibri"/>
        </w:rPr>
        <w:t xml:space="preserve"> apply </w:t>
      </w:r>
      <w:r w:rsidR="353A65D1" w:rsidRPr="003A173C">
        <w:rPr>
          <w:rFonts w:cs="Calibri"/>
        </w:rPr>
        <w:t>in respect of all people seeking to access TCP.</w:t>
      </w:r>
    </w:p>
    <w:p w14:paraId="196F5A8A" w14:textId="6FCFB480" w:rsidR="58B8A2D3" w:rsidRPr="003A173C" w:rsidRDefault="58B8A2D3" w:rsidP="00805475">
      <w:pPr>
        <w:spacing w:before="0" w:after="0"/>
        <w:rPr>
          <w:rFonts w:cs="Calibri"/>
          <w:bCs/>
        </w:rPr>
      </w:pPr>
      <w:r w:rsidRPr="003A173C">
        <w:rPr>
          <w:rFonts w:cs="Calibri"/>
          <w:b/>
          <w:bCs/>
        </w:rPr>
        <w:t>3.2.3 People</w:t>
      </w:r>
      <w:r w:rsidR="1F2AF4BE" w:rsidRPr="003A173C">
        <w:rPr>
          <w:rFonts w:cs="Calibri"/>
          <w:b/>
          <w:bCs/>
        </w:rPr>
        <w:t xml:space="preserve"> under the age of 65</w:t>
      </w:r>
    </w:p>
    <w:p w14:paraId="6E71282C" w14:textId="38EA1A56" w:rsidR="00385A47" w:rsidRPr="007206E9" w:rsidRDefault="00385A47" w:rsidP="007206E9">
      <w:pPr>
        <w:rPr>
          <w:rFonts w:cs="Calibri"/>
          <w:spacing w:val="0"/>
          <w:szCs w:val="20"/>
        </w:rPr>
      </w:pPr>
      <w:r w:rsidRPr="007F6CD2">
        <w:rPr>
          <w:rFonts w:cs="Calibri"/>
          <w:szCs w:val="20"/>
        </w:rPr>
        <w:t>As of 1 November, if a person aged under 65 (who is not Aboriginal and Torres Strait Islander, homeless or risk of homelessness and aged 50+) has not commenced the process of applying for aged care services (including registering with Ability First Australia (AFA) or the National Disability Insurance Agency (NDIA) Younger People in Residential Aged Care (YPIRAC) team, they are not eligible for an assessment for aged care services.</w:t>
      </w:r>
    </w:p>
    <w:p w14:paraId="2E6E3C93" w14:textId="080116CF" w:rsidR="00605BA0" w:rsidRPr="003A173C" w:rsidRDefault="00605BA0" w:rsidP="00605BA0">
      <w:pPr>
        <w:pStyle w:val="Heading2"/>
        <w:rPr>
          <w:rFonts w:ascii="Calibri" w:hAnsi="Calibri" w:cs="Calibri"/>
        </w:rPr>
      </w:pPr>
      <w:bookmarkStart w:id="557" w:name="_Toc395537176"/>
      <w:bookmarkStart w:id="558" w:name="_Toc422732534"/>
      <w:bookmarkStart w:id="559" w:name="_Toc422752874"/>
      <w:bookmarkStart w:id="560" w:name="_Toc216865464"/>
      <w:r w:rsidRPr="003A173C">
        <w:rPr>
          <w:rFonts w:ascii="Calibri" w:hAnsi="Calibri" w:cs="Calibri"/>
        </w:rPr>
        <w:t>The role of hospitals</w:t>
      </w:r>
      <w:bookmarkEnd w:id="557"/>
      <w:bookmarkEnd w:id="558"/>
      <w:bookmarkEnd w:id="559"/>
      <w:bookmarkEnd w:id="560"/>
    </w:p>
    <w:p w14:paraId="3E942D99" w14:textId="34CE4947" w:rsidR="009E0DCD" w:rsidRPr="008202E1" w:rsidRDefault="00605BA0" w:rsidP="009E0DCD">
      <w:pPr>
        <w:rPr>
          <w:rFonts w:cs="Calibri"/>
        </w:rPr>
      </w:pPr>
      <w:bookmarkStart w:id="561" w:name="_Toc245536165"/>
      <w:r w:rsidRPr="003A173C">
        <w:rPr>
          <w:rFonts w:cs="Calibri"/>
        </w:rPr>
        <w:t xml:space="preserve">The role of hospitals in relation to the </w:t>
      </w:r>
      <w:r w:rsidR="00B505C7" w:rsidRPr="003A173C">
        <w:rPr>
          <w:rFonts w:cs="Calibri"/>
        </w:rPr>
        <w:t>program</w:t>
      </w:r>
      <w:r w:rsidRPr="003A173C">
        <w:rPr>
          <w:rFonts w:cs="Calibri"/>
        </w:rPr>
        <w:t xml:space="preserve"> is to:</w:t>
      </w:r>
    </w:p>
    <w:p w14:paraId="3F5A1130" w14:textId="68DDEFF9" w:rsidR="00605BA0" w:rsidRPr="008202E1" w:rsidRDefault="00605BA0" w:rsidP="00FA34AC">
      <w:pPr>
        <w:pStyle w:val="ListBullet"/>
      </w:pPr>
      <w:r w:rsidRPr="008202E1">
        <w:t xml:space="preserve">provide acute and/or subacute care, including rehabilitation and </w:t>
      </w:r>
      <w:r w:rsidR="00343B51" w:rsidRPr="008202E1">
        <w:t>clinical</w:t>
      </w:r>
      <w:r w:rsidRPr="008202E1">
        <w:t xml:space="preserve"> evaluation</w:t>
      </w:r>
      <w:r w:rsidR="00C64BE2" w:rsidRPr="008202E1">
        <w:t xml:space="preserve"> (including dementia</w:t>
      </w:r>
      <w:r w:rsidR="00596D6C" w:rsidRPr="008202E1">
        <w:t>/cognitive</w:t>
      </w:r>
      <w:r w:rsidR="00C64BE2" w:rsidRPr="008202E1">
        <w:t xml:space="preserve"> assessment</w:t>
      </w:r>
      <w:r w:rsidR="00596D6C" w:rsidRPr="008202E1">
        <w:t xml:space="preserve"> as required</w:t>
      </w:r>
      <w:r w:rsidR="00C64BE2" w:rsidRPr="008202E1">
        <w:t>)</w:t>
      </w:r>
      <w:r w:rsidRPr="008202E1">
        <w:t xml:space="preserve"> and management prior to referring a </w:t>
      </w:r>
      <w:r w:rsidR="00CF1696" w:rsidRPr="008202E1">
        <w:t>patient</w:t>
      </w:r>
      <w:r w:rsidR="00DF12F7" w:rsidRPr="008202E1">
        <w:t xml:space="preserve"> for </w:t>
      </w:r>
      <w:r w:rsidR="00ED6A92" w:rsidRPr="008202E1">
        <w:t>an aged care</w:t>
      </w:r>
      <w:r w:rsidR="003354A5" w:rsidRPr="008202E1">
        <w:t xml:space="preserve"> </w:t>
      </w:r>
      <w:r w:rsidR="00BE5D06" w:rsidRPr="008202E1">
        <w:t>needs assessment</w:t>
      </w:r>
      <w:r w:rsidRPr="008202E1">
        <w:t>;</w:t>
      </w:r>
    </w:p>
    <w:p w14:paraId="7D522B29" w14:textId="543706AE" w:rsidR="00605BA0" w:rsidRPr="003A173C" w:rsidRDefault="00605BA0" w:rsidP="00FA34AC">
      <w:pPr>
        <w:pStyle w:val="ListBullet"/>
      </w:pPr>
      <w:r w:rsidRPr="003A173C">
        <w:t xml:space="preserve">ensure the </w:t>
      </w:r>
      <w:r w:rsidR="00CF1696" w:rsidRPr="003A173C">
        <w:t>patient</w:t>
      </w:r>
      <w:r w:rsidRPr="003A173C">
        <w:t xml:space="preserve"> is medically stable</w:t>
      </w:r>
      <w:r w:rsidR="00DF12F7" w:rsidRPr="003A173C">
        <w:t xml:space="preserve"> </w:t>
      </w:r>
      <w:r w:rsidRPr="003A173C">
        <w:t xml:space="preserve">and ready for discharge before </w:t>
      </w:r>
      <w:r w:rsidR="00886E88" w:rsidRPr="003A173C">
        <w:t>being</w:t>
      </w:r>
      <w:r w:rsidRPr="003A173C">
        <w:t xml:space="preserve"> referred for </w:t>
      </w:r>
      <w:r w:rsidR="0059228A" w:rsidRPr="003A173C">
        <w:t xml:space="preserve">an </w:t>
      </w:r>
      <w:r w:rsidRPr="003A173C">
        <w:t>assessment;</w:t>
      </w:r>
    </w:p>
    <w:p w14:paraId="544EC419" w14:textId="7277394B" w:rsidR="00605BA0" w:rsidRPr="003A173C" w:rsidRDefault="00605BA0" w:rsidP="00FA34AC">
      <w:pPr>
        <w:pStyle w:val="ListBullet"/>
      </w:pPr>
      <w:r w:rsidRPr="003A173C">
        <w:t xml:space="preserve">ensure the </w:t>
      </w:r>
      <w:r w:rsidR="00163817">
        <w:t>clinical</w:t>
      </w:r>
      <w:r w:rsidRPr="003A173C">
        <w:t xml:space="preserve"> team treating the </w:t>
      </w:r>
      <w:r w:rsidR="00CF1696" w:rsidRPr="003A173C">
        <w:t>patient</w:t>
      </w:r>
      <w:r w:rsidRPr="003A173C">
        <w:t xml:space="preserve"> </w:t>
      </w:r>
      <w:r w:rsidR="00163817">
        <w:t xml:space="preserve">and the hospital discharge team </w:t>
      </w:r>
      <w:r w:rsidRPr="003A173C">
        <w:t xml:space="preserve">work closely with the </w:t>
      </w:r>
      <w:r w:rsidR="00A8222B" w:rsidRPr="003A173C">
        <w:t>clinical aged care needs assessor</w:t>
      </w:r>
      <w:r w:rsidR="00A8222B" w:rsidRPr="003A173C" w:rsidDel="00A8222B">
        <w:t xml:space="preserve"> </w:t>
      </w:r>
      <w:r w:rsidRPr="003A173C">
        <w:t>during the assessment process; and</w:t>
      </w:r>
    </w:p>
    <w:p w14:paraId="6CC5C4D4" w14:textId="083C1077" w:rsidR="00402CDD" w:rsidRPr="003A173C" w:rsidRDefault="00605BA0" w:rsidP="00FA34AC">
      <w:pPr>
        <w:pStyle w:val="ListBullet"/>
      </w:pPr>
      <w:r w:rsidRPr="003A173C">
        <w:t xml:space="preserve">work with the </w:t>
      </w:r>
      <w:r w:rsidR="003C67BB" w:rsidRPr="003A173C">
        <w:t>registered</w:t>
      </w:r>
      <w:r w:rsidRPr="003A173C">
        <w:t xml:space="preserve"> provid</w:t>
      </w:r>
      <w:r w:rsidR="00DF12F7" w:rsidRPr="003A173C">
        <w:t xml:space="preserve">er, the </w:t>
      </w:r>
      <w:r w:rsidR="00A8222B" w:rsidRPr="003A173C">
        <w:t>clinical aged care needs assessor</w:t>
      </w:r>
      <w:r w:rsidR="00DF12F7" w:rsidRPr="003A173C">
        <w:t>, the patient</w:t>
      </w:r>
      <w:r w:rsidRPr="003A173C">
        <w:t xml:space="preserve"> and their family or carer to </w:t>
      </w:r>
      <w:r w:rsidR="00556E72" w:rsidRPr="003A173C">
        <w:t xml:space="preserve">assist in </w:t>
      </w:r>
      <w:r w:rsidRPr="003A173C">
        <w:t>develop</w:t>
      </w:r>
      <w:r w:rsidR="00556E72" w:rsidRPr="003A173C">
        <w:t>ing</w:t>
      </w:r>
      <w:r w:rsidRPr="003A173C">
        <w:t xml:space="preserve"> a </w:t>
      </w:r>
      <w:r w:rsidR="006C7429" w:rsidRPr="003A173C">
        <w:t>Support P</w:t>
      </w:r>
      <w:r w:rsidRPr="003A173C">
        <w:t>lan</w:t>
      </w:r>
      <w:r w:rsidR="00556E72" w:rsidRPr="003A173C">
        <w:t>,</w:t>
      </w:r>
      <w:r w:rsidRPr="003A173C">
        <w:t xml:space="preserve"> as part of the </w:t>
      </w:r>
      <w:r w:rsidR="00556E72" w:rsidRPr="003A173C">
        <w:t xml:space="preserve">individual’s </w:t>
      </w:r>
      <w:r w:rsidRPr="003A173C">
        <w:t>hospital discharge planning process.</w:t>
      </w:r>
    </w:p>
    <w:p w14:paraId="7A1CD95F" w14:textId="572AC444" w:rsidR="00605BA0" w:rsidRPr="00FA34AC" w:rsidRDefault="00605BA0" w:rsidP="008974DB">
      <w:pPr>
        <w:pStyle w:val="Style3"/>
      </w:pPr>
      <w:bookmarkStart w:id="562" w:name="_Toc395537177"/>
      <w:bookmarkStart w:id="563" w:name="_Toc422732535"/>
      <w:bookmarkStart w:id="564" w:name="_Toc422752875"/>
      <w:bookmarkStart w:id="565" w:name="_Toc216865465"/>
      <w:r w:rsidRPr="00FA34AC">
        <w:t>Referral process</w:t>
      </w:r>
      <w:bookmarkEnd w:id="561"/>
      <w:bookmarkEnd w:id="562"/>
      <w:bookmarkEnd w:id="563"/>
      <w:bookmarkEnd w:id="564"/>
      <w:bookmarkEnd w:id="565"/>
    </w:p>
    <w:p w14:paraId="3FCC0221" w14:textId="06E4E3B0" w:rsidR="00605BA0" w:rsidRPr="003A173C" w:rsidRDefault="00605BA0" w:rsidP="006727E2">
      <w:pPr>
        <w:rPr>
          <w:rFonts w:cs="Calibri"/>
        </w:rPr>
      </w:pPr>
      <w:r w:rsidRPr="003A173C">
        <w:rPr>
          <w:rFonts w:cs="Calibri"/>
        </w:rPr>
        <w:t>A</w:t>
      </w:r>
      <w:r w:rsidR="002A5F9A" w:rsidRPr="003A173C">
        <w:rPr>
          <w:rFonts w:cs="Calibri"/>
        </w:rPr>
        <w:t xml:space="preserve">ssessment </w:t>
      </w:r>
      <w:r w:rsidR="00EB1610" w:rsidRPr="003A173C">
        <w:rPr>
          <w:rFonts w:cs="Calibri"/>
        </w:rPr>
        <w:t>o</w:t>
      </w:r>
      <w:r w:rsidR="002A5F9A" w:rsidRPr="003A173C">
        <w:rPr>
          <w:rFonts w:cs="Calibri"/>
        </w:rPr>
        <w:t>rganisations</w:t>
      </w:r>
      <w:r w:rsidRPr="003A173C">
        <w:rPr>
          <w:rFonts w:cs="Calibri"/>
        </w:rPr>
        <w:t xml:space="preserve"> accept referrals from </w:t>
      </w:r>
      <w:r w:rsidR="0064270C" w:rsidRPr="003A173C">
        <w:rPr>
          <w:rFonts w:cs="Calibri"/>
        </w:rPr>
        <w:t>several</w:t>
      </w:r>
      <w:r w:rsidR="00CF1696" w:rsidRPr="003A173C">
        <w:rPr>
          <w:rFonts w:cs="Calibri"/>
        </w:rPr>
        <w:t xml:space="preserve"> sources. A patient </w:t>
      </w:r>
      <w:r w:rsidRPr="003A173C">
        <w:rPr>
          <w:rFonts w:cs="Calibri"/>
        </w:rPr>
        <w:t>in hospital may self-refer</w:t>
      </w:r>
      <w:r w:rsidR="00F62911" w:rsidRPr="003A173C">
        <w:rPr>
          <w:rFonts w:cs="Calibri"/>
        </w:rPr>
        <w:t xml:space="preserve"> and has the right to request for referral to TCP through</w:t>
      </w:r>
      <w:r w:rsidR="00AF2DEB" w:rsidRPr="003A173C">
        <w:rPr>
          <w:rFonts w:cs="Calibri"/>
        </w:rPr>
        <w:t xml:space="preserve"> the</w:t>
      </w:r>
      <w:r w:rsidR="00C87562" w:rsidRPr="003A173C">
        <w:rPr>
          <w:rFonts w:cs="Calibri"/>
        </w:rPr>
        <w:t>ir</w:t>
      </w:r>
      <w:r w:rsidR="00AF2DEB" w:rsidRPr="003A173C">
        <w:rPr>
          <w:rFonts w:cs="Calibri"/>
        </w:rPr>
        <w:t xml:space="preserve"> multi</w:t>
      </w:r>
      <w:r w:rsidR="00C87562" w:rsidRPr="003A173C">
        <w:rPr>
          <w:rFonts w:cs="Calibri"/>
        </w:rPr>
        <w:t>disciplinary</w:t>
      </w:r>
      <w:r w:rsidR="00AF2DEB" w:rsidRPr="003A173C">
        <w:rPr>
          <w:rFonts w:cs="Calibri"/>
        </w:rPr>
        <w:t xml:space="preserve"> </w:t>
      </w:r>
      <w:r w:rsidR="00C87562" w:rsidRPr="003A173C">
        <w:rPr>
          <w:rFonts w:cs="Calibri"/>
        </w:rPr>
        <w:t>care team</w:t>
      </w:r>
      <w:r w:rsidRPr="003A173C">
        <w:rPr>
          <w:rFonts w:cs="Calibri"/>
        </w:rPr>
        <w:t xml:space="preserve"> for assessment by the </w:t>
      </w:r>
      <w:r w:rsidR="00A8222B" w:rsidRPr="003A173C">
        <w:rPr>
          <w:rFonts w:cs="Calibri"/>
        </w:rPr>
        <w:t>clinical aged care needs assessor</w:t>
      </w:r>
      <w:r w:rsidR="001E26D6" w:rsidRPr="003A173C">
        <w:rPr>
          <w:rFonts w:cs="Calibri"/>
        </w:rPr>
        <w:t>,</w:t>
      </w:r>
      <w:r w:rsidR="00A8222B" w:rsidRPr="003A173C" w:rsidDel="00A8222B">
        <w:rPr>
          <w:rFonts w:cs="Calibri"/>
        </w:rPr>
        <w:t xml:space="preserve"> </w:t>
      </w:r>
      <w:r w:rsidR="0064270C" w:rsidRPr="003A173C">
        <w:rPr>
          <w:rFonts w:cs="Calibri"/>
        </w:rPr>
        <w:t>or</w:t>
      </w:r>
      <w:r w:rsidRPr="003A173C">
        <w:rPr>
          <w:rFonts w:cs="Calibri"/>
        </w:rPr>
        <w:t xml:space="preserve"> may be referred by their carer or family member.</w:t>
      </w:r>
      <w:r w:rsidR="002B05D7" w:rsidRPr="003A173C">
        <w:rPr>
          <w:rFonts w:cs="Calibri"/>
        </w:rPr>
        <w:t xml:space="preserve"> </w:t>
      </w:r>
      <w:r w:rsidR="002B563A" w:rsidRPr="003A173C">
        <w:rPr>
          <w:rFonts w:cs="Calibri"/>
        </w:rPr>
        <w:t xml:space="preserve">The </w:t>
      </w:r>
      <w:r w:rsidR="00A8222B" w:rsidRPr="003A173C">
        <w:rPr>
          <w:rFonts w:cs="Calibri"/>
        </w:rPr>
        <w:t>clinical aged care needs assessor</w:t>
      </w:r>
      <w:r w:rsidR="002B563A" w:rsidRPr="003A173C">
        <w:rPr>
          <w:rFonts w:cs="Calibri"/>
        </w:rPr>
        <w:t>, h</w:t>
      </w:r>
      <w:r w:rsidRPr="003A173C">
        <w:rPr>
          <w:rFonts w:cs="Calibri"/>
        </w:rPr>
        <w:t xml:space="preserve">owever, must not assess them until they are medically stable and ready for discharge, </w:t>
      </w:r>
      <w:r w:rsidR="003629D6" w:rsidRPr="003A173C">
        <w:rPr>
          <w:rFonts w:cs="Calibri"/>
        </w:rPr>
        <w:t>(</w:t>
      </w:r>
      <w:r w:rsidRPr="003A173C">
        <w:rPr>
          <w:rFonts w:cs="Calibri"/>
        </w:rPr>
        <w:t xml:space="preserve">see </w:t>
      </w:r>
      <w:r w:rsidR="00DF12F7" w:rsidRPr="003A173C">
        <w:rPr>
          <w:rFonts w:cs="Calibri"/>
          <w:i/>
        </w:rPr>
        <w:t xml:space="preserve">section </w:t>
      </w:r>
      <w:r w:rsidRPr="003A173C">
        <w:rPr>
          <w:rFonts w:cs="Calibri"/>
          <w:i/>
        </w:rPr>
        <w:t>3.4.3 Assessment process for transition care</w:t>
      </w:r>
      <w:r w:rsidR="003629D6" w:rsidRPr="003A173C">
        <w:rPr>
          <w:rFonts w:cs="Calibri"/>
        </w:rPr>
        <w:t>)</w:t>
      </w:r>
      <w:r w:rsidRPr="003A173C">
        <w:rPr>
          <w:rFonts w:cs="Calibri"/>
        </w:rPr>
        <w:t xml:space="preserve">. Hospital staff and the </w:t>
      </w:r>
      <w:r w:rsidR="00A8222B" w:rsidRPr="003A173C">
        <w:rPr>
          <w:rFonts w:cs="Calibri"/>
        </w:rPr>
        <w:t>clinical aged care needs assessor</w:t>
      </w:r>
      <w:r w:rsidRPr="003A173C">
        <w:rPr>
          <w:rFonts w:cs="Calibri"/>
        </w:rPr>
        <w:t xml:space="preserve"> should be informed about the local availability of the </w:t>
      </w:r>
      <w:r w:rsidR="00B505C7" w:rsidRPr="003A173C">
        <w:rPr>
          <w:rFonts w:cs="Calibri"/>
        </w:rPr>
        <w:t>program</w:t>
      </w:r>
      <w:r w:rsidRPr="003A173C">
        <w:rPr>
          <w:rFonts w:cs="Calibri"/>
        </w:rPr>
        <w:t xml:space="preserve"> and the potential benefits and ser</w:t>
      </w:r>
      <w:r w:rsidR="002D2457" w:rsidRPr="003A173C">
        <w:rPr>
          <w:rFonts w:cs="Calibri"/>
        </w:rPr>
        <w:t xml:space="preserve">vices offered by the </w:t>
      </w:r>
      <w:r w:rsidR="00B505C7" w:rsidRPr="003A173C">
        <w:rPr>
          <w:rFonts w:cs="Calibri"/>
        </w:rPr>
        <w:t>program</w:t>
      </w:r>
      <w:r w:rsidR="002D2457" w:rsidRPr="003A173C">
        <w:rPr>
          <w:rFonts w:cs="Calibri"/>
        </w:rPr>
        <w:t>.</w:t>
      </w:r>
    </w:p>
    <w:p w14:paraId="107A8621" w14:textId="38F03EE4" w:rsidR="004F6EF7" w:rsidRPr="003A173C" w:rsidRDefault="00605BA0" w:rsidP="006727E2">
      <w:pPr>
        <w:rPr>
          <w:rFonts w:cs="Calibri"/>
        </w:rPr>
      </w:pPr>
      <w:r w:rsidRPr="003A173C">
        <w:rPr>
          <w:rFonts w:cs="Calibri"/>
        </w:rPr>
        <w:t xml:space="preserve">To avoid disappointment, all potential </w:t>
      </w:r>
      <w:r w:rsidR="002F45CF" w:rsidRPr="003A173C">
        <w:rPr>
          <w:rFonts w:cs="Calibri"/>
        </w:rPr>
        <w:t>TCP clients</w:t>
      </w:r>
      <w:r w:rsidRPr="003A173C">
        <w:rPr>
          <w:rFonts w:cs="Calibri"/>
        </w:rPr>
        <w:t xml:space="preserve"> in hospital and carers or family members should be informed </w:t>
      </w:r>
      <w:r w:rsidR="00206F84" w:rsidRPr="003A173C">
        <w:rPr>
          <w:rFonts w:cs="Calibri"/>
        </w:rPr>
        <w:t>if</w:t>
      </w:r>
      <w:r w:rsidRPr="003A173C">
        <w:rPr>
          <w:rFonts w:cs="Calibri"/>
        </w:rPr>
        <w:t xml:space="preserve"> transition care is available in the area where the </w:t>
      </w:r>
      <w:r w:rsidR="00E16A2C" w:rsidRPr="003A173C">
        <w:rPr>
          <w:rFonts w:cs="Calibri"/>
        </w:rPr>
        <w:t>individual</w:t>
      </w:r>
      <w:r w:rsidRPr="003A173C">
        <w:rPr>
          <w:rFonts w:cs="Calibri"/>
        </w:rPr>
        <w:t xml:space="preserve"> wishes to access care, i.e. in their own home or in the local area of a carer or family member.</w:t>
      </w:r>
    </w:p>
    <w:p w14:paraId="4778672C" w14:textId="73A970E4" w:rsidR="00605BA0" w:rsidRPr="003A173C" w:rsidRDefault="00605BA0" w:rsidP="006727E2">
      <w:pPr>
        <w:rPr>
          <w:rFonts w:cs="Calibri"/>
        </w:rPr>
      </w:pPr>
      <w:r w:rsidRPr="003A173C">
        <w:rPr>
          <w:rFonts w:cs="Calibri"/>
        </w:rPr>
        <w:t xml:space="preserve">Potential </w:t>
      </w:r>
      <w:r w:rsidR="002F45CF" w:rsidRPr="003A173C">
        <w:rPr>
          <w:rFonts w:cs="Calibri"/>
        </w:rPr>
        <w:t>TCP clients</w:t>
      </w:r>
      <w:r w:rsidRPr="003A173C">
        <w:rPr>
          <w:rFonts w:cs="Calibri"/>
        </w:rPr>
        <w:t xml:space="preserve"> </w:t>
      </w:r>
      <w:r w:rsidR="00206F84" w:rsidRPr="003A173C">
        <w:rPr>
          <w:rFonts w:cs="Calibri"/>
        </w:rPr>
        <w:t>must</w:t>
      </w:r>
      <w:r w:rsidRPr="003A173C">
        <w:rPr>
          <w:rFonts w:cs="Calibri"/>
        </w:rPr>
        <w:t xml:space="preserve"> also be made aware that access to a transition care place depends on:</w:t>
      </w:r>
    </w:p>
    <w:p w14:paraId="711ACBE3" w14:textId="3BA7D4E1" w:rsidR="00605BA0" w:rsidRPr="003A173C" w:rsidRDefault="00605BA0" w:rsidP="00FA34AC">
      <w:pPr>
        <w:pStyle w:val="ListBullet"/>
      </w:pPr>
      <w:r w:rsidRPr="003A173C">
        <w:t>the</w:t>
      </w:r>
      <w:r w:rsidR="00BE6E55" w:rsidRPr="003A173C">
        <w:t>m</w:t>
      </w:r>
      <w:r w:rsidRPr="003A173C">
        <w:t xml:space="preserve"> being assessed and approved as eligible for transition care</w:t>
      </w:r>
      <w:r w:rsidR="00F37E19" w:rsidRPr="003A173C">
        <w:t xml:space="preserve"> by a clinical aged care needs assessor and assessment delegate</w:t>
      </w:r>
      <w:r w:rsidRPr="003A173C">
        <w:t>;</w:t>
      </w:r>
    </w:p>
    <w:p w14:paraId="2C0CB98E" w14:textId="77777777" w:rsidR="00605BA0" w:rsidRPr="003A173C" w:rsidRDefault="00605BA0" w:rsidP="00FA34AC">
      <w:pPr>
        <w:pStyle w:val="ListBullet"/>
      </w:pPr>
      <w:r w:rsidRPr="003A173C">
        <w:t>availability of a vacant transition care place; and</w:t>
      </w:r>
    </w:p>
    <w:p w14:paraId="7F373A40" w14:textId="6F4961E5" w:rsidR="00605BA0" w:rsidRPr="003A173C" w:rsidRDefault="00605BA0" w:rsidP="00FA34AC">
      <w:pPr>
        <w:pStyle w:val="ListBullet"/>
      </w:pPr>
      <w:r w:rsidRPr="003A173C">
        <w:t xml:space="preserve">whether a </w:t>
      </w:r>
      <w:r w:rsidR="002F45CF" w:rsidRPr="003A173C">
        <w:t>registered provider</w:t>
      </w:r>
      <w:r w:rsidRPr="003A173C">
        <w:t xml:space="preserve"> can meet their care needs and accepts the</w:t>
      </w:r>
      <w:r w:rsidR="00BD5CA0" w:rsidRPr="003A173C">
        <w:t xml:space="preserve"> individual into care.</w:t>
      </w:r>
    </w:p>
    <w:p w14:paraId="04C295E6" w14:textId="6D3D82ED" w:rsidR="00605BA0" w:rsidRPr="003A173C" w:rsidRDefault="00ED4E5D" w:rsidP="00605BA0">
      <w:pPr>
        <w:pStyle w:val="Heading2"/>
        <w:rPr>
          <w:rFonts w:ascii="Calibri" w:hAnsi="Calibri" w:cs="Calibri"/>
        </w:rPr>
      </w:pPr>
      <w:bookmarkStart w:id="566" w:name="_Assessment_and_approval"/>
      <w:bookmarkStart w:id="567" w:name="_Ref29286424"/>
      <w:bookmarkStart w:id="568" w:name="_Toc29371654"/>
      <w:bookmarkStart w:id="569" w:name="_Toc81623294"/>
      <w:bookmarkStart w:id="570" w:name="_Toc110834644"/>
      <w:bookmarkStart w:id="571" w:name="_Toc245536166"/>
      <w:bookmarkStart w:id="572" w:name="_Toc395537178"/>
      <w:bookmarkStart w:id="573" w:name="_Toc422732536"/>
      <w:bookmarkStart w:id="574" w:name="_Toc422752876"/>
      <w:bookmarkStart w:id="575" w:name="_Toc216865466"/>
      <w:bookmarkEnd w:id="566"/>
      <w:r w:rsidRPr="003A173C">
        <w:rPr>
          <w:rFonts w:ascii="Calibri" w:hAnsi="Calibri" w:cs="Calibri"/>
        </w:rPr>
        <w:t>Assessment</w:t>
      </w:r>
      <w:r w:rsidR="00605BA0" w:rsidRPr="003A173C">
        <w:rPr>
          <w:rFonts w:ascii="Calibri" w:hAnsi="Calibri" w:cs="Calibri"/>
        </w:rPr>
        <w:t xml:space="preserve"> and approval of </w:t>
      </w:r>
      <w:r w:rsidR="00E078F9" w:rsidRPr="003A173C">
        <w:rPr>
          <w:rFonts w:ascii="Calibri" w:hAnsi="Calibri" w:cs="Calibri"/>
        </w:rPr>
        <w:t xml:space="preserve">individuals </w:t>
      </w:r>
      <w:r w:rsidR="00D3252C" w:rsidRPr="003A173C">
        <w:rPr>
          <w:rFonts w:ascii="Calibri" w:hAnsi="Calibri" w:cs="Calibri"/>
        </w:rPr>
        <w:t>f</w:t>
      </w:r>
      <w:r w:rsidR="00605BA0" w:rsidRPr="003A173C">
        <w:rPr>
          <w:rFonts w:ascii="Calibri" w:hAnsi="Calibri" w:cs="Calibri"/>
        </w:rPr>
        <w:t>or transition care</w:t>
      </w:r>
      <w:bookmarkEnd w:id="567"/>
      <w:bookmarkEnd w:id="568"/>
      <w:bookmarkEnd w:id="569"/>
      <w:bookmarkEnd w:id="570"/>
      <w:bookmarkEnd w:id="571"/>
      <w:bookmarkEnd w:id="572"/>
      <w:bookmarkEnd w:id="573"/>
      <w:bookmarkEnd w:id="574"/>
      <w:bookmarkEnd w:id="575"/>
    </w:p>
    <w:p w14:paraId="37FD5AB8" w14:textId="5EC178C2" w:rsidR="00605BA0" w:rsidRPr="003A173C" w:rsidRDefault="00E078F9" w:rsidP="006727E2">
      <w:pPr>
        <w:rPr>
          <w:rFonts w:cs="Calibri"/>
        </w:rPr>
      </w:pPr>
      <w:r w:rsidRPr="003A173C">
        <w:rPr>
          <w:rFonts w:cs="Calibri"/>
        </w:rPr>
        <w:t>Chapter 2 o</w:t>
      </w:r>
      <w:r w:rsidR="00605BA0" w:rsidRPr="003A173C">
        <w:rPr>
          <w:rFonts w:cs="Calibri"/>
        </w:rPr>
        <w:t xml:space="preserve">f the </w:t>
      </w:r>
      <w:r w:rsidR="00BB0515" w:rsidRPr="003A173C">
        <w:rPr>
          <w:rFonts w:cs="Calibri"/>
        </w:rPr>
        <w:t>Act</w:t>
      </w:r>
      <w:r w:rsidR="00605BA0" w:rsidRPr="003A173C">
        <w:rPr>
          <w:rFonts w:cs="Calibri"/>
        </w:rPr>
        <w:t xml:space="preserve"> </w:t>
      </w:r>
      <w:r w:rsidR="004E5431" w:rsidRPr="003A173C">
        <w:rPr>
          <w:rFonts w:cs="Calibri"/>
        </w:rPr>
        <w:t>contains the legislative provisions</w:t>
      </w:r>
      <w:r w:rsidR="00605BA0" w:rsidRPr="003A173C">
        <w:rPr>
          <w:rFonts w:cs="Calibri"/>
        </w:rPr>
        <w:t xml:space="preserve"> on the approval of </w:t>
      </w:r>
      <w:r w:rsidRPr="003A173C">
        <w:rPr>
          <w:rFonts w:cs="Calibri"/>
        </w:rPr>
        <w:t>individuals for funded aged care services</w:t>
      </w:r>
      <w:r w:rsidR="00E0649C" w:rsidRPr="003A173C">
        <w:rPr>
          <w:rFonts w:cs="Calibri"/>
        </w:rPr>
        <w:t>,</w:t>
      </w:r>
      <w:r w:rsidR="004E5431" w:rsidRPr="003A173C">
        <w:rPr>
          <w:rFonts w:cs="Calibri"/>
        </w:rPr>
        <w:t xml:space="preserve"> and it is accompanied by the further detailed guidance materials, contained in </w:t>
      </w:r>
      <w:r w:rsidR="00F135CC" w:rsidRPr="00B020BD">
        <w:t xml:space="preserve">the </w:t>
      </w:r>
      <w:hyperlink r:id="rId38" w:history="1">
        <w:r w:rsidR="004E5431" w:rsidRPr="00B31661">
          <w:rPr>
            <w:rStyle w:val="Hyperlink"/>
            <w:rFonts w:ascii="Calibri" w:hAnsi="Calibri" w:cs="Calibri"/>
            <w:sz w:val="20"/>
          </w:rPr>
          <w:t>My Aged Care Assessment Manual for 1</w:t>
        </w:r>
        <w:r w:rsidR="008C1A4E">
          <w:rPr>
            <w:rStyle w:val="Hyperlink"/>
            <w:rFonts w:ascii="Calibri" w:hAnsi="Calibri" w:cs="Calibri"/>
            <w:sz w:val="20"/>
          </w:rPr>
          <w:t> </w:t>
        </w:r>
        <w:r w:rsidR="004E5431" w:rsidRPr="00B31661">
          <w:rPr>
            <w:rStyle w:val="Hyperlink"/>
            <w:rFonts w:ascii="Calibri" w:hAnsi="Calibri" w:cs="Calibri"/>
            <w:sz w:val="20"/>
          </w:rPr>
          <w:t>November 2025</w:t>
        </w:r>
        <w:r w:rsidR="004E5431" w:rsidRPr="00F135CC">
          <w:rPr>
            <w:rStyle w:val="Hyperlink"/>
            <w:rFonts w:ascii="Calibri" w:hAnsi="Calibri" w:cs="Calibri"/>
            <w:sz w:val="20"/>
          </w:rPr>
          <w:t>.</w:t>
        </w:r>
      </w:hyperlink>
      <w:r w:rsidRPr="003A173C">
        <w:rPr>
          <w:rFonts w:cs="Calibri"/>
          <w:i/>
          <w:iCs/>
        </w:rPr>
        <w:t xml:space="preserve"> </w:t>
      </w:r>
    </w:p>
    <w:p w14:paraId="0D8E073C" w14:textId="7B2B1C2F" w:rsidR="00605BA0" w:rsidRPr="003A173C" w:rsidRDefault="00605BA0" w:rsidP="006727E2">
      <w:pPr>
        <w:rPr>
          <w:rFonts w:cs="Calibri"/>
        </w:rPr>
      </w:pPr>
      <w:r w:rsidRPr="003A173C">
        <w:rPr>
          <w:rFonts w:cs="Calibri"/>
        </w:rPr>
        <w:t>To access transition care, older people must first be assessed</w:t>
      </w:r>
      <w:r w:rsidR="005214EF" w:rsidRPr="003A173C">
        <w:rPr>
          <w:rFonts w:cs="Calibri"/>
        </w:rPr>
        <w:t xml:space="preserve"> by </w:t>
      </w:r>
      <w:r w:rsidR="009C5378" w:rsidRPr="003A173C">
        <w:rPr>
          <w:rFonts w:cs="Calibri"/>
        </w:rPr>
        <w:t>a</w:t>
      </w:r>
      <w:r w:rsidR="00931A3A" w:rsidRPr="003A173C">
        <w:rPr>
          <w:rFonts w:cs="Calibri"/>
        </w:rPr>
        <w:t xml:space="preserve"> clinical aged care needs assessor</w:t>
      </w:r>
      <w:r w:rsidRPr="003A173C">
        <w:rPr>
          <w:rFonts w:cs="Calibri"/>
        </w:rPr>
        <w:t xml:space="preserve"> and approved by an </w:t>
      </w:r>
      <w:r w:rsidR="00931A3A" w:rsidRPr="003A173C">
        <w:rPr>
          <w:rFonts w:cs="Calibri"/>
        </w:rPr>
        <w:t>assessment delegate</w:t>
      </w:r>
      <w:r w:rsidRPr="003A173C">
        <w:rPr>
          <w:rFonts w:cs="Calibri"/>
        </w:rPr>
        <w:t xml:space="preserve"> requiring the </w:t>
      </w:r>
      <w:r w:rsidR="004E5431" w:rsidRPr="003A173C">
        <w:rPr>
          <w:rFonts w:cs="Calibri"/>
        </w:rPr>
        <w:t>particular applicable services</w:t>
      </w:r>
      <w:r w:rsidRPr="003A173C">
        <w:rPr>
          <w:rFonts w:cs="Calibri"/>
        </w:rPr>
        <w:t xml:space="preserve"> transition care delivers</w:t>
      </w:r>
      <w:r w:rsidR="004E5431" w:rsidRPr="003A173C">
        <w:rPr>
          <w:rFonts w:cs="Calibri"/>
        </w:rPr>
        <w:t xml:space="preserve"> from the Aged Care Service List</w:t>
      </w:r>
      <w:r w:rsidRPr="003A173C">
        <w:rPr>
          <w:rFonts w:cs="Calibri"/>
        </w:rPr>
        <w:t xml:space="preserve">, as </w:t>
      </w:r>
      <w:r w:rsidR="00E31667" w:rsidRPr="003A173C">
        <w:rPr>
          <w:rFonts w:cs="Calibri"/>
        </w:rPr>
        <w:t xml:space="preserve">contained </w:t>
      </w:r>
      <w:r w:rsidRPr="003A173C">
        <w:rPr>
          <w:rFonts w:cs="Calibri"/>
        </w:rPr>
        <w:t>in</w:t>
      </w:r>
      <w:r w:rsidR="004E5431" w:rsidRPr="003A173C">
        <w:rPr>
          <w:rFonts w:cs="Calibri"/>
        </w:rPr>
        <w:t xml:space="preserve"> Chapter 1 of the</w:t>
      </w:r>
      <w:r w:rsidR="001639C4" w:rsidRPr="003A173C">
        <w:rPr>
          <w:rFonts w:cs="Calibri"/>
        </w:rPr>
        <w:t xml:space="preserve"> Rules</w:t>
      </w:r>
      <w:r w:rsidR="004E5431" w:rsidRPr="003A173C">
        <w:rPr>
          <w:rFonts w:cs="Calibri"/>
        </w:rPr>
        <w:t>.</w:t>
      </w:r>
    </w:p>
    <w:p w14:paraId="1CB839BA" w14:textId="3FE5236C" w:rsidR="00605BA0" w:rsidRPr="00FA34AC" w:rsidRDefault="00565D82" w:rsidP="008974DB">
      <w:pPr>
        <w:pStyle w:val="Style3"/>
      </w:pPr>
      <w:bookmarkStart w:id="576" w:name="_Toc521122290"/>
      <w:bookmarkStart w:id="577" w:name="_Toc29371655"/>
      <w:bookmarkStart w:id="578" w:name="_Toc81623295"/>
      <w:bookmarkStart w:id="579" w:name="_Toc110834645"/>
      <w:bookmarkStart w:id="580" w:name="_Toc245536167"/>
      <w:bookmarkStart w:id="581" w:name="_Toc395537179"/>
      <w:bookmarkStart w:id="582" w:name="_Toc422732537"/>
      <w:bookmarkStart w:id="583" w:name="_Toc422752877"/>
      <w:bookmarkStart w:id="584" w:name="_Toc216865467"/>
      <w:r w:rsidRPr="00FA34AC">
        <w:lastRenderedPageBreak/>
        <w:t xml:space="preserve">Assessment: </w:t>
      </w:r>
      <w:r w:rsidR="00210A14" w:rsidRPr="00FA34AC">
        <w:t>role of the</w:t>
      </w:r>
      <w:r w:rsidR="00DF1CB3" w:rsidRPr="00FA34AC">
        <w:t xml:space="preserve"> clinical aged care needs</w:t>
      </w:r>
      <w:r w:rsidR="00210A14" w:rsidRPr="00FA34AC">
        <w:t xml:space="preserve"> </w:t>
      </w:r>
      <w:r w:rsidR="004E5431" w:rsidRPr="00FA34AC">
        <w:t>a</w:t>
      </w:r>
      <w:r w:rsidR="00605BA0" w:rsidRPr="00FA34AC">
        <w:t>ssess</w:t>
      </w:r>
      <w:r w:rsidR="002F2F7A" w:rsidRPr="00FA34AC">
        <w:t>or</w:t>
      </w:r>
      <w:bookmarkEnd w:id="576"/>
      <w:bookmarkEnd w:id="577"/>
      <w:bookmarkEnd w:id="578"/>
      <w:bookmarkEnd w:id="579"/>
      <w:bookmarkEnd w:id="580"/>
      <w:bookmarkEnd w:id="581"/>
      <w:bookmarkEnd w:id="582"/>
      <w:bookmarkEnd w:id="583"/>
      <w:bookmarkEnd w:id="584"/>
    </w:p>
    <w:p w14:paraId="628B5F7F" w14:textId="20051863" w:rsidR="00B66693" w:rsidRPr="003A173C" w:rsidRDefault="00B66693" w:rsidP="006727E2">
      <w:pPr>
        <w:rPr>
          <w:rFonts w:eastAsia="Calibri" w:cs="Calibri"/>
        </w:rPr>
      </w:pPr>
      <w:r w:rsidRPr="003A173C">
        <w:rPr>
          <w:rFonts w:eastAsia="Calibri" w:cs="Calibri"/>
        </w:rPr>
        <w:t xml:space="preserve">The role of </w:t>
      </w:r>
      <w:r w:rsidR="009C5378" w:rsidRPr="003A173C">
        <w:rPr>
          <w:rFonts w:eastAsia="Calibri" w:cs="Calibri"/>
        </w:rPr>
        <w:t>a</w:t>
      </w:r>
      <w:r w:rsidRPr="003A173C">
        <w:rPr>
          <w:rFonts w:eastAsia="Calibri" w:cs="Calibri"/>
        </w:rPr>
        <w:t xml:space="preserve"> </w:t>
      </w:r>
      <w:r w:rsidR="007104C6" w:rsidRPr="003A173C">
        <w:rPr>
          <w:rFonts w:cs="Calibri"/>
        </w:rPr>
        <w:t>clinical aged care needs assessor</w:t>
      </w:r>
      <w:r w:rsidR="007104C6" w:rsidRPr="003A173C" w:rsidDel="007104C6">
        <w:rPr>
          <w:rFonts w:eastAsia="Calibri" w:cs="Calibri"/>
        </w:rPr>
        <w:t xml:space="preserve"> </w:t>
      </w:r>
      <w:r w:rsidRPr="003A173C">
        <w:rPr>
          <w:rFonts w:eastAsia="Calibri" w:cs="Calibri"/>
        </w:rPr>
        <w:t>is to conduct a holistic</w:t>
      </w:r>
      <w:r w:rsidR="00291BB7" w:rsidRPr="003A173C">
        <w:rPr>
          <w:rFonts w:eastAsia="Calibri" w:cs="Calibri"/>
        </w:rPr>
        <w:t>,</w:t>
      </w:r>
      <w:r w:rsidRPr="003A173C">
        <w:rPr>
          <w:rFonts w:eastAsia="Calibri" w:cs="Calibri"/>
        </w:rPr>
        <w:t xml:space="preserve"> comprehensive assessment of older people incorporating physical, medical, psychological, cultural, social, environmental and wellness dimensions.</w:t>
      </w:r>
      <w:r w:rsidR="001277C3" w:rsidRPr="003A173C">
        <w:rPr>
          <w:rFonts w:eastAsia="Calibri" w:cs="Calibri"/>
        </w:rPr>
        <w:t xml:space="preserve"> </w:t>
      </w:r>
      <w:r w:rsidRPr="003A173C">
        <w:rPr>
          <w:rFonts w:eastAsia="Calibri" w:cs="Calibri"/>
        </w:rPr>
        <w:t xml:space="preserve">The assessment is facilitated by the mandatory </w:t>
      </w:r>
      <w:r w:rsidR="006043C8" w:rsidRPr="003A173C">
        <w:rPr>
          <w:rFonts w:eastAsia="Calibri" w:cs="Calibri"/>
        </w:rPr>
        <w:t>Integrated</w:t>
      </w:r>
      <w:r w:rsidR="001800EF" w:rsidRPr="003A173C">
        <w:rPr>
          <w:rFonts w:eastAsia="Calibri" w:cs="Calibri"/>
        </w:rPr>
        <w:t xml:space="preserve"> Assessment Tool</w:t>
      </w:r>
      <w:r w:rsidRPr="003A173C">
        <w:rPr>
          <w:rFonts w:eastAsia="Calibri" w:cs="Calibri"/>
        </w:rPr>
        <w:t xml:space="preserve"> (</w:t>
      </w:r>
      <w:r w:rsidR="001800EF" w:rsidRPr="003A173C">
        <w:rPr>
          <w:rFonts w:eastAsia="Calibri" w:cs="Calibri"/>
          <w:b/>
          <w:bCs/>
        </w:rPr>
        <w:t>IAT</w:t>
      </w:r>
      <w:r w:rsidRPr="003A173C">
        <w:rPr>
          <w:rFonts w:eastAsia="Calibri" w:cs="Calibri"/>
        </w:rPr>
        <w:t xml:space="preserve">), which </w:t>
      </w:r>
      <w:r w:rsidR="00664D89" w:rsidRPr="003A173C">
        <w:rPr>
          <w:rFonts w:eastAsia="Calibri" w:cs="Calibri"/>
        </w:rPr>
        <w:t>is</w:t>
      </w:r>
      <w:r w:rsidRPr="003A173C">
        <w:rPr>
          <w:rFonts w:eastAsia="Calibri" w:cs="Calibri"/>
        </w:rPr>
        <w:t xml:space="preserve"> designed to collect consistent information across these dimensions. This information is </w:t>
      </w:r>
      <w:r w:rsidR="00664D89" w:rsidRPr="003A173C">
        <w:rPr>
          <w:rFonts w:eastAsia="Calibri" w:cs="Calibri"/>
        </w:rPr>
        <w:t xml:space="preserve">then </w:t>
      </w:r>
      <w:r w:rsidRPr="003A173C">
        <w:rPr>
          <w:rFonts w:eastAsia="Calibri" w:cs="Calibri"/>
        </w:rPr>
        <w:t>used to develop a Support Plan focussing on the client’s most important areas of concern and recommendations that address the client’s current needs.</w:t>
      </w:r>
    </w:p>
    <w:p w14:paraId="17DB7D8E" w14:textId="28C42FC0" w:rsidR="00B66693" w:rsidRPr="003A173C" w:rsidRDefault="00B66693" w:rsidP="006727E2">
      <w:pPr>
        <w:rPr>
          <w:rFonts w:eastAsia="Calibri" w:cs="Calibri"/>
        </w:rPr>
      </w:pPr>
      <w:r w:rsidRPr="003A173C">
        <w:rPr>
          <w:rFonts w:eastAsia="Calibri" w:cs="Calibri"/>
        </w:rPr>
        <w:t xml:space="preserve">Based on the client’s eligibility </w:t>
      </w:r>
      <w:r w:rsidR="00DB5FF7" w:rsidRPr="003A173C">
        <w:rPr>
          <w:rFonts w:eastAsia="Calibri" w:cs="Calibri"/>
        </w:rPr>
        <w:t xml:space="preserve">in accordance with </w:t>
      </w:r>
      <w:r w:rsidRPr="003A173C">
        <w:rPr>
          <w:rFonts w:eastAsia="Calibri" w:cs="Calibri"/>
        </w:rPr>
        <w:t xml:space="preserve">the Act, </w:t>
      </w:r>
      <w:r w:rsidR="00C52E58" w:rsidRPr="003A173C">
        <w:rPr>
          <w:rFonts w:cs="Calibri"/>
        </w:rPr>
        <w:t>clinical aged care needs assessor</w:t>
      </w:r>
      <w:r w:rsidR="0034319E" w:rsidRPr="003A173C">
        <w:rPr>
          <w:rFonts w:cs="Calibri"/>
        </w:rPr>
        <w:t>s</w:t>
      </w:r>
      <w:r w:rsidR="00C52E58" w:rsidRPr="003A173C" w:rsidDel="00C52E58">
        <w:rPr>
          <w:rFonts w:eastAsia="Calibri" w:cs="Calibri"/>
        </w:rPr>
        <w:t xml:space="preserve"> </w:t>
      </w:r>
      <w:r w:rsidRPr="003A173C">
        <w:rPr>
          <w:rFonts w:eastAsia="Calibri" w:cs="Calibri"/>
        </w:rPr>
        <w:t xml:space="preserve">support the client’s access </w:t>
      </w:r>
      <w:r w:rsidR="00DB5FF7" w:rsidRPr="003A173C">
        <w:rPr>
          <w:rFonts w:eastAsia="Calibri" w:cs="Calibri"/>
        </w:rPr>
        <w:t xml:space="preserve">to </w:t>
      </w:r>
      <w:r w:rsidRPr="003A173C">
        <w:rPr>
          <w:rFonts w:eastAsia="Calibri" w:cs="Calibri"/>
        </w:rPr>
        <w:t xml:space="preserve">the most appropriate aged care services, including </w:t>
      </w:r>
      <w:r w:rsidR="00BF1A5C" w:rsidRPr="003A173C">
        <w:rPr>
          <w:rFonts w:eastAsia="Calibri" w:cs="Calibri"/>
        </w:rPr>
        <w:t>the reco</w:t>
      </w:r>
      <w:r w:rsidR="009A72B7" w:rsidRPr="003A173C">
        <w:rPr>
          <w:rFonts w:eastAsia="Calibri" w:cs="Calibri"/>
        </w:rPr>
        <w:t>mmendation</w:t>
      </w:r>
      <w:r w:rsidRPr="003A173C">
        <w:rPr>
          <w:rFonts w:eastAsia="Calibri" w:cs="Calibri"/>
        </w:rPr>
        <w:t xml:space="preserve"> for residential</w:t>
      </w:r>
      <w:r w:rsidR="00DB5FF7" w:rsidRPr="003A173C">
        <w:rPr>
          <w:rFonts w:eastAsia="Calibri" w:cs="Calibri"/>
        </w:rPr>
        <w:t xml:space="preserve"> care</w:t>
      </w:r>
      <w:r w:rsidRPr="003A173C">
        <w:rPr>
          <w:rFonts w:eastAsia="Calibri" w:cs="Calibri"/>
        </w:rPr>
        <w:t xml:space="preserve">, home care or </w:t>
      </w:r>
      <w:r w:rsidR="0015099E" w:rsidRPr="003A173C">
        <w:rPr>
          <w:rFonts w:eastAsia="Calibri" w:cs="Calibri"/>
        </w:rPr>
        <w:t>specialist aged care</w:t>
      </w:r>
      <w:r w:rsidRPr="003A173C">
        <w:rPr>
          <w:rFonts w:eastAsia="Calibri" w:cs="Calibri"/>
        </w:rPr>
        <w:t xml:space="preserve"> services, such as transition care.</w:t>
      </w:r>
    </w:p>
    <w:p w14:paraId="2D2470E4" w14:textId="3EA9B248" w:rsidR="00663C7E" w:rsidRPr="003A173C" w:rsidRDefault="00B66693" w:rsidP="00663C7E">
      <w:pPr>
        <w:rPr>
          <w:rFonts w:cs="Calibri"/>
          <w:lang w:val="en-US"/>
        </w:rPr>
      </w:pPr>
      <w:r w:rsidRPr="003A173C">
        <w:rPr>
          <w:rFonts w:eastAsia="Calibri" w:cs="Calibri"/>
          <w:spacing w:val="0"/>
          <w:lang w:eastAsia="en-US"/>
        </w:rPr>
        <w:t>When assessing a</w:t>
      </w:r>
      <w:r w:rsidR="0015099E" w:rsidRPr="003A173C">
        <w:rPr>
          <w:rFonts w:eastAsia="Calibri" w:cs="Calibri"/>
          <w:spacing w:val="0"/>
          <w:lang w:eastAsia="en-US"/>
        </w:rPr>
        <w:t>n individual</w:t>
      </w:r>
      <w:r w:rsidRPr="003A173C">
        <w:rPr>
          <w:rFonts w:eastAsia="Calibri" w:cs="Calibri"/>
          <w:spacing w:val="0"/>
          <w:lang w:eastAsia="en-US"/>
        </w:rPr>
        <w:t xml:space="preserve"> for transition care, the assessment must be conducted </w:t>
      </w:r>
      <w:r w:rsidR="00E566EA" w:rsidRPr="003A173C">
        <w:rPr>
          <w:rFonts w:eastAsia="Calibri" w:cs="Calibri"/>
          <w:spacing w:val="0"/>
          <w:lang w:eastAsia="en-US"/>
        </w:rPr>
        <w:t xml:space="preserve">while the client is an admitted patient of </w:t>
      </w:r>
      <w:r w:rsidR="00664D89" w:rsidRPr="003A173C">
        <w:rPr>
          <w:rFonts w:eastAsia="Calibri" w:cs="Calibri"/>
          <w:spacing w:val="0"/>
          <w:lang w:eastAsia="en-US"/>
        </w:rPr>
        <w:t>a</w:t>
      </w:r>
      <w:r w:rsidRPr="003A173C">
        <w:rPr>
          <w:rFonts w:eastAsia="Calibri" w:cs="Calibri"/>
          <w:spacing w:val="0"/>
          <w:lang w:eastAsia="en-US"/>
        </w:rPr>
        <w:t xml:space="preserve"> hospital</w:t>
      </w:r>
      <w:r w:rsidR="00664D89" w:rsidRPr="003A173C">
        <w:rPr>
          <w:rFonts w:eastAsia="Calibri" w:cs="Calibri"/>
          <w:spacing w:val="0"/>
          <w:lang w:eastAsia="en-US"/>
        </w:rPr>
        <w:t>,</w:t>
      </w:r>
      <w:r w:rsidRPr="003A173C">
        <w:rPr>
          <w:rFonts w:eastAsia="Calibri" w:cs="Calibri"/>
          <w:spacing w:val="0"/>
          <w:lang w:eastAsia="en-US"/>
        </w:rPr>
        <w:t xml:space="preserve"> medically stable and ready for discharge. The </w:t>
      </w:r>
      <w:r w:rsidR="009A72B7" w:rsidRPr="003A173C">
        <w:rPr>
          <w:rFonts w:cs="Calibri"/>
        </w:rPr>
        <w:t>clinical aged care needs assessor</w:t>
      </w:r>
      <w:r w:rsidR="009A72B7" w:rsidRPr="003A173C" w:rsidDel="009A72B7">
        <w:rPr>
          <w:rFonts w:eastAsia="Calibri" w:cs="Calibri"/>
          <w:spacing w:val="0"/>
          <w:lang w:eastAsia="en-US"/>
        </w:rPr>
        <w:t xml:space="preserve"> </w:t>
      </w:r>
      <w:r w:rsidR="00291BB7" w:rsidRPr="003A173C">
        <w:rPr>
          <w:rFonts w:eastAsia="Calibri" w:cs="Calibri"/>
          <w:spacing w:val="0"/>
          <w:lang w:eastAsia="en-US"/>
        </w:rPr>
        <w:t>must</w:t>
      </w:r>
      <w:r w:rsidRPr="003A173C">
        <w:rPr>
          <w:rFonts w:eastAsia="Calibri" w:cs="Calibri"/>
          <w:spacing w:val="0"/>
          <w:lang w:eastAsia="en-US"/>
        </w:rPr>
        <w:t xml:space="preserve"> consult with the hospital geriatric rehabilitation service or equivalent, or members of the treating multidisciplinary team including a registered nurse, physician, occupational therapist, physiotherapist, speech therapist or social worker.</w:t>
      </w:r>
      <w:r w:rsidR="00A17A22" w:rsidRPr="003A173C">
        <w:rPr>
          <w:rFonts w:eastAsia="Calibri" w:cs="Calibri"/>
          <w:spacing w:val="0"/>
          <w:lang w:eastAsia="en-US"/>
        </w:rPr>
        <w:t xml:space="preserve"> </w:t>
      </w:r>
      <w:r w:rsidR="00663C7E" w:rsidRPr="003A173C">
        <w:rPr>
          <w:rFonts w:cs="Calibri"/>
          <w:lang w:val="en-US"/>
        </w:rPr>
        <w:t xml:space="preserve">The </w:t>
      </w:r>
      <w:r w:rsidR="0034319E" w:rsidRPr="003A173C">
        <w:rPr>
          <w:rFonts w:cs="Calibri"/>
          <w:lang w:val="en-US"/>
        </w:rPr>
        <w:t xml:space="preserve">My Aged Care </w:t>
      </w:r>
      <w:r w:rsidR="00663C7E" w:rsidRPr="003A173C">
        <w:rPr>
          <w:rFonts w:cs="Calibri"/>
          <w:lang w:val="en-US"/>
        </w:rPr>
        <w:t>Assessment Manual sets out guidance for assessors in providing older people with person-</w:t>
      </w:r>
      <w:r w:rsidR="0034319E" w:rsidRPr="003A173C">
        <w:rPr>
          <w:rFonts w:cs="Calibri"/>
          <w:lang w:val="en-US"/>
        </w:rPr>
        <w:t>cent</w:t>
      </w:r>
      <w:r w:rsidR="00614547" w:rsidRPr="003A173C">
        <w:rPr>
          <w:rFonts w:cs="Calibri"/>
          <w:lang w:val="en-US"/>
        </w:rPr>
        <w:t>e</w:t>
      </w:r>
      <w:r w:rsidR="0034319E" w:rsidRPr="003A173C">
        <w:rPr>
          <w:rFonts w:cs="Calibri"/>
          <w:lang w:val="en-US"/>
        </w:rPr>
        <w:t>red</w:t>
      </w:r>
      <w:r w:rsidR="00663C7E" w:rsidRPr="003A173C">
        <w:rPr>
          <w:rFonts w:cs="Calibri"/>
          <w:lang w:val="en-US"/>
        </w:rPr>
        <w:t xml:space="preserve"> aged care assessments and services as required under the Statement of Principes at section 25 of the Act. </w:t>
      </w:r>
      <w:r w:rsidR="00C52C1A" w:rsidRPr="003A173C">
        <w:rPr>
          <w:rFonts w:cs="Calibri"/>
          <w:lang w:val="en-US"/>
        </w:rPr>
        <w:t xml:space="preserve">Under this section, the aged care system is to offer </w:t>
      </w:r>
      <w:r w:rsidR="00663C7E" w:rsidRPr="003A173C">
        <w:rPr>
          <w:rFonts w:cs="Calibri"/>
          <w:lang w:val="en-US"/>
        </w:rPr>
        <w:t>accessible, culturally safe, culturally appropriate, trauma-aware and healing-informed aged care services, if required by an individual and based on the needs of the individual, regardless of their location, background and life experiences. This may include individuals who:</w:t>
      </w:r>
    </w:p>
    <w:p w14:paraId="6A0BAAC6" w14:textId="2A059EDA" w:rsidR="00663C7E" w:rsidRPr="003A173C" w:rsidRDefault="00663C7E" w:rsidP="00FA34AC">
      <w:pPr>
        <w:pStyle w:val="ListBullet"/>
      </w:pPr>
      <w:r w:rsidRPr="003A173C">
        <w:t>are Aboriginal or Torres Strait Islander persons, including those from stolen generations</w:t>
      </w:r>
      <w:r w:rsidR="0034319E" w:rsidRPr="003A173C">
        <w:t>;</w:t>
      </w:r>
    </w:p>
    <w:p w14:paraId="5CA366DD" w14:textId="34ABDFCC" w:rsidR="00663C7E" w:rsidRPr="003A173C" w:rsidRDefault="00663C7E" w:rsidP="00FA34AC">
      <w:pPr>
        <w:pStyle w:val="ListBullet"/>
      </w:pPr>
      <w:r w:rsidRPr="003A173C">
        <w:t>are veterans or war widows</w:t>
      </w:r>
      <w:r w:rsidR="0034319E" w:rsidRPr="003A173C">
        <w:t>;</w:t>
      </w:r>
    </w:p>
    <w:p w14:paraId="03AE0C92" w14:textId="40B55D57" w:rsidR="00663C7E" w:rsidRPr="003A173C" w:rsidRDefault="00663C7E" w:rsidP="00FA34AC">
      <w:pPr>
        <w:pStyle w:val="ListBullet"/>
      </w:pPr>
      <w:r w:rsidRPr="003A173C">
        <w:t>are from culturally, ethnically and linguistically diverse backgrounds</w:t>
      </w:r>
      <w:r w:rsidR="0034319E" w:rsidRPr="003A173C">
        <w:t>;</w:t>
      </w:r>
    </w:p>
    <w:p w14:paraId="4725002D" w14:textId="08CAB058" w:rsidR="00663C7E" w:rsidRPr="003A173C" w:rsidRDefault="00663C7E" w:rsidP="00FA34AC">
      <w:pPr>
        <w:pStyle w:val="ListBullet"/>
      </w:pPr>
      <w:r w:rsidRPr="003A173C">
        <w:t>are financially or socially disadvantaged</w:t>
      </w:r>
      <w:r w:rsidR="0034319E" w:rsidRPr="003A173C">
        <w:t>;</w:t>
      </w:r>
    </w:p>
    <w:p w14:paraId="71848E98" w14:textId="62DBDC5C" w:rsidR="00663C7E" w:rsidRPr="003A173C" w:rsidRDefault="00663C7E" w:rsidP="00FA34AC">
      <w:pPr>
        <w:pStyle w:val="ListBullet"/>
      </w:pPr>
      <w:r w:rsidRPr="003A173C">
        <w:t>are experiencing homelessness or at risk of experiencing homelessness</w:t>
      </w:r>
      <w:r w:rsidR="0034319E" w:rsidRPr="003A173C">
        <w:t>;</w:t>
      </w:r>
    </w:p>
    <w:p w14:paraId="055F4BAB" w14:textId="27A19EB3" w:rsidR="00663C7E" w:rsidRPr="003A173C" w:rsidRDefault="00663C7E" w:rsidP="00FA34AC">
      <w:pPr>
        <w:pStyle w:val="ListBullet"/>
      </w:pPr>
      <w:r w:rsidRPr="003A173C">
        <w:t>are parents and children who are separated by forced adoption or removal</w:t>
      </w:r>
      <w:r w:rsidR="0034319E" w:rsidRPr="003A173C">
        <w:t>;</w:t>
      </w:r>
    </w:p>
    <w:p w14:paraId="33E688B5" w14:textId="7E51F45E" w:rsidR="00663C7E" w:rsidRPr="003A173C" w:rsidRDefault="00663C7E" w:rsidP="00FA34AC">
      <w:pPr>
        <w:pStyle w:val="ListBullet"/>
      </w:pPr>
      <w:r w:rsidRPr="003A173C">
        <w:t>are adult survivors of institutional child sexual abuse</w:t>
      </w:r>
      <w:r w:rsidR="0034319E" w:rsidRPr="003A173C">
        <w:t>;</w:t>
      </w:r>
    </w:p>
    <w:p w14:paraId="2E175A54" w14:textId="2918B4F5" w:rsidR="00663C7E" w:rsidRPr="003A173C" w:rsidRDefault="00663C7E" w:rsidP="00FA34AC">
      <w:pPr>
        <w:pStyle w:val="ListBullet"/>
      </w:pPr>
      <w:r w:rsidRPr="003A173C">
        <w:t>are care-leavers, including Forgotten Australians and former child migrants placed in out of home care</w:t>
      </w:r>
      <w:r w:rsidR="0034319E" w:rsidRPr="003A173C">
        <w:t>;</w:t>
      </w:r>
    </w:p>
    <w:p w14:paraId="50F1026F" w14:textId="33E2E9C1" w:rsidR="00663C7E" w:rsidRPr="003A173C" w:rsidRDefault="00663C7E" w:rsidP="00FA34AC">
      <w:pPr>
        <w:pStyle w:val="ListBullet"/>
      </w:pPr>
      <w:r w:rsidRPr="003A173C">
        <w:t>are lesbian, gay, bisexual, trans/transgender or intersex or other sexual orientations or are gender diverse or bodily diverse</w:t>
      </w:r>
      <w:r w:rsidR="0034319E" w:rsidRPr="003A173C">
        <w:t>;</w:t>
      </w:r>
    </w:p>
    <w:p w14:paraId="48F745D3" w14:textId="232E6748" w:rsidR="00663C7E" w:rsidRPr="003A173C" w:rsidRDefault="00663C7E" w:rsidP="00FA34AC">
      <w:pPr>
        <w:pStyle w:val="ListBullet"/>
      </w:pPr>
      <w:r w:rsidRPr="003A173C">
        <w:t>are an individual with disability or mental ill-health</w:t>
      </w:r>
      <w:r w:rsidR="0034319E" w:rsidRPr="003A173C">
        <w:t>;</w:t>
      </w:r>
    </w:p>
    <w:p w14:paraId="513E7FE6" w14:textId="463D0AA6" w:rsidR="00663C7E" w:rsidRPr="003A173C" w:rsidRDefault="00663C7E" w:rsidP="00FA34AC">
      <w:pPr>
        <w:pStyle w:val="ListBullet"/>
      </w:pPr>
      <w:r w:rsidRPr="003A173C">
        <w:t>are neurodivergent</w:t>
      </w:r>
      <w:r w:rsidR="0034319E" w:rsidRPr="003A173C">
        <w:t>;</w:t>
      </w:r>
    </w:p>
    <w:p w14:paraId="65BD88FF" w14:textId="2ECE65D0" w:rsidR="00663C7E" w:rsidRPr="003A173C" w:rsidRDefault="00663C7E" w:rsidP="00FA34AC">
      <w:pPr>
        <w:pStyle w:val="ListBullet"/>
      </w:pPr>
      <w:r w:rsidRPr="003A173C">
        <w:t>are deaf, deafblind, vision impaired or hard of hearing</w:t>
      </w:r>
      <w:r w:rsidR="0034319E" w:rsidRPr="003A173C">
        <w:t>;</w:t>
      </w:r>
    </w:p>
    <w:p w14:paraId="333D94CD" w14:textId="77777777" w:rsidR="00663C7E" w:rsidRPr="003A173C" w:rsidRDefault="00663C7E" w:rsidP="00FA34AC">
      <w:pPr>
        <w:pStyle w:val="ListBullet"/>
      </w:pPr>
      <w:r w:rsidRPr="003A173C">
        <w:t>live in rural, remote or very remote areas.</w:t>
      </w:r>
    </w:p>
    <w:p w14:paraId="5C82411B" w14:textId="083BDB0E" w:rsidR="00663C7E" w:rsidRPr="006F427B" w:rsidRDefault="00C52C1A" w:rsidP="00663C7E">
      <w:pPr>
        <w:rPr>
          <w:rFonts w:cs="Calibri"/>
          <w:szCs w:val="20"/>
        </w:rPr>
      </w:pPr>
      <w:r w:rsidRPr="006F427B">
        <w:rPr>
          <w:rFonts w:cs="Calibri"/>
          <w:szCs w:val="20"/>
        </w:rPr>
        <w:t>I</w:t>
      </w:r>
      <w:r w:rsidR="00663C7E" w:rsidRPr="006F427B">
        <w:rPr>
          <w:rFonts w:cs="Calibri"/>
          <w:szCs w:val="20"/>
        </w:rPr>
        <w:t xml:space="preserve">ndividuals may identify across more than one group and may have a variety of special and diverse needs that will need to be recognised and taken into consideration. This includes consideration of groups not noted under the </w:t>
      </w:r>
      <w:r w:rsidR="0034319E" w:rsidRPr="006F427B">
        <w:rPr>
          <w:rFonts w:cs="Calibri"/>
          <w:szCs w:val="20"/>
        </w:rPr>
        <w:t>Act</w:t>
      </w:r>
      <w:r w:rsidR="00663C7E" w:rsidRPr="006F427B">
        <w:rPr>
          <w:rFonts w:cs="Calibri"/>
          <w:szCs w:val="20"/>
        </w:rPr>
        <w:t>.</w:t>
      </w:r>
      <w:r w:rsidR="00BA1DCD" w:rsidRPr="006F427B">
        <w:rPr>
          <w:rFonts w:cs="Calibri"/>
          <w:szCs w:val="20"/>
        </w:rPr>
        <w:t xml:space="preserve"> Refer to Chapter 10 of the </w:t>
      </w:r>
      <w:hyperlink r:id="rId39" w:history="1">
        <w:r w:rsidR="00382749" w:rsidRPr="006F427B">
          <w:rPr>
            <w:rStyle w:val="Hyperlink"/>
            <w:rFonts w:ascii="Calibri" w:hAnsi="Calibri" w:cs="Calibri"/>
            <w:sz w:val="20"/>
            <w:szCs w:val="20"/>
          </w:rPr>
          <w:t xml:space="preserve">My Aged Care </w:t>
        </w:r>
        <w:r w:rsidR="00BA1DCD" w:rsidRPr="006F427B">
          <w:rPr>
            <w:rStyle w:val="Hyperlink"/>
            <w:rFonts w:ascii="Calibri" w:hAnsi="Calibri" w:cs="Calibri"/>
            <w:sz w:val="20"/>
            <w:szCs w:val="20"/>
          </w:rPr>
          <w:t>Assessment Manual</w:t>
        </w:r>
      </w:hyperlink>
      <w:r w:rsidR="00BA1DCD" w:rsidRPr="006F427B">
        <w:rPr>
          <w:rFonts w:cs="Calibri"/>
          <w:szCs w:val="20"/>
        </w:rPr>
        <w:t xml:space="preserve"> for further guidance on the </w:t>
      </w:r>
      <w:r w:rsidR="00382749" w:rsidRPr="006F427B">
        <w:rPr>
          <w:rFonts w:cs="Calibri"/>
          <w:szCs w:val="20"/>
        </w:rPr>
        <w:t xml:space="preserve">requirements </w:t>
      </w:r>
      <w:r w:rsidR="00BA1DCD" w:rsidRPr="006F427B">
        <w:rPr>
          <w:rFonts w:cs="Calibri"/>
          <w:szCs w:val="20"/>
        </w:rPr>
        <w:t>for</w:t>
      </w:r>
      <w:r w:rsidR="00382749" w:rsidRPr="006F427B">
        <w:rPr>
          <w:rFonts w:cs="Calibri"/>
          <w:szCs w:val="20"/>
        </w:rPr>
        <w:t xml:space="preserve"> undertaking </w:t>
      </w:r>
      <w:r w:rsidR="00BA1DCD" w:rsidRPr="006F427B">
        <w:rPr>
          <w:rFonts w:cs="Calibri"/>
          <w:szCs w:val="20"/>
        </w:rPr>
        <w:t xml:space="preserve">aged care needs </w:t>
      </w:r>
      <w:r w:rsidR="00382749" w:rsidRPr="006F427B">
        <w:rPr>
          <w:rFonts w:cs="Calibri"/>
          <w:szCs w:val="20"/>
        </w:rPr>
        <w:t xml:space="preserve">assessments </w:t>
      </w:r>
      <w:r w:rsidR="00BA1DCD" w:rsidRPr="006F427B">
        <w:rPr>
          <w:rFonts w:cs="Calibri"/>
          <w:szCs w:val="20"/>
        </w:rPr>
        <w:t>for</w:t>
      </w:r>
      <w:r w:rsidR="00382749" w:rsidRPr="006F427B">
        <w:rPr>
          <w:rFonts w:cs="Calibri"/>
          <w:szCs w:val="20"/>
        </w:rPr>
        <w:t xml:space="preserve"> older people with diverse needs and </w:t>
      </w:r>
      <w:r w:rsidR="0034319E" w:rsidRPr="006F427B">
        <w:rPr>
          <w:rFonts w:cs="Calibri"/>
          <w:szCs w:val="20"/>
        </w:rPr>
        <w:t>life experiences</w:t>
      </w:r>
      <w:r w:rsidR="00382749" w:rsidRPr="006F427B">
        <w:rPr>
          <w:rFonts w:cs="Calibri"/>
          <w:szCs w:val="20"/>
        </w:rPr>
        <w:t>.</w:t>
      </w:r>
    </w:p>
    <w:p w14:paraId="7AA64AEC" w14:textId="20F00063" w:rsidR="001277C3" w:rsidRPr="006F427B" w:rsidRDefault="00B66693" w:rsidP="000F25B7">
      <w:pPr>
        <w:rPr>
          <w:rFonts w:eastAsia="Calibri" w:cs="Calibri"/>
          <w:szCs w:val="20"/>
          <w:lang w:eastAsia="en-US"/>
        </w:rPr>
      </w:pPr>
      <w:r w:rsidRPr="006F427B">
        <w:rPr>
          <w:rFonts w:eastAsia="Calibri" w:cs="Calibri"/>
          <w:szCs w:val="20"/>
          <w:lang w:eastAsia="en-US"/>
        </w:rPr>
        <w:t xml:space="preserve">Additionally, </w:t>
      </w:r>
      <w:r w:rsidR="009A72B7" w:rsidRPr="006F427B">
        <w:rPr>
          <w:rFonts w:cs="Calibri"/>
          <w:szCs w:val="20"/>
        </w:rPr>
        <w:t>clinical aged care needs assessor</w:t>
      </w:r>
      <w:r w:rsidRPr="006F427B">
        <w:rPr>
          <w:rFonts w:eastAsia="Calibri" w:cs="Calibri"/>
          <w:szCs w:val="20"/>
          <w:lang w:eastAsia="en-US"/>
        </w:rPr>
        <w:t xml:space="preserve"> </w:t>
      </w:r>
      <w:r w:rsidR="00664D89" w:rsidRPr="006F427B">
        <w:rPr>
          <w:rFonts w:eastAsia="Calibri" w:cs="Calibri"/>
          <w:szCs w:val="20"/>
          <w:lang w:eastAsia="en-US"/>
        </w:rPr>
        <w:t>must</w:t>
      </w:r>
      <w:r w:rsidRPr="006F427B">
        <w:rPr>
          <w:rFonts w:eastAsia="Calibri" w:cs="Calibri"/>
          <w:szCs w:val="20"/>
          <w:lang w:eastAsia="en-US"/>
        </w:rPr>
        <w:t xml:space="preserve"> </w:t>
      </w:r>
      <w:r w:rsidR="0064270C" w:rsidRPr="006F427B">
        <w:rPr>
          <w:rFonts w:eastAsia="Calibri" w:cs="Calibri"/>
          <w:szCs w:val="20"/>
          <w:lang w:eastAsia="en-US"/>
        </w:rPr>
        <w:t>consider</w:t>
      </w:r>
      <w:r w:rsidRPr="006F427B">
        <w:rPr>
          <w:rFonts w:eastAsia="Calibri" w:cs="Calibri"/>
          <w:szCs w:val="20"/>
          <w:lang w:eastAsia="en-US"/>
        </w:rPr>
        <w:t xml:space="preserve"> the </w:t>
      </w:r>
      <w:r w:rsidR="006C31FA" w:rsidRPr="006F427B">
        <w:rPr>
          <w:rFonts w:eastAsia="Calibri" w:cs="Calibri"/>
          <w:szCs w:val="20"/>
          <w:lang w:eastAsia="en-US"/>
        </w:rPr>
        <w:t>needs of clients with dementi</w:t>
      </w:r>
      <w:r w:rsidR="00382749" w:rsidRPr="006F427B">
        <w:rPr>
          <w:rFonts w:eastAsia="Calibri" w:cs="Calibri"/>
          <w:szCs w:val="20"/>
          <w:lang w:eastAsia="en-US"/>
        </w:rPr>
        <w:t xml:space="preserve">a – please refer to section 10.1.13 of the My Aged Care Assessment Manual.  </w:t>
      </w:r>
    </w:p>
    <w:p w14:paraId="5895464E" w14:textId="324B8B2A" w:rsidR="00B66693" w:rsidRPr="006F427B" w:rsidRDefault="00B66693" w:rsidP="000F25B7">
      <w:pPr>
        <w:rPr>
          <w:rFonts w:eastAsia="Calibri" w:cs="Calibri"/>
          <w:szCs w:val="20"/>
          <w:lang w:eastAsia="en-US"/>
        </w:rPr>
      </w:pPr>
      <w:r w:rsidRPr="006F427B">
        <w:rPr>
          <w:rFonts w:eastAsia="Calibri" w:cs="Calibri"/>
          <w:szCs w:val="20"/>
          <w:lang w:eastAsia="en-US"/>
        </w:rPr>
        <w:t xml:space="preserve">After conducting a comprehensive assessment, </w:t>
      </w:r>
      <w:r w:rsidR="0040065F" w:rsidRPr="006F427B">
        <w:rPr>
          <w:rFonts w:eastAsia="Calibri" w:cs="Calibri"/>
          <w:szCs w:val="20"/>
          <w:lang w:eastAsia="en-US"/>
        </w:rPr>
        <w:t>a</w:t>
      </w:r>
      <w:r w:rsidR="00355A1B" w:rsidRPr="006F427B">
        <w:rPr>
          <w:rFonts w:eastAsia="Calibri" w:cs="Calibri"/>
          <w:szCs w:val="20"/>
          <w:lang w:eastAsia="en-US"/>
        </w:rPr>
        <w:t xml:space="preserve"> </w:t>
      </w:r>
      <w:r w:rsidR="00FF4B7B" w:rsidRPr="006F427B">
        <w:rPr>
          <w:rFonts w:cs="Calibri"/>
          <w:szCs w:val="20"/>
        </w:rPr>
        <w:t>clinical aged care needs assessor</w:t>
      </w:r>
      <w:r w:rsidR="00FF4B7B" w:rsidRPr="006F427B" w:rsidDel="00FF4B7B">
        <w:rPr>
          <w:rFonts w:eastAsia="Calibri" w:cs="Calibri"/>
          <w:szCs w:val="20"/>
          <w:lang w:eastAsia="en-US"/>
        </w:rPr>
        <w:t xml:space="preserve"> </w:t>
      </w:r>
      <w:r w:rsidRPr="006F427B">
        <w:rPr>
          <w:rFonts w:eastAsia="Calibri" w:cs="Calibri"/>
          <w:szCs w:val="20"/>
          <w:lang w:eastAsia="en-US"/>
        </w:rPr>
        <w:t xml:space="preserve">will send their assessment findings and recommendations to the </w:t>
      </w:r>
      <w:r w:rsidR="00950C6A" w:rsidRPr="006F427B">
        <w:rPr>
          <w:rFonts w:eastAsia="Calibri" w:cs="Calibri"/>
          <w:szCs w:val="20"/>
          <w:lang w:eastAsia="en-US"/>
        </w:rPr>
        <w:t>assessment</w:t>
      </w:r>
      <w:r w:rsidR="00911623" w:rsidRPr="006F427B">
        <w:rPr>
          <w:rFonts w:eastAsia="Calibri" w:cs="Calibri"/>
          <w:szCs w:val="20"/>
          <w:lang w:eastAsia="en-US"/>
        </w:rPr>
        <w:t xml:space="preserve"> </w:t>
      </w:r>
      <w:r w:rsidR="00CA0969" w:rsidRPr="006F427B">
        <w:rPr>
          <w:rFonts w:eastAsia="Calibri" w:cs="Calibri"/>
          <w:szCs w:val="20"/>
          <w:lang w:eastAsia="en-US"/>
        </w:rPr>
        <w:t>d</w:t>
      </w:r>
      <w:r w:rsidRPr="006F427B">
        <w:rPr>
          <w:rFonts w:eastAsia="Calibri" w:cs="Calibri"/>
          <w:szCs w:val="20"/>
          <w:lang w:eastAsia="en-US"/>
        </w:rPr>
        <w:t>elegate</w:t>
      </w:r>
      <w:r w:rsidR="005808DF" w:rsidRPr="006F427B">
        <w:rPr>
          <w:rFonts w:eastAsia="Calibri" w:cs="Calibri"/>
          <w:szCs w:val="20"/>
          <w:lang w:eastAsia="en-US"/>
        </w:rPr>
        <w:t>, within the assessment organisation,</w:t>
      </w:r>
      <w:r w:rsidR="0069333C" w:rsidRPr="006F427B">
        <w:rPr>
          <w:rFonts w:eastAsia="Calibri" w:cs="Calibri"/>
          <w:szCs w:val="20"/>
          <w:lang w:eastAsia="en-US"/>
        </w:rPr>
        <w:t xml:space="preserve"> who will t</w:t>
      </w:r>
      <w:r w:rsidR="00F5226E" w:rsidRPr="006F427B">
        <w:rPr>
          <w:rFonts w:eastAsia="Calibri" w:cs="Calibri"/>
          <w:szCs w:val="20"/>
          <w:lang w:eastAsia="en-US"/>
        </w:rPr>
        <w:t>h</w:t>
      </w:r>
      <w:r w:rsidR="0069333C" w:rsidRPr="006F427B">
        <w:rPr>
          <w:rFonts w:eastAsia="Calibri" w:cs="Calibri"/>
          <w:szCs w:val="20"/>
          <w:lang w:eastAsia="en-US"/>
        </w:rPr>
        <w:t>en make a formal decision</w:t>
      </w:r>
      <w:r w:rsidR="005808DF" w:rsidRPr="006F427B">
        <w:rPr>
          <w:rFonts w:eastAsia="Calibri" w:cs="Calibri"/>
          <w:szCs w:val="20"/>
          <w:lang w:eastAsia="en-US"/>
        </w:rPr>
        <w:t xml:space="preserve"> as a delegate of the System Governor under the Act.</w:t>
      </w:r>
      <w:r w:rsidRPr="006F427B">
        <w:rPr>
          <w:rFonts w:eastAsia="Calibri" w:cs="Calibri"/>
          <w:szCs w:val="20"/>
          <w:lang w:eastAsia="en-US"/>
        </w:rPr>
        <w:t xml:space="preserve"> Where a care type under the Act is identified as the most appropriate type of support to meet the client’s needs, and the client meets the eligibility criteria, the </w:t>
      </w:r>
      <w:r w:rsidR="00CA0969" w:rsidRPr="006F427B">
        <w:rPr>
          <w:rFonts w:cs="Calibri"/>
          <w:szCs w:val="20"/>
        </w:rPr>
        <w:t>clinical aged care needs assessor</w:t>
      </w:r>
      <w:r w:rsidR="00CA0969" w:rsidRPr="006F427B" w:rsidDel="00CA0969">
        <w:rPr>
          <w:rFonts w:eastAsia="Calibri" w:cs="Calibri"/>
          <w:szCs w:val="20"/>
          <w:lang w:eastAsia="en-US"/>
        </w:rPr>
        <w:t xml:space="preserve"> </w:t>
      </w:r>
      <w:r w:rsidRPr="006F427B">
        <w:rPr>
          <w:rFonts w:eastAsia="Calibri" w:cs="Calibri"/>
          <w:szCs w:val="20"/>
          <w:lang w:eastAsia="en-US"/>
        </w:rPr>
        <w:t xml:space="preserve">will recommend this to 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00DF58E9" w:rsidRPr="006F427B">
        <w:rPr>
          <w:rFonts w:eastAsia="Calibri" w:cs="Calibri"/>
          <w:szCs w:val="20"/>
          <w:lang w:eastAsia="en-US"/>
        </w:rPr>
        <w:t>elegate</w:t>
      </w:r>
      <w:r w:rsidRPr="006F427B">
        <w:rPr>
          <w:rFonts w:eastAsia="Calibri" w:cs="Calibri"/>
          <w:szCs w:val="20"/>
          <w:lang w:eastAsia="en-US"/>
        </w:rPr>
        <w:t>.</w:t>
      </w:r>
    </w:p>
    <w:p w14:paraId="71B700DD" w14:textId="403E6715"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CA0969" w:rsidRPr="006F427B">
        <w:rPr>
          <w:rFonts w:eastAsia="Calibri" w:cs="Calibri"/>
          <w:szCs w:val="20"/>
          <w:lang w:eastAsia="en-US"/>
        </w:rPr>
        <w:t>a</w:t>
      </w:r>
      <w:r w:rsidR="000E4868" w:rsidRPr="006F427B">
        <w:rPr>
          <w:rFonts w:eastAsia="Calibri" w:cs="Calibri"/>
          <w:szCs w:val="20"/>
          <w:lang w:eastAsia="en-US"/>
        </w:rPr>
        <w:t xml:space="preserve">ssessment </w:t>
      </w:r>
      <w:r w:rsidR="00CA0969" w:rsidRPr="006F427B">
        <w:rPr>
          <w:rFonts w:eastAsia="Calibri" w:cs="Calibri"/>
          <w:szCs w:val="20"/>
          <w:lang w:eastAsia="en-US"/>
        </w:rPr>
        <w:t>d</w:t>
      </w:r>
      <w:r w:rsidRPr="006F427B">
        <w:rPr>
          <w:rFonts w:eastAsia="Calibri" w:cs="Calibri"/>
          <w:szCs w:val="20"/>
          <w:lang w:eastAsia="en-US"/>
        </w:rPr>
        <w:t xml:space="preserve">elegate will notify the client of the decision to approve or not approve them </w:t>
      </w:r>
      <w:r w:rsidR="00DA55DF" w:rsidRPr="006F427B">
        <w:rPr>
          <w:rFonts w:eastAsia="Calibri" w:cs="Calibri"/>
          <w:szCs w:val="20"/>
          <w:lang w:eastAsia="en-US"/>
        </w:rPr>
        <w:t xml:space="preserve">for transition care </w:t>
      </w:r>
      <w:r w:rsidRPr="006F427B">
        <w:rPr>
          <w:rFonts w:eastAsia="Calibri" w:cs="Calibri"/>
          <w:szCs w:val="20"/>
          <w:lang w:eastAsia="en-US"/>
        </w:rPr>
        <w:t xml:space="preserve">and if </w:t>
      </w:r>
      <w:r w:rsidR="00DA55DF" w:rsidRPr="006F427B">
        <w:rPr>
          <w:rFonts w:eastAsia="Calibri" w:cs="Calibri"/>
          <w:szCs w:val="20"/>
          <w:lang w:eastAsia="en-US"/>
        </w:rPr>
        <w:t xml:space="preserve">approved </w:t>
      </w:r>
      <w:r w:rsidRPr="006F427B">
        <w:rPr>
          <w:rFonts w:eastAsia="Calibri" w:cs="Calibri"/>
          <w:szCs w:val="20"/>
          <w:lang w:eastAsia="en-US"/>
        </w:rPr>
        <w:t xml:space="preserve">eligible, the </w:t>
      </w:r>
      <w:r w:rsidR="00CA0969" w:rsidRPr="006F427B">
        <w:rPr>
          <w:rFonts w:cs="Calibri"/>
          <w:szCs w:val="20"/>
        </w:rPr>
        <w:t>clinical aged care needs assessor</w:t>
      </w:r>
      <w:r w:rsidRPr="006F427B">
        <w:rPr>
          <w:rFonts w:eastAsia="Calibri" w:cs="Calibri"/>
          <w:szCs w:val="20"/>
          <w:lang w:eastAsia="en-US"/>
        </w:rPr>
        <w:t xml:space="preserve"> will provide the client with information about </w:t>
      </w:r>
      <w:r w:rsidR="00DA55DF" w:rsidRPr="006F427B">
        <w:rPr>
          <w:rFonts w:eastAsia="Calibri" w:cs="Calibri"/>
          <w:szCs w:val="20"/>
          <w:lang w:eastAsia="en-US"/>
        </w:rPr>
        <w:t xml:space="preserve">the relevant </w:t>
      </w:r>
      <w:r w:rsidRPr="006F427B">
        <w:rPr>
          <w:rFonts w:eastAsia="Calibri" w:cs="Calibri"/>
          <w:szCs w:val="20"/>
          <w:lang w:eastAsia="en-US"/>
        </w:rPr>
        <w:t>aged care services and make the necessary referrals to an appropriate</w:t>
      </w:r>
      <w:r w:rsidR="005808DF" w:rsidRPr="006F427B">
        <w:rPr>
          <w:rFonts w:eastAsia="Calibri" w:cs="Calibri"/>
          <w:szCs w:val="20"/>
          <w:lang w:eastAsia="en-US"/>
        </w:rPr>
        <w:t xml:space="preserve"> aged care</w:t>
      </w:r>
      <w:r w:rsidRPr="006F427B">
        <w:rPr>
          <w:rFonts w:eastAsia="Calibri" w:cs="Calibri"/>
          <w:szCs w:val="20"/>
          <w:lang w:eastAsia="en-US"/>
        </w:rPr>
        <w:t xml:space="preserve"> service provider</w:t>
      </w:r>
      <w:r w:rsidR="005808DF" w:rsidRPr="006F427B">
        <w:rPr>
          <w:rFonts w:eastAsia="Calibri" w:cs="Calibri"/>
          <w:szCs w:val="20"/>
          <w:lang w:eastAsia="en-US"/>
        </w:rPr>
        <w:t xml:space="preserve">s </w:t>
      </w:r>
      <w:r w:rsidR="00DA55DF" w:rsidRPr="006F427B">
        <w:rPr>
          <w:rFonts w:eastAsia="Calibri" w:cs="Calibri"/>
          <w:szCs w:val="20"/>
          <w:lang w:eastAsia="en-US"/>
        </w:rPr>
        <w:t>(</w:t>
      </w:r>
      <w:r w:rsidR="005808DF" w:rsidRPr="006F427B">
        <w:rPr>
          <w:rFonts w:eastAsia="Calibri" w:cs="Calibri"/>
          <w:szCs w:val="20"/>
          <w:lang w:eastAsia="en-US"/>
        </w:rPr>
        <w:t>or registered providers</w:t>
      </w:r>
      <w:r w:rsidR="00DA55DF" w:rsidRPr="006F427B">
        <w:rPr>
          <w:rFonts w:eastAsia="Calibri" w:cs="Calibri"/>
          <w:szCs w:val="20"/>
          <w:lang w:eastAsia="en-US"/>
        </w:rPr>
        <w:t>)</w:t>
      </w:r>
      <w:r w:rsidRPr="006F427B">
        <w:rPr>
          <w:rFonts w:eastAsia="Calibri" w:cs="Calibri"/>
          <w:szCs w:val="20"/>
          <w:lang w:eastAsia="en-US"/>
        </w:rPr>
        <w:t xml:space="preserve"> through the My Aged Care system or by issuing a referral code to the </w:t>
      </w:r>
      <w:r w:rsidR="005808DF" w:rsidRPr="006F427B">
        <w:rPr>
          <w:rFonts w:eastAsia="Calibri" w:cs="Calibri"/>
          <w:szCs w:val="20"/>
          <w:lang w:eastAsia="en-US"/>
        </w:rPr>
        <w:t>individual</w:t>
      </w:r>
      <w:r w:rsidRPr="006F427B">
        <w:rPr>
          <w:rFonts w:eastAsia="Calibri" w:cs="Calibri"/>
          <w:szCs w:val="20"/>
          <w:lang w:eastAsia="en-US"/>
        </w:rPr>
        <w:t>. The referral code enables potential s</w:t>
      </w:r>
      <w:r w:rsidR="00CD4746" w:rsidRPr="006F427B">
        <w:rPr>
          <w:rFonts w:eastAsia="Calibri" w:cs="Calibri"/>
          <w:szCs w:val="20"/>
          <w:lang w:eastAsia="en-US"/>
        </w:rPr>
        <w:t>ervice providers to view the My Aged Care client </w:t>
      </w:r>
      <w:r w:rsidRPr="006F427B">
        <w:rPr>
          <w:rFonts w:eastAsia="Calibri" w:cs="Calibri"/>
          <w:szCs w:val="20"/>
          <w:lang w:eastAsia="en-US"/>
        </w:rPr>
        <w:t>record, accept the referral, and start organising services.</w:t>
      </w:r>
    </w:p>
    <w:p w14:paraId="14A91905" w14:textId="2525DD63" w:rsidR="009760E2" w:rsidRPr="006F427B" w:rsidRDefault="00106463" w:rsidP="000F25B7">
      <w:pPr>
        <w:rPr>
          <w:rFonts w:eastAsia="Calibri" w:cs="Calibri"/>
          <w:szCs w:val="20"/>
          <w:lang w:eastAsia="en-US"/>
        </w:rPr>
      </w:pPr>
      <w:r w:rsidRPr="006F427B">
        <w:rPr>
          <w:rFonts w:cs="Calibri"/>
          <w:szCs w:val="20"/>
        </w:rPr>
        <w:t>C</w:t>
      </w:r>
      <w:r w:rsidR="00CA0969" w:rsidRPr="006F427B">
        <w:rPr>
          <w:rFonts w:cs="Calibri"/>
          <w:szCs w:val="20"/>
        </w:rPr>
        <w:t>linical aged care needs assessor</w:t>
      </w:r>
      <w:r w:rsidRPr="006F427B">
        <w:rPr>
          <w:rFonts w:cs="Calibri"/>
          <w:szCs w:val="20"/>
        </w:rPr>
        <w:t>s</w:t>
      </w:r>
      <w:r w:rsidR="00CA0969" w:rsidRPr="006F427B" w:rsidDel="00CA0969">
        <w:rPr>
          <w:rFonts w:eastAsia="Calibri" w:cs="Calibri"/>
          <w:szCs w:val="20"/>
          <w:lang w:eastAsia="en-US"/>
        </w:rPr>
        <w:t xml:space="preserve"> </w:t>
      </w:r>
      <w:r w:rsidR="00B66693" w:rsidRPr="006F427B">
        <w:rPr>
          <w:rFonts w:eastAsia="Calibri" w:cs="Calibri"/>
          <w:szCs w:val="20"/>
          <w:lang w:eastAsia="en-US"/>
        </w:rPr>
        <w:t xml:space="preserve">and </w:t>
      </w:r>
      <w:r w:rsidR="00DA55DF" w:rsidRPr="006F427B">
        <w:rPr>
          <w:rFonts w:eastAsia="Calibri" w:cs="Calibri"/>
          <w:szCs w:val="20"/>
          <w:lang w:eastAsia="en-US"/>
        </w:rPr>
        <w:t>transition care service</w:t>
      </w:r>
      <w:r w:rsidR="00B66693" w:rsidRPr="006F427B">
        <w:rPr>
          <w:rFonts w:eastAsia="Calibri" w:cs="Calibri"/>
          <w:szCs w:val="20"/>
          <w:lang w:eastAsia="en-US"/>
        </w:rPr>
        <w:t xml:space="preserve"> providers should build and maintain effective working relationships to ensure </w:t>
      </w:r>
      <w:r w:rsidR="00FE4923" w:rsidRPr="006F427B">
        <w:rPr>
          <w:rFonts w:eastAsia="Calibri" w:cs="Calibri"/>
          <w:szCs w:val="20"/>
          <w:lang w:eastAsia="en-US"/>
        </w:rPr>
        <w:t>assessors</w:t>
      </w:r>
      <w:r w:rsidR="00B66693" w:rsidRPr="006F427B">
        <w:rPr>
          <w:rFonts w:eastAsia="Calibri" w:cs="Calibri"/>
          <w:szCs w:val="20"/>
          <w:lang w:eastAsia="en-US"/>
        </w:rPr>
        <w:t xml:space="preserve"> are aware of the transition care services that providers offer and can make appropriate </w:t>
      </w:r>
      <w:r w:rsidR="00DA55DF" w:rsidRPr="006F427B">
        <w:rPr>
          <w:rFonts w:eastAsia="Calibri" w:cs="Calibri"/>
          <w:szCs w:val="20"/>
          <w:lang w:eastAsia="en-US"/>
        </w:rPr>
        <w:t xml:space="preserve">and </w:t>
      </w:r>
      <w:r w:rsidR="00B66693" w:rsidRPr="006F427B">
        <w:rPr>
          <w:rFonts w:eastAsia="Calibri" w:cs="Calibri"/>
          <w:szCs w:val="20"/>
          <w:lang w:eastAsia="en-US"/>
        </w:rPr>
        <w:t>timely referrals to the most suitable provider.</w:t>
      </w:r>
    </w:p>
    <w:p w14:paraId="3A04741C" w14:textId="3DE4443B" w:rsidR="00DA55DF" w:rsidRPr="006F427B" w:rsidRDefault="299ECFBB" w:rsidP="000F25B7">
      <w:pPr>
        <w:rPr>
          <w:rFonts w:eastAsia="Calibri" w:cs="Calibri"/>
          <w:szCs w:val="20"/>
          <w:lang w:eastAsia="en-US"/>
        </w:rPr>
      </w:pPr>
      <w:r w:rsidRPr="006F427B">
        <w:rPr>
          <w:rFonts w:eastAsia="Calibri" w:cs="Calibri"/>
          <w:szCs w:val="20"/>
          <w:lang w:eastAsia="en-US"/>
        </w:rPr>
        <w:t xml:space="preserve">Once a </w:t>
      </w:r>
      <w:r w:rsidR="72201B2E" w:rsidRPr="006F427B">
        <w:rPr>
          <w:rFonts w:eastAsia="Calibri" w:cs="Calibri"/>
          <w:szCs w:val="20"/>
          <w:lang w:eastAsia="en-US"/>
        </w:rPr>
        <w:t>registered</w:t>
      </w:r>
      <w:r w:rsidRPr="006F427B">
        <w:rPr>
          <w:rFonts w:eastAsia="Calibri" w:cs="Calibri"/>
          <w:szCs w:val="20"/>
          <w:lang w:eastAsia="en-US"/>
        </w:rPr>
        <w:t xml:space="preserve"> provider is found </w:t>
      </w:r>
      <w:r w:rsidR="649518CE" w:rsidRPr="006F427B">
        <w:rPr>
          <w:rFonts w:eastAsia="Calibri" w:cs="Calibri"/>
          <w:szCs w:val="20"/>
          <w:lang w:eastAsia="en-US"/>
        </w:rPr>
        <w:t>who</w:t>
      </w:r>
      <w:r w:rsidRPr="006F427B">
        <w:rPr>
          <w:rFonts w:eastAsia="Calibri" w:cs="Calibri"/>
          <w:szCs w:val="20"/>
          <w:lang w:eastAsia="en-US"/>
        </w:rPr>
        <w:t xml:space="preserve"> can offer the services required, they accept</w:t>
      </w:r>
      <w:r w:rsidR="2A4997AB" w:rsidRPr="006F427B">
        <w:rPr>
          <w:rFonts w:eastAsia="Calibri" w:cs="Calibri"/>
          <w:szCs w:val="20"/>
          <w:lang w:eastAsia="en-US"/>
        </w:rPr>
        <w:t>/manage</w:t>
      </w:r>
      <w:r w:rsidRPr="006F427B">
        <w:rPr>
          <w:rFonts w:eastAsia="Calibri" w:cs="Calibri"/>
          <w:szCs w:val="20"/>
          <w:lang w:eastAsia="en-US"/>
        </w:rPr>
        <w:t xml:space="preserve"> the client’s referral in </w:t>
      </w:r>
      <w:hyperlink r:id="rId40" w:history="1">
        <w:r w:rsidRPr="008202E1">
          <w:rPr>
            <w:rStyle w:val="Hyperlink"/>
            <w:rFonts w:ascii="Calibri" w:eastAsia="Calibri" w:hAnsi="Calibri" w:cs="Calibri"/>
            <w:sz w:val="20"/>
            <w:szCs w:val="20"/>
            <w:lang w:eastAsia="en-US"/>
          </w:rPr>
          <w:t>My</w:t>
        </w:r>
        <w:r w:rsidR="00D7689F">
          <w:rPr>
            <w:rStyle w:val="Hyperlink"/>
            <w:rFonts w:ascii="Calibri" w:eastAsia="Calibri" w:hAnsi="Calibri" w:cs="Calibri"/>
            <w:sz w:val="20"/>
            <w:szCs w:val="20"/>
            <w:lang w:eastAsia="en-US"/>
          </w:rPr>
          <w:t> </w:t>
        </w:r>
        <w:r w:rsidR="1B334623" w:rsidRPr="008202E1">
          <w:rPr>
            <w:rStyle w:val="Hyperlink"/>
            <w:rFonts w:ascii="Calibri" w:eastAsia="Calibri" w:hAnsi="Calibri" w:cs="Calibri"/>
            <w:sz w:val="20"/>
            <w:szCs w:val="20"/>
            <w:lang w:eastAsia="en-US"/>
          </w:rPr>
          <w:t>Aged Care Service and Support Portal</w:t>
        </w:r>
      </w:hyperlink>
      <w:r w:rsidR="34D968A8" w:rsidRPr="006F427B">
        <w:rPr>
          <w:rFonts w:eastAsia="Calibri" w:cs="Calibri"/>
          <w:szCs w:val="20"/>
          <w:lang w:eastAsia="en-US"/>
        </w:rPr>
        <w:t> </w:t>
      </w:r>
      <w:r w:rsidRPr="006F427B">
        <w:rPr>
          <w:rFonts w:eastAsia="Calibri" w:cs="Calibri"/>
          <w:szCs w:val="20"/>
          <w:lang w:eastAsia="en-US"/>
        </w:rPr>
        <w:t xml:space="preserve">and enter the relevant service information. </w:t>
      </w:r>
      <w:r w:rsidR="5C5A3C49" w:rsidRPr="006F427B">
        <w:rPr>
          <w:rFonts w:eastAsia="Calibri" w:cs="Calibri"/>
          <w:szCs w:val="20"/>
          <w:lang w:eastAsia="en-US"/>
        </w:rPr>
        <w:t xml:space="preserve"> </w:t>
      </w:r>
    </w:p>
    <w:p w14:paraId="36319CAC" w14:textId="07FC269B" w:rsidR="00B66693" w:rsidRPr="006F427B" w:rsidRDefault="00B66693" w:rsidP="000F25B7">
      <w:pPr>
        <w:rPr>
          <w:rFonts w:cs="Calibri"/>
          <w:b/>
          <w:bCs/>
          <w:spacing w:val="0"/>
          <w:szCs w:val="20"/>
          <w:lang w:val="en-GB"/>
        </w:rPr>
      </w:pPr>
      <w:r w:rsidRPr="006F427B">
        <w:rPr>
          <w:rFonts w:eastAsia="Calibri" w:cs="Calibri"/>
          <w:szCs w:val="20"/>
          <w:lang w:eastAsia="en-US"/>
        </w:rPr>
        <w:lastRenderedPageBreak/>
        <w:t>Please note the transition care approval is valid</w:t>
      </w:r>
      <w:r w:rsidR="00C2576C" w:rsidRPr="006F427B">
        <w:rPr>
          <w:rFonts w:eastAsia="Calibri" w:cs="Calibri"/>
          <w:szCs w:val="20"/>
          <w:lang w:eastAsia="en-US"/>
        </w:rPr>
        <w:t xml:space="preserve"> on the date the </w:t>
      </w:r>
      <w:r w:rsidR="00106463" w:rsidRPr="006F427B">
        <w:rPr>
          <w:rFonts w:eastAsia="Calibri" w:cs="Calibri"/>
          <w:szCs w:val="20"/>
          <w:lang w:eastAsia="en-US"/>
        </w:rPr>
        <w:t>a</w:t>
      </w:r>
      <w:r w:rsidR="00472ED2" w:rsidRPr="006F427B">
        <w:rPr>
          <w:rFonts w:eastAsia="Calibri" w:cs="Calibri"/>
          <w:szCs w:val="20"/>
          <w:lang w:eastAsia="en-US"/>
        </w:rPr>
        <w:t xml:space="preserve">ssessment </w:t>
      </w:r>
      <w:r w:rsidR="00106463" w:rsidRPr="006F427B">
        <w:rPr>
          <w:rFonts w:eastAsia="Calibri" w:cs="Calibri"/>
          <w:szCs w:val="20"/>
          <w:lang w:eastAsia="en-US"/>
        </w:rPr>
        <w:t>d</w:t>
      </w:r>
      <w:r w:rsidR="00C2576C" w:rsidRPr="006F427B">
        <w:rPr>
          <w:rFonts w:eastAsia="Calibri" w:cs="Calibri"/>
          <w:szCs w:val="20"/>
          <w:lang w:eastAsia="en-US"/>
        </w:rPr>
        <w:t xml:space="preserve">elegate signs the approval, and then for four weeks (28 calendar days) after the date of signing. The </w:t>
      </w:r>
      <w:r w:rsidR="00850065" w:rsidRPr="006F427B">
        <w:rPr>
          <w:rFonts w:eastAsia="Calibri" w:cs="Calibri"/>
          <w:szCs w:val="20"/>
          <w:lang w:eastAsia="en-US"/>
        </w:rPr>
        <w:t>client</w:t>
      </w:r>
      <w:r w:rsidR="00C2576C" w:rsidRPr="006F427B">
        <w:rPr>
          <w:rFonts w:eastAsia="Calibri" w:cs="Calibri"/>
          <w:szCs w:val="20"/>
          <w:lang w:eastAsia="en-US"/>
        </w:rPr>
        <w:t xml:space="preserve"> must enter the </w:t>
      </w:r>
      <w:r w:rsidR="00B505C7" w:rsidRPr="006F427B">
        <w:rPr>
          <w:rFonts w:eastAsia="Calibri" w:cs="Calibri"/>
          <w:szCs w:val="20"/>
          <w:lang w:eastAsia="en-US"/>
        </w:rPr>
        <w:t>program</w:t>
      </w:r>
      <w:r w:rsidR="00C2576C" w:rsidRPr="006F427B">
        <w:rPr>
          <w:rFonts w:eastAsia="Calibri" w:cs="Calibri"/>
          <w:szCs w:val="20"/>
          <w:lang w:eastAsia="en-US"/>
        </w:rPr>
        <w:t xml:space="preserve"> within this </w:t>
      </w:r>
      <w:r w:rsidR="003A6D92" w:rsidRPr="006F427B">
        <w:rPr>
          <w:rFonts w:eastAsia="Calibri" w:cs="Calibri"/>
          <w:szCs w:val="20"/>
          <w:lang w:eastAsia="en-US"/>
        </w:rPr>
        <w:t>four-week</w:t>
      </w:r>
      <w:r w:rsidR="00C2576C" w:rsidRPr="006F427B">
        <w:rPr>
          <w:rFonts w:eastAsia="Calibri" w:cs="Calibri"/>
          <w:szCs w:val="20"/>
          <w:lang w:eastAsia="en-US"/>
        </w:rPr>
        <w:t xml:space="preserve"> approval ‘entry period’, and </w:t>
      </w:r>
      <w:r w:rsidR="00E432D4" w:rsidRPr="006F427B">
        <w:rPr>
          <w:rFonts w:eastAsia="Calibri" w:cs="Calibri"/>
          <w:szCs w:val="20"/>
          <w:lang w:eastAsia="en-US"/>
        </w:rPr>
        <w:t xml:space="preserve">within the specified </w:t>
      </w:r>
      <w:r w:rsidR="00C2576C" w:rsidRPr="006F427B">
        <w:rPr>
          <w:rFonts w:eastAsia="Calibri" w:cs="Calibri"/>
          <w:szCs w:val="20"/>
          <w:lang w:eastAsia="en-US"/>
        </w:rPr>
        <w:t>episode commencement timeframe</w:t>
      </w:r>
      <w:r w:rsidR="00E432D4" w:rsidRPr="006F427B">
        <w:rPr>
          <w:rFonts w:eastAsia="Calibri" w:cs="Calibri"/>
          <w:szCs w:val="20"/>
          <w:lang w:eastAsia="en-US"/>
        </w:rPr>
        <w:t xml:space="preserve"> i.e.</w:t>
      </w:r>
      <w:r w:rsidR="00594B66" w:rsidRPr="006F427B">
        <w:rPr>
          <w:rFonts w:eastAsia="Calibri" w:cs="Calibri"/>
          <w:szCs w:val="20"/>
          <w:lang w:eastAsia="en-US"/>
        </w:rPr>
        <w:t xml:space="preserve"> within 24 hours</w:t>
      </w:r>
      <w:r w:rsidR="00E432D4" w:rsidRPr="006F427B">
        <w:rPr>
          <w:rFonts w:eastAsia="Calibri" w:cs="Calibri"/>
          <w:szCs w:val="20"/>
          <w:lang w:eastAsia="en-US"/>
        </w:rPr>
        <w:t xml:space="preserve"> upon discharge from hospital if the </w:t>
      </w:r>
      <w:r w:rsidR="00552FE5" w:rsidRPr="006F427B">
        <w:rPr>
          <w:rFonts w:eastAsia="Calibri" w:cs="Calibri"/>
          <w:szCs w:val="20"/>
          <w:lang w:eastAsia="en-US"/>
        </w:rPr>
        <w:t>client</w:t>
      </w:r>
      <w:r w:rsidR="00E432D4" w:rsidRPr="006F427B">
        <w:rPr>
          <w:rFonts w:eastAsia="Calibri" w:cs="Calibri"/>
          <w:szCs w:val="20"/>
          <w:lang w:eastAsia="en-US"/>
        </w:rPr>
        <w:t xml:space="preserve"> is entering transition care in a residential care </w:t>
      </w:r>
      <w:r w:rsidR="00950C6A" w:rsidRPr="006F427B">
        <w:rPr>
          <w:rFonts w:eastAsia="Calibri" w:cs="Calibri"/>
          <w:szCs w:val="20"/>
          <w:lang w:eastAsia="en-US"/>
        </w:rPr>
        <w:t xml:space="preserve">setting, </w:t>
      </w:r>
      <w:r w:rsidR="00594B66" w:rsidRPr="006F427B">
        <w:rPr>
          <w:rFonts w:eastAsia="Calibri" w:cs="Calibri"/>
          <w:szCs w:val="20"/>
          <w:lang w:eastAsia="en-US"/>
        </w:rPr>
        <w:t xml:space="preserve">and </w:t>
      </w:r>
      <w:r w:rsidR="00950C6A" w:rsidRPr="006F427B">
        <w:rPr>
          <w:rFonts w:eastAsia="Calibri" w:cs="Calibri"/>
          <w:szCs w:val="20"/>
          <w:lang w:eastAsia="en-US"/>
        </w:rPr>
        <w:t>within</w:t>
      </w:r>
      <w:r w:rsidR="00E432D4" w:rsidRPr="006F427B">
        <w:rPr>
          <w:rFonts w:eastAsia="Calibri" w:cs="Calibri"/>
          <w:szCs w:val="20"/>
          <w:lang w:eastAsia="en-US"/>
        </w:rPr>
        <w:t xml:space="preserve"> 48 hours</w:t>
      </w:r>
      <w:r w:rsidR="00594B66" w:rsidRPr="006F427B">
        <w:rPr>
          <w:rFonts w:eastAsia="Calibri" w:cs="Calibri"/>
          <w:szCs w:val="20"/>
          <w:lang w:eastAsia="en-US"/>
        </w:rPr>
        <w:t>,</w:t>
      </w:r>
      <w:r w:rsidR="00E432D4" w:rsidRPr="006F427B">
        <w:rPr>
          <w:rFonts w:eastAsia="Calibri" w:cs="Calibri"/>
          <w:szCs w:val="20"/>
          <w:lang w:eastAsia="en-US"/>
        </w:rPr>
        <w:t xml:space="preserve"> if the person is to receive transition care in </w:t>
      </w:r>
      <w:r w:rsidR="0067066C" w:rsidRPr="006F427B">
        <w:rPr>
          <w:rFonts w:eastAsia="Calibri" w:cs="Calibri"/>
          <w:szCs w:val="20"/>
          <w:lang w:eastAsia="en-US"/>
        </w:rPr>
        <w:t>a</w:t>
      </w:r>
      <w:r w:rsidR="00E432D4" w:rsidRPr="006F427B">
        <w:rPr>
          <w:rFonts w:eastAsia="Calibri" w:cs="Calibri"/>
          <w:szCs w:val="20"/>
          <w:lang w:eastAsia="en-US"/>
        </w:rPr>
        <w:t xml:space="preserve"> home</w:t>
      </w:r>
      <w:r w:rsidR="00A30095" w:rsidRPr="006F427B">
        <w:rPr>
          <w:rFonts w:eastAsia="Calibri" w:cs="Calibri"/>
          <w:szCs w:val="20"/>
          <w:lang w:eastAsia="en-US"/>
        </w:rPr>
        <w:t>/community setting</w:t>
      </w:r>
      <w:r w:rsidR="008514A1" w:rsidRPr="006F427B">
        <w:rPr>
          <w:rFonts w:eastAsia="Calibri" w:cs="Calibri"/>
          <w:szCs w:val="20"/>
          <w:lang w:eastAsia="en-US"/>
        </w:rPr>
        <w:t>.</w:t>
      </w:r>
      <w:r w:rsidR="006B5842" w:rsidRPr="006F427B">
        <w:rPr>
          <w:rFonts w:cs="Calibri"/>
          <w:szCs w:val="20"/>
        </w:rPr>
        <w:t xml:space="preserve"> </w:t>
      </w:r>
      <w:r w:rsidR="00535061" w:rsidRPr="006F427B">
        <w:rPr>
          <w:rFonts w:eastAsia="Calibri" w:cs="Calibri"/>
          <w:szCs w:val="20"/>
          <w:lang w:eastAsia="en-US"/>
        </w:rPr>
        <w:t>Hospitals</w:t>
      </w:r>
      <w:r w:rsidR="00C2309D" w:rsidRPr="006F427B">
        <w:rPr>
          <w:rFonts w:eastAsia="Calibri" w:cs="Calibri"/>
          <w:szCs w:val="20"/>
          <w:lang w:eastAsia="en-US"/>
        </w:rPr>
        <w:t xml:space="preserve"> remain responsible for ensuring safe discharge practices are followed </w:t>
      </w:r>
      <w:r w:rsidR="00552FE5" w:rsidRPr="006F427B">
        <w:rPr>
          <w:rFonts w:eastAsia="Calibri" w:cs="Calibri"/>
          <w:szCs w:val="20"/>
          <w:lang w:eastAsia="en-US"/>
        </w:rPr>
        <w:t>and</w:t>
      </w:r>
      <w:r w:rsidR="00C2309D" w:rsidRPr="006F427B">
        <w:rPr>
          <w:rFonts w:eastAsia="Calibri" w:cs="Calibri"/>
          <w:szCs w:val="20"/>
          <w:lang w:eastAsia="en-US"/>
        </w:rPr>
        <w:t xml:space="preserve"> </w:t>
      </w:r>
      <w:r w:rsidR="00CE681C" w:rsidRPr="006F427B">
        <w:rPr>
          <w:rFonts w:eastAsia="Calibri" w:cs="Calibri"/>
          <w:szCs w:val="20"/>
          <w:lang w:eastAsia="en-US"/>
        </w:rPr>
        <w:t xml:space="preserve">as such </w:t>
      </w:r>
      <w:r w:rsidR="00C2309D" w:rsidRPr="006F427B">
        <w:rPr>
          <w:rFonts w:eastAsia="Calibri" w:cs="Calibri"/>
          <w:szCs w:val="20"/>
          <w:lang w:eastAsia="en-US"/>
        </w:rPr>
        <w:t>be confident that the discharging patient will be adequately supported for the period prior to entry into home</w:t>
      </w:r>
      <w:r w:rsidR="00092BA8" w:rsidRPr="006F427B">
        <w:rPr>
          <w:rFonts w:eastAsia="Calibri" w:cs="Calibri"/>
          <w:szCs w:val="20"/>
          <w:lang w:eastAsia="en-US"/>
        </w:rPr>
        <w:t>/community</w:t>
      </w:r>
      <w:r w:rsidR="00C2309D" w:rsidRPr="006F427B">
        <w:rPr>
          <w:rFonts w:eastAsia="Calibri" w:cs="Calibri"/>
          <w:szCs w:val="20"/>
          <w:lang w:eastAsia="en-US"/>
        </w:rPr>
        <w:t>-based TCP</w:t>
      </w:r>
      <w:r w:rsidR="00594B66" w:rsidRPr="006F427B">
        <w:rPr>
          <w:rFonts w:eastAsia="Calibri" w:cs="Calibri"/>
          <w:szCs w:val="20"/>
          <w:lang w:eastAsia="en-US"/>
        </w:rPr>
        <w:t xml:space="preserve"> or residential-based TCP</w:t>
      </w:r>
      <w:r w:rsidR="00C2309D" w:rsidRPr="006F427B">
        <w:rPr>
          <w:rFonts w:eastAsia="Calibri" w:cs="Calibri"/>
          <w:szCs w:val="20"/>
          <w:lang w:eastAsia="en-US"/>
        </w:rPr>
        <w:t xml:space="preserve"> </w:t>
      </w:r>
      <w:r w:rsidR="00E13C6F" w:rsidRPr="006F427B">
        <w:rPr>
          <w:rFonts w:eastAsia="Calibri" w:cs="Calibri"/>
          <w:szCs w:val="20"/>
          <w:lang w:eastAsia="en-US"/>
        </w:rPr>
        <w:t>(see</w:t>
      </w:r>
      <w:r w:rsidR="00E432D4" w:rsidRPr="006F427B">
        <w:rPr>
          <w:rFonts w:eastAsia="Calibri" w:cs="Calibri"/>
          <w:szCs w:val="20"/>
          <w:lang w:eastAsia="en-US"/>
        </w:rPr>
        <w:t xml:space="preserve"> also section</w:t>
      </w:r>
      <w:r w:rsidR="00E432D4" w:rsidRPr="006F427B">
        <w:rPr>
          <w:rFonts w:eastAsia="Calibri" w:cs="Calibri"/>
          <w:i/>
          <w:szCs w:val="20"/>
          <w:lang w:eastAsia="en-US"/>
        </w:rPr>
        <w:t xml:space="preserve"> 3.4.4 Approval for </w:t>
      </w:r>
      <w:r w:rsidR="008A0CB3" w:rsidRPr="006F427B">
        <w:rPr>
          <w:rFonts w:eastAsia="Calibri" w:cs="Calibri"/>
          <w:i/>
          <w:szCs w:val="20"/>
          <w:lang w:eastAsia="en-US"/>
        </w:rPr>
        <w:t>t</w:t>
      </w:r>
      <w:r w:rsidR="00E432D4" w:rsidRPr="006F427B">
        <w:rPr>
          <w:rFonts w:eastAsia="Calibri" w:cs="Calibri"/>
          <w:i/>
          <w:szCs w:val="20"/>
          <w:lang w:eastAsia="en-US"/>
        </w:rPr>
        <w:t xml:space="preserve">ransition </w:t>
      </w:r>
      <w:r w:rsidR="008A0CB3" w:rsidRPr="006F427B">
        <w:rPr>
          <w:rFonts w:eastAsia="Calibri" w:cs="Calibri"/>
          <w:i/>
          <w:szCs w:val="20"/>
          <w:lang w:eastAsia="en-US"/>
        </w:rPr>
        <w:t>c</w:t>
      </w:r>
      <w:r w:rsidR="00E432D4" w:rsidRPr="006F427B">
        <w:rPr>
          <w:rFonts w:eastAsia="Calibri" w:cs="Calibri"/>
          <w:i/>
          <w:szCs w:val="20"/>
          <w:lang w:eastAsia="en-US"/>
        </w:rPr>
        <w:t>are</w:t>
      </w:r>
      <w:r w:rsidR="00E13C6F" w:rsidRPr="006F427B">
        <w:rPr>
          <w:rFonts w:eastAsia="Calibri" w:cs="Calibri"/>
          <w:szCs w:val="20"/>
          <w:lang w:eastAsia="en-US"/>
        </w:rPr>
        <w:t>)</w:t>
      </w:r>
      <w:r w:rsidR="00E432D4" w:rsidRPr="006F427B">
        <w:rPr>
          <w:rFonts w:eastAsia="Calibri" w:cs="Calibri"/>
          <w:szCs w:val="20"/>
          <w:lang w:eastAsia="en-US"/>
        </w:rPr>
        <w:t>.</w:t>
      </w:r>
    </w:p>
    <w:p w14:paraId="285453BE" w14:textId="25EFB106" w:rsidR="00B66693" w:rsidRPr="006F427B" w:rsidRDefault="00B66693" w:rsidP="000F25B7">
      <w:pPr>
        <w:rPr>
          <w:rFonts w:eastAsia="Calibri" w:cs="Calibri"/>
          <w:szCs w:val="20"/>
          <w:lang w:eastAsia="en-US"/>
        </w:rPr>
      </w:pPr>
      <w:r w:rsidRPr="006F427B">
        <w:rPr>
          <w:rFonts w:eastAsia="Calibri" w:cs="Calibri"/>
          <w:szCs w:val="20"/>
          <w:lang w:eastAsia="en-US"/>
        </w:rPr>
        <w:t xml:space="preserve">The </w:t>
      </w:r>
      <w:r w:rsidR="008514A1" w:rsidRPr="006F427B">
        <w:rPr>
          <w:rFonts w:cs="Calibri"/>
          <w:szCs w:val="20"/>
        </w:rPr>
        <w:t>clinical aged care needs assessor</w:t>
      </w:r>
      <w:r w:rsidR="008514A1" w:rsidRPr="006F427B">
        <w:rPr>
          <w:rFonts w:eastAsia="Calibri" w:cs="Calibri"/>
          <w:szCs w:val="20"/>
          <w:lang w:eastAsia="en-US"/>
        </w:rPr>
        <w:t xml:space="preserve"> </w:t>
      </w:r>
      <w:r w:rsidRPr="006F427B">
        <w:rPr>
          <w:rFonts w:eastAsia="Calibri" w:cs="Calibri"/>
          <w:szCs w:val="20"/>
          <w:lang w:eastAsia="en-US"/>
        </w:rPr>
        <w:t xml:space="preserve">is also required to assess a client’s need for a transition care extension and other care options as requested by the </w:t>
      </w:r>
      <w:r w:rsidR="00B5478F" w:rsidRPr="006F427B">
        <w:rPr>
          <w:rFonts w:eastAsia="Calibri" w:cs="Calibri"/>
          <w:szCs w:val="20"/>
          <w:lang w:eastAsia="en-US"/>
        </w:rPr>
        <w:t xml:space="preserve">registered </w:t>
      </w:r>
      <w:r w:rsidRPr="006F427B">
        <w:rPr>
          <w:rFonts w:eastAsia="Calibri" w:cs="Calibri"/>
          <w:szCs w:val="20"/>
          <w:lang w:eastAsia="en-US"/>
        </w:rPr>
        <w:t>provider through the My Aged Care provider portal</w:t>
      </w:r>
      <w:r w:rsidR="00E432D4" w:rsidRPr="006F427B">
        <w:rPr>
          <w:rFonts w:eastAsia="Calibri" w:cs="Calibri"/>
          <w:szCs w:val="20"/>
          <w:lang w:eastAsia="en-US"/>
        </w:rPr>
        <w:t>.</w:t>
      </w:r>
      <w:r w:rsidR="00E13C6F" w:rsidRPr="006F427B">
        <w:rPr>
          <w:rFonts w:eastAsia="Calibri" w:cs="Calibri"/>
          <w:szCs w:val="20"/>
          <w:lang w:eastAsia="en-US"/>
        </w:rPr>
        <w:t xml:space="preserve"> </w:t>
      </w:r>
      <w:r w:rsidRPr="006F427B">
        <w:rPr>
          <w:rFonts w:eastAsia="Calibri" w:cs="Calibri"/>
          <w:szCs w:val="20"/>
          <w:lang w:eastAsia="en-US"/>
        </w:rPr>
        <w:t xml:space="preserve">The </w:t>
      </w:r>
      <w:r w:rsidR="000E04CF" w:rsidRPr="006F427B">
        <w:rPr>
          <w:rFonts w:eastAsia="Calibri" w:cs="Calibri"/>
          <w:szCs w:val="20"/>
          <w:lang w:eastAsia="en-US"/>
        </w:rPr>
        <w:t xml:space="preserve">assessor </w:t>
      </w:r>
      <w:r w:rsidRPr="006F427B">
        <w:rPr>
          <w:rFonts w:eastAsia="Calibri" w:cs="Calibri"/>
          <w:szCs w:val="20"/>
          <w:lang w:eastAsia="en-US"/>
        </w:rPr>
        <w:t>will use the information provided by the</w:t>
      </w:r>
      <w:r w:rsidR="00B5478F" w:rsidRPr="006F427B">
        <w:rPr>
          <w:rFonts w:eastAsia="Calibri" w:cs="Calibri"/>
          <w:szCs w:val="20"/>
          <w:lang w:eastAsia="en-US"/>
        </w:rPr>
        <w:t xml:space="preserve"> TCP registered </w:t>
      </w:r>
      <w:r w:rsidRPr="006F427B">
        <w:rPr>
          <w:rFonts w:eastAsia="Calibri" w:cs="Calibri"/>
          <w:szCs w:val="20"/>
          <w:lang w:eastAsia="en-US"/>
        </w:rPr>
        <w:t>provider</w:t>
      </w:r>
      <w:r w:rsidR="00B5478F" w:rsidRPr="006F427B">
        <w:rPr>
          <w:rFonts w:eastAsia="Calibri" w:cs="Calibri"/>
          <w:szCs w:val="20"/>
          <w:lang w:eastAsia="en-US"/>
        </w:rPr>
        <w:t xml:space="preserve"> if it becomes apparent during an individual’s episode of transition care that they would require an extension</w:t>
      </w:r>
      <w:r w:rsidRPr="006F427B">
        <w:rPr>
          <w:rFonts w:eastAsia="Calibri" w:cs="Calibri"/>
          <w:szCs w:val="20"/>
          <w:lang w:eastAsia="en-US"/>
        </w:rPr>
        <w:t>, and other sources such as the client</w:t>
      </w:r>
      <w:r w:rsidR="007B6A2E" w:rsidRPr="006F427B">
        <w:rPr>
          <w:rFonts w:eastAsia="Calibri" w:cs="Calibri"/>
          <w:szCs w:val="20"/>
          <w:lang w:eastAsia="en-US"/>
        </w:rPr>
        <w:t xml:space="preserve"> </w:t>
      </w:r>
      <w:r w:rsidRPr="006F427B">
        <w:rPr>
          <w:rFonts w:eastAsia="Calibri" w:cs="Calibri"/>
          <w:szCs w:val="20"/>
          <w:lang w:eastAsia="en-US"/>
        </w:rPr>
        <w:t>and relevant health professionals as appropriate</w:t>
      </w:r>
      <w:r w:rsidR="007B6A2E" w:rsidRPr="006F427B">
        <w:rPr>
          <w:rFonts w:eastAsia="Calibri" w:cs="Calibri"/>
          <w:szCs w:val="20"/>
          <w:lang w:eastAsia="en-US"/>
        </w:rPr>
        <w:t>,</w:t>
      </w:r>
      <w:r w:rsidRPr="006F427B">
        <w:rPr>
          <w:rFonts w:eastAsia="Calibri" w:cs="Calibri"/>
          <w:szCs w:val="20"/>
          <w:lang w:eastAsia="en-US"/>
        </w:rPr>
        <w:t xml:space="preserve"> to assess eligibility for the extension</w:t>
      </w:r>
      <w:r w:rsidR="00E432D4" w:rsidRPr="006F427B">
        <w:rPr>
          <w:rFonts w:eastAsia="Calibri" w:cs="Calibri"/>
          <w:szCs w:val="20"/>
          <w:lang w:eastAsia="en-US"/>
        </w:rPr>
        <w:t xml:space="preserve"> (see also section </w:t>
      </w:r>
      <w:r w:rsidR="00E432D4" w:rsidRPr="006F427B">
        <w:rPr>
          <w:rFonts w:eastAsia="Calibri" w:cs="Calibri"/>
          <w:i/>
          <w:szCs w:val="20"/>
          <w:lang w:eastAsia="en-US"/>
        </w:rPr>
        <w:t>3.5.</w:t>
      </w:r>
      <w:r w:rsidR="008321C0" w:rsidRPr="006F427B">
        <w:rPr>
          <w:rFonts w:eastAsia="Calibri" w:cs="Calibri"/>
          <w:i/>
          <w:szCs w:val="20"/>
          <w:lang w:eastAsia="en-US"/>
        </w:rPr>
        <w:t>8</w:t>
      </w:r>
      <w:r w:rsidR="00E432D4" w:rsidRPr="006F427B">
        <w:rPr>
          <w:rFonts w:eastAsia="Calibri" w:cs="Calibri"/>
          <w:i/>
          <w:szCs w:val="20"/>
          <w:lang w:eastAsia="en-US"/>
        </w:rPr>
        <w:t xml:space="preserve"> Extensions </w:t>
      </w:r>
      <w:r w:rsidR="00E432D4" w:rsidRPr="006F427B">
        <w:rPr>
          <w:rFonts w:eastAsia="Calibri" w:cs="Calibri"/>
          <w:szCs w:val="20"/>
          <w:lang w:eastAsia="en-US"/>
        </w:rPr>
        <w:t>and</w:t>
      </w:r>
      <w:r w:rsidR="00E432D4" w:rsidRPr="006F427B">
        <w:rPr>
          <w:rFonts w:eastAsia="Calibri" w:cs="Calibri"/>
          <w:i/>
          <w:szCs w:val="20"/>
          <w:lang w:eastAsia="en-US"/>
        </w:rPr>
        <w:t xml:space="preserve"> </w:t>
      </w:r>
      <w:r w:rsidR="00E432D4" w:rsidRPr="006F427B">
        <w:rPr>
          <w:rFonts w:eastAsia="Calibri" w:cs="Calibri"/>
          <w:szCs w:val="20"/>
          <w:lang w:eastAsia="en-US"/>
        </w:rPr>
        <w:t>section</w:t>
      </w:r>
      <w:r w:rsidR="00E432D4" w:rsidRPr="006F427B">
        <w:rPr>
          <w:rFonts w:eastAsia="Calibri" w:cs="Calibri"/>
          <w:i/>
          <w:szCs w:val="20"/>
          <w:lang w:eastAsia="en-US"/>
        </w:rPr>
        <w:t xml:space="preserve"> 3.5.</w:t>
      </w:r>
      <w:r w:rsidR="008321C0" w:rsidRPr="006F427B">
        <w:rPr>
          <w:rFonts w:eastAsia="Calibri" w:cs="Calibri"/>
          <w:i/>
          <w:szCs w:val="20"/>
          <w:lang w:eastAsia="en-US"/>
        </w:rPr>
        <w:t>9</w:t>
      </w:r>
      <w:r w:rsidR="00E432D4" w:rsidRPr="006F427B">
        <w:rPr>
          <w:rFonts w:eastAsia="Calibri" w:cs="Calibri"/>
          <w:i/>
          <w:szCs w:val="20"/>
          <w:lang w:eastAsia="en-US"/>
        </w:rPr>
        <w:t xml:space="preserve"> Review of </w:t>
      </w:r>
      <w:r w:rsidR="00DF6A5A" w:rsidRPr="006F427B">
        <w:rPr>
          <w:rFonts w:cs="Calibri"/>
          <w:i/>
          <w:szCs w:val="20"/>
        </w:rPr>
        <w:t>assess</w:t>
      </w:r>
      <w:r w:rsidR="008A0CB3" w:rsidRPr="006F427B">
        <w:rPr>
          <w:rFonts w:cs="Calibri"/>
          <w:i/>
          <w:szCs w:val="20"/>
        </w:rPr>
        <w:t xml:space="preserve">ment </w:t>
      </w:r>
      <w:r w:rsidR="00E432D4" w:rsidRPr="006F427B">
        <w:rPr>
          <w:rFonts w:eastAsia="Calibri" w:cs="Calibri"/>
          <w:i/>
          <w:szCs w:val="20"/>
          <w:lang w:eastAsia="en-US"/>
        </w:rPr>
        <w:t>extension decisions</w:t>
      </w:r>
      <w:r w:rsidR="00E432D4" w:rsidRPr="006F427B">
        <w:rPr>
          <w:rFonts w:eastAsia="Calibri" w:cs="Calibri"/>
          <w:szCs w:val="20"/>
          <w:lang w:eastAsia="en-US"/>
        </w:rPr>
        <w:t>).</w:t>
      </w:r>
    </w:p>
    <w:p w14:paraId="7285B437" w14:textId="1D88A305" w:rsidR="00605BA0" w:rsidRPr="006F427B" w:rsidRDefault="00605BA0" w:rsidP="000F25B7">
      <w:pPr>
        <w:rPr>
          <w:rFonts w:cs="Calibri"/>
          <w:szCs w:val="20"/>
        </w:rPr>
      </w:pPr>
      <w:r w:rsidRPr="006F427B">
        <w:rPr>
          <w:rFonts w:cs="Calibri"/>
          <w:szCs w:val="20"/>
        </w:rPr>
        <w:t xml:space="preserve">During the transition care episode, the </w:t>
      </w:r>
      <w:r w:rsidR="00DF6A5A" w:rsidRPr="006F427B">
        <w:rPr>
          <w:rFonts w:cs="Calibri"/>
          <w:szCs w:val="20"/>
        </w:rPr>
        <w:t>clinical aged care needs assessor</w:t>
      </w:r>
      <w:r w:rsidR="00DF6A5A" w:rsidRPr="006F427B" w:rsidDel="00DF6A5A">
        <w:rPr>
          <w:rFonts w:cs="Calibri"/>
          <w:szCs w:val="20"/>
        </w:rPr>
        <w:t xml:space="preserve"> </w:t>
      </w:r>
      <w:r w:rsidRPr="006F427B">
        <w:rPr>
          <w:rFonts w:cs="Calibri"/>
          <w:szCs w:val="20"/>
        </w:rPr>
        <w:t xml:space="preserve">should assist the </w:t>
      </w:r>
      <w:r w:rsidR="007B6A2E" w:rsidRPr="006F427B">
        <w:rPr>
          <w:rFonts w:cs="Calibri"/>
          <w:szCs w:val="20"/>
        </w:rPr>
        <w:t xml:space="preserve">registered </w:t>
      </w:r>
      <w:r w:rsidRPr="006F427B">
        <w:rPr>
          <w:rFonts w:cs="Calibri"/>
          <w:szCs w:val="20"/>
        </w:rPr>
        <w:t>provider, if necessary, in reviewing a</w:t>
      </w:r>
      <w:r w:rsidR="00806AA9" w:rsidRPr="006F427B">
        <w:rPr>
          <w:rFonts w:cs="Calibri"/>
          <w:szCs w:val="20"/>
        </w:rPr>
        <w:t xml:space="preserve">n </w:t>
      </w:r>
      <w:r w:rsidR="004B3973" w:rsidRPr="006F427B">
        <w:rPr>
          <w:rFonts w:cs="Calibri"/>
          <w:szCs w:val="20"/>
        </w:rPr>
        <w:t>individual’s</w:t>
      </w:r>
      <w:r w:rsidRPr="006F427B">
        <w:rPr>
          <w:rFonts w:cs="Calibri"/>
          <w:szCs w:val="20"/>
        </w:rPr>
        <w:t xml:space="preserve"> needs, re-assessing appropriate care options or referring to a more appropriate service </w:t>
      </w:r>
      <w:r w:rsidR="00CF1696" w:rsidRPr="006F427B">
        <w:rPr>
          <w:rFonts w:cs="Calibri"/>
          <w:szCs w:val="20"/>
        </w:rPr>
        <w:t xml:space="preserve">if needed </w:t>
      </w:r>
      <w:r w:rsidRPr="006F427B">
        <w:rPr>
          <w:rFonts w:cs="Calibri"/>
          <w:szCs w:val="20"/>
        </w:rPr>
        <w:t xml:space="preserve">(see also section </w:t>
      </w:r>
      <w:r w:rsidRPr="006F427B">
        <w:rPr>
          <w:rFonts w:cs="Calibri"/>
          <w:i/>
          <w:szCs w:val="20"/>
        </w:rPr>
        <w:t xml:space="preserve">3.5.2 The </w:t>
      </w:r>
      <w:r w:rsidR="00806AA9" w:rsidRPr="006F427B">
        <w:rPr>
          <w:rFonts w:cs="Calibri"/>
          <w:i/>
          <w:szCs w:val="20"/>
        </w:rPr>
        <w:t>registered</w:t>
      </w:r>
      <w:r w:rsidRPr="006F427B">
        <w:rPr>
          <w:rFonts w:cs="Calibri"/>
          <w:i/>
          <w:szCs w:val="20"/>
        </w:rPr>
        <w:t xml:space="preserve"> provider</w:t>
      </w:r>
      <w:r w:rsidRPr="006F427B">
        <w:rPr>
          <w:rFonts w:cs="Calibri"/>
          <w:szCs w:val="20"/>
        </w:rPr>
        <w:t>).</w:t>
      </w:r>
    </w:p>
    <w:p w14:paraId="0DCE6E37" w14:textId="2CD4B434" w:rsidR="00A03296" w:rsidRPr="007206E9" w:rsidRDefault="00A03296" w:rsidP="007206E9">
      <w:pPr>
        <w:rPr>
          <w:rFonts w:eastAsia="Calibri" w:cs="Calibri"/>
          <w:spacing w:val="0"/>
          <w:szCs w:val="20"/>
          <w:lang w:eastAsia="en-US"/>
        </w:rPr>
      </w:pPr>
      <w:r w:rsidRPr="003A173C">
        <w:rPr>
          <w:rFonts w:eastAsia="Calibri" w:cs="Calibri"/>
          <w:spacing w:val="0"/>
          <w:szCs w:val="20"/>
          <w:lang w:eastAsia="en-US"/>
        </w:rPr>
        <w:t xml:space="preserve">Further information is available at: </w:t>
      </w:r>
      <w:hyperlink r:id="rId41" w:history="1">
        <w:r w:rsidRPr="003A173C">
          <w:rPr>
            <w:rFonts w:eastAsia="Calibri" w:cs="Calibri"/>
            <w:color w:val="0563C1"/>
            <w:spacing w:val="0"/>
            <w:szCs w:val="20"/>
            <w:u w:val="single"/>
            <w:lang w:eastAsia="en-US"/>
          </w:rPr>
          <w:t>My Aged Care Assessment Manual</w:t>
        </w:r>
      </w:hyperlink>
      <w:r w:rsidRPr="003A173C">
        <w:rPr>
          <w:rFonts w:cs="Calibri"/>
        </w:rPr>
        <w:t>.</w:t>
      </w:r>
    </w:p>
    <w:p w14:paraId="0E5F954C" w14:textId="0AD410A8" w:rsidR="00605BA0" w:rsidRPr="00FA34AC" w:rsidRDefault="00605BA0" w:rsidP="008974DB">
      <w:pPr>
        <w:pStyle w:val="Style3"/>
      </w:pPr>
      <w:bookmarkStart w:id="585" w:name="_Toc245536168"/>
      <w:bookmarkStart w:id="586" w:name="_Toc395537180"/>
      <w:bookmarkStart w:id="587" w:name="_Toc422732538"/>
      <w:bookmarkStart w:id="588" w:name="_Toc422752878"/>
      <w:bookmarkStart w:id="589" w:name="_Toc216865468"/>
      <w:r w:rsidRPr="00FA34AC">
        <w:t xml:space="preserve">Who should participate in an </w:t>
      </w:r>
      <w:r w:rsidR="0047734D" w:rsidRPr="00FA34AC">
        <w:t xml:space="preserve">aged care </w:t>
      </w:r>
      <w:r w:rsidR="00362AF3" w:rsidRPr="00FA34AC">
        <w:t xml:space="preserve">needs </w:t>
      </w:r>
      <w:r w:rsidRPr="00FA34AC">
        <w:t>assessment?</w:t>
      </w:r>
      <w:bookmarkEnd w:id="585"/>
      <w:bookmarkEnd w:id="586"/>
      <w:bookmarkEnd w:id="587"/>
      <w:bookmarkEnd w:id="588"/>
      <w:bookmarkEnd w:id="589"/>
    </w:p>
    <w:p w14:paraId="03EF4D12" w14:textId="1DE2C44B" w:rsidR="00605BA0" w:rsidRPr="003A173C" w:rsidRDefault="00605BA0" w:rsidP="000F25B7">
      <w:pPr>
        <w:rPr>
          <w:rFonts w:cs="Calibri"/>
        </w:rPr>
      </w:pPr>
      <w:r w:rsidRPr="003A173C">
        <w:rPr>
          <w:rFonts w:cs="Calibri"/>
        </w:rPr>
        <w:t xml:space="preserve">As with all </w:t>
      </w:r>
      <w:r w:rsidR="003F661F" w:rsidRPr="003A173C">
        <w:rPr>
          <w:rFonts w:cs="Calibri"/>
        </w:rPr>
        <w:t xml:space="preserve">aged care </w:t>
      </w:r>
      <w:r w:rsidR="00392FBC" w:rsidRPr="003A173C">
        <w:rPr>
          <w:rFonts w:cs="Calibri"/>
        </w:rPr>
        <w:t xml:space="preserve">needs </w:t>
      </w:r>
      <w:r w:rsidRPr="003A173C">
        <w:rPr>
          <w:rFonts w:cs="Calibri"/>
        </w:rPr>
        <w:t xml:space="preserve">assessments, where appropriate, and with the </w:t>
      </w:r>
      <w:r w:rsidR="00E16A2C" w:rsidRPr="003A173C">
        <w:rPr>
          <w:rFonts w:cs="Calibri"/>
        </w:rPr>
        <w:t>individual</w:t>
      </w:r>
      <w:r w:rsidRPr="003A173C">
        <w:rPr>
          <w:rFonts w:cs="Calibri"/>
        </w:rPr>
        <w:t xml:space="preserve">’s permission, the assessment </w:t>
      </w:r>
      <w:r w:rsidR="00291BB7" w:rsidRPr="003A173C">
        <w:rPr>
          <w:rFonts w:cs="Calibri"/>
        </w:rPr>
        <w:t>must</w:t>
      </w:r>
      <w:r w:rsidRPr="003A173C">
        <w:rPr>
          <w:rFonts w:cs="Calibri"/>
        </w:rPr>
        <w:t xml:space="preserve"> involve:</w:t>
      </w:r>
    </w:p>
    <w:p w14:paraId="0E6C5175" w14:textId="22EC28D3" w:rsidR="00605BA0" w:rsidRPr="003A173C" w:rsidRDefault="00605BA0" w:rsidP="00FA34AC">
      <w:pPr>
        <w:pStyle w:val="ListBullet"/>
      </w:pPr>
      <w:r w:rsidRPr="003A173C">
        <w:t xml:space="preserve">the </w:t>
      </w:r>
      <w:r w:rsidR="00E16A2C" w:rsidRPr="003A173C">
        <w:t>individual</w:t>
      </w:r>
      <w:r w:rsidRPr="003A173C">
        <w:t xml:space="preserve"> and their carer, family or </w:t>
      </w:r>
      <w:r w:rsidR="00CE76A7" w:rsidRPr="003A173C">
        <w:t>supporters</w:t>
      </w:r>
      <w:r w:rsidRPr="003A173C">
        <w:t>;</w:t>
      </w:r>
    </w:p>
    <w:p w14:paraId="6C7DA588" w14:textId="58E6DD6C" w:rsidR="00605BA0" w:rsidRPr="003A173C" w:rsidRDefault="00605BA0" w:rsidP="00FA34AC">
      <w:pPr>
        <w:pStyle w:val="ListBullet"/>
      </w:pPr>
      <w:r w:rsidRPr="003A173C">
        <w:t>an interpreter or an Aboriginal or Torres Strait Islander health worker</w:t>
      </w:r>
      <w:r w:rsidR="00C34608" w:rsidRPr="003A173C">
        <w:t xml:space="preserve"> </w:t>
      </w:r>
      <w:r w:rsidRPr="003A173C">
        <w:t>or liaison officer as required, in accordance with the individual’s preferences; and</w:t>
      </w:r>
    </w:p>
    <w:p w14:paraId="2B443CCE" w14:textId="77777777" w:rsidR="00121D02" w:rsidRPr="003A173C" w:rsidRDefault="00605BA0" w:rsidP="00FA34AC">
      <w:pPr>
        <w:pStyle w:val="ListBullet"/>
      </w:pPr>
      <w:r w:rsidRPr="003A173C">
        <w:t>other health and rehabilitation professionals, as appropriate.</w:t>
      </w:r>
    </w:p>
    <w:p w14:paraId="73DD81FA" w14:textId="765666A3" w:rsidR="00605BA0" w:rsidRPr="00FA34AC" w:rsidRDefault="00605BA0" w:rsidP="008974DB">
      <w:pPr>
        <w:pStyle w:val="Style3"/>
      </w:pPr>
      <w:bookmarkStart w:id="590" w:name="_Toc521122291"/>
      <w:bookmarkStart w:id="591" w:name="_Toc29371656"/>
      <w:bookmarkStart w:id="592" w:name="_Toc81623296"/>
      <w:bookmarkStart w:id="593" w:name="_Toc110834646"/>
      <w:bookmarkStart w:id="594" w:name="_Toc245536169"/>
      <w:bookmarkStart w:id="595" w:name="_Toc395537181"/>
      <w:bookmarkStart w:id="596" w:name="_Toc422732539"/>
      <w:bookmarkStart w:id="597" w:name="_Toc422752879"/>
      <w:bookmarkStart w:id="598" w:name="_Toc216865469"/>
      <w:r w:rsidRPr="00FA34AC">
        <w:t>Assessment process for transition care</w:t>
      </w:r>
      <w:bookmarkEnd w:id="590"/>
      <w:bookmarkEnd w:id="591"/>
      <w:bookmarkEnd w:id="592"/>
      <w:bookmarkEnd w:id="593"/>
      <w:bookmarkEnd w:id="594"/>
      <w:bookmarkEnd w:id="595"/>
      <w:bookmarkEnd w:id="596"/>
      <w:bookmarkEnd w:id="597"/>
      <w:bookmarkEnd w:id="598"/>
    </w:p>
    <w:p w14:paraId="13D0372E" w14:textId="09488B85" w:rsidR="00605BA0" w:rsidRPr="003A173C" w:rsidRDefault="00605BA0" w:rsidP="000F25B7">
      <w:pPr>
        <w:rPr>
          <w:rFonts w:cs="Calibri"/>
        </w:rPr>
      </w:pPr>
      <w:r w:rsidRPr="003A173C">
        <w:rPr>
          <w:rFonts w:cs="Calibri"/>
        </w:rPr>
        <w:t xml:space="preserve">When considering a person’s suitability for transition care, the </w:t>
      </w:r>
      <w:r w:rsidR="00925677" w:rsidRPr="003A173C">
        <w:rPr>
          <w:rFonts w:cs="Calibri"/>
        </w:rPr>
        <w:t>clinical aged care needs assessor</w:t>
      </w:r>
      <w:r w:rsidRPr="003A173C">
        <w:rPr>
          <w:rFonts w:cs="Calibri"/>
        </w:rPr>
        <w:t xml:space="preserve"> must consider the eligibility criteria and several additional factors. The </w:t>
      </w:r>
      <w:r w:rsidR="0031156E" w:rsidRPr="003A173C">
        <w:rPr>
          <w:rFonts w:cs="Calibri"/>
        </w:rPr>
        <w:t xml:space="preserve">assessor </w:t>
      </w:r>
      <w:r w:rsidRPr="003A173C">
        <w:rPr>
          <w:rFonts w:cs="Calibri"/>
        </w:rPr>
        <w:t xml:space="preserve">must </w:t>
      </w:r>
      <w:r w:rsidR="008321C0" w:rsidRPr="003A173C">
        <w:rPr>
          <w:rFonts w:cs="Calibri"/>
        </w:rPr>
        <w:t>determine</w:t>
      </w:r>
      <w:r w:rsidRPr="003A173C">
        <w:rPr>
          <w:rFonts w:cs="Calibri"/>
        </w:rPr>
        <w:t xml:space="preserve"> that the person:</w:t>
      </w:r>
    </w:p>
    <w:p w14:paraId="35E18DCB" w14:textId="2BC96FF9" w:rsidR="00605BA0" w:rsidRPr="003A173C" w:rsidRDefault="00605BA0" w:rsidP="00FA34AC">
      <w:pPr>
        <w:pStyle w:val="ListBullet"/>
      </w:pPr>
      <w:r w:rsidRPr="003A173C">
        <w:t xml:space="preserve">is a public or private hospital </w:t>
      </w:r>
      <w:r w:rsidR="00DF250C" w:rsidRPr="003A173C">
        <w:t xml:space="preserve">admitted </w:t>
      </w:r>
      <w:r w:rsidRPr="003A173C">
        <w:t>patient, or is receiving acute or subacute care under a hospital</w:t>
      </w:r>
      <w:r w:rsidR="007A488E" w:rsidRPr="003A173C">
        <w:noBreakHyphen/>
      </w:r>
      <w:r w:rsidRPr="003A173C">
        <w:t>in</w:t>
      </w:r>
      <w:r w:rsidR="007A488E" w:rsidRPr="003A173C">
        <w:noBreakHyphen/>
      </w:r>
      <w:r w:rsidRPr="003A173C">
        <w:t>the</w:t>
      </w:r>
      <w:r w:rsidR="007A488E" w:rsidRPr="003A173C">
        <w:noBreakHyphen/>
      </w:r>
      <w:r w:rsidRPr="003A173C">
        <w:t xml:space="preserve">home or equivalent </w:t>
      </w:r>
      <w:r w:rsidR="00B505C7" w:rsidRPr="003A173C">
        <w:t>program</w:t>
      </w:r>
      <w:r w:rsidRPr="003A173C">
        <w:t xml:space="preserve"> where the patient is classified as an </w:t>
      </w:r>
      <w:r w:rsidR="00DF250C" w:rsidRPr="003A173C">
        <w:t xml:space="preserve">admitted </w:t>
      </w:r>
      <w:r w:rsidRPr="003A173C">
        <w:t>patient;</w:t>
      </w:r>
    </w:p>
    <w:p w14:paraId="2909736C" w14:textId="7F24E5E3" w:rsidR="00605BA0" w:rsidRPr="003A173C" w:rsidRDefault="00605BA0" w:rsidP="00FA34AC">
      <w:pPr>
        <w:pStyle w:val="ListBullet"/>
      </w:pPr>
      <w:r w:rsidRPr="003A173C">
        <w:t xml:space="preserve">has completed </w:t>
      </w:r>
      <w:r w:rsidR="008321C0" w:rsidRPr="003A173C">
        <w:t>their</w:t>
      </w:r>
      <w:r w:rsidRPr="003A173C">
        <w:t xml:space="preserve"> episode of acute and/or subacute care, is medically stable and ready for discharge at the time of assessment;</w:t>
      </w:r>
    </w:p>
    <w:p w14:paraId="6A9DC56E" w14:textId="61B6285B" w:rsidR="00605BA0" w:rsidRPr="003A173C" w:rsidRDefault="00605BA0" w:rsidP="00FA34AC">
      <w:pPr>
        <w:pStyle w:val="ListBullet"/>
      </w:pPr>
      <w:r w:rsidRPr="003A173C">
        <w:t>wishes to enter transition care;</w:t>
      </w:r>
    </w:p>
    <w:p w14:paraId="41AC0CF0" w14:textId="77777777" w:rsidR="00605BA0" w:rsidRPr="003A173C" w:rsidRDefault="00605BA0" w:rsidP="00FA34AC">
      <w:pPr>
        <w:pStyle w:val="ListBullet"/>
      </w:pPr>
      <w:r w:rsidRPr="003A173C">
        <w:t>would otherwise be eligible for residential care;</w:t>
      </w:r>
    </w:p>
    <w:p w14:paraId="00793652" w14:textId="77777777" w:rsidR="00605BA0" w:rsidRPr="003A173C" w:rsidRDefault="00605BA0" w:rsidP="00FA34AC">
      <w:pPr>
        <w:pStyle w:val="ListBullet"/>
      </w:pPr>
      <w:r w:rsidRPr="003A173C">
        <w:t xml:space="preserve">would have the capacity to benefit from a package of </w:t>
      </w:r>
      <w:r w:rsidR="00CF1696" w:rsidRPr="003A173C">
        <w:t>services that includes, at a minimum</w:t>
      </w:r>
      <w:r w:rsidRPr="003A173C">
        <w:t>, low intensity</w:t>
      </w:r>
      <w:r w:rsidR="00CF1696" w:rsidRPr="003A173C">
        <w:t xml:space="preserve"> restorative</w:t>
      </w:r>
      <w:r w:rsidRPr="003A173C">
        <w:t xml:space="preserve"> therapy and nursing support </w:t>
      </w:r>
      <w:r w:rsidR="00CF1696" w:rsidRPr="003A173C">
        <w:t>and/</w:t>
      </w:r>
      <w:r w:rsidRPr="003A173C">
        <w:t>or personal care; and</w:t>
      </w:r>
    </w:p>
    <w:p w14:paraId="666AE357" w14:textId="08FE14D0" w:rsidR="00A505A1" w:rsidRPr="003A173C" w:rsidRDefault="00605BA0" w:rsidP="00FA34AC">
      <w:pPr>
        <w:pStyle w:val="ListBullet"/>
      </w:pPr>
      <w:r w:rsidRPr="003A173C">
        <w:t>would have the capacity to benefit from goal-oriented, time-limited and therapy-focussed care necessary to:</w:t>
      </w:r>
    </w:p>
    <w:p w14:paraId="508B5CD0" w14:textId="77777777" w:rsidR="00605BA0" w:rsidRPr="008202E1" w:rsidRDefault="00605BA0" w:rsidP="00FA34AC">
      <w:pPr>
        <w:pStyle w:val="ListBullet2"/>
      </w:pPr>
      <w:r w:rsidRPr="008202E1">
        <w:t>complete their restorative process;</w:t>
      </w:r>
    </w:p>
    <w:p w14:paraId="0D747959" w14:textId="77777777" w:rsidR="00605BA0" w:rsidRPr="003A173C" w:rsidRDefault="00605BA0" w:rsidP="00FA34AC">
      <w:pPr>
        <w:pStyle w:val="ListBullet2"/>
      </w:pPr>
      <w:r w:rsidRPr="003A173C">
        <w:t>optimise their physical and cognitive functional capacity; and</w:t>
      </w:r>
    </w:p>
    <w:p w14:paraId="48600062" w14:textId="77777777" w:rsidR="00CD4746" w:rsidRPr="003A173C" w:rsidRDefault="00605BA0" w:rsidP="00FA34AC">
      <w:pPr>
        <w:pStyle w:val="ListBullet2"/>
      </w:pPr>
      <w:r w:rsidRPr="003A173C">
        <w:t>assist in making long-term arrangements for their care.</w:t>
      </w:r>
    </w:p>
    <w:p w14:paraId="25FB7A28" w14:textId="5A72E7C7" w:rsidR="00605BA0" w:rsidRPr="003A173C" w:rsidRDefault="00605BA0" w:rsidP="00E330E4">
      <w:pPr>
        <w:rPr>
          <w:rFonts w:cs="Calibri"/>
        </w:rPr>
      </w:pPr>
      <w:r w:rsidRPr="003A173C">
        <w:rPr>
          <w:rFonts w:cs="Calibri"/>
        </w:rPr>
        <w:t xml:space="preserve">In addition, the </w:t>
      </w:r>
      <w:r w:rsidR="00925677" w:rsidRPr="003A173C">
        <w:rPr>
          <w:rFonts w:cs="Calibri"/>
        </w:rPr>
        <w:t>clinical aged care needs assessor</w:t>
      </w:r>
      <w:r w:rsidR="00925677" w:rsidRPr="003A173C" w:rsidDel="00925677">
        <w:rPr>
          <w:rFonts w:cs="Calibri"/>
        </w:rPr>
        <w:t xml:space="preserve"> </w:t>
      </w:r>
      <w:r w:rsidRPr="003A173C">
        <w:rPr>
          <w:rFonts w:cs="Calibri"/>
        </w:rPr>
        <w:t>must consider the following factors:</w:t>
      </w:r>
    </w:p>
    <w:p w14:paraId="3B8A201B" w14:textId="02919E6B" w:rsidR="00605BA0" w:rsidRPr="003A173C" w:rsidRDefault="005718E2" w:rsidP="00FA34AC">
      <w:pPr>
        <w:pStyle w:val="ListBullet"/>
      </w:pPr>
      <w:r w:rsidRPr="003A173C">
        <w:t>t</w:t>
      </w:r>
      <w:r w:rsidR="00605BA0" w:rsidRPr="003A173C">
        <w:t>he intent of transition care is to benefit older people through time-limited, low-intensity therapy and support immed</w:t>
      </w:r>
      <w:r w:rsidRPr="003A173C">
        <w:t>iately after a hospital episode;</w:t>
      </w:r>
    </w:p>
    <w:p w14:paraId="3CFE81E7" w14:textId="5EA2B7E8" w:rsidR="00605BA0" w:rsidRPr="003A173C" w:rsidRDefault="005718E2" w:rsidP="00FA34AC">
      <w:pPr>
        <w:pStyle w:val="ListBullet"/>
      </w:pPr>
      <w:r w:rsidRPr="003A173C">
        <w:t>t</w:t>
      </w:r>
      <w:r w:rsidR="00605BA0" w:rsidRPr="003A173C">
        <w:t xml:space="preserve">ransition care is designed to improve </w:t>
      </w:r>
      <w:r w:rsidR="008321C0" w:rsidRPr="003A173C">
        <w:t xml:space="preserve">an </w:t>
      </w:r>
      <w:r w:rsidR="00605BA0" w:rsidRPr="003A173C">
        <w:t xml:space="preserve">older </w:t>
      </w:r>
      <w:r w:rsidR="008321C0" w:rsidRPr="003A173C">
        <w:t>person’s</w:t>
      </w:r>
      <w:r w:rsidR="00605BA0" w:rsidRPr="003A173C">
        <w:t xml:space="preserve"> capacity for independent living and to maintain their functioning, while assisting them and their family and carers to make appropriate long-term care arrangements</w:t>
      </w:r>
      <w:r w:rsidR="00C57179" w:rsidRPr="003A173C">
        <w:t xml:space="preserve"> if needed</w:t>
      </w:r>
      <w:r w:rsidRPr="003A173C">
        <w:t>;</w:t>
      </w:r>
    </w:p>
    <w:p w14:paraId="0ACA4972" w14:textId="536A0F2A" w:rsidR="00605BA0" w:rsidRPr="003A173C" w:rsidRDefault="005718E2" w:rsidP="00FA34AC">
      <w:pPr>
        <w:pStyle w:val="ListBullet"/>
      </w:pPr>
      <w:r w:rsidRPr="003A173C">
        <w:t>t</w:t>
      </w:r>
      <w:r w:rsidR="00605BA0" w:rsidRPr="003A173C">
        <w:t xml:space="preserve">he therapeutic care provided by the </w:t>
      </w:r>
      <w:r w:rsidR="00B505C7" w:rsidRPr="003A173C">
        <w:t>program</w:t>
      </w:r>
      <w:r w:rsidR="00605BA0" w:rsidRPr="003A173C">
        <w:t xml:space="preserve"> will vary from individual to individual, ranging from services that improve a</w:t>
      </w:r>
      <w:r w:rsidR="006E1B87" w:rsidRPr="003A173C">
        <w:t>n</w:t>
      </w:r>
      <w:r w:rsidR="00605BA0" w:rsidRPr="003A173C">
        <w:t xml:space="preserve"> </w:t>
      </w:r>
      <w:r w:rsidR="00E16A2C" w:rsidRPr="003A173C">
        <w:t>individual</w:t>
      </w:r>
      <w:r w:rsidR="00605BA0" w:rsidRPr="003A173C">
        <w:t>’s capacity for independent living, to services that enable a person to enter residential aged care at an optimum level of phy</w:t>
      </w:r>
      <w:r w:rsidRPr="003A173C">
        <w:t>sical and cognitive functioning;</w:t>
      </w:r>
    </w:p>
    <w:p w14:paraId="0D705BAE" w14:textId="18DBB2A8" w:rsidR="00605BA0" w:rsidRPr="003A173C" w:rsidRDefault="00605BA0" w:rsidP="00FA34AC">
      <w:pPr>
        <w:pStyle w:val="ListBullet"/>
      </w:pPr>
      <w:r w:rsidRPr="003A173C">
        <w:t xml:space="preserve">in consultation with the hospital geriatric rehabilitation services or equivalent, and other members of the multidisciplinary team caring for the patient, ensure the full range of clinical and/or rehabilitation support provided by the hospital has been completed before </w:t>
      </w:r>
      <w:r w:rsidR="005718E2" w:rsidRPr="003A173C">
        <w:t>a person enters transition care;</w:t>
      </w:r>
      <w:r w:rsidR="002D405B" w:rsidRPr="003A173C">
        <w:t xml:space="preserve"> and</w:t>
      </w:r>
    </w:p>
    <w:p w14:paraId="52EFE140" w14:textId="1053C609" w:rsidR="00AB4E48" w:rsidRDefault="005718E2" w:rsidP="00FA34AC">
      <w:pPr>
        <w:pStyle w:val="ListBullet"/>
      </w:pPr>
      <w:r w:rsidRPr="003A173C">
        <w:lastRenderedPageBreak/>
        <w:t>t</w:t>
      </w:r>
      <w:r w:rsidR="00C64BE2" w:rsidRPr="003A173C">
        <w:t>he cognitive abilities of a person with dementia may fluctuate from day to day, so the extent of a person’s dementia may not be immediately ob</w:t>
      </w:r>
      <w:r w:rsidRPr="003A173C">
        <w:t>vious at the initial assessment</w:t>
      </w:r>
      <w:r w:rsidR="0085223B">
        <w:t>;</w:t>
      </w:r>
    </w:p>
    <w:p w14:paraId="51844D07" w14:textId="77777777" w:rsidR="0085223B" w:rsidRPr="009D3414" w:rsidRDefault="0085223B" w:rsidP="00FA34AC">
      <w:pPr>
        <w:pStyle w:val="ListBullet"/>
        <w:rPr>
          <w:szCs w:val="20"/>
        </w:rPr>
      </w:pPr>
      <w:r w:rsidRPr="009D3414">
        <w:rPr>
          <w:szCs w:val="20"/>
        </w:rPr>
        <w:t>entry to transition care must be:</w:t>
      </w:r>
    </w:p>
    <w:p w14:paraId="5B8BE048" w14:textId="77777777" w:rsidR="0085223B" w:rsidRPr="009D3414" w:rsidRDefault="0085223B" w:rsidP="00FA34AC">
      <w:pPr>
        <w:pStyle w:val="ListBullet2"/>
      </w:pPr>
      <w:r w:rsidRPr="009D3414">
        <w:t xml:space="preserve">immediately upon discharge from hospital (within 24 hours) if the person is entering transition care in a residential care setting, or </w:t>
      </w:r>
    </w:p>
    <w:p w14:paraId="202802B9" w14:textId="77777777" w:rsidR="0085223B" w:rsidRPr="009D3414" w:rsidRDefault="0085223B" w:rsidP="00FA34AC">
      <w:pPr>
        <w:pStyle w:val="ListBullet2"/>
      </w:pPr>
      <w:r w:rsidRPr="009D3414">
        <w:t>within 48 hours if the person is to receive transition care in a home/community setting.</w:t>
      </w:r>
    </w:p>
    <w:p w14:paraId="39FD4182" w14:textId="77777777" w:rsidR="0085223B" w:rsidRPr="009D3414" w:rsidRDefault="0085223B" w:rsidP="00FA34AC">
      <w:pPr>
        <w:pStyle w:val="ListBullet"/>
      </w:pPr>
      <w:r w:rsidRPr="009D3414">
        <w:t>hospitals remain responsible for ensuring safe discharge practices are followed and as such, be confident that the discharging patient will be adequately supported for the period prior to entry into home/community-based TCP or residential based TCP;</w:t>
      </w:r>
    </w:p>
    <w:p w14:paraId="43C6EAF3" w14:textId="77777777" w:rsidR="0085223B" w:rsidRPr="009D3414" w:rsidRDefault="0085223B" w:rsidP="00FA34AC">
      <w:pPr>
        <w:pStyle w:val="ListBullet"/>
      </w:pPr>
      <w:r w:rsidRPr="009D3414">
        <w:t>close co-operation and liaison between the hospital discharge planner, the clinical aged care needs assessor and the registered provider is required to ensure a transition care place is available in a timely manner, to benefit the individual;</w:t>
      </w:r>
    </w:p>
    <w:p w14:paraId="41303422" w14:textId="77777777" w:rsidR="0085223B" w:rsidRPr="009D3414" w:rsidRDefault="0085223B" w:rsidP="00FA34AC">
      <w:pPr>
        <w:pStyle w:val="ListBullet"/>
      </w:pPr>
      <w:r w:rsidRPr="009D3414">
        <w:t>as part of the comprehensive assessment, the individual, and their carer and/or family as appropriate, should be fully informed of the range of other available aged care services that may be appropriate for them. The clinical aged care needs assessor</w:t>
      </w:r>
      <w:r w:rsidRPr="009D3414" w:rsidDel="004E7957">
        <w:t xml:space="preserve"> </w:t>
      </w:r>
      <w:r w:rsidRPr="009D3414">
        <w:t>should assess the person’s eligibility for those options and approve them if clinically appropriate; and</w:t>
      </w:r>
    </w:p>
    <w:p w14:paraId="282BEF46" w14:textId="145107E3" w:rsidR="0085223B" w:rsidRPr="008202E1" w:rsidRDefault="0085223B" w:rsidP="00FA34AC">
      <w:pPr>
        <w:pStyle w:val="ListBullet"/>
      </w:pPr>
      <w:r w:rsidRPr="009D3414">
        <w:t>if the person is only approved as eligible for transition care at the time of the initial assessment, it is likely they will need a re-assessment before the completion of their transition care episode, to establish their long-term care requirements. Where this is necessary, the clinical aged care needs assessor should consider any changes to the person’s care needs and ensure that the long</w:t>
      </w:r>
      <w:r w:rsidRPr="009D3414">
        <w:noBreakHyphen/>
        <w:t>term care recommendations reflect the revised level of need and the person’s preferences.</w:t>
      </w:r>
    </w:p>
    <w:p w14:paraId="57A1241F" w14:textId="58DF00D6" w:rsidR="00AB4E48" w:rsidRPr="008202E1" w:rsidRDefault="00AB4E48" w:rsidP="002053AE">
      <w:pPr>
        <w:pStyle w:val="heading4withoutnumbers"/>
        <w:rPr>
          <w:rFonts w:cs="Calibri"/>
          <w:b/>
          <w:bCs/>
        </w:rPr>
      </w:pPr>
      <w:r w:rsidRPr="008202E1">
        <w:rPr>
          <w:rFonts w:cs="Calibri"/>
          <w:b/>
          <w:bCs/>
        </w:rPr>
        <w:t xml:space="preserve">Assessment </w:t>
      </w:r>
      <w:r w:rsidR="002D405B" w:rsidRPr="008202E1">
        <w:rPr>
          <w:rFonts w:cs="Calibri"/>
          <w:b/>
          <w:bCs/>
        </w:rPr>
        <w:t>outcomes</w:t>
      </w:r>
      <w:r w:rsidRPr="008202E1">
        <w:rPr>
          <w:rFonts w:cs="Calibri"/>
          <w:b/>
          <w:bCs/>
        </w:rPr>
        <w:t xml:space="preserve"> for transition care</w:t>
      </w:r>
    </w:p>
    <w:p w14:paraId="0E7124BD" w14:textId="4BFC4726" w:rsidR="00F52634" w:rsidRPr="003A173C" w:rsidRDefault="000D6EF3" w:rsidP="6BE28294">
      <w:pPr>
        <w:pStyle w:val="ListBullet"/>
        <w:numPr>
          <w:ilvl w:val="0"/>
          <w:numId w:val="0"/>
        </w:numPr>
        <w:rPr>
          <w:rFonts w:cs="Calibri"/>
        </w:rPr>
      </w:pPr>
      <w:r w:rsidRPr="003A173C">
        <w:rPr>
          <w:rFonts w:cs="Calibri"/>
        </w:rPr>
        <w:t>T</w:t>
      </w:r>
      <w:r w:rsidR="00F52634" w:rsidRPr="003A173C">
        <w:rPr>
          <w:rFonts w:cs="Calibri"/>
        </w:rPr>
        <w:t xml:space="preserve">he assessment summary, findings, and recommendations for care are outlined in a Support Plan, developed by the </w:t>
      </w:r>
      <w:r w:rsidR="00BE5FB9">
        <w:rPr>
          <w:rFonts w:cs="Calibri"/>
        </w:rPr>
        <w:t>c</w:t>
      </w:r>
      <w:r w:rsidR="00F52634" w:rsidRPr="003A173C">
        <w:rPr>
          <w:rFonts w:cs="Calibri"/>
        </w:rPr>
        <w:t>linical</w:t>
      </w:r>
      <w:r w:rsidR="00BE5FB9">
        <w:rPr>
          <w:rFonts w:cs="Calibri"/>
        </w:rPr>
        <w:t xml:space="preserve"> aged care needs a</w:t>
      </w:r>
      <w:r w:rsidR="00F52634" w:rsidRPr="003A173C">
        <w:rPr>
          <w:rFonts w:cs="Calibri"/>
        </w:rPr>
        <w:t>ssessor</w:t>
      </w:r>
      <w:r w:rsidR="00752C3B">
        <w:rPr>
          <w:rFonts w:cs="Calibri"/>
        </w:rPr>
        <w:t>. I</w:t>
      </w:r>
      <w:r w:rsidR="00F52634" w:rsidRPr="003A173C">
        <w:rPr>
          <w:rFonts w:cs="Calibri"/>
        </w:rPr>
        <w:t xml:space="preserve">n terms of recommending for TCP, the </w:t>
      </w:r>
      <w:r w:rsidR="00BE5FB9">
        <w:rPr>
          <w:rFonts w:cs="Calibri"/>
        </w:rPr>
        <w:t>a</w:t>
      </w:r>
      <w:r w:rsidR="00F52634" w:rsidRPr="003A173C">
        <w:rPr>
          <w:rFonts w:cs="Calibri"/>
        </w:rPr>
        <w:t>ssessor will recommend the Care Type: Transition Care - After Hospital Care</w:t>
      </w:r>
      <w:r w:rsidR="00752C3B">
        <w:rPr>
          <w:rFonts w:cs="Calibri"/>
        </w:rPr>
        <w:t>. O</w:t>
      </w:r>
      <w:r w:rsidR="00F52634" w:rsidRPr="003A173C">
        <w:rPr>
          <w:rFonts w:cs="Calibri"/>
        </w:rPr>
        <w:t xml:space="preserve">nce the recommendation is approved by the Clinical Assessment Delegate, the client will be approved to receive care and services via TCP under all three of the following Service Groups: </w:t>
      </w:r>
    </w:p>
    <w:p w14:paraId="259B1890" w14:textId="7561C116" w:rsidR="00F52634" w:rsidRPr="003A173C" w:rsidRDefault="00F52634" w:rsidP="00FA34AC">
      <w:pPr>
        <w:pStyle w:val="ListBullet"/>
      </w:pPr>
      <w:r w:rsidRPr="003A173C">
        <w:t>Home Support;</w:t>
      </w:r>
    </w:p>
    <w:p w14:paraId="4A0A251A" w14:textId="68A1C01B" w:rsidR="00F52634" w:rsidRPr="003A173C" w:rsidRDefault="00F52634" w:rsidP="00FA34AC">
      <w:pPr>
        <w:pStyle w:val="ListBullet"/>
      </w:pPr>
      <w:r w:rsidRPr="003A173C">
        <w:t>Assistive Technology; and</w:t>
      </w:r>
    </w:p>
    <w:p w14:paraId="023E39A8" w14:textId="28425F0A" w:rsidR="00F52634" w:rsidRPr="003A173C" w:rsidRDefault="00F52634" w:rsidP="00FA34AC">
      <w:pPr>
        <w:pStyle w:val="ListBullet"/>
      </w:pPr>
      <w:r w:rsidRPr="003A173C">
        <w:t>Residential Care</w:t>
      </w:r>
      <w:r w:rsidR="0071476B">
        <w:t>.</w:t>
      </w:r>
    </w:p>
    <w:p w14:paraId="009686D0" w14:textId="771200C9" w:rsidR="001D6A35" w:rsidRPr="007206E9" w:rsidRDefault="00752C3B" w:rsidP="007206E9">
      <w:r>
        <w:rPr>
          <w:rFonts w:cs="Calibri"/>
        </w:rPr>
        <w:t>T</w:t>
      </w:r>
      <w:r w:rsidR="00F52634" w:rsidRPr="003A173C">
        <w:rPr>
          <w:rFonts w:cs="Calibri"/>
        </w:rPr>
        <w:t xml:space="preserve">he </w:t>
      </w:r>
      <w:r w:rsidR="00070741">
        <w:rPr>
          <w:rFonts w:cs="Calibri"/>
        </w:rPr>
        <w:t>c</w:t>
      </w:r>
      <w:r w:rsidR="00F52634" w:rsidRPr="003A173C">
        <w:rPr>
          <w:rFonts w:cs="Calibri"/>
        </w:rPr>
        <w:t>linical</w:t>
      </w:r>
      <w:r w:rsidR="00070741">
        <w:rPr>
          <w:rFonts w:cs="Calibri"/>
        </w:rPr>
        <w:t xml:space="preserve"> aged care needs</w:t>
      </w:r>
      <w:r w:rsidR="00532847">
        <w:rPr>
          <w:rFonts w:cs="Calibri"/>
        </w:rPr>
        <w:t xml:space="preserve"> a</w:t>
      </w:r>
      <w:r w:rsidR="00F52634" w:rsidRPr="003A173C">
        <w:rPr>
          <w:rFonts w:cs="Calibri"/>
        </w:rPr>
        <w:t>ssessor/</w:t>
      </w:r>
      <w:r>
        <w:rPr>
          <w:rFonts w:cs="Calibri"/>
        </w:rPr>
        <w:t>Assessment</w:t>
      </w:r>
      <w:r w:rsidR="00F52634" w:rsidRPr="003A173C">
        <w:rPr>
          <w:rFonts w:cs="Calibri"/>
        </w:rPr>
        <w:t xml:space="preserve"> Delegate does not need to select or identify specific Service Types (i.e. TCP Items in the Service List) in the Support Plan or the assessment system</w:t>
      </w:r>
      <w:r>
        <w:rPr>
          <w:rFonts w:cs="Calibri"/>
        </w:rPr>
        <w:t xml:space="preserve"> – </w:t>
      </w:r>
      <w:r w:rsidR="00F52634" w:rsidRPr="003A173C">
        <w:rPr>
          <w:rFonts w:cs="Calibri"/>
        </w:rPr>
        <w:t>approval</w:t>
      </w:r>
      <w:r>
        <w:rPr>
          <w:rFonts w:cs="Calibri"/>
        </w:rPr>
        <w:t xml:space="preserve"> </w:t>
      </w:r>
      <w:r w:rsidR="00F52634" w:rsidRPr="003A173C">
        <w:rPr>
          <w:rFonts w:cs="Calibri"/>
        </w:rPr>
        <w:t>for all TCP Service Types will automati</w:t>
      </w:r>
      <w:r w:rsidR="00F52634" w:rsidRPr="007206E9">
        <w:t>cally apply once the Support Plan is submitted and approved</w:t>
      </w:r>
      <w:r w:rsidR="001D6A35" w:rsidRPr="007206E9">
        <w:t>.</w:t>
      </w:r>
    </w:p>
    <w:p w14:paraId="3F1625B1" w14:textId="34D7A7BC" w:rsidR="00FB618F" w:rsidRPr="003A173C" w:rsidRDefault="001D6A35" w:rsidP="007206E9">
      <w:pPr>
        <w:rPr>
          <w:rFonts w:cs="Calibri"/>
        </w:rPr>
      </w:pPr>
      <w:r w:rsidRPr="007206E9">
        <w:t>A</w:t>
      </w:r>
      <w:r w:rsidR="00F52634" w:rsidRPr="007206E9">
        <w:t xml:space="preserve"> TCP client</w:t>
      </w:r>
      <w:r w:rsidR="00F52634" w:rsidRPr="003A173C">
        <w:rPr>
          <w:rFonts w:cs="Calibri"/>
        </w:rPr>
        <w:t xml:space="preserve"> will then be able to receive any of the TCP Service Types required to meet their determined care needs</w:t>
      </w:r>
      <w:r w:rsidR="00E4286B">
        <w:rPr>
          <w:rFonts w:cs="Calibri"/>
        </w:rPr>
        <w:t>.</w:t>
      </w:r>
      <w:r w:rsidR="00291F91">
        <w:rPr>
          <w:rFonts w:cs="Calibri"/>
        </w:rPr>
        <w:t xml:space="preserve"> </w:t>
      </w:r>
      <w:r w:rsidR="00FB618F" w:rsidRPr="003A173C">
        <w:rPr>
          <w:rFonts w:cs="Calibri"/>
        </w:rPr>
        <w:t xml:space="preserve">The specific TCP Service Types under which care and services will be provided to a client, are subsequently outlined in the client's detailed </w:t>
      </w:r>
      <w:r w:rsidR="00E4286B">
        <w:rPr>
          <w:rFonts w:cs="Calibri"/>
        </w:rPr>
        <w:t>c</w:t>
      </w:r>
      <w:r w:rsidR="00FB618F" w:rsidRPr="003A173C">
        <w:rPr>
          <w:rFonts w:cs="Calibri"/>
        </w:rPr>
        <w:t xml:space="preserve">are and </w:t>
      </w:r>
      <w:r w:rsidR="00E4286B">
        <w:rPr>
          <w:rFonts w:cs="Calibri"/>
        </w:rPr>
        <w:t>s</w:t>
      </w:r>
      <w:r w:rsidR="00FB618F" w:rsidRPr="003A173C">
        <w:rPr>
          <w:rFonts w:cs="Calibri"/>
        </w:rPr>
        <w:t xml:space="preserve">ervices </w:t>
      </w:r>
      <w:r w:rsidR="00E4286B">
        <w:rPr>
          <w:rFonts w:cs="Calibri"/>
        </w:rPr>
        <w:t>p</w:t>
      </w:r>
      <w:r w:rsidR="00FB618F" w:rsidRPr="003A173C">
        <w:rPr>
          <w:rFonts w:cs="Calibri"/>
        </w:rPr>
        <w:t xml:space="preserve">lan, developed by their TCP registered provider/associated provider in conjunction with the </w:t>
      </w:r>
      <w:r w:rsidR="00FC58C2">
        <w:rPr>
          <w:rFonts w:cs="Calibri"/>
        </w:rPr>
        <w:t>client and their</w:t>
      </w:r>
      <w:r w:rsidR="00FB618F" w:rsidRPr="003A173C">
        <w:rPr>
          <w:rFonts w:cs="Calibri"/>
        </w:rPr>
        <w:t xml:space="preserve"> supporting </w:t>
      </w:r>
      <w:r w:rsidR="00E4286B">
        <w:rPr>
          <w:rFonts w:cs="Calibri"/>
        </w:rPr>
        <w:t>m</w:t>
      </w:r>
      <w:r w:rsidR="00FB618F" w:rsidRPr="003A173C">
        <w:rPr>
          <w:rFonts w:cs="Calibri"/>
        </w:rPr>
        <w:t>ulti</w:t>
      </w:r>
      <w:r w:rsidR="00E4286B">
        <w:rPr>
          <w:rFonts w:cs="Calibri"/>
        </w:rPr>
        <w:t>d</w:t>
      </w:r>
      <w:r w:rsidR="00FB618F" w:rsidRPr="003A173C">
        <w:rPr>
          <w:rFonts w:cs="Calibri"/>
        </w:rPr>
        <w:t xml:space="preserve">isciplinary </w:t>
      </w:r>
      <w:r w:rsidR="00E4286B">
        <w:rPr>
          <w:rFonts w:cs="Calibri"/>
        </w:rPr>
        <w:t>t</w:t>
      </w:r>
      <w:r w:rsidR="00FB618F" w:rsidRPr="003A173C">
        <w:rPr>
          <w:rFonts w:cs="Calibri"/>
        </w:rPr>
        <w:t>eam</w:t>
      </w:r>
      <w:r w:rsidR="00E4286B">
        <w:rPr>
          <w:rFonts w:cs="Calibri"/>
        </w:rPr>
        <w:t>.</w:t>
      </w:r>
    </w:p>
    <w:p w14:paraId="057436F7" w14:textId="6FE1E4CD" w:rsidR="00605BA0" w:rsidRPr="00FA34AC" w:rsidRDefault="00605BA0" w:rsidP="008974DB">
      <w:pPr>
        <w:pStyle w:val="Style3"/>
      </w:pPr>
      <w:bookmarkStart w:id="599" w:name="_Toc211853655"/>
      <w:bookmarkStart w:id="600" w:name="_Toc211942123"/>
      <w:bookmarkStart w:id="601" w:name="_Toc211853656"/>
      <w:bookmarkStart w:id="602" w:name="_Toc211942124"/>
      <w:bookmarkStart w:id="603" w:name="_Toc211853657"/>
      <w:bookmarkStart w:id="604" w:name="_Toc211942125"/>
      <w:bookmarkStart w:id="605" w:name="_Toc211853658"/>
      <w:bookmarkStart w:id="606" w:name="_Toc211942126"/>
      <w:bookmarkStart w:id="607" w:name="_Toc211853659"/>
      <w:bookmarkStart w:id="608" w:name="_Toc211942127"/>
      <w:bookmarkStart w:id="609" w:name="_Toc211853660"/>
      <w:bookmarkStart w:id="610" w:name="_Toc211942128"/>
      <w:bookmarkStart w:id="611" w:name="_Toc211853661"/>
      <w:bookmarkStart w:id="612" w:name="_Toc211942129"/>
      <w:bookmarkStart w:id="613" w:name="_Toc245536170"/>
      <w:bookmarkStart w:id="614" w:name="_Toc395537182"/>
      <w:bookmarkStart w:id="615" w:name="_Toc422732540"/>
      <w:bookmarkStart w:id="616" w:name="_Toc422752880"/>
      <w:bookmarkStart w:id="617" w:name="_Toc216865470"/>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r w:rsidRPr="00FA34AC">
        <w:t>Approval for transition care</w:t>
      </w:r>
      <w:bookmarkEnd w:id="613"/>
      <w:bookmarkEnd w:id="614"/>
      <w:bookmarkEnd w:id="615"/>
      <w:bookmarkEnd w:id="616"/>
      <w:bookmarkEnd w:id="617"/>
    </w:p>
    <w:p w14:paraId="61EAA27B" w14:textId="045F5531" w:rsidR="00605BA0" w:rsidRPr="003A173C" w:rsidRDefault="00605BA0" w:rsidP="000F25B7">
      <w:pPr>
        <w:rPr>
          <w:rFonts w:cs="Calibri"/>
        </w:rPr>
      </w:pPr>
      <w:r w:rsidRPr="003A173C">
        <w:rPr>
          <w:rFonts w:cs="Calibri"/>
        </w:rPr>
        <w:t xml:space="preserve">An </w:t>
      </w:r>
      <w:r w:rsidR="00516B8D" w:rsidRPr="003A173C">
        <w:rPr>
          <w:rFonts w:cs="Calibri"/>
        </w:rPr>
        <w:t xml:space="preserve">aged care </w:t>
      </w:r>
      <w:r w:rsidR="00C819E4" w:rsidRPr="003A173C">
        <w:rPr>
          <w:rFonts w:cs="Calibri"/>
        </w:rPr>
        <w:t xml:space="preserve">needs </w:t>
      </w:r>
      <w:r w:rsidR="00516B8D" w:rsidRPr="003A173C">
        <w:rPr>
          <w:rFonts w:cs="Calibri"/>
        </w:rPr>
        <w:t xml:space="preserve">assessment </w:t>
      </w:r>
      <w:r w:rsidRPr="003A173C">
        <w:rPr>
          <w:rFonts w:cs="Calibri"/>
        </w:rPr>
        <w:t xml:space="preserve">approval to enter transition care is valid on the date the </w:t>
      </w:r>
      <w:r w:rsidR="00FD7339" w:rsidRPr="003A173C">
        <w:rPr>
          <w:rFonts w:cs="Calibri"/>
        </w:rPr>
        <w:t>a</w:t>
      </w:r>
      <w:r w:rsidR="00516B8D" w:rsidRPr="003A173C">
        <w:rPr>
          <w:rFonts w:cs="Calibri"/>
        </w:rPr>
        <w:t>ssessment</w:t>
      </w:r>
      <w:r w:rsidRPr="003A173C">
        <w:rPr>
          <w:rFonts w:cs="Calibri"/>
        </w:rPr>
        <w:t xml:space="preserve"> </w:t>
      </w:r>
      <w:r w:rsidR="00FD7339" w:rsidRPr="003A173C">
        <w:rPr>
          <w:rFonts w:cs="Calibri"/>
        </w:rPr>
        <w:t>d</w:t>
      </w:r>
      <w:r w:rsidRPr="003A173C">
        <w:rPr>
          <w:rFonts w:cs="Calibri"/>
        </w:rPr>
        <w:t>elegate signs the approval, and then for four weeks (28 calendar days) after the date of signing.</w:t>
      </w:r>
      <w:r w:rsidR="00772C76" w:rsidRPr="003A173C">
        <w:rPr>
          <w:rFonts w:cs="Calibri"/>
        </w:rPr>
        <w:t xml:space="preserve"> </w:t>
      </w:r>
      <w:r w:rsidRPr="003A173C">
        <w:rPr>
          <w:rFonts w:cs="Calibri"/>
        </w:rPr>
        <w:t xml:space="preserve">The </w:t>
      </w:r>
      <w:r w:rsidR="00D41A8A" w:rsidRPr="003A173C">
        <w:rPr>
          <w:rFonts w:cs="Calibri"/>
        </w:rPr>
        <w:t>client</w:t>
      </w:r>
      <w:r w:rsidRPr="003A173C">
        <w:rPr>
          <w:rFonts w:cs="Calibri"/>
        </w:rPr>
        <w:t xml:space="preserve"> must enter the </w:t>
      </w:r>
      <w:r w:rsidR="00B505C7" w:rsidRPr="003A173C">
        <w:rPr>
          <w:rFonts w:cs="Calibri"/>
        </w:rPr>
        <w:t>program</w:t>
      </w:r>
      <w:r w:rsidRPr="003A173C">
        <w:rPr>
          <w:rFonts w:cs="Calibri"/>
        </w:rPr>
        <w:t xml:space="preserve"> within this four week ‘entry period’.</w:t>
      </w:r>
      <w:r w:rsidR="00772C76" w:rsidRPr="003A173C">
        <w:rPr>
          <w:rFonts w:cs="Calibri"/>
        </w:rPr>
        <w:t xml:space="preserve"> </w:t>
      </w:r>
      <w:r w:rsidRPr="003A173C">
        <w:rPr>
          <w:rFonts w:cs="Calibri"/>
        </w:rPr>
        <w:t xml:space="preserve">If the </w:t>
      </w:r>
      <w:r w:rsidR="00C06B80" w:rsidRPr="003A173C">
        <w:rPr>
          <w:rFonts w:cs="Calibri"/>
        </w:rPr>
        <w:t>client</w:t>
      </w:r>
      <w:r w:rsidRPr="003A173C">
        <w:rPr>
          <w:rFonts w:cs="Calibri"/>
        </w:rPr>
        <w:t xml:space="preserve"> does not enter the </w:t>
      </w:r>
      <w:r w:rsidR="00B505C7" w:rsidRPr="003A173C">
        <w:rPr>
          <w:rFonts w:cs="Calibri"/>
        </w:rPr>
        <w:t>program</w:t>
      </w:r>
      <w:r w:rsidRPr="003A173C">
        <w:rPr>
          <w:rFonts w:cs="Calibri"/>
        </w:rPr>
        <w:t xml:space="preserve"> within the </w:t>
      </w:r>
      <w:r w:rsidR="0064270C" w:rsidRPr="003A173C">
        <w:rPr>
          <w:rFonts w:cs="Calibri"/>
        </w:rPr>
        <w:t>four-week</w:t>
      </w:r>
      <w:r w:rsidRPr="003A173C">
        <w:rPr>
          <w:rFonts w:cs="Calibri"/>
        </w:rPr>
        <w:t xml:space="preserve"> period, their approval will lapse and they will need a</w:t>
      </w:r>
      <w:r w:rsidR="006E66E4" w:rsidRPr="003A173C">
        <w:rPr>
          <w:rFonts w:cs="Calibri"/>
        </w:rPr>
        <w:t xml:space="preserve"> re-assessment for transition care, if appropriate.</w:t>
      </w:r>
    </w:p>
    <w:p w14:paraId="016833AF" w14:textId="3F1D2D28" w:rsidR="00402CDD" w:rsidRPr="003A173C" w:rsidRDefault="00605BA0" w:rsidP="000F25B7">
      <w:pPr>
        <w:rPr>
          <w:rFonts w:cs="Calibri"/>
          <w:szCs w:val="20"/>
        </w:rPr>
      </w:pPr>
      <w:r w:rsidRPr="003A173C">
        <w:rPr>
          <w:rFonts w:cs="Calibri"/>
          <w:szCs w:val="20"/>
        </w:rPr>
        <w:t xml:space="preserve">As transition care places may become vacant at short notice, </w:t>
      </w:r>
      <w:r w:rsidR="00E33AB8" w:rsidRPr="003A173C">
        <w:rPr>
          <w:rFonts w:cs="Calibri"/>
          <w:szCs w:val="20"/>
        </w:rPr>
        <w:t>assessment</w:t>
      </w:r>
      <w:r w:rsidR="00BA0F89" w:rsidRPr="003A173C">
        <w:rPr>
          <w:rFonts w:cs="Calibri"/>
          <w:szCs w:val="20"/>
        </w:rPr>
        <w:t xml:space="preserve"> delegates </w:t>
      </w:r>
      <w:r w:rsidRPr="003A173C">
        <w:rPr>
          <w:rFonts w:cs="Calibri"/>
          <w:szCs w:val="20"/>
        </w:rPr>
        <w:t>should approve eligible clients for transition care even if there is not an immediate vacancy at the time of referral.</w:t>
      </w:r>
    </w:p>
    <w:p w14:paraId="159382BD" w14:textId="23CF83C3" w:rsidR="00605BA0" w:rsidRPr="003A173C" w:rsidRDefault="00605BA0" w:rsidP="000F25B7">
      <w:pPr>
        <w:rPr>
          <w:rFonts w:cs="Calibri"/>
          <w:szCs w:val="20"/>
        </w:rPr>
      </w:pPr>
      <w:r w:rsidRPr="003A173C">
        <w:rPr>
          <w:rFonts w:cs="Calibri"/>
          <w:szCs w:val="20"/>
        </w:rPr>
        <w:t xml:space="preserve">As with all </w:t>
      </w:r>
      <w:r w:rsidR="004C5604" w:rsidRPr="003A173C">
        <w:rPr>
          <w:rFonts w:cs="Calibri"/>
          <w:szCs w:val="20"/>
        </w:rPr>
        <w:t xml:space="preserve">aged care </w:t>
      </w:r>
      <w:r w:rsidR="00ED4020" w:rsidRPr="003A173C">
        <w:rPr>
          <w:rFonts w:cs="Calibri"/>
          <w:szCs w:val="20"/>
        </w:rPr>
        <w:t xml:space="preserve">needs </w:t>
      </w:r>
      <w:r w:rsidR="004C5604" w:rsidRPr="003A173C">
        <w:rPr>
          <w:rFonts w:cs="Calibri"/>
          <w:szCs w:val="20"/>
        </w:rPr>
        <w:t xml:space="preserve">assessment </w:t>
      </w:r>
      <w:r w:rsidRPr="003A173C">
        <w:rPr>
          <w:rFonts w:cs="Calibri"/>
          <w:szCs w:val="20"/>
        </w:rPr>
        <w:t xml:space="preserve">approvals, clients </w:t>
      </w:r>
      <w:r w:rsidR="00F6454E" w:rsidRPr="003A173C">
        <w:rPr>
          <w:rFonts w:cs="Calibri"/>
          <w:szCs w:val="20"/>
        </w:rPr>
        <w:t>are</w:t>
      </w:r>
      <w:r w:rsidR="00714F19" w:rsidRPr="003A173C">
        <w:rPr>
          <w:rFonts w:cs="Calibri"/>
          <w:szCs w:val="20"/>
        </w:rPr>
        <w:t xml:space="preserve"> to</w:t>
      </w:r>
      <w:r w:rsidRPr="003A173C">
        <w:rPr>
          <w:rFonts w:cs="Calibri"/>
          <w:szCs w:val="20"/>
        </w:rPr>
        <w:t xml:space="preserve"> be reminded that approval does not guarantee a place, particularly if a vacancy does not present itself during the person’s stay in hospital.</w:t>
      </w:r>
    </w:p>
    <w:p w14:paraId="3A357E8A" w14:textId="435A06A2" w:rsidR="00667961" w:rsidRPr="003A173C" w:rsidRDefault="00605BA0" w:rsidP="000F25B7">
      <w:pPr>
        <w:rPr>
          <w:rFonts w:cs="Calibri"/>
          <w:szCs w:val="20"/>
        </w:rPr>
      </w:pPr>
      <w:r w:rsidRPr="003A173C">
        <w:rPr>
          <w:rFonts w:cs="Calibri"/>
          <w:szCs w:val="20"/>
        </w:rPr>
        <w:t xml:space="preserve">The result of an </w:t>
      </w:r>
      <w:r w:rsidR="004C5604" w:rsidRPr="003A173C">
        <w:rPr>
          <w:rFonts w:cs="Calibri"/>
          <w:szCs w:val="20"/>
        </w:rPr>
        <w:t xml:space="preserve">aged care </w:t>
      </w:r>
      <w:r w:rsidR="004725F1" w:rsidRPr="003A173C">
        <w:rPr>
          <w:rFonts w:cs="Calibri"/>
          <w:szCs w:val="20"/>
        </w:rPr>
        <w:t xml:space="preserve">needs </w:t>
      </w:r>
      <w:r w:rsidRPr="003A173C">
        <w:rPr>
          <w:rFonts w:cs="Calibri"/>
          <w:szCs w:val="20"/>
        </w:rPr>
        <w:t xml:space="preserve">assessment, and the decision to approve or not approve a person to receive transition care, must be provided to the person who has applied for the care (or their </w:t>
      </w:r>
      <w:r w:rsidR="007F7987" w:rsidRPr="003A173C">
        <w:rPr>
          <w:rFonts w:cs="Calibri"/>
          <w:szCs w:val="20"/>
        </w:rPr>
        <w:t>supporter</w:t>
      </w:r>
      <w:r w:rsidRPr="003A173C">
        <w:rPr>
          <w:rFonts w:cs="Calibri"/>
          <w:szCs w:val="20"/>
        </w:rPr>
        <w:t>) in writing</w:t>
      </w:r>
      <w:r w:rsidR="00185FF3" w:rsidRPr="003A173C">
        <w:rPr>
          <w:rFonts w:cs="Calibri"/>
          <w:szCs w:val="20"/>
        </w:rPr>
        <w:t xml:space="preserve">. The applicant must also be </w:t>
      </w:r>
      <w:r w:rsidRPr="003A173C">
        <w:rPr>
          <w:rFonts w:cs="Calibri"/>
          <w:szCs w:val="20"/>
        </w:rPr>
        <w:t>provide</w:t>
      </w:r>
      <w:r w:rsidR="00185FF3" w:rsidRPr="003A173C">
        <w:rPr>
          <w:rFonts w:cs="Calibri"/>
          <w:szCs w:val="20"/>
        </w:rPr>
        <w:t>d with</w:t>
      </w:r>
      <w:r w:rsidRPr="003A173C">
        <w:rPr>
          <w:rFonts w:cs="Calibri"/>
          <w:szCs w:val="20"/>
        </w:rPr>
        <w:t xml:space="preserve"> the reasons for the decision</w:t>
      </w:r>
      <w:r w:rsidR="0014018F" w:rsidRPr="003A173C">
        <w:rPr>
          <w:rFonts w:cs="Calibri"/>
          <w:szCs w:val="20"/>
        </w:rPr>
        <w:t xml:space="preserve"> under section 70 of the Act</w:t>
      </w:r>
      <w:r w:rsidRPr="003A173C">
        <w:rPr>
          <w:rFonts w:cs="Calibri"/>
          <w:szCs w:val="20"/>
        </w:rPr>
        <w:t>. A decision to reject a person’s application for transition care is a ‘reviewable decision’ under section</w:t>
      </w:r>
      <w:r w:rsidR="00936CAB" w:rsidRPr="003A173C">
        <w:rPr>
          <w:rFonts w:cs="Calibri"/>
          <w:szCs w:val="20"/>
        </w:rPr>
        <w:t xml:space="preserve"> 557 </w:t>
      </w:r>
      <w:r w:rsidRPr="003A173C">
        <w:rPr>
          <w:rFonts w:cs="Calibri"/>
          <w:szCs w:val="20"/>
        </w:rPr>
        <w:t xml:space="preserve">of the </w:t>
      </w:r>
      <w:r w:rsidR="00BB0515" w:rsidRPr="003A173C">
        <w:rPr>
          <w:rFonts w:cs="Calibri"/>
          <w:szCs w:val="20"/>
        </w:rPr>
        <w:t>Act</w:t>
      </w:r>
      <w:r w:rsidRPr="003A173C">
        <w:rPr>
          <w:rFonts w:cs="Calibri"/>
          <w:szCs w:val="20"/>
        </w:rPr>
        <w:t xml:space="preserve">. The </w:t>
      </w:r>
      <w:hyperlink r:id="rId42" w:history="1">
        <w:r w:rsidR="00F6454E" w:rsidRPr="003A173C">
          <w:rPr>
            <w:rStyle w:val="Hyperlink"/>
            <w:rFonts w:ascii="Calibri" w:hAnsi="Calibri" w:cs="Calibri"/>
            <w:sz w:val="20"/>
            <w:szCs w:val="20"/>
          </w:rPr>
          <w:t>My Aged Care Assessment Manual</w:t>
        </w:r>
      </w:hyperlink>
      <w:r w:rsidR="00EF129D" w:rsidRPr="003A173C">
        <w:rPr>
          <w:rFonts w:cs="Calibri"/>
          <w:szCs w:val="20"/>
        </w:rPr>
        <w:t xml:space="preserve"> </w:t>
      </w:r>
      <w:r w:rsidR="002D2457" w:rsidRPr="003A173C">
        <w:rPr>
          <w:rFonts w:cs="Calibri"/>
          <w:szCs w:val="20"/>
        </w:rPr>
        <w:t>contains further information</w:t>
      </w:r>
      <w:r w:rsidR="0080737E" w:rsidRPr="003A173C">
        <w:rPr>
          <w:rFonts w:cs="Calibri"/>
          <w:szCs w:val="20"/>
        </w:rPr>
        <w:t xml:space="preserve"> on reviewable decisions</w:t>
      </w:r>
      <w:r w:rsidRPr="003A173C">
        <w:rPr>
          <w:rFonts w:cs="Calibri"/>
          <w:szCs w:val="20"/>
        </w:rPr>
        <w:t>.</w:t>
      </w:r>
    </w:p>
    <w:p w14:paraId="1547470B" w14:textId="70786148" w:rsidR="00667961" w:rsidRPr="00721280" w:rsidRDefault="00D7689F" w:rsidP="008974DB">
      <w:pPr>
        <w:pStyle w:val="Style3"/>
      </w:pPr>
      <w:bookmarkStart w:id="618" w:name="_Toc395537183"/>
      <w:bookmarkStart w:id="619" w:name="_Toc422732541"/>
      <w:bookmarkStart w:id="620" w:name="_Toc422752881"/>
      <w:bookmarkStart w:id="621" w:name="_Toc197076888"/>
      <w:r>
        <w:br w:type="column"/>
      </w:r>
      <w:bookmarkStart w:id="622" w:name="_Toc216865471"/>
      <w:r w:rsidR="00667961" w:rsidRPr="00721280">
        <w:lastRenderedPageBreak/>
        <w:t xml:space="preserve">Assessment and approval </w:t>
      </w:r>
      <w:r w:rsidR="00C33F12" w:rsidRPr="00721280">
        <w:t xml:space="preserve">within </w:t>
      </w:r>
      <w:r w:rsidR="00667961" w:rsidRPr="00721280">
        <w:t>in a short stay unit of an emergency department</w:t>
      </w:r>
      <w:bookmarkEnd w:id="618"/>
      <w:bookmarkEnd w:id="619"/>
      <w:bookmarkEnd w:id="620"/>
      <w:bookmarkEnd w:id="621"/>
      <w:bookmarkEnd w:id="622"/>
    </w:p>
    <w:p w14:paraId="6A7D2E0F" w14:textId="1C88B052" w:rsidR="00667961" w:rsidRPr="003A173C" w:rsidRDefault="00667961" w:rsidP="00667961">
      <w:pPr>
        <w:rPr>
          <w:rFonts w:cs="Calibri"/>
          <w:szCs w:val="20"/>
        </w:rPr>
      </w:pPr>
      <w:r w:rsidRPr="003A173C">
        <w:rPr>
          <w:rFonts w:cs="Calibri"/>
          <w:szCs w:val="20"/>
        </w:rPr>
        <w:t>Where appropriate, older people ma</w:t>
      </w:r>
      <w:r w:rsidR="003271DF" w:rsidRPr="003A173C">
        <w:rPr>
          <w:rFonts w:cs="Calibri"/>
          <w:szCs w:val="20"/>
        </w:rPr>
        <w:t xml:space="preserve">y be assessed </w:t>
      </w:r>
      <w:r w:rsidR="008268AE" w:rsidRPr="003A173C">
        <w:rPr>
          <w:rFonts w:cs="Calibri"/>
          <w:szCs w:val="20"/>
        </w:rPr>
        <w:t xml:space="preserve">and approved </w:t>
      </w:r>
      <w:r w:rsidR="003271DF" w:rsidRPr="003A173C">
        <w:rPr>
          <w:rFonts w:cs="Calibri"/>
          <w:szCs w:val="20"/>
        </w:rPr>
        <w:t>for</w:t>
      </w:r>
      <w:r w:rsidRPr="003A173C">
        <w:rPr>
          <w:rFonts w:cs="Calibri"/>
          <w:szCs w:val="20"/>
        </w:rPr>
        <w:t xml:space="preserve"> the progra</w:t>
      </w:r>
      <w:r w:rsidR="003271DF" w:rsidRPr="003A173C">
        <w:rPr>
          <w:rFonts w:cs="Calibri"/>
          <w:szCs w:val="20"/>
        </w:rPr>
        <w:t>m</w:t>
      </w:r>
      <w:r w:rsidR="000B6556" w:rsidRPr="003A173C">
        <w:rPr>
          <w:rFonts w:cs="Calibri"/>
          <w:szCs w:val="20"/>
        </w:rPr>
        <w:t xml:space="preserve"> by a</w:t>
      </w:r>
      <w:r w:rsidR="009C7C91" w:rsidRPr="003A173C">
        <w:rPr>
          <w:rFonts w:cs="Calibri"/>
          <w:szCs w:val="20"/>
        </w:rPr>
        <w:t xml:space="preserve"> clinical aged care needs assessor</w:t>
      </w:r>
      <w:r w:rsidRPr="003A173C">
        <w:rPr>
          <w:rFonts w:cs="Calibri"/>
          <w:szCs w:val="20"/>
        </w:rPr>
        <w:t xml:space="preserve"> from a short stay unit or equivalent in an emergency department, provided:</w:t>
      </w:r>
    </w:p>
    <w:p w14:paraId="5F5CF713" w14:textId="3AE7C986" w:rsidR="00667961" w:rsidRPr="00875518" w:rsidRDefault="00667961" w:rsidP="00FA34AC">
      <w:pPr>
        <w:pStyle w:val="ListBullet"/>
      </w:pPr>
      <w:r w:rsidRPr="003A173C">
        <w:rPr>
          <w:szCs w:val="20"/>
        </w:rPr>
        <w:t xml:space="preserve">they have been </w:t>
      </w:r>
      <w:r w:rsidRPr="00875518">
        <w:t>admitted to hospital</w:t>
      </w:r>
      <w:r w:rsidR="009C7C91" w:rsidRPr="00875518">
        <w:t xml:space="preserve"> and are classified as an admitted </w:t>
      </w:r>
      <w:r w:rsidR="001174B5" w:rsidRPr="00875518">
        <w:t xml:space="preserve">patient </w:t>
      </w:r>
      <w:r w:rsidR="009C7C91" w:rsidRPr="00875518">
        <w:t xml:space="preserve">in the emergency department </w:t>
      </w:r>
      <w:r w:rsidR="001174B5" w:rsidRPr="00875518">
        <w:t>ward</w:t>
      </w:r>
      <w:r w:rsidRPr="00875518">
        <w:t>;</w:t>
      </w:r>
    </w:p>
    <w:p w14:paraId="0C7F76E3" w14:textId="5E00E9C8" w:rsidR="00667961" w:rsidRPr="00875518" w:rsidRDefault="00667961" w:rsidP="00FA34AC">
      <w:pPr>
        <w:pStyle w:val="ListBullet"/>
      </w:pPr>
      <w:r w:rsidRPr="00875518">
        <w:t>they are medically stable</w:t>
      </w:r>
      <w:r w:rsidR="008268AE" w:rsidRPr="00875518">
        <w:t xml:space="preserve"> at the time of assessment</w:t>
      </w:r>
      <w:r w:rsidRPr="00875518">
        <w:t>, have had an aged care assessment, and have been approved as meeting all other eligibility criteria for transition care; and</w:t>
      </w:r>
    </w:p>
    <w:p w14:paraId="110093EC" w14:textId="3E68C59B" w:rsidR="00667961" w:rsidRPr="003A173C" w:rsidRDefault="00667961" w:rsidP="00FA34AC">
      <w:pPr>
        <w:pStyle w:val="ListBullet"/>
        <w:rPr>
          <w:szCs w:val="20"/>
        </w:rPr>
      </w:pPr>
      <w:r w:rsidRPr="00875518">
        <w:t>it is not more appropriate</w:t>
      </w:r>
      <w:r w:rsidRPr="003A173C">
        <w:rPr>
          <w:szCs w:val="20"/>
        </w:rPr>
        <w:t xml:space="preserve"> for the patient to receive subacute care such as rehabilitation or geriatric evaluation and management</w:t>
      </w:r>
      <w:bookmarkStart w:id="623" w:name="_Ref7609909"/>
      <w:r w:rsidR="00A1600D">
        <w:rPr>
          <w:szCs w:val="20"/>
        </w:rPr>
        <w:t>.</w:t>
      </w:r>
      <w:r w:rsidRPr="003A173C">
        <w:rPr>
          <w:szCs w:val="20"/>
          <w:vertAlign w:val="superscript"/>
        </w:rPr>
        <w:footnoteReference w:id="9"/>
      </w:r>
      <w:bookmarkEnd w:id="623"/>
    </w:p>
    <w:p w14:paraId="27AF43A5" w14:textId="4746CCF1" w:rsidR="00667961" w:rsidRPr="003A173C" w:rsidRDefault="00667961" w:rsidP="000F25B7">
      <w:pPr>
        <w:rPr>
          <w:rFonts w:cs="Calibri"/>
          <w:szCs w:val="20"/>
        </w:rPr>
      </w:pPr>
      <w:r w:rsidRPr="003A173C">
        <w:rPr>
          <w:rFonts w:cs="Calibri"/>
          <w:szCs w:val="20"/>
        </w:rPr>
        <w:t xml:space="preserve">The care provided while the </w:t>
      </w:r>
      <w:r w:rsidR="006E233F" w:rsidRPr="003A173C">
        <w:rPr>
          <w:rFonts w:cs="Calibri"/>
          <w:szCs w:val="20"/>
        </w:rPr>
        <w:t>individual</w:t>
      </w:r>
      <w:r w:rsidRPr="003A173C">
        <w:rPr>
          <w:rFonts w:cs="Calibri"/>
          <w:szCs w:val="20"/>
        </w:rPr>
        <w:t xml:space="preserve"> is an in-patient of the short stay unit </w:t>
      </w:r>
      <w:r w:rsidR="006E233F" w:rsidRPr="003A173C">
        <w:rPr>
          <w:rFonts w:cs="Calibri"/>
          <w:szCs w:val="20"/>
        </w:rPr>
        <w:t xml:space="preserve">of an emergency department </w:t>
      </w:r>
      <w:r w:rsidRPr="003A173C">
        <w:rPr>
          <w:rFonts w:cs="Calibri"/>
          <w:szCs w:val="20"/>
        </w:rPr>
        <w:t xml:space="preserve">should involve discussion between the treating multidisciplinary team, geriatrician, and transition care service staff, as well as a comprehensive assessment by a clinical aged care needs assessor to ensure the person is medically stable and not identified prematurely for the </w:t>
      </w:r>
      <w:r w:rsidR="0045248D" w:rsidRPr="003A173C">
        <w:rPr>
          <w:rFonts w:cs="Calibri"/>
          <w:szCs w:val="20"/>
        </w:rPr>
        <w:t xml:space="preserve">TCP. </w:t>
      </w:r>
    </w:p>
    <w:p w14:paraId="6D7B0222" w14:textId="7BD9FCA9" w:rsidR="00605BA0" w:rsidRPr="003A173C" w:rsidRDefault="00605BA0" w:rsidP="008974DB">
      <w:pPr>
        <w:pStyle w:val="Style3"/>
      </w:pPr>
      <w:bookmarkStart w:id="624" w:name="_Toc205369437"/>
      <w:bookmarkStart w:id="625" w:name="_Toc205374389"/>
      <w:bookmarkStart w:id="626" w:name="_Toc205374537"/>
      <w:bookmarkStart w:id="627" w:name="_Toc205378250"/>
      <w:bookmarkStart w:id="628" w:name="_Toc205378484"/>
      <w:bookmarkStart w:id="629" w:name="_Toc205378718"/>
      <w:bookmarkStart w:id="630" w:name="_Toc205378951"/>
      <w:bookmarkStart w:id="631" w:name="_Toc205379184"/>
      <w:bookmarkStart w:id="632" w:name="_Toc205379417"/>
      <w:bookmarkStart w:id="633" w:name="_Toc205379642"/>
      <w:bookmarkStart w:id="634" w:name="_Toc205379866"/>
      <w:bookmarkStart w:id="635" w:name="_Toc205395324"/>
      <w:bookmarkStart w:id="636" w:name="_Toc205396118"/>
      <w:bookmarkStart w:id="637" w:name="_Toc205397649"/>
      <w:bookmarkStart w:id="638" w:name="_Toc205397874"/>
      <w:bookmarkStart w:id="639" w:name="_Toc205468500"/>
      <w:bookmarkStart w:id="640" w:name="_Toc205468959"/>
      <w:bookmarkStart w:id="641" w:name="_Toc205479751"/>
      <w:bookmarkStart w:id="642" w:name="_Toc205560824"/>
      <w:bookmarkStart w:id="643" w:name="_Toc205561049"/>
      <w:bookmarkStart w:id="644" w:name="_Toc205819101"/>
      <w:bookmarkStart w:id="645" w:name="_Toc205890649"/>
      <w:bookmarkStart w:id="646" w:name="_Toc205890789"/>
      <w:bookmarkStart w:id="647" w:name="_Toc205891999"/>
      <w:bookmarkStart w:id="648" w:name="_Toc205897156"/>
      <w:bookmarkStart w:id="649" w:name="_Toc205906039"/>
      <w:bookmarkStart w:id="650" w:name="_Toc205909177"/>
      <w:bookmarkStart w:id="651" w:name="_Toc205909670"/>
      <w:bookmarkStart w:id="652" w:name="_Toc205909976"/>
      <w:bookmarkStart w:id="653" w:name="_Toc205974485"/>
      <w:bookmarkStart w:id="654" w:name="_Toc205974625"/>
      <w:bookmarkStart w:id="655" w:name="_Toc205974765"/>
      <w:bookmarkStart w:id="656" w:name="_Toc205999064"/>
      <w:bookmarkStart w:id="657" w:name="_Toc206001373"/>
      <w:bookmarkStart w:id="658" w:name="_Toc206001515"/>
      <w:bookmarkStart w:id="659" w:name="_Toc206001656"/>
      <w:bookmarkStart w:id="660" w:name="_Toc206001798"/>
      <w:bookmarkStart w:id="661" w:name="_Toc206003720"/>
      <w:bookmarkStart w:id="662" w:name="_Toc206006208"/>
      <w:bookmarkStart w:id="663" w:name="_Toc206006529"/>
      <w:bookmarkStart w:id="664" w:name="_Toc206006670"/>
      <w:bookmarkStart w:id="665" w:name="_Toc206059545"/>
      <w:bookmarkStart w:id="666" w:name="_Toc206084462"/>
      <w:bookmarkStart w:id="667" w:name="_Toc206143910"/>
      <w:bookmarkStart w:id="668" w:name="_Toc206153598"/>
      <w:bookmarkStart w:id="669" w:name="_Toc206155647"/>
      <w:bookmarkStart w:id="670" w:name="_Toc206155788"/>
      <w:bookmarkStart w:id="671" w:name="_Toc206156994"/>
      <w:bookmarkStart w:id="672" w:name="_Toc206157214"/>
      <w:bookmarkStart w:id="673" w:name="_Toc205369438"/>
      <w:bookmarkStart w:id="674" w:name="_Toc205374390"/>
      <w:bookmarkStart w:id="675" w:name="_Toc205374538"/>
      <w:bookmarkStart w:id="676" w:name="_Toc205378251"/>
      <w:bookmarkStart w:id="677" w:name="_Toc205378485"/>
      <w:bookmarkStart w:id="678" w:name="_Toc205378719"/>
      <w:bookmarkStart w:id="679" w:name="_Toc205378952"/>
      <w:bookmarkStart w:id="680" w:name="_Toc205379185"/>
      <w:bookmarkStart w:id="681" w:name="_Toc205379418"/>
      <w:bookmarkStart w:id="682" w:name="_Toc205379643"/>
      <w:bookmarkStart w:id="683" w:name="_Toc205379867"/>
      <w:bookmarkStart w:id="684" w:name="_Toc205395325"/>
      <w:bookmarkStart w:id="685" w:name="_Toc205396119"/>
      <w:bookmarkStart w:id="686" w:name="_Toc205397650"/>
      <w:bookmarkStart w:id="687" w:name="_Toc205397875"/>
      <w:bookmarkStart w:id="688" w:name="_Toc205468501"/>
      <w:bookmarkStart w:id="689" w:name="_Toc205468960"/>
      <w:bookmarkStart w:id="690" w:name="_Toc205479752"/>
      <w:bookmarkStart w:id="691" w:name="_Toc205560825"/>
      <w:bookmarkStart w:id="692" w:name="_Toc205561050"/>
      <w:bookmarkStart w:id="693" w:name="_Toc205819102"/>
      <w:bookmarkStart w:id="694" w:name="_Toc205890650"/>
      <w:bookmarkStart w:id="695" w:name="_Toc205890790"/>
      <w:bookmarkStart w:id="696" w:name="_Toc205892000"/>
      <w:bookmarkStart w:id="697" w:name="_Toc205897157"/>
      <w:bookmarkStart w:id="698" w:name="_Toc205906040"/>
      <w:bookmarkStart w:id="699" w:name="_Toc205909178"/>
      <w:bookmarkStart w:id="700" w:name="_Toc205909671"/>
      <w:bookmarkStart w:id="701" w:name="_Toc205909977"/>
      <w:bookmarkStart w:id="702" w:name="_Toc205974486"/>
      <w:bookmarkStart w:id="703" w:name="_Toc205974626"/>
      <w:bookmarkStart w:id="704" w:name="_Toc205974766"/>
      <w:bookmarkStart w:id="705" w:name="_Toc205999065"/>
      <w:bookmarkStart w:id="706" w:name="_Toc206001374"/>
      <w:bookmarkStart w:id="707" w:name="_Toc206001516"/>
      <w:bookmarkStart w:id="708" w:name="_Toc206001657"/>
      <w:bookmarkStart w:id="709" w:name="_Toc206001799"/>
      <w:bookmarkStart w:id="710" w:name="_Toc206003721"/>
      <w:bookmarkStart w:id="711" w:name="_Toc206006209"/>
      <w:bookmarkStart w:id="712" w:name="_Toc206006530"/>
      <w:bookmarkStart w:id="713" w:name="_Toc206006671"/>
      <w:bookmarkStart w:id="714" w:name="_Toc206059546"/>
      <w:bookmarkStart w:id="715" w:name="_Toc206084463"/>
      <w:bookmarkStart w:id="716" w:name="_Toc206143911"/>
      <w:bookmarkStart w:id="717" w:name="_Toc206153599"/>
      <w:bookmarkStart w:id="718" w:name="_Toc206155648"/>
      <w:bookmarkStart w:id="719" w:name="_Toc206155789"/>
      <w:bookmarkStart w:id="720" w:name="_Toc206156995"/>
      <w:bookmarkStart w:id="721" w:name="_Toc206157215"/>
      <w:bookmarkStart w:id="722" w:name="_Toc205369439"/>
      <w:bookmarkStart w:id="723" w:name="_Toc205374391"/>
      <w:bookmarkStart w:id="724" w:name="_Toc205374539"/>
      <w:bookmarkStart w:id="725" w:name="_Toc205378252"/>
      <w:bookmarkStart w:id="726" w:name="_Toc205378486"/>
      <w:bookmarkStart w:id="727" w:name="_Toc205378720"/>
      <w:bookmarkStart w:id="728" w:name="_Toc205378953"/>
      <w:bookmarkStart w:id="729" w:name="_Toc205379186"/>
      <w:bookmarkStart w:id="730" w:name="_Toc205379419"/>
      <w:bookmarkStart w:id="731" w:name="_Toc205379644"/>
      <w:bookmarkStart w:id="732" w:name="_Toc205379868"/>
      <w:bookmarkStart w:id="733" w:name="_Toc205395326"/>
      <w:bookmarkStart w:id="734" w:name="_Toc205396120"/>
      <w:bookmarkStart w:id="735" w:name="_Toc205397651"/>
      <w:bookmarkStart w:id="736" w:name="_Toc205397876"/>
      <w:bookmarkStart w:id="737" w:name="_Toc205468502"/>
      <w:bookmarkStart w:id="738" w:name="_Toc205468961"/>
      <w:bookmarkStart w:id="739" w:name="_Toc205479753"/>
      <w:bookmarkStart w:id="740" w:name="_Toc205560826"/>
      <w:bookmarkStart w:id="741" w:name="_Toc205561051"/>
      <w:bookmarkStart w:id="742" w:name="_Toc205819103"/>
      <w:bookmarkStart w:id="743" w:name="_Toc205890651"/>
      <w:bookmarkStart w:id="744" w:name="_Toc205890791"/>
      <w:bookmarkStart w:id="745" w:name="_Toc205892001"/>
      <w:bookmarkStart w:id="746" w:name="_Toc205897158"/>
      <w:bookmarkStart w:id="747" w:name="_Toc205906041"/>
      <w:bookmarkStart w:id="748" w:name="_Toc205909179"/>
      <w:bookmarkStart w:id="749" w:name="_Toc205909672"/>
      <w:bookmarkStart w:id="750" w:name="_Toc205909978"/>
      <w:bookmarkStart w:id="751" w:name="_Toc205974487"/>
      <w:bookmarkStart w:id="752" w:name="_Toc205974627"/>
      <w:bookmarkStart w:id="753" w:name="_Toc205974767"/>
      <w:bookmarkStart w:id="754" w:name="_Toc205999066"/>
      <w:bookmarkStart w:id="755" w:name="_Toc206001375"/>
      <w:bookmarkStart w:id="756" w:name="_Toc206001517"/>
      <w:bookmarkStart w:id="757" w:name="_Toc206001658"/>
      <w:bookmarkStart w:id="758" w:name="_Toc206001800"/>
      <w:bookmarkStart w:id="759" w:name="_Toc206003722"/>
      <w:bookmarkStart w:id="760" w:name="_Toc206006210"/>
      <w:bookmarkStart w:id="761" w:name="_Toc206006531"/>
      <w:bookmarkStart w:id="762" w:name="_Toc206006672"/>
      <w:bookmarkStart w:id="763" w:name="_Toc206059547"/>
      <w:bookmarkStart w:id="764" w:name="_Toc206084464"/>
      <w:bookmarkStart w:id="765" w:name="_Toc206143912"/>
      <w:bookmarkStart w:id="766" w:name="_Toc206153600"/>
      <w:bookmarkStart w:id="767" w:name="_Toc206155649"/>
      <w:bookmarkStart w:id="768" w:name="_Toc206155790"/>
      <w:bookmarkStart w:id="769" w:name="_Toc206156996"/>
      <w:bookmarkStart w:id="770" w:name="_Toc206157216"/>
      <w:bookmarkStart w:id="771" w:name="_Toc205369440"/>
      <w:bookmarkStart w:id="772" w:name="_Toc205374392"/>
      <w:bookmarkStart w:id="773" w:name="_Toc205374540"/>
      <w:bookmarkStart w:id="774" w:name="_Toc205378253"/>
      <w:bookmarkStart w:id="775" w:name="_Toc205378487"/>
      <w:bookmarkStart w:id="776" w:name="_Toc205378721"/>
      <w:bookmarkStart w:id="777" w:name="_Toc205378954"/>
      <w:bookmarkStart w:id="778" w:name="_Toc205379187"/>
      <w:bookmarkStart w:id="779" w:name="_Toc205379420"/>
      <w:bookmarkStart w:id="780" w:name="_Toc205379645"/>
      <w:bookmarkStart w:id="781" w:name="_Toc205379869"/>
      <w:bookmarkStart w:id="782" w:name="_Toc205395327"/>
      <w:bookmarkStart w:id="783" w:name="_Toc205396121"/>
      <w:bookmarkStart w:id="784" w:name="_Toc205397652"/>
      <w:bookmarkStart w:id="785" w:name="_Toc205397877"/>
      <w:bookmarkStart w:id="786" w:name="_Toc205468503"/>
      <w:bookmarkStart w:id="787" w:name="_Toc205468962"/>
      <w:bookmarkStart w:id="788" w:name="_Toc205479754"/>
      <w:bookmarkStart w:id="789" w:name="_Toc205560827"/>
      <w:bookmarkStart w:id="790" w:name="_Toc205561052"/>
      <w:bookmarkStart w:id="791" w:name="_Toc205819104"/>
      <w:bookmarkStart w:id="792" w:name="_Toc205890652"/>
      <w:bookmarkStart w:id="793" w:name="_Toc205890792"/>
      <w:bookmarkStart w:id="794" w:name="_Toc205892002"/>
      <w:bookmarkStart w:id="795" w:name="_Toc205897159"/>
      <w:bookmarkStart w:id="796" w:name="_Toc205906042"/>
      <w:bookmarkStart w:id="797" w:name="_Toc205909180"/>
      <w:bookmarkStart w:id="798" w:name="_Toc205909673"/>
      <w:bookmarkStart w:id="799" w:name="_Toc205909979"/>
      <w:bookmarkStart w:id="800" w:name="_Toc205974488"/>
      <w:bookmarkStart w:id="801" w:name="_Toc205974628"/>
      <w:bookmarkStart w:id="802" w:name="_Toc205974768"/>
      <w:bookmarkStart w:id="803" w:name="_Toc205999067"/>
      <w:bookmarkStart w:id="804" w:name="_Toc206001376"/>
      <w:bookmarkStart w:id="805" w:name="_Toc206001518"/>
      <w:bookmarkStart w:id="806" w:name="_Toc206001659"/>
      <w:bookmarkStart w:id="807" w:name="_Toc206001801"/>
      <w:bookmarkStart w:id="808" w:name="_Toc206003723"/>
      <w:bookmarkStart w:id="809" w:name="_Toc206006211"/>
      <w:bookmarkStart w:id="810" w:name="_Toc206006532"/>
      <w:bookmarkStart w:id="811" w:name="_Toc206006673"/>
      <w:bookmarkStart w:id="812" w:name="_Toc206059548"/>
      <w:bookmarkStart w:id="813" w:name="_Toc206084465"/>
      <w:bookmarkStart w:id="814" w:name="_Toc206143913"/>
      <w:bookmarkStart w:id="815" w:name="_Toc206153601"/>
      <w:bookmarkStart w:id="816" w:name="_Toc206155650"/>
      <w:bookmarkStart w:id="817" w:name="_Toc206155791"/>
      <w:bookmarkStart w:id="818" w:name="_Toc206156997"/>
      <w:bookmarkStart w:id="819" w:name="_Toc206157217"/>
      <w:bookmarkStart w:id="820" w:name="_Toc205369441"/>
      <w:bookmarkStart w:id="821" w:name="_Toc205374393"/>
      <w:bookmarkStart w:id="822" w:name="_Toc205374541"/>
      <w:bookmarkStart w:id="823" w:name="_Toc205378254"/>
      <w:bookmarkStart w:id="824" w:name="_Toc205378488"/>
      <w:bookmarkStart w:id="825" w:name="_Toc205378722"/>
      <w:bookmarkStart w:id="826" w:name="_Toc205378955"/>
      <w:bookmarkStart w:id="827" w:name="_Toc205379188"/>
      <w:bookmarkStart w:id="828" w:name="_Toc205379421"/>
      <w:bookmarkStart w:id="829" w:name="_Toc205379646"/>
      <w:bookmarkStart w:id="830" w:name="_Toc205379870"/>
      <w:bookmarkStart w:id="831" w:name="_Toc205395328"/>
      <w:bookmarkStart w:id="832" w:name="_Toc205396122"/>
      <w:bookmarkStart w:id="833" w:name="_Toc205397653"/>
      <w:bookmarkStart w:id="834" w:name="_Toc205397878"/>
      <w:bookmarkStart w:id="835" w:name="_Toc205468504"/>
      <w:bookmarkStart w:id="836" w:name="_Toc205468963"/>
      <w:bookmarkStart w:id="837" w:name="_Toc205479755"/>
      <w:bookmarkStart w:id="838" w:name="_Toc205560828"/>
      <w:bookmarkStart w:id="839" w:name="_Toc205561053"/>
      <w:bookmarkStart w:id="840" w:name="_Toc205819105"/>
      <w:bookmarkStart w:id="841" w:name="_Toc205890653"/>
      <w:bookmarkStart w:id="842" w:name="_Toc205890793"/>
      <w:bookmarkStart w:id="843" w:name="_Toc205892003"/>
      <w:bookmarkStart w:id="844" w:name="_Toc205897160"/>
      <w:bookmarkStart w:id="845" w:name="_Toc205906043"/>
      <w:bookmarkStart w:id="846" w:name="_Toc205909181"/>
      <w:bookmarkStart w:id="847" w:name="_Toc205909674"/>
      <w:bookmarkStart w:id="848" w:name="_Toc205909980"/>
      <w:bookmarkStart w:id="849" w:name="_Toc205974489"/>
      <w:bookmarkStart w:id="850" w:name="_Toc205974629"/>
      <w:bookmarkStart w:id="851" w:name="_Toc205974769"/>
      <w:bookmarkStart w:id="852" w:name="_Toc205999068"/>
      <w:bookmarkStart w:id="853" w:name="_Toc206001377"/>
      <w:bookmarkStart w:id="854" w:name="_Toc206001519"/>
      <w:bookmarkStart w:id="855" w:name="_Toc206001660"/>
      <w:bookmarkStart w:id="856" w:name="_Toc206001802"/>
      <w:bookmarkStart w:id="857" w:name="_Toc206003724"/>
      <w:bookmarkStart w:id="858" w:name="_Toc206006212"/>
      <w:bookmarkStart w:id="859" w:name="_Toc206006533"/>
      <w:bookmarkStart w:id="860" w:name="_Toc206006674"/>
      <w:bookmarkStart w:id="861" w:name="_Toc206059549"/>
      <w:bookmarkStart w:id="862" w:name="_Toc206084466"/>
      <w:bookmarkStart w:id="863" w:name="_Toc206143914"/>
      <w:bookmarkStart w:id="864" w:name="_Toc206153602"/>
      <w:bookmarkStart w:id="865" w:name="_Toc206155651"/>
      <w:bookmarkStart w:id="866" w:name="_Toc206155792"/>
      <w:bookmarkStart w:id="867" w:name="_Toc206156998"/>
      <w:bookmarkStart w:id="868" w:name="_Toc206157218"/>
      <w:bookmarkStart w:id="869" w:name="_Toc205369442"/>
      <w:bookmarkStart w:id="870" w:name="_Toc205374394"/>
      <w:bookmarkStart w:id="871" w:name="_Toc205374542"/>
      <w:bookmarkStart w:id="872" w:name="_Toc205378255"/>
      <w:bookmarkStart w:id="873" w:name="_Toc205378489"/>
      <w:bookmarkStart w:id="874" w:name="_Toc205378723"/>
      <w:bookmarkStart w:id="875" w:name="_Toc205378956"/>
      <w:bookmarkStart w:id="876" w:name="_Toc205379189"/>
      <w:bookmarkStart w:id="877" w:name="_Toc205379422"/>
      <w:bookmarkStart w:id="878" w:name="_Toc205379647"/>
      <w:bookmarkStart w:id="879" w:name="_Toc205379871"/>
      <w:bookmarkStart w:id="880" w:name="_Toc205395329"/>
      <w:bookmarkStart w:id="881" w:name="_Toc205396123"/>
      <w:bookmarkStart w:id="882" w:name="_Toc205397654"/>
      <w:bookmarkStart w:id="883" w:name="_Toc205397879"/>
      <w:bookmarkStart w:id="884" w:name="_Toc205468505"/>
      <w:bookmarkStart w:id="885" w:name="_Toc205468964"/>
      <w:bookmarkStart w:id="886" w:name="_Toc205479756"/>
      <w:bookmarkStart w:id="887" w:name="_Toc205560829"/>
      <w:bookmarkStart w:id="888" w:name="_Toc205561054"/>
      <w:bookmarkStart w:id="889" w:name="_Toc205819106"/>
      <w:bookmarkStart w:id="890" w:name="_Toc205890654"/>
      <w:bookmarkStart w:id="891" w:name="_Toc205890794"/>
      <w:bookmarkStart w:id="892" w:name="_Toc205892004"/>
      <w:bookmarkStart w:id="893" w:name="_Toc205897161"/>
      <w:bookmarkStart w:id="894" w:name="_Toc205906044"/>
      <w:bookmarkStart w:id="895" w:name="_Toc205909182"/>
      <w:bookmarkStart w:id="896" w:name="_Toc205909675"/>
      <w:bookmarkStart w:id="897" w:name="_Toc205909981"/>
      <w:bookmarkStart w:id="898" w:name="_Toc205974490"/>
      <w:bookmarkStart w:id="899" w:name="_Toc205974630"/>
      <w:bookmarkStart w:id="900" w:name="_Toc205974770"/>
      <w:bookmarkStart w:id="901" w:name="_Toc205999069"/>
      <w:bookmarkStart w:id="902" w:name="_Toc206001378"/>
      <w:bookmarkStart w:id="903" w:name="_Toc206001520"/>
      <w:bookmarkStart w:id="904" w:name="_Toc206001661"/>
      <w:bookmarkStart w:id="905" w:name="_Toc206001803"/>
      <w:bookmarkStart w:id="906" w:name="_Toc206003725"/>
      <w:bookmarkStart w:id="907" w:name="_Toc206006213"/>
      <w:bookmarkStart w:id="908" w:name="_Toc206006534"/>
      <w:bookmarkStart w:id="909" w:name="_Toc206006675"/>
      <w:bookmarkStart w:id="910" w:name="_Toc206059550"/>
      <w:bookmarkStart w:id="911" w:name="_Toc206084467"/>
      <w:bookmarkStart w:id="912" w:name="_Toc206143915"/>
      <w:bookmarkStart w:id="913" w:name="_Toc206153603"/>
      <w:bookmarkStart w:id="914" w:name="_Toc206155652"/>
      <w:bookmarkStart w:id="915" w:name="_Toc206155793"/>
      <w:bookmarkStart w:id="916" w:name="_Toc206156999"/>
      <w:bookmarkStart w:id="917" w:name="_Toc206157219"/>
      <w:bookmarkStart w:id="918" w:name="_Toc395537184"/>
      <w:bookmarkStart w:id="919" w:name="_Toc216865472"/>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3A173C">
        <w:t xml:space="preserve">Hospital and assessment </w:t>
      </w:r>
      <w:r w:rsidRPr="00FA34AC">
        <w:t>information</w:t>
      </w:r>
      <w:r w:rsidRPr="003A173C">
        <w:t xml:space="preserve"> for care </w:t>
      </w:r>
      <w:r w:rsidR="00536378" w:rsidRPr="003A173C">
        <w:t xml:space="preserve">and services </w:t>
      </w:r>
      <w:r w:rsidRPr="003A173C">
        <w:t>plan development</w:t>
      </w:r>
      <w:bookmarkEnd w:id="918"/>
      <w:bookmarkEnd w:id="919"/>
    </w:p>
    <w:p w14:paraId="230DD3FB" w14:textId="612B5082" w:rsidR="00D44267" w:rsidRPr="003A173C" w:rsidRDefault="00605BA0" w:rsidP="000F25B7">
      <w:pPr>
        <w:rPr>
          <w:rFonts w:cs="Calibri"/>
          <w:szCs w:val="20"/>
        </w:rPr>
      </w:pPr>
      <w:r w:rsidRPr="003A173C">
        <w:rPr>
          <w:rFonts w:cs="Calibri"/>
          <w:szCs w:val="20"/>
        </w:rPr>
        <w:t xml:space="preserve">For those approved as eligible for transition care, the hospital </w:t>
      </w:r>
      <w:r w:rsidR="00F064ED" w:rsidRPr="003A173C">
        <w:rPr>
          <w:rFonts w:cs="Calibri"/>
          <w:szCs w:val="20"/>
        </w:rPr>
        <w:t>clinical</w:t>
      </w:r>
      <w:r w:rsidR="00EA5E87" w:rsidRPr="003A173C">
        <w:rPr>
          <w:rFonts w:cs="Calibri"/>
          <w:szCs w:val="20"/>
        </w:rPr>
        <w:t xml:space="preserve"> teams</w:t>
      </w:r>
      <w:r w:rsidRPr="003A173C">
        <w:rPr>
          <w:rFonts w:cs="Calibri"/>
          <w:szCs w:val="20"/>
        </w:rPr>
        <w:t xml:space="preserve"> and the </w:t>
      </w:r>
      <w:r w:rsidR="00DC4437" w:rsidRPr="003A173C">
        <w:rPr>
          <w:rFonts w:cs="Calibri"/>
          <w:szCs w:val="20"/>
        </w:rPr>
        <w:t xml:space="preserve">aged care </w:t>
      </w:r>
      <w:r w:rsidR="006D2083" w:rsidRPr="003A173C">
        <w:rPr>
          <w:rFonts w:cs="Calibri"/>
          <w:szCs w:val="20"/>
        </w:rPr>
        <w:t xml:space="preserve">needs </w:t>
      </w:r>
      <w:r w:rsidRPr="003A173C">
        <w:rPr>
          <w:rFonts w:cs="Calibri"/>
          <w:szCs w:val="20"/>
        </w:rPr>
        <w:t>assessment are key information sources for the development of a care</w:t>
      </w:r>
      <w:r w:rsidR="006D2083" w:rsidRPr="003A173C">
        <w:rPr>
          <w:rFonts w:cs="Calibri"/>
          <w:szCs w:val="20"/>
        </w:rPr>
        <w:t xml:space="preserve"> and services</w:t>
      </w:r>
      <w:r w:rsidRPr="003A173C">
        <w:rPr>
          <w:rFonts w:cs="Calibri"/>
          <w:szCs w:val="20"/>
        </w:rPr>
        <w:t xml:space="preserve"> plan to guide the physical and cognitive therapy services</w:t>
      </w:r>
      <w:r w:rsidR="00A90D0D" w:rsidRPr="003A173C">
        <w:rPr>
          <w:rFonts w:cs="Calibri"/>
          <w:szCs w:val="20"/>
        </w:rPr>
        <w:t xml:space="preserve"> to be</w:t>
      </w:r>
      <w:r w:rsidRPr="003A173C">
        <w:rPr>
          <w:rFonts w:cs="Calibri"/>
          <w:szCs w:val="20"/>
        </w:rPr>
        <w:t xml:space="preserve"> delivered</w:t>
      </w:r>
      <w:r w:rsidR="00A90D0D" w:rsidRPr="003A173C">
        <w:rPr>
          <w:rFonts w:cs="Calibri"/>
          <w:szCs w:val="20"/>
        </w:rPr>
        <w:t xml:space="preserve"> to an individual</w:t>
      </w:r>
      <w:r w:rsidRPr="003A173C">
        <w:rPr>
          <w:rFonts w:cs="Calibri"/>
          <w:szCs w:val="20"/>
        </w:rPr>
        <w:t xml:space="preserve"> through transition care</w:t>
      </w:r>
      <w:r w:rsidR="006D2083" w:rsidRPr="003A173C">
        <w:rPr>
          <w:rFonts w:cs="Calibri"/>
          <w:szCs w:val="20"/>
        </w:rPr>
        <w:t xml:space="preserve"> by registered provider</w:t>
      </w:r>
      <w:r w:rsidR="00D10F57" w:rsidRPr="003A173C">
        <w:rPr>
          <w:rFonts w:cs="Calibri"/>
          <w:szCs w:val="20"/>
        </w:rPr>
        <w:t>s</w:t>
      </w:r>
      <w:r w:rsidRPr="003A173C">
        <w:rPr>
          <w:rFonts w:cs="Calibri"/>
          <w:szCs w:val="20"/>
        </w:rPr>
        <w:t xml:space="preserve">. It is important that the </w:t>
      </w:r>
      <w:r w:rsidR="009C48CD" w:rsidRPr="003A173C">
        <w:rPr>
          <w:rFonts w:cs="Calibri"/>
          <w:szCs w:val="20"/>
        </w:rPr>
        <w:t xml:space="preserve">aged care </w:t>
      </w:r>
      <w:r w:rsidR="006D2083" w:rsidRPr="003A173C">
        <w:rPr>
          <w:rFonts w:cs="Calibri"/>
          <w:szCs w:val="20"/>
        </w:rPr>
        <w:t xml:space="preserve">needs </w:t>
      </w:r>
      <w:r w:rsidR="009C48CD" w:rsidRPr="003A173C">
        <w:rPr>
          <w:rFonts w:cs="Calibri"/>
          <w:szCs w:val="20"/>
        </w:rPr>
        <w:t xml:space="preserve">assessor </w:t>
      </w:r>
      <w:r w:rsidR="00EF129D" w:rsidRPr="003A173C">
        <w:rPr>
          <w:rFonts w:cs="Calibri"/>
          <w:szCs w:val="20"/>
        </w:rPr>
        <w:t>attach</w:t>
      </w:r>
      <w:r w:rsidR="009C48CD" w:rsidRPr="003A173C">
        <w:rPr>
          <w:rFonts w:cs="Calibri"/>
          <w:szCs w:val="20"/>
        </w:rPr>
        <w:t>es</w:t>
      </w:r>
      <w:r w:rsidRPr="003A173C">
        <w:rPr>
          <w:rFonts w:cs="Calibri"/>
          <w:szCs w:val="20"/>
        </w:rPr>
        <w:t xml:space="preserve"> a copy of all relevant assessment documentation</w:t>
      </w:r>
      <w:r w:rsidR="009D1605" w:rsidRPr="003A173C">
        <w:rPr>
          <w:rFonts w:cs="Calibri"/>
          <w:szCs w:val="20"/>
        </w:rPr>
        <w:t xml:space="preserve"> (assessment outcomes, delegate approval for accessing funded aged care services</w:t>
      </w:r>
      <w:r w:rsidR="00A90D0D" w:rsidRPr="003A173C">
        <w:rPr>
          <w:rFonts w:cs="Calibri"/>
          <w:szCs w:val="20"/>
        </w:rPr>
        <w:t>,</w:t>
      </w:r>
      <w:r w:rsidR="009D1605" w:rsidRPr="003A173C">
        <w:rPr>
          <w:rFonts w:cs="Calibri"/>
          <w:szCs w:val="20"/>
        </w:rPr>
        <w:t xml:space="preserve"> etc</w:t>
      </w:r>
      <w:r w:rsidR="00A90D0D" w:rsidRPr="003A173C">
        <w:rPr>
          <w:rFonts w:cs="Calibri"/>
          <w:szCs w:val="20"/>
        </w:rPr>
        <w:t>.</w:t>
      </w:r>
      <w:r w:rsidR="009D1605" w:rsidRPr="003A173C">
        <w:rPr>
          <w:rFonts w:cs="Calibri"/>
          <w:szCs w:val="20"/>
        </w:rPr>
        <w:t>)</w:t>
      </w:r>
      <w:r w:rsidRPr="003A173C">
        <w:rPr>
          <w:rFonts w:cs="Calibri"/>
          <w:szCs w:val="20"/>
        </w:rPr>
        <w:t xml:space="preserve"> </w:t>
      </w:r>
      <w:r w:rsidR="006D2083" w:rsidRPr="003A173C">
        <w:rPr>
          <w:rFonts w:cs="Calibri"/>
          <w:szCs w:val="20"/>
        </w:rPr>
        <w:t>from</w:t>
      </w:r>
      <w:r w:rsidRPr="003A173C">
        <w:rPr>
          <w:rFonts w:cs="Calibri"/>
          <w:szCs w:val="20"/>
        </w:rPr>
        <w:t xml:space="preserve"> the </w:t>
      </w:r>
      <w:r w:rsidR="005F727F" w:rsidRPr="003A173C">
        <w:rPr>
          <w:rFonts w:cs="Calibri"/>
          <w:szCs w:val="20"/>
        </w:rPr>
        <w:t>I</w:t>
      </w:r>
      <w:r w:rsidR="00A90D0D" w:rsidRPr="003A173C">
        <w:rPr>
          <w:rFonts w:cs="Calibri"/>
          <w:szCs w:val="20"/>
        </w:rPr>
        <w:t>AT,</w:t>
      </w:r>
      <w:r w:rsidR="005F727F" w:rsidRPr="003A173C">
        <w:rPr>
          <w:rFonts w:cs="Calibri"/>
          <w:szCs w:val="20"/>
        </w:rPr>
        <w:t xml:space="preserve"> </w:t>
      </w:r>
      <w:r w:rsidR="006D2083" w:rsidRPr="003A173C">
        <w:rPr>
          <w:rFonts w:cs="Calibri"/>
          <w:szCs w:val="20"/>
        </w:rPr>
        <w:t>to the individual’s My Aged Care account so that this information can be given to</w:t>
      </w:r>
      <w:r w:rsidRPr="003A173C">
        <w:rPr>
          <w:rFonts w:cs="Calibri"/>
          <w:szCs w:val="20"/>
        </w:rPr>
        <w:t xml:space="preserve"> the </w:t>
      </w:r>
      <w:r w:rsidR="006D2083" w:rsidRPr="003A173C">
        <w:rPr>
          <w:rFonts w:cs="Calibri"/>
          <w:szCs w:val="20"/>
        </w:rPr>
        <w:t>registered</w:t>
      </w:r>
      <w:r w:rsidRPr="003A173C">
        <w:rPr>
          <w:rFonts w:cs="Calibri"/>
          <w:szCs w:val="20"/>
        </w:rPr>
        <w:t xml:space="preserve"> provider</w:t>
      </w:r>
      <w:r w:rsidR="006D2083" w:rsidRPr="003A173C">
        <w:rPr>
          <w:rFonts w:cs="Calibri"/>
          <w:szCs w:val="20"/>
        </w:rPr>
        <w:t xml:space="preserve"> when the individual it put in contact with them. </w:t>
      </w:r>
    </w:p>
    <w:p w14:paraId="648A00F3" w14:textId="4BAAD94B" w:rsidR="00605BA0" w:rsidRPr="003A173C" w:rsidRDefault="00605BA0" w:rsidP="00B42C61">
      <w:pPr>
        <w:pStyle w:val="Heading2"/>
        <w:rPr>
          <w:rFonts w:ascii="Calibri" w:hAnsi="Calibri" w:cs="Calibri"/>
        </w:rPr>
      </w:pPr>
      <w:bookmarkStart w:id="920" w:name="_Entry_to_transition"/>
      <w:bookmarkStart w:id="921" w:name="_Toc245536171"/>
      <w:bookmarkStart w:id="922" w:name="_Toc395537185"/>
      <w:bookmarkStart w:id="923" w:name="_Toc422732542"/>
      <w:bookmarkStart w:id="924" w:name="_Toc422752882"/>
      <w:bookmarkStart w:id="925" w:name="_Toc216865473"/>
      <w:bookmarkEnd w:id="920"/>
      <w:r w:rsidRPr="003A173C">
        <w:rPr>
          <w:rFonts w:ascii="Calibri" w:hAnsi="Calibri" w:cs="Calibri"/>
        </w:rPr>
        <w:t>Entry to transition care</w:t>
      </w:r>
      <w:bookmarkEnd w:id="921"/>
      <w:bookmarkEnd w:id="922"/>
      <w:bookmarkEnd w:id="923"/>
      <w:bookmarkEnd w:id="924"/>
      <w:bookmarkEnd w:id="925"/>
    </w:p>
    <w:p w14:paraId="2A0F7D78" w14:textId="1A07AB21" w:rsidR="00CF130B" w:rsidRPr="003A173C" w:rsidRDefault="00605BA0" w:rsidP="000F25B7">
      <w:pPr>
        <w:rPr>
          <w:rFonts w:cs="Calibri"/>
        </w:rPr>
      </w:pPr>
      <w:r w:rsidRPr="003A173C">
        <w:rPr>
          <w:rFonts w:cs="Calibri"/>
        </w:rPr>
        <w:t>A</w:t>
      </w:r>
      <w:r w:rsidR="00BC01B4" w:rsidRPr="003A173C">
        <w:rPr>
          <w:rFonts w:cs="Calibri"/>
        </w:rPr>
        <w:t xml:space="preserve">n </w:t>
      </w:r>
      <w:r w:rsidR="00E16A2C" w:rsidRPr="003A173C">
        <w:rPr>
          <w:rFonts w:cs="Calibri"/>
        </w:rPr>
        <w:t>individual</w:t>
      </w:r>
      <w:r w:rsidRPr="003A173C">
        <w:rPr>
          <w:rFonts w:cs="Calibri"/>
        </w:rPr>
        <w:t xml:space="preserve"> </w:t>
      </w:r>
      <w:r w:rsidR="00271BAA" w:rsidRPr="003A173C">
        <w:rPr>
          <w:rFonts w:cs="Calibri"/>
        </w:rPr>
        <w:t>must</w:t>
      </w:r>
      <w:r w:rsidRPr="003A173C">
        <w:rPr>
          <w:rFonts w:cs="Calibri"/>
        </w:rPr>
        <w:t xml:space="preserve"> enter transition care</w:t>
      </w:r>
      <w:r w:rsidR="00CF130B" w:rsidRPr="003A173C">
        <w:rPr>
          <w:rFonts w:cs="Calibri"/>
        </w:rPr>
        <w:t>:</w:t>
      </w:r>
    </w:p>
    <w:p w14:paraId="14E63B7E" w14:textId="333CE1C3" w:rsidR="00171AC6" w:rsidRPr="003A173C" w:rsidRDefault="00BC01B4" w:rsidP="00FA34AC">
      <w:pPr>
        <w:pStyle w:val="ListBullet"/>
      </w:pPr>
      <w:r w:rsidRPr="003A173C">
        <w:rPr>
          <w:rFonts w:eastAsia="Calibri"/>
          <w:lang w:eastAsia="en-US"/>
        </w:rPr>
        <w:t>Within 24 hours</w:t>
      </w:r>
      <w:r w:rsidR="00271BAA" w:rsidRPr="003A173C">
        <w:rPr>
          <w:rFonts w:eastAsia="Calibri"/>
          <w:lang w:eastAsia="en-US"/>
        </w:rPr>
        <w:t xml:space="preserve"> </w:t>
      </w:r>
      <w:r w:rsidR="00271BAA" w:rsidRPr="008202E1">
        <w:t>upon discharge from hospital if the person is entering transition care in a</w:t>
      </w:r>
      <w:r w:rsidR="005664C7" w:rsidRPr="008202E1">
        <w:t xml:space="preserve"> </w:t>
      </w:r>
      <w:r w:rsidR="00271BAA" w:rsidRPr="008202E1">
        <w:t xml:space="preserve">residential </w:t>
      </w:r>
      <w:r w:rsidR="005664C7" w:rsidRPr="008202E1">
        <w:t xml:space="preserve">care </w:t>
      </w:r>
      <w:r w:rsidR="00271BAA" w:rsidRPr="008202E1">
        <w:t>setting</w:t>
      </w:r>
      <w:r w:rsidR="00CF130B" w:rsidRPr="008202E1">
        <w:t>;</w:t>
      </w:r>
      <w:r w:rsidR="00064BEB" w:rsidRPr="008202E1">
        <w:t xml:space="preserve"> or</w:t>
      </w:r>
    </w:p>
    <w:p w14:paraId="1F04B590" w14:textId="554A6216" w:rsidR="00BC01B4" w:rsidRPr="003A173C" w:rsidRDefault="00271BAA" w:rsidP="00FA34AC">
      <w:pPr>
        <w:pStyle w:val="ListBullet"/>
      </w:pPr>
      <w:r w:rsidRPr="008202E1">
        <w:t>within 48 hours</w:t>
      </w:r>
      <w:r w:rsidR="00620D24" w:rsidRPr="008202E1">
        <w:t xml:space="preserve"> of discharge,</w:t>
      </w:r>
      <w:r w:rsidRPr="008202E1">
        <w:t xml:space="preserve"> if the person is to receive transition care in </w:t>
      </w:r>
      <w:r w:rsidR="007320C9" w:rsidRPr="008202E1">
        <w:t>a</w:t>
      </w:r>
      <w:r w:rsidRPr="008202E1">
        <w:t xml:space="preserve"> home</w:t>
      </w:r>
      <w:r w:rsidR="002149C7" w:rsidRPr="008202E1">
        <w:t>/community setting</w:t>
      </w:r>
      <w:r w:rsidR="003E7854" w:rsidRPr="008202E1">
        <w:t>.</w:t>
      </w:r>
      <w:r w:rsidR="00CF130B" w:rsidRPr="003A173C">
        <w:t xml:space="preserve"> </w:t>
      </w:r>
    </w:p>
    <w:p w14:paraId="1D535008" w14:textId="30A86FC4" w:rsidR="00605BA0" w:rsidRPr="003A173C" w:rsidRDefault="00CF130B" w:rsidP="000F25B7">
      <w:pPr>
        <w:rPr>
          <w:rFonts w:cs="Calibri"/>
        </w:rPr>
      </w:pPr>
      <w:r w:rsidRPr="003A173C">
        <w:rPr>
          <w:rFonts w:cs="Calibri"/>
        </w:rPr>
        <w:t xml:space="preserve">These commencement timeframes are to ensure </w:t>
      </w:r>
      <w:r w:rsidR="00BC01B4" w:rsidRPr="003A173C">
        <w:rPr>
          <w:rFonts w:cs="Calibri"/>
        </w:rPr>
        <w:t>individuals</w:t>
      </w:r>
      <w:r w:rsidRPr="003A173C">
        <w:rPr>
          <w:rFonts w:cs="Calibri"/>
        </w:rPr>
        <w:t xml:space="preserve"> </w:t>
      </w:r>
      <w:r w:rsidR="0064270C" w:rsidRPr="003A173C">
        <w:rPr>
          <w:rFonts w:cs="Calibri"/>
        </w:rPr>
        <w:t>can</w:t>
      </w:r>
      <w:r w:rsidR="00605BA0" w:rsidRPr="003A173C">
        <w:rPr>
          <w:rFonts w:cs="Calibri"/>
        </w:rPr>
        <w:t xml:space="preserve"> derive maximum benefit from a time</w:t>
      </w:r>
      <w:r w:rsidR="2889A189" w:rsidRPr="003A173C">
        <w:rPr>
          <w:rFonts w:cs="Calibri"/>
        </w:rPr>
        <w:t>-</w:t>
      </w:r>
      <w:r w:rsidR="0063659D" w:rsidRPr="003A173C">
        <w:rPr>
          <w:rFonts w:cs="Calibri"/>
        </w:rPr>
        <w:noBreakHyphen/>
      </w:r>
      <w:r w:rsidR="00605BA0" w:rsidRPr="003A173C">
        <w:rPr>
          <w:rFonts w:cs="Calibri"/>
        </w:rPr>
        <w:t>limited episode of low intensity therapeutic interventions</w:t>
      </w:r>
      <w:r w:rsidR="00BC01B4" w:rsidRPr="003A173C">
        <w:rPr>
          <w:rFonts w:cs="Calibri"/>
        </w:rPr>
        <w:t xml:space="preserve"> by not delaying the</w:t>
      </w:r>
      <w:r w:rsidR="00827321" w:rsidRPr="003A173C">
        <w:rPr>
          <w:rFonts w:cs="Calibri"/>
        </w:rPr>
        <w:t xml:space="preserve">se interventions. </w:t>
      </w:r>
      <w:r w:rsidR="00BC01B4" w:rsidRPr="003A173C">
        <w:rPr>
          <w:rFonts w:cs="Calibri"/>
        </w:rPr>
        <w:t xml:space="preserve"> </w:t>
      </w:r>
    </w:p>
    <w:p w14:paraId="20321002" w14:textId="4F50180A" w:rsidR="00605BA0" w:rsidRPr="003A173C" w:rsidRDefault="00605BA0" w:rsidP="000F25B7">
      <w:pPr>
        <w:rPr>
          <w:rFonts w:cs="Calibri"/>
        </w:rPr>
      </w:pPr>
      <w:r w:rsidRPr="003A173C">
        <w:rPr>
          <w:rFonts w:cs="Calibri"/>
        </w:rPr>
        <w:t xml:space="preserve">An </w:t>
      </w:r>
      <w:r w:rsidR="00E65EB2" w:rsidRPr="003A173C">
        <w:rPr>
          <w:rFonts w:cs="Calibri"/>
        </w:rPr>
        <w:t>assessment organisation</w:t>
      </w:r>
      <w:r w:rsidR="008669FB" w:rsidRPr="003A173C">
        <w:rPr>
          <w:rFonts w:cs="Calibri"/>
        </w:rPr>
        <w:t>’</w:t>
      </w:r>
      <w:r w:rsidR="00EB4713" w:rsidRPr="003A173C">
        <w:rPr>
          <w:rFonts w:cs="Calibri"/>
        </w:rPr>
        <w:t>s</w:t>
      </w:r>
      <w:r w:rsidRPr="003A173C">
        <w:rPr>
          <w:rFonts w:cs="Calibri"/>
        </w:rPr>
        <w:t xml:space="preserve"> approval </w:t>
      </w:r>
      <w:r w:rsidR="00127789" w:rsidRPr="003A173C">
        <w:rPr>
          <w:rFonts w:cs="Calibri"/>
        </w:rPr>
        <w:t xml:space="preserve">of an individual </w:t>
      </w:r>
      <w:r w:rsidRPr="003A173C">
        <w:rPr>
          <w:rFonts w:cs="Calibri"/>
        </w:rPr>
        <w:t xml:space="preserve">to enter transition care is valid on the date the </w:t>
      </w:r>
      <w:r w:rsidR="003C34EC" w:rsidRPr="003A173C">
        <w:rPr>
          <w:rFonts w:cs="Calibri"/>
        </w:rPr>
        <w:t>a</w:t>
      </w:r>
      <w:r w:rsidR="00B67C51" w:rsidRPr="003A173C">
        <w:rPr>
          <w:rFonts w:cs="Calibri"/>
        </w:rPr>
        <w:t xml:space="preserve">ssessment </w:t>
      </w:r>
      <w:r w:rsidRPr="003A173C">
        <w:rPr>
          <w:rFonts w:cs="Calibri"/>
        </w:rPr>
        <w:t xml:space="preserve">delegate signs the approval, and then for four weeks (28 calendar days) after the date of signing (see also section </w:t>
      </w:r>
      <w:r w:rsidR="0063659D" w:rsidRPr="003A173C">
        <w:rPr>
          <w:rFonts w:cs="Calibri"/>
          <w:i/>
        </w:rPr>
        <w:t>3.4.4 Approval for transition care</w:t>
      </w:r>
      <w:r w:rsidRPr="003A173C">
        <w:rPr>
          <w:rFonts w:cs="Calibri"/>
        </w:rPr>
        <w:t>).</w:t>
      </w:r>
    </w:p>
    <w:p w14:paraId="3B9CF30B" w14:textId="395A7F2D" w:rsidR="00605BA0" w:rsidRPr="003A173C" w:rsidRDefault="00605BA0" w:rsidP="000F25B7">
      <w:pPr>
        <w:rPr>
          <w:rFonts w:cs="Calibri"/>
        </w:rPr>
      </w:pPr>
      <w:r w:rsidRPr="003A173C">
        <w:rPr>
          <w:rFonts w:cs="Calibri"/>
        </w:rPr>
        <w:t xml:space="preserve">Older people receiving care under a hospital-in-the-home or equivalent </w:t>
      </w:r>
      <w:r w:rsidR="00B505C7" w:rsidRPr="003A173C">
        <w:rPr>
          <w:rFonts w:cs="Calibri"/>
        </w:rPr>
        <w:t>program</w:t>
      </w:r>
      <w:r w:rsidRPr="003A173C">
        <w:rPr>
          <w:rFonts w:cs="Calibri"/>
        </w:rPr>
        <w:t xml:space="preserve"> cannot commence their transition care episode while still classified as </w:t>
      </w:r>
      <w:r w:rsidR="00DC797F" w:rsidRPr="003A173C">
        <w:rPr>
          <w:rFonts w:cs="Calibri"/>
        </w:rPr>
        <w:t xml:space="preserve">an </w:t>
      </w:r>
      <w:r w:rsidR="008F7273" w:rsidRPr="003A173C">
        <w:rPr>
          <w:rFonts w:cs="Calibri"/>
        </w:rPr>
        <w:t>admitted patient</w:t>
      </w:r>
      <w:r w:rsidRPr="003A173C">
        <w:rPr>
          <w:rFonts w:cs="Calibri"/>
        </w:rPr>
        <w:t xml:space="preserve"> of </w:t>
      </w:r>
      <w:r w:rsidR="00394CC3" w:rsidRPr="003A173C">
        <w:rPr>
          <w:rFonts w:cs="Calibri"/>
        </w:rPr>
        <w:t>a</w:t>
      </w:r>
      <w:r w:rsidRPr="003A173C">
        <w:rPr>
          <w:rFonts w:cs="Calibri"/>
        </w:rPr>
        <w:t xml:space="preserve"> hospital.</w:t>
      </w:r>
    </w:p>
    <w:p w14:paraId="0F24D06E" w14:textId="6EAD7EFC" w:rsidR="00605BA0" w:rsidRPr="003A173C" w:rsidRDefault="00605BA0" w:rsidP="00CD4746">
      <w:pPr>
        <w:spacing w:before="0" w:after="200"/>
        <w:rPr>
          <w:rFonts w:cs="Calibri"/>
          <w:szCs w:val="20"/>
        </w:rPr>
      </w:pPr>
      <w:r w:rsidRPr="003A173C">
        <w:rPr>
          <w:rFonts w:cs="Calibri"/>
          <w:szCs w:val="20"/>
        </w:rPr>
        <w:t xml:space="preserve">Older people who are discharged from hospital and have returned to their usual place of residence </w:t>
      </w:r>
      <w:r w:rsidR="00271BAA" w:rsidRPr="003A173C">
        <w:rPr>
          <w:rFonts w:cs="Calibri"/>
          <w:szCs w:val="20"/>
        </w:rPr>
        <w:t xml:space="preserve">without </w:t>
      </w:r>
      <w:r w:rsidRPr="003A173C">
        <w:rPr>
          <w:rFonts w:cs="Calibri"/>
          <w:szCs w:val="20"/>
        </w:rPr>
        <w:t xml:space="preserve">commencing the </w:t>
      </w:r>
      <w:r w:rsidR="00B505C7" w:rsidRPr="003A173C">
        <w:rPr>
          <w:rFonts w:cs="Calibri"/>
          <w:szCs w:val="20"/>
        </w:rPr>
        <w:t>program</w:t>
      </w:r>
      <w:r w:rsidRPr="003A173C">
        <w:rPr>
          <w:rFonts w:cs="Calibri"/>
          <w:szCs w:val="20"/>
        </w:rPr>
        <w:t xml:space="preserve"> </w:t>
      </w:r>
      <w:r w:rsidR="00271BAA" w:rsidRPr="003A173C">
        <w:rPr>
          <w:rFonts w:cs="Calibri"/>
          <w:szCs w:val="20"/>
        </w:rPr>
        <w:t>within the required timeframe</w:t>
      </w:r>
      <w:r w:rsidR="00827321" w:rsidRPr="003A173C">
        <w:rPr>
          <w:rFonts w:cs="Calibri"/>
          <w:szCs w:val="20"/>
        </w:rPr>
        <w:t>s as set out above</w:t>
      </w:r>
      <w:r w:rsidR="00271BAA" w:rsidRPr="003A173C">
        <w:rPr>
          <w:rFonts w:cs="Calibri"/>
          <w:szCs w:val="20"/>
        </w:rPr>
        <w:t xml:space="preserve">, </w:t>
      </w:r>
      <w:r w:rsidRPr="003A173C">
        <w:rPr>
          <w:rFonts w:cs="Calibri"/>
          <w:szCs w:val="20"/>
        </w:rPr>
        <w:t>are no longer eligible to enter the program</w:t>
      </w:r>
      <w:r w:rsidR="00827321" w:rsidRPr="003A173C">
        <w:rPr>
          <w:rFonts w:cs="Calibri"/>
          <w:szCs w:val="20"/>
        </w:rPr>
        <w:t>.</w:t>
      </w:r>
    </w:p>
    <w:p w14:paraId="0B5F9AE8" w14:textId="46B9BEA1" w:rsidR="00605BA0" w:rsidRPr="00FA34AC" w:rsidRDefault="00605BA0" w:rsidP="008974DB">
      <w:pPr>
        <w:pStyle w:val="Style3"/>
      </w:pPr>
      <w:bookmarkStart w:id="926" w:name="_Toc110834647"/>
      <w:bookmarkStart w:id="927" w:name="_Toc245536173"/>
      <w:bookmarkStart w:id="928" w:name="_Toc395537186"/>
      <w:bookmarkStart w:id="929" w:name="_Toc422732543"/>
      <w:bookmarkStart w:id="930" w:name="_Toc422752883"/>
      <w:bookmarkStart w:id="931" w:name="_Toc216865474"/>
      <w:r w:rsidRPr="00FA34AC">
        <w:t>Duration of care</w:t>
      </w:r>
      <w:bookmarkEnd w:id="926"/>
      <w:bookmarkEnd w:id="927"/>
      <w:bookmarkEnd w:id="928"/>
      <w:bookmarkEnd w:id="929"/>
      <w:bookmarkEnd w:id="930"/>
      <w:bookmarkEnd w:id="931"/>
    </w:p>
    <w:p w14:paraId="6DC667BB" w14:textId="1F9C4396" w:rsidR="00605BA0" w:rsidRPr="003A173C" w:rsidRDefault="00E07087" w:rsidP="000F25B7">
      <w:pPr>
        <w:rPr>
          <w:rFonts w:cs="Calibri"/>
        </w:rPr>
      </w:pPr>
      <w:r w:rsidRPr="003A173C">
        <w:rPr>
          <w:rFonts w:cs="Calibri"/>
        </w:rPr>
        <w:t>The TCP</w:t>
      </w:r>
      <w:r w:rsidR="00605BA0" w:rsidRPr="003A173C">
        <w:rPr>
          <w:rFonts w:cs="Calibri"/>
        </w:rPr>
        <w:t xml:space="preserve"> subsidy will be paid for all </w:t>
      </w:r>
      <w:r w:rsidRPr="003A173C">
        <w:rPr>
          <w:rFonts w:cs="Calibri"/>
        </w:rPr>
        <w:t>individuals accessing the program</w:t>
      </w:r>
      <w:r w:rsidR="00605BA0" w:rsidRPr="003A173C">
        <w:rPr>
          <w:rFonts w:cs="Calibri"/>
        </w:rPr>
        <w:t xml:space="preserve"> up to a maximum of 12 weeks. Where an extension has been granted, up to a further six weeks </w:t>
      </w:r>
      <w:r w:rsidR="0014569C" w:rsidRPr="003A173C">
        <w:rPr>
          <w:rFonts w:cs="Calibri"/>
        </w:rPr>
        <w:t>of TCP</w:t>
      </w:r>
      <w:r w:rsidR="00605BA0" w:rsidRPr="003A173C">
        <w:rPr>
          <w:rFonts w:cs="Calibri"/>
        </w:rPr>
        <w:t xml:space="preserve"> subsidy will be paid (see also section</w:t>
      </w:r>
      <w:r w:rsidR="006E4EBE" w:rsidRPr="003A173C">
        <w:rPr>
          <w:rFonts w:cs="Calibri"/>
        </w:rPr>
        <w:t> </w:t>
      </w:r>
      <w:r w:rsidR="00DC797F" w:rsidRPr="003A173C">
        <w:rPr>
          <w:rFonts w:cs="Calibri"/>
          <w:i/>
        </w:rPr>
        <w:t>3.5.</w:t>
      </w:r>
      <w:r w:rsidR="00DC797F" w:rsidRPr="003A173C">
        <w:rPr>
          <w:rFonts w:cs="Calibri"/>
          <w:i/>
          <w:iCs/>
        </w:rPr>
        <w:t>8</w:t>
      </w:r>
      <w:r w:rsidR="00DC797F" w:rsidRPr="003A173C">
        <w:rPr>
          <w:rFonts w:cs="Calibri"/>
          <w:i/>
        </w:rPr>
        <w:t> Extensions</w:t>
      </w:r>
      <w:r w:rsidR="00605BA0" w:rsidRPr="003A173C">
        <w:rPr>
          <w:rFonts w:cs="Calibri"/>
        </w:rPr>
        <w:t>).</w:t>
      </w:r>
    </w:p>
    <w:p w14:paraId="6F866CA3" w14:textId="597A86D2" w:rsidR="00605BA0" w:rsidRPr="003A173C" w:rsidRDefault="00605BA0" w:rsidP="000F25B7">
      <w:pPr>
        <w:rPr>
          <w:rFonts w:cs="Calibri"/>
        </w:rPr>
      </w:pPr>
      <w:r w:rsidRPr="003A173C">
        <w:rPr>
          <w:rFonts w:cs="Calibri"/>
        </w:rPr>
        <w:t xml:space="preserve">To ensure that limited resources benefit as many older people as possible, the </w:t>
      </w:r>
      <w:r w:rsidR="00B505C7" w:rsidRPr="003A173C">
        <w:rPr>
          <w:rFonts w:cs="Calibri"/>
        </w:rPr>
        <w:t>program</w:t>
      </w:r>
      <w:r w:rsidR="00EF722E" w:rsidRPr="003A173C">
        <w:rPr>
          <w:rFonts w:cs="Calibri"/>
        </w:rPr>
        <w:t xml:space="preserve"> and length of duration should be tailored to the needs of the </w:t>
      </w:r>
      <w:r w:rsidR="007427AB" w:rsidRPr="003A173C">
        <w:rPr>
          <w:rFonts w:cs="Calibri"/>
        </w:rPr>
        <w:t>individual, so</w:t>
      </w:r>
      <w:r w:rsidRPr="003A173C">
        <w:rPr>
          <w:rFonts w:cs="Calibri"/>
        </w:rPr>
        <w:t xml:space="preserve"> a </w:t>
      </w:r>
      <w:r w:rsidR="00BB531F">
        <w:rPr>
          <w:rFonts w:cs="Calibri"/>
        </w:rPr>
        <w:t>’12 week</w:t>
      </w:r>
      <w:r w:rsidRPr="003A173C">
        <w:rPr>
          <w:rFonts w:cs="Calibri"/>
        </w:rPr>
        <w:t xml:space="preserve"> </w:t>
      </w:r>
      <w:r w:rsidR="00B505C7" w:rsidRPr="003A173C">
        <w:rPr>
          <w:rFonts w:cs="Calibri"/>
        </w:rPr>
        <w:t>program</w:t>
      </w:r>
      <w:r w:rsidRPr="003A173C">
        <w:rPr>
          <w:rFonts w:cs="Calibri"/>
        </w:rPr>
        <w:t xml:space="preserve">’ </w:t>
      </w:r>
      <w:r w:rsidR="007427AB" w:rsidRPr="003A173C">
        <w:rPr>
          <w:rFonts w:cs="Calibri"/>
        </w:rPr>
        <w:t>may not be required</w:t>
      </w:r>
      <w:r w:rsidRPr="003A173C">
        <w:rPr>
          <w:rFonts w:cs="Calibri"/>
        </w:rPr>
        <w:t xml:space="preserve"> for every </w:t>
      </w:r>
      <w:r w:rsidR="0014569C" w:rsidRPr="003A173C">
        <w:rPr>
          <w:rFonts w:cs="Calibri"/>
        </w:rPr>
        <w:t>individual</w:t>
      </w:r>
      <w:r w:rsidRPr="003A173C">
        <w:rPr>
          <w:rFonts w:cs="Calibri"/>
        </w:rPr>
        <w:t>.</w:t>
      </w:r>
      <w:r w:rsidR="0096425C" w:rsidRPr="003A173C">
        <w:rPr>
          <w:rFonts w:cs="Calibri"/>
        </w:rPr>
        <w:t xml:space="preserve"> </w:t>
      </w:r>
      <w:r w:rsidR="00EF129D" w:rsidRPr="003A173C">
        <w:rPr>
          <w:rFonts w:cs="Calibri"/>
        </w:rPr>
        <w:t xml:space="preserve"> </w:t>
      </w:r>
      <w:r w:rsidR="007427AB" w:rsidRPr="003A173C">
        <w:rPr>
          <w:rFonts w:cs="Calibri"/>
        </w:rPr>
        <w:t>Therefore, w</w:t>
      </w:r>
      <w:r w:rsidRPr="003A173C">
        <w:rPr>
          <w:rFonts w:cs="Calibri"/>
        </w:rPr>
        <w:t xml:space="preserve">hile some </w:t>
      </w:r>
      <w:r w:rsidR="0014569C" w:rsidRPr="003A173C">
        <w:rPr>
          <w:rFonts w:cs="Calibri"/>
        </w:rPr>
        <w:t>individuals</w:t>
      </w:r>
      <w:r w:rsidRPr="003A173C">
        <w:rPr>
          <w:rFonts w:cs="Calibri"/>
        </w:rPr>
        <w:t xml:space="preserve"> may require the maximum 12 weeks of care and an extension of up to six weeks, </w:t>
      </w:r>
      <w:r w:rsidR="009044DD" w:rsidRPr="003A173C">
        <w:rPr>
          <w:rFonts w:cs="Calibri"/>
        </w:rPr>
        <w:t>not all</w:t>
      </w:r>
      <w:r w:rsidR="0014569C" w:rsidRPr="003A173C">
        <w:rPr>
          <w:rFonts w:cs="Calibri"/>
        </w:rPr>
        <w:t xml:space="preserve"> individuals</w:t>
      </w:r>
      <w:r w:rsidRPr="003A173C">
        <w:rPr>
          <w:rFonts w:cs="Calibri"/>
        </w:rPr>
        <w:t xml:space="preserve"> </w:t>
      </w:r>
      <w:r w:rsidR="009044DD" w:rsidRPr="003A173C">
        <w:rPr>
          <w:rFonts w:cs="Calibri"/>
        </w:rPr>
        <w:t xml:space="preserve">will </w:t>
      </w:r>
      <w:r w:rsidRPr="003A173C">
        <w:rPr>
          <w:rFonts w:cs="Calibri"/>
        </w:rPr>
        <w:t>require the maximum period of care.</w:t>
      </w:r>
    </w:p>
    <w:p w14:paraId="1302A539" w14:textId="08F85AF6" w:rsidR="00605BA0" w:rsidRPr="003A173C" w:rsidRDefault="00605BA0" w:rsidP="000F25B7">
      <w:pPr>
        <w:rPr>
          <w:rFonts w:cs="Calibri"/>
        </w:rPr>
      </w:pPr>
      <w:r w:rsidRPr="003A173C">
        <w:rPr>
          <w:rFonts w:cs="Calibri"/>
        </w:rPr>
        <w:t xml:space="preserve">Additionally, </w:t>
      </w:r>
      <w:r w:rsidR="001E5CA6" w:rsidRPr="003A173C">
        <w:rPr>
          <w:rFonts w:cs="Calibri"/>
        </w:rPr>
        <w:t>where a</w:t>
      </w:r>
      <w:r w:rsidR="00FC5CBD" w:rsidRPr="003A173C">
        <w:rPr>
          <w:rFonts w:cs="Calibri"/>
        </w:rPr>
        <w:t>n individual</w:t>
      </w:r>
      <w:r w:rsidR="001E5CA6" w:rsidRPr="003A173C">
        <w:rPr>
          <w:rFonts w:cs="Calibri"/>
        </w:rPr>
        <w:t xml:space="preserve"> transfers between one TCP setting/provider to another during an episode, the</w:t>
      </w:r>
      <w:r w:rsidR="00DC797F" w:rsidRPr="003A173C">
        <w:rPr>
          <w:rFonts w:cs="Calibri"/>
        </w:rPr>
        <w:t>y</w:t>
      </w:r>
      <w:r w:rsidR="001E5CA6" w:rsidRPr="003A173C">
        <w:rPr>
          <w:rFonts w:cs="Calibri"/>
        </w:rPr>
        <w:t xml:space="preserve"> may choose to utilise some or all of their episode</w:t>
      </w:r>
      <w:r w:rsidR="00271BAA" w:rsidRPr="003A173C">
        <w:rPr>
          <w:rFonts w:cs="Calibri"/>
        </w:rPr>
        <w:t xml:space="preserve"> ‘brea</w:t>
      </w:r>
      <w:r w:rsidR="001E5CA6" w:rsidRPr="003A173C">
        <w:rPr>
          <w:rFonts w:cs="Calibri"/>
        </w:rPr>
        <w:t>k days’</w:t>
      </w:r>
      <w:r w:rsidR="007A488E" w:rsidRPr="003A173C">
        <w:rPr>
          <w:rFonts w:cs="Calibri"/>
        </w:rPr>
        <w:t>.</w:t>
      </w:r>
      <w:r w:rsidR="001E5CA6" w:rsidRPr="003A173C">
        <w:rPr>
          <w:rFonts w:cs="Calibri"/>
        </w:rPr>
        <w:t xml:space="preserve"> </w:t>
      </w:r>
      <w:r w:rsidR="00312B2A" w:rsidRPr="003A173C">
        <w:rPr>
          <w:rFonts w:cs="Calibri"/>
        </w:rPr>
        <w:t>T</w:t>
      </w:r>
      <w:r w:rsidR="001E5CA6" w:rsidRPr="003A173C">
        <w:rPr>
          <w:rFonts w:cs="Calibri"/>
        </w:rPr>
        <w:t>here must</w:t>
      </w:r>
      <w:r w:rsidR="00312B2A" w:rsidRPr="003A173C">
        <w:rPr>
          <w:rFonts w:cs="Calibri"/>
        </w:rPr>
        <w:t>, however,</w:t>
      </w:r>
      <w:r w:rsidR="001E5CA6" w:rsidRPr="003A173C">
        <w:rPr>
          <w:rFonts w:cs="Calibri"/>
        </w:rPr>
        <w:t xml:space="preserve"> be no gap in their ability to access </w:t>
      </w:r>
      <w:r w:rsidR="00271BAA" w:rsidRPr="003A173C">
        <w:rPr>
          <w:rFonts w:cs="Calibri"/>
        </w:rPr>
        <w:t>care, i.e. ther</w:t>
      </w:r>
      <w:r w:rsidR="001E5CA6" w:rsidRPr="003A173C">
        <w:rPr>
          <w:rFonts w:cs="Calibri"/>
        </w:rPr>
        <w:t xml:space="preserve">e is no day during which the </w:t>
      </w:r>
      <w:r w:rsidR="00FC5CBD" w:rsidRPr="003A173C">
        <w:rPr>
          <w:rFonts w:cs="Calibri"/>
        </w:rPr>
        <w:t>individual</w:t>
      </w:r>
      <w:r w:rsidR="001E5CA6" w:rsidRPr="003A173C">
        <w:rPr>
          <w:rFonts w:cs="Calibri"/>
        </w:rPr>
        <w:t xml:space="preserve"> is</w:t>
      </w:r>
      <w:r w:rsidR="00271BAA" w:rsidRPr="003A173C">
        <w:rPr>
          <w:rFonts w:cs="Calibri"/>
        </w:rPr>
        <w:t xml:space="preserve"> not able to be provided transiti</w:t>
      </w:r>
      <w:r w:rsidR="001E5CA6" w:rsidRPr="003A173C">
        <w:rPr>
          <w:rFonts w:cs="Calibri"/>
        </w:rPr>
        <w:t>on care services by either their current or new</w:t>
      </w:r>
      <w:r w:rsidR="00271BAA" w:rsidRPr="003A173C">
        <w:rPr>
          <w:rFonts w:cs="Calibri"/>
        </w:rPr>
        <w:t xml:space="preserve"> service provider.</w:t>
      </w:r>
    </w:p>
    <w:p w14:paraId="678946DC" w14:textId="54424534" w:rsidR="00605BA0" w:rsidRPr="00FA34AC" w:rsidRDefault="00D7689F" w:rsidP="008974DB">
      <w:pPr>
        <w:pStyle w:val="Style3"/>
      </w:pPr>
      <w:bookmarkStart w:id="932" w:name="_Toc521122298"/>
      <w:bookmarkStart w:id="933" w:name="_Toc29371663"/>
      <w:bookmarkStart w:id="934" w:name="_Toc81623301"/>
      <w:bookmarkStart w:id="935" w:name="_Toc110834653"/>
      <w:bookmarkStart w:id="936" w:name="_Toc245536177"/>
      <w:bookmarkStart w:id="937" w:name="_Toc395537187"/>
      <w:bookmarkStart w:id="938" w:name="_Toc422732544"/>
      <w:bookmarkStart w:id="939" w:name="_Toc422752884"/>
      <w:bookmarkStart w:id="940" w:name="_Toc110834648"/>
      <w:bookmarkStart w:id="941" w:name="_Toc245536174"/>
      <w:r>
        <w:br w:type="column"/>
      </w:r>
      <w:bookmarkStart w:id="942" w:name="_Toc216865475"/>
      <w:r w:rsidR="00605BA0" w:rsidRPr="00FA34AC">
        <w:lastRenderedPageBreak/>
        <w:t xml:space="preserve">The </w:t>
      </w:r>
      <w:bookmarkEnd w:id="932"/>
      <w:bookmarkEnd w:id="933"/>
      <w:bookmarkEnd w:id="934"/>
      <w:bookmarkEnd w:id="935"/>
      <w:bookmarkEnd w:id="936"/>
      <w:bookmarkEnd w:id="937"/>
      <w:bookmarkEnd w:id="938"/>
      <w:bookmarkEnd w:id="939"/>
      <w:r w:rsidR="00382749" w:rsidRPr="00FA34AC">
        <w:t>registered provider</w:t>
      </w:r>
      <w:bookmarkEnd w:id="942"/>
      <w:r w:rsidR="00605BA0" w:rsidRPr="00FA34AC">
        <w:t xml:space="preserve"> </w:t>
      </w:r>
    </w:p>
    <w:p w14:paraId="187046E2" w14:textId="7906B481" w:rsidR="00605BA0" w:rsidRPr="00B2614F" w:rsidRDefault="00382749" w:rsidP="000F25B7">
      <w:pPr>
        <w:rPr>
          <w:rFonts w:cs="Calibri"/>
        </w:rPr>
      </w:pPr>
      <w:r w:rsidRPr="003A173C">
        <w:rPr>
          <w:rFonts w:cs="Calibri"/>
        </w:rPr>
        <w:t xml:space="preserve">Registered </w:t>
      </w:r>
      <w:r w:rsidR="20B0B6FB" w:rsidRPr="003A173C">
        <w:rPr>
          <w:rFonts w:cs="Calibri"/>
        </w:rPr>
        <w:t xml:space="preserve">providers </w:t>
      </w:r>
      <w:r w:rsidR="20B0B6FB" w:rsidRPr="00B2614F">
        <w:rPr>
          <w:rFonts w:cs="Calibri"/>
        </w:rPr>
        <w:t>manage the day-to-day operations of a transition care service. This includes:</w:t>
      </w:r>
    </w:p>
    <w:p w14:paraId="265C013A" w14:textId="77777777" w:rsidR="00605BA0" w:rsidRPr="00B2614F" w:rsidRDefault="00605BA0" w:rsidP="00FA34AC">
      <w:pPr>
        <w:pStyle w:val="ListBullet"/>
      </w:pPr>
      <w:r w:rsidRPr="008202E1">
        <w:t>assisting</w:t>
      </w:r>
      <w:r w:rsidRPr="00B2614F">
        <w:t xml:space="preserve"> in the admission of clients to transition care, their return to hospital if required and their transfer to their preferred long-term care option;</w:t>
      </w:r>
    </w:p>
    <w:p w14:paraId="32A7DF98" w14:textId="1147A583" w:rsidR="00605BA0" w:rsidRPr="00B2614F" w:rsidRDefault="00605BA0" w:rsidP="00FA34AC">
      <w:pPr>
        <w:pStyle w:val="ListBullet"/>
      </w:pPr>
      <w:r w:rsidRPr="008202E1">
        <w:t>liaising</w:t>
      </w:r>
      <w:r w:rsidRPr="00B2614F">
        <w:t xml:space="preserve"> with the local </w:t>
      </w:r>
      <w:r w:rsidR="00C318B0" w:rsidRPr="00B2614F">
        <w:t xml:space="preserve">assessment organisation </w:t>
      </w:r>
      <w:r w:rsidRPr="00B2614F">
        <w:t xml:space="preserve">and/or transition care coordinator and advising of the capacity of the service to accept new </w:t>
      </w:r>
      <w:r w:rsidR="00024518" w:rsidRPr="00B2614F">
        <w:t>clients</w:t>
      </w:r>
      <w:r w:rsidRPr="00B2614F">
        <w:t>, and any transition care vacancies in the region;</w:t>
      </w:r>
    </w:p>
    <w:p w14:paraId="6D3995AB" w14:textId="55B13280" w:rsidR="00605BA0" w:rsidRPr="00B2614F" w:rsidRDefault="00605BA0" w:rsidP="00FA34AC">
      <w:pPr>
        <w:pStyle w:val="ListBullet"/>
      </w:pPr>
      <w:r w:rsidRPr="00B2614F">
        <w:t xml:space="preserve">offering </w:t>
      </w:r>
      <w:r w:rsidRPr="008202E1">
        <w:t>and</w:t>
      </w:r>
      <w:r w:rsidRPr="00B2614F">
        <w:t xml:space="preserve"> remaining ready at </w:t>
      </w:r>
      <w:r w:rsidR="00404EC1" w:rsidRPr="00B2614F">
        <w:t>any</w:t>
      </w:r>
      <w:r w:rsidRPr="00B2614F">
        <w:t xml:space="preserve"> time to enter into a </w:t>
      </w:r>
      <w:r w:rsidR="00EB344C" w:rsidRPr="00B2614F">
        <w:t xml:space="preserve">service </w:t>
      </w:r>
      <w:r w:rsidRPr="00B2614F">
        <w:t xml:space="preserve">agreement with eligible clients (see also section </w:t>
      </w:r>
      <w:r w:rsidR="003629D6" w:rsidRPr="008202E1">
        <w:t>5</w:t>
      </w:r>
      <w:r w:rsidRPr="008202E1">
        <w:t xml:space="preserve">.2 </w:t>
      </w:r>
      <w:r w:rsidR="00EB344C" w:rsidRPr="008202E1">
        <w:t xml:space="preserve">Individual Service </w:t>
      </w:r>
      <w:r w:rsidRPr="008202E1">
        <w:t>agreement</w:t>
      </w:r>
      <w:r w:rsidR="00EB344C" w:rsidRPr="008202E1">
        <w:t>s</w:t>
      </w:r>
      <w:r w:rsidRPr="00B2614F">
        <w:t>);</w:t>
      </w:r>
    </w:p>
    <w:p w14:paraId="552FBDF3" w14:textId="7A7962F5" w:rsidR="00605BA0" w:rsidRPr="00B2614F" w:rsidRDefault="00605BA0" w:rsidP="00FA34AC">
      <w:pPr>
        <w:pStyle w:val="ListBullet"/>
      </w:pPr>
      <w:r w:rsidRPr="00B2614F">
        <w:t xml:space="preserve">having appropriate processes in place to receive, record and resolve complaints and handle them fairly, </w:t>
      </w:r>
      <w:r w:rsidRPr="008202E1">
        <w:t>promptly</w:t>
      </w:r>
      <w:r w:rsidRPr="00B2614F">
        <w:t xml:space="preserve">, confidentially and without retribution (see also section </w:t>
      </w:r>
      <w:r w:rsidR="00BA797B" w:rsidRPr="008202E1">
        <w:t>7</w:t>
      </w:r>
      <w:r w:rsidRPr="008202E1">
        <w:t>.</w:t>
      </w:r>
      <w:r w:rsidR="008769FB" w:rsidRPr="008202E1">
        <w:t>2</w:t>
      </w:r>
      <w:r w:rsidRPr="008202E1">
        <w:t>.</w:t>
      </w:r>
      <w:r w:rsidR="008769FB" w:rsidRPr="008202E1">
        <w:t>1</w:t>
      </w:r>
      <w:r w:rsidR="00E619D9" w:rsidRPr="008202E1">
        <w:t> </w:t>
      </w:r>
      <w:r w:rsidR="008769FB" w:rsidRPr="008202E1">
        <w:t>Internal c</w:t>
      </w:r>
      <w:r w:rsidRPr="008202E1">
        <w:t>omplaints</w:t>
      </w:r>
      <w:r w:rsidR="008769FB" w:rsidRPr="008202E1">
        <w:t xml:space="preserve"> processes</w:t>
      </w:r>
      <w:r w:rsidRPr="00B2614F">
        <w:t>);</w:t>
      </w:r>
    </w:p>
    <w:p w14:paraId="772E3ECD" w14:textId="1C8B3C96" w:rsidR="00D21939" w:rsidRPr="00AE5C0A" w:rsidRDefault="00605BA0" w:rsidP="00FA34AC">
      <w:pPr>
        <w:pStyle w:val="ListBullet"/>
      </w:pPr>
      <w:r w:rsidRPr="00B2614F">
        <w:t xml:space="preserve">reporting (activity, </w:t>
      </w:r>
      <w:r w:rsidRPr="00AE5C0A">
        <w:t xml:space="preserve">financial </w:t>
      </w:r>
      <w:r w:rsidR="002271EC" w:rsidRPr="00AE5C0A">
        <w:t xml:space="preserve">data </w:t>
      </w:r>
      <w:r w:rsidRPr="00AE5C0A">
        <w:t xml:space="preserve">and quality) as per </w:t>
      </w:r>
      <w:r w:rsidR="00B505C7" w:rsidRPr="00AE5C0A">
        <w:t>program</w:t>
      </w:r>
      <w:r w:rsidRPr="00AE5C0A">
        <w:t xml:space="preserve"> requirements </w:t>
      </w:r>
      <w:r w:rsidR="00545372" w:rsidRPr="00AE5C0A">
        <w:t>and arrangements in place with</w:t>
      </w:r>
      <w:r w:rsidRPr="00AE5C0A">
        <w:t xml:space="preserve"> </w:t>
      </w:r>
      <w:r w:rsidR="00A20BB3" w:rsidRPr="00AE5C0A">
        <w:t>S</w:t>
      </w:r>
      <w:r w:rsidR="00DA6CCE" w:rsidRPr="00AE5C0A">
        <w:t xml:space="preserve">tate or </w:t>
      </w:r>
      <w:r w:rsidR="00A20BB3" w:rsidRPr="00AE5C0A">
        <w:t>T</w:t>
      </w:r>
      <w:r w:rsidR="00DA6CCE" w:rsidRPr="00AE5C0A">
        <w:t>erritory health department</w:t>
      </w:r>
      <w:r w:rsidR="00D21939" w:rsidRPr="00AE5C0A">
        <w:t>; and</w:t>
      </w:r>
    </w:p>
    <w:p w14:paraId="239704CC" w14:textId="34A62432" w:rsidR="00CB3140" w:rsidRPr="00AE5C0A" w:rsidRDefault="00FA5056" w:rsidP="00FA34AC">
      <w:pPr>
        <w:pStyle w:val="ListBullet"/>
      </w:pPr>
      <w:r w:rsidRPr="00AE5C0A">
        <w:t xml:space="preserve">ensuring </w:t>
      </w:r>
      <w:r w:rsidR="00861862" w:rsidRPr="00AE5C0A">
        <w:t xml:space="preserve">their sub-contracted service providers or associated </w:t>
      </w:r>
      <w:r w:rsidR="005B3D62" w:rsidRPr="00AE5C0A">
        <w:t>providers adhere to the</w:t>
      </w:r>
      <w:r w:rsidR="009C3FEA" w:rsidRPr="00AE5C0A">
        <w:t xml:space="preserve"> strengthened</w:t>
      </w:r>
      <w:r w:rsidR="005B3D62" w:rsidRPr="00AE5C0A">
        <w:t xml:space="preserve"> </w:t>
      </w:r>
      <w:hyperlink r:id="rId43" w:history="1">
        <w:r w:rsidR="005B3D62" w:rsidRPr="007B13D6">
          <w:t>Aged Care Quality Standards</w:t>
        </w:r>
      </w:hyperlink>
      <w:r w:rsidR="00B2614F" w:rsidRPr="00AE5C0A">
        <w:t>.</w:t>
      </w:r>
    </w:p>
    <w:p w14:paraId="52B094E1" w14:textId="30DD2ED2" w:rsidR="00605BA0" w:rsidRPr="003A173C" w:rsidRDefault="00DA6CCE" w:rsidP="000F25B7">
      <w:pPr>
        <w:rPr>
          <w:rFonts w:cs="Calibri"/>
        </w:rPr>
      </w:pPr>
      <w:r w:rsidRPr="00AE5C0A">
        <w:rPr>
          <w:rFonts w:cs="Calibri"/>
        </w:rPr>
        <w:t xml:space="preserve">Registered </w:t>
      </w:r>
      <w:r w:rsidR="00605BA0" w:rsidRPr="00AE5C0A">
        <w:rPr>
          <w:rFonts w:cs="Calibri"/>
        </w:rPr>
        <w:t xml:space="preserve">providers are responsible for providing services appropriate to the needs of </w:t>
      </w:r>
      <w:r w:rsidRPr="00AE5C0A">
        <w:rPr>
          <w:rFonts w:cs="Calibri"/>
        </w:rPr>
        <w:t>individuals in care for the entirety of their transition care episode</w:t>
      </w:r>
      <w:r w:rsidR="00605BA0" w:rsidRPr="003A173C">
        <w:rPr>
          <w:rFonts w:cs="Calibri"/>
        </w:rPr>
        <w:t xml:space="preserve">. The </w:t>
      </w:r>
      <w:r w:rsidRPr="003A173C">
        <w:rPr>
          <w:rFonts w:cs="Calibri"/>
        </w:rPr>
        <w:t>registered</w:t>
      </w:r>
      <w:r w:rsidR="00605BA0" w:rsidRPr="003A173C">
        <w:rPr>
          <w:rFonts w:cs="Calibri"/>
        </w:rPr>
        <w:t xml:space="preserve"> provider, following consultation with the referring hospital, will make the final decision as to whether the person’s care needs can be met by their service and whether they have any places available.</w:t>
      </w:r>
    </w:p>
    <w:p w14:paraId="5B4C4D55" w14:textId="2D6A2A0D" w:rsidR="00CB3140" w:rsidRPr="003A173C" w:rsidRDefault="00605BA0" w:rsidP="000F25B7">
      <w:pPr>
        <w:rPr>
          <w:rFonts w:cs="Calibri"/>
        </w:rPr>
      </w:pPr>
      <w:r w:rsidRPr="003A173C">
        <w:rPr>
          <w:rFonts w:cs="Calibri"/>
        </w:rPr>
        <w:t xml:space="preserve">The </w:t>
      </w:r>
      <w:r w:rsidR="007A488E" w:rsidRPr="003A173C">
        <w:rPr>
          <w:rFonts w:cs="Calibri"/>
        </w:rPr>
        <w:t>12-week</w:t>
      </w:r>
      <w:r w:rsidR="00E90AA2" w:rsidRPr="003A173C">
        <w:rPr>
          <w:rFonts w:cs="Calibri"/>
        </w:rPr>
        <w:t xml:space="preserve"> duration of</w:t>
      </w:r>
      <w:r w:rsidR="004E7EA4" w:rsidRPr="003A173C">
        <w:rPr>
          <w:rFonts w:cs="Calibri"/>
        </w:rPr>
        <w:t xml:space="preserve"> the</w:t>
      </w:r>
      <w:r w:rsidR="00E90AA2" w:rsidRPr="003A173C">
        <w:rPr>
          <w:rFonts w:cs="Calibri"/>
        </w:rPr>
        <w:t xml:space="preserve"> </w:t>
      </w:r>
      <w:r w:rsidR="00B505C7" w:rsidRPr="003A173C">
        <w:rPr>
          <w:rFonts w:cs="Calibri"/>
        </w:rPr>
        <w:t>program</w:t>
      </w:r>
      <w:r w:rsidRPr="003A173C">
        <w:rPr>
          <w:rFonts w:cs="Calibri"/>
        </w:rPr>
        <w:t xml:space="preserve"> </w:t>
      </w:r>
      <w:r w:rsidR="00E90AA2" w:rsidRPr="003A173C">
        <w:rPr>
          <w:rFonts w:cs="Calibri"/>
        </w:rPr>
        <w:t>equates to 84</w:t>
      </w:r>
      <w:r w:rsidRPr="003A173C">
        <w:rPr>
          <w:rFonts w:cs="Calibri"/>
        </w:rPr>
        <w:t xml:space="preserve"> calendar day</w:t>
      </w:r>
      <w:r w:rsidR="00E90AA2" w:rsidRPr="003A173C">
        <w:rPr>
          <w:rFonts w:cs="Calibri"/>
        </w:rPr>
        <w:t>s</w:t>
      </w:r>
      <w:r w:rsidRPr="003A173C">
        <w:rPr>
          <w:rFonts w:cs="Calibri"/>
        </w:rPr>
        <w:t xml:space="preserve">. As it is a time-limited </w:t>
      </w:r>
      <w:r w:rsidR="00B505C7" w:rsidRPr="003A173C">
        <w:rPr>
          <w:rFonts w:cs="Calibri"/>
        </w:rPr>
        <w:t>program</w:t>
      </w:r>
      <w:r w:rsidRPr="003A173C">
        <w:rPr>
          <w:rFonts w:cs="Calibri"/>
        </w:rPr>
        <w:t xml:space="preserve">, services should be provided according to the care </w:t>
      </w:r>
      <w:r w:rsidR="002271EC" w:rsidRPr="003A173C">
        <w:rPr>
          <w:rFonts w:cs="Calibri"/>
        </w:rPr>
        <w:t xml:space="preserve">and services </w:t>
      </w:r>
      <w:r w:rsidRPr="003A173C">
        <w:rPr>
          <w:rFonts w:cs="Calibri"/>
        </w:rPr>
        <w:t>plan on a 7-day a week basis, including weekends and any public holidays falling within the transition care period.</w:t>
      </w:r>
    </w:p>
    <w:p w14:paraId="193FAEAA" w14:textId="77777777" w:rsidR="00605BA0" w:rsidRPr="003A173C" w:rsidRDefault="00605BA0" w:rsidP="00FB42E2">
      <w:pPr>
        <w:pStyle w:val="heading4withoutnumbers"/>
        <w:rPr>
          <w:rFonts w:cs="Calibri"/>
          <w:b/>
          <w:bCs/>
          <w:iCs/>
        </w:rPr>
      </w:pPr>
      <w:r w:rsidRPr="003A173C">
        <w:rPr>
          <w:rFonts w:cs="Calibri"/>
          <w:b/>
          <w:bCs/>
          <w:iCs/>
        </w:rPr>
        <w:t>Care planning</w:t>
      </w:r>
    </w:p>
    <w:p w14:paraId="4E52AFB8" w14:textId="03F48EFD" w:rsidR="00AD7BC9" w:rsidRPr="003A173C" w:rsidRDefault="00605BA0" w:rsidP="00CD4746">
      <w:pPr>
        <w:spacing w:before="0" w:after="200"/>
        <w:rPr>
          <w:rFonts w:cs="Calibri"/>
          <w:szCs w:val="20"/>
        </w:rPr>
      </w:pPr>
      <w:r w:rsidRPr="003A173C">
        <w:rPr>
          <w:rFonts w:cs="Calibri"/>
          <w:szCs w:val="20"/>
        </w:rPr>
        <w:t xml:space="preserve">The </w:t>
      </w:r>
      <w:r w:rsidR="00B549A2" w:rsidRPr="003A173C">
        <w:rPr>
          <w:rFonts w:cs="Calibri"/>
          <w:szCs w:val="20"/>
        </w:rPr>
        <w:t>registered</w:t>
      </w:r>
      <w:r w:rsidRPr="003A173C">
        <w:rPr>
          <w:rFonts w:cs="Calibri"/>
          <w:szCs w:val="20"/>
        </w:rPr>
        <w:t xml:space="preserve"> provider </w:t>
      </w:r>
      <w:r w:rsidR="007527DA" w:rsidRPr="003A173C">
        <w:rPr>
          <w:rFonts w:cs="Calibri"/>
          <w:szCs w:val="20"/>
        </w:rPr>
        <w:t>must</w:t>
      </w:r>
      <w:r w:rsidR="003F75B4" w:rsidRPr="003A173C">
        <w:rPr>
          <w:rFonts w:cs="Calibri"/>
          <w:szCs w:val="20"/>
        </w:rPr>
        <w:t xml:space="preserve"> </w:t>
      </w:r>
      <w:r w:rsidRPr="003A173C">
        <w:rPr>
          <w:rFonts w:cs="Calibri"/>
          <w:szCs w:val="20"/>
        </w:rPr>
        <w:t>develop a care</w:t>
      </w:r>
      <w:r w:rsidR="00A30779" w:rsidRPr="003A173C">
        <w:rPr>
          <w:rFonts w:cs="Calibri"/>
          <w:szCs w:val="20"/>
        </w:rPr>
        <w:t xml:space="preserve"> and services</w:t>
      </w:r>
      <w:r w:rsidRPr="003A173C">
        <w:rPr>
          <w:rFonts w:cs="Calibri"/>
          <w:szCs w:val="20"/>
        </w:rPr>
        <w:t xml:space="preserve"> plan</w:t>
      </w:r>
      <w:r w:rsidR="00984467" w:rsidRPr="003A173C">
        <w:rPr>
          <w:rFonts w:cs="Calibri"/>
          <w:szCs w:val="20"/>
        </w:rPr>
        <w:t xml:space="preserve"> under section</w:t>
      </w:r>
      <w:r w:rsidR="0074522C" w:rsidRPr="003A173C">
        <w:rPr>
          <w:rFonts w:cs="Calibri"/>
          <w:szCs w:val="20"/>
        </w:rPr>
        <w:t xml:space="preserve"> </w:t>
      </w:r>
      <w:r w:rsidR="00984467" w:rsidRPr="003A173C">
        <w:rPr>
          <w:rFonts w:cs="Calibri"/>
          <w:szCs w:val="20"/>
        </w:rPr>
        <w:t>148</w:t>
      </w:r>
      <w:r w:rsidR="00BA28CC" w:rsidRPr="003A173C">
        <w:rPr>
          <w:rFonts w:cs="Calibri"/>
          <w:szCs w:val="20"/>
        </w:rPr>
        <w:t>(e) of the act and section</w:t>
      </w:r>
      <w:r w:rsidR="0074522C" w:rsidRPr="003A173C">
        <w:rPr>
          <w:rFonts w:cs="Calibri"/>
          <w:szCs w:val="20"/>
        </w:rPr>
        <w:t xml:space="preserve">s </w:t>
      </w:r>
      <w:r w:rsidR="002271EC" w:rsidRPr="003A173C">
        <w:rPr>
          <w:rFonts w:cs="Calibri"/>
          <w:szCs w:val="20"/>
        </w:rPr>
        <w:t>8-20</w:t>
      </w:r>
      <w:r w:rsidR="0074522C" w:rsidRPr="003A173C">
        <w:rPr>
          <w:rFonts w:cs="Calibri"/>
          <w:szCs w:val="20"/>
        </w:rPr>
        <w:t>,</w:t>
      </w:r>
      <w:r w:rsidR="00BA28CC" w:rsidRPr="003A173C">
        <w:rPr>
          <w:rFonts w:cs="Calibri"/>
          <w:szCs w:val="20"/>
        </w:rPr>
        <w:t xml:space="preserve"> 148-80 and 148-85 of the Rules,</w:t>
      </w:r>
      <w:r w:rsidRPr="003A173C">
        <w:rPr>
          <w:rFonts w:cs="Calibri"/>
          <w:szCs w:val="20"/>
        </w:rPr>
        <w:t xml:space="preserve"> which incorporate</w:t>
      </w:r>
      <w:r w:rsidR="003F75B4" w:rsidRPr="003A173C">
        <w:rPr>
          <w:rFonts w:cs="Calibri"/>
          <w:szCs w:val="20"/>
        </w:rPr>
        <w:t>s</w:t>
      </w:r>
      <w:r w:rsidRPr="003A173C">
        <w:rPr>
          <w:rFonts w:cs="Calibri"/>
          <w:szCs w:val="20"/>
        </w:rPr>
        <w:t xml:space="preserve"> a therapeutic plan for physical and cognitive needs developed through the </w:t>
      </w:r>
      <w:r w:rsidR="00475958" w:rsidRPr="003A173C">
        <w:rPr>
          <w:rFonts w:cs="Calibri"/>
          <w:szCs w:val="20"/>
        </w:rPr>
        <w:t>individual’s</w:t>
      </w:r>
      <w:r w:rsidRPr="003A173C">
        <w:rPr>
          <w:rFonts w:cs="Calibri"/>
          <w:szCs w:val="20"/>
        </w:rPr>
        <w:t xml:space="preserve"> hospital discharge planning, the </w:t>
      </w:r>
      <w:r w:rsidR="00172429" w:rsidRPr="003A173C">
        <w:rPr>
          <w:rFonts w:cs="Calibri"/>
          <w:szCs w:val="20"/>
        </w:rPr>
        <w:t xml:space="preserve">aged care </w:t>
      </w:r>
      <w:r w:rsidRPr="003A173C">
        <w:rPr>
          <w:rFonts w:cs="Calibri"/>
          <w:szCs w:val="20"/>
        </w:rPr>
        <w:t xml:space="preserve">assessment process and in consultation with the </w:t>
      </w:r>
      <w:r w:rsidR="00E16A2C" w:rsidRPr="003A173C">
        <w:rPr>
          <w:rFonts w:cs="Calibri"/>
          <w:szCs w:val="20"/>
        </w:rPr>
        <w:t>individua</w:t>
      </w:r>
      <w:r w:rsidR="003C0251" w:rsidRPr="003A173C">
        <w:rPr>
          <w:rFonts w:cs="Calibri"/>
          <w:szCs w:val="20"/>
        </w:rPr>
        <w:t>l</w:t>
      </w:r>
      <w:r w:rsidRPr="003A173C">
        <w:rPr>
          <w:rFonts w:cs="Calibri"/>
          <w:szCs w:val="20"/>
        </w:rPr>
        <w:t xml:space="preserve">, </w:t>
      </w:r>
      <w:r w:rsidR="001F2A9A" w:rsidRPr="003A173C">
        <w:rPr>
          <w:rFonts w:cs="Calibri"/>
          <w:szCs w:val="20"/>
        </w:rPr>
        <w:t xml:space="preserve">and their </w:t>
      </w:r>
      <w:r w:rsidRPr="003A173C">
        <w:rPr>
          <w:rFonts w:cs="Calibri"/>
          <w:szCs w:val="20"/>
        </w:rPr>
        <w:t>carer or</w:t>
      </w:r>
      <w:r w:rsidR="00475958" w:rsidRPr="003A173C">
        <w:rPr>
          <w:rFonts w:cs="Calibri"/>
          <w:szCs w:val="20"/>
        </w:rPr>
        <w:t xml:space="preserve"> supporters</w:t>
      </w:r>
      <w:r w:rsidRPr="003A173C">
        <w:rPr>
          <w:rFonts w:cs="Calibri"/>
          <w:szCs w:val="20"/>
        </w:rPr>
        <w:t xml:space="preserve"> where appropriate. For older people with dementia who are unable to express their care goals, the development of a care </w:t>
      </w:r>
      <w:r w:rsidR="002271EC" w:rsidRPr="003A173C">
        <w:rPr>
          <w:rFonts w:cs="Calibri"/>
          <w:szCs w:val="20"/>
        </w:rPr>
        <w:t xml:space="preserve">and services </w:t>
      </w:r>
      <w:r w:rsidRPr="003A173C">
        <w:rPr>
          <w:rFonts w:cs="Calibri"/>
          <w:szCs w:val="20"/>
        </w:rPr>
        <w:t>plan may need to involve the person’s</w:t>
      </w:r>
      <w:r w:rsidR="00475958" w:rsidRPr="003A173C">
        <w:rPr>
          <w:rFonts w:cs="Calibri"/>
          <w:szCs w:val="20"/>
        </w:rPr>
        <w:t xml:space="preserve"> supporters,</w:t>
      </w:r>
      <w:r w:rsidRPr="003A173C">
        <w:rPr>
          <w:rFonts w:cs="Calibri"/>
          <w:szCs w:val="20"/>
        </w:rPr>
        <w:t xml:space="preserve"> family and/or carer.</w:t>
      </w:r>
    </w:p>
    <w:p w14:paraId="4FB81130" w14:textId="77777777" w:rsidR="00605BA0" w:rsidRPr="003A173C" w:rsidRDefault="00605BA0" w:rsidP="00FB42E2">
      <w:pPr>
        <w:pStyle w:val="heading4withoutnumbers"/>
        <w:rPr>
          <w:rFonts w:cs="Calibri"/>
          <w:b/>
          <w:bCs/>
        </w:rPr>
      </w:pPr>
      <w:r w:rsidRPr="003A173C">
        <w:rPr>
          <w:rFonts w:cs="Calibri"/>
          <w:b/>
          <w:bCs/>
        </w:rPr>
        <w:t>Case management</w:t>
      </w:r>
    </w:p>
    <w:p w14:paraId="63782DEF" w14:textId="7141CB76" w:rsidR="00605BA0" w:rsidRPr="003A173C" w:rsidRDefault="00605BA0" w:rsidP="52E02564">
      <w:pPr>
        <w:spacing w:before="0" w:after="200"/>
        <w:rPr>
          <w:rFonts w:cs="Calibri"/>
        </w:rPr>
      </w:pPr>
      <w:r w:rsidRPr="003A173C">
        <w:rPr>
          <w:rFonts w:cs="Calibri"/>
        </w:rPr>
        <w:t xml:space="preserve">The </w:t>
      </w:r>
      <w:r w:rsidR="0074522C" w:rsidRPr="003A173C">
        <w:rPr>
          <w:rFonts w:cs="Calibri"/>
        </w:rPr>
        <w:t xml:space="preserve">registered </w:t>
      </w:r>
      <w:r w:rsidRPr="003A173C">
        <w:rPr>
          <w:rFonts w:cs="Calibri"/>
        </w:rPr>
        <w:t>provider has a responsibility to assist in the admission of a</w:t>
      </w:r>
      <w:r w:rsidR="0074522C" w:rsidRPr="003A173C">
        <w:rPr>
          <w:rFonts w:cs="Calibri"/>
        </w:rPr>
        <w:t xml:space="preserve">n </w:t>
      </w:r>
      <w:r w:rsidR="001A0FF0" w:rsidRPr="003A173C">
        <w:rPr>
          <w:rFonts w:cs="Calibri"/>
        </w:rPr>
        <w:t>individual</w:t>
      </w:r>
      <w:r w:rsidRPr="003A173C">
        <w:rPr>
          <w:rFonts w:cs="Calibri"/>
        </w:rPr>
        <w:t xml:space="preserve"> </w:t>
      </w:r>
      <w:r w:rsidR="00C53042" w:rsidRPr="003A173C">
        <w:rPr>
          <w:rFonts w:cs="Calibri"/>
        </w:rPr>
        <w:t xml:space="preserve">into </w:t>
      </w:r>
      <w:r w:rsidRPr="003A173C">
        <w:rPr>
          <w:rFonts w:cs="Calibri"/>
        </w:rPr>
        <w:t xml:space="preserve">the </w:t>
      </w:r>
      <w:r w:rsidR="00B505C7" w:rsidRPr="003A173C">
        <w:rPr>
          <w:rFonts w:cs="Calibri"/>
        </w:rPr>
        <w:t>program</w:t>
      </w:r>
      <w:r w:rsidRPr="003A173C">
        <w:rPr>
          <w:rFonts w:cs="Calibri"/>
        </w:rPr>
        <w:t xml:space="preserve">, in their return to hospital </w:t>
      </w:r>
      <w:r w:rsidR="00FE24C2" w:rsidRPr="003A173C">
        <w:rPr>
          <w:rFonts w:cs="Calibri"/>
        </w:rPr>
        <w:t>if</w:t>
      </w:r>
      <w:r w:rsidRPr="003A173C">
        <w:rPr>
          <w:rFonts w:cs="Calibri"/>
        </w:rPr>
        <w:t xml:space="preserve"> required, and in their subsequent transfer to their preferred long</w:t>
      </w:r>
      <w:r w:rsidR="7A3FDB4B" w:rsidRPr="003A173C">
        <w:rPr>
          <w:rFonts w:cs="Calibri"/>
        </w:rPr>
        <w:t>-</w:t>
      </w:r>
      <w:r w:rsidR="00B22BBA" w:rsidRPr="003A173C">
        <w:rPr>
          <w:rFonts w:cs="Calibri"/>
          <w:szCs w:val="20"/>
        </w:rPr>
        <w:noBreakHyphen/>
      </w:r>
      <w:r w:rsidRPr="003A173C">
        <w:rPr>
          <w:rFonts w:cs="Calibri"/>
        </w:rPr>
        <w:t>term care option at the end of their transition care episode. The</w:t>
      </w:r>
      <w:r w:rsidR="00C53042" w:rsidRPr="003A173C">
        <w:rPr>
          <w:rFonts w:cs="Calibri"/>
        </w:rPr>
        <w:t xml:space="preserve"> registered </w:t>
      </w:r>
      <w:r w:rsidRPr="003A173C">
        <w:rPr>
          <w:rFonts w:cs="Calibri"/>
        </w:rPr>
        <w:t xml:space="preserve">provider plays a significant role in the </w:t>
      </w:r>
      <w:r w:rsidR="00C53042" w:rsidRPr="003A173C">
        <w:rPr>
          <w:rFonts w:cs="Calibri"/>
        </w:rPr>
        <w:t xml:space="preserve">individual’s </w:t>
      </w:r>
      <w:r w:rsidRPr="003A173C">
        <w:rPr>
          <w:rFonts w:cs="Calibri"/>
        </w:rPr>
        <w:t>case management, including establishing community support and services and, where required, identification of residential care options.</w:t>
      </w:r>
    </w:p>
    <w:p w14:paraId="14871F51" w14:textId="63B897EA" w:rsidR="00605BA0" w:rsidRPr="003A173C" w:rsidRDefault="00605BA0" w:rsidP="00FB42E2">
      <w:pPr>
        <w:pStyle w:val="heading4withoutnumbers"/>
        <w:rPr>
          <w:rFonts w:cs="Calibri"/>
          <w:b/>
          <w:bCs/>
        </w:rPr>
      </w:pPr>
      <w:r w:rsidRPr="003A173C">
        <w:rPr>
          <w:rFonts w:cs="Calibri"/>
          <w:b/>
          <w:bCs/>
        </w:rPr>
        <w:t>Cooperation with A</w:t>
      </w:r>
      <w:r w:rsidR="00AA589A" w:rsidRPr="003A173C">
        <w:rPr>
          <w:rFonts w:cs="Calibri"/>
          <w:b/>
          <w:bCs/>
        </w:rPr>
        <w:t xml:space="preserve">ssessment </w:t>
      </w:r>
      <w:r w:rsidR="00CB4CB1" w:rsidRPr="003A173C">
        <w:rPr>
          <w:rFonts w:cs="Calibri"/>
          <w:b/>
          <w:bCs/>
        </w:rPr>
        <w:t>O</w:t>
      </w:r>
      <w:r w:rsidR="00AA589A" w:rsidRPr="003A173C">
        <w:rPr>
          <w:rFonts w:cs="Calibri"/>
          <w:b/>
          <w:bCs/>
        </w:rPr>
        <w:t>rganisation</w:t>
      </w:r>
      <w:r w:rsidRPr="003A173C">
        <w:rPr>
          <w:rFonts w:cs="Calibri"/>
          <w:b/>
          <w:bCs/>
        </w:rPr>
        <w:t>s</w:t>
      </w:r>
    </w:p>
    <w:p w14:paraId="1EC912B6" w14:textId="7F4B8E6E" w:rsidR="00605BA0" w:rsidRPr="003A173C" w:rsidRDefault="00605BA0" w:rsidP="00E10CFE">
      <w:pPr>
        <w:spacing w:before="0" w:after="60"/>
        <w:rPr>
          <w:rFonts w:cs="Calibri"/>
          <w:szCs w:val="20"/>
        </w:rPr>
      </w:pPr>
      <w:r w:rsidRPr="003A173C">
        <w:rPr>
          <w:rFonts w:cs="Calibri"/>
          <w:szCs w:val="20"/>
        </w:rPr>
        <w:t xml:space="preserve">To facilitate the best outcome for </w:t>
      </w:r>
      <w:r w:rsidR="00FE24C2" w:rsidRPr="003A173C">
        <w:rPr>
          <w:rFonts w:cs="Calibri"/>
          <w:szCs w:val="20"/>
        </w:rPr>
        <w:t>the</w:t>
      </w:r>
      <w:r w:rsidRPr="003A173C">
        <w:rPr>
          <w:rFonts w:cs="Calibri"/>
          <w:szCs w:val="20"/>
        </w:rPr>
        <w:t xml:space="preserve"> </w:t>
      </w:r>
      <w:r w:rsidR="00C53042" w:rsidRPr="003A173C">
        <w:rPr>
          <w:rFonts w:cs="Calibri"/>
          <w:szCs w:val="20"/>
        </w:rPr>
        <w:t>individual</w:t>
      </w:r>
      <w:r w:rsidRPr="003A173C">
        <w:rPr>
          <w:rFonts w:cs="Calibri"/>
          <w:szCs w:val="20"/>
        </w:rPr>
        <w:t xml:space="preserve"> during and after the assessment process, </w:t>
      </w:r>
      <w:r w:rsidR="00C53042" w:rsidRPr="003A173C">
        <w:rPr>
          <w:rFonts w:cs="Calibri"/>
          <w:szCs w:val="20"/>
        </w:rPr>
        <w:t>registered</w:t>
      </w:r>
      <w:r w:rsidRPr="003A173C">
        <w:rPr>
          <w:rFonts w:cs="Calibri"/>
          <w:szCs w:val="20"/>
        </w:rPr>
        <w:t xml:space="preserve"> providers should have an effective working relationship with their local </w:t>
      </w:r>
      <w:r w:rsidR="00FC46D7" w:rsidRPr="003A173C">
        <w:rPr>
          <w:rFonts w:cs="Calibri"/>
          <w:szCs w:val="20"/>
        </w:rPr>
        <w:t>a</w:t>
      </w:r>
      <w:r w:rsidR="00476AA3" w:rsidRPr="003A173C">
        <w:rPr>
          <w:rFonts w:cs="Calibri"/>
          <w:szCs w:val="20"/>
        </w:rPr>
        <w:t>ssessment organisation</w:t>
      </w:r>
      <w:r w:rsidR="004E7685" w:rsidRPr="003A173C">
        <w:rPr>
          <w:rFonts w:cs="Calibri"/>
          <w:szCs w:val="20"/>
        </w:rPr>
        <w:t xml:space="preserve">. </w:t>
      </w:r>
      <w:r w:rsidR="0064270C" w:rsidRPr="003A173C">
        <w:rPr>
          <w:rFonts w:cs="Calibri"/>
          <w:szCs w:val="20"/>
        </w:rPr>
        <w:t>Specifically,</w:t>
      </w:r>
      <w:r w:rsidR="004E7685" w:rsidRPr="003A173C">
        <w:rPr>
          <w:rFonts w:cs="Calibri"/>
          <w:szCs w:val="20"/>
        </w:rPr>
        <w:t xml:space="preserve"> </w:t>
      </w:r>
      <w:r w:rsidR="00C53042" w:rsidRPr="003A173C">
        <w:rPr>
          <w:rFonts w:cs="Calibri"/>
          <w:szCs w:val="20"/>
        </w:rPr>
        <w:t>registered</w:t>
      </w:r>
      <w:r w:rsidR="004E7685" w:rsidRPr="003A173C">
        <w:rPr>
          <w:rFonts w:cs="Calibri"/>
          <w:szCs w:val="20"/>
        </w:rPr>
        <w:t xml:space="preserve"> providers:</w:t>
      </w:r>
    </w:p>
    <w:p w14:paraId="22DF9102" w14:textId="10A412D7" w:rsidR="00605BA0" w:rsidRPr="005D744A" w:rsidRDefault="00605BA0" w:rsidP="00020AC2">
      <w:pPr>
        <w:pStyle w:val="ListBullet"/>
      </w:pPr>
      <w:r w:rsidRPr="005D744A">
        <w:t xml:space="preserve">should liaise with the </w:t>
      </w:r>
      <w:r w:rsidR="00FC46D7" w:rsidRPr="005D744A">
        <w:t>a</w:t>
      </w:r>
      <w:r w:rsidR="004308CF" w:rsidRPr="005D744A">
        <w:t>ssessment organisation,</w:t>
      </w:r>
      <w:r w:rsidRPr="005D744A">
        <w:t xml:space="preserve"> and keep them informed about the capacity of their service to accept new </w:t>
      </w:r>
      <w:r w:rsidR="00C53042" w:rsidRPr="005D744A">
        <w:t>clients</w:t>
      </w:r>
      <w:r w:rsidRPr="005D744A">
        <w:t>, and any transition care vacancies in the region</w:t>
      </w:r>
      <w:r w:rsidR="004E7685" w:rsidRPr="005D744A">
        <w:t>;</w:t>
      </w:r>
    </w:p>
    <w:p w14:paraId="75CAB8BD" w14:textId="47DF8ADE" w:rsidR="00605BA0" w:rsidRPr="005D744A" w:rsidRDefault="00605BA0" w:rsidP="00020AC2">
      <w:pPr>
        <w:pStyle w:val="ListBullet"/>
      </w:pPr>
      <w:r w:rsidRPr="005D744A">
        <w:t xml:space="preserve">may involve the </w:t>
      </w:r>
      <w:r w:rsidR="00ED7640" w:rsidRPr="005D744A">
        <w:t>clinical aged care needs assessor</w:t>
      </w:r>
      <w:r w:rsidR="00E33AB8" w:rsidRPr="005D744A">
        <w:t xml:space="preserve"> </w:t>
      </w:r>
      <w:r w:rsidRPr="005D744A">
        <w:t xml:space="preserve">in reviewing the </w:t>
      </w:r>
      <w:r w:rsidR="00C53042" w:rsidRPr="005D744A">
        <w:t>individual</w:t>
      </w:r>
      <w:r w:rsidRPr="005D744A">
        <w:t>’s needs,</w:t>
      </w:r>
      <w:r w:rsidR="00B22BBA" w:rsidRPr="005D744A">
        <w:t xml:space="preserve"> </w:t>
      </w:r>
      <w:r w:rsidRPr="005D744A">
        <w:t>re</w:t>
      </w:r>
      <w:r w:rsidR="00B22BBA" w:rsidRPr="005D744A">
        <w:noBreakHyphen/>
      </w:r>
      <w:r w:rsidRPr="005D744A">
        <w:t xml:space="preserve">assessing appropriate care options and/or referring the </w:t>
      </w:r>
      <w:r w:rsidR="00C53042" w:rsidRPr="005D744A">
        <w:t>individual</w:t>
      </w:r>
      <w:r w:rsidRPr="005D744A">
        <w:t xml:space="preserve"> to a more appropriate service</w:t>
      </w:r>
      <w:r w:rsidR="004E7685" w:rsidRPr="005D744A">
        <w:t>; and</w:t>
      </w:r>
    </w:p>
    <w:p w14:paraId="7D1E21A5" w14:textId="4429A42F" w:rsidR="00997684" w:rsidRPr="005D744A" w:rsidRDefault="00605BA0" w:rsidP="00020AC2">
      <w:pPr>
        <w:pStyle w:val="ListBullet"/>
      </w:pPr>
      <w:r w:rsidRPr="005D744A">
        <w:t xml:space="preserve">may also identify </w:t>
      </w:r>
      <w:r w:rsidR="00C36B71" w:rsidRPr="005D744A">
        <w:t>individuals</w:t>
      </w:r>
      <w:r w:rsidRPr="005D744A">
        <w:t xml:space="preserve"> who potentially require an extension to their transition care episode and submit a transition care extension</w:t>
      </w:r>
      <w:r w:rsidR="00975AB2" w:rsidRPr="005D744A">
        <w:t xml:space="preserve"> request</w:t>
      </w:r>
      <w:r w:rsidRPr="005D744A">
        <w:t xml:space="preserve"> to </w:t>
      </w:r>
      <w:r w:rsidR="002941DE" w:rsidRPr="005D744A">
        <w:t>a</w:t>
      </w:r>
      <w:r w:rsidRPr="005D744A">
        <w:t xml:space="preserve"> </w:t>
      </w:r>
      <w:r w:rsidR="003219AE" w:rsidRPr="005D744A">
        <w:t>clinical aged care needs assessor</w:t>
      </w:r>
      <w:r w:rsidR="003219AE" w:rsidRPr="005D744A" w:rsidDel="003219AE">
        <w:t xml:space="preserve"> </w:t>
      </w:r>
      <w:r w:rsidR="00975AB2" w:rsidRPr="005D744A">
        <w:t xml:space="preserve">and assessment delegate </w:t>
      </w:r>
      <w:r w:rsidRPr="005D744A">
        <w:t>for review (see also section</w:t>
      </w:r>
      <w:r w:rsidR="003B3FB8" w:rsidRPr="005D744A">
        <w:t>s</w:t>
      </w:r>
      <w:r w:rsidRPr="005D744A">
        <w:t xml:space="preserve"> </w:t>
      </w:r>
      <w:r w:rsidR="00FE24C2" w:rsidRPr="008202E1">
        <w:t>3.5.8 Extensions</w:t>
      </w:r>
      <w:r w:rsidR="00ED59DE" w:rsidRPr="005D744A">
        <w:t xml:space="preserve"> and </w:t>
      </w:r>
      <w:r w:rsidR="00FE24C2" w:rsidRPr="008202E1">
        <w:t xml:space="preserve">3.5.9 Review of </w:t>
      </w:r>
      <w:r w:rsidR="00B470EA" w:rsidRPr="008202E1">
        <w:t>the</w:t>
      </w:r>
      <w:r w:rsidR="0044079D" w:rsidRPr="008202E1">
        <w:t xml:space="preserve"> </w:t>
      </w:r>
      <w:r w:rsidR="00041A1A" w:rsidRPr="008202E1">
        <w:t>a</w:t>
      </w:r>
      <w:r w:rsidR="0044079D" w:rsidRPr="008202E1">
        <w:t>ssessment</w:t>
      </w:r>
      <w:r w:rsidR="0005058B" w:rsidRPr="008202E1">
        <w:t xml:space="preserve"> </w:t>
      </w:r>
      <w:r w:rsidR="00FE24C2" w:rsidRPr="008202E1">
        <w:t>extension</w:t>
      </w:r>
      <w:r w:rsidR="00F171BD" w:rsidRPr="008202E1">
        <w:t xml:space="preserve"> </w:t>
      </w:r>
      <w:r w:rsidR="00FE24C2" w:rsidRPr="008202E1">
        <w:t>decisions</w:t>
      </w:r>
      <w:r w:rsidRPr="005D744A">
        <w:t>).</w:t>
      </w:r>
    </w:p>
    <w:p w14:paraId="07FDA1DE" w14:textId="1EB27259" w:rsidR="00997684" w:rsidRPr="003A173C" w:rsidRDefault="00997684" w:rsidP="00CD4746">
      <w:pPr>
        <w:spacing w:before="0" w:after="200"/>
        <w:rPr>
          <w:rFonts w:cs="Calibri"/>
          <w:szCs w:val="20"/>
        </w:rPr>
      </w:pPr>
      <w:r w:rsidRPr="003A173C">
        <w:rPr>
          <w:rFonts w:cs="Calibri"/>
        </w:rPr>
        <w:t>A</w:t>
      </w:r>
      <w:r w:rsidR="007C7A8A" w:rsidRPr="003A173C">
        <w:rPr>
          <w:rFonts w:cs="Calibri"/>
        </w:rPr>
        <w:t>ssessment organisations</w:t>
      </w:r>
      <w:r w:rsidRPr="003A173C">
        <w:rPr>
          <w:rFonts w:cs="Calibri"/>
        </w:rPr>
        <w:t xml:space="preserve"> can work with Dementia </w:t>
      </w:r>
      <w:r w:rsidR="006D2E91" w:rsidRPr="003A173C">
        <w:rPr>
          <w:rFonts w:cs="Calibri"/>
        </w:rPr>
        <w:t>Support Australia</w:t>
      </w:r>
      <w:r w:rsidRPr="003A173C">
        <w:rPr>
          <w:rFonts w:cs="Calibri"/>
        </w:rPr>
        <w:t xml:space="preserve"> to ease the transition of clients </w:t>
      </w:r>
      <w:r w:rsidR="00094E6D" w:rsidRPr="003A173C">
        <w:rPr>
          <w:rFonts w:cs="Calibri"/>
        </w:rPr>
        <w:t xml:space="preserve">with dementia </w:t>
      </w:r>
      <w:r w:rsidRPr="003A173C">
        <w:rPr>
          <w:rFonts w:cs="Calibri"/>
        </w:rPr>
        <w:t>to home or residential aged care.</w:t>
      </w:r>
    </w:p>
    <w:p w14:paraId="2FE6CAAA" w14:textId="08FFB5CE" w:rsidR="23DF8819" w:rsidRPr="003A173C" w:rsidRDefault="23DF8819" w:rsidP="00035ACE">
      <w:pPr>
        <w:spacing w:before="240" w:after="240"/>
        <w:rPr>
          <w:rFonts w:eastAsia="Calibri" w:cs="Calibri"/>
        </w:rPr>
      </w:pPr>
      <w:r w:rsidRPr="003A173C">
        <w:rPr>
          <w:rFonts w:eastAsia="Calibri" w:cs="Calibri"/>
        </w:rPr>
        <w:t xml:space="preserve">The Government funds a free dementia behaviour support service delivered through </w:t>
      </w:r>
      <w:r w:rsidRPr="003A173C">
        <w:rPr>
          <w:rFonts w:eastAsia="Calibri" w:cs="Calibri"/>
          <w:b/>
          <w:bCs/>
        </w:rPr>
        <w:t>Dementia Support Australia (DSA)</w:t>
      </w:r>
      <w:r w:rsidRPr="003A173C">
        <w:rPr>
          <w:rFonts w:eastAsia="Calibri" w:cs="Calibri"/>
        </w:rPr>
        <w:t>, which can assist informal carers and providers when behavioural and psychological symptoms of dementia impact a person’s care or quality of life. DSA offers a 24</w:t>
      </w:r>
      <w:r w:rsidRPr="003A173C">
        <w:rPr>
          <w:rFonts w:ascii="Cambria Math" w:eastAsia="Calibri" w:hAnsi="Cambria Math" w:cs="Cambria Math"/>
        </w:rPr>
        <w:t>‑</w:t>
      </w:r>
      <w:r w:rsidRPr="003A173C">
        <w:rPr>
          <w:rFonts w:eastAsia="Calibri" w:cs="Calibri"/>
        </w:rPr>
        <w:t xml:space="preserve">hour helpline, accessible by calling </w:t>
      </w:r>
      <w:r w:rsidRPr="003A173C">
        <w:rPr>
          <w:rFonts w:eastAsia="Calibri" w:cs="Calibri"/>
          <w:b/>
          <w:bCs/>
        </w:rPr>
        <w:t>1800 699 799</w:t>
      </w:r>
      <w:r w:rsidRPr="003A173C">
        <w:rPr>
          <w:rFonts w:eastAsia="Calibri" w:cs="Calibri"/>
        </w:rPr>
        <w:t xml:space="preserve"> or visiting </w:t>
      </w:r>
      <w:hyperlink r:id="rId44" w:history="1">
        <w:r w:rsidRPr="003A173C">
          <w:rPr>
            <w:rStyle w:val="Hyperlink"/>
            <w:rFonts w:ascii="Calibri" w:eastAsia="Calibri" w:hAnsi="Calibri" w:cs="Calibri"/>
            <w:sz w:val="20"/>
            <w:szCs w:val="20"/>
          </w:rPr>
          <w:t>www.dementia.com.au</w:t>
        </w:r>
      </w:hyperlink>
      <w:r w:rsidRPr="003A173C">
        <w:rPr>
          <w:rFonts w:eastAsia="Calibri" w:cs="Calibri"/>
        </w:rPr>
        <w:t>. As part of its service offering, DSA can review a</w:t>
      </w:r>
      <w:r w:rsidR="5A48BB12" w:rsidRPr="003A173C">
        <w:rPr>
          <w:rFonts w:eastAsia="Calibri" w:cs="Calibri"/>
        </w:rPr>
        <w:t>n individual</w:t>
      </w:r>
      <w:r w:rsidRPr="003A173C">
        <w:rPr>
          <w:rFonts w:eastAsia="Calibri" w:cs="Calibri"/>
        </w:rPr>
        <w:t>’s situation while they are in hospital and support their transition to residential aged care if a suitable place is found. Support can also continue after the transition to help avoid re</w:t>
      </w:r>
      <w:r w:rsidRPr="003A173C">
        <w:rPr>
          <w:rFonts w:ascii="Cambria Math" w:eastAsia="Calibri" w:hAnsi="Cambria Math" w:cs="Cambria Math"/>
        </w:rPr>
        <w:t>‑</w:t>
      </w:r>
      <w:r w:rsidRPr="003A173C">
        <w:rPr>
          <w:rFonts w:eastAsia="Calibri" w:cs="Calibri"/>
        </w:rPr>
        <w:t>admission to hospital.</w:t>
      </w:r>
    </w:p>
    <w:p w14:paraId="684FE2ED" w14:textId="76C349F8" w:rsidR="0785CE58" w:rsidRPr="003A173C" w:rsidRDefault="23DF8819" w:rsidP="00035ACE">
      <w:pPr>
        <w:spacing w:before="240" w:after="240"/>
        <w:rPr>
          <w:rFonts w:eastAsia="Calibri" w:cs="Calibri"/>
        </w:rPr>
      </w:pPr>
      <w:r w:rsidRPr="003A173C">
        <w:rPr>
          <w:rFonts w:eastAsia="Calibri" w:cs="Calibri"/>
        </w:rPr>
        <w:lastRenderedPageBreak/>
        <w:t>This service may be particularly beneficial for individuals in the</w:t>
      </w:r>
      <w:r w:rsidR="006E54FA">
        <w:rPr>
          <w:rFonts w:eastAsia="Calibri" w:cs="Calibri"/>
        </w:rPr>
        <w:t xml:space="preserve"> TC</w:t>
      </w:r>
      <w:r w:rsidR="00111AF1">
        <w:rPr>
          <w:rFonts w:eastAsia="Calibri" w:cs="Calibri"/>
        </w:rPr>
        <w:t>P</w:t>
      </w:r>
      <w:r w:rsidRPr="003A173C">
        <w:rPr>
          <w:rFonts w:eastAsia="Calibri" w:cs="Calibri"/>
        </w:rPr>
        <w:t xml:space="preserve"> who are experiencing behavioural symptoms of dementia, as DSA can provide tailored support during their hospital stay, assist with planning for appropriate longer-term care, and help ensure a smoother transition to residential aged care where needed.</w:t>
      </w:r>
    </w:p>
    <w:p w14:paraId="28377CEB" w14:textId="68E207FD" w:rsidR="00605BA0" w:rsidRPr="00FA34AC" w:rsidRDefault="00605BA0" w:rsidP="008974DB">
      <w:pPr>
        <w:pStyle w:val="Style3"/>
      </w:pPr>
      <w:bookmarkStart w:id="943" w:name="_Toc395537188"/>
      <w:bookmarkStart w:id="944" w:name="_Toc422732545"/>
      <w:bookmarkStart w:id="945" w:name="_Toc422752885"/>
      <w:bookmarkStart w:id="946" w:name="_Toc216865476"/>
      <w:r w:rsidRPr="00FA34AC">
        <w:t>Residential based transition care</w:t>
      </w:r>
      <w:bookmarkEnd w:id="943"/>
      <w:bookmarkEnd w:id="944"/>
      <w:bookmarkEnd w:id="945"/>
      <w:bookmarkEnd w:id="946"/>
    </w:p>
    <w:p w14:paraId="73C010D8" w14:textId="199D9B7D" w:rsidR="00605BA0" w:rsidRPr="003A173C" w:rsidRDefault="00F171BD" w:rsidP="00FB42E2">
      <w:pPr>
        <w:rPr>
          <w:rFonts w:cs="Calibri"/>
        </w:rPr>
      </w:pPr>
      <w:r w:rsidRPr="003A173C">
        <w:rPr>
          <w:rFonts w:cs="Calibri"/>
        </w:rPr>
        <w:t>Registered p</w:t>
      </w:r>
      <w:r w:rsidR="00605BA0" w:rsidRPr="003A173C">
        <w:rPr>
          <w:rFonts w:cs="Calibri"/>
        </w:rPr>
        <w:t xml:space="preserve">roviders of residential based transition care are expected to provide services that reflect the intent of the </w:t>
      </w:r>
      <w:r w:rsidR="00B505C7" w:rsidRPr="003A173C">
        <w:rPr>
          <w:rFonts w:cs="Calibri"/>
        </w:rPr>
        <w:t>program</w:t>
      </w:r>
      <w:r w:rsidR="00605BA0" w:rsidRPr="003A173C">
        <w:rPr>
          <w:rFonts w:cs="Calibri"/>
        </w:rPr>
        <w:t xml:space="preserve"> to optimise the </w:t>
      </w:r>
      <w:r w:rsidR="00B505C7" w:rsidRPr="003A173C">
        <w:rPr>
          <w:rFonts w:cs="Calibri"/>
        </w:rPr>
        <w:t>individual’s</w:t>
      </w:r>
      <w:r w:rsidR="00605BA0" w:rsidRPr="003A173C">
        <w:rPr>
          <w:rFonts w:cs="Calibri"/>
        </w:rPr>
        <w:t xml:space="preserve"> health and independence.</w:t>
      </w:r>
      <w:r w:rsidR="006E7387" w:rsidRPr="003A173C">
        <w:rPr>
          <w:rFonts w:cs="Calibri"/>
        </w:rPr>
        <w:t xml:space="preserve"> </w:t>
      </w:r>
      <w:r w:rsidR="00605BA0" w:rsidRPr="003A173C">
        <w:rPr>
          <w:rFonts w:cs="Calibri"/>
        </w:rPr>
        <w:t>Residential based transition care services should be provided in a more home-like, less institutional environment, including:</w:t>
      </w:r>
    </w:p>
    <w:p w14:paraId="2A5327A1" w14:textId="405759E4" w:rsidR="00605BA0" w:rsidRPr="00204EE0" w:rsidRDefault="00605BA0" w:rsidP="00FA34AC">
      <w:pPr>
        <w:pStyle w:val="ListBullet"/>
      </w:pPr>
      <w:r w:rsidRPr="00204EE0">
        <w:t xml:space="preserve">communal living space/living room environment which is </w:t>
      </w:r>
      <w:r w:rsidR="0064270C" w:rsidRPr="00204EE0">
        <w:t>separate</w:t>
      </w:r>
      <w:r w:rsidRPr="00204EE0">
        <w:t xml:space="preserve"> from sleeping areas and the location of acute/subacute care provision, i.e. a space that encourages family, carers and visitors to spend time with</w:t>
      </w:r>
      <w:r w:rsidR="00E16A2C" w:rsidRPr="00204EE0">
        <w:t xml:space="preserve"> </w:t>
      </w:r>
      <w:r w:rsidR="00341D3B" w:rsidRPr="00204EE0">
        <w:t>individuals</w:t>
      </w:r>
      <w:r w:rsidRPr="00204EE0">
        <w:t>;</w:t>
      </w:r>
    </w:p>
    <w:p w14:paraId="53241A63" w14:textId="72205B9D" w:rsidR="00605BA0" w:rsidRPr="00204EE0" w:rsidRDefault="00605BA0" w:rsidP="00FA34AC">
      <w:pPr>
        <w:pStyle w:val="ListBullet"/>
      </w:pPr>
      <w:r w:rsidRPr="00204EE0">
        <w:t xml:space="preserve">a dining area and </w:t>
      </w:r>
      <w:r w:rsidR="00E16A2C" w:rsidRPr="00204EE0">
        <w:t>individual</w:t>
      </w:r>
      <w:r w:rsidRPr="00204EE0">
        <w:t xml:space="preserve">s </w:t>
      </w:r>
      <w:r w:rsidR="00460502" w:rsidRPr="00204EE0">
        <w:t>to be</w:t>
      </w:r>
      <w:r w:rsidRPr="00204EE0">
        <w:t xml:space="preserve"> encouraged not to eat in bed;</w:t>
      </w:r>
    </w:p>
    <w:p w14:paraId="2B152C12" w14:textId="5E67836E" w:rsidR="00605BA0" w:rsidRPr="00204EE0" w:rsidRDefault="00E16A2C" w:rsidP="00FA34AC">
      <w:pPr>
        <w:pStyle w:val="ListBullet"/>
      </w:pPr>
      <w:r w:rsidRPr="00204EE0">
        <w:t>individual</w:t>
      </w:r>
      <w:r w:rsidR="00605BA0" w:rsidRPr="00204EE0">
        <w:t xml:space="preserve">s </w:t>
      </w:r>
      <w:r w:rsidR="00460502" w:rsidRPr="00204EE0">
        <w:t>to be</w:t>
      </w:r>
      <w:r w:rsidR="00605BA0" w:rsidRPr="00204EE0">
        <w:t xml:space="preserve"> encouraged and supported to dress every day;</w:t>
      </w:r>
    </w:p>
    <w:p w14:paraId="66487BCA" w14:textId="4429F44B" w:rsidR="00605BA0" w:rsidRPr="00204EE0" w:rsidRDefault="00605BA0" w:rsidP="00FA34AC">
      <w:pPr>
        <w:pStyle w:val="ListBullet"/>
      </w:pPr>
      <w:r w:rsidRPr="00204EE0">
        <w:t xml:space="preserve">facilities for </w:t>
      </w:r>
      <w:r w:rsidR="00E16A2C" w:rsidRPr="00204EE0">
        <w:t>individual</w:t>
      </w:r>
      <w:r w:rsidRPr="00204EE0">
        <w:t>s to prepare snacks for themselves and their visitors;</w:t>
      </w:r>
    </w:p>
    <w:p w14:paraId="05C1D8A4" w14:textId="77777777" w:rsidR="00605BA0" w:rsidRPr="00204EE0" w:rsidRDefault="00605BA0" w:rsidP="00FA34AC">
      <w:pPr>
        <w:pStyle w:val="ListBullet"/>
      </w:pPr>
      <w:r w:rsidRPr="00204EE0">
        <w:t>privacy, particularly for personal care and bathing arrangements;</w:t>
      </w:r>
    </w:p>
    <w:p w14:paraId="78A0C066" w14:textId="188DB937" w:rsidR="00605BA0" w:rsidRPr="00204EE0" w:rsidRDefault="00605BA0" w:rsidP="00FA34AC">
      <w:pPr>
        <w:pStyle w:val="ListBullet"/>
      </w:pPr>
      <w:r w:rsidRPr="00204EE0">
        <w:t xml:space="preserve">space for </w:t>
      </w:r>
      <w:r w:rsidR="00E16A2C" w:rsidRPr="00204EE0">
        <w:t>individual</w:t>
      </w:r>
      <w:r w:rsidRPr="00204EE0">
        <w:t xml:space="preserve">s to </w:t>
      </w:r>
      <w:r w:rsidR="0047534F" w:rsidRPr="00204EE0">
        <w:t>move about</w:t>
      </w:r>
      <w:r w:rsidRPr="00204EE0">
        <w:t>, especially outdoors;</w:t>
      </w:r>
    </w:p>
    <w:p w14:paraId="4A020B6E" w14:textId="5B39F4B8" w:rsidR="00605BA0" w:rsidRPr="00204EE0" w:rsidRDefault="00605BA0" w:rsidP="00FA34AC">
      <w:pPr>
        <w:pStyle w:val="ListBullet"/>
      </w:pPr>
      <w:r w:rsidRPr="00204EE0">
        <w:t>physical arrangements which support the involvement of carers in the therapeutic activities; and</w:t>
      </w:r>
    </w:p>
    <w:p w14:paraId="4B7D56E6" w14:textId="73C93DF5" w:rsidR="00605BA0" w:rsidRPr="008202E1" w:rsidRDefault="00605BA0" w:rsidP="00FA34AC">
      <w:pPr>
        <w:pStyle w:val="ListBullet"/>
      </w:pPr>
      <w:r w:rsidRPr="00204EE0">
        <w:t xml:space="preserve">a model of care and staff knowledge that supports the intent of the </w:t>
      </w:r>
      <w:r w:rsidR="00B505C7" w:rsidRPr="00204EE0">
        <w:t>program</w:t>
      </w:r>
      <w:r w:rsidRPr="00204EE0">
        <w:t xml:space="preserve"> to promote the </w:t>
      </w:r>
      <w:r w:rsidR="00E16A2C" w:rsidRPr="00204EE0">
        <w:t>individual</w:t>
      </w:r>
      <w:r w:rsidRPr="00204EE0">
        <w:t>’s</w:t>
      </w:r>
      <w:r w:rsidR="001778FA" w:rsidRPr="00204EE0">
        <w:t xml:space="preserve"> independence and health (including cognitive functioning).</w:t>
      </w:r>
    </w:p>
    <w:p w14:paraId="227B8A87" w14:textId="35E23AC5" w:rsidR="006E7387" w:rsidRPr="003A173C" w:rsidRDefault="00605BA0" w:rsidP="00FB42E2">
      <w:pPr>
        <w:rPr>
          <w:rFonts w:cs="Calibri"/>
          <w:snapToGrid w:val="0"/>
        </w:rPr>
      </w:pPr>
      <w:r w:rsidRPr="003A173C">
        <w:rPr>
          <w:rFonts w:cs="Calibri"/>
          <w:snapToGrid w:val="0"/>
        </w:rPr>
        <w:t xml:space="preserve">Transition care services may also be provided in hospitals when appropriate. The requirements for the more home-like environment may be relaxed on a </w:t>
      </w:r>
      <w:r w:rsidR="003A6D92" w:rsidRPr="003A173C">
        <w:rPr>
          <w:rFonts w:cs="Calibri"/>
          <w:snapToGrid w:val="0"/>
        </w:rPr>
        <w:t>case-by-case</w:t>
      </w:r>
      <w:r w:rsidRPr="003A173C">
        <w:rPr>
          <w:rFonts w:cs="Calibri"/>
          <w:snapToGrid w:val="0"/>
        </w:rPr>
        <w:t xml:space="preserve"> basis in these locations, if relevant (see also</w:t>
      </w:r>
      <w:r w:rsidR="00972551" w:rsidRPr="003A173C">
        <w:rPr>
          <w:rFonts w:cs="Calibri"/>
          <w:snapToGrid w:val="0"/>
        </w:rPr>
        <w:t xml:space="preserve"> </w:t>
      </w:r>
      <w:r w:rsidR="00D024FE" w:rsidRPr="003A173C">
        <w:rPr>
          <w:rFonts w:cs="Calibri"/>
          <w:snapToGrid w:val="0"/>
        </w:rPr>
        <w:t>the</w:t>
      </w:r>
      <w:r w:rsidR="00D024FE" w:rsidRPr="003A173C">
        <w:rPr>
          <w:rFonts w:cs="Calibri"/>
          <w:i/>
          <w:snapToGrid w:val="0"/>
        </w:rPr>
        <w:t xml:space="preserve"> </w:t>
      </w:r>
      <w:r w:rsidR="00FA576D" w:rsidRPr="003A173C">
        <w:rPr>
          <w:rFonts w:cs="Calibri"/>
          <w:snapToGrid w:val="0"/>
        </w:rPr>
        <w:t>r</w:t>
      </w:r>
      <w:r w:rsidR="00074656" w:rsidRPr="003A173C">
        <w:rPr>
          <w:rFonts w:cs="Calibri"/>
          <w:snapToGrid w:val="0"/>
        </w:rPr>
        <w:t>equirement</w:t>
      </w:r>
      <w:r w:rsidR="00D024FE" w:rsidRPr="003A173C">
        <w:rPr>
          <w:rFonts w:cs="Calibri"/>
          <w:snapToGrid w:val="0"/>
        </w:rPr>
        <w:t xml:space="preserve">s set out </w:t>
      </w:r>
      <w:r w:rsidR="005E22CB" w:rsidRPr="003A173C">
        <w:rPr>
          <w:rFonts w:cs="Calibri"/>
          <w:snapToGrid w:val="0"/>
        </w:rPr>
        <w:t>in</w:t>
      </w:r>
      <w:r w:rsidR="00D024FE" w:rsidRPr="003A173C">
        <w:rPr>
          <w:rFonts w:cs="Calibri"/>
          <w:i/>
          <w:snapToGrid w:val="0"/>
        </w:rPr>
        <w:t xml:space="preserve"> </w:t>
      </w:r>
      <w:r w:rsidR="00460502" w:rsidRPr="003A173C">
        <w:rPr>
          <w:rFonts w:cs="Calibri"/>
          <w:i/>
          <w:iCs/>
        </w:rPr>
        <w:t xml:space="preserve">Chapter 4: Transition care </w:t>
      </w:r>
      <w:r w:rsidR="00B505C7" w:rsidRPr="003A173C">
        <w:rPr>
          <w:rFonts w:cs="Calibri"/>
          <w:i/>
          <w:iCs/>
        </w:rPr>
        <w:t>program</w:t>
      </w:r>
      <w:r w:rsidR="00460502" w:rsidRPr="003A173C">
        <w:rPr>
          <w:rFonts w:cs="Calibri"/>
          <w:i/>
          <w:iCs/>
        </w:rPr>
        <w:t xml:space="preserve"> restorative care requirements</w:t>
      </w:r>
      <w:r w:rsidR="00460502" w:rsidRPr="003A173C">
        <w:rPr>
          <w:rFonts w:cs="Calibri"/>
        </w:rPr>
        <w:t>).</w:t>
      </w:r>
    </w:p>
    <w:p w14:paraId="787E0FC4" w14:textId="42F55BAD" w:rsidR="00605BA0" w:rsidRPr="003A173C" w:rsidRDefault="006E7387" w:rsidP="00FB42E2">
      <w:pPr>
        <w:rPr>
          <w:rFonts w:cs="Calibri"/>
          <w:snapToGrid w:val="0"/>
        </w:rPr>
      </w:pPr>
      <w:r w:rsidRPr="003A173C">
        <w:rPr>
          <w:rFonts w:cs="Calibri"/>
          <w:snapToGrid w:val="0"/>
        </w:rPr>
        <w:t xml:space="preserve">It is not the intention that the </w:t>
      </w:r>
      <w:r w:rsidR="00B505C7" w:rsidRPr="003A173C">
        <w:rPr>
          <w:rFonts w:cs="Calibri"/>
          <w:snapToGrid w:val="0"/>
        </w:rPr>
        <w:t>program</w:t>
      </w:r>
      <w:r w:rsidRPr="003A173C">
        <w:rPr>
          <w:rFonts w:cs="Calibri"/>
          <w:snapToGrid w:val="0"/>
        </w:rPr>
        <w:t xml:space="preserve"> will reduce access to the number of allocated residential care places. Rather, transition care places are to be considered as additional to other aged care places.</w:t>
      </w:r>
    </w:p>
    <w:p w14:paraId="172FD149" w14:textId="5AB053A0" w:rsidR="00605BA0" w:rsidRPr="00FA34AC" w:rsidRDefault="00605BA0" w:rsidP="008974DB">
      <w:pPr>
        <w:pStyle w:val="Style3"/>
      </w:pPr>
      <w:bookmarkStart w:id="947" w:name="_Toc395537189"/>
      <w:bookmarkStart w:id="948" w:name="_Toc422732546"/>
      <w:bookmarkStart w:id="949" w:name="_Toc422752886"/>
      <w:bookmarkStart w:id="950" w:name="_Toc216865477"/>
      <w:r w:rsidRPr="00FA34AC">
        <w:t>Existing recipients of residential or home care</w:t>
      </w:r>
      <w:bookmarkEnd w:id="947"/>
      <w:bookmarkEnd w:id="948"/>
      <w:bookmarkEnd w:id="949"/>
      <w:bookmarkEnd w:id="950"/>
    </w:p>
    <w:p w14:paraId="33E247C1" w14:textId="14C2EDEA" w:rsidR="00082EB4" w:rsidRPr="003A173C" w:rsidRDefault="00D44267" w:rsidP="00FB42E2">
      <w:pPr>
        <w:rPr>
          <w:rFonts w:cs="Calibri"/>
        </w:rPr>
      </w:pPr>
      <w:r w:rsidRPr="003A173C">
        <w:rPr>
          <w:rFonts w:cs="Calibri"/>
        </w:rPr>
        <w:t>E</w:t>
      </w:r>
      <w:r w:rsidR="00605BA0" w:rsidRPr="003A173C">
        <w:rPr>
          <w:rFonts w:cs="Calibri"/>
        </w:rPr>
        <w:t xml:space="preserve">xisting recipients of </w:t>
      </w:r>
      <w:r w:rsidR="00931641" w:rsidRPr="003A173C">
        <w:rPr>
          <w:rFonts w:cs="Calibri"/>
        </w:rPr>
        <w:t>Australian</w:t>
      </w:r>
      <w:r w:rsidR="00807C1C" w:rsidRPr="003A173C">
        <w:rPr>
          <w:rFonts w:cs="Calibri"/>
        </w:rPr>
        <w:t xml:space="preserve"> </w:t>
      </w:r>
      <w:r w:rsidR="00605BA0" w:rsidRPr="003A173C">
        <w:rPr>
          <w:rFonts w:cs="Calibri"/>
        </w:rPr>
        <w:t>Government funded residential or home care services</w:t>
      </w:r>
      <w:r w:rsidR="00A64F8B" w:rsidRPr="003A173C">
        <w:rPr>
          <w:rFonts w:cs="Calibri"/>
        </w:rPr>
        <w:t xml:space="preserve">, </w:t>
      </w:r>
      <w:r w:rsidR="001C252C" w:rsidRPr="003A173C">
        <w:rPr>
          <w:rFonts w:cs="Calibri"/>
        </w:rPr>
        <w:t xml:space="preserve">including recipients of </w:t>
      </w:r>
      <w:r w:rsidR="00807C1C" w:rsidRPr="003A173C">
        <w:rPr>
          <w:rFonts w:cs="Calibri"/>
        </w:rPr>
        <w:t xml:space="preserve">the </w:t>
      </w:r>
      <w:r w:rsidR="00C14A0D">
        <w:rPr>
          <w:rFonts w:cs="Calibri"/>
        </w:rPr>
        <w:t xml:space="preserve">Commonwealth Home Support Program, the </w:t>
      </w:r>
      <w:r w:rsidR="00807C1C" w:rsidRPr="003A173C">
        <w:rPr>
          <w:rFonts w:cs="Calibri"/>
        </w:rPr>
        <w:t>Support at Home Program</w:t>
      </w:r>
      <w:r w:rsidR="00A64F8B" w:rsidRPr="003A173C">
        <w:rPr>
          <w:rFonts w:cs="Calibri"/>
        </w:rPr>
        <w:t xml:space="preserve"> </w:t>
      </w:r>
      <w:r w:rsidR="003C07A3" w:rsidRPr="003A173C">
        <w:rPr>
          <w:rFonts w:cs="Calibri"/>
        </w:rPr>
        <w:t xml:space="preserve">and residential care, </w:t>
      </w:r>
      <w:r w:rsidR="001C252C" w:rsidRPr="003A173C">
        <w:rPr>
          <w:rFonts w:cs="Calibri"/>
        </w:rPr>
        <w:t>may be</w:t>
      </w:r>
      <w:r w:rsidR="00605BA0" w:rsidRPr="003A173C">
        <w:rPr>
          <w:rFonts w:cs="Calibri"/>
        </w:rPr>
        <w:t xml:space="preserve"> able to access transition care</w:t>
      </w:r>
      <w:r w:rsidRPr="003A173C">
        <w:rPr>
          <w:rFonts w:cs="Calibri"/>
        </w:rPr>
        <w:t xml:space="preserve"> following an episode of hospital care</w:t>
      </w:r>
      <w:r w:rsidR="00605BA0" w:rsidRPr="003A173C">
        <w:rPr>
          <w:rFonts w:cs="Calibri"/>
        </w:rPr>
        <w:t xml:space="preserve"> if they are assessed as eligible.</w:t>
      </w:r>
    </w:p>
    <w:p w14:paraId="186CDE9C" w14:textId="4E6DD7BA" w:rsidR="00E33CFF" w:rsidRPr="003A173C" w:rsidRDefault="00570D17" w:rsidP="00FB42E2">
      <w:pPr>
        <w:rPr>
          <w:rFonts w:cs="Calibri"/>
        </w:rPr>
      </w:pPr>
      <w:r w:rsidRPr="003A173C">
        <w:rPr>
          <w:rFonts w:cs="Calibri"/>
        </w:rPr>
        <w:t xml:space="preserve">It is the responsibility of the </w:t>
      </w:r>
      <w:r w:rsidR="00E16A2C" w:rsidRPr="003A173C">
        <w:rPr>
          <w:rFonts w:cs="Calibri"/>
        </w:rPr>
        <w:t>individual</w:t>
      </w:r>
      <w:r w:rsidRPr="003A173C">
        <w:rPr>
          <w:rFonts w:cs="Calibri"/>
        </w:rPr>
        <w:t xml:space="preserve"> to notify their residential or home care provider of their intention to enter transition care</w:t>
      </w:r>
      <w:r w:rsidR="00E66480" w:rsidRPr="003A173C">
        <w:rPr>
          <w:rFonts w:cs="Calibri"/>
        </w:rPr>
        <w:t xml:space="preserve">. It is expected, however, the </w:t>
      </w:r>
      <w:r w:rsidR="00E16A2C" w:rsidRPr="003A173C">
        <w:rPr>
          <w:rFonts w:cs="Calibri"/>
        </w:rPr>
        <w:t>individual</w:t>
      </w:r>
      <w:r w:rsidR="00E66480" w:rsidRPr="003A173C">
        <w:rPr>
          <w:rFonts w:cs="Calibri"/>
        </w:rPr>
        <w:t>’s</w:t>
      </w:r>
      <w:r w:rsidR="006024B5" w:rsidRPr="003A173C">
        <w:rPr>
          <w:rFonts w:cs="Calibri"/>
        </w:rPr>
        <w:t xml:space="preserve"> residential or</w:t>
      </w:r>
      <w:r w:rsidR="00E66480" w:rsidRPr="003A173C">
        <w:rPr>
          <w:rFonts w:cs="Calibri"/>
        </w:rPr>
        <w:t xml:space="preserve"> home care provider </w:t>
      </w:r>
      <w:r w:rsidR="00807C1C" w:rsidRPr="003A173C">
        <w:rPr>
          <w:rFonts w:cs="Calibri"/>
        </w:rPr>
        <w:t xml:space="preserve">will </w:t>
      </w:r>
      <w:r w:rsidR="00E66480" w:rsidRPr="003A173C">
        <w:rPr>
          <w:rFonts w:cs="Calibri"/>
        </w:rPr>
        <w:t xml:space="preserve">discuss the provision of care with the relevant transition care provider to coordinate care provision and ensure the </w:t>
      </w:r>
      <w:r w:rsidR="00E16A2C" w:rsidRPr="003A173C">
        <w:rPr>
          <w:rFonts w:cs="Calibri"/>
        </w:rPr>
        <w:t>individual</w:t>
      </w:r>
      <w:r w:rsidR="00E66480" w:rsidRPr="003A173C">
        <w:rPr>
          <w:rFonts w:cs="Calibri"/>
        </w:rPr>
        <w:t>’s care needs are met.</w:t>
      </w:r>
    </w:p>
    <w:p w14:paraId="0B5C3D04" w14:textId="66F9ECD5" w:rsidR="00E66480" w:rsidRPr="003A173C" w:rsidRDefault="00807C1C" w:rsidP="00187113">
      <w:pPr>
        <w:pStyle w:val="heading4withoutnumbers"/>
        <w:rPr>
          <w:rFonts w:cs="Calibri"/>
          <w:b/>
          <w:bCs/>
        </w:rPr>
      </w:pPr>
      <w:r w:rsidRPr="003A173C">
        <w:rPr>
          <w:rFonts w:cs="Calibri"/>
          <w:b/>
          <w:bCs/>
        </w:rPr>
        <w:t xml:space="preserve">Support at Home Program </w:t>
      </w:r>
      <w:r w:rsidR="00E66480" w:rsidRPr="003A173C">
        <w:rPr>
          <w:rFonts w:cs="Calibri"/>
          <w:b/>
          <w:bCs/>
        </w:rPr>
        <w:t>recipients</w:t>
      </w:r>
    </w:p>
    <w:p w14:paraId="626BC9E0" w14:textId="5D3D9920" w:rsidR="00FC54EA" w:rsidRPr="003A173C" w:rsidRDefault="00B729CB" w:rsidP="00FB42E2">
      <w:pPr>
        <w:rPr>
          <w:rFonts w:cs="Calibri"/>
        </w:rPr>
      </w:pPr>
      <w:r w:rsidRPr="003A173C">
        <w:rPr>
          <w:rFonts w:cs="Calibri"/>
        </w:rPr>
        <w:t xml:space="preserve">People receiving </w:t>
      </w:r>
      <w:r w:rsidR="00807C1C" w:rsidRPr="003A173C">
        <w:rPr>
          <w:rFonts w:cs="Calibri"/>
        </w:rPr>
        <w:t>Support at Home</w:t>
      </w:r>
      <w:r w:rsidRPr="003A173C">
        <w:rPr>
          <w:rFonts w:cs="Calibri"/>
        </w:rPr>
        <w:t xml:space="preserve"> services </w:t>
      </w:r>
      <w:r w:rsidR="003A6D92" w:rsidRPr="003A173C">
        <w:rPr>
          <w:rFonts w:cs="Calibri"/>
        </w:rPr>
        <w:t>can</w:t>
      </w:r>
      <w:r w:rsidRPr="003A173C">
        <w:rPr>
          <w:rFonts w:cs="Calibri"/>
        </w:rPr>
        <w:t xml:space="preserve"> access transition care </w:t>
      </w:r>
      <w:r w:rsidR="006024B5" w:rsidRPr="003A173C">
        <w:rPr>
          <w:rFonts w:cs="Calibri"/>
        </w:rPr>
        <w:t xml:space="preserve">after a hospital stay if they are assessed and approved as eligible by </w:t>
      </w:r>
      <w:r w:rsidR="00A96E34" w:rsidRPr="003A173C">
        <w:rPr>
          <w:rFonts w:cs="Calibri"/>
        </w:rPr>
        <w:t>a</w:t>
      </w:r>
      <w:r w:rsidR="006024B5" w:rsidRPr="003A173C">
        <w:rPr>
          <w:rFonts w:cs="Calibri"/>
        </w:rPr>
        <w:t xml:space="preserve"> </w:t>
      </w:r>
      <w:r w:rsidR="00123705" w:rsidRPr="003A173C">
        <w:rPr>
          <w:rFonts w:cs="Calibri"/>
        </w:rPr>
        <w:t>clinical aged care needs assessor</w:t>
      </w:r>
      <w:r w:rsidR="0002469B" w:rsidRPr="003A173C">
        <w:rPr>
          <w:rFonts w:cs="Calibri"/>
        </w:rPr>
        <w:t xml:space="preserve"> and </w:t>
      </w:r>
      <w:r w:rsidR="0007236F" w:rsidRPr="003A173C">
        <w:rPr>
          <w:rFonts w:cs="Calibri"/>
        </w:rPr>
        <w:t>assessment delegate</w:t>
      </w:r>
      <w:r w:rsidR="00010FE9" w:rsidRPr="003A173C">
        <w:rPr>
          <w:rFonts w:cs="Calibri"/>
        </w:rPr>
        <w:t>. Under the Act, individual</w:t>
      </w:r>
      <w:r w:rsidR="00807C1C" w:rsidRPr="003A173C">
        <w:rPr>
          <w:rFonts w:cs="Calibri"/>
        </w:rPr>
        <w:t>s</w:t>
      </w:r>
      <w:r w:rsidR="00010FE9" w:rsidRPr="003A173C">
        <w:rPr>
          <w:rFonts w:cs="Calibri"/>
        </w:rPr>
        <w:t xml:space="preserve"> can continue </w:t>
      </w:r>
      <w:r w:rsidR="00F15A28">
        <w:rPr>
          <w:rFonts w:cs="Calibri"/>
        </w:rPr>
        <w:t xml:space="preserve">or commence </w:t>
      </w:r>
      <w:r w:rsidR="00010FE9" w:rsidRPr="003A173C">
        <w:rPr>
          <w:rFonts w:cs="Calibri"/>
        </w:rPr>
        <w:t xml:space="preserve">to receive services under their </w:t>
      </w:r>
      <w:r w:rsidR="003C2B77" w:rsidRPr="003A173C">
        <w:rPr>
          <w:rFonts w:cs="Calibri"/>
        </w:rPr>
        <w:t xml:space="preserve">Support at Home Program </w:t>
      </w:r>
      <w:r w:rsidR="00010FE9" w:rsidRPr="003A173C">
        <w:rPr>
          <w:rFonts w:cs="Calibri"/>
        </w:rPr>
        <w:t xml:space="preserve">while also receiving transition care, provided there is no duplication of services between the </w:t>
      </w:r>
      <w:r w:rsidR="00080AE4" w:rsidRPr="003A173C">
        <w:rPr>
          <w:rFonts w:cs="Calibri"/>
        </w:rPr>
        <w:t>Support at Home</w:t>
      </w:r>
      <w:r w:rsidR="00010FE9" w:rsidRPr="003A173C">
        <w:rPr>
          <w:rFonts w:cs="Calibri"/>
        </w:rPr>
        <w:t xml:space="preserve"> and TCP registered providers in service provision. In these instances, both registered providers should consult and coordinate between them the care and service provision to the individual so as to avoid any duplication of services. </w:t>
      </w:r>
    </w:p>
    <w:p w14:paraId="56516BE0" w14:textId="77777777" w:rsidR="00323944" w:rsidRDefault="00624E68" w:rsidP="00624E68">
      <w:pPr>
        <w:rPr>
          <w:rFonts w:cs="Calibri"/>
        </w:rPr>
      </w:pPr>
      <w:r w:rsidRPr="003A173C">
        <w:rPr>
          <w:rFonts w:cs="Calibri"/>
        </w:rPr>
        <w:t xml:space="preserve">Further information regarding </w:t>
      </w:r>
      <w:r w:rsidR="002C681F" w:rsidRPr="003A173C">
        <w:rPr>
          <w:rFonts w:cs="Calibri"/>
        </w:rPr>
        <w:t>Support at Home Program</w:t>
      </w:r>
      <w:r w:rsidRPr="003A173C">
        <w:rPr>
          <w:rFonts w:cs="Calibri"/>
        </w:rPr>
        <w:t xml:space="preserve"> arrangements </w:t>
      </w:r>
      <w:r w:rsidR="00D31E71" w:rsidRPr="003A173C">
        <w:rPr>
          <w:rFonts w:cs="Calibri"/>
        </w:rPr>
        <w:t xml:space="preserve">while accessing transition care </w:t>
      </w:r>
      <w:r w:rsidRPr="003A173C">
        <w:rPr>
          <w:rFonts w:cs="Calibri"/>
        </w:rPr>
        <w:t xml:space="preserve">is available </w:t>
      </w:r>
      <w:r w:rsidR="0025380C" w:rsidRPr="003A173C">
        <w:rPr>
          <w:rFonts w:cs="Calibri"/>
        </w:rPr>
        <w:t>in the Support at Home Program Manual on the</w:t>
      </w:r>
      <w:r w:rsidRPr="003A173C">
        <w:rPr>
          <w:rFonts w:cs="Calibri"/>
        </w:rPr>
        <w:t xml:space="preserve"> Department’s website at the following link: </w:t>
      </w:r>
      <w:hyperlink r:id="rId45" w:history="1">
        <w:r w:rsidR="0025380C" w:rsidRPr="003A173C">
          <w:rPr>
            <w:rStyle w:val="Hyperlink"/>
            <w:rFonts w:ascii="Calibri" w:hAnsi="Calibri" w:cs="Calibri"/>
            <w:sz w:val="20"/>
          </w:rPr>
          <w:t>Support at Home program manual (version 3) – A guide for registered providers | Australian Government Department of Health, Disability and Ageing</w:t>
        </w:r>
      </w:hyperlink>
      <w:r w:rsidR="0025380C" w:rsidRPr="003A173C">
        <w:rPr>
          <w:rFonts w:cs="Calibri"/>
        </w:rPr>
        <w:t xml:space="preserve">. </w:t>
      </w:r>
    </w:p>
    <w:p w14:paraId="42AF6356" w14:textId="5534669D" w:rsidR="00BD3D05" w:rsidRPr="003A173C" w:rsidRDefault="00AE7D02" w:rsidP="00624E68">
      <w:pPr>
        <w:rPr>
          <w:rFonts w:cs="Calibri"/>
        </w:rPr>
      </w:pPr>
      <w:r w:rsidRPr="003A173C">
        <w:rPr>
          <w:rFonts w:cs="Calibri"/>
        </w:rPr>
        <w:t xml:space="preserve">As per Section 12.2 of the Support at Home </w:t>
      </w:r>
      <w:r w:rsidR="00941308" w:rsidRPr="003A173C">
        <w:rPr>
          <w:rFonts w:cs="Calibri"/>
        </w:rPr>
        <w:t>P</w:t>
      </w:r>
      <w:r w:rsidRPr="003A173C">
        <w:rPr>
          <w:rFonts w:cs="Calibri"/>
        </w:rPr>
        <w:t xml:space="preserve">rogram </w:t>
      </w:r>
      <w:r w:rsidR="00941308" w:rsidRPr="003A173C">
        <w:rPr>
          <w:rFonts w:cs="Calibri"/>
        </w:rPr>
        <w:t>M</w:t>
      </w:r>
      <w:r w:rsidRPr="003A173C">
        <w:rPr>
          <w:rFonts w:cs="Calibri"/>
        </w:rPr>
        <w:t>anual</w:t>
      </w:r>
      <w:r w:rsidR="000D2F7D" w:rsidRPr="003A173C">
        <w:rPr>
          <w:rFonts w:cs="Calibri"/>
        </w:rPr>
        <w:t>,</w:t>
      </w:r>
      <w:r w:rsidR="007D4431" w:rsidRPr="003A173C">
        <w:rPr>
          <w:rFonts w:cs="Calibri"/>
        </w:rPr>
        <w:t xml:space="preserve"> individuals also</w:t>
      </w:r>
      <w:r w:rsidRPr="003A173C">
        <w:rPr>
          <w:rFonts w:cs="Calibri"/>
        </w:rPr>
        <w:t xml:space="preserve"> have the flexibility to temporarily stop receiving their Support at Home services for various reasons, including receiving transition care following a hospital stay. While services are stopped, a participant will continue to receive their Support at Home quarterly budget. In addition to their quarterly budget, participants can carry over unspent budget from a previous quarter. However, carryover unspent budget limits will apply. As outlined in Section 9.0 of the program manual, Support at Home quarterly budgets that are not fully utilised can accrue up to $1,000 or 10% of the participant’s Support at Home quarterly budget (whichever is higher) and will be added to the following quarter’s budget. Any unspent budget above this threshold will lapse.</w:t>
      </w:r>
      <w:r w:rsidR="007A58C5" w:rsidRPr="003A173C">
        <w:rPr>
          <w:rFonts w:cs="Calibri"/>
        </w:rPr>
        <w:t xml:space="preserve"> </w:t>
      </w:r>
    </w:p>
    <w:p w14:paraId="70E24481" w14:textId="007C7C0B" w:rsidR="00AE7D02" w:rsidRPr="003A173C" w:rsidRDefault="00AE7D02" w:rsidP="00624E68">
      <w:pPr>
        <w:rPr>
          <w:rFonts w:cs="Calibri"/>
        </w:rPr>
      </w:pPr>
      <w:r w:rsidRPr="003A173C">
        <w:rPr>
          <w:rFonts w:cs="Calibri"/>
        </w:rPr>
        <w:t>There is a maximum period services can be stopped before a participant is no longer eligible for</w:t>
      </w:r>
      <w:r w:rsidR="000F03ED" w:rsidRPr="003A173C">
        <w:rPr>
          <w:rFonts w:cs="Calibri"/>
        </w:rPr>
        <w:t xml:space="preserve"> Support at Home</w:t>
      </w:r>
      <w:r w:rsidRPr="003A173C">
        <w:rPr>
          <w:rFonts w:cs="Calibri"/>
        </w:rPr>
        <w:t xml:space="preserve"> funding. A</w:t>
      </w:r>
      <w:r w:rsidR="000F03ED" w:rsidRPr="003A173C">
        <w:rPr>
          <w:rFonts w:cs="Calibri"/>
        </w:rPr>
        <w:t>n individual’s</w:t>
      </w:r>
      <w:r w:rsidRPr="003A173C">
        <w:rPr>
          <w:rFonts w:cs="Calibri"/>
        </w:rPr>
        <w:t xml:space="preserve"> funding will be reduced to zero and reallocated when a total of four consecutive quarters (one year) have passed since the end of the quarter from when the last service was delivered.</w:t>
      </w:r>
    </w:p>
    <w:p w14:paraId="1FD833B1" w14:textId="1CFFA7A9" w:rsidR="00D519A6" w:rsidRPr="003A173C" w:rsidRDefault="005B56EF" w:rsidP="00FB42E2">
      <w:pPr>
        <w:pStyle w:val="heading4withoutnumbers"/>
        <w:rPr>
          <w:rFonts w:cs="Calibri"/>
          <w:b/>
          <w:bCs/>
        </w:rPr>
      </w:pPr>
      <w:r w:rsidRPr="003A173C">
        <w:rPr>
          <w:rFonts w:cs="Calibri"/>
          <w:b/>
          <w:bCs/>
        </w:rPr>
        <w:lastRenderedPageBreak/>
        <w:t>Commonwealth</w:t>
      </w:r>
      <w:r w:rsidR="00931641" w:rsidRPr="003A173C">
        <w:rPr>
          <w:rFonts w:cs="Calibri"/>
          <w:b/>
          <w:bCs/>
        </w:rPr>
        <w:t xml:space="preserve"> </w:t>
      </w:r>
      <w:r w:rsidR="00D519A6" w:rsidRPr="003A173C">
        <w:rPr>
          <w:rFonts w:cs="Calibri"/>
          <w:b/>
          <w:bCs/>
        </w:rPr>
        <w:t>H</w:t>
      </w:r>
      <w:r w:rsidR="003508B8" w:rsidRPr="003A173C">
        <w:rPr>
          <w:rFonts w:cs="Calibri"/>
          <w:b/>
          <w:bCs/>
        </w:rPr>
        <w:t xml:space="preserve">ome </w:t>
      </w:r>
      <w:r w:rsidR="00D519A6" w:rsidRPr="003A173C">
        <w:rPr>
          <w:rFonts w:cs="Calibri"/>
          <w:b/>
          <w:bCs/>
        </w:rPr>
        <w:t>S</w:t>
      </w:r>
      <w:r w:rsidR="003508B8" w:rsidRPr="003A173C">
        <w:rPr>
          <w:rFonts w:cs="Calibri"/>
          <w:b/>
          <w:bCs/>
        </w:rPr>
        <w:t xml:space="preserve">upport </w:t>
      </w:r>
      <w:r w:rsidR="00D519A6" w:rsidRPr="003A173C">
        <w:rPr>
          <w:rFonts w:cs="Calibri"/>
          <w:b/>
          <w:bCs/>
        </w:rPr>
        <w:t>P</w:t>
      </w:r>
      <w:r w:rsidR="003508B8" w:rsidRPr="003A173C">
        <w:rPr>
          <w:rFonts w:cs="Calibri"/>
          <w:b/>
          <w:bCs/>
        </w:rPr>
        <w:t>rogram (CHSP)</w:t>
      </w:r>
      <w:r w:rsidR="00D519A6" w:rsidRPr="003A173C">
        <w:rPr>
          <w:rFonts w:cs="Calibri"/>
          <w:b/>
          <w:bCs/>
        </w:rPr>
        <w:t xml:space="preserve"> recipients</w:t>
      </w:r>
    </w:p>
    <w:p w14:paraId="4443D216" w14:textId="23A0E8D6" w:rsidR="00A64F8B" w:rsidRPr="003A173C" w:rsidRDefault="00D519A6" w:rsidP="00FB42E2">
      <w:pPr>
        <w:rPr>
          <w:rFonts w:cs="Calibri"/>
        </w:rPr>
      </w:pPr>
      <w:r w:rsidRPr="003A173C">
        <w:rPr>
          <w:rFonts w:cs="Calibri"/>
        </w:rPr>
        <w:t xml:space="preserve">People are entitled to receive CHSP and transition care services at the same time, provided they are assessed as being eligible for each program. There are instances where the CHSP may provide the same or similar services to transition care, such as home maintenance or assistance with meals. When planning care, transition care service providers are expected to liaise with </w:t>
      </w:r>
      <w:r w:rsidR="003508B8" w:rsidRPr="003A173C">
        <w:rPr>
          <w:rFonts w:cs="Calibri"/>
        </w:rPr>
        <w:t xml:space="preserve">an individual’s </w:t>
      </w:r>
      <w:r w:rsidRPr="003A173C">
        <w:rPr>
          <w:rFonts w:cs="Calibri"/>
        </w:rPr>
        <w:t xml:space="preserve">existing </w:t>
      </w:r>
      <w:r w:rsidR="003B334E" w:rsidRPr="003A173C">
        <w:rPr>
          <w:rFonts w:cs="Calibri"/>
        </w:rPr>
        <w:t>CHSP provider to ensure there is no duplication of services</w:t>
      </w:r>
      <w:r w:rsidRPr="003A173C">
        <w:rPr>
          <w:rFonts w:cs="Calibri"/>
        </w:rPr>
        <w:t>.</w:t>
      </w:r>
    </w:p>
    <w:p w14:paraId="22425F42" w14:textId="73F7C39F" w:rsidR="00B22BBA" w:rsidRPr="003A173C" w:rsidRDefault="00A63724" w:rsidP="00FB42E2">
      <w:pPr>
        <w:pStyle w:val="heading4withoutnumbers"/>
        <w:rPr>
          <w:rFonts w:cs="Calibri"/>
          <w:b/>
          <w:bCs/>
        </w:rPr>
      </w:pPr>
      <w:r w:rsidRPr="003A173C">
        <w:rPr>
          <w:rFonts w:cs="Calibri"/>
          <w:b/>
          <w:bCs/>
        </w:rPr>
        <w:t>E</w:t>
      </w:r>
      <w:r w:rsidR="00F30E55" w:rsidRPr="003A173C">
        <w:rPr>
          <w:rFonts w:cs="Calibri"/>
          <w:b/>
          <w:bCs/>
        </w:rPr>
        <w:t xml:space="preserve">xisting residential </w:t>
      </w:r>
      <w:r w:rsidR="003C07A3" w:rsidRPr="003A173C">
        <w:rPr>
          <w:rFonts w:cs="Calibri"/>
          <w:b/>
          <w:bCs/>
        </w:rPr>
        <w:t xml:space="preserve">care recipients </w:t>
      </w:r>
    </w:p>
    <w:p w14:paraId="7D334D1C" w14:textId="21C56C80" w:rsidR="00F436EC" w:rsidRPr="003A173C" w:rsidRDefault="00F436EC" w:rsidP="00F436EC">
      <w:pPr>
        <w:rPr>
          <w:rFonts w:cs="Calibri"/>
        </w:rPr>
      </w:pPr>
      <w:r w:rsidRPr="003A173C">
        <w:rPr>
          <w:rFonts w:cs="Calibri"/>
        </w:rPr>
        <w:t>Th</w:t>
      </w:r>
      <w:r w:rsidR="000C30BB" w:rsidRPr="003A173C">
        <w:rPr>
          <w:rFonts w:cs="Calibri"/>
        </w:rPr>
        <w:t xml:space="preserve">e </w:t>
      </w:r>
      <w:r w:rsidR="00931641" w:rsidRPr="003A173C">
        <w:rPr>
          <w:rFonts w:cs="Calibri"/>
        </w:rPr>
        <w:t xml:space="preserve">Australian </w:t>
      </w:r>
      <w:r w:rsidRPr="003A173C">
        <w:rPr>
          <w:rFonts w:cs="Calibri"/>
        </w:rPr>
        <w:t xml:space="preserve">Government has created a category of leave (where required) from residential care for existing recipients of residential care who subsequently enter the transition care program. The relevant </w:t>
      </w:r>
      <w:r w:rsidR="00931641" w:rsidRPr="003A173C">
        <w:rPr>
          <w:rFonts w:cs="Calibri"/>
        </w:rPr>
        <w:t>Australian</w:t>
      </w:r>
      <w:r w:rsidR="000C30BB" w:rsidRPr="003A173C">
        <w:rPr>
          <w:rFonts w:cs="Calibri"/>
        </w:rPr>
        <w:t xml:space="preserve"> </w:t>
      </w:r>
      <w:r w:rsidRPr="003A173C">
        <w:rPr>
          <w:rFonts w:cs="Calibri"/>
        </w:rPr>
        <w:t xml:space="preserve">Government residential care subsidy continues to be paid to the original </w:t>
      </w:r>
      <w:r w:rsidR="000C30BB" w:rsidRPr="003A173C">
        <w:rPr>
          <w:rFonts w:cs="Calibri"/>
        </w:rPr>
        <w:t xml:space="preserve">residential </w:t>
      </w:r>
      <w:r w:rsidRPr="003A173C">
        <w:rPr>
          <w:rFonts w:cs="Calibri"/>
        </w:rPr>
        <w:t>care provider during periods of leave for transition care.</w:t>
      </w:r>
    </w:p>
    <w:p w14:paraId="2D5C60DD" w14:textId="6C83F3C8" w:rsidR="00F30E55" w:rsidRPr="003A173C" w:rsidRDefault="004423AB" w:rsidP="00FB42E2">
      <w:pPr>
        <w:rPr>
          <w:rFonts w:cs="Calibri"/>
        </w:rPr>
      </w:pPr>
      <w:r w:rsidRPr="003A173C">
        <w:rPr>
          <w:rFonts w:cs="Calibri"/>
        </w:rPr>
        <w:t xml:space="preserve">Where </w:t>
      </w:r>
      <w:r w:rsidR="002522DD" w:rsidRPr="003A173C">
        <w:rPr>
          <w:rFonts w:cs="Calibri"/>
        </w:rPr>
        <w:t xml:space="preserve">residents of </w:t>
      </w:r>
      <w:r w:rsidR="000C30BB" w:rsidRPr="003A173C">
        <w:rPr>
          <w:rFonts w:cs="Calibri"/>
        </w:rPr>
        <w:t xml:space="preserve">residential care </w:t>
      </w:r>
      <w:r w:rsidR="002522DD" w:rsidRPr="003A173C">
        <w:rPr>
          <w:rFonts w:cs="Calibri"/>
        </w:rPr>
        <w:t>homes</w:t>
      </w:r>
      <w:r w:rsidRPr="003A173C">
        <w:rPr>
          <w:rFonts w:cs="Calibri"/>
        </w:rPr>
        <w:t xml:space="preserve"> take more than</w:t>
      </w:r>
      <w:r w:rsidR="006A4184" w:rsidRPr="003A173C">
        <w:rPr>
          <w:rFonts w:cs="Calibri"/>
        </w:rPr>
        <w:t xml:space="preserve"> 28 consecutive days of either hospital leave or leave for transition care (which must be preceded by hospital leave), the subsidy to the</w:t>
      </w:r>
      <w:r w:rsidR="00F436EC" w:rsidRPr="003A173C">
        <w:rPr>
          <w:rFonts w:cs="Calibri"/>
        </w:rPr>
        <w:t xml:space="preserve"> existing residential </w:t>
      </w:r>
      <w:r w:rsidR="006A4184" w:rsidRPr="003A173C">
        <w:rPr>
          <w:rFonts w:cs="Calibri"/>
        </w:rPr>
        <w:t>care home drops by 50</w:t>
      </w:r>
      <w:r w:rsidR="00B22BBA" w:rsidRPr="003A173C">
        <w:rPr>
          <w:rFonts w:cs="Calibri"/>
        </w:rPr>
        <w:t> </w:t>
      </w:r>
      <w:r w:rsidR="003B334E" w:rsidRPr="003A173C">
        <w:rPr>
          <w:rFonts w:cs="Calibri"/>
        </w:rPr>
        <w:t>per</w:t>
      </w:r>
      <w:r w:rsidR="00B22BBA" w:rsidRPr="003A173C">
        <w:rPr>
          <w:rFonts w:cs="Calibri"/>
        </w:rPr>
        <w:t> </w:t>
      </w:r>
      <w:r w:rsidR="003B334E" w:rsidRPr="003A173C">
        <w:rPr>
          <w:rFonts w:cs="Calibri"/>
        </w:rPr>
        <w:t xml:space="preserve">cent </w:t>
      </w:r>
      <w:r w:rsidR="006A4184" w:rsidRPr="003A173C">
        <w:rPr>
          <w:rFonts w:cs="Calibri"/>
        </w:rPr>
        <w:t>for residents who have a classification under the A</w:t>
      </w:r>
      <w:r w:rsidR="00861A39" w:rsidRPr="003A173C">
        <w:rPr>
          <w:rFonts w:cs="Calibri"/>
        </w:rPr>
        <w:t>ustralian National Aged Care Classification (AN-ACC)</w:t>
      </w:r>
      <w:r w:rsidR="006A4184" w:rsidRPr="003A173C">
        <w:rPr>
          <w:rFonts w:cs="Calibri"/>
        </w:rPr>
        <w:t xml:space="preserve"> and are being paid the </w:t>
      </w:r>
      <w:r w:rsidR="00861A39" w:rsidRPr="003A173C">
        <w:rPr>
          <w:rFonts w:cs="Calibri"/>
        </w:rPr>
        <w:t xml:space="preserve">residential care </w:t>
      </w:r>
      <w:r w:rsidR="006A4184" w:rsidRPr="003A173C">
        <w:rPr>
          <w:rFonts w:cs="Calibri"/>
        </w:rPr>
        <w:t xml:space="preserve">subsidy. </w:t>
      </w:r>
    </w:p>
    <w:p w14:paraId="0B7A98E5" w14:textId="74FF4620" w:rsidR="00010FE9" w:rsidRPr="003A173C" w:rsidRDefault="006A4184" w:rsidP="00CD4746">
      <w:pPr>
        <w:spacing w:before="0" w:after="200"/>
        <w:rPr>
          <w:rFonts w:cs="Calibri"/>
          <w:szCs w:val="20"/>
        </w:rPr>
      </w:pPr>
      <w:r w:rsidRPr="003A173C">
        <w:rPr>
          <w:rFonts w:cs="Calibri"/>
          <w:szCs w:val="20"/>
        </w:rPr>
        <w:t xml:space="preserve">When an existing recipient of residential care is accepted into the </w:t>
      </w:r>
      <w:r w:rsidR="00B505C7" w:rsidRPr="003A173C">
        <w:rPr>
          <w:rFonts w:cs="Calibri"/>
          <w:szCs w:val="20"/>
        </w:rPr>
        <w:t>program</w:t>
      </w:r>
      <w:r w:rsidRPr="003A173C">
        <w:rPr>
          <w:rFonts w:cs="Calibri"/>
          <w:szCs w:val="20"/>
        </w:rPr>
        <w:t xml:space="preserve">, the </w:t>
      </w:r>
      <w:r w:rsidR="00E16A2C" w:rsidRPr="003A173C">
        <w:rPr>
          <w:rFonts w:cs="Calibri"/>
          <w:szCs w:val="20"/>
        </w:rPr>
        <w:t>individual</w:t>
      </w:r>
      <w:r w:rsidRPr="003A173C">
        <w:rPr>
          <w:rFonts w:cs="Calibri"/>
          <w:szCs w:val="20"/>
        </w:rPr>
        <w:t xml:space="preserve"> must be provided with the full package of transition care services to be provided in a residential</w:t>
      </w:r>
      <w:r w:rsidR="00053528" w:rsidRPr="003A173C">
        <w:rPr>
          <w:rFonts w:cs="Calibri"/>
          <w:szCs w:val="20"/>
        </w:rPr>
        <w:t xml:space="preserve"> care</w:t>
      </w:r>
      <w:r w:rsidRPr="003A173C">
        <w:rPr>
          <w:rFonts w:cs="Calibri"/>
          <w:szCs w:val="20"/>
        </w:rPr>
        <w:t xml:space="preserve"> setting</w:t>
      </w:r>
      <w:r w:rsidR="00BD082B" w:rsidRPr="003A173C">
        <w:rPr>
          <w:rFonts w:cs="Calibri"/>
          <w:szCs w:val="20"/>
        </w:rPr>
        <w:t xml:space="preserve"> if they are accessing the program from a residential care setting</w:t>
      </w:r>
      <w:r w:rsidRPr="003A173C">
        <w:rPr>
          <w:rFonts w:cs="Calibri"/>
          <w:szCs w:val="20"/>
        </w:rPr>
        <w:t xml:space="preserve">, in accordance with </w:t>
      </w:r>
      <w:r w:rsidR="00BD082B" w:rsidRPr="003A173C">
        <w:rPr>
          <w:rFonts w:cs="Calibri"/>
          <w:szCs w:val="20"/>
        </w:rPr>
        <w:t xml:space="preserve">the services as specified from the Aged Care Service List in their access approval. </w:t>
      </w:r>
    </w:p>
    <w:p w14:paraId="59A16FF7" w14:textId="614B981C" w:rsidR="00605BA0" w:rsidRPr="003A173C" w:rsidRDefault="00605BA0" w:rsidP="008974DB">
      <w:pPr>
        <w:pStyle w:val="Style3"/>
      </w:pPr>
      <w:bookmarkStart w:id="951" w:name="_Toc245536172"/>
      <w:bookmarkStart w:id="952" w:name="_Toc395537190"/>
      <w:bookmarkStart w:id="953" w:name="_Toc422732547"/>
      <w:bookmarkStart w:id="954" w:name="_Toc422752887"/>
      <w:bookmarkStart w:id="955" w:name="_Toc216865478"/>
      <w:r w:rsidRPr="003A173C">
        <w:t xml:space="preserve">Movement between </w:t>
      </w:r>
      <w:r w:rsidRPr="00721280">
        <w:t>care</w:t>
      </w:r>
      <w:r w:rsidRPr="003A173C">
        <w:t xml:space="preserve"> settings and services</w:t>
      </w:r>
      <w:bookmarkEnd w:id="951"/>
      <w:bookmarkEnd w:id="952"/>
      <w:bookmarkEnd w:id="953"/>
      <w:bookmarkEnd w:id="954"/>
      <w:bookmarkEnd w:id="955"/>
    </w:p>
    <w:p w14:paraId="215144E1" w14:textId="22EF7F9C" w:rsidR="00605BA0" w:rsidRPr="003A173C" w:rsidRDefault="00605BA0" w:rsidP="006D21EE">
      <w:pPr>
        <w:spacing w:before="0" w:after="200"/>
        <w:rPr>
          <w:rFonts w:cs="Calibri"/>
          <w:szCs w:val="20"/>
        </w:rPr>
      </w:pPr>
      <w:r w:rsidRPr="003A173C">
        <w:rPr>
          <w:rFonts w:cs="Calibri"/>
          <w:szCs w:val="20"/>
        </w:rPr>
        <w:t xml:space="preserve">To facilitate client-centred transition care delivery, it is possible for </w:t>
      </w:r>
      <w:r w:rsidR="00E16A2C" w:rsidRPr="003A173C">
        <w:rPr>
          <w:rFonts w:cs="Calibri"/>
          <w:szCs w:val="20"/>
        </w:rPr>
        <w:t>individual</w:t>
      </w:r>
      <w:r w:rsidRPr="003A173C">
        <w:rPr>
          <w:rFonts w:cs="Calibri"/>
          <w:szCs w:val="20"/>
        </w:rPr>
        <w:t>s to move from one</w:t>
      </w:r>
      <w:r w:rsidR="008A3B09" w:rsidRPr="003A173C">
        <w:rPr>
          <w:rFonts w:cs="Calibri"/>
          <w:szCs w:val="20"/>
        </w:rPr>
        <w:t xml:space="preserve"> care</w:t>
      </w:r>
      <w:r w:rsidRPr="003A173C">
        <w:rPr>
          <w:rFonts w:cs="Calibri"/>
          <w:szCs w:val="20"/>
        </w:rPr>
        <w:t xml:space="preserve"> setting to another within the same transition care episode, i.e. from a residential setting to a </w:t>
      </w:r>
      <w:r w:rsidR="008A3B09" w:rsidRPr="003A173C">
        <w:rPr>
          <w:rFonts w:cs="Calibri"/>
          <w:szCs w:val="20"/>
        </w:rPr>
        <w:t>home/</w:t>
      </w:r>
      <w:r w:rsidR="007527DA" w:rsidRPr="003A173C">
        <w:rPr>
          <w:rFonts w:cs="Calibri"/>
          <w:szCs w:val="20"/>
        </w:rPr>
        <w:t>community</w:t>
      </w:r>
      <w:r w:rsidRPr="003A173C">
        <w:rPr>
          <w:rFonts w:cs="Calibri"/>
          <w:szCs w:val="20"/>
        </w:rPr>
        <w:t xml:space="preserve"> care setting or vice versa. </w:t>
      </w:r>
      <w:r w:rsidR="00E16A2C" w:rsidRPr="003A173C">
        <w:rPr>
          <w:rFonts w:cs="Calibri"/>
          <w:szCs w:val="20"/>
        </w:rPr>
        <w:t>Individual</w:t>
      </w:r>
      <w:r w:rsidRPr="003A173C">
        <w:rPr>
          <w:rFonts w:cs="Calibri"/>
          <w:szCs w:val="20"/>
        </w:rPr>
        <w:t>s do not require a</w:t>
      </w:r>
      <w:r w:rsidR="00CE7A2D" w:rsidRPr="003A173C">
        <w:rPr>
          <w:rFonts w:cs="Calibri"/>
          <w:szCs w:val="20"/>
        </w:rPr>
        <w:t xml:space="preserve">n aged </w:t>
      </w:r>
      <w:r w:rsidR="00564F37" w:rsidRPr="003A173C">
        <w:rPr>
          <w:rFonts w:cs="Calibri"/>
          <w:szCs w:val="20"/>
        </w:rPr>
        <w:t>care re</w:t>
      </w:r>
      <w:r w:rsidR="00D6073B" w:rsidRPr="003A173C">
        <w:rPr>
          <w:rFonts w:cs="Calibri"/>
          <w:szCs w:val="20"/>
        </w:rPr>
        <w:noBreakHyphen/>
      </w:r>
      <w:r w:rsidRPr="003A173C">
        <w:rPr>
          <w:rFonts w:cs="Calibri"/>
          <w:szCs w:val="20"/>
        </w:rPr>
        <w:t>assessment to enable this move.</w:t>
      </w:r>
    </w:p>
    <w:p w14:paraId="45CC1FAA" w14:textId="3F61FD71" w:rsidR="00605BA0" w:rsidRPr="003A173C" w:rsidRDefault="00605BA0" w:rsidP="006D21EE">
      <w:pPr>
        <w:spacing w:before="0" w:after="200"/>
        <w:rPr>
          <w:rFonts w:cs="Calibri"/>
          <w:szCs w:val="20"/>
        </w:rPr>
      </w:pPr>
      <w:r w:rsidRPr="003A173C">
        <w:rPr>
          <w:rFonts w:cs="Calibri"/>
          <w:szCs w:val="20"/>
        </w:rPr>
        <w:t>Where available and appropriate, the step</w:t>
      </w:r>
      <w:r w:rsidR="00D6073B" w:rsidRPr="003A173C">
        <w:rPr>
          <w:rFonts w:cs="Calibri"/>
          <w:szCs w:val="20"/>
        </w:rPr>
        <w:noBreakHyphen/>
      </w:r>
      <w:r w:rsidRPr="003A173C">
        <w:rPr>
          <w:rFonts w:cs="Calibri"/>
          <w:szCs w:val="20"/>
        </w:rPr>
        <w:t>down from residential to home</w:t>
      </w:r>
      <w:r w:rsidR="002B74E3" w:rsidRPr="003A173C">
        <w:rPr>
          <w:rFonts w:cs="Calibri"/>
          <w:szCs w:val="20"/>
        </w:rPr>
        <w:t>-</w:t>
      </w:r>
      <w:r w:rsidR="0064270C" w:rsidRPr="003A173C">
        <w:rPr>
          <w:rFonts w:cs="Calibri"/>
          <w:szCs w:val="20"/>
        </w:rPr>
        <w:t>based</w:t>
      </w:r>
      <w:r w:rsidRPr="003A173C">
        <w:rPr>
          <w:rFonts w:cs="Calibri"/>
          <w:szCs w:val="20"/>
        </w:rPr>
        <w:t xml:space="preserve"> care within a transition care episode should be encouraged </w:t>
      </w:r>
      <w:r w:rsidR="002C6B8E" w:rsidRPr="003A173C">
        <w:rPr>
          <w:rFonts w:cs="Calibri"/>
          <w:szCs w:val="20"/>
        </w:rPr>
        <w:t xml:space="preserve">in order </w:t>
      </w:r>
      <w:r w:rsidRPr="003A173C">
        <w:rPr>
          <w:rFonts w:cs="Calibri"/>
          <w:szCs w:val="20"/>
        </w:rPr>
        <w:t xml:space="preserve">to maximise the </w:t>
      </w:r>
      <w:r w:rsidR="00E16A2C" w:rsidRPr="003A173C">
        <w:rPr>
          <w:rFonts w:cs="Calibri"/>
          <w:szCs w:val="20"/>
        </w:rPr>
        <w:t>individual</w:t>
      </w:r>
      <w:r w:rsidRPr="003A173C">
        <w:rPr>
          <w:rFonts w:cs="Calibri"/>
          <w:szCs w:val="20"/>
        </w:rPr>
        <w:t>’s opportunities to return to independent living in the community</w:t>
      </w:r>
      <w:r w:rsidR="002B74E3" w:rsidRPr="003A173C">
        <w:rPr>
          <w:rFonts w:cs="Calibri"/>
          <w:szCs w:val="20"/>
        </w:rPr>
        <w:t xml:space="preserve"> post exiting from the TCP</w:t>
      </w:r>
      <w:r w:rsidRPr="003A173C">
        <w:rPr>
          <w:rFonts w:cs="Calibri"/>
          <w:szCs w:val="20"/>
        </w:rPr>
        <w:t>.</w:t>
      </w:r>
    </w:p>
    <w:p w14:paraId="2E8F38F7" w14:textId="1973FBEA" w:rsidR="004A3236" w:rsidRPr="003A173C" w:rsidRDefault="00E16A2C" w:rsidP="006727E2">
      <w:pPr>
        <w:rPr>
          <w:rFonts w:cs="Calibri"/>
        </w:rPr>
      </w:pPr>
      <w:r w:rsidRPr="003A173C">
        <w:rPr>
          <w:rFonts w:cs="Calibri"/>
        </w:rPr>
        <w:t>Individual</w:t>
      </w:r>
      <w:r w:rsidR="00605BA0" w:rsidRPr="003A173C">
        <w:rPr>
          <w:rFonts w:cs="Calibri"/>
        </w:rPr>
        <w:t xml:space="preserve">s are also able to transfer from one </w:t>
      </w:r>
      <w:r w:rsidR="004A3236" w:rsidRPr="003A173C">
        <w:rPr>
          <w:rFonts w:cs="Calibri"/>
        </w:rPr>
        <w:t>setting/</w:t>
      </w:r>
      <w:r w:rsidR="00C62059" w:rsidRPr="003A173C">
        <w:rPr>
          <w:rFonts w:cs="Calibri"/>
        </w:rPr>
        <w:t>registered</w:t>
      </w:r>
      <w:r w:rsidR="00605BA0" w:rsidRPr="003A173C">
        <w:rPr>
          <w:rFonts w:cs="Calibri"/>
        </w:rPr>
        <w:t xml:space="preserve"> provider to another (within their </w:t>
      </w:r>
      <w:r w:rsidR="0091053C" w:rsidRPr="003A173C">
        <w:rPr>
          <w:rFonts w:cs="Calibri"/>
        </w:rPr>
        <w:t>S</w:t>
      </w:r>
      <w:r w:rsidR="00605BA0" w:rsidRPr="003A173C">
        <w:rPr>
          <w:rFonts w:cs="Calibri"/>
        </w:rPr>
        <w:t xml:space="preserve">tate or </w:t>
      </w:r>
      <w:r w:rsidR="0091053C" w:rsidRPr="003A173C">
        <w:rPr>
          <w:rFonts w:cs="Calibri"/>
        </w:rPr>
        <w:t>T</w:t>
      </w:r>
      <w:r w:rsidR="00605BA0" w:rsidRPr="003A173C">
        <w:rPr>
          <w:rFonts w:cs="Calibri"/>
        </w:rPr>
        <w:t>erritory, or interstate)</w:t>
      </w:r>
      <w:r w:rsidR="004A3236" w:rsidRPr="003A173C">
        <w:rPr>
          <w:rFonts w:cs="Calibri"/>
        </w:rPr>
        <w:t xml:space="preserve"> during an episode, </w:t>
      </w:r>
      <w:r w:rsidR="00605BA0" w:rsidRPr="003A173C">
        <w:rPr>
          <w:rFonts w:cs="Calibri"/>
        </w:rPr>
        <w:t xml:space="preserve">provided there is no </w:t>
      </w:r>
      <w:r w:rsidR="004A3236" w:rsidRPr="003A173C">
        <w:rPr>
          <w:rFonts w:cs="Calibri"/>
        </w:rPr>
        <w:t>gap</w:t>
      </w:r>
      <w:r w:rsidR="00605BA0" w:rsidRPr="003A173C">
        <w:rPr>
          <w:rFonts w:cs="Calibri"/>
        </w:rPr>
        <w:t xml:space="preserve"> in</w:t>
      </w:r>
      <w:r w:rsidR="004A3236" w:rsidRPr="003A173C">
        <w:rPr>
          <w:rFonts w:cs="Calibri"/>
        </w:rPr>
        <w:t xml:space="preserve"> their ability to access</w:t>
      </w:r>
      <w:r w:rsidR="00605BA0" w:rsidRPr="003A173C">
        <w:rPr>
          <w:rFonts w:cs="Calibri"/>
        </w:rPr>
        <w:t xml:space="preserve"> care, i.e.</w:t>
      </w:r>
      <w:r w:rsidR="00D6073B" w:rsidRPr="003A173C">
        <w:rPr>
          <w:rFonts w:cs="Calibri"/>
        </w:rPr>
        <w:t> </w:t>
      </w:r>
      <w:r w:rsidR="00605BA0" w:rsidRPr="003A173C">
        <w:rPr>
          <w:rFonts w:cs="Calibri"/>
        </w:rPr>
        <w:t xml:space="preserve">there is no day during which the </w:t>
      </w:r>
      <w:r w:rsidRPr="003A173C">
        <w:rPr>
          <w:rFonts w:cs="Calibri"/>
        </w:rPr>
        <w:t>individual</w:t>
      </w:r>
      <w:r w:rsidR="00605BA0" w:rsidRPr="003A173C">
        <w:rPr>
          <w:rFonts w:cs="Calibri"/>
        </w:rPr>
        <w:t xml:space="preserve"> </w:t>
      </w:r>
      <w:r w:rsidR="004A3236" w:rsidRPr="003A173C">
        <w:rPr>
          <w:rFonts w:cs="Calibri"/>
        </w:rPr>
        <w:t xml:space="preserve">is </w:t>
      </w:r>
      <w:r w:rsidR="00605BA0" w:rsidRPr="003A173C">
        <w:rPr>
          <w:rFonts w:cs="Calibri"/>
        </w:rPr>
        <w:t>not</w:t>
      </w:r>
      <w:r w:rsidR="004A3236" w:rsidRPr="003A173C">
        <w:rPr>
          <w:rFonts w:cs="Calibri"/>
        </w:rPr>
        <w:t xml:space="preserve"> able to be provided</w:t>
      </w:r>
      <w:r w:rsidR="00605BA0" w:rsidRPr="003A173C">
        <w:rPr>
          <w:rFonts w:cs="Calibri"/>
        </w:rPr>
        <w:t xml:space="preserve"> transition care services </w:t>
      </w:r>
      <w:r w:rsidR="004A3236" w:rsidRPr="003A173C">
        <w:rPr>
          <w:rFonts w:cs="Calibri"/>
        </w:rPr>
        <w:t xml:space="preserve">by either their current or new </w:t>
      </w:r>
      <w:r w:rsidR="00C62059" w:rsidRPr="003A173C">
        <w:rPr>
          <w:rFonts w:cs="Calibri"/>
        </w:rPr>
        <w:t xml:space="preserve">registered </w:t>
      </w:r>
      <w:r w:rsidR="00605BA0" w:rsidRPr="003A173C">
        <w:rPr>
          <w:rFonts w:cs="Calibri"/>
        </w:rPr>
        <w:t>provider.</w:t>
      </w:r>
    </w:p>
    <w:p w14:paraId="479BDD58" w14:textId="41C1D01D" w:rsidR="1CBD4533" w:rsidRPr="003A173C" w:rsidRDefault="2F94CF88">
      <w:pPr>
        <w:rPr>
          <w:rFonts w:cs="Calibri"/>
        </w:rPr>
      </w:pPr>
      <w:r w:rsidRPr="003A173C">
        <w:rPr>
          <w:rFonts w:cs="Calibri"/>
        </w:rPr>
        <w:t>A</w:t>
      </w:r>
      <w:r w:rsidR="001213FB"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w:t>
      </w:r>
      <w:r w:rsidR="008A3B09" w:rsidRPr="003A173C">
        <w:rPr>
          <w:rFonts w:cs="Calibri"/>
        </w:rPr>
        <w:t xml:space="preserve">service </w:t>
      </w:r>
      <w:r w:rsidRPr="003A173C">
        <w:rPr>
          <w:rFonts w:cs="Calibri"/>
        </w:rPr>
        <w:t xml:space="preserve">agreement will need to be developed with the new </w:t>
      </w:r>
      <w:r w:rsidR="00C62059" w:rsidRPr="003A173C">
        <w:rPr>
          <w:rFonts w:cs="Calibri"/>
        </w:rPr>
        <w:t>registered</w:t>
      </w:r>
      <w:r w:rsidRPr="003A173C">
        <w:rPr>
          <w:rFonts w:cs="Calibri"/>
        </w:rPr>
        <w:t xml:space="preserve"> provider</w:t>
      </w:r>
      <w:r w:rsidR="00232B5A" w:rsidRPr="003A173C">
        <w:rPr>
          <w:rFonts w:cs="Calibri"/>
        </w:rPr>
        <w:t xml:space="preserve"> (see </w:t>
      </w:r>
      <w:r w:rsidR="00232B5A" w:rsidRPr="003A173C">
        <w:rPr>
          <w:rFonts w:cs="Calibri"/>
          <w:i/>
          <w:iCs/>
        </w:rPr>
        <w:t xml:space="preserve">Section 5.3: Individual service agreements </w:t>
      </w:r>
      <w:r w:rsidR="00232B5A" w:rsidRPr="003A173C">
        <w:rPr>
          <w:rFonts w:cs="Calibri"/>
        </w:rPr>
        <w:t>below).</w:t>
      </w:r>
    </w:p>
    <w:p w14:paraId="48D42567" w14:textId="086A37F4" w:rsidR="00605BA0" w:rsidRPr="00721280" w:rsidRDefault="00C103D9" w:rsidP="008974DB">
      <w:pPr>
        <w:pStyle w:val="Style3"/>
      </w:pPr>
      <w:bookmarkStart w:id="956" w:name="_Toc110834649"/>
      <w:bookmarkStart w:id="957" w:name="_Toc245536175"/>
      <w:bookmarkStart w:id="958" w:name="_Toc395537191"/>
      <w:bookmarkStart w:id="959" w:name="_Toc422732548"/>
      <w:bookmarkStart w:id="960" w:name="_Toc422752888"/>
      <w:bookmarkStart w:id="961" w:name="_Toc216865479"/>
      <w:r w:rsidRPr="003A173C">
        <w:t>Interrupting a TCP episode – available b</w:t>
      </w:r>
      <w:r w:rsidR="00A40153" w:rsidRPr="003A173C">
        <w:t xml:space="preserve">reak </w:t>
      </w:r>
      <w:r w:rsidRPr="003A173C">
        <w:t>d</w:t>
      </w:r>
      <w:r w:rsidR="00A40153" w:rsidRPr="003A173C">
        <w:t>ays</w:t>
      </w:r>
      <w:bookmarkEnd w:id="956"/>
      <w:bookmarkEnd w:id="957"/>
      <w:bookmarkEnd w:id="958"/>
      <w:bookmarkEnd w:id="959"/>
      <w:bookmarkEnd w:id="960"/>
      <w:bookmarkEnd w:id="961"/>
    </w:p>
    <w:p w14:paraId="587A72D4" w14:textId="01332CCD" w:rsidR="00A40153" w:rsidRPr="003A173C" w:rsidRDefault="00A40153" w:rsidP="00A11A11">
      <w:pPr>
        <w:spacing w:before="0" w:after="200"/>
        <w:rPr>
          <w:rFonts w:cs="Calibri"/>
          <w:szCs w:val="20"/>
        </w:rPr>
      </w:pPr>
      <w:r w:rsidRPr="003A173C">
        <w:rPr>
          <w:rFonts w:cs="Calibri"/>
          <w:szCs w:val="20"/>
        </w:rPr>
        <w:t>A</w:t>
      </w:r>
      <w:r w:rsidR="002015B8" w:rsidRPr="003A173C">
        <w:rPr>
          <w:rFonts w:cs="Calibri"/>
          <w:szCs w:val="20"/>
        </w:rPr>
        <w:t>n individual</w:t>
      </w:r>
      <w:r w:rsidRPr="003A173C">
        <w:rPr>
          <w:rFonts w:cs="Calibri"/>
          <w:szCs w:val="20"/>
        </w:rPr>
        <w:t xml:space="preserve"> </w:t>
      </w:r>
      <w:r w:rsidR="0064270C" w:rsidRPr="003A173C">
        <w:rPr>
          <w:rFonts w:cs="Calibri"/>
          <w:szCs w:val="20"/>
        </w:rPr>
        <w:t>can</w:t>
      </w:r>
      <w:r w:rsidR="00736127" w:rsidRPr="003A173C">
        <w:rPr>
          <w:rFonts w:cs="Calibri"/>
          <w:szCs w:val="20"/>
        </w:rPr>
        <w:t xml:space="preserve"> take </w:t>
      </w:r>
      <w:r w:rsidRPr="003A173C">
        <w:rPr>
          <w:rFonts w:cs="Calibri"/>
          <w:szCs w:val="20"/>
        </w:rPr>
        <w:t xml:space="preserve">a break </w:t>
      </w:r>
      <w:r w:rsidR="00736127" w:rsidRPr="003A173C">
        <w:rPr>
          <w:rFonts w:cs="Calibri"/>
          <w:szCs w:val="20"/>
        </w:rPr>
        <w:t xml:space="preserve">from receiving care </w:t>
      </w:r>
      <w:r w:rsidRPr="003A173C">
        <w:rPr>
          <w:rFonts w:cs="Calibri"/>
          <w:szCs w:val="20"/>
        </w:rPr>
        <w:t>for up to seven days in total</w:t>
      </w:r>
      <w:r w:rsidR="00736127" w:rsidRPr="003A173C">
        <w:rPr>
          <w:rFonts w:cs="Calibri"/>
          <w:szCs w:val="20"/>
        </w:rPr>
        <w:t xml:space="preserve">, during their transition care episode, for </w:t>
      </w:r>
      <w:r w:rsidR="00864809" w:rsidRPr="003A173C">
        <w:rPr>
          <w:rFonts w:cs="Calibri"/>
          <w:szCs w:val="20"/>
        </w:rPr>
        <w:t>hospital</w:t>
      </w:r>
      <w:r w:rsidR="00390B3F" w:rsidRPr="003A173C">
        <w:rPr>
          <w:rFonts w:cs="Calibri"/>
          <w:szCs w:val="20"/>
        </w:rPr>
        <w:t xml:space="preserve"> admission</w:t>
      </w:r>
      <w:r w:rsidR="00864809" w:rsidRPr="003A173C">
        <w:rPr>
          <w:rFonts w:cs="Calibri"/>
          <w:szCs w:val="20"/>
        </w:rPr>
        <w:t xml:space="preserve"> or social purposes</w:t>
      </w:r>
      <w:r w:rsidR="00736127" w:rsidRPr="003A173C">
        <w:rPr>
          <w:rFonts w:cs="Calibri"/>
          <w:szCs w:val="20"/>
        </w:rPr>
        <w:t>.</w:t>
      </w:r>
      <w:r w:rsidR="00957A4B" w:rsidRPr="003A173C">
        <w:rPr>
          <w:rFonts w:cs="Calibri"/>
          <w:szCs w:val="20"/>
        </w:rPr>
        <w:t xml:space="preserve"> In a residential care setting, </w:t>
      </w:r>
      <w:r w:rsidR="00E37C3F" w:rsidRPr="003A173C">
        <w:rPr>
          <w:rFonts w:cs="Calibri"/>
          <w:szCs w:val="20"/>
        </w:rPr>
        <w:t xml:space="preserve">break </w:t>
      </w:r>
      <w:r w:rsidR="002E1F8A" w:rsidRPr="003A173C">
        <w:rPr>
          <w:rFonts w:cs="Calibri"/>
          <w:szCs w:val="20"/>
        </w:rPr>
        <w:t>days are calculated by the number of nights away from the service</w:t>
      </w:r>
      <w:r w:rsidR="004730E6" w:rsidRPr="003A173C">
        <w:rPr>
          <w:rFonts w:cs="Calibri"/>
          <w:szCs w:val="20"/>
        </w:rPr>
        <w:t xml:space="preserve"> –</w:t>
      </w:r>
      <w:r w:rsidR="002E1F8A" w:rsidRPr="003A173C">
        <w:rPr>
          <w:rFonts w:cs="Calibri"/>
          <w:szCs w:val="20"/>
        </w:rPr>
        <w:t xml:space="preserve"> that</w:t>
      </w:r>
      <w:r w:rsidR="004730E6" w:rsidRPr="003A173C">
        <w:rPr>
          <w:rFonts w:cs="Calibri"/>
          <w:szCs w:val="20"/>
        </w:rPr>
        <w:t xml:space="preserve"> </w:t>
      </w:r>
      <w:r w:rsidR="002E1F8A" w:rsidRPr="003A173C">
        <w:rPr>
          <w:rFonts w:cs="Calibri"/>
          <w:szCs w:val="20"/>
        </w:rPr>
        <w:t xml:space="preserve">is up to a maximum of </w:t>
      </w:r>
      <w:r w:rsidR="00BE3877">
        <w:rPr>
          <w:rFonts w:cs="Calibri"/>
          <w:szCs w:val="20"/>
        </w:rPr>
        <w:t>seven</w:t>
      </w:r>
      <w:r w:rsidR="002E1F8A" w:rsidRPr="003A173C">
        <w:rPr>
          <w:rFonts w:cs="Calibri"/>
          <w:szCs w:val="20"/>
        </w:rPr>
        <w:t xml:space="preserve"> allowable nights. In a home/community care setting, </w:t>
      </w:r>
      <w:r w:rsidR="004730E6" w:rsidRPr="003A173C">
        <w:rPr>
          <w:rFonts w:cs="Calibri"/>
          <w:szCs w:val="20"/>
        </w:rPr>
        <w:t xml:space="preserve">break days are </w:t>
      </w:r>
      <w:r w:rsidR="004560A0" w:rsidRPr="003A173C">
        <w:rPr>
          <w:rFonts w:cs="Calibri"/>
          <w:szCs w:val="20"/>
        </w:rPr>
        <w:t>calculated by the number of days</w:t>
      </w:r>
      <w:r w:rsidR="00047736" w:rsidRPr="003A173C">
        <w:rPr>
          <w:rFonts w:cs="Calibri"/>
          <w:szCs w:val="20"/>
        </w:rPr>
        <w:t xml:space="preserve"> without TCP services</w:t>
      </w:r>
      <w:r w:rsidR="004730E6" w:rsidRPr="003A173C">
        <w:rPr>
          <w:rFonts w:cs="Calibri"/>
          <w:szCs w:val="20"/>
        </w:rPr>
        <w:t>.</w:t>
      </w:r>
    </w:p>
    <w:p w14:paraId="154C0B90" w14:textId="2EA5A06A" w:rsidR="00274E4F" w:rsidRPr="003A173C" w:rsidRDefault="002015B8" w:rsidP="00A11A11">
      <w:pPr>
        <w:spacing w:before="0" w:after="200"/>
        <w:rPr>
          <w:rFonts w:eastAsia="MS Gothic" w:cs="Calibri"/>
          <w:szCs w:val="20"/>
        </w:rPr>
      </w:pPr>
      <w:r w:rsidRPr="003A173C">
        <w:rPr>
          <w:rFonts w:eastAsia="MS Gothic" w:cs="Calibri"/>
          <w:szCs w:val="20"/>
        </w:rPr>
        <w:t>An individual</w:t>
      </w:r>
      <w:r w:rsidR="00736127" w:rsidRPr="003A173C">
        <w:rPr>
          <w:rFonts w:eastAsia="MS Gothic" w:cs="Calibri"/>
          <w:szCs w:val="20"/>
        </w:rPr>
        <w:t xml:space="preserve"> can take break days </w:t>
      </w:r>
      <w:r w:rsidR="00E44674" w:rsidRPr="003A173C">
        <w:rPr>
          <w:rFonts w:eastAsia="MS Gothic" w:cs="Calibri"/>
          <w:szCs w:val="20"/>
        </w:rPr>
        <w:t xml:space="preserve">at </w:t>
      </w:r>
      <w:r w:rsidR="00736127" w:rsidRPr="003A173C">
        <w:rPr>
          <w:rFonts w:eastAsia="MS Gothic" w:cs="Calibri"/>
          <w:szCs w:val="20"/>
        </w:rPr>
        <w:t xml:space="preserve">any time after they have commenced their episode. That is, a person must have entered the </w:t>
      </w:r>
      <w:r w:rsidR="00B505C7" w:rsidRPr="003A173C">
        <w:rPr>
          <w:rFonts w:eastAsia="MS Gothic" w:cs="Calibri"/>
          <w:szCs w:val="20"/>
        </w:rPr>
        <w:t>program</w:t>
      </w:r>
      <w:r w:rsidR="00736127" w:rsidRPr="003A173C">
        <w:rPr>
          <w:rFonts w:eastAsia="MS Gothic" w:cs="Calibri"/>
          <w:szCs w:val="20"/>
        </w:rPr>
        <w:t xml:space="preserve"> as per the commencement requirements for at least one day, prior to taking a break.</w:t>
      </w:r>
    </w:p>
    <w:p w14:paraId="4F9933BE" w14:textId="7CF6B285" w:rsidR="00736127" w:rsidRPr="003A173C" w:rsidRDefault="00736127" w:rsidP="00817F7C">
      <w:pPr>
        <w:spacing w:before="0" w:after="200"/>
        <w:rPr>
          <w:rFonts w:eastAsia="MS Gothic" w:cs="Calibri"/>
          <w:szCs w:val="20"/>
        </w:rPr>
      </w:pPr>
      <w:r w:rsidRPr="003A173C">
        <w:rPr>
          <w:rFonts w:eastAsia="MS Gothic" w:cs="Calibri"/>
          <w:szCs w:val="20"/>
        </w:rPr>
        <w:t>Break days can be taken together in blocks, or individually, throughout a</w:t>
      </w:r>
      <w:r w:rsidR="002015B8" w:rsidRPr="003A173C">
        <w:rPr>
          <w:rFonts w:eastAsia="MS Gothic" w:cs="Calibri"/>
          <w:szCs w:val="20"/>
        </w:rPr>
        <w:t xml:space="preserve">n </w:t>
      </w:r>
      <w:r w:rsidR="000E21E8" w:rsidRPr="003A173C">
        <w:rPr>
          <w:rFonts w:eastAsia="MS Gothic" w:cs="Calibri"/>
          <w:szCs w:val="20"/>
        </w:rPr>
        <w:t>individual’s episode</w:t>
      </w:r>
      <w:r w:rsidRPr="003A173C">
        <w:rPr>
          <w:rFonts w:eastAsia="MS Gothic" w:cs="Calibri"/>
          <w:szCs w:val="20"/>
        </w:rPr>
        <w:t>.</w:t>
      </w:r>
    </w:p>
    <w:p w14:paraId="07B976F9" w14:textId="1F2BA58F" w:rsidR="00736127" w:rsidRPr="003A173C" w:rsidRDefault="00736127" w:rsidP="00817F7C">
      <w:pPr>
        <w:spacing w:before="0" w:after="200"/>
        <w:rPr>
          <w:rFonts w:cs="Calibri"/>
          <w:szCs w:val="20"/>
        </w:rPr>
      </w:pPr>
      <w:r w:rsidRPr="003A173C">
        <w:rPr>
          <w:rFonts w:cs="Calibri"/>
          <w:szCs w:val="20"/>
        </w:rPr>
        <w:t>Any break days taken will still be counted as available care days and will not extend the maximum duration of a</w:t>
      </w:r>
      <w:r w:rsidR="0043325E" w:rsidRPr="003A173C">
        <w:rPr>
          <w:rFonts w:cs="Calibri"/>
          <w:szCs w:val="20"/>
        </w:rPr>
        <w:t>n individual’s</w:t>
      </w:r>
      <w:r w:rsidRPr="003A173C">
        <w:rPr>
          <w:rFonts w:cs="Calibri"/>
          <w:szCs w:val="20"/>
        </w:rPr>
        <w:t xml:space="preserve"> transition care episode (i.e. up to 12</w:t>
      </w:r>
      <w:r w:rsidR="00D6073B" w:rsidRPr="003A173C">
        <w:rPr>
          <w:rFonts w:cs="Calibri"/>
          <w:szCs w:val="20"/>
        </w:rPr>
        <w:t> </w:t>
      </w:r>
      <w:r w:rsidRPr="003A173C">
        <w:rPr>
          <w:rFonts w:cs="Calibri"/>
          <w:szCs w:val="20"/>
        </w:rPr>
        <w:t>weeks, with a possible extension of up to another six</w:t>
      </w:r>
      <w:r w:rsidR="00D6073B" w:rsidRPr="003A173C">
        <w:rPr>
          <w:rFonts w:cs="Calibri"/>
          <w:szCs w:val="20"/>
        </w:rPr>
        <w:t> </w:t>
      </w:r>
      <w:r w:rsidRPr="003A173C">
        <w:rPr>
          <w:rFonts w:cs="Calibri"/>
          <w:szCs w:val="20"/>
        </w:rPr>
        <w:t>weeks, where approved).</w:t>
      </w:r>
    </w:p>
    <w:p w14:paraId="7AAD157D" w14:textId="6D0808AF" w:rsidR="00B90BE1" w:rsidRPr="003A173C" w:rsidRDefault="005327FB" w:rsidP="00A11A11">
      <w:pPr>
        <w:spacing w:before="0" w:after="200"/>
        <w:rPr>
          <w:rFonts w:cs="Calibri"/>
          <w:szCs w:val="20"/>
        </w:rPr>
      </w:pPr>
      <w:r w:rsidRPr="003A173C">
        <w:rPr>
          <w:rFonts w:cs="Calibri"/>
          <w:szCs w:val="20"/>
        </w:rPr>
        <w:t>A</w:t>
      </w:r>
      <w:r w:rsidR="00274E4F" w:rsidRPr="003A173C">
        <w:rPr>
          <w:rFonts w:cs="Calibri"/>
          <w:szCs w:val="20"/>
        </w:rPr>
        <w:t xml:space="preserve"> </w:t>
      </w:r>
      <w:r w:rsidR="0043325E" w:rsidRPr="003A173C">
        <w:rPr>
          <w:rFonts w:cs="Calibri"/>
          <w:szCs w:val="20"/>
        </w:rPr>
        <w:t>registered</w:t>
      </w:r>
      <w:r w:rsidR="00736127" w:rsidRPr="003A173C">
        <w:rPr>
          <w:rFonts w:cs="Calibri"/>
          <w:szCs w:val="20"/>
        </w:rPr>
        <w:t xml:space="preserve"> </w:t>
      </w:r>
      <w:r w:rsidR="00605BA0" w:rsidRPr="003A173C">
        <w:rPr>
          <w:rFonts w:cs="Calibri"/>
          <w:szCs w:val="20"/>
        </w:rPr>
        <w:t>provider</w:t>
      </w:r>
      <w:r w:rsidR="00736127" w:rsidRPr="003A173C">
        <w:rPr>
          <w:rFonts w:cs="Calibri"/>
          <w:szCs w:val="20"/>
        </w:rPr>
        <w:t xml:space="preserve"> will continue to be paid subsidy for any break days taken by a</w:t>
      </w:r>
      <w:r w:rsidR="0043325E" w:rsidRPr="003A173C">
        <w:rPr>
          <w:rFonts w:cs="Calibri"/>
          <w:szCs w:val="20"/>
        </w:rPr>
        <w:t>n individual</w:t>
      </w:r>
      <w:r w:rsidR="00736127" w:rsidRPr="003A173C">
        <w:rPr>
          <w:rFonts w:cs="Calibri"/>
          <w:szCs w:val="20"/>
        </w:rPr>
        <w:t xml:space="preserve"> throughout the duration of their episode. Calculation of a</w:t>
      </w:r>
      <w:r w:rsidR="00A649AD" w:rsidRPr="003A173C">
        <w:rPr>
          <w:rFonts w:cs="Calibri"/>
          <w:szCs w:val="20"/>
        </w:rPr>
        <w:t xml:space="preserve">n individual’s </w:t>
      </w:r>
      <w:r w:rsidR="00820C83" w:rsidRPr="003A173C">
        <w:rPr>
          <w:rFonts w:cs="Calibri"/>
          <w:szCs w:val="20"/>
        </w:rPr>
        <w:t>’</w:t>
      </w:r>
      <w:r w:rsidR="00736127" w:rsidRPr="003A173C">
        <w:rPr>
          <w:rFonts w:cs="Calibri"/>
          <w:szCs w:val="20"/>
        </w:rPr>
        <w:t>s contribution fee is to include any days taken as break days.</w:t>
      </w:r>
    </w:p>
    <w:p w14:paraId="71518357" w14:textId="4C9ADB17" w:rsidR="00B90BE1" w:rsidRPr="003A173C" w:rsidRDefault="00B90BE1" w:rsidP="00A11A11">
      <w:pPr>
        <w:spacing w:before="0" w:after="200"/>
        <w:rPr>
          <w:rFonts w:eastAsia="MS Gothic" w:cs="Calibri"/>
          <w:szCs w:val="20"/>
        </w:rPr>
      </w:pPr>
      <w:r w:rsidRPr="003A173C">
        <w:rPr>
          <w:rFonts w:eastAsia="MS Gothic" w:cs="Calibri"/>
          <w:szCs w:val="20"/>
        </w:rPr>
        <w:t>Break days only interrupt the delivery of care and services during a</w:t>
      </w:r>
      <w:r w:rsidR="00A649AD" w:rsidRPr="003A173C">
        <w:rPr>
          <w:rFonts w:eastAsia="MS Gothic" w:cs="Calibri"/>
          <w:szCs w:val="20"/>
        </w:rPr>
        <w:t>n individual</w:t>
      </w:r>
      <w:r w:rsidRPr="003A173C">
        <w:rPr>
          <w:rFonts w:eastAsia="MS Gothic" w:cs="Calibri"/>
          <w:szCs w:val="20"/>
        </w:rPr>
        <w:t xml:space="preserve">’s transition care episode. The </w:t>
      </w:r>
      <w:r w:rsidR="00F2634F" w:rsidRPr="003A173C">
        <w:rPr>
          <w:rFonts w:eastAsia="MS Gothic" w:cs="Calibri"/>
          <w:szCs w:val="20"/>
        </w:rPr>
        <w:t>episode itself is not suspended and then recommenced.</w:t>
      </w:r>
      <w:r w:rsidR="00F2634F" w:rsidRPr="003A173C" w:rsidDel="00F2634F">
        <w:rPr>
          <w:rFonts w:eastAsia="MS Gothic" w:cs="Calibri"/>
          <w:szCs w:val="20"/>
        </w:rPr>
        <w:t xml:space="preserve"> </w:t>
      </w:r>
      <w:r w:rsidRPr="003A173C">
        <w:rPr>
          <w:rFonts w:eastAsia="MS Gothic" w:cs="Calibri"/>
          <w:szCs w:val="20"/>
        </w:rPr>
        <w:t xml:space="preserve">As such, providers are not required to report break days via the Aged Care Provider </w:t>
      </w:r>
      <w:r w:rsidR="00A649AD" w:rsidRPr="003A173C">
        <w:rPr>
          <w:rFonts w:eastAsia="MS Gothic" w:cs="Calibri"/>
          <w:szCs w:val="20"/>
        </w:rPr>
        <w:t>P</w:t>
      </w:r>
      <w:r w:rsidRPr="003A173C">
        <w:rPr>
          <w:rFonts w:eastAsia="MS Gothic" w:cs="Calibri"/>
          <w:szCs w:val="20"/>
        </w:rPr>
        <w:t>ortal</w:t>
      </w:r>
      <w:r w:rsidR="00921455" w:rsidRPr="003A173C">
        <w:rPr>
          <w:rFonts w:eastAsia="MS Gothic" w:cs="Calibri"/>
          <w:szCs w:val="20"/>
        </w:rPr>
        <w:t>,</w:t>
      </w:r>
      <w:r w:rsidRPr="003A173C">
        <w:rPr>
          <w:rFonts w:eastAsia="MS Gothic" w:cs="Calibri"/>
          <w:szCs w:val="20"/>
        </w:rPr>
        <w:t xml:space="preserve"> for the purposes of subsidy payment.</w:t>
      </w:r>
    </w:p>
    <w:p w14:paraId="75DBBDE8" w14:textId="75EE0528" w:rsidR="00B90BE1" w:rsidRPr="003A173C" w:rsidRDefault="00B90BE1" w:rsidP="00A11A11">
      <w:pPr>
        <w:spacing w:before="0" w:after="200"/>
        <w:rPr>
          <w:rFonts w:cs="Calibri"/>
          <w:szCs w:val="20"/>
        </w:rPr>
      </w:pPr>
      <w:r w:rsidRPr="003A173C">
        <w:rPr>
          <w:rFonts w:eastAsia="MS Gothic" w:cs="Calibri"/>
          <w:szCs w:val="20"/>
        </w:rPr>
        <w:t>Where a</w:t>
      </w:r>
      <w:r w:rsidR="00A649AD" w:rsidRPr="003A173C">
        <w:rPr>
          <w:rFonts w:eastAsia="MS Gothic" w:cs="Calibri"/>
          <w:szCs w:val="20"/>
        </w:rPr>
        <w:t>n individual</w:t>
      </w:r>
      <w:r w:rsidRPr="003A173C">
        <w:rPr>
          <w:rFonts w:eastAsia="MS Gothic" w:cs="Calibri"/>
          <w:szCs w:val="20"/>
        </w:rPr>
        <w:t xml:space="preserve"> is absent from care for more than a cumulative total of seven </w:t>
      </w:r>
      <w:r w:rsidR="009E13E1" w:rsidRPr="003A173C">
        <w:rPr>
          <w:rFonts w:eastAsia="MS Gothic" w:cs="Calibri"/>
          <w:szCs w:val="20"/>
        </w:rPr>
        <w:t xml:space="preserve">nights or </w:t>
      </w:r>
      <w:r w:rsidRPr="003A173C">
        <w:rPr>
          <w:rFonts w:eastAsia="MS Gothic" w:cs="Calibri"/>
          <w:szCs w:val="20"/>
        </w:rPr>
        <w:t>days</w:t>
      </w:r>
      <w:r w:rsidR="009E13E1" w:rsidRPr="003A173C">
        <w:rPr>
          <w:rFonts w:eastAsia="MS Gothic" w:cs="Calibri"/>
          <w:szCs w:val="20"/>
        </w:rPr>
        <w:t xml:space="preserve"> (as per the cal</w:t>
      </w:r>
      <w:r w:rsidR="00EF7BEE" w:rsidRPr="003A173C">
        <w:rPr>
          <w:rFonts w:eastAsia="MS Gothic" w:cs="Calibri"/>
          <w:szCs w:val="20"/>
        </w:rPr>
        <w:t>culation method for residential and home/community</w:t>
      </w:r>
      <w:r w:rsidR="007A1C45" w:rsidRPr="003A173C">
        <w:rPr>
          <w:rFonts w:eastAsia="MS Gothic" w:cs="Calibri"/>
          <w:szCs w:val="20"/>
        </w:rPr>
        <w:t xml:space="preserve"> TCP services mention</w:t>
      </w:r>
      <w:r w:rsidR="00F825A0" w:rsidRPr="003A173C">
        <w:rPr>
          <w:rFonts w:eastAsia="MS Gothic" w:cs="Calibri"/>
          <w:szCs w:val="20"/>
        </w:rPr>
        <w:t>ed</w:t>
      </w:r>
      <w:r w:rsidR="007A1C45" w:rsidRPr="003A173C">
        <w:rPr>
          <w:rFonts w:eastAsia="MS Gothic" w:cs="Calibri"/>
          <w:szCs w:val="20"/>
        </w:rPr>
        <w:t xml:space="preserve"> above)</w:t>
      </w:r>
      <w:r w:rsidRPr="003A173C">
        <w:rPr>
          <w:rFonts w:eastAsia="MS Gothic" w:cs="Calibri"/>
          <w:szCs w:val="20"/>
        </w:rPr>
        <w:t>, their transition care episode must end.</w:t>
      </w:r>
      <w:r w:rsidR="00E44674" w:rsidRPr="003A173C">
        <w:rPr>
          <w:rFonts w:eastAsia="MS Gothic" w:cs="Calibri"/>
          <w:szCs w:val="20"/>
        </w:rPr>
        <w:t xml:space="preserve"> </w:t>
      </w:r>
      <w:r w:rsidRPr="003A173C">
        <w:rPr>
          <w:rFonts w:cs="Calibri"/>
          <w:szCs w:val="20"/>
        </w:rPr>
        <w:lastRenderedPageBreak/>
        <w:t xml:space="preserve">To recommence care, the person will require a valid, current </w:t>
      </w:r>
      <w:r w:rsidR="00F30D1B" w:rsidRPr="003A173C">
        <w:rPr>
          <w:rFonts w:cs="Calibri"/>
          <w:szCs w:val="20"/>
        </w:rPr>
        <w:t>aged care need</w:t>
      </w:r>
      <w:r w:rsidR="00F3530E" w:rsidRPr="003A173C">
        <w:rPr>
          <w:rFonts w:cs="Calibri"/>
          <w:szCs w:val="20"/>
        </w:rPr>
        <w:t>s</w:t>
      </w:r>
      <w:r w:rsidR="00F30D1B" w:rsidRPr="003A173C">
        <w:rPr>
          <w:rFonts w:cs="Calibri"/>
          <w:szCs w:val="20"/>
        </w:rPr>
        <w:t xml:space="preserve"> </w:t>
      </w:r>
      <w:r w:rsidR="002408FA" w:rsidRPr="003A173C">
        <w:rPr>
          <w:rFonts w:cs="Calibri"/>
          <w:szCs w:val="20"/>
        </w:rPr>
        <w:t>assessment</w:t>
      </w:r>
      <w:r w:rsidRPr="003A173C">
        <w:rPr>
          <w:rFonts w:cs="Calibri"/>
          <w:szCs w:val="20"/>
        </w:rPr>
        <w:t xml:space="preserve"> </w:t>
      </w:r>
      <w:r w:rsidR="00F3530E" w:rsidRPr="003A173C">
        <w:rPr>
          <w:rFonts w:cs="Calibri"/>
          <w:szCs w:val="20"/>
        </w:rPr>
        <w:t>approval and</w:t>
      </w:r>
      <w:r w:rsidRPr="003A173C">
        <w:rPr>
          <w:rFonts w:cs="Calibri"/>
          <w:szCs w:val="20"/>
        </w:rPr>
        <w:t xml:space="preserve"> must enter a new transition care episode after another hospital stay</w:t>
      </w:r>
      <w:r w:rsidR="00E44674" w:rsidRPr="003A173C">
        <w:rPr>
          <w:rFonts w:cs="Calibri"/>
          <w:szCs w:val="20"/>
        </w:rPr>
        <w:t xml:space="preserve">, </w:t>
      </w:r>
      <w:r w:rsidR="00731413" w:rsidRPr="003A173C">
        <w:rPr>
          <w:rFonts w:cs="Calibri"/>
          <w:szCs w:val="20"/>
        </w:rPr>
        <w:t>in line with the relevant ‘delivery setting’ episode commencement timeframe.</w:t>
      </w:r>
    </w:p>
    <w:p w14:paraId="7878F024" w14:textId="4A44305C" w:rsidR="00F2634F" w:rsidRPr="003A173C" w:rsidRDefault="00F2634F" w:rsidP="00A11A11">
      <w:pPr>
        <w:spacing w:before="0" w:after="200"/>
        <w:rPr>
          <w:rFonts w:cs="Calibri"/>
          <w:szCs w:val="20"/>
        </w:rPr>
      </w:pPr>
      <w:r w:rsidRPr="003A173C">
        <w:rPr>
          <w:rFonts w:cs="Calibri"/>
          <w:szCs w:val="20"/>
        </w:rPr>
        <w:t xml:space="preserve">Dual recipients </w:t>
      </w:r>
      <w:r w:rsidR="006C761E" w:rsidRPr="003A173C">
        <w:rPr>
          <w:rFonts w:cs="Calibri"/>
          <w:szCs w:val="20"/>
        </w:rPr>
        <w:t xml:space="preserve">of transition care and ongoing residential care, </w:t>
      </w:r>
      <w:r w:rsidRPr="003A173C">
        <w:rPr>
          <w:rFonts w:cs="Calibri"/>
          <w:szCs w:val="20"/>
        </w:rPr>
        <w:t xml:space="preserve">taking a break from their transition care </w:t>
      </w:r>
      <w:r w:rsidR="004E2B1E" w:rsidRPr="003A173C">
        <w:rPr>
          <w:rFonts w:cs="Calibri"/>
          <w:szCs w:val="20"/>
        </w:rPr>
        <w:t>episode</w:t>
      </w:r>
      <w:r w:rsidR="00595C3E" w:rsidRPr="003A173C">
        <w:rPr>
          <w:rFonts w:cs="Calibri"/>
          <w:szCs w:val="20"/>
        </w:rPr>
        <w:t>,</w:t>
      </w:r>
      <w:r w:rsidR="004E2B1E" w:rsidRPr="003A173C">
        <w:rPr>
          <w:rFonts w:cs="Calibri"/>
          <w:szCs w:val="20"/>
        </w:rPr>
        <w:t xml:space="preserve"> </w:t>
      </w:r>
      <w:r w:rsidRPr="003A173C">
        <w:rPr>
          <w:rFonts w:cs="Calibri"/>
          <w:szCs w:val="20"/>
        </w:rPr>
        <w:t xml:space="preserve">remain on ‘leave’ from their ongoing residential care </w:t>
      </w:r>
      <w:r w:rsidR="00921455" w:rsidRPr="003A173C">
        <w:rPr>
          <w:rFonts w:cs="Calibri"/>
          <w:szCs w:val="20"/>
        </w:rPr>
        <w:t xml:space="preserve">home. </w:t>
      </w:r>
    </w:p>
    <w:p w14:paraId="2BB97072" w14:textId="527BF66A" w:rsidR="00864809" w:rsidRPr="003A173C" w:rsidRDefault="00864809" w:rsidP="00A11A11">
      <w:pPr>
        <w:spacing w:before="0" w:after="200"/>
        <w:rPr>
          <w:rFonts w:cs="Calibri"/>
          <w:szCs w:val="20"/>
        </w:rPr>
      </w:pPr>
      <w:r w:rsidRPr="003A173C">
        <w:rPr>
          <w:rFonts w:cs="Calibri"/>
          <w:szCs w:val="20"/>
        </w:rPr>
        <w:t>A</w:t>
      </w:r>
      <w:r w:rsidR="00220A30" w:rsidRPr="003A173C">
        <w:rPr>
          <w:rFonts w:cs="Calibri"/>
          <w:szCs w:val="20"/>
        </w:rPr>
        <w:t xml:space="preserve">n </w:t>
      </w:r>
      <w:r w:rsidR="00E16A2C" w:rsidRPr="003A173C">
        <w:rPr>
          <w:rFonts w:cs="Calibri"/>
          <w:szCs w:val="20"/>
        </w:rPr>
        <w:t>individual</w:t>
      </w:r>
      <w:r w:rsidRPr="003A173C">
        <w:rPr>
          <w:rFonts w:cs="Calibri"/>
          <w:szCs w:val="20"/>
        </w:rPr>
        <w:t xml:space="preserve"> cannot use their break days for the purpose of accessing</w:t>
      </w:r>
      <w:r w:rsidR="003309AA" w:rsidRPr="003A173C">
        <w:rPr>
          <w:rFonts w:cs="Calibri"/>
          <w:szCs w:val="20"/>
        </w:rPr>
        <w:t xml:space="preserve"> </w:t>
      </w:r>
      <w:r w:rsidRPr="003A173C">
        <w:rPr>
          <w:rFonts w:cs="Calibri"/>
          <w:szCs w:val="20"/>
        </w:rPr>
        <w:t>residential respite.</w:t>
      </w:r>
    </w:p>
    <w:p w14:paraId="6EF85E3B" w14:textId="0A843896" w:rsidR="00B90BE1" w:rsidRPr="003A173C" w:rsidRDefault="00B90BE1" w:rsidP="00E330E4">
      <w:pPr>
        <w:pStyle w:val="heading4withoutnumbers"/>
        <w:rPr>
          <w:rFonts w:eastAsia="MS Gothic" w:cs="Calibri"/>
          <w:b/>
          <w:bCs/>
          <w:lang w:val="en-US" w:eastAsia="en-US"/>
        </w:rPr>
      </w:pPr>
      <w:r w:rsidRPr="003A173C">
        <w:rPr>
          <w:rFonts w:eastAsia="MS Gothic" w:cs="Calibri"/>
          <w:b/>
          <w:bCs/>
          <w:lang w:val="en-US"/>
        </w:rPr>
        <w:t>Tracking and management of</w:t>
      </w:r>
      <w:r w:rsidRPr="003A173C">
        <w:rPr>
          <w:rFonts w:eastAsia="MS Gothic" w:cs="Calibri"/>
          <w:b/>
          <w:bCs/>
          <w:lang w:val="en-US" w:eastAsia="en-US"/>
        </w:rPr>
        <w:t xml:space="preserve"> break day balances</w:t>
      </w:r>
    </w:p>
    <w:p w14:paraId="4943F445" w14:textId="32CC4B4F" w:rsidR="00B90BE1" w:rsidRPr="003A173C" w:rsidRDefault="00B90BE1" w:rsidP="00817F7C">
      <w:pPr>
        <w:spacing w:before="0" w:after="200"/>
        <w:rPr>
          <w:rFonts w:eastAsia="MS Gothic" w:cs="Calibri"/>
          <w:szCs w:val="20"/>
        </w:rPr>
      </w:pPr>
      <w:r w:rsidRPr="003A173C">
        <w:rPr>
          <w:rFonts w:eastAsia="MS Gothic" w:cs="Calibri"/>
          <w:szCs w:val="20"/>
        </w:rPr>
        <w:t xml:space="preserve">Responsibility for managing </w:t>
      </w:r>
      <w:r w:rsidR="00220A30" w:rsidRPr="003A173C">
        <w:rPr>
          <w:rFonts w:eastAsia="MS Gothic" w:cs="Calibri"/>
          <w:szCs w:val="20"/>
        </w:rPr>
        <w:t xml:space="preserve">an individual’s </w:t>
      </w:r>
      <w:r w:rsidRPr="003A173C">
        <w:rPr>
          <w:rFonts w:eastAsia="MS Gothic" w:cs="Calibri"/>
          <w:szCs w:val="20"/>
        </w:rPr>
        <w:t xml:space="preserve">break day balance sits with TCP </w:t>
      </w:r>
      <w:r w:rsidR="00220A30" w:rsidRPr="003A173C">
        <w:rPr>
          <w:rFonts w:eastAsia="MS Gothic" w:cs="Calibri"/>
          <w:szCs w:val="20"/>
        </w:rPr>
        <w:t xml:space="preserve">registered </w:t>
      </w:r>
      <w:r w:rsidRPr="003A173C">
        <w:rPr>
          <w:rFonts w:eastAsia="MS Gothic" w:cs="Calibri"/>
          <w:szCs w:val="20"/>
        </w:rPr>
        <w:t>providers. Providers are to ensure their services have appropriate processes and systems in place to track and manage break</w:t>
      </w:r>
      <w:r w:rsidR="00220A30" w:rsidRPr="003A173C">
        <w:rPr>
          <w:rFonts w:eastAsia="MS Gothic" w:cs="Calibri"/>
          <w:szCs w:val="20"/>
        </w:rPr>
        <w:t xml:space="preserve"> day</w:t>
      </w:r>
      <w:r w:rsidRPr="003A173C">
        <w:rPr>
          <w:rFonts w:eastAsia="MS Gothic" w:cs="Calibri"/>
          <w:szCs w:val="20"/>
        </w:rPr>
        <w:t xml:space="preserve"> </w:t>
      </w:r>
      <w:r w:rsidR="00D6073B" w:rsidRPr="003A173C">
        <w:rPr>
          <w:rFonts w:eastAsia="MS Gothic" w:cs="Calibri"/>
          <w:szCs w:val="20"/>
        </w:rPr>
        <w:t>balances and</w:t>
      </w:r>
      <w:r w:rsidRPr="003A173C">
        <w:rPr>
          <w:rFonts w:eastAsia="MS Gothic" w:cs="Calibri"/>
          <w:szCs w:val="20"/>
        </w:rPr>
        <w:t xml:space="preserve"> collate break day data.</w:t>
      </w:r>
    </w:p>
    <w:p w14:paraId="6BB11592" w14:textId="4D24FCC0" w:rsidR="00E56084" w:rsidRPr="003A173C" w:rsidRDefault="00E56084" w:rsidP="008974DB">
      <w:pPr>
        <w:pStyle w:val="Style3"/>
      </w:pPr>
      <w:bookmarkStart w:id="962" w:name="_Toc216865480"/>
      <w:r w:rsidRPr="003A173C">
        <w:t xml:space="preserve">Readmission to hospital from </w:t>
      </w:r>
      <w:r w:rsidRPr="00721280">
        <w:t>transition</w:t>
      </w:r>
      <w:r w:rsidRPr="003A173C">
        <w:t xml:space="preserve"> care</w:t>
      </w:r>
      <w:bookmarkEnd w:id="962"/>
    </w:p>
    <w:p w14:paraId="53862D25" w14:textId="3E722C5E" w:rsidR="00A40153" w:rsidRPr="003A173C" w:rsidRDefault="00C103D9" w:rsidP="00A11A11">
      <w:pPr>
        <w:spacing w:before="0" w:after="200"/>
        <w:rPr>
          <w:rFonts w:cs="Calibri"/>
        </w:rPr>
      </w:pPr>
      <w:r w:rsidRPr="26D7D3B0">
        <w:rPr>
          <w:rFonts w:cs="Calibri"/>
        </w:rPr>
        <w:t>A</w:t>
      </w:r>
      <w:r w:rsidR="009D4938" w:rsidRPr="26D7D3B0">
        <w:rPr>
          <w:rFonts w:cs="Calibri"/>
        </w:rPr>
        <w:t xml:space="preserve">n </w:t>
      </w:r>
      <w:r w:rsidR="00F575B2" w:rsidRPr="26D7D3B0">
        <w:rPr>
          <w:rFonts w:cs="Calibri"/>
        </w:rPr>
        <w:t>individual’s</w:t>
      </w:r>
      <w:r w:rsidR="00A40153" w:rsidRPr="26D7D3B0">
        <w:rPr>
          <w:rFonts w:cs="Calibri"/>
        </w:rPr>
        <w:t xml:space="preserve"> episode</w:t>
      </w:r>
      <w:r w:rsidRPr="26D7D3B0">
        <w:rPr>
          <w:rFonts w:cs="Calibri"/>
        </w:rPr>
        <w:t xml:space="preserve"> will</w:t>
      </w:r>
      <w:r w:rsidR="00A40153" w:rsidRPr="26D7D3B0">
        <w:rPr>
          <w:rFonts w:cs="Calibri"/>
        </w:rPr>
        <w:t xml:space="preserve"> ceas</w:t>
      </w:r>
      <w:r w:rsidRPr="26D7D3B0">
        <w:rPr>
          <w:rFonts w:cs="Calibri"/>
        </w:rPr>
        <w:t>e if the</w:t>
      </w:r>
      <w:r w:rsidR="00F575B2" w:rsidRPr="26D7D3B0">
        <w:rPr>
          <w:rFonts w:cs="Calibri"/>
        </w:rPr>
        <w:t>y are</w:t>
      </w:r>
      <w:r w:rsidRPr="26D7D3B0">
        <w:rPr>
          <w:rFonts w:cs="Calibri"/>
        </w:rPr>
        <w:t xml:space="preserve"> absent from care for more than a total of seven break days during their transition care episode</w:t>
      </w:r>
      <w:r w:rsidR="00801D32" w:rsidRPr="26D7D3B0">
        <w:rPr>
          <w:rFonts w:cs="Calibri"/>
        </w:rPr>
        <w:t xml:space="preserve"> </w:t>
      </w:r>
      <w:r w:rsidR="00801D32" w:rsidRPr="26D7D3B0">
        <w:rPr>
          <w:rFonts w:eastAsia="MS Gothic" w:cs="Calibri"/>
        </w:rPr>
        <w:t>(as per the calculation method for residential and home/community TCP services mentioned above)</w:t>
      </w:r>
      <w:r w:rsidRPr="26D7D3B0">
        <w:rPr>
          <w:rFonts w:cs="Calibri"/>
        </w:rPr>
        <w:t>, including if they need to re</w:t>
      </w:r>
      <w:r w:rsidR="667924E0" w:rsidRPr="26D7D3B0">
        <w:rPr>
          <w:rFonts w:cs="Calibri"/>
        </w:rPr>
        <w:t>-</w:t>
      </w:r>
      <w:r w:rsidR="00D6073B" w:rsidRPr="003A173C">
        <w:rPr>
          <w:rFonts w:cs="Calibri"/>
          <w:szCs w:val="20"/>
        </w:rPr>
        <w:noBreakHyphen/>
      </w:r>
      <w:r w:rsidRPr="26D7D3B0">
        <w:rPr>
          <w:rFonts w:cs="Calibri"/>
        </w:rPr>
        <w:t>enter hospital (see</w:t>
      </w:r>
      <w:r w:rsidR="00290521" w:rsidRPr="26D7D3B0">
        <w:rPr>
          <w:rFonts w:cs="Calibri"/>
        </w:rPr>
        <w:t xml:space="preserve"> also,</w:t>
      </w:r>
      <w:r w:rsidRPr="26D7D3B0">
        <w:rPr>
          <w:rFonts w:cs="Calibri"/>
        </w:rPr>
        <w:t xml:space="preserve"> section</w:t>
      </w:r>
      <w:r w:rsidR="00D6073B" w:rsidRPr="26D7D3B0">
        <w:rPr>
          <w:rFonts w:cs="Calibri"/>
        </w:rPr>
        <w:t> </w:t>
      </w:r>
      <w:r w:rsidRPr="26D7D3B0">
        <w:rPr>
          <w:rFonts w:cs="Calibri"/>
          <w:i/>
        </w:rPr>
        <w:t>3.5.6</w:t>
      </w:r>
      <w:r w:rsidR="00D6073B" w:rsidRPr="26D7D3B0">
        <w:rPr>
          <w:rFonts w:cs="Calibri"/>
          <w:i/>
        </w:rPr>
        <w:t> </w:t>
      </w:r>
      <w:r w:rsidRPr="26D7D3B0">
        <w:rPr>
          <w:rFonts w:cs="Calibri"/>
          <w:i/>
        </w:rPr>
        <w:t>Interrupting a TCP episode – available break days</w:t>
      </w:r>
      <w:r w:rsidRPr="26D7D3B0">
        <w:rPr>
          <w:rFonts w:cs="Calibri"/>
        </w:rPr>
        <w:t>).</w:t>
      </w:r>
    </w:p>
    <w:p w14:paraId="053E24B9" w14:textId="0114C3E3" w:rsidR="00A40153" w:rsidRPr="003A173C" w:rsidRDefault="00A40153" w:rsidP="00A11A11">
      <w:pPr>
        <w:spacing w:before="0" w:after="200"/>
        <w:rPr>
          <w:rFonts w:cs="Calibri"/>
          <w:szCs w:val="20"/>
        </w:rPr>
      </w:pPr>
      <w:r w:rsidRPr="003A173C">
        <w:rPr>
          <w:rFonts w:cs="Calibri"/>
          <w:szCs w:val="20"/>
        </w:rPr>
        <w:t xml:space="preserve">To recommence care, a person will require a valid </w:t>
      </w:r>
      <w:r w:rsidR="00B561CA" w:rsidRPr="003A173C">
        <w:rPr>
          <w:rFonts w:cs="Calibri"/>
          <w:szCs w:val="20"/>
        </w:rPr>
        <w:t xml:space="preserve">aged care needs assessment </w:t>
      </w:r>
      <w:r w:rsidRPr="003A173C">
        <w:rPr>
          <w:rFonts w:cs="Calibri"/>
          <w:szCs w:val="20"/>
        </w:rPr>
        <w:t>approval and must enter their new transition care episode after another hospital stay</w:t>
      </w:r>
      <w:r w:rsidR="00290521" w:rsidRPr="003A173C">
        <w:rPr>
          <w:rFonts w:cs="Calibri"/>
          <w:szCs w:val="20"/>
        </w:rPr>
        <w:t>, in line with</w:t>
      </w:r>
      <w:r w:rsidR="00731413" w:rsidRPr="003A173C">
        <w:rPr>
          <w:rFonts w:cs="Calibri"/>
          <w:szCs w:val="20"/>
        </w:rPr>
        <w:t xml:space="preserve"> the</w:t>
      </w:r>
      <w:r w:rsidR="00290521" w:rsidRPr="003A173C">
        <w:rPr>
          <w:rFonts w:cs="Calibri"/>
          <w:szCs w:val="20"/>
        </w:rPr>
        <w:t xml:space="preserve"> </w:t>
      </w:r>
      <w:r w:rsidR="00731413" w:rsidRPr="003A173C">
        <w:rPr>
          <w:rFonts w:cs="Calibri"/>
          <w:szCs w:val="20"/>
        </w:rPr>
        <w:t xml:space="preserve">relevant ‘delivery </w:t>
      </w:r>
      <w:r w:rsidR="00290521" w:rsidRPr="003A173C">
        <w:rPr>
          <w:rFonts w:cs="Calibri"/>
          <w:szCs w:val="20"/>
        </w:rPr>
        <w:t>setting</w:t>
      </w:r>
      <w:r w:rsidR="00731413" w:rsidRPr="003A173C">
        <w:rPr>
          <w:rFonts w:cs="Calibri"/>
          <w:szCs w:val="20"/>
        </w:rPr>
        <w:t>’</w:t>
      </w:r>
      <w:r w:rsidR="00290521" w:rsidRPr="003A173C">
        <w:rPr>
          <w:rFonts w:cs="Calibri"/>
          <w:szCs w:val="20"/>
        </w:rPr>
        <w:t xml:space="preserve"> episode commencement </w:t>
      </w:r>
      <w:r w:rsidR="00731413" w:rsidRPr="003A173C">
        <w:rPr>
          <w:rFonts w:cs="Calibri"/>
          <w:szCs w:val="20"/>
        </w:rPr>
        <w:t>timeframe</w:t>
      </w:r>
      <w:r w:rsidR="00290521" w:rsidRPr="003A173C">
        <w:rPr>
          <w:rFonts w:cs="Calibri"/>
          <w:szCs w:val="20"/>
        </w:rPr>
        <w:t>.</w:t>
      </w:r>
    </w:p>
    <w:p w14:paraId="3C137093" w14:textId="683D6C1A" w:rsidR="00A40153" w:rsidRPr="003A173C" w:rsidRDefault="00A40153" w:rsidP="00A11A11">
      <w:pPr>
        <w:spacing w:before="0" w:after="200"/>
        <w:rPr>
          <w:rFonts w:cs="Calibri"/>
          <w:szCs w:val="20"/>
        </w:rPr>
      </w:pPr>
      <w:r w:rsidRPr="003A173C">
        <w:rPr>
          <w:rFonts w:cs="Calibri"/>
          <w:szCs w:val="20"/>
        </w:rPr>
        <w:t xml:space="preserve">A person who is hospitalised and </w:t>
      </w:r>
      <w:r w:rsidR="00820C83" w:rsidRPr="003A173C">
        <w:rPr>
          <w:rFonts w:cs="Calibri"/>
          <w:szCs w:val="20"/>
        </w:rPr>
        <w:t>whose</w:t>
      </w:r>
      <w:r w:rsidRPr="003A173C">
        <w:rPr>
          <w:rFonts w:cs="Calibri"/>
          <w:szCs w:val="20"/>
        </w:rPr>
        <w:t xml:space="preserve"> episode </w:t>
      </w:r>
      <w:r w:rsidR="00820C83" w:rsidRPr="003A173C">
        <w:rPr>
          <w:rFonts w:cs="Calibri"/>
          <w:szCs w:val="20"/>
        </w:rPr>
        <w:t xml:space="preserve">has </w:t>
      </w:r>
      <w:r w:rsidRPr="003A173C">
        <w:rPr>
          <w:rFonts w:cs="Calibri"/>
          <w:szCs w:val="20"/>
        </w:rPr>
        <w:t>cease</w:t>
      </w:r>
      <w:r w:rsidR="00820C83" w:rsidRPr="003A173C">
        <w:rPr>
          <w:rFonts w:cs="Calibri"/>
          <w:szCs w:val="20"/>
        </w:rPr>
        <w:t>d</w:t>
      </w:r>
      <w:r w:rsidRPr="003A173C">
        <w:rPr>
          <w:rFonts w:cs="Calibri"/>
          <w:szCs w:val="20"/>
        </w:rPr>
        <w:t>, is able to enter a new transition care episode without the need for an additional transition care approval, if the person is subsequently able to be discharged from hospital within the</w:t>
      </w:r>
      <w:r w:rsidR="00290521" w:rsidRPr="003A173C">
        <w:rPr>
          <w:rFonts w:cs="Calibri"/>
          <w:szCs w:val="20"/>
        </w:rPr>
        <w:t xml:space="preserve">ir initial </w:t>
      </w:r>
      <w:r w:rsidR="00561EAA" w:rsidRPr="003A173C">
        <w:rPr>
          <w:rFonts w:cs="Calibri"/>
          <w:szCs w:val="20"/>
        </w:rPr>
        <w:t>aged care assess</w:t>
      </w:r>
      <w:r w:rsidR="008E3A3D" w:rsidRPr="003A173C">
        <w:rPr>
          <w:rFonts w:cs="Calibri"/>
          <w:szCs w:val="20"/>
        </w:rPr>
        <w:t xml:space="preserve">ment </w:t>
      </w:r>
      <w:r w:rsidR="00290521" w:rsidRPr="003A173C">
        <w:rPr>
          <w:rFonts w:cs="Calibri"/>
          <w:szCs w:val="20"/>
        </w:rPr>
        <w:t>transition care approval’s 28</w:t>
      </w:r>
      <w:r w:rsidR="00A75CCC" w:rsidRPr="003A173C">
        <w:rPr>
          <w:rFonts w:cs="Calibri"/>
          <w:szCs w:val="20"/>
        </w:rPr>
        <w:t> </w:t>
      </w:r>
      <w:r w:rsidR="00290521" w:rsidRPr="003A173C">
        <w:rPr>
          <w:rFonts w:cs="Calibri"/>
          <w:szCs w:val="20"/>
        </w:rPr>
        <w:t>day/</w:t>
      </w:r>
      <w:r w:rsidR="009E100E" w:rsidRPr="003A173C">
        <w:rPr>
          <w:rFonts w:cs="Calibri"/>
          <w:szCs w:val="20"/>
        </w:rPr>
        <w:t>four-week</w:t>
      </w:r>
      <w:r w:rsidR="00290521" w:rsidRPr="003A173C">
        <w:rPr>
          <w:rFonts w:cs="Calibri"/>
          <w:szCs w:val="20"/>
        </w:rPr>
        <w:t xml:space="preserve"> </w:t>
      </w:r>
      <w:r w:rsidRPr="003A173C">
        <w:rPr>
          <w:rFonts w:cs="Calibri"/>
          <w:szCs w:val="20"/>
        </w:rPr>
        <w:t>entry period</w:t>
      </w:r>
      <w:r w:rsidR="00290521" w:rsidRPr="003A173C">
        <w:rPr>
          <w:rFonts w:cs="Calibri"/>
          <w:szCs w:val="20"/>
        </w:rPr>
        <w:t>, if clinically appropriate.</w:t>
      </w:r>
    </w:p>
    <w:p w14:paraId="442E458B" w14:textId="696B4D5A" w:rsidR="00605BA0" w:rsidRPr="003A173C" w:rsidRDefault="00605BA0" w:rsidP="00817F7C">
      <w:pPr>
        <w:spacing w:before="0" w:after="200"/>
        <w:rPr>
          <w:rFonts w:cs="Calibri"/>
          <w:szCs w:val="20"/>
        </w:rPr>
      </w:pPr>
      <w:r w:rsidRPr="003A173C">
        <w:rPr>
          <w:rFonts w:cs="Calibri"/>
          <w:szCs w:val="20"/>
        </w:rPr>
        <w:t xml:space="preserve">An </w:t>
      </w:r>
      <w:r w:rsidR="0008224D" w:rsidRPr="003A173C">
        <w:rPr>
          <w:rFonts w:cs="Calibri"/>
          <w:szCs w:val="20"/>
        </w:rPr>
        <w:t>assessment organisation</w:t>
      </w:r>
      <w:r w:rsidR="00F575B2" w:rsidRPr="003A173C">
        <w:rPr>
          <w:rFonts w:cs="Calibri"/>
          <w:szCs w:val="20"/>
        </w:rPr>
        <w:t>’s</w:t>
      </w:r>
      <w:r w:rsidRPr="003A173C">
        <w:rPr>
          <w:rFonts w:cs="Calibri"/>
          <w:szCs w:val="20"/>
        </w:rPr>
        <w:t xml:space="preserve"> re-assessment is only required if the </w:t>
      </w:r>
      <w:r w:rsidR="00E16A2C" w:rsidRPr="003A173C">
        <w:rPr>
          <w:rFonts w:cs="Calibri"/>
          <w:szCs w:val="20"/>
        </w:rPr>
        <w:t>individual</w:t>
      </w:r>
      <w:r w:rsidRPr="003A173C">
        <w:rPr>
          <w:rFonts w:cs="Calibri"/>
          <w:szCs w:val="20"/>
        </w:rPr>
        <w:t xml:space="preserve"> wishes to re-enter the </w:t>
      </w:r>
      <w:r w:rsidR="00B505C7" w:rsidRPr="003A173C">
        <w:rPr>
          <w:rFonts w:cs="Calibri"/>
          <w:szCs w:val="20"/>
        </w:rPr>
        <w:t>program</w:t>
      </w:r>
      <w:r w:rsidRPr="003A173C">
        <w:rPr>
          <w:rFonts w:cs="Calibri"/>
          <w:szCs w:val="20"/>
        </w:rPr>
        <w:t xml:space="preserve"> after the </w:t>
      </w:r>
      <w:r w:rsidR="009E100E" w:rsidRPr="003A173C">
        <w:rPr>
          <w:rFonts w:cs="Calibri"/>
          <w:szCs w:val="20"/>
        </w:rPr>
        <w:t>four-week</w:t>
      </w:r>
      <w:r w:rsidRPr="003A173C">
        <w:rPr>
          <w:rFonts w:cs="Calibri"/>
          <w:szCs w:val="20"/>
        </w:rPr>
        <w:t xml:space="preserve"> entry period has expired, </w:t>
      </w:r>
      <w:r w:rsidR="00891322" w:rsidRPr="003A173C">
        <w:rPr>
          <w:rFonts w:cs="Calibri"/>
          <w:szCs w:val="20"/>
        </w:rPr>
        <w:t xml:space="preserve">or where the </w:t>
      </w:r>
      <w:r w:rsidR="0008224D" w:rsidRPr="003A173C">
        <w:rPr>
          <w:rFonts w:cs="Calibri"/>
          <w:szCs w:val="20"/>
        </w:rPr>
        <w:t xml:space="preserve">aged care </w:t>
      </w:r>
      <w:r w:rsidR="001C19B7" w:rsidRPr="003A173C">
        <w:rPr>
          <w:rFonts w:cs="Calibri"/>
          <w:szCs w:val="20"/>
        </w:rPr>
        <w:t xml:space="preserve">assessment </w:t>
      </w:r>
      <w:r w:rsidR="00891322" w:rsidRPr="003A173C">
        <w:rPr>
          <w:rFonts w:cs="Calibri"/>
          <w:szCs w:val="20"/>
        </w:rPr>
        <w:t xml:space="preserve">is still valid but </w:t>
      </w:r>
      <w:r w:rsidRPr="003A173C">
        <w:rPr>
          <w:rFonts w:cs="Calibri"/>
          <w:szCs w:val="20"/>
        </w:rPr>
        <w:t xml:space="preserve">the re-admission to hospital may have changed the person’s </w:t>
      </w:r>
      <w:r w:rsidR="002C6B8E" w:rsidRPr="003A173C">
        <w:rPr>
          <w:rFonts w:cs="Calibri"/>
          <w:szCs w:val="20"/>
        </w:rPr>
        <w:t>care needs</w:t>
      </w:r>
      <w:r w:rsidRPr="003A173C">
        <w:rPr>
          <w:rFonts w:cs="Calibri"/>
          <w:szCs w:val="20"/>
        </w:rPr>
        <w:t xml:space="preserve"> </w:t>
      </w:r>
      <w:r w:rsidR="00F575B2" w:rsidRPr="003A173C">
        <w:rPr>
          <w:rFonts w:cs="Calibri"/>
          <w:szCs w:val="20"/>
        </w:rPr>
        <w:t xml:space="preserve">significantly (as to be determined by the assessment organisation) </w:t>
      </w:r>
      <w:r w:rsidRPr="003A173C">
        <w:rPr>
          <w:rFonts w:cs="Calibri"/>
          <w:szCs w:val="20"/>
        </w:rPr>
        <w:t>since the last approval for transition care services.</w:t>
      </w:r>
    </w:p>
    <w:p w14:paraId="3E2EC375" w14:textId="13779C6F" w:rsidR="00605BA0" w:rsidRPr="00721280" w:rsidRDefault="00605BA0" w:rsidP="008974DB">
      <w:pPr>
        <w:pStyle w:val="Style3"/>
      </w:pPr>
      <w:bookmarkStart w:id="963" w:name="_Toc395537192"/>
      <w:bookmarkStart w:id="964" w:name="_Toc422732549"/>
      <w:bookmarkStart w:id="965" w:name="_Toc422752889"/>
      <w:bookmarkStart w:id="966" w:name="_Toc216865481"/>
      <w:r w:rsidRPr="003A173C">
        <w:t>Extensions</w:t>
      </w:r>
      <w:bookmarkEnd w:id="940"/>
      <w:bookmarkEnd w:id="941"/>
      <w:bookmarkEnd w:id="963"/>
      <w:bookmarkEnd w:id="964"/>
      <w:bookmarkEnd w:id="965"/>
      <w:bookmarkEnd w:id="966"/>
    </w:p>
    <w:p w14:paraId="230D30CE" w14:textId="6CF86439" w:rsidR="00605BA0" w:rsidRPr="003A173C" w:rsidRDefault="00605BA0" w:rsidP="561333B1">
      <w:pPr>
        <w:spacing w:before="0" w:after="160" w:line="257" w:lineRule="auto"/>
        <w:rPr>
          <w:rFonts w:cs="Calibri"/>
          <w:spacing w:val="-4"/>
        </w:rPr>
      </w:pPr>
      <w:r w:rsidRPr="003A173C">
        <w:rPr>
          <w:rFonts w:cs="Calibri"/>
          <w:spacing w:val="-4"/>
        </w:rPr>
        <w:t>In exceptional circumstances, a</w:t>
      </w:r>
      <w:r w:rsidR="00806950" w:rsidRPr="003A173C">
        <w:rPr>
          <w:rFonts w:cs="Calibri"/>
          <w:spacing w:val="-4"/>
        </w:rPr>
        <w:t>n</w:t>
      </w:r>
      <w:r w:rsidRPr="003A173C">
        <w:rPr>
          <w:rFonts w:cs="Calibri"/>
          <w:spacing w:val="-4"/>
        </w:rPr>
        <w:t xml:space="preserve"> </w:t>
      </w:r>
      <w:r w:rsidR="00E16A2C" w:rsidRPr="003A173C">
        <w:rPr>
          <w:rFonts w:cs="Calibri"/>
          <w:spacing w:val="-4"/>
        </w:rPr>
        <w:t>individual</w:t>
      </w:r>
      <w:r w:rsidRPr="003A173C">
        <w:rPr>
          <w:rFonts w:cs="Calibri"/>
          <w:spacing w:val="-4"/>
        </w:rPr>
        <w:t xml:space="preserve"> may require an extension to a transition care episode where their care will need to exceed the </w:t>
      </w:r>
      <w:r w:rsidR="0064270C" w:rsidRPr="003A173C">
        <w:rPr>
          <w:rFonts w:cs="Calibri"/>
          <w:spacing w:val="-4"/>
        </w:rPr>
        <w:t>12-week</w:t>
      </w:r>
      <w:r w:rsidRPr="003A173C">
        <w:rPr>
          <w:rFonts w:cs="Calibri"/>
          <w:spacing w:val="-4"/>
        </w:rPr>
        <w:t xml:space="preserve"> maximum. To apply for an extension, the </w:t>
      </w:r>
      <w:r w:rsidRPr="003A173C">
        <w:rPr>
          <w:rFonts w:cs="Calibri"/>
        </w:rPr>
        <w:t xml:space="preserve">registered provider must </w:t>
      </w:r>
      <w:r w:rsidR="00A562BA" w:rsidRPr="003A173C">
        <w:rPr>
          <w:rFonts w:cs="Calibri"/>
        </w:rPr>
        <w:t>lodge</w:t>
      </w:r>
      <w:r w:rsidRPr="003A173C">
        <w:rPr>
          <w:rFonts w:cs="Calibri"/>
        </w:rPr>
        <w:t xml:space="preserve"> a Transition Care Extension </w:t>
      </w:r>
      <w:r w:rsidR="00E01B52" w:rsidRPr="003A173C">
        <w:rPr>
          <w:rFonts w:cs="Calibri"/>
        </w:rPr>
        <w:t>Request</w:t>
      </w:r>
      <w:r w:rsidRPr="003A173C">
        <w:rPr>
          <w:rFonts w:cs="Calibri"/>
        </w:rPr>
        <w:t xml:space="preserve"> </w:t>
      </w:r>
      <w:r w:rsidR="00390B3F" w:rsidRPr="003A173C">
        <w:rPr>
          <w:rFonts w:cs="Calibri"/>
        </w:rPr>
        <w:t xml:space="preserve">through </w:t>
      </w:r>
      <w:r w:rsidR="00390B3F" w:rsidRPr="003A173C">
        <w:rPr>
          <w:rFonts w:eastAsia="Calibri" w:cs="Calibri"/>
        </w:rPr>
        <w:t xml:space="preserve">the </w:t>
      </w:r>
      <w:hyperlink r:id="rId46" w:history="1">
        <w:r w:rsidR="3CDCBE64" w:rsidRPr="003A173C">
          <w:rPr>
            <w:rStyle w:val="Hyperlink"/>
            <w:rFonts w:ascii="Calibri" w:eastAsia="Calibri" w:hAnsi="Calibri" w:cs="Calibri"/>
            <w:color w:val="467886"/>
            <w:sz w:val="20"/>
            <w:szCs w:val="20"/>
          </w:rPr>
          <w:t xml:space="preserve">My Aged Care Service and Support Portal </w:t>
        </w:r>
      </w:hyperlink>
      <w:r w:rsidRPr="003A173C">
        <w:rPr>
          <w:rFonts w:cs="Calibri"/>
          <w:spacing w:val="-4"/>
        </w:rPr>
        <w:t xml:space="preserve">with the </w:t>
      </w:r>
      <w:r w:rsidR="00E16A2C" w:rsidRPr="003A173C">
        <w:rPr>
          <w:rFonts w:cs="Calibri"/>
          <w:spacing w:val="-4"/>
        </w:rPr>
        <w:t>individual</w:t>
      </w:r>
      <w:r w:rsidRPr="003A173C">
        <w:rPr>
          <w:rFonts w:cs="Calibri"/>
          <w:spacing w:val="-4"/>
        </w:rPr>
        <w:t xml:space="preserve"> (or </w:t>
      </w:r>
      <w:r w:rsidR="00DE0408" w:rsidRPr="003A173C">
        <w:rPr>
          <w:rFonts w:cs="Calibri"/>
          <w:spacing w:val="-4"/>
        </w:rPr>
        <w:t xml:space="preserve">their </w:t>
      </w:r>
      <w:r w:rsidR="001210DB" w:rsidRPr="003A173C">
        <w:rPr>
          <w:rFonts w:cs="Calibri"/>
          <w:spacing w:val="-4"/>
        </w:rPr>
        <w:t>supporter</w:t>
      </w:r>
      <w:r w:rsidRPr="003A173C">
        <w:rPr>
          <w:rFonts w:cs="Calibri"/>
          <w:spacing w:val="-4"/>
        </w:rPr>
        <w:t>)</w:t>
      </w:r>
      <w:r w:rsidR="00390B3F" w:rsidRPr="003A173C">
        <w:rPr>
          <w:rFonts w:cs="Calibri"/>
          <w:spacing w:val="-4"/>
        </w:rPr>
        <w:t>,</w:t>
      </w:r>
      <w:r w:rsidRPr="003A173C">
        <w:rPr>
          <w:rFonts w:cs="Calibri"/>
          <w:spacing w:val="-4"/>
        </w:rPr>
        <w:t xml:space="preserve"> within the initial </w:t>
      </w:r>
      <w:r w:rsidR="0064270C" w:rsidRPr="003A173C">
        <w:rPr>
          <w:rFonts w:cs="Calibri"/>
          <w:spacing w:val="-4"/>
        </w:rPr>
        <w:t>12-week</w:t>
      </w:r>
      <w:r w:rsidRPr="003A173C">
        <w:rPr>
          <w:rFonts w:cs="Calibri"/>
          <w:spacing w:val="-4"/>
        </w:rPr>
        <w:t xml:space="preserve"> episode of transition care.</w:t>
      </w:r>
      <w:r w:rsidR="001210DB" w:rsidRPr="003A173C">
        <w:rPr>
          <w:rFonts w:cs="Calibri"/>
          <w:spacing w:val="-4"/>
        </w:rPr>
        <w:t xml:space="preserve"> This will be an application for an </w:t>
      </w:r>
      <w:r w:rsidR="001E7F0C" w:rsidRPr="003A173C">
        <w:rPr>
          <w:rFonts w:cs="Calibri"/>
          <w:spacing w:val="-4"/>
        </w:rPr>
        <w:t>extension</w:t>
      </w:r>
      <w:r w:rsidR="001210DB" w:rsidRPr="003A173C">
        <w:rPr>
          <w:rFonts w:cs="Calibri"/>
          <w:spacing w:val="-4"/>
        </w:rPr>
        <w:t xml:space="preserve"> </w:t>
      </w:r>
      <w:r w:rsidR="006A228B" w:rsidRPr="003A173C">
        <w:rPr>
          <w:rFonts w:cs="Calibri"/>
          <w:spacing w:val="-4"/>
        </w:rPr>
        <w:t xml:space="preserve">in the approved form </w:t>
      </w:r>
      <w:r w:rsidR="001210DB" w:rsidRPr="003A173C">
        <w:rPr>
          <w:rFonts w:cs="Calibri"/>
          <w:spacing w:val="-4"/>
        </w:rPr>
        <w:t xml:space="preserve">under section </w:t>
      </w:r>
      <w:r w:rsidR="001E7F0C" w:rsidRPr="003A173C">
        <w:rPr>
          <w:rFonts w:cs="Calibri"/>
          <w:spacing w:val="-4"/>
        </w:rPr>
        <w:t>80-65</w:t>
      </w:r>
      <w:r w:rsidR="001210DB" w:rsidRPr="003A173C">
        <w:rPr>
          <w:rFonts w:cs="Calibri"/>
          <w:spacing w:val="-4"/>
        </w:rPr>
        <w:t xml:space="preserve"> of the </w:t>
      </w:r>
      <w:r w:rsidR="001E7F0C" w:rsidRPr="003A173C">
        <w:rPr>
          <w:rFonts w:cs="Calibri"/>
          <w:spacing w:val="-4"/>
        </w:rPr>
        <w:t>Rules</w:t>
      </w:r>
      <w:r w:rsidR="00080FA9" w:rsidRPr="003A173C">
        <w:rPr>
          <w:rFonts w:cs="Calibri"/>
          <w:spacing w:val="-4"/>
        </w:rPr>
        <w:t>.</w:t>
      </w:r>
      <w:r w:rsidRPr="003A173C">
        <w:rPr>
          <w:rFonts w:cs="Calibri"/>
          <w:spacing w:val="-4"/>
        </w:rPr>
        <w:t xml:space="preserve"> Once the provider has completed the </w:t>
      </w:r>
      <w:r w:rsidR="00481C4B" w:rsidRPr="003A173C">
        <w:rPr>
          <w:rFonts w:cs="Calibri"/>
          <w:spacing w:val="-4"/>
        </w:rPr>
        <w:t>r</w:t>
      </w:r>
      <w:r w:rsidR="00FD0624" w:rsidRPr="003A173C">
        <w:rPr>
          <w:rFonts w:cs="Calibri"/>
          <w:spacing w:val="-4"/>
        </w:rPr>
        <w:t>equest</w:t>
      </w:r>
      <w:r w:rsidR="00DE0408" w:rsidRPr="003A173C">
        <w:rPr>
          <w:rFonts w:cs="Calibri"/>
          <w:spacing w:val="-4"/>
        </w:rPr>
        <w:t>,</w:t>
      </w:r>
      <w:r w:rsidR="00481C4B" w:rsidRPr="003A173C">
        <w:rPr>
          <w:rFonts w:cs="Calibri"/>
          <w:spacing w:val="-4"/>
        </w:rPr>
        <w:t xml:space="preserve"> </w:t>
      </w:r>
      <w:r w:rsidRPr="003A173C">
        <w:rPr>
          <w:rFonts w:cs="Calibri"/>
          <w:spacing w:val="-4"/>
        </w:rPr>
        <w:t>it</w:t>
      </w:r>
      <w:r w:rsidR="00952A60" w:rsidRPr="003A173C">
        <w:rPr>
          <w:rFonts w:cs="Calibri"/>
          <w:spacing w:val="-4"/>
        </w:rPr>
        <w:t xml:space="preserve"> will be forwarded</w:t>
      </w:r>
      <w:r w:rsidRPr="003A173C">
        <w:rPr>
          <w:rFonts w:cs="Calibri"/>
          <w:spacing w:val="-4"/>
        </w:rPr>
        <w:t xml:space="preserve"> to </w:t>
      </w:r>
      <w:r w:rsidR="00390B3F" w:rsidRPr="003A173C">
        <w:rPr>
          <w:rFonts w:cs="Calibri"/>
          <w:spacing w:val="-4"/>
        </w:rPr>
        <w:t>the</w:t>
      </w:r>
      <w:r w:rsidRPr="003A173C">
        <w:rPr>
          <w:rFonts w:cs="Calibri"/>
          <w:spacing w:val="-4"/>
        </w:rPr>
        <w:t xml:space="preserve"> </w:t>
      </w:r>
      <w:r w:rsidR="000755E6" w:rsidRPr="003A173C">
        <w:rPr>
          <w:rFonts w:cs="Calibri"/>
          <w:spacing w:val="-4"/>
        </w:rPr>
        <w:t>a</w:t>
      </w:r>
      <w:r w:rsidR="00D34D3C" w:rsidRPr="003A173C">
        <w:rPr>
          <w:rFonts w:cs="Calibri"/>
          <w:spacing w:val="-4"/>
        </w:rPr>
        <w:t xml:space="preserve">ssessment </w:t>
      </w:r>
      <w:r w:rsidR="000755E6" w:rsidRPr="003A173C">
        <w:rPr>
          <w:rFonts w:cs="Calibri"/>
          <w:spacing w:val="-4"/>
        </w:rPr>
        <w:t>o</w:t>
      </w:r>
      <w:r w:rsidR="00D34D3C" w:rsidRPr="003A173C">
        <w:rPr>
          <w:rFonts w:cs="Calibri"/>
          <w:spacing w:val="-4"/>
        </w:rPr>
        <w:t>rganisation</w:t>
      </w:r>
      <w:r w:rsidRPr="003A173C">
        <w:rPr>
          <w:rFonts w:cs="Calibri"/>
          <w:spacing w:val="-4"/>
        </w:rPr>
        <w:t xml:space="preserve"> for review</w:t>
      </w:r>
      <w:r w:rsidR="0057436F" w:rsidRPr="003A173C">
        <w:rPr>
          <w:rFonts w:cs="Calibri"/>
          <w:spacing w:val="-4"/>
        </w:rPr>
        <w:t xml:space="preserve">. </w:t>
      </w:r>
      <w:r w:rsidR="009D575F" w:rsidRPr="003A173C">
        <w:rPr>
          <w:rFonts w:cs="Calibri"/>
          <w:spacing w:val="-4"/>
        </w:rPr>
        <w:t xml:space="preserve">The clinical aged care needs assessor </w:t>
      </w:r>
      <w:r w:rsidR="00595C1D" w:rsidRPr="003A173C">
        <w:rPr>
          <w:rFonts w:cs="Calibri"/>
          <w:spacing w:val="-4"/>
        </w:rPr>
        <w:t>needs to be satisfied t</w:t>
      </w:r>
      <w:r w:rsidR="00B95E58" w:rsidRPr="003A173C">
        <w:rPr>
          <w:rFonts w:cs="Calibri"/>
          <w:spacing w:val="-4"/>
        </w:rPr>
        <w:t xml:space="preserve">hat the client has further therapeutic </w:t>
      </w:r>
      <w:r w:rsidR="00DE0408" w:rsidRPr="003A173C">
        <w:rPr>
          <w:rFonts w:cs="Calibri"/>
          <w:spacing w:val="-4"/>
        </w:rPr>
        <w:t>care</w:t>
      </w:r>
      <w:r w:rsidR="00B95E58" w:rsidRPr="003A173C">
        <w:rPr>
          <w:rFonts w:cs="Calibri"/>
          <w:spacing w:val="-4"/>
        </w:rPr>
        <w:t xml:space="preserve"> needs and wishes to continue transition care</w:t>
      </w:r>
      <w:r w:rsidR="008C0014" w:rsidRPr="003A173C">
        <w:rPr>
          <w:rFonts w:cs="Calibri"/>
          <w:spacing w:val="-4"/>
        </w:rPr>
        <w:t>.</w:t>
      </w:r>
      <w:r w:rsidR="009C7C12" w:rsidRPr="003A173C">
        <w:rPr>
          <w:rFonts w:cs="Calibri"/>
          <w:spacing w:val="-4"/>
        </w:rPr>
        <w:t xml:space="preserve"> The assessment delegate will determine whether to grant the extension and specifies the number of days of extension</w:t>
      </w:r>
      <w:r w:rsidR="00BF4F32" w:rsidRPr="003A173C">
        <w:rPr>
          <w:rFonts w:cs="Calibri"/>
          <w:spacing w:val="-4"/>
        </w:rPr>
        <w:t>.</w:t>
      </w:r>
      <w:r w:rsidR="006A228B" w:rsidRPr="003A173C">
        <w:rPr>
          <w:rFonts w:cs="Calibri"/>
          <w:spacing w:val="-4"/>
        </w:rPr>
        <w:t xml:space="preserve"> </w:t>
      </w:r>
    </w:p>
    <w:p w14:paraId="4C160562" w14:textId="59264F40" w:rsidR="00605BA0" w:rsidRPr="003A173C" w:rsidRDefault="00AE02F1" w:rsidP="00CC6AD2">
      <w:pPr>
        <w:spacing w:before="0" w:after="200"/>
        <w:rPr>
          <w:rFonts w:cs="Calibri"/>
          <w:spacing w:val="-4"/>
          <w:szCs w:val="20"/>
        </w:rPr>
      </w:pPr>
      <w:r w:rsidRPr="003A173C">
        <w:rPr>
          <w:rFonts w:cs="Calibri"/>
          <w:spacing w:val="-4"/>
          <w:szCs w:val="20"/>
        </w:rPr>
        <w:t>An a</w:t>
      </w:r>
      <w:r w:rsidR="000755E6" w:rsidRPr="003A173C">
        <w:rPr>
          <w:rFonts w:cs="Calibri"/>
          <w:spacing w:val="-4"/>
          <w:szCs w:val="20"/>
        </w:rPr>
        <w:t>ssess</w:t>
      </w:r>
      <w:r w:rsidR="0063679B" w:rsidRPr="003A173C">
        <w:rPr>
          <w:rFonts w:cs="Calibri"/>
          <w:spacing w:val="-4"/>
          <w:szCs w:val="20"/>
        </w:rPr>
        <w:t xml:space="preserve">ment </w:t>
      </w:r>
      <w:r w:rsidR="00C90C69" w:rsidRPr="003A173C">
        <w:rPr>
          <w:rFonts w:cs="Calibri"/>
          <w:spacing w:val="-4"/>
          <w:szCs w:val="20"/>
        </w:rPr>
        <w:t>delegate</w:t>
      </w:r>
      <w:r w:rsidR="0063679B" w:rsidRPr="003A173C">
        <w:rPr>
          <w:rFonts w:cs="Calibri"/>
          <w:spacing w:val="-4"/>
          <w:szCs w:val="20"/>
        </w:rPr>
        <w:t xml:space="preserve"> </w:t>
      </w:r>
      <w:r w:rsidR="00605BA0" w:rsidRPr="003A173C">
        <w:rPr>
          <w:rFonts w:cs="Calibri"/>
          <w:spacing w:val="-4"/>
          <w:szCs w:val="20"/>
        </w:rPr>
        <w:t xml:space="preserve">should only grant extensions if </w:t>
      </w:r>
      <w:r w:rsidR="00E16A2C" w:rsidRPr="003A173C">
        <w:rPr>
          <w:rFonts w:cs="Calibri"/>
          <w:spacing w:val="-4"/>
          <w:szCs w:val="20"/>
        </w:rPr>
        <w:t>individual</w:t>
      </w:r>
      <w:r w:rsidR="00605BA0" w:rsidRPr="003A173C">
        <w:rPr>
          <w:rFonts w:cs="Calibri"/>
          <w:spacing w:val="-4"/>
          <w:szCs w:val="20"/>
        </w:rPr>
        <w:t>s have further therapeutic care needs and wish to receive further transition care to achieve a better outcome.</w:t>
      </w:r>
      <w:r w:rsidR="008016AE" w:rsidRPr="003A173C">
        <w:rPr>
          <w:rFonts w:cs="Calibri"/>
          <w:spacing w:val="-4"/>
          <w:szCs w:val="20"/>
        </w:rPr>
        <w:t xml:space="preserve"> </w:t>
      </w:r>
      <w:r w:rsidR="00605BA0" w:rsidRPr="003A173C">
        <w:rPr>
          <w:rFonts w:cs="Calibri"/>
          <w:spacing w:val="-4"/>
          <w:szCs w:val="20"/>
        </w:rPr>
        <w:t>A</w:t>
      </w:r>
      <w:r w:rsidR="000540C2" w:rsidRPr="003A173C">
        <w:rPr>
          <w:rFonts w:cs="Calibri"/>
          <w:spacing w:val="-4"/>
          <w:szCs w:val="20"/>
        </w:rPr>
        <w:t> </w:t>
      </w:r>
      <w:r w:rsidR="00605BA0" w:rsidRPr="003A173C">
        <w:rPr>
          <w:rFonts w:cs="Calibri"/>
          <w:spacing w:val="-4"/>
          <w:szCs w:val="20"/>
        </w:rPr>
        <w:t>transition care episode can only be extended by up to 42 days (6 weeks).</w:t>
      </w:r>
      <w:r w:rsidR="008016AE" w:rsidRPr="003A173C">
        <w:rPr>
          <w:rFonts w:cs="Calibri"/>
          <w:spacing w:val="-4"/>
          <w:szCs w:val="20"/>
        </w:rPr>
        <w:t xml:space="preserve"> </w:t>
      </w:r>
      <w:r w:rsidR="00605BA0" w:rsidRPr="003A173C">
        <w:rPr>
          <w:rFonts w:cs="Calibri"/>
          <w:spacing w:val="-4"/>
          <w:szCs w:val="20"/>
        </w:rPr>
        <w:t xml:space="preserve">It is possible to have more than one extension </w:t>
      </w:r>
      <w:r w:rsidR="0064270C" w:rsidRPr="003A173C">
        <w:rPr>
          <w:rFonts w:cs="Calibri"/>
          <w:spacing w:val="-4"/>
          <w:szCs w:val="20"/>
        </w:rPr>
        <w:t>if</w:t>
      </w:r>
      <w:r w:rsidR="00605BA0" w:rsidRPr="003A173C">
        <w:rPr>
          <w:rFonts w:cs="Calibri"/>
          <w:spacing w:val="-4"/>
          <w:szCs w:val="20"/>
        </w:rPr>
        <w:t xml:space="preserve"> the total number of days does not exceed 42</w:t>
      </w:r>
      <w:r w:rsidR="00A75CCC" w:rsidRPr="003A173C">
        <w:rPr>
          <w:rFonts w:cs="Calibri"/>
          <w:spacing w:val="-4"/>
          <w:szCs w:val="20"/>
        </w:rPr>
        <w:t> </w:t>
      </w:r>
      <w:r w:rsidR="00605BA0" w:rsidRPr="003A173C">
        <w:rPr>
          <w:rFonts w:cs="Calibri"/>
          <w:spacing w:val="-4"/>
          <w:szCs w:val="20"/>
        </w:rPr>
        <w:t>days (6</w:t>
      </w:r>
      <w:r w:rsidR="00A75CCC" w:rsidRPr="003A173C">
        <w:rPr>
          <w:rFonts w:cs="Calibri"/>
          <w:spacing w:val="-4"/>
          <w:szCs w:val="20"/>
        </w:rPr>
        <w:t> </w:t>
      </w:r>
      <w:r w:rsidR="00605BA0" w:rsidRPr="003A173C">
        <w:rPr>
          <w:rFonts w:cs="Calibri"/>
          <w:spacing w:val="-4"/>
          <w:szCs w:val="20"/>
        </w:rPr>
        <w:t>weeks).</w:t>
      </w:r>
      <w:r w:rsidR="008016AE" w:rsidRPr="003A173C">
        <w:rPr>
          <w:rFonts w:cs="Calibri"/>
          <w:spacing w:val="-4"/>
          <w:szCs w:val="20"/>
        </w:rPr>
        <w:t xml:space="preserve"> </w:t>
      </w:r>
      <w:r w:rsidR="00605BA0" w:rsidRPr="003A173C">
        <w:rPr>
          <w:rFonts w:cs="Calibri"/>
          <w:spacing w:val="-4"/>
          <w:szCs w:val="20"/>
        </w:rPr>
        <w:t>For</w:t>
      </w:r>
      <w:r w:rsidR="000540C2" w:rsidRPr="003A173C">
        <w:rPr>
          <w:rFonts w:cs="Calibri"/>
          <w:spacing w:val="-4"/>
          <w:szCs w:val="20"/>
        </w:rPr>
        <w:t> </w:t>
      </w:r>
      <w:r w:rsidR="00605BA0" w:rsidRPr="003A173C">
        <w:rPr>
          <w:rFonts w:cs="Calibri"/>
          <w:spacing w:val="-4"/>
          <w:szCs w:val="20"/>
        </w:rPr>
        <w:t xml:space="preserve">example, if an </w:t>
      </w:r>
      <w:r w:rsidR="00C90C69" w:rsidRPr="003A173C">
        <w:rPr>
          <w:rFonts w:cs="Calibri"/>
          <w:spacing w:val="-4"/>
          <w:szCs w:val="20"/>
        </w:rPr>
        <w:t>asses</w:t>
      </w:r>
      <w:r w:rsidR="004C334F" w:rsidRPr="003A173C">
        <w:rPr>
          <w:rFonts w:cs="Calibri"/>
          <w:spacing w:val="-4"/>
          <w:szCs w:val="20"/>
        </w:rPr>
        <w:t>s</w:t>
      </w:r>
      <w:r w:rsidR="00C90C69" w:rsidRPr="003A173C">
        <w:rPr>
          <w:rFonts w:cs="Calibri"/>
          <w:spacing w:val="-4"/>
          <w:szCs w:val="20"/>
        </w:rPr>
        <w:t>ment delegate</w:t>
      </w:r>
      <w:r w:rsidR="004C334F" w:rsidRPr="003A173C">
        <w:rPr>
          <w:rFonts w:cs="Calibri"/>
          <w:spacing w:val="-4"/>
          <w:szCs w:val="20"/>
        </w:rPr>
        <w:t xml:space="preserve"> </w:t>
      </w:r>
      <w:r w:rsidR="00605BA0" w:rsidRPr="003A173C">
        <w:rPr>
          <w:rFonts w:cs="Calibri"/>
          <w:spacing w:val="-4"/>
          <w:szCs w:val="20"/>
        </w:rPr>
        <w:t>has only granted an extension of 20 days, it is possible to grant another extension of up to 22 days.</w:t>
      </w:r>
    </w:p>
    <w:p w14:paraId="03D96370" w14:textId="2DBB23CA" w:rsidR="00605BA0" w:rsidRPr="003A173C" w:rsidRDefault="00605BA0" w:rsidP="00CC6AD2">
      <w:pPr>
        <w:spacing w:before="0" w:after="200"/>
        <w:rPr>
          <w:rFonts w:cs="Calibri"/>
          <w:spacing w:val="-4"/>
          <w:szCs w:val="20"/>
        </w:rPr>
      </w:pPr>
      <w:r w:rsidRPr="003A173C">
        <w:rPr>
          <w:rFonts w:cs="Calibri"/>
          <w:spacing w:val="-4"/>
          <w:szCs w:val="20"/>
        </w:rPr>
        <w:t xml:space="preserve">Based on the information provided by the service provider, and other sources such as the </w:t>
      </w:r>
      <w:r w:rsidR="00E16A2C" w:rsidRPr="003A173C">
        <w:rPr>
          <w:rFonts w:cs="Calibri"/>
          <w:spacing w:val="-4"/>
          <w:szCs w:val="20"/>
        </w:rPr>
        <w:t>individual</w:t>
      </w:r>
      <w:r w:rsidRPr="003A173C">
        <w:rPr>
          <w:rFonts w:cs="Calibri"/>
          <w:spacing w:val="-4"/>
          <w:szCs w:val="20"/>
        </w:rPr>
        <w:t xml:space="preserve"> an</w:t>
      </w:r>
      <w:r w:rsidR="002C6B8E" w:rsidRPr="003A173C">
        <w:rPr>
          <w:rFonts w:cs="Calibri"/>
          <w:spacing w:val="-4"/>
          <w:szCs w:val="20"/>
        </w:rPr>
        <w:t>d relevant health professionals</w:t>
      </w:r>
      <w:r w:rsidRPr="003A173C">
        <w:rPr>
          <w:rFonts w:cs="Calibri"/>
          <w:spacing w:val="-4"/>
          <w:szCs w:val="20"/>
        </w:rPr>
        <w:t xml:space="preserve">, the </w:t>
      </w:r>
      <w:r w:rsidR="009303C1" w:rsidRPr="003A173C">
        <w:rPr>
          <w:rFonts w:cs="Calibri"/>
          <w:spacing w:val="-4"/>
          <w:szCs w:val="20"/>
        </w:rPr>
        <w:t xml:space="preserve">assessment delegate </w:t>
      </w:r>
      <w:r w:rsidRPr="003A173C">
        <w:rPr>
          <w:rFonts w:cs="Calibri"/>
          <w:spacing w:val="-4"/>
          <w:szCs w:val="20"/>
        </w:rPr>
        <w:t xml:space="preserve">will </w:t>
      </w:r>
      <w:r w:rsidR="009303C1" w:rsidRPr="003A173C">
        <w:rPr>
          <w:rFonts w:cs="Calibri"/>
          <w:spacing w:val="-4"/>
          <w:szCs w:val="20"/>
        </w:rPr>
        <w:t>decide</w:t>
      </w:r>
      <w:r w:rsidRPr="003A173C">
        <w:rPr>
          <w:rFonts w:cs="Calibri"/>
          <w:spacing w:val="-4"/>
          <w:szCs w:val="20"/>
        </w:rPr>
        <w:t xml:space="preserve"> </w:t>
      </w:r>
      <w:r w:rsidR="0064270C" w:rsidRPr="003A173C">
        <w:rPr>
          <w:rFonts w:cs="Calibri"/>
          <w:spacing w:val="-4"/>
          <w:szCs w:val="20"/>
        </w:rPr>
        <w:t>whether</w:t>
      </w:r>
      <w:r w:rsidRPr="003A173C">
        <w:rPr>
          <w:rFonts w:cs="Calibri"/>
          <w:spacing w:val="-4"/>
          <w:szCs w:val="20"/>
        </w:rPr>
        <w:t xml:space="preserve"> the transition care episode </w:t>
      </w:r>
      <w:r w:rsidR="00390B3F" w:rsidRPr="003A173C">
        <w:rPr>
          <w:rFonts w:cs="Calibri"/>
          <w:spacing w:val="-4"/>
          <w:szCs w:val="20"/>
        </w:rPr>
        <w:t>is to</w:t>
      </w:r>
      <w:r w:rsidRPr="003A173C">
        <w:rPr>
          <w:rFonts w:cs="Calibri"/>
          <w:spacing w:val="-4"/>
          <w:szCs w:val="20"/>
        </w:rPr>
        <w:t xml:space="preserve"> be extended</w:t>
      </w:r>
      <w:r w:rsidR="00F85A02" w:rsidRPr="003A173C">
        <w:rPr>
          <w:rFonts w:cs="Calibri"/>
          <w:spacing w:val="-4"/>
          <w:szCs w:val="20"/>
        </w:rPr>
        <w:t xml:space="preserve"> and for how long</w:t>
      </w:r>
      <w:r w:rsidRPr="003A173C">
        <w:rPr>
          <w:rFonts w:cs="Calibri"/>
          <w:spacing w:val="-4"/>
          <w:szCs w:val="20"/>
        </w:rPr>
        <w:t>.</w:t>
      </w:r>
    </w:p>
    <w:p w14:paraId="197566E0" w14:textId="7F58D88B" w:rsidR="006A228B" w:rsidRPr="003A173C" w:rsidRDefault="006A228B" w:rsidP="006A228B">
      <w:pPr>
        <w:spacing w:before="0" w:after="200"/>
        <w:rPr>
          <w:rFonts w:cs="Calibri"/>
          <w:szCs w:val="20"/>
        </w:rPr>
      </w:pPr>
      <w:r w:rsidRPr="003A173C">
        <w:rPr>
          <w:rFonts w:cs="Calibri"/>
          <w:spacing w:val="-4"/>
          <w:szCs w:val="20"/>
        </w:rPr>
        <w:t xml:space="preserve">Under section 80-65(6) of the Rules, the assessment delegate must give written notice to the registered provider of a decision for extension within 28 days after the application was made. </w:t>
      </w:r>
      <w:r w:rsidRPr="003A173C">
        <w:rPr>
          <w:rFonts w:cs="Calibri"/>
          <w:szCs w:val="20"/>
        </w:rPr>
        <w:t xml:space="preserve">The extension decision does not need to be signed by the same </w:t>
      </w:r>
      <w:r w:rsidRPr="003A173C">
        <w:rPr>
          <w:rFonts w:cs="Calibri"/>
        </w:rPr>
        <w:t>clinical aged care needs assessor</w:t>
      </w:r>
      <w:r w:rsidRPr="003A173C">
        <w:rPr>
          <w:rFonts w:cs="Calibri"/>
          <w:szCs w:val="20"/>
        </w:rPr>
        <w:t xml:space="preserve"> who undertook the initial assessment for eligibility for transition care.</w:t>
      </w:r>
    </w:p>
    <w:p w14:paraId="45C86334" w14:textId="4D6CA090" w:rsidR="00605BA0" w:rsidRPr="003A173C" w:rsidRDefault="00605BA0" w:rsidP="00490DFB">
      <w:pPr>
        <w:spacing w:before="0" w:after="60"/>
        <w:rPr>
          <w:rFonts w:cs="Calibri"/>
          <w:szCs w:val="20"/>
        </w:rPr>
      </w:pPr>
      <w:r w:rsidRPr="003A173C">
        <w:rPr>
          <w:rFonts w:cs="Calibri"/>
          <w:szCs w:val="20"/>
        </w:rPr>
        <w:t xml:space="preserve">It is not necessary for a </w:t>
      </w:r>
      <w:r w:rsidR="005D67C1" w:rsidRPr="003A173C">
        <w:rPr>
          <w:rFonts w:cs="Calibri"/>
        </w:rPr>
        <w:t>clinical aged care needs assessor</w:t>
      </w:r>
      <w:r w:rsidR="005D67C1" w:rsidRPr="003A173C" w:rsidDel="005D67C1">
        <w:rPr>
          <w:rFonts w:cs="Calibri"/>
          <w:szCs w:val="20"/>
        </w:rPr>
        <w:t xml:space="preserve"> </w:t>
      </w:r>
      <w:r w:rsidRPr="003A173C">
        <w:rPr>
          <w:rFonts w:cs="Calibri"/>
          <w:szCs w:val="20"/>
        </w:rPr>
        <w:t>to comprehensively re</w:t>
      </w:r>
      <w:r w:rsidR="00E2428F" w:rsidRPr="003A173C">
        <w:rPr>
          <w:rFonts w:cs="Calibri"/>
          <w:szCs w:val="20"/>
        </w:rPr>
        <w:noBreakHyphen/>
      </w:r>
      <w:r w:rsidRPr="003A173C">
        <w:rPr>
          <w:rFonts w:cs="Calibri"/>
          <w:szCs w:val="20"/>
        </w:rPr>
        <w:t>assess a</w:t>
      </w:r>
      <w:r w:rsidR="00917DD0" w:rsidRPr="003A173C">
        <w:rPr>
          <w:rFonts w:cs="Calibri"/>
          <w:szCs w:val="20"/>
        </w:rPr>
        <w:t>n</w:t>
      </w:r>
      <w:r w:rsidRPr="003A173C">
        <w:rPr>
          <w:rFonts w:cs="Calibri"/>
          <w:szCs w:val="20"/>
        </w:rPr>
        <w:t xml:space="preserve"> </w:t>
      </w:r>
      <w:r w:rsidR="00E16A2C" w:rsidRPr="003A173C">
        <w:rPr>
          <w:rFonts w:cs="Calibri"/>
          <w:szCs w:val="20"/>
        </w:rPr>
        <w:t>individual</w:t>
      </w:r>
      <w:r w:rsidRPr="003A173C">
        <w:rPr>
          <w:rFonts w:cs="Calibri"/>
          <w:szCs w:val="20"/>
        </w:rPr>
        <w:t xml:space="preserve"> if the </w:t>
      </w:r>
      <w:r w:rsidR="006773E0" w:rsidRPr="003A173C">
        <w:rPr>
          <w:rFonts w:cs="Calibri"/>
          <w:szCs w:val="20"/>
        </w:rPr>
        <w:t>registered</w:t>
      </w:r>
      <w:r w:rsidRPr="003A173C">
        <w:rPr>
          <w:rFonts w:cs="Calibri"/>
          <w:szCs w:val="20"/>
        </w:rPr>
        <w:t xml:space="preserve"> provider has identified that the person requires an extension and provides the following information:</w:t>
      </w:r>
    </w:p>
    <w:p w14:paraId="33929F7A" w14:textId="2D86ADF1" w:rsidR="00605BA0" w:rsidRPr="000258A9" w:rsidRDefault="00605BA0" w:rsidP="00721280">
      <w:pPr>
        <w:pStyle w:val="ListBullet"/>
      </w:pPr>
      <w:r w:rsidRPr="000258A9">
        <w:t>reasons why goals were not achieved in</w:t>
      </w:r>
      <w:r w:rsidR="00731413" w:rsidRPr="000258A9">
        <w:t xml:space="preserve"> </w:t>
      </w:r>
      <w:r w:rsidRPr="000258A9">
        <w:t>12</w:t>
      </w:r>
      <w:r w:rsidR="00E2428F" w:rsidRPr="000258A9">
        <w:t> </w:t>
      </w:r>
      <w:r w:rsidRPr="000258A9">
        <w:t>weeks;</w:t>
      </w:r>
    </w:p>
    <w:p w14:paraId="1AFCE024" w14:textId="5B588E13" w:rsidR="00605BA0" w:rsidRPr="000258A9" w:rsidRDefault="00605BA0" w:rsidP="00721280">
      <w:pPr>
        <w:pStyle w:val="ListBullet"/>
      </w:pPr>
      <w:r w:rsidRPr="000258A9">
        <w:t>physical, cognitive and psycho</w:t>
      </w:r>
      <w:r w:rsidR="00E2428F" w:rsidRPr="000258A9">
        <w:noBreakHyphen/>
      </w:r>
      <w:r w:rsidRPr="000258A9">
        <w:t xml:space="preserve">social goals the </w:t>
      </w:r>
      <w:r w:rsidR="00E16A2C" w:rsidRPr="000258A9">
        <w:t>individual</w:t>
      </w:r>
      <w:r w:rsidRPr="000258A9">
        <w:t xml:space="preserve"> would be working on during the extension;</w:t>
      </w:r>
    </w:p>
    <w:p w14:paraId="722F903A" w14:textId="6F4F5FF7" w:rsidR="00605BA0" w:rsidRPr="000258A9" w:rsidRDefault="00605BA0" w:rsidP="00721280">
      <w:pPr>
        <w:pStyle w:val="ListBullet"/>
      </w:pPr>
      <w:r w:rsidRPr="000258A9">
        <w:t xml:space="preserve">team action required to achieve </w:t>
      </w:r>
      <w:r w:rsidR="00E16A2C" w:rsidRPr="000258A9">
        <w:t>individual</w:t>
      </w:r>
      <w:r w:rsidRPr="000258A9">
        <w:t xml:space="preserve"> goals and discharge;</w:t>
      </w:r>
    </w:p>
    <w:p w14:paraId="25BD0865" w14:textId="53218A9A" w:rsidR="00605BA0" w:rsidRPr="000258A9" w:rsidRDefault="00605BA0" w:rsidP="00721280">
      <w:pPr>
        <w:pStyle w:val="ListBullet"/>
      </w:pPr>
      <w:r w:rsidRPr="000258A9">
        <w:t xml:space="preserve">action required by external services to achieve </w:t>
      </w:r>
      <w:r w:rsidR="00E16A2C" w:rsidRPr="000258A9">
        <w:t>individual</w:t>
      </w:r>
      <w:r w:rsidRPr="000258A9">
        <w:t xml:space="preserve"> goals and discharge;</w:t>
      </w:r>
    </w:p>
    <w:p w14:paraId="5FF7BFF7" w14:textId="48CF2A29" w:rsidR="00605BA0" w:rsidRPr="000258A9" w:rsidRDefault="00605BA0" w:rsidP="00721280">
      <w:pPr>
        <w:pStyle w:val="ListBullet"/>
      </w:pPr>
      <w:r w:rsidRPr="000258A9">
        <w:lastRenderedPageBreak/>
        <w:t xml:space="preserve">relevant information from other sources such as the </w:t>
      </w:r>
      <w:r w:rsidR="00E16A2C" w:rsidRPr="000258A9">
        <w:t>individual</w:t>
      </w:r>
      <w:r w:rsidRPr="000258A9">
        <w:t xml:space="preserve"> (or </w:t>
      </w:r>
      <w:r w:rsidR="001F6291" w:rsidRPr="000258A9">
        <w:t>supporters</w:t>
      </w:r>
      <w:r w:rsidRPr="000258A9">
        <w:t>) or health professionals; and</w:t>
      </w:r>
    </w:p>
    <w:p w14:paraId="3E8C4631" w14:textId="77777777" w:rsidR="00605BA0" w:rsidRPr="000258A9" w:rsidRDefault="00605BA0" w:rsidP="00721280">
      <w:pPr>
        <w:pStyle w:val="ListBullet"/>
      </w:pPr>
      <w:r w:rsidRPr="000258A9">
        <w:t>the proposed number of days of extension.</w:t>
      </w:r>
    </w:p>
    <w:p w14:paraId="266D8903" w14:textId="447E92DF" w:rsidR="00605BA0" w:rsidRPr="003A173C" w:rsidRDefault="003904E3" w:rsidP="006D21EE">
      <w:pPr>
        <w:spacing w:before="0" w:after="200"/>
        <w:rPr>
          <w:rFonts w:cs="Calibri"/>
          <w:szCs w:val="20"/>
        </w:rPr>
      </w:pPr>
      <w:r w:rsidRPr="003A173C">
        <w:rPr>
          <w:rFonts w:cs="Calibri"/>
        </w:rPr>
        <w:t>T</w:t>
      </w:r>
      <w:r w:rsidR="00605BA0" w:rsidRPr="003A173C">
        <w:rPr>
          <w:rFonts w:cs="Calibri"/>
        </w:rPr>
        <w:t xml:space="preserve">he </w:t>
      </w:r>
      <w:r w:rsidR="005D67C1" w:rsidRPr="003A173C">
        <w:rPr>
          <w:rFonts w:cs="Calibri"/>
        </w:rPr>
        <w:t>clinical aged care needs assessor</w:t>
      </w:r>
      <w:r w:rsidR="005D67C1" w:rsidRPr="003A173C" w:rsidDel="005D67C1">
        <w:rPr>
          <w:rFonts w:cs="Calibri"/>
        </w:rPr>
        <w:t xml:space="preserve"> </w:t>
      </w:r>
      <w:r w:rsidR="00605BA0" w:rsidRPr="003A173C">
        <w:rPr>
          <w:rFonts w:cs="Calibri"/>
        </w:rPr>
        <w:t>may</w:t>
      </w:r>
      <w:r w:rsidRPr="003A173C">
        <w:rPr>
          <w:rFonts w:cs="Calibri"/>
        </w:rPr>
        <w:t xml:space="preserve"> </w:t>
      </w:r>
      <w:r w:rsidR="00605BA0" w:rsidRPr="003A173C">
        <w:rPr>
          <w:rFonts w:cs="Calibri"/>
        </w:rPr>
        <w:t>undertake a comprehensive re</w:t>
      </w:r>
      <w:r w:rsidR="00E2428F" w:rsidRPr="003A173C">
        <w:rPr>
          <w:rFonts w:cs="Calibri"/>
          <w:szCs w:val="20"/>
        </w:rPr>
        <w:noBreakHyphen/>
      </w:r>
      <w:r w:rsidR="00605BA0" w:rsidRPr="003A173C">
        <w:rPr>
          <w:rFonts w:cs="Calibri"/>
        </w:rPr>
        <w:t xml:space="preserve">assessment of the </w:t>
      </w:r>
      <w:r w:rsidR="00E16A2C" w:rsidRPr="003A173C">
        <w:rPr>
          <w:rFonts w:cs="Calibri"/>
        </w:rPr>
        <w:t>individual</w:t>
      </w:r>
      <w:r w:rsidR="00605BA0" w:rsidRPr="003A173C">
        <w:rPr>
          <w:rFonts w:cs="Calibri"/>
        </w:rPr>
        <w:t xml:space="preserve"> if they are not satisfied with the information provided by the </w:t>
      </w:r>
      <w:r w:rsidR="00D40E4C" w:rsidRPr="003A173C">
        <w:rPr>
          <w:rFonts w:cs="Calibri"/>
        </w:rPr>
        <w:t>registered</w:t>
      </w:r>
      <w:r w:rsidR="00605BA0" w:rsidRPr="003A173C">
        <w:rPr>
          <w:rFonts w:cs="Calibri"/>
        </w:rPr>
        <w:t xml:space="preserve"> provider. </w:t>
      </w:r>
    </w:p>
    <w:p w14:paraId="532E0F4E" w14:textId="7689DCC5" w:rsidR="00605BA0" w:rsidRPr="003A173C" w:rsidRDefault="4D16A080" w:rsidP="00805475">
      <w:pPr>
        <w:spacing w:before="0" w:after="160" w:line="257" w:lineRule="auto"/>
        <w:rPr>
          <w:rFonts w:cs="Calibri"/>
        </w:rPr>
      </w:pPr>
      <w:r w:rsidRPr="003A173C">
        <w:rPr>
          <w:rFonts w:cs="Calibri"/>
        </w:rPr>
        <w:t>To avoid delays in processing extension requests within the 12-week Transition Care Program episode, t</w:t>
      </w:r>
      <w:r w:rsidR="00605BA0" w:rsidRPr="003A173C">
        <w:rPr>
          <w:rFonts w:cs="Calibri"/>
        </w:rPr>
        <w:t xml:space="preserve">he </w:t>
      </w:r>
      <w:r w:rsidR="000F600E" w:rsidRPr="003A173C">
        <w:rPr>
          <w:rFonts w:cs="Calibri"/>
        </w:rPr>
        <w:t>registered</w:t>
      </w:r>
      <w:r w:rsidR="00605BA0" w:rsidRPr="003A173C">
        <w:rPr>
          <w:rFonts w:cs="Calibri"/>
        </w:rPr>
        <w:t xml:space="preserve"> provider </w:t>
      </w:r>
      <w:r w:rsidR="0DD96DFF" w:rsidRPr="003A173C">
        <w:rPr>
          <w:rFonts w:cs="Calibri"/>
        </w:rPr>
        <w:t xml:space="preserve">must ensure that </w:t>
      </w:r>
      <w:r w:rsidR="00876992" w:rsidRPr="003A173C">
        <w:rPr>
          <w:rFonts w:cs="Calibri"/>
        </w:rPr>
        <w:t xml:space="preserve">the application for extension </w:t>
      </w:r>
      <w:r w:rsidR="13AD8E53" w:rsidRPr="003A173C">
        <w:rPr>
          <w:rFonts w:cs="Calibri"/>
        </w:rPr>
        <w:t xml:space="preserve">includes the individuals </w:t>
      </w:r>
      <w:r w:rsidR="13AD8E53" w:rsidRPr="003A173C">
        <w:rPr>
          <w:rFonts w:cs="Calibri"/>
          <w:i/>
          <w:iCs/>
        </w:rPr>
        <w:t>My Aged Care reference</w:t>
      </w:r>
      <w:r w:rsidR="13AD8E53" w:rsidRPr="003A173C">
        <w:rPr>
          <w:rFonts w:cs="Calibri"/>
        </w:rPr>
        <w:t xml:space="preserve"> </w:t>
      </w:r>
      <w:r w:rsidR="13AD8E53" w:rsidRPr="003A173C">
        <w:rPr>
          <w:rFonts w:cs="Calibri"/>
          <w:i/>
          <w:iCs/>
        </w:rPr>
        <w:t>number</w:t>
      </w:r>
      <w:r w:rsidR="13AD8E53" w:rsidRPr="003A173C">
        <w:rPr>
          <w:rFonts w:cs="Calibri"/>
        </w:rPr>
        <w:t xml:space="preserve">, </w:t>
      </w:r>
      <w:r w:rsidR="425B960B" w:rsidRPr="003A173C">
        <w:rPr>
          <w:rFonts w:cs="Calibri"/>
        </w:rPr>
        <w:t>the proposed extension start and end dates and a clear explanation and aged care requirem</w:t>
      </w:r>
      <w:r w:rsidR="0793C279" w:rsidRPr="003A173C">
        <w:rPr>
          <w:rFonts w:cs="Calibri"/>
        </w:rPr>
        <w:t>e</w:t>
      </w:r>
      <w:r w:rsidR="425B960B" w:rsidRPr="003A173C">
        <w:rPr>
          <w:rFonts w:cs="Calibri"/>
        </w:rPr>
        <w:t>nt</w:t>
      </w:r>
      <w:r w:rsidR="54DA30C0" w:rsidRPr="003A173C">
        <w:rPr>
          <w:rFonts w:cs="Calibri"/>
        </w:rPr>
        <w:t xml:space="preserve">s </w:t>
      </w:r>
      <w:r w:rsidR="6DBE35CA" w:rsidRPr="003A173C">
        <w:rPr>
          <w:rFonts w:cs="Calibri"/>
        </w:rPr>
        <w:t>that justify the extension.</w:t>
      </w:r>
      <w:r w:rsidR="008F0213" w:rsidRPr="003A173C">
        <w:rPr>
          <w:rFonts w:cs="Calibri"/>
        </w:rPr>
        <w:t xml:space="preserve"> </w:t>
      </w:r>
      <w:r w:rsidR="6DBE35CA" w:rsidRPr="003A173C">
        <w:rPr>
          <w:rFonts w:cs="Calibri"/>
        </w:rPr>
        <w:t xml:space="preserve">The application should be submitted with </w:t>
      </w:r>
      <w:r w:rsidR="00605BA0" w:rsidRPr="003A173C">
        <w:rPr>
          <w:rFonts w:cs="Calibri"/>
        </w:rPr>
        <w:t xml:space="preserve">sufficient time </w:t>
      </w:r>
      <w:r w:rsidR="2704C388" w:rsidRPr="003A173C">
        <w:rPr>
          <w:rFonts w:cs="Calibri"/>
        </w:rPr>
        <w:t>to allow</w:t>
      </w:r>
      <w:r w:rsidR="00605BA0" w:rsidRPr="003A173C">
        <w:rPr>
          <w:rFonts w:cs="Calibri"/>
        </w:rPr>
        <w:t xml:space="preserve"> the </w:t>
      </w:r>
      <w:r w:rsidR="000D2614" w:rsidRPr="003A173C">
        <w:rPr>
          <w:rFonts w:cs="Calibri"/>
        </w:rPr>
        <w:t xml:space="preserve">clinical aged care needs assessor </w:t>
      </w:r>
      <w:r w:rsidR="00605BA0" w:rsidRPr="003A173C">
        <w:rPr>
          <w:rFonts w:cs="Calibri"/>
        </w:rPr>
        <w:t xml:space="preserve">to review the status of the </w:t>
      </w:r>
      <w:r w:rsidR="00E16A2C" w:rsidRPr="003A173C">
        <w:rPr>
          <w:rFonts w:cs="Calibri"/>
        </w:rPr>
        <w:t>individual</w:t>
      </w:r>
      <w:r w:rsidR="3F550B25" w:rsidRPr="003A173C">
        <w:rPr>
          <w:rFonts w:cs="Calibri"/>
        </w:rPr>
        <w:t xml:space="preserve">. This is </w:t>
      </w:r>
      <w:r w:rsidR="00876992" w:rsidRPr="003A173C">
        <w:rPr>
          <w:rFonts w:cs="Calibri"/>
        </w:rPr>
        <w:t>particularly</w:t>
      </w:r>
      <w:r w:rsidR="00605BA0" w:rsidRPr="003A173C">
        <w:rPr>
          <w:rFonts w:cs="Calibri"/>
        </w:rPr>
        <w:t xml:space="preserve"> </w:t>
      </w:r>
      <w:r w:rsidR="4011EB8C" w:rsidRPr="003A173C">
        <w:rPr>
          <w:rFonts w:cs="Calibri"/>
        </w:rPr>
        <w:t xml:space="preserve">important </w:t>
      </w:r>
      <w:r w:rsidR="00605BA0" w:rsidRPr="003A173C">
        <w:rPr>
          <w:rFonts w:cs="Calibri"/>
        </w:rPr>
        <w:t>if a more comprehensive re-assessment is required</w:t>
      </w:r>
      <w:r w:rsidR="34B85B2B" w:rsidRPr="003A173C">
        <w:rPr>
          <w:rFonts w:cs="Calibri"/>
        </w:rPr>
        <w:t xml:space="preserve"> to support the extension</w:t>
      </w:r>
      <w:r w:rsidR="00605BA0" w:rsidRPr="003A173C">
        <w:rPr>
          <w:rFonts w:cs="Calibri"/>
        </w:rPr>
        <w:t>.</w:t>
      </w:r>
    </w:p>
    <w:p w14:paraId="3C1E9F06" w14:textId="32A45B98" w:rsidR="56ADD98B" w:rsidRPr="003A173C" w:rsidRDefault="56ADD98B" w:rsidP="561333B1">
      <w:pPr>
        <w:spacing w:before="0" w:after="200"/>
        <w:rPr>
          <w:rFonts w:eastAsia="Calibri" w:cs="Calibri"/>
        </w:rPr>
      </w:pPr>
      <w:r w:rsidRPr="003A173C">
        <w:rPr>
          <w:rFonts w:cs="Calibri"/>
        </w:rPr>
        <w:t xml:space="preserve">Further </w:t>
      </w:r>
      <w:r w:rsidR="746864AD" w:rsidRPr="003A173C">
        <w:rPr>
          <w:rFonts w:cs="Calibri"/>
        </w:rPr>
        <w:t>advice and information</w:t>
      </w:r>
      <w:r w:rsidRPr="003A173C">
        <w:rPr>
          <w:rFonts w:cs="Calibri"/>
        </w:rPr>
        <w:t xml:space="preserve"> can be located through the My Aged Care Services</w:t>
      </w:r>
      <w:r w:rsidR="095C8187" w:rsidRPr="003A173C">
        <w:rPr>
          <w:rFonts w:cs="Calibri"/>
        </w:rPr>
        <w:t xml:space="preserve"> and Support Portal at: </w:t>
      </w:r>
      <w:hyperlink r:id="rId47" w:history="1">
        <w:r w:rsidR="095C8187" w:rsidRPr="003A173C">
          <w:rPr>
            <w:rStyle w:val="Hyperlink"/>
            <w:rFonts w:ascii="Calibri" w:eastAsia="Calibri" w:hAnsi="Calibri" w:cs="Calibri"/>
            <w:sz w:val="20"/>
            <w:szCs w:val="20"/>
          </w:rPr>
          <w:t>My Aged Care Service and Support Portal | Australian Government Department of Health, Disability and Ageing</w:t>
        </w:r>
      </w:hyperlink>
    </w:p>
    <w:p w14:paraId="2C4FB36D" w14:textId="7A9C169F" w:rsidR="4104F903" w:rsidRPr="003A173C" w:rsidRDefault="225DA621" w:rsidP="00805475">
      <w:pPr>
        <w:spacing w:before="0" w:after="160" w:line="257" w:lineRule="auto"/>
        <w:rPr>
          <w:rFonts w:eastAsia="Calibri" w:cs="Calibri"/>
          <w:szCs w:val="20"/>
        </w:rPr>
      </w:pPr>
      <w:r w:rsidRPr="003A173C">
        <w:rPr>
          <w:rFonts w:eastAsia="Calibri" w:cs="Calibri"/>
          <w:szCs w:val="20"/>
        </w:rPr>
        <w:t xml:space="preserve">The portal can assist providers of aged care to: </w:t>
      </w:r>
    </w:p>
    <w:p w14:paraId="1F8688A0" w14:textId="78F295DC" w:rsidR="4104F903" w:rsidRPr="008202E1" w:rsidRDefault="225DA621" w:rsidP="00020AC2">
      <w:pPr>
        <w:pStyle w:val="ListBullet"/>
      </w:pPr>
      <w:r w:rsidRPr="008202E1">
        <w:t>enter and manage information about your services</w:t>
      </w:r>
    </w:p>
    <w:p w14:paraId="59C25B71" w14:textId="13E3EDF2" w:rsidR="4104F903" w:rsidRPr="008202E1" w:rsidRDefault="225DA621" w:rsidP="00020AC2">
      <w:pPr>
        <w:pStyle w:val="ListBullet"/>
      </w:pPr>
      <w:r w:rsidRPr="008202E1">
        <w:t>see your service’s care minutes target</w:t>
      </w:r>
    </w:p>
    <w:p w14:paraId="29563DDB" w14:textId="1F0BEB00" w:rsidR="4104F903" w:rsidRPr="008202E1" w:rsidRDefault="225DA621" w:rsidP="00020AC2">
      <w:pPr>
        <w:pStyle w:val="ListBullet"/>
      </w:pPr>
      <w:r w:rsidRPr="008202E1">
        <w:t>manage referrals</w:t>
      </w:r>
    </w:p>
    <w:p w14:paraId="434B204B" w14:textId="1A470EEA" w:rsidR="4104F903" w:rsidRPr="008202E1" w:rsidRDefault="225DA621" w:rsidP="00020AC2">
      <w:pPr>
        <w:pStyle w:val="ListBullet"/>
      </w:pPr>
      <w:r w:rsidRPr="008202E1">
        <w:t>update client records</w:t>
      </w:r>
    </w:p>
    <w:p w14:paraId="3ED5B3BD" w14:textId="4DF855B9" w:rsidR="4104F903" w:rsidRPr="008202E1" w:rsidRDefault="225DA621" w:rsidP="00020AC2">
      <w:pPr>
        <w:pStyle w:val="ListBullet"/>
      </w:pPr>
      <w:r w:rsidRPr="008202E1">
        <w:t>generate reports</w:t>
      </w:r>
    </w:p>
    <w:p w14:paraId="5C16425C" w14:textId="0D098AFC" w:rsidR="4104F903" w:rsidRPr="00C81915" w:rsidRDefault="225DA621" w:rsidP="00020AC2">
      <w:pPr>
        <w:pStyle w:val="ListBullet"/>
      </w:pPr>
      <w:r w:rsidRPr="008202E1">
        <w:t xml:space="preserve">ask assessors to review </w:t>
      </w:r>
      <w:r w:rsidRPr="00C81915">
        <w:t>a client’s support plan.</w:t>
      </w:r>
    </w:p>
    <w:p w14:paraId="42D837D7" w14:textId="6F0EB1D1" w:rsidR="4104F903" w:rsidRPr="00847F94" w:rsidRDefault="76D3D4B2" w:rsidP="00805475">
      <w:pPr>
        <w:spacing w:before="0" w:after="160" w:line="257" w:lineRule="auto"/>
        <w:rPr>
          <w:rFonts w:eastAsia="Calibri" w:cs="Calibri"/>
          <w:szCs w:val="20"/>
        </w:rPr>
      </w:pPr>
      <w:r w:rsidRPr="00C81915">
        <w:rPr>
          <w:rFonts w:eastAsia="Calibri" w:cs="Calibri"/>
          <w:szCs w:val="20"/>
        </w:rPr>
        <w:t xml:space="preserve">Updates, including resources and </w:t>
      </w:r>
      <w:r w:rsidR="2AEF1373" w:rsidRPr="00C81915">
        <w:rPr>
          <w:rFonts w:eastAsia="Calibri" w:cs="Calibri"/>
          <w:szCs w:val="20"/>
        </w:rPr>
        <w:t xml:space="preserve">help on </w:t>
      </w:r>
      <w:r w:rsidRPr="00C81915">
        <w:rPr>
          <w:rFonts w:eastAsia="Calibri" w:cs="Calibri"/>
          <w:szCs w:val="20"/>
        </w:rPr>
        <w:t xml:space="preserve">how to </w:t>
      </w:r>
      <w:r w:rsidRPr="00847F94">
        <w:rPr>
          <w:rFonts w:eastAsia="Calibri" w:cs="Calibri"/>
          <w:szCs w:val="20"/>
        </w:rPr>
        <w:t xml:space="preserve">use the portal can be located at: </w:t>
      </w:r>
      <w:hyperlink r:id="rId48" w:anchor="help-using-the-portal" w:history="1">
        <w:r w:rsidR="03B4980C" w:rsidRPr="00847F94">
          <w:rPr>
            <w:rStyle w:val="Hyperlink"/>
            <w:rFonts w:ascii="Calibri" w:eastAsia="Calibri" w:hAnsi="Calibri" w:cs="Calibri"/>
            <w:color w:val="467886"/>
            <w:sz w:val="20"/>
            <w:szCs w:val="20"/>
          </w:rPr>
          <w:t>My Aged Care for providers</w:t>
        </w:r>
      </w:hyperlink>
      <w:r w:rsidR="008F0213" w:rsidRPr="00847F94">
        <w:rPr>
          <w:rFonts w:cs="Calibri"/>
          <w:szCs w:val="20"/>
        </w:rPr>
        <w:t>.</w:t>
      </w:r>
    </w:p>
    <w:p w14:paraId="3CBE89E8" w14:textId="022C9755" w:rsidR="008F0213" w:rsidRPr="003A173C" w:rsidRDefault="0D423172" w:rsidP="00AB095D">
      <w:pPr>
        <w:spacing w:before="0" w:after="160" w:line="257" w:lineRule="auto"/>
        <w:rPr>
          <w:rFonts w:eastAsia="Calibri" w:cs="Calibri"/>
          <w:szCs w:val="20"/>
        </w:rPr>
      </w:pPr>
      <w:r w:rsidRPr="00A80EBA">
        <w:rPr>
          <w:rFonts w:eastAsia="Calibri" w:cs="Calibri"/>
        </w:rPr>
        <w:t xml:space="preserve">The My Aged Care service provider and assessor helpline can be contacted on </w:t>
      </w:r>
      <w:r w:rsidR="00E92293" w:rsidRPr="00E92293">
        <w:rPr>
          <w:rFonts w:eastAsia="Calibri" w:cs="Calibri"/>
        </w:rPr>
        <w:t>1800 836 799</w:t>
      </w:r>
      <w:r w:rsidR="00FE6662" w:rsidRPr="00A80EBA">
        <w:rPr>
          <w:rFonts w:cs="Calibri"/>
        </w:rPr>
        <w:t xml:space="preserve"> </w:t>
      </w:r>
      <w:r w:rsidRPr="00A80EBA">
        <w:rPr>
          <w:rFonts w:eastAsia="Calibri" w:cs="Calibri"/>
        </w:rPr>
        <w:t>from 8 am to 8 pm Monday to Friday or 10 am to 2 pm Saturday.</w:t>
      </w:r>
    </w:p>
    <w:p w14:paraId="290E0DA9" w14:textId="2D1B5EDA" w:rsidR="002C6B8E" w:rsidRPr="00721280" w:rsidRDefault="002C6B8E" w:rsidP="008974DB">
      <w:pPr>
        <w:pStyle w:val="Style3"/>
      </w:pPr>
      <w:bookmarkStart w:id="967" w:name="_Toc216865482"/>
      <w:r w:rsidRPr="00721280">
        <w:t xml:space="preserve">Review of </w:t>
      </w:r>
      <w:r w:rsidR="00300258" w:rsidRPr="00721280">
        <w:t xml:space="preserve">the </w:t>
      </w:r>
      <w:r w:rsidR="00C03C1B" w:rsidRPr="00721280">
        <w:t xml:space="preserve">assessment </w:t>
      </w:r>
      <w:r w:rsidRPr="00721280">
        <w:t>extension decisions</w:t>
      </w:r>
      <w:bookmarkEnd w:id="967"/>
    </w:p>
    <w:p w14:paraId="5B84E50C" w14:textId="2E16063C" w:rsidR="001C064F" w:rsidRPr="003A173C" w:rsidRDefault="008E4A35" w:rsidP="001C064F">
      <w:pPr>
        <w:autoSpaceDE w:val="0"/>
        <w:autoSpaceDN w:val="0"/>
        <w:adjustRightInd w:val="0"/>
        <w:spacing w:before="0" w:after="200"/>
        <w:rPr>
          <w:rFonts w:cs="Calibri"/>
          <w:szCs w:val="20"/>
          <w:lang w:val="en-US"/>
        </w:rPr>
      </w:pPr>
      <w:r w:rsidRPr="003A173C">
        <w:rPr>
          <w:rFonts w:cs="Calibri"/>
          <w:szCs w:val="20"/>
        </w:rPr>
        <w:t xml:space="preserve">A decision to extend or not extend an individual’s episode of transition care is not a ‘reviewable decision’ under the Act. The Department does, however, offer a right of review to any person whose request for an extension is denied. In the first instance, the decision should be discussed with the clinical aged care needs assessor. If after discussing a decision not to extend an episode of transition care with the clinical aged care needs assessor, </w:t>
      </w:r>
      <w:r w:rsidR="001C064F" w:rsidRPr="003A173C">
        <w:rPr>
          <w:rFonts w:cs="Calibri"/>
          <w:szCs w:val="20"/>
        </w:rPr>
        <w:t xml:space="preserve">an </w:t>
      </w:r>
      <w:r w:rsidR="001C064F" w:rsidRPr="003A173C">
        <w:rPr>
          <w:rFonts w:cs="Calibri"/>
          <w:szCs w:val="20"/>
          <w:lang w:val="en-US"/>
        </w:rPr>
        <w:t>individual wishes to seek further review of an extension denial, they should write to:</w:t>
      </w:r>
    </w:p>
    <w:p w14:paraId="6CBE7A30" w14:textId="3EAE2CE9" w:rsidR="001210DB" w:rsidRPr="003A173C" w:rsidRDefault="001210DB" w:rsidP="007206E9">
      <w:r w:rsidRPr="003A173C">
        <w:t xml:space="preserve">The Secretary </w:t>
      </w:r>
    </w:p>
    <w:p w14:paraId="62627600" w14:textId="3E993C84" w:rsidR="001210DB" w:rsidRPr="003A173C" w:rsidRDefault="001210DB" w:rsidP="007206E9">
      <w:r w:rsidRPr="003A173C">
        <w:t>Department</w:t>
      </w:r>
      <w:r w:rsidRPr="003A173C" w:rsidDel="001F504E">
        <w:t xml:space="preserve"> of Health</w:t>
      </w:r>
      <w:r w:rsidR="00D40E4C" w:rsidRPr="003A173C">
        <w:t>, Disability</w:t>
      </w:r>
      <w:r w:rsidRPr="003A173C">
        <w:t xml:space="preserve"> and Age</w:t>
      </w:r>
      <w:r w:rsidR="00D40E4C" w:rsidRPr="003A173C">
        <w:t>ing</w:t>
      </w:r>
      <w:r w:rsidRPr="003A173C">
        <w:t xml:space="preserve"> </w:t>
      </w:r>
    </w:p>
    <w:p w14:paraId="7655D3DC" w14:textId="77777777" w:rsidR="001210DB" w:rsidRPr="003A173C" w:rsidRDefault="001210DB" w:rsidP="007206E9">
      <w:r w:rsidRPr="003A173C">
        <w:t>Attn: Single Assessment System Program</w:t>
      </w:r>
    </w:p>
    <w:p w14:paraId="55AD9469" w14:textId="77777777" w:rsidR="001210DB" w:rsidRPr="003A173C" w:rsidRDefault="001210DB" w:rsidP="007206E9">
      <w:r w:rsidRPr="003A173C">
        <w:t xml:space="preserve">GPO Box 9848 </w:t>
      </w:r>
    </w:p>
    <w:p w14:paraId="744A3B89" w14:textId="0DA0AA84" w:rsidR="00E86A02" w:rsidRPr="007206E9" w:rsidRDefault="001210DB" w:rsidP="007206E9">
      <w:pPr>
        <w:rPr>
          <w:rFonts w:eastAsiaTheme="majorEastAsia"/>
          <w:spacing w:val="0"/>
          <w:lang w:eastAsia="en-US"/>
        </w:rPr>
      </w:pPr>
      <w:r w:rsidRPr="003A173C">
        <w:rPr>
          <w:rFonts w:eastAsiaTheme="majorEastAsia"/>
          <w:spacing w:val="0"/>
          <w:lang w:eastAsia="en-US"/>
        </w:rPr>
        <w:t>ADELAIDE SA 5001</w:t>
      </w:r>
      <w:bookmarkStart w:id="968" w:name="_Toc206157903"/>
      <w:bookmarkStart w:id="969" w:name="_Toc206158667"/>
      <w:bookmarkStart w:id="970" w:name="_Toc206775150"/>
      <w:bookmarkStart w:id="971" w:name="_Toc207197812"/>
      <w:bookmarkEnd w:id="968"/>
      <w:bookmarkEnd w:id="969"/>
      <w:bookmarkEnd w:id="970"/>
      <w:bookmarkEnd w:id="971"/>
    </w:p>
    <w:p w14:paraId="56352FEC" w14:textId="0974B83E" w:rsidR="00605BA0" w:rsidRPr="00721280" w:rsidRDefault="00605BA0" w:rsidP="008974DB">
      <w:pPr>
        <w:pStyle w:val="Style3"/>
      </w:pPr>
      <w:bookmarkStart w:id="972" w:name="_Toc205369455"/>
      <w:bookmarkStart w:id="973" w:name="_Toc205374406"/>
      <w:bookmarkStart w:id="974" w:name="_Toc205374554"/>
      <w:bookmarkStart w:id="975" w:name="_Toc205378267"/>
      <w:bookmarkStart w:id="976" w:name="_Toc205378501"/>
      <w:bookmarkStart w:id="977" w:name="_Toc205378735"/>
      <w:bookmarkStart w:id="978" w:name="_Toc205378968"/>
      <w:bookmarkStart w:id="979" w:name="_Toc205379201"/>
      <w:bookmarkStart w:id="980" w:name="_Toc205379434"/>
      <w:bookmarkStart w:id="981" w:name="_Toc205379659"/>
      <w:bookmarkStart w:id="982" w:name="_Toc205379883"/>
      <w:bookmarkStart w:id="983" w:name="_Toc205395341"/>
      <w:bookmarkStart w:id="984" w:name="_Toc205396135"/>
      <w:bookmarkStart w:id="985" w:name="_Toc205397666"/>
      <w:bookmarkStart w:id="986" w:name="_Toc205397891"/>
      <w:bookmarkStart w:id="987" w:name="_Toc205468517"/>
      <w:bookmarkStart w:id="988" w:name="_Toc205468976"/>
      <w:bookmarkStart w:id="989" w:name="_Toc205479768"/>
      <w:bookmarkStart w:id="990" w:name="_Toc205560841"/>
      <w:bookmarkStart w:id="991" w:name="_Toc205561066"/>
      <w:bookmarkStart w:id="992" w:name="_Toc205819118"/>
      <w:bookmarkStart w:id="993" w:name="_Toc205890666"/>
      <w:bookmarkStart w:id="994" w:name="_Toc205890806"/>
      <w:bookmarkStart w:id="995" w:name="_Toc205892016"/>
      <w:bookmarkStart w:id="996" w:name="_Toc205897173"/>
      <w:bookmarkStart w:id="997" w:name="_Toc205906056"/>
      <w:bookmarkStart w:id="998" w:name="_Toc205909194"/>
      <w:bookmarkStart w:id="999" w:name="_Toc205909687"/>
      <w:bookmarkStart w:id="1000" w:name="_Toc205909993"/>
      <w:bookmarkStart w:id="1001" w:name="_Toc205974502"/>
      <w:bookmarkStart w:id="1002" w:name="_Toc205974642"/>
      <w:bookmarkStart w:id="1003" w:name="_Toc205974782"/>
      <w:bookmarkStart w:id="1004" w:name="_Toc205999081"/>
      <w:bookmarkStart w:id="1005" w:name="_Toc206001390"/>
      <w:bookmarkStart w:id="1006" w:name="_Toc206001532"/>
      <w:bookmarkStart w:id="1007" w:name="_Toc206001673"/>
      <w:bookmarkStart w:id="1008" w:name="_Toc206001815"/>
      <w:bookmarkStart w:id="1009" w:name="_Toc206003737"/>
      <w:bookmarkStart w:id="1010" w:name="_Toc206006225"/>
      <w:bookmarkStart w:id="1011" w:name="_Toc206006546"/>
      <w:bookmarkStart w:id="1012" w:name="_Toc206006687"/>
      <w:bookmarkStart w:id="1013" w:name="_Toc206059562"/>
      <w:bookmarkStart w:id="1014" w:name="_Toc206084479"/>
      <w:bookmarkStart w:id="1015" w:name="_Toc206143927"/>
      <w:bookmarkStart w:id="1016" w:name="_Toc206153615"/>
      <w:bookmarkStart w:id="1017" w:name="_Toc206155664"/>
      <w:bookmarkStart w:id="1018" w:name="_Toc206155805"/>
      <w:bookmarkStart w:id="1019" w:name="_Toc206157011"/>
      <w:bookmarkStart w:id="1020" w:name="_Toc206157231"/>
      <w:bookmarkStart w:id="1021" w:name="_Toc205369456"/>
      <w:bookmarkStart w:id="1022" w:name="_Toc205374407"/>
      <w:bookmarkStart w:id="1023" w:name="_Toc205374555"/>
      <w:bookmarkStart w:id="1024" w:name="_Toc205378268"/>
      <w:bookmarkStart w:id="1025" w:name="_Toc205378502"/>
      <w:bookmarkStart w:id="1026" w:name="_Toc205378736"/>
      <w:bookmarkStart w:id="1027" w:name="_Toc205378969"/>
      <w:bookmarkStart w:id="1028" w:name="_Toc205379202"/>
      <w:bookmarkStart w:id="1029" w:name="_Toc205379435"/>
      <w:bookmarkStart w:id="1030" w:name="_Toc205379660"/>
      <w:bookmarkStart w:id="1031" w:name="_Toc205379884"/>
      <w:bookmarkStart w:id="1032" w:name="_Toc205395342"/>
      <w:bookmarkStart w:id="1033" w:name="_Toc205396136"/>
      <w:bookmarkStart w:id="1034" w:name="_Toc205397667"/>
      <w:bookmarkStart w:id="1035" w:name="_Toc205397892"/>
      <w:bookmarkStart w:id="1036" w:name="_Toc205468518"/>
      <w:bookmarkStart w:id="1037" w:name="_Toc205468977"/>
      <w:bookmarkStart w:id="1038" w:name="_Toc205479769"/>
      <w:bookmarkStart w:id="1039" w:name="_Toc205560842"/>
      <w:bookmarkStart w:id="1040" w:name="_Toc205561067"/>
      <w:bookmarkStart w:id="1041" w:name="_Toc205819119"/>
      <w:bookmarkStart w:id="1042" w:name="_Toc205890667"/>
      <w:bookmarkStart w:id="1043" w:name="_Toc205890807"/>
      <w:bookmarkStart w:id="1044" w:name="_Toc205892017"/>
      <w:bookmarkStart w:id="1045" w:name="_Toc205897174"/>
      <w:bookmarkStart w:id="1046" w:name="_Toc205906057"/>
      <w:bookmarkStart w:id="1047" w:name="_Toc205909195"/>
      <w:bookmarkStart w:id="1048" w:name="_Toc205909688"/>
      <w:bookmarkStart w:id="1049" w:name="_Toc205909994"/>
      <w:bookmarkStart w:id="1050" w:name="_Toc205974503"/>
      <w:bookmarkStart w:id="1051" w:name="_Toc205974643"/>
      <w:bookmarkStart w:id="1052" w:name="_Toc205974783"/>
      <w:bookmarkStart w:id="1053" w:name="_Toc205999082"/>
      <w:bookmarkStart w:id="1054" w:name="_Toc206001391"/>
      <w:bookmarkStart w:id="1055" w:name="_Toc206001533"/>
      <w:bookmarkStart w:id="1056" w:name="_Toc206001674"/>
      <w:bookmarkStart w:id="1057" w:name="_Toc206001816"/>
      <w:bookmarkStart w:id="1058" w:name="_Toc206003738"/>
      <w:bookmarkStart w:id="1059" w:name="_Toc206006226"/>
      <w:bookmarkStart w:id="1060" w:name="_Toc206006547"/>
      <w:bookmarkStart w:id="1061" w:name="_Toc206006688"/>
      <w:bookmarkStart w:id="1062" w:name="_Toc206059563"/>
      <w:bookmarkStart w:id="1063" w:name="_Toc206084480"/>
      <w:bookmarkStart w:id="1064" w:name="_Toc206143928"/>
      <w:bookmarkStart w:id="1065" w:name="_Toc206153616"/>
      <w:bookmarkStart w:id="1066" w:name="_Toc206155665"/>
      <w:bookmarkStart w:id="1067" w:name="_Toc206155806"/>
      <w:bookmarkStart w:id="1068" w:name="_Toc206157012"/>
      <w:bookmarkStart w:id="1069" w:name="_Toc206157232"/>
      <w:bookmarkStart w:id="1070" w:name="_Toc205369457"/>
      <w:bookmarkStart w:id="1071" w:name="_Toc205374408"/>
      <w:bookmarkStart w:id="1072" w:name="_Toc205374556"/>
      <w:bookmarkStart w:id="1073" w:name="_Toc205378269"/>
      <w:bookmarkStart w:id="1074" w:name="_Toc205378503"/>
      <w:bookmarkStart w:id="1075" w:name="_Toc205378737"/>
      <w:bookmarkStart w:id="1076" w:name="_Toc205378970"/>
      <w:bookmarkStart w:id="1077" w:name="_Toc205379203"/>
      <w:bookmarkStart w:id="1078" w:name="_Toc205379436"/>
      <w:bookmarkStart w:id="1079" w:name="_Toc205379661"/>
      <w:bookmarkStart w:id="1080" w:name="_Toc205379885"/>
      <w:bookmarkStart w:id="1081" w:name="_Toc205395343"/>
      <w:bookmarkStart w:id="1082" w:name="_Toc205396137"/>
      <w:bookmarkStart w:id="1083" w:name="_Toc205397668"/>
      <w:bookmarkStart w:id="1084" w:name="_Toc205397893"/>
      <w:bookmarkStart w:id="1085" w:name="_Toc205468519"/>
      <w:bookmarkStart w:id="1086" w:name="_Toc205468978"/>
      <w:bookmarkStart w:id="1087" w:name="_Toc205479770"/>
      <w:bookmarkStart w:id="1088" w:name="_Toc205560843"/>
      <w:bookmarkStart w:id="1089" w:name="_Toc205561068"/>
      <w:bookmarkStart w:id="1090" w:name="_Toc205819120"/>
      <w:bookmarkStart w:id="1091" w:name="_Toc205890668"/>
      <w:bookmarkStart w:id="1092" w:name="_Toc205890808"/>
      <w:bookmarkStart w:id="1093" w:name="_Toc205892018"/>
      <w:bookmarkStart w:id="1094" w:name="_Toc205897175"/>
      <w:bookmarkStart w:id="1095" w:name="_Toc205906058"/>
      <w:bookmarkStart w:id="1096" w:name="_Toc205909196"/>
      <w:bookmarkStart w:id="1097" w:name="_Toc205909689"/>
      <w:bookmarkStart w:id="1098" w:name="_Toc205909995"/>
      <w:bookmarkStart w:id="1099" w:name="_Toc205974504"/>
      <w:bookmarkStart w:id="1100" w:name="_Toc205974644"/>
      <w:bookmarkStart w:id="1101" w:name="_Toc205974784"/>
      <w:bookmarkStart w:id="1102" w:name="_Toc205999083"/>
      <w:bookmarkStart w:id="1103" w:name="_Toc206001392"/>
      <w:bookmarkStart w:id="1104" w:name="_Toc206001534"/>
      <w:bookmarkStart w:id="1105" w:name="_Toc206001675"/>
      <w:bookmarkStart w:id="1106" w:name="_Toc206001817"/>
      <w:bookmarkStart w:id="1107" w:name="_Toc206003739"/>
      <w:bookmarkStart w:id="1108" w:name="_Toc206006227"/>
      <w:bookmarkStart w:id="1109" w:name="_Toc206006548"/>
      <w:bookmarkStart w:id="1110" w:name="_Toc206006689"/>
      <w:bookmarkStart w:id="1111" w:name="_Toc206059564"/>
      <w:bookmarkStart w:id="1112" w:name="_Toc206084481"/>
      <w:bookmarkStart w:id="1113" w:name="_Toc206143929"/>
      <w:bookmarkStart w:id="1114" w:name="_Toc206153617"/>
      <w:bookmarkStart w:id="1115" w:name="_Toc206155666"/>
      <w:bookmarkStart w:id="1116" w:name="_Toc206155807"/>
      <w:bookmarkStart w:id="1117" w:name="_Toc206157013"/>
      <w:bookmarkStart w:id="1118" w:name="_Toc206157233"/>
      <w:bookmarkStart w:id="1119" w:name="_Toc205369458"/>
      <w:bookmarkStart w:id="1120" w:name="_Toc205374409"/>
      <w:bookmarkStart w:id="1121" w:name="_Toc205374557"/>
      <w:bookmarkStart w:id="1122" w:name="_Toc205378270"/>
      <w:bookmarkStart w:id="1123" w:name="_Toc205378504"/>
      <w:bookmarkStart w:id="1124" w:name="_Toc205378738"/>
      <w:bookmarkStart w:id="1125" w:name="_Toc205378971"/>
      <w:bookmarkStart w:id="1126" w:name="_Toc205379204"/>
      <w:bookmarkStart w:id="1127" w:name="_Toc205379437"/>
      <w:bookmarkStart w:id="1128" w:name="_Toc205379662"/>
      <w:bookmarkStart w:id="1129" w:name="_Toc205379886"/>
      <w:bookmarkStart w:id="1130" w:name="_Toc205395344"/>
      <w:bookmarkStart w:id="1131" w:name="_Toc205396138"/>
      <w:bookmarkStart w:id="1132" w:name="_Toc205397669"/>
      <w:bookmarkStart w:id="1133" w:name="_Toc205397894"/>
      <w:bookmarkStart w:id="1134" w:name="_Toc205468520"/>
      <w:bookmarkStart w:id="1135" w:name="_Toc205468979"/>
      <w:bookmarkStart w:id="1136" w:name="_Toc205479771"/>
      <w:bookmarkStart w:id="1137" w:name="_Toc205560844"/>
      <w:bookmarkStart w:id="1138" w:name="_Toc205561069"/>
      <w:bookmarkStart w:id="1139" w:name="_Toc205819121"/>
      <w:bookmarkStart w:id="1140" w:name="_Toc205890669"/>
      <w:bookmarkStart w:id="1141" w:name="_Toc205890809"/>
      <w:bookmarkStart w:id="1142" w:name="_Toc205892019"/>
      <w:bookmarkStart w:id="1143" w:name="_Toc205897176"/>
      <w:bookmarkStart w:id="1144" w:name="_Toc205906059"/>
      <w:bookmarkStart w:id="1145" w:name="_Toc205909197"/>
      <w:bookmarkStart w:id="1146" w:name="_Toc205909690"/>
      <w:bookmarkStart w:id="1147" w:name="_Toc205909996"/>
      <w:bookmarkStart w:id="1148" w:name="_Toc205974505"/>
      <w:bookmarkStart w:id="1149" w:name="_Toc205974645"/>
      <w:bookmarkStart w:id="1150" w:name="_Toc205974785"/>
      <w:bookmarkStart w:id="1151" w:name="_Toc205999084"/>
      <w:bookmarkStart w:id="1152" w:name="_Toc206001393"/>
      <w:bookmarkStart w:id="1153" w:name="_Toc206001535"/>
      <w:bookmarkStart w:id="1154" w:name="_Toc206001676"/>
      <w:bookmarkStart w:id="1155" w:name="_Toc206001818"/>
      <w:bookmarkStart w:id="1156" w:name="_Toc206003740"/>
      <w:bookmarkStart w:id="1157" w:name="_Toc206006228"/>
      <w:bookmarkStart w:id="1158" w:name="_Toc206006549"/>
      <w:bookmarkStart w:id="1159" w:name="_Toc206006690"/>
      <w:bookmarkStart w:id="1160" w:name="_Toc206059565"/>
      <w:bookmarkStart w:id="1161" w:name="_Toc206084482"/>
      <w:bookmarkStart w:id="1162" w:name="_Toc206143930"/>
      <w:bookmarkStart w:id="1163" w:name="_Toc206153618"/>
      <w:bookmarkStart w:id="1164" w:name="_Toc206155667"/>
      <w:bookmarkStart w:id="1165" w:name="_Toc206155808"/>
      <w:bookmarkStart w:id="1166" w:name="_Toc206157014"/>
      <w:bookmarkStart w:id="1167" w:name="_Toc206157234"/>
      <w:bookmarkStart w:id="1168" w:name="_Toc245536178"/>
      <w:bookmarkStart w:id="1169" w:name="_Toc395537193"/>
      <w:bookmarkStart w:id="1170" w:name="_Toc422732550"/>
      <w:bookmarkStart w:id="1171" w:name="_Toc422752890"/>
      <w:bookmarkStart w:id="1172" w:name="_Toc216865483"/>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r w:rsidRPr="00721280">
        <w:t xml:space="preserve">Accessing </w:t>
      </w:r>
      <w:r w:rsidR="000A7B38" w:rsidRPr="00721280">
        <w:t>ongoing</w:t>
      </w:r>
      <w:r w:rsidR="00495DE4" w:rsidRPr="00721280">
        <w:t xml:space="preserve"> residential</w:t>
      </w:r>
      <w:r w:rsidRPr="00721280">
        <w:t xml:space="preserve"> care </w:t>
      </w:r>
      <w:r w:rsidR="00517F32" w:rsidRPr="00721280">
        <w:t>during/</w:t>
      </w:r>
      <w:r w:rsidRPr="00721280">
        <w:t>after transition care</w:t>
      </w:r>
      <w:bookmarkEnd w:id="1168"/>
      <w:bookmarkEnd w:id="1169"/>
      <w:bookmarkEnd w:id="1170"/>
      <w:bookmarkEnd w:id="1171"/>
      <w:bookmarkEnd w:id="1172"/>
    </w:p>
    <w:p w14:paraId="35CC0562" w14:textId="763FF10B" w:rsidR="00605BA0" w:rsidRPr="003A173C" w:rsidRDefault="00495DE4" w:rsidP="006D21EE">
      <w:pPr>
        <w:spacing w:before="0" w:after="200"/>
        <w:rPr>
          <w:rFonts w:cs="Calibri"/>
          <w:szCs w:val="20"/>
        </w:rPr>
      </w:pPr>
      <w:r w:rsidRPr="003A173C">
        <w:rPr>
          <w:rFonts w:cs="Calibri"/>
          <w:szCs w:val="20"/>
        </w:rPr>
        <w:t>A</w:t>
      </w:r>
      <w:r w:rsidR="00472A5A" w:rsidRPr="003A173C">
        <w:rPr>
          <w:rFonts w:cs="Calibri"/>
          <w:szCs w:val="20"/>
        </w:rPr>
        <w:t xml:space="preserve"> person entering</w:t>
      </w:r>
      <w:r w:rsidR="00605BA0" w:rsidRPr="003A173C">
        <w:rPr>
          <w:rFonts w:cs="Calibri"/>
          <w:szCs w:val="20"/>
        </w:rPr>
        <w:t xml:space="preserve"> residential care</w:t>
      </w:r>
      <w:r w:rsidRPr="003A173C">
        <w:rPr>
          <w:rFonts w:cs="Calibri"/>
          <w:szCs w:val="20"/>
        </w:rPr>
        <w:t xml:space="preserve"> </w:t>
      </w:r>
      <w:r w:rsidR="000A7B38" w:rsidRPr="003A173C">
        <w:rPr>
          <w:rFonts w:cs="Calibri"/>
          <w:szCs w:val="20"/>
        </w:rPr>
        <w:t xml:space="preserve">permanently </w:t>
      </w:r>
      <w:r w:rsidRPr="003A173C">
        <w:rPr>
          <w:rFonts w:cs="Calibri"/>
          <w:szCs w:val="20"/>
        </w:rPr>
        <w:t xml:space="preserve">after the completion of their </w:t>
      </w:r>
      <w:r w:rsidR="000A7B38" w:rsidRPr="003A173C">
        <w:rPr>
          <w:rFonts w:cs="Calibri"/>
          <w:szCs w:val="20"/>
        </w:rPr>
        <w:t xml:space="preserve">transition care episode </w:t>
      </w:r>
      <w:r w:rsidR="00605BA0" w:rsidRPr="003A173C">
        <w:rPr>
          <w:rFonts w:cs="Calibri"/>
          <w:szCs w:val="20"/>
        </w:rPr>
        <w:t xml:space="preserve">may </w:t>
      </w:r>
      <w:r w:rsidR="00472A5A" w:rsidRPr="003A173C">
        <w:rPr>
          <w:rFonts w:cs="Calibri"/>
          <w:szCs w:val="20"/>
        </w:rPr>
        <w:t xml:space="preserve">take </w:t>
      </w:r>
      <w:r w:rsidR="00605BA0" w:rsidRPr="003A173C">
        <w:rPr>
          <w:rFonts w:cs="Calibri"/>
          <w:szCs w:val="20"/>
        </w:rPr>
        <w:t>up to seven</w:t>
      </w:r>
      <w:r w:rsidR="00E2428F" w:rsidRPr="003A173C">
        <w:rPr>
          <w:rFonts w:cs="Calibri"/>
          <w:szCs w:val="20"/>
        </w:rPr>
        <w:t> </w:t>
      </w:r>
      <w:r w:rsidR="00605BA0" w:rsidRPr="003A173C">
        <w:rPr>
          <w:rFonts w:cs="Calibri"/>
          <w:szCs w:val="20"/>
        </w:rPr>
        <w:t>days ‘pre-entry leave’</w:t>
      </w:r>
      <w:r w:rsidR="00472A5A" w:rsidRPr="003A173C">
        <w:rPr>
          <w:rFonts w:cs="Calibri"/>
          <w:szCs w:val="20"/>
        </w:rPr>
        <w:t xml:space="preserve"> to secure their place in their new </w:t>
      </w:r>
      <w:r w:rsidR="000A7B38" w:rsidRPr="003A173C">
        <w:rPr>
          <w:rFonts w:cs="Calibri"/>
          <w:szCs w:val="20"/>
        </w:rPr>
        <w:t xml:space="preserve">residential </w:t>
      </w:r>
      <w:r w:rsidR="00472A5A" w:rsidRPr="003A173C">
        <w:rPr>
          <w:rFonts w:cs="Calibri"/>
          <w:szCs w:val="20"/>
        </w:rPr>
        <w:t>care home</w:t>
      </w:r>
      <w:r w:rsidR="00605BA0" w:rsidRPr="003A173C">
        <w:rPr>
          <w:rFonts w:cs="Calibri"/>
          <w:szCs w:val="20"/>
        </w:rPr>
        <w:t xml:space="preserve">. </w:t>
      </w:r>
      <w:r w:rsidR="00472A5A" w:rsidRPr="003A173C">
        <w:rPr>
          <w:rFonts w:cs="Calibri"/>
          <w:szCs w:val="20"/>
        </w:rPr>
        <w:t xml:space="preserve">The only </w:t>
      </w:r>
      <w:r w:rsidR="00330D7F" w:rsidRPr="003A173C">
        <w:rPr>
          <w:rFonts w:cs="Calibri"/>
          <w:szCs w:val="20"/>
        </w:rPr>
        <w:t>fee that can be charged during pre-entry leave from residential care is the basic daily fee. No</w:t>
      </w:r>
      <w:r w:rsidR="00472A5A" w:rsidRPr="003A173C">
        <w:rPr>
          <w:rFonts w:cs="Calibri"/>
          <w:szCs w:val="20"/>
        </w:rPr>
        <w:t xml:space="preserve"> subsidy is payable to the </w:t>
      </w:r>
      <w:r w:rsidR="000A7B38" w:rsidRPr="003A173C">
        <w:rPr>
          <w:rFonts w:cs="Calibri"/>
          <w:szCs w:val="20"/>
        </w:rPr>
        <w:t>residential care home as a registered</w:t>
      </w:r>
      <w:r w:rsidR="00472A5A" w:rsidRPr="003A173C">
        <w:rPr>
          <w:rFonts w:cs="Calibri"/>
          <w:szCs w:val="20"/>
        </w:rPr>
        <w:t xml:space="preserve"> provider</w:t>
      </w:r>
      <w:r w:rsidR="003D5C00" w:rsidRPr="003A173C">
        <w:rPr>
          <w:rFonts w:cs="Calibri"/>
          <w:szCs w:val="20"/>
        </w:rPr>
        <w:t>,</w:t>
      </w:r>
      <w:r w:rsidR="00605BA0" w:rsidRPr="003A173C">
        <w:rPr>
          <w:rFonts w:cs="Calibri"/>
          <w:szCs w:val="20"/>
        </w:rPr>
        <w:t xml:space="preserve"> </w:t>
      </w:r>
      <w:r w:rsidR="00330D7F" w:rsidRPr="003A173C">
        <w:rPr>
          <w:rFonts w:cs="Calibri"/>
          <w:szCs w:val="20"/>
        </w:rPr>
        <w:t xml:space="preserve">for pre-entry leave </w:t>
      </w:r>
      <w:r w:rsidR="00605BA0" w:rsidRPr="003A173C">
        <w:rPr>
          <w:rFonts w:cs="Calibri"/>
          <w:szCs w:val="20"/>
        </w:rPr>
        <w:t xml:space="preserve">(see also </w:t>
      </w:r>
      <w:r w:rsidR="00605BA0" w:rsidRPr="003A173C">
        <w:rPr>
          <w:rFonts w:cs="Calibri"/>
          <w:i/>
          <w:iCs/>
          <w:szCs w:val="20"/>
        </w:rPr>
        <w:t>section</w:t>
      </w:r>
      <w:r w:rsidR="00605BA0" w:rsidRPr="003A173C">
        <w:rPr>
          <w:rFonts w:cs="Calibri"/>
          <w:szCs w:val="20"/>
        </w:rPr>
        <w:t xml:space="preserve"> </w:t>
      </w:r>
      <w:r w:rsidR="004F10E5" w:rsidRPr="003A173C">
        <w:rPr>
          <w:rFonts w:cs="Calibri"/>
          <w:i/>
          <w:szCs w:val="20"/>
        </w:rPr>
        <w:t>5.</w:t>
      </w:r>
      <w:r w:rsidR="002330F7">
        <w:rPr>
          <w:rFonts w:cs="Calibri"/>
          <w:i/>
          <w:szCs w:val="20"/>
        </w:rPr>
        <w:t>7</w:t>
      </w:r>
      <w:r w:rsidR="00605BA0" w:rsidRPr="003A173C">
        <w:rPr>
          <w:rFonts w:cs="Calibri"/>
          <w:i/>
          <w:szCs w:val="20"/>
        </w:rPr>
        <w:t>.</w:t>
      </w:r>
      <w:r w:rsidR="003B3FB8" w:rsidRPr="003A173C">
        <w:rPr>
          <w:rFonts w:cs="Calibri"/>
          <w:i/>
          <w:szCs w:val="20"/>
        </w:rPr>
        <w:t>1</w:t>
      </w:r>
      <w:r w:rsidR="00605BA0" w:rsidRPr="003A173C">
        <w:rPr>
          <w:rFonts w:cs="Calibri"/>
          <w:i/>
          <w:szCs w:val="20"/>
        </w:rPr>
        <w:t xml:space="preserve"> Determining care fees</w:t>
      </w:r>
      <w:r w:rsidR="00605BA0" w:rsidRPr="003A173C">
        <w:rPr>
          <w:rFonts w:cs="Calibri"/>
          <w:szCs w:val="20"/>
        </w:rPr>
        <w:t>).</w:t>
      </w:r>
    </w:p>
    <w:p w14:paraId="45366D72" w14:textId="4C9E8C4F" w:rsidR="00C33B23" w:rsidRPr="003A173C" w:rsidRDefault="00605BA0" w:rsidP="00412682">
      <w:pPr>
        <w:spacing w:before="0" w:after="200"/>
        <w:rPr>
          <w:rFonts w:cs="Calibri"/>
        </w:rPr>
      </w:pPr>
      <w:r w:rsidRPr="003A173C">
        <w:rPr>
          <w:rFonts w:cs="Calibri"/>
        </w:rPr>
        <w:t xml:space="preserve">Residential </w:t>
      </w:r>
      <w:r w:rsidR="000A7B38" w:rsidRPr="003A173C">
        <w:rPr>
          <w:rFonts w:cs="Calibri"/>
        </w:rPr>
        <w:t>care homes</w:t>
      </w:r>
      <w:r w:rsidRPr="003A173C">
        <w:rPr>
          <w:rFonts w:cs="Calibri"/>
        </w:rPr>
        <w:t xml:space="preserve"> cannot claim pre-entry leave for an existing</w:t>
      </w:r>
      <w:r w:rsidR="00C310E9" w:rsidRPr="003A173C">
        <w:rPr>
          <w:rFonts w:cs="Calibri"/>
        </w:rPr>
        <w:t xml:space="preserve"> recipient of</w:t>
      </w:r>
      <w:r w:rsidRPr="003A173C">
        <w:rPr>
          <w:rFonts w:cs="Calibri"/>
        </w:rPr>
        <w:t xml:space="preserve"> residential aged</w:t>
      </w:r>
      <w:r w:rsidR="00C310E9" w:rsidRPr="003A173C">
        <w:rPr>
          <w:rFonts w:cs="Calibri"/>
        </w:rPr>
        <w:t xml:space="preserve"> care </w:t>
      </w:r>
      <w:r w:rsidRPr="003A173C">
        <w:rPr>
          <w:rFonts w:cs="Calibri"/>
        </w:rPr>
        <w:t xml:space="preserve">who is on leave from residential care </w:t>
      </w:r>
      <w:r w:rsidR="00C310E9" w:rsidRPr="003A173C">
        <w:rPr>
          <w:rFonts w:cs="Calibri"/>
        </w:rPr>
        <w:t xml:space="preserve">for the purposes of </w:t>
      </w:r>
      <w:r w:rsidRPr="003A173C">
        <w:rPr>
          <w:rFonts w:cs="Calibri"/>
        </w:rPr>
        <w:t>receiving transition care.</w:t>
      </w:r>
    </w:p>
    <w:p w14:paraId="4AC1A296" w14:textId="435DAF9D" w:rsidR="003D7742" w:rsidRPr="003A173C" w:rsidRDefault="4D109E32" w:rsidP="001B4B19">
      <w:pPr>
        <w:pStyle w:val="Heading1"/>
        <w:spacing w:before="120"/>
        <w:ind w:left="0" w:firstLine="0"/>
        <w:rPr>
          <w:rFonts w:ascii="Calibri" w:hAnsi="Calibri" w:cs="Calibri"/>
        </w:rPr>
      </w:pPr>
      <w:bookmarkStart w:id="1173" w:name="_Toc205369460"/>
      <w:bookmarkStart w:id="1174" w:name="_Toc205374411"/>
      <w:bookmarkStart w:id="1175" w:name="_Toc205374559"/>
      <w:bookmarkStart w:id="1176" w:name="_Toc205378272"/>
      <w:bookmarkStart w:id="1177" w:name="_Toc205378506"/>
      <w:bookmarkStart w:id="1178" w:name="_Toc205378740"/>
      <w:bookmarkStart w:id="1179" w:name="_Toc205378973"/>
      <w:bookmarkStart w:id="1180" w:name="_Toc205379206"/>
      <w:bookmarkStart w:id="1181" w:name="_Toc205379439"/>
      <w:bookmarkStart w:id="1182" w:name="_Toc205379664"/>
      <w:bookmarkStart w:id="1183" w:name="_Toc205379888"/>
      <w:bookmarkStart w:id="1184" w:name="_Toc205395346"/>
      <w:bookmarkStart w:id="1185" w:name="_Toc205396140"/>
      <w:bookmarkStart w:id="1186" w:name="_Toc205397671"/>
      <w:bookmarkStart w:id="1187" w:name="_Toc205397896"/>
      <w:bookmarkStart w:id="1188" w:name="_Toc205468522"/>
      <w:bookmarkStart w:id="1189" w:name="_Toc205468981"/>
      <w:bookmarkStart w:id="1190" w:name="_Toc205479773"/>
      <w:bookmarkStart w:id="1191" w:name="_Toc205560846"/>
      <w:bookmarkStart w:id="1192" w:name="_Toc205561071"/>
      <w:bookmarkStart w:id="1193" w:name="_Toc205819123"/>
      <w:bookmarkStart w:id="1194" w:name="_Toc205890671"/>
      <w:bookmarkStart w:id="1195" w:name="_Toc205890811"/>
      <w:bookmarkStart w:id="1196" w:name="_Toc205892021"/>
      <w:bookmarkStart w:id="1197" w:name="_Toc205897178"/>
      <w:bookmarkStart w:id="1198" w:name="_Toc205906061"/>
      <w:bookmarkStart w:id="1199" w:name="_Toc205909199"/>
      <w:bookmarkStart w:id="1200" w:name="_Toc205909692"/>
      <w:bookmarkStart w:id="1201" w:name="_Toc205909998"/>
      <w:bookmarkStart w:id="1202" w:name="_Toc205974507"/>
      <w:bookmarkStart w:id="1203" w:name="_Toc205974647"/>
      <w:bookmarkStart w:id="1204" w:name="_Toc205974787"/>
      <w:bookmarkStart w:id="1205" w:name="_Toc205999086"/>
      <w:bookmarkStart w:id="1206" w:name="_Toc206001395"/>
      <w:bookmarkStart w:id="1207" w:name="_Toc206001537"/>
      <w:bookmarkStart w:id="1208" w:name="_Toc206001678"/>
      <w:bookmarkStart w:id="1209" w:name="_Toc206001820"/>
      <w:bookmarkStart w:id="1210" w:name="_Toc206003742"/>
      <w:bookmarkStart w:id="1211" w:name="_Toc206006230"/>
      <w:bookmarkStart w:id="1212" w:name="_Toc206006551"/>
      <w:bookmarkStart w:id="1213" w:name="_Toc206006692"/>
      <w:bookmarkStart w:id="1214" w:name="_Toc206059567"/>
      <w:bookmarkStart w:id="1215" w:name="_Toc206084484"/>
      <w:bookmarkStart w:id="1216" w:name="_Toc206143932"/>
      <w:bookmarkStart w:id="1217" w:name="_Toc206153620"/>
      <w:bookmarkStart w:id="1218" w:name="_Toc206155669"/>
      <w:bookmarkStart w:id="1219" w:name="_Toc206155810"/>
      <w:bookmarkStart w:id="1220" w:name="_Toc206157016"/>
      <w:bookmarkStart w:id="1221" w:name="_Toc206157236"/>
      <w:bookmarkStart w:id="1222" w:name="_Toc205369461"/>
      <w:bookmarkStart w:id="1223" w:name="_Toc205374412"/>
      <w:bookmarkStart w:id="1224" w:name="_Toc205374560"/>
      <w:bookmarkStart w:id="1225" w:name="_Toc205378273"/>
      <w:bookmarkStart w:id="1226" w:name="_Toc205378507"/>
      <w:bookmarkStart w:id="1227" w:name="_Toc205378741"/>
      <w:bookmarkStart w:id="1228" w:name="_Toc205378974"/>
      <w:bookmarkStart w:id="1229" w:name="_Toc205379207"/>
      <w:bookmarkStart w:id="1230" w:name="_Toc205379440"/>
      <w:bookmarkStart w:id="1231" w:name="_Toc205379665"/>
      <w:bookmarkStart w:id="1232" w:name="_Toc205379889"/>
      <w:bookmarkStart w:id="1233" w:name="_Toc205395347"/>
      <w:bookmarkStart w:id="1234" w:name="_Toc205396141"/>
      <w:bookmarkStart w:id="1235" w:name="_Toc205397672"/>
      <w:bookmarkStart w:id="1236" w:name="_Toc205397897"/>
      <w:bookmarkStart w:id="1237" w:name="_Toc205468523"/>
      <w:bookmarkStart w:id="1238" w:name="_Toc205468982"/>
      <w:bookmarkStart w:id="1239" w:name="_Toc205479774"/>
      <w:bookmarkStart w:id="1240" w:name="_Toc205560847"/>
      <w:bookmarkStart w:id="1241" w:name="_Toc205561072"/>
      <w:bookmarkStart w:id="1242" w:name="_Toc205819124"/>
      <w:bookmarkStart w:id="1243" w:name="_Toc205890672"/>
      <w:bookmarkStart w:id="1244" w:name="_Toc205890812"/>
      <w:bookmarkStart w:id="1245" w:name="_Toc205892022"/>
      <w:bookmarkStart w:id="1246" w:name="_Toc205897179"/>
      <w:bookmarkStart w:id="1247" w:name="_Toc205906062"/>
      <w:bookmarkStart w:id="1248" w:name="_Toc205909200"/>
      <w:bookmarkStart w:id="1249" w:name="_Toc205909693"/>
      <w:bookmarkStart w:id="1250" w:name="_Toc205909999"/>
      <w:bookmarkStart w:id="1251" w:name="_Toc205974508"/>
      <w:bookmarkStart w:id="1252" w:name="_Toc205974648"/>
      <w:bookmarkStart w:id="1253" w:name="_Toc205974788"/>
      <w:bookmarkStart w:id="1254" w:name="_Toc205999087"/>
      <w:bookmarkStart w:id="1255" w:name="_Toc206001396"/>
      <w:bookmarkStart w:id="1256" w:name="_Toc206001538"/>
      <w:bookmarkStart w:id="1257" w:name="_Toc206001679"/>
      <w:bookmarkStart w:id="1258" w:name="_Toc206001821"/>
      <w:bookmarkStart w:id="1259" w:name="_Toc206003743"/>
      <w:bookmarkStart w:id="1260" w:name="_Toc206006231"/>
      <w:bookmarkStart w:id="1261" w:name="_Toc206006552"/>
      <w:bookmarkStart w:id="1262" w:name="_Toc206006693"/>
      <w:bookmarkStart w:id="1263" w:name="_Toc206059568"/>
      <w:bookmarkStart w:id="1264" w:name="_Toc206084485"/>
      <w:bookmarkStart w:id="1265" w:name="_Toc206143933"/>
      <w:bookmarkStart w:id="1266" w:name="_Toc206153621"/>
      <w:bookmarkStart w:id="1267" w:name="_Toc206155670"/>
      <w:bookmarkStart w:id="1268" w:name="_Toc206155811"/>
      <w:bookmarkStart w:id="1269" w:name="_Toc206157017"/>
      <w:bookmarkStart w:id="1270" w:name="_Toc206157237"/>
      <w:bookmarkStart w:id="1271" w:name="_Toc205369462"/>
      <w:bookmarkStart w:id="1272" w:name="_Toc205374413"/>
      <w:bookmarkStart w:id="1273" w:name="_Toc205374561"/>
      <w:bookmarkStart w:id="1274" w:name="_Toc205378274"/>
      <w:bookmarkStart w:id="1275" w:name="_Toc205378508"/>
      <w:bookmarkStart w:id="1276" w:name="_Toc205378742"/>
      <w:bookmarkStart w:id="1277" w:name="_Toc205378975"/>
      <w:bookmarkStart w:id="1278" w:name="_Toc205379208"/>
      <w:bookmarkStart w:id="1279" w:name="_Toc205379441"/>
      <w:bookmarkStart w:id="1280" w:name="_Toc205379666"/>
      <w:bookmarkStart w:id="1281" w:name="_Toc205379890"/>
      <w:bookmarkStart w:id="1282" w:name="_Toc205395348"/>
      <w:bookmarkStart w:id="1283" w:name="_Toc205396142"/>
      <w:bookmarkStart w:id="1284" w:name="_Toc205397673"/>
      <w:bookmarkStart w:id="1285" w:name="_Toc205397898"/>
      <w:bookmarkStart w:id="1286" w:name="_Toc205468524"/>
      <w:bookmarkStart w:id="1287" w:name="_Toc205468983"/>
      <w:bookmarkStart w:id="1288" w:name="_Toc205479775"/>
      <w:bookmarkStart w:id="1289" w:name="_Toc205560848"/>
      <w:bookmarkStart w:id="1290" w:name="_Toc205561073"/>
      <w:bookmarkStart w:id="1291" w:name="_Toc205819125"/>
      <w:bookmarkStart w:id="1292" w:name="_Toc205890673"/>
      <w:bookmarkStart w:id="1293" w:name="_Toc205890813"/>
      <w:bookmarkStart w:id="1294" w:name="_Toc205892023"/>
      <w:bookmarkStart w:id="1295" w:name="_Toc205897180"/>
      <w:bookmarkStart w:id="1296" w:name="_Toc205906063"/>
      <w:bookmarkStart w:id="1297" w:name="_Toc205909201"/>
      <w:bookmarkStart w:id="1298" w:name="_Toc205909694"/>
      <w:bookmarkStart w:id="1299" w:name="_Toc205910000"/>
      <w:bookmarkStart w:id="1300" w:name="_Toc205974509"/>
      <w:bookmarkStart w:id="1301" w:name="_Toc205974649"/>
      <w:bookmarkStart w:id="1302" w:name="_Toc205974789"/>
      <w:bookmarkStart w:id="1303" w:name="_Toc205999088"/>
      <w:bookmarkStart w:id="1304" w:name="_Toc206001397"/>
      <w:bookmarkStart w:id="1305" w:name="_Toc206001539"/>
      <w:bookmarkStart w:id="1306" w:name="_Toc206001680"/>
      <w:bookmarkStart w:id="1307" w:name="_Toc206001822"/>
      <w:bookmarkStart w:id="1308" w:name="_Toc206003744"/>
      <w:bookmarkStart w:id="1309" w:name="_Toc206006232"/>
      <w:bookmarkStart w:id="1310" w:name="_Toc206006553"/>
      <w:bookmarkStart w:id="1311" w:name="_Toc206006694"/>
      <w:bookmarkStart w:id="1312" w:name="_Toc206059569"/>
      <w:bookmarkStart w:id="1313" w:name="_Toc206084486"/>
      <w:bookmarkStart w:id="1314" w:name="_Toc206143934"/>
      <w:bookmarkStart w:id="1315" w:name="_Toc206153622"/>
      <w:bookmarkStart w:id="1316" w:name="_Toc206155671"/>
      <w:bookmarkStart w:id="1317" w:name="_Toc206155812"/>
      <w:bookmarkStart w:id="1318" w:name="_Toc206157018"/>
      <w:bookmarkStart w:id="1319" w:name="_Toc206157238"/>
      <w:bookmarkStart w:id="1320" w:name="_TRANSITION_CARE_PROGRAMME"/>
      <w:bookmarkStart w:id="1321" w:name="_Toc216865484"/>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r w:rsidRPr="003A173C">
        <w:rPr>
          <w:rFonts w:ascii="Calibri" w:hAnsi="Calibri" w:cs="Calibri"/>
        </w:rPr>
        <w:lastRenderedPageBreak/>
        <w:t xml:space="preserve">TRANSITION CARE </w:t>
      </w:r>
      <w:r w:rsidR="00B505C7" w:rsidRPr="003A173C">
        <w:rPr>
          <w:rFonts w:ascii="Calibri" w:hAnsi="Calibri" w:cs="Calibri"/>
        </w:rPr>
        <w:t>PROGRAM</w:t>
      </w:r>
      <w:r w:rsidRPr="003A173C">
        <w:rPr>
          <w:rFonts w:ascii="Calibri" w:hAnsi="Calibri" w:cs="Calibri"/>
        </w:rPr>
        <w:t xml:space="preserve"> RESTO</w:t>
      </w:r>
      <w:r w:rsidR="1F21FCF0" w:rsidRPr="003A173C">
        <w:rPr>
          <w:rFonts w:ascii="Calibri" w:hAnsi="Calibri" w:cs="Calibri"/>
        </w:rPr>
        <w:t>R</w:t>
      </w:r>
      <w:r w:rsidRPr="003A173C">
        <w:rPr>
          <w:rFonts w:ascii="Calibri" w:hAnsi="Calibri" w:cs="Calibri"/>
        </w:rPr>
        <w:t>ATIVE CARE REQUIREMENTS</w:t>
      </w:r>
      <w:bookmarkEnd w:id="1321"/>
    </w:p>
    <w:p w14:paraId="01873C59" w14:textId="686FEDB2" w:rsidR="006D7E78" w:rsidRPr="003A173C" w:rsidRDefault="7D7E5822" w:rsidP="1CBD4533">
      <w:pPr>
        <w:spacing w:before="0" w:after="0"/>
        <w:rPr>
          <w:rFonts w:eastAsia="Calibri" w:cs="Calibri"/>
          <w:spacing w:val="0"/>
          <w:szCs w:val="20"/>
          <w:lang w:eastAsia="en-US"/>
        </w:rPr>
      </w:pPr>
      <w:bookmarkStart w:id="1322" w:name="_Toc249169621"/>
      <w:bookmarkStart w:id="1323" w:name="_Toc395537194"/>
      <w:bookmarkStart w:id="1324" w:name="_Toc422732551"/>
      <w:bookmarkStart w:id="1325" w:name="_Toc422752891"/>
      <w:r w:rsidRPr="003A173C">
        <w:rPr>
          <w:rFonts w:eastAsia="Calibri" w:cs="Calibri"/>
          <w:spacing w:val="0"/>
          <w:szCs w:val="20"/>
          <w:lang w:eastAsia="en-US"/>
        </w:rPr>
        <w:t>Th</w:t>
      </w:r>
      <w:r w:rsidR="62E9E33E" w:rsidRPr="003A173C">
        <w:rPr>
          <w:rFonts w:eastAsia="Calibri" w:cs="Calibri"/>
          <w:spacing w:val="0"/>
          <w:szCs w:val="20"/>
          <w:lang w:eastAsia="en-US"/>
        </w:rPr>
        <w:t xml:space="preserve">is chapter </w:t>
      </w:r>
      <w:r w:rsidRPr="003A173C">
        <w:rPr>
          <w:rFonts w:eastAsia="Calibri" w:cs="Calibri"/>
          <w:spacing w:val="0"/>
          <w:szCs w:val="20"/>
          <w:lang w:eastAsia="en-US"/>
        </w:rPr>
        <w:t>outline</w:t>
      </w:r>
      <w:r w:rsidR="62E9E33E" w:rsidRPr="003A173C">
        <w:rPr>
          <w:rFonts w:eastAsia="Calibri" w:cs="Calibri"/>
          <w:spacing w:val="0"/>
          <w:szCs w:val="20"/>
          <w:lang w:eastAsia="en-US"/>
        </w:rPr>
        <w:t>s</w:t>
      </w:r>
      <w:r w:rsidRPr="003A173C">
        <w:rPr>
          <w:rFonts w:eastAsia="Calibri" w:cs="Calibri"/>
          <w:spacing w:val="0"/>
          <w:szCs w:val="20"/>
          <w:lang w:eastAsia="en-US"/>
        </w:rPr>
        <w:t xml:space="preserve"> the restorative care requirements that service providers must comply with when delivering transition care to </w:t>
      </w:r>
      <w:r w:rsidR="3BD6DCAD" w:rsidRPr="003A173C">
        <w:rPr>
          <w:rFonts w:eastAsia="Calibri" w:cs="Calibri"/>
          <w:szCs w:val="20"/>
          <w:lang w:eastAsia="en-US"/>
        </w:rPr>
        <w:t>individuals</w:t>
      </w:r>
      <w:r w:rsidRPr="003A173C">
        <w:rPr>
          <w:rFonts w:eastAsia="Calibri" w:cs="Calibri"/>
          <w:spacing w:val="0"/>
          <w:szCs w:val="20"/>
          <w:lang w:eastAsia="en-US"/>
        </w:rPr>
        <w:t xml:space="preserve">. </w:t>
      </w:r>
    </w:p>
    <w:p w14:paraId="2E3A3A2C" w14:textId="77777777" w:rsidR="00241DFB" w:rsidRPr="003A173C" w:rsidRDefault="00241DFB" w:rsidP="00412682">
      <w:pPr>
        <w:pStyle w:val="Heading2"/>
        <w:rPr>
          <w:rFonts w:ascii="Calibri" w:hAnsi="Calibri" w:cs="Calibri"/>
          <w:bCs w:val="0"/>
        </w:rPr>
      </w:pPr>
      <w:bookmarkStart w:id="1326" w:name="_Toc216865485"/>
      <w:r w:rsidRPr="003A173C">
        <w:rPr>
          <w:rFonts w:ascii="Calibri" w:hAnsi="Calibri" w:cs="Calibri"/>
        </w:rPr>
        <w:t>Optimising Independence and Wellbeing – Requirement 1</w:t>
      </w:r>
      <w:bookmarkEnd w:id="1326"/>
      <w:r w:rsidRPr="003A173C">
        <w:rPr>
          <w:rFonts w:ascii="Calibri" w:hAnsi="Calibri" w:cs="Calibri"/>
        </w:rPr>
        <w:t> </w:t>
      </w:r>
    </w:p>
    <w:p w14:paraId="5FA0BFF3" w14:textId="488F565E" w:rsidR="00241DFB" w:rsidRPr="003A173C" w:rsidRDefault="00241DFB" w:rsidP="007206E9">
      <w:pPr>
        <w:rPr>
          <w:rFonts w:cs="Calibri"/>
          <w:szCs w:val="20"/>
        </w:rPr>
      </w:pPr>
      <w:r w:rsidRPr="003A173C">
        <w:rPr>
          <w:rFonts w:cs="Calibri"/>
          <w:szCs w:val="20"/>
        </w:rPr>
        <w:t>The transition care service optimises the independence and wellbeing of its care recipients.</w:t>
      </w:r>
    </w:p>
    <w:p w14:paraId="34F0C144" w14:textId="77777777" w:rsidR="00241DFB" w:rsidRPr="00721280" w:rsidRDefault="00241DFB" w:rsidP="008974DB">
      <w:pPr>
        <w:pStyle w:val="Style3"/>
      </w:pPr>
      <w:bookmarkStart w:id="1327" w:name="_Toc216865486"/>
      <w:r w:rsidRPr="00721280">
        <w:t>Assessment processes:</w:t>
      </w:r>
      <w:bookmarkEnd w:id="1327"/>
      <w:r w:rsidRPr="00721280">
        <w:t> </w:t>
      </w:r>
    </w:p>
    <w:p w14:paraId="13332E70" w14:textId="4DF998DB"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 xml:space="preserve">allow care recipients or their </w:t>
      </w:r>
      <w:r w:rsidR="0082540F" w:rsidRPr="003A173C">
        <w:rPr>
          <w:rFonts w:cs="Calibri"/>
          <w:szCs w:val="20"/>
        </w:rPr>
        <w:t>supporters</w:t>
      </w:r>
      <w:r w:rsidRPr="003A173C">
        <w:rPr>
          <w:rFonts w:cs="Calibri"/>
          <w:szCs w:val="20"/>
        </w:rPr>
        <w:t>, assisted by carers and families as appropriate, to make informed choices between transition care service options to define and set their goals to optimise their independence and wellbeing; </w:t>
      </w:r>
    </w:p>
    <w:p w14:paraId="2D894545" w14:textId="77777777"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include an assessment of care recipients’ physical and cognitive independence, as well as their psycho-social needs; and </w:t>
      </w:r>
    </w:p>
    <w:p w14:paraId="063345F5" w14:textId="77777777" w:rsidR="00241DFB" w:rsidRPr="003A173C" w:rsidRDefault="00241DFB" w:rsidP="0050112F">
      <w:pPr>
        <w:pStyle w:val="ListBullet"/>
        <w:numPr>
          <w:ilvl w:val="0"/>
          <w:numId w:val="60"/>
        </w:numPr>
        <w:spacing w:before="0"/>
        <w:contextualSpacing w:val="0"/>
        <w:rPr>
          <w:rFonts w:cs="Calibri"/>
          <w:szCs w:val="20"/>
        </w:rPr>
      </w:pPr>
      <w:r w:rsidRPr="003A173C">
        <w:rPr>
          <w:rFonts w:cs="Calibri"/>
          <w:szCs w:val="20"/>
        </w:rPr>
        <w:t>consider special needs groups, including people from Aboriginal and Torres Strait Islander communities, people from culturally and linguistically diverse backgrounds, and people who have a physical or cognitive impairment. </w:t>
      </w:r>
      <w:r w:rsidRPr="003A173C">
        <w:rPr>
          <w:rFonts w:cs="Calibri"/>
          <w:szCs w:val="20"/>
        </w:rPr>
        <w:br/>
      </w:r>
    </w:p>
    <w:p w14:paraId="780F6BF7" w14:textId="77777777" w:rsidR="00241DFB" w:rsidRPr="00721280" w:rsidRDefault="00241DFB" w:rsidP="008974DB">
      <w:pPr>
        <w:pStyle w:val="Style3"/>
      </w:pPr>
      <w:bookmarkStart w:id="1328" w:name="_Toc216865487"/>
      <w:r w:rsidRPr="00721280">
        <w:t>Care planning is focussed on optimising independence and wellbeing and includes a goal-oriented care plan for the care recipient that:</w:t>
      </w:r>
      <w:bookmarkEnd w:id="1328"/>
      <w:r w:rsidRPr="00721280">
        <w:t> </w:t>
      </w:r>
    </w:p>
    <w:p w14:paraId="64FBB027"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responds to the identified needs of the individual and targets those goals which optimise independence while taking into consideration the cognitive and psycho-social needs of the individual;</w:t>
      </w:r>
    </w:p>
    <w:p w14:paraId="26A1C2E8" w14:textId="77777777"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provides the individual with required physical and cognitive therapies and treatments designed to teach the individual to achieve their own goals; and </w:t>
      </w:r>
    </w:p>
    <w:p w14:paraId="26BEF6A1" w14:textId="69612A5D" w:rsidR="00241DFB" w:rsidRPr="003A173C" w:rsidRDefault="00241DFB" w:rsidP="00241DFB">
      <w:pPr>
        <w:pStyle w:val="ListBullet"/>
        <w:tabs>
          <w:tab w:val="num" w:pos="720"/>
        </w:tabs>
        <w:spacing w:before="0"/>
        <w:ind w:left="714"/>
        <w:contextualSpacing w:val="0"/>
        <w:rPr>
          <w:rFonts w:cs="Calibri"/>
          <w:szCs w:val="20"/>
        </w:rPr>
      </w:pPr>
      <w:r w:rsidRPr="003A173C">
        <w:rPr>
          <w:rFonts w:cs="Calibri"/>
          <w:szCs w:val="20"/>
        </w:rPr>
        <w:t>improves the individual’s functioning by promoting independence and monitoring improvement, in consultation with the individual and/or their supporters, carers and families, clinicians, and therapists.</w:t>
      </w:r>
    </w:p>
    <w:p w14:paraId="070848BF" w14:textId="3D7E1B66" w:rsidR="00241DFB" w:rsidRPr="00721280" w:rsidRDefault="00241DFB" w:rsidP="008974DB">
      <w:pPr>
        <w:pStyle w:val="Style3"/>
      </w:pPr>
      <w:bookmarkStart w:id="1329" w:name="_Toc216865488"/>
      <w:r w:rsidRPr="00721280">
        <w:t>The transition care registered provider demonstrates that its service:</w:t>
      </w:r>
      <w:bookmarkEnd w:id="1329"/>
    </w:p>
    <w:p w14:paraId="63DB7B16"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provides a coherent and integrated case management process that enables individuals to meet their goals and takes into consideration the psycho-social situation of the individuals;</w:t>
      </w:r>
      <w:r w:rsidRPr="003A173C">
        <w:rPr>
          <w:rFonts w:cs="Calibri"/>
          <w:szCs w:val="20"/>
        </w:rPr>
        <w:t> </w:t>
      </w:r>
    </w:p>
    <w:p w14:paraId="760DE191" w14:textId="77777777" w:rsidR="00241DFB" w:rsidRPr="003A173C" w:rsidRDefault="00241DFB" w:rsidP="0050112F">
      <w:pPr>
        <w:numPr>
          <w:ilvl w:val="0"/>
          <w:numId w:val="18"/>
        </w:numPr>
        <w:spacing w:before="0" w:after="160" w:line="259" w:lineRule="auto"/>
        <w:rPr>
          <w:rFonts w:cs="Calibri"/>
          <w:szCs w:val="20"/>
        </w:rPr>
      </w:pPr>
      <w:r w:rsidRPr="003A173C">
        <w:rPr>
          <w:rFonts w:cs="Calibri"/>
          <w:szCs w:val="20"/>
        </w:rPr>
        <w:t>actively promotes self-management and self-sufficiency by providing interventions to support the individual to make the most of their own capacity and achieve their full potential; </w:t>
      </w:r>
    </w:p>
    <w:p w14:paraId="0D936B12" w14:textId="77777777" w:rsidR="00241DFB" w:rsidRPr="003A173C" w:rsidRDefault="00241DFB" w:rsidP="0050112F">
      <w:pPr>
        <w:numPr>
          <w:ilvl w:val="0"/>
          <w:numId w:val="19"/>
        </w:numPr>
        <w:spacing w:before="0" w:after="160" w:line="259" w:lineRule="auto"/>
        <w:rPr>
          <w:rFonts w:cs="Calibri"/>
          <w:szCs w:val="20"/>
        </w:rPr>
      </w:pPr>
      <w:r w:rsidRPr="003A173C">
        <w:rPr>
          <w:rFonts w:cs="Calibri"/>
          <w:szCs w:val="20"/>
        </w:rPr>
        <w:t>encourages individuals to seek support from carers and families, community groups and others to foster their independence when required; </w:t>
      </w:r>
    </w:p>
    <w:p w14:paraId="6B7F3A86" w14:textId="77777777" w:rsidR="00241DFB" w:rsidRPr="003A173C" w:rsidRDefault="00241DFB" w:rsidP="0050112F">
      <w:pPr>
        <w:numPr>
          <w:ilvl w:val="0"/>
          <w:numId w:val="20"/>
        </w:numPr>
        <w:spacing w:before="0" w:after="160" w:line="259" w:lineRule="auto"/>
        <w:rPr>
          <w:rFonts w:cs="Calibri"/>
          <w:szCs w:val="20"/>
        </w:rPr>
      </w:pPr>
      <w:r w:rsidRPr="003A173C">
        <w:rPr>
          <w:rFonts w:cs="Calibri"/>
          <w:szCs w:val="20"/>
        </w:rPr>
        <w:t>assists individuals to achieve an optimum level of independence and wellbeing so that care needs are minimised over the longer term; </w:t>
      </w:r>
    </w:p>
    <w:p w14:paraId="0AF50E3C" w14:textId="77777777" w:rsidR="00241DFB" w:rsidRPr="003A173C" w:rsidRDefault="00241DFB" w:rsidP="0050112F">
      <w:pPr>
        <w:numPr>
          <w:ilvl w:val="0"/>
          <w:numId w:val="21"/>
        </w:numPr>
        <w:spacing w:before="0" w:after="160" w:line="259" w:lineRule="auto"/>
        <w:rPr>
          <w:rFonts w:cs="Calibri"/>
          <w:szCs w:val="20"/>
        </w:rPr>
      </w:pPr>
      <w:r w:rsidRPr="003A173C">
        <w:rPr>
          <w:rFonts w:cs="Calibri"/>
          <w:szCs w:val="20"/>
        </w:rPr>
        <w:t>provides facility-based residential transition care services in a more home-like, less institutional environment. This may include: </w:t>
      </w:r>
    </w:p>
    <w:p w14:paraId="762FC878" w14:textId="77777777" w:rsidR="00241DFB" w:rsidRPr="003A173C" w:rsidRDefault="00241DFB" w:rsidP="0050112F">
      <w:pPr>
        <w:numPr>
          <w:ilvl w:val="0"/>
          <w:numId w:val="22"/>
        </w:numPr>
        <w:spacing w:before="0" w:after="160" w:line="259" w:lineRule="auto"/>
        <w:rPr>
          <w:rFonts w:cs="Calibri"/>
          <w:szCs w:val="20"/>
        </w:rPr>
      </w:pPr>
      <w:r w:rsidRPr="003A173C">
        <w:rPr>
          <w:rFonts w:cs="Calibri"/>
          <w:szCs w:val="20"/>
        </w:rPr>
        <w:t>a communal living space/living room environment which is separate from sleeping areas and the location of acute/subacute care provision, i.e. a space that encourages carers, families and visitors to spend time with individuals; </w:t>
      </w:r>
    </w:p>
    <w:p w14:paraId="222A9809" w14:textId="77777777" w:rsidR="00241DFB" w:rsidRPr="003A173C" w:rsidRDefault="00241DFB" w:rsidP="0050112F">
      <w:pPr>
        <w:numPr>
          <w:ilvl w:val="0"/>
          <w:numId w:val="23"/>
        </w:numPr>
        <w:spacing w:before="0" w:after="160" w:line="259" w:lineRule="auto"/>
        <w:rPr>
          <w:rFonts w:cs="Calibri"/>
          <w:szCs w:val="20"/>
        </w:rPr>
      </w:pPr>
      <w:r w:rsidRPr="003A173C">
        <w:rPr>
          <w:rFonts w:cs="Calibri"/>
          <w:szCs w:val="20"/>
        </w:rPr>
        <w:t>a dining area, and individuals are encouraged not to eat in bed; </w:t>
      </w:r>
    </w:p>
    <w:p w14:paraId="57174F3C" w14:textId="77777777" w:rsidR="00241DFB" w:rsidRPr="003A173C" w:rsidRDefault="00241DFB" w:rsidP="0050112F">
      <w:pPr>
        <w:numPr>
          <w:ilvl w:val="0"/>
          <w:numId w:val="24"/>
        </w:numPr>
        <w:spacing w:before="0" w:after="160" w:line="259" w:lineRule="auto"/>
        <w:rPr>
          <w:rFonts w:cs="Calibri"/>
          <w:szCs w:val="20"/>
        </w:rPr>
      </w:pPr>
      <w:r w:rsidRPr="003A173C">
        <w:rPr>
          <w:rFonts w:cs="Calibri"/>
          <w:szCs w:val="20"/>
        </w:rPr>
        <w:t>individuals being encouraged and supported to dress every day; </w:t>
      </w:r>
    </w:p>
    <w:p w14:paraId="344792F4" w14:textId="77777777" w:rsidR="00241DFB" w:rsidRPr="003A173C" w:rsidRDefault="00241DFB" w:rsidP="0050112F">
      <w:pPr>
        <w:numPr>
          <w:ilvl w:val="0"/>
          <w:numId w:val="25"/>
        </w:numPr>
        <w:spacing w:before="0" w:after="160" w:line="259" w:lineRule="auto"/>
        <w:rPr>
          <w:rFonts w:cs="Calibri"/>
          <w:szCs w:val="20"/>
        </w:rPr>
      </w:pPr>
      <w:r w:rsidRPr="003A173C">
        <w:rPr>
          <w:rFonts w:cs="Calibri"/>
          <w:szCs w:val="20"/>
        </w:rPr>
        <w:t>facilities for individuals to prepare snacks for themselves and their visitors; </w:t>
      </w:r>
    </w:p>
    <w:p w14:paraId="38DD7288" w14:textId="77777777" w:rsidR="00241DFB" w:rsidRPr="003A173C" w:rsidRDefault="00241DFB" w:rsidP="0050112F">
      <w:pPr>
        <w:numPr>
          <w:ilvl w:val="0"/>
          <w:numId w:val="26"/>
        </w:numPr>
        <w:spacing w:before="0" w:after="160" w:line="259" w:lineRule="auto"/>
        <w:rPr>
          <w:rFonts w:cs="Calibri"/>
          <w:szCs w:val="20"/>
        </w:rPr>
      </w:pPr>
      <w:r w:rsidRPr="003A173C">
        <w:rPr>
          <w:rFonts w:cs="Calibri"/>
          <w:szCs w:val="20"/>
        </w:rPr>
        <w:t>privacy, particularly for personal care and bathing arrangements; </w:t>
      </w:r>
    </w:p>
    <w:p w14:paraId="227FA7B8" w14:textId="77777777" w:rsidR="00241DFB" w:rsidRPr="003A173C" w:rsidRDefault="00241DFB" w:rsidP="0050112F">
      <w:pPr>
        <w:numPr>
          <w:ilvl w:val="0"/>
          <w:numId w:val="27"/>
        </w:numPr>
        <w:spacing w:before="0" w:after="160" w:line="259" w:lineRule="auto"/>
        <w:rPr>
          <w:rFonts w:cs="Calibri"/>
          <w:szCs w:val="20"/>
        </w:rPr>
      </w:pPr>
      <w:r w:rsidRPr="003A173C">
        <w:rPr>
          <w:rFonts w:cs="Calibri"/>
          <w:szCs w:val="20"/>
        </w:rPr>
        <w:lastRenderedPageBreak/>
        <w:t>space for individuals to move about, especially outdoors; </w:t>
      </w:r>
    </w:p>
    <w:p w14:paraId="16520F4B" w14:textId="77777777" w:rsidR="00241DFB" w:rsidRPr="003A173C" w:rsidRDefault="00241DFB" w:rsidP="0050112F">
      <w:pPr>
        <w:numPr>
          <w:ilvl w:val="0"/>
          <w:numId w:val="28"/>
        </w:numPr>
        <w:spacing w:before="0" w:after="160" w:line="259" w:lineRule="auto"/>
        <w:rPr>
          <w:rFonts w:cs="Calibri"/>
          <w:szCs w:val="20"/>
        </w:rPr>
      </w:pPr>
      <w:r w:rsidRPr="003A173C">
        <w:rPr>
          <w:rFonts w:cs="Calibri"/>
          <w:szCs w:val="20"/>
        </w:rPr>
        <w:t>physical arrangements which support the involvement of carers and family in the therapeutic activities; and </w:t>
      </w:r>
    </w:p>
    <w:p w14:paraId="652174BB" w14:textId="77777777" w:rsidR="00241DFB" w:rsidRPr="003A173C" w:rsidRDefault="00241DFB" w:rsidP="0050112F">
      <w:pPr>
        <w:numPr>
          <w:ilvl w:val="0"/>
          <w:numId w:val="29"/>
        </w:numPr>
        <w:spacing w:before="0" w:after="160" w:line="259" w:lineRule="auto"/>
        <w:rPr>
          <w:rFonts w:cs="Calibri"/>
          <w:szCs w:val="20"/>
        </w:rPr>
      </w:pPr>
      <w:r w:rsidRPr="003A173C">
        <w:rPr>
          <w:rFonts w:cs="Calibri"/>
          <w:szCs w:val="20"/>
        </w:rPr>
        <w:t>a model of care and staff knowledge that supports the intent of the Transition Care Program to promote the individual’s health and independence. </w:t>
      </w:r>
    </w:p>
    <w:p w14:paraId="4F880485" w14:textId="29966228" w:rsidR="00241DFB" w:rsidRPr="007206E9" w:rsidRDefault="00241DFB" w:rsidP="007206E9">
      <w:r w:rsidRPr="003A173C">
        <w:rPr>
          <w:rFonts w:cs="Calibri"/>
          <w:b/>
          <w:bCs/>
          <w:szCs w:val="20"/>
        </w:rPr>
        <w:t>Note:</w:t>
      </w:r>
      <w:r w:rsidRPr="003A173C">
        <w:rPr>
          <w:rFonts w:cs="Calibri"/>
          <w:szCs w:val="20"/>
        </w:rPr>
        <w:t xml:space="preserve"> Transition care services may also be provided in hospitals where appropriate. The requirements for a more home-like environment may be relaxed on a case-by-case basis in these locations, if relevant.</w:t>
      </w:r>
    </w:p>
    <w:p w14:paraId="3022534F" w14:textId="77777777" w:rsidR="00241DFB" w:rsidRPr="003A173C" w:rsidRDefault="00241DFB" w:rsidP="00412682">
      <w:pPr>
        <w:pStyle w:val="Heading2"/>
        <w:rPr>
          <w:rFonts w:ascii="Calibri" w:hAnsi="Calibri" w:cs="Calibri"/>
        </w:rPr>
      </w:pPr>
      <w:bookmarkStart w:id="1330" w:name="_Toc216865489"/>
      <w:r w:rsidRPr="003A173C">
        <w:rPr>
          <w:rFonts w:ascii="Calibri" w:hAnsi="Calibri" w:cs="Calibri"/>
        </w:rPr>
        <w:t>Multidisciplinary Approach and Therapy Focused Care – Requirement 2</w:t>
      </w:r>
      <w:bookmarkEnd w:id="1330"/>
      <w:r w:rsidRPr="003A173C">
        <w:rPr>
          <w:rFonts w:ascii="Calibri" w:hAnsi="Calibri" w:cs="Calibri"/>
        </w:rPr>
        <w:t> </w:t>
      </w:r>
    </w:p>
    <w:p w14:paraId="2FE2D43E" w14:textId="06261292" w:rsidR="00241DFB" w:rsidRPr="003A173C" w:rsidRDefault="00241DFB" w:rsidP="00241DFB">
      <w:pPr>
        <w:rPr>
          <w:rFonts w:cs="Calibri"/>
          <w:szCs w:val="20"/>
        </w:rPr>
      </w:pPr>
      <w:r w:rsidRPr="003A173C">
        <w:rPr>
          <w:rFonts w:cs="Calibri"/>
          <w:szCs w:val="20"/>
        </w:rPr>
        <w:t>The transition care service provides individuals with high quality, evidence-based therapeutic services focussed on maintaining or improving function in line with established goals.</w:t>
      </w:r>
    </w:p>
    <w:p w14:paraId="2BF5207F" w14:textId="77777777" w:rsidR="00241DFB" w:rsidRPr="00721280" w:rsidRDefault="00241DFB" w:rsidP="008974DB">
      <w:pPr>
        <w:pStyle w:val="Style3"/>
      </w:pPr>
      <w:bookmarkStart w:id="1331" w:name="_Toc216865490"/>
      <w:r w:rsidRPr="00721280">
        <w:t>Assessment processes:</w:t>
      </w:r>
      <w:bookmarkEnd w:id="1331"/>
      <w:r w:rsidRPr="00721280">
        <w:t> </w:t>
      </w:r>
    </w:p>
    <w:p w14:paraId="75EC7709"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assess the individual’s transition care needs via a multidisciplinary team (MDT) at the beginning of the transition care episode; </w:t>
      </w:r>
    </w:p>
    <w:p w14:paraId="0B9F786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use validated assessment tools deemed appropriate by clinicians/therapists; </w:t>
      </w:r>
    </w:p>
    <w:p w14:paraId="7FD9C81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 xml:space="preserve">include a dementia assessment; </w:t>
      </w:r>
    </w:p>
    <w:p w14:paraId="60DF57E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include measurement of a baseline level of functioning using validated assessment tools, and reassessment of functional performance at pre-determined intervals; and </w:t>
      </w:r>
    </w:p>
    <w:p w14:paraId="733B2E13" w14:textId="77777777" w:rsidR="00241DFB" w:rsidRPr="003A173C" w:rsidRDefault="00241DFB" w:rsidP="0050112F">
      <w:pPr>
        <w:numPr>
          <w:ilvl w:val="0"/>
          <w:numId w:val="17"/>
        </w:numPr>
        <w:spacing w:before="0" w:after="160" w:line="259" w:lineRule="auto"/>
        <w:rPr>
          <w:rFonts w:cs="Calibri"/>
          <w:szCs w:val="20"/>
        </w:rPr>
      </w:pPr>
      <w:r w:rsidRPr="003A173C">
        <w:rPr>
          <w:rFonts w:cs="Calibri"/>
          <w:szCs w:val="20"/>
          <w:lang w:val="en-US"/>
        </w:rPr>
        <w:t>include evidence of discharge planning throughout the transition care episode.</w:t>
      </w:r>
      <w:r w:rsidRPr="003A173C">
        <w:rPr>
          <w:rFonts w:cs="Calibri"/>
          <w:szCs w:val="20"/>
        </w:rPr>
        <w:t> </w:t>
      </w:r>
    </w:p>
    <w:p w14:paraId="4320170A" w14:textId="7546C617" w:rsidR="00241DFB" w:rsidRPr="003A173C" w:rsidRDefault="00241DFB" w:rsidP="007206E9">
      <w:r w:rsidRPr="003A173C">
        <w:rPr>
          <w:b/>
          <w:bCs/>
        </w:rPr>
        <w:t>Note:</w:t>
      </w:r>
      <w:r w:rsidRPr="003A173C">
        <w:t xml:space="preserve"> The use of the Modified Barthel Index for assessments by the transition care registered providers at entry to and exit from the TCP is mandatory for Australian Government subsidy payments.</w:t>
      </w:r>
    </w:p>
    <w:p w14:paraId="4120BE4A" w14:textId="77777777" w:rsidR="00241DFB" w:rsidRPr="00721280" w:rsidRDefault="00241DFB" w:rsidP="008974DB">
      <w:pPr>
        <w:pStyle w:val="Style3"/>
      </w:pPr>
      <w:bookmarkStart w:id="1332" w:name="_Toc216865491"/>
      <w:r w:rsidRPr="00721280">
        <w:t>Care planning processes demonstrate that:</w:t>
      </w:r>
      <w:bookmarkEnd w:id="1332"/>
      <w:r w:rsidRPr="00721280">
        <w:t> </w:t>
      </w:r>
    </w:p>
    <w:p w14:paraId="2030E6B0"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a goal-oriented physical and cognitive therapy program is developed by the registered provider in consultation with the individual or supporter, carer, and family prior to the commencement of therapy or treatment, with input from the MDT of the transferring hospital and the clinical aged care needs assessor; </w:t>
      </w:r>
    </w:p>
    <w:p w14:paraId="0F0EC48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therapy program duration is estimated and informs planning for the individual’s discharge;</w:t>
      </w:r>
    </w:p>
    <w:p w14:paraId="44975487"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hospital discharge information is incorporated into the initial care planning process; </w:t>
      </w:r>
    </w:p>
    <w:p w14:paraId="7C9289D1"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provision is responsive to the identified needs and goals of the individual; </w:t>
      </w:r>
    </w:p>
    <w:p w14:paraId="1CBE21C5"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physical and cognitive therapy goals agreed with the individual, or their supporter/carer, are documented and prioritised; </w:t>
      </w:r>
    </w:p>
    <w:p w14:paraId="45224C5F"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individual receives timely and appropriate access to therapy, care and equipment during the transition care episode. This is demonstrated by: </w:t>
      </w:r>
    </w:p>
    <w:p w14:paraId="4FD8AF21" w14:textId="77777777" w:rsidR="00241DFB" w:rsidRPr="003A173C" w:rsidRDefault="00241DFB" w:rsidP="0050112F">
      <w:pPr>
        <w:numPr>
          <w:ilvl w:val="0"/>
          <w:numId w:val="30"/>
        </w:numPr>
        <w:spacing w:before="0" w:after="160" w:line="259" w:lineRule="auto"/>
        <w:rPr>
          <w:rFonts w:cs="Calibri"/>
          <w:szCs w:val="20"/>
        </w:rPr>
      </w:pPr>
      <w:r w:rsidRPr="003A173C">
        <w:rPr>
          <w:rFonts w:cs="Calibri"/>
          <w:szCs w:val="20"/>
        </w:rPr>
        <w:t>ensuring aids, appliances, equipment and services required for an individual’s therapy are provided in a timely manner; </w:t>
      </w:r>
    </w:p>
    <w:p w14:paraId="46C35DEE" w14:textId="77777777" w:rsidR="00241DFB" w:rsidRPr="003A173C" w:rsidRDefault="00241DFB" w:rsidP="0050112F">
      <w:pPr>
        <w:numPr>
          <w:ilvl w:val="0"/>
          <w:numId w:val="31"/>
        </w:numPr>
        <w:spacing w:before="0" w:after="160" w:line="259" w:lineRule="auto"/>
        <w:rPr>
          <w:rFonts w:cs="Calibri"/>
          <w:szCs w:val="20"/>
        </w:rPr>
      </w:pPr>
      <w:r w:rsidRPr="003A173C">
        <w:rPr>
          <w:rFonts w:cs="Calibri"/>
          <w:szCs w:val="20"/>
        </w:rPr>
        <w:t>providing a broad range of services tailored to meet the individual’s therapeutic goals to improve or maintain function; </w:t>
      </w:r>
    </w:p>
    <w:p w14:paraId="4FF73E3D" w14:textId="77777777" w:rsidR="00241DFB" w:rsidRPr="003A173C" w:rsidRDefault="00241DFB" w:rsidP="0050112F">
      <w:pPr>
        <w:numPr>
          <w:ilvl w:val="0"/>
          <w:numId w:val="32"/>
        </w:numPr>
        <w:spacing w:before="0" w:after="160" w:line="259" w:lineRule="auto"/>
        <w:rPr>
          <w:rFonts w:cs="Calibri"/>
          <w:szCs w:val="20"/>
        </w:rPr>
      </w:pPr>
      <w:r w:rsidRPr="003A173C">
        <w:rPr>
          <w:rFonts w:cs="Calibri"/>
          <w:szCs w:val="20"/>
        </w:rPr>
        <w:t>providing the individual with restorative care therapy from appropriately qualified staff to achieve their individual documented goals; and </w:t>
      </w:r>
    </w:p>
    <w:p w14:paraId="5B1B8EA3" w14:textId="77777777" w:rsidR="00241DFB" w:rsidRPr="003A173C" w:rsidRDefault="00241DFB" w:rsidP="0050112F">
      <w:pPr>
        <w:numPr>
          <w:ilvl w:val="0"/>
          <w:numId w:val="33"/>
        </w:numPr>
        <w:spacing w:before="0" w:after="160" w:line="259" w:lineRule="auto"/>
        <w:rPr>
          <w:rFonts w:cs="Calibri"/>
          <w:szCs w:val="20"/>
        </w:rPr>
      </w:pPr>
      <w:r w:rsidRPr="003A173C">
        <w:rPr>
          <w:rFonts w:cs="Calibri"/>
          <w:szCs w:val="20"/>
        </w:rPr>
        <w:t>actively encouraging the individual, and/or their supporter, carer and family to participate in all aspects of transition care service provision; </w:t>
      </w:r>
    </w:p>
    <w:p w14:paraId="4B3BF34F" w14:textId="77777777" w:rsidR="00241DFB" w:rsidRPr="003A173C" w:rsidRDefault="00241DFB" w:rsidP="0050112F">
      <w:pPr>
        <w:numPr>
          <w:ilvl w:val="0"/>
          <w:numId w:val="34"/>
        </w:numPr>
        <w:spacing w:before="0" w:after="160" w:line="259" w:lineRule="auto"/>
        <w:rPr>
          <w:rFonts w:cs="Calibri"/>
          <w:szCs w:val="20"/>
        </w:rPr>
      </w:pPr>
      <w:r w:rsidRPr="003A173C">
        <w:rPr>
          <w:rFonts w:cs="Calibri"/>
          <w:szCs w:val="20"/>
          <w:lang w:val="en-US"/>
        </w:rPr>
        <w:lastRenderedPageBreak/>
        <w:t>the individual’s progress against therapy goals is regularly evaluated throughout their transition care episode and on exit, with changes in physical and cognitive function measured and recorded to demonstrate achievement of the individual’s goals;</w:t>
      </w:r>
      <w:r w:rsidRPr="003A173C">
        <w:rPr>
          <w:rFonts w:cs="Calibri"/>
          <w:szCs w:val="20"/>
        </w:rPr>
        <w:t> </w:t>
      </w:r>
    </w:p>
    <w:p w14:paraId="55F1ED59" w14:textId="77777777" w:rsidR="00241DFB" w:rsidRPr="003A173C" w:rsidRDefault="00241DFB" w:rsidP="0050112F">
      <w:pPr>
        <w:numPr>
          <w:ilvl w:val="0"/>
          <w:numId w:val="35"/>
        </w:numPr>
        <w:spacing w:before="0" w:after="160" w:line="259" w:lineRule="auto"/>
        <w:rPr>
          <w:rFonts w:cs="Calibri"/>
          <w:szCs w:val="20"/>
        </w:rPr>
      </w:pPr>
      <w:r w:rsidRPr="003A173C">
        <w:rPr>
          <w:rFonts w:cs="Calibri"/>
          <w:szCs w:val="20"/>
          <w:lang w:val="en-US"/>
        </w:rPr>
        <w:t>the individual’s changing needs are reflected as they move between care settings; and</w:t>
      </w:r>
      <w:r w:rsidRPr="003A173C">
        <w:rPr>
          <w:rFonts w:cs="Calibri"/>
          <w:szCs w:val="20"/>
        </w:rPr>
        <w:t> </w:t>
      </w:r>
    </w:p>
    <w:p w14:paraId="411E8918" w14:textId="5000F178" w:rsidR="00241DFB" w:rsidRPr="007206E9" w:rsidRDefault="00241DFB" w:rsidP="0050112F">
      <w:pPr>
        <w:numPr>
          <w:ilvl w:val="0"/>
          <w:numId w:val="36"/>
        </w:numPr>
        <w:spacing w:before="0" w:after="160" w:line="259" w:lineRule="auto"/>
        <w:rPr>
          <w:rFonts w:cs="Calibri"/>
          <w:szCs w:val="20"/>
        </w:rPr>
      </w:pPr>
      <w:r w:rsidRPr="003A173C">
        <w:rPr>
          <w:rFonts w:cs="Calibri"/>
          <w:szCs w:val="20"/>
          <w:lang w:val="en-US"/>
        </w:rPr>
        <w:t>individual goals are delivered in accordance with the care plan, using an integrated case management approach.</w:t>
      </w:r>
    </w:p>
    <w:p w14:paraId="4B7E45B8" w14:textId="5F91E7D7" w:rsidR="00241DFB" w:rsidRPr="00721280" w:rsidRDefault="00241DFB" w:rsidP="008974DB">
      <w:pPr>
        <w:pStyle w:val="Style3"/>
      </w:pPr>
      <w:bookmarkStart w:id="1333" w:name="_Toc216865492"/>
      <w:r w:rsidRPr="00721280">
        <w:t>The MDT approach to the planning and review of individual care demonstrates that</w:t>
      </w:r>
      <w:r w:rsidR="007206E9" w:rsidRPr="00721280">
        <w:t>:</w:t>
      </w:r>
      <w:bookmarkEnd w:id="1333"/>
    </w:p>
    <w:p w14:paraId="4645822E"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documented procedures and protocols are available to support the MDT in the care and review of individuals, including processes for communicating information about individuals to relevant health professionals; </w:t>
      </w:r>
    </w:p>
    <w:p w14:paraId="739FEC7C" w14:textId="47DBC2CE"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planning is carried out by members of the MDT with relevant clinical experience in goal-oriented, low intensity therapy;</w:t>
      </w:r>
    </w:p>
    <w:p w14:paraId="59403FB7" w14:textId="54CD42DC"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plan reviews/case conferencing include those members of the MDT involved in the individual’s treatment and occur at predetermined intervals;</w:t>
      </w:r>
    </w:p>
    <w:p w14:paraId="10D93443" w14:textId="618ACC95"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care is informed by discussions with and between the relevant geriatrician and the individual’s GP, where possible, and/or other appropriate medical input;</w:t>
      </w:r>
    </w:p>
    <w:p w14:paraId="77B6AD94" w14:textId="24D7681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MDTs have integrated individual records;</w:t>
      </w:r>
    </w:p>
    <w:p w14:paraId="362DEC4B" w14:textId="77777777"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the MDT comprises an appropriate mix and level of staff, enabling the provision of effective services to individuals; and </w:t>
      </w:r>
    </w:p>
    <w:p w14:paraId="1ACED7E2" w14:textId="7B780EC6" w:rsidR="00241DFB" w:rsidRPr="003A173C" w:rsidRDefault="00241DFB" w:rsidP="0050112F">
      <w:pPr>
        <w:numPr>
          <w:ilvl w:val="0"/>
          <w:numId w:val="17"/>
        </w:numPr>
        <w:spacing w:before="0" w:after="160" w:line="259" w:lineRule="auto"/>
        <w:rPr>
          <w:rFonts w:cs="Calibri"/>
          <w:szCs w:val="20"/>
          <w:lang w:val="en-US"/>
        </w:rPr>
      </w:pPr>
      <w:r w:rsidRPr="003A173C">
        <w:rPr>
          <w:rFonts w:cs="Calibri"/>
          <w:szCs w:val="20"/>
          <w:lang w:val="en-US"/>
        </w:rPr>
        <w:t>a coordinator/case manager is in place to provide oversight and promote effective MDT and interagency working.</w:t>
      </w:r>
    </w:p>
    <w:p w14:paraId="0C3CBC64" w14:textId="77777777" w:rsidR="00241DFB" w:rsidRPr="003A173C" w:rsidRDefault="00241DFB" w:rsidP="00412682">
      <w:pPr>
        <w:pStyle w:val="Heading2"/>
        <w:rPr>
          <w:rFonts w:ascii="Calibri" w:hAnsi="Calibri" w:cs="Calibri"/>
        </w:rPr>
      </w:pPr>
      <w:bookmarkStart w:id="1334" w:name="_Toc216865493"/>
      <w:r w:rsidRPr="003A173C">
        <w:rPr>
          <w:rFonts w:ascii="Calibri" w:hAnsi="Calibri" w:cs="Calibri"/>
        </w:rPr>
        <w:t>Seamless Care – Requirement 3</w:t>
      </w:r>
      <w:bookmarkEnd w:id="1334"/>
      <w:r w:rsidRPr="003A173C">
        <w:rPr>
          <w:rFonts w:ascii="Calibri" w:hAnsi="Calibri" w:cs="Calibri"/>
        </w:rPr>
        <w:t> </w:t>
      </w:r>
    </w:p>
    <w:p w14:paraId="47569802" w14:textId="671400A3" w:rsidR="00241DFB" w:rsidRPr="003A173C" w:rsidRDefault="00241DFB" w:rsidP="007206E9">
      <w:pPr>
        <w:rPr>
          <w:rFonts w:cs="Calibri"/>
          <w:szCs w:val="20"/>
        </w:rPr>
      </w:pPr>
      <w:r w:rsidRPr="003A173C">
        <w:rPr>
          <w:rFonts w:cs="Calibri"/>
          <w:szCs w:val="20"/>
        </w:rPr>
        <w:t>The transition care service uses a collaborative service delivery model to deliver seamless care.</w:t>
      </w:r>
    </w:p>
    <w:p w14:paraId="60125546" w14:textId="77777777" w:rsidR="00241DFB" w:rsidRPr="00721280" w:rsidRDefault="00241DFB" w:rsidP="008974DB">
      <w:pPr>
        <w:pStyle w:val="Style3"/>
      </w:pPr>
      <w:bookmarkStart w:id="1335" w:name="_Toc216865494"/>
      <w:r w:rsidRPr="00721280">
        <w:t>Assessment processes:</w:t>
      </w:r>
      <w:bookmarkEnd w:id="1335"/>
      <w:r w:rsidRPr="00721280">
        <w:t> </w:t>
      </w:r>
    </w:p>
    <w:p w14:paraId="3A5E4262" w14:textId="77777777" w:rsidR="00241DFB" w:rsidRPr="003A173C" w:rsidRDefault="00241DFB" w:rsidP="0050112F">
      <w:pPr>
        <w:numPr>
          <w:ilvl w:val="0"/>
          <w:numId w:val="37"/>
        </w:numPr>
        <w:spacing w:before="0" w:after="160" w:line="259" w:lineRule="auto"/>
        <w:rPr>
          <w:rFonts w:cs="Calibri"/>
          <w:szCs w:val="20"/>
        </w:rPr>
      </w:pPr>
      <w:r w:rsidRPr="003A173C">
        <w:rPr>
          <w:rFonts w:cs="Calibri"/>
          <w:szCs w:val="20"/>
          <w:lang w:val="en-US"/>
        </w:rPr>
        <w:t>follow agreed protocols for the effective transfer of individual information between primary, community, acute and aged care services;</w:t>
      </w:r>
      <w:r w:rsidRPr="003A173C">
        <w:rPr>
          <w:rFonts w:cs="Calibri"/>
          <w:szCs w:val="20"/>
        </w:rPr>
        <w:t> </w:t>
      </w:r>
    </w:p>
    <w:p w14:paraId="4D258F47" w14:textId="77777777" w:rsidR="00241DFB" w:rsidRPr="003A173C" w:rsidRDefault="00241DFB" w:rsidP="0050112F">
      <w:pPr>
        <w:numPr>
          <w:ilvl w:val="0"/>
          <w:numId w:val="38"/>
        </w:numPr>
        <w:spacing w:before="0" w:after="160" w:line="259" w:lineRule="auto"/>
        <w:rPr>
          <w:rFonts w:cs="Calibri"/>
          <w:szCs w:val="20"/>
        </w:rPr>
      </w:pPr>
      <w:r w:rsidRPr="003A173C">
        <w:rPr>
          <w:rFonts w:cs="Calibri"/>
          <w:szCs w:val="20"/>
          <w:lang w:val="en-US"/>
        </w:rPr>
        <w:t>recognise and incorporate hospital assessment, care planning and discharge arrangements, including an aged care needs assessment and approval recommendations;</w:t>
      </w:r>
      <w:r w:rsidRPr="003A173C">
        <w:rPr>
          <w:rFonts w:cs="Calibri"/>
          <w:szCs w:val="20"/>
        </w:rPr>
        <w:t> </w:t>
      </w:r>
    </w:p>
    <w:p w14:paraId="34F6834A" w14:textId="77777777" w:rsidR="00241DFB" w:rsidRPr="003A173C" w:rsidRDefault="00241DFB" w:rsidP="0050112F">
      <w:pPr>
        <w:numPr>
          <w:ilvl w:val="0"/>
          <w:numId w:val="39"/>
        </w:numPr>
        <w:spacing w:before="0" w:after="160" w:line="259" w:lineRule="auto"/>
        <w:rPr>
          <w:rFonts w:cs="Calibri"/>
          <w:szCs w:val="20"/>
        </w:rPr>
      </w:pPr>
      <w:r w:rsidRPr="003A173C">
        <w:rPr>
          <w:rFonts w:cs="Calibri"/>
          <w:szCs w:val="20"/>
          <w:lang w:val="en-US"/>
        </w:rPr>
        <w:t>enable staff of the receiving transition care service to meet and assess the individual’s care needs and the transition care service’s ability to meet these care needs prior to the individual’s admission into the service, where possible; and</w:t>
      </w:r>
      <w:r w:rsidRPr="003A173C">
        <w:rPr>
          <w:rFonts w:cs="Calibri"/>
          <w:szCs w:val="20"/>
        </w:rPr>
        <w:t> </w:t>
      </w:r>
    </w:p>
    <w:p w14:paraId="70178852" w14:textId="77777777" w:rsidR="00241DFB" w:rsidRPr="003A173C" w:rsidRDefault="00241DFB" w:rsidP="0050112F">
      <w:pPr>
        <w:numPr>
          <w:ilvl w:val="0"/>
          <w:numId w:val="40"/>
        </w:numPr>
        <w:spacing w:before="0" w:after="160" w:line="259" w:lineRule="auto"/>
        <w:rPr>
          <w:rFonts w:cs="Calibri"/>
          <w:szCs w:val="20"/>
        </w:rPr>
      </w:pPr>
      <w:r w:rsidRPr="003A173C">
        <w:rPr>
          <w:rFonts w:cs="Calibri"/>
          <w:szCs w:val="20"/>
          <w:lang w:val="en-US"/>
        </w:rPr>
        <w:t>provide for a verbal as well as a written handover of individual information and status whenever the individual moves between or within services, where practical.</w:t>
      </w:r>
      <w:r w:rsidRPr="003A173C">
        <w:rPr>
          <w:rFonts w:cs="Calibri"/>
          <w:szCs w:val="20"/>
        </w:rPr>
        <w:t> </w:t>
      </w:r>
    </w:p>
    <w:p w14:paraId="51D594D8" w14:textId="77777777" w:rsidR="00241DFB" w:rsidRPr="00721280" w:rsidRDefault="00241DFB" w:rsidP="008974DB">
      <w:pPr>
        <w:pStyle w:val="Style3"/>
      </w:pPr>
      <w:bookmarkStart w:id="1336" w:name="_Toc216865495"/>
      <w:r w:rsidRPr="00721280">
        <w:t>The transition care service works within an integrated system of care with other organisations by:</w:t>
      </w:r>
      <w:bookmarkEnd w:id="1336"/>
      <w:r w:rsidRPr="00721280">
        <w:t> </w:t>
      </w:r>
    </w:p>
    <w:p w14:paraId="09BC0168" w14:textId="77777777" w:rsidR="00241DFB" w:rsidRPr="003A173C" w:rsidRDefault="00241DFB" w:rsidP="0050112F">
      <w:pPr>
        <w:numPr>
          <w:ilvl w:val="0"/>
          <w:numId w:val="41"/>
        </w:numPr>
        <w:spacing w:before="0" w:after="160" w:line="259" w:lineRule="auto"/>
        <w:rPr>
          <w:rFonts w:cs="Calibri"/>
          <w:szCs w:val="20"/>
        </w:rPr>
      </w:pPr>
      <w:r w:rsidRPr="003A173C">
        <w:rPr>
          <w:rFonts w:cs="Calibri"/>
          <w:szCs w:val="20"/>
          <w:lang w:val="en-US"/>
        </w:rPr>
        <w:t>establishing relationships and communication strategies that govern collaboration between acute/subacute, aged, and primary care services, promoting a clear understanding of each other’s roles, responsibilities, and admission criteria;</w:t>
      </w:r>
      <w:r w:rsidRPr="003A173C">
        <w:rPr>
          <w:rFonts w:cs="Calibri"/>
          <w:szCs w:val="20"/>
        </w:rPr>
        <w:t> </w:t>
      </w:r>
    </w:p>
    <w:p w14:paraId="0C8EAB95" w14:textId="77777777" w:rsidR="00241DFB" w:rsidRPr="003A173C" w:rsidRDefault="00241DFB" w:rsidP="0050112F">
      <w:pPr>
        <w:numPr>
          <w:ilvl w:val="0"/>
          <w:numId w:val="42"/>
        </w:numPr>
        <w:spacing w:before="0" w:after="160" w:line="259" w:lineRule="auto"/>
        <w:rPr>
          <w:rFonts w:cs="Calibri"/>
          <w:szCs w:val="20"/>
        </w:rPr>
      </w:pPr>
      <w:r w:rsidRPr="003A173C">
        <w:rPr>
          <w:rFonts w:cs="Calibri"/>
          <w:szCs w:val="20"/>
          <w:lang w:val="en-US"/>
        </w:rPr>
        <w:t>establishing systems for the secure, timely and effective transfer of transition care and individual-related information between service providers;</w:t>
      </w:r>
      <w:r w:rsidRPr="003A173C">
        <w:rPr>
          <w:rFonts w:cs="Calibri"/>
          <w:szCs w:val="20"/>
        </w:rPr>
        <w:t> </w:t>
      </w:r>
    </w:p>
    <w:p w14:paraId="58591A77" w14:textId="77777777" w:rsidR="00241DFB" w:rsidRPr="003A173C" w:rsidRDefault="00241DFB" w:rsidP="0050112F">
      <w:pPr>
        <w:numPr>
          <w:ilvl w:val="0"/>
          <w:numId w:val="43"/>
        </w:numPr>
        <w:spacing w:before="0" w:after="160" w:line="259" w:lineRule="auto"/>
        <w:rPr>
          <w:rFonts w:cs="Calibri"/>
          <w:szCs w:val="20"/>
        </w:rPr>
      </w:pPr>
      <w:r w:rsidRPr="003A173C">
        <w:rPr>
          <w:rFonts w:cs="Calibri"/>
          <w:szCs w:val="20"/>
          <w:lang w:val="en-US"/>
        </w:rPr>
        <w:t>strengthening partnerships with GPs and other transition care support services;</w:t>
      </w:r>
      <w:r w:rsidRPr="003A173C">
        <w:rPr>
          <w:rFonts w:cs="Calibri"/>
          <w:szCs w:val="20"/>
        </w:rPr>
        <w:t> </w:t>
      </w:r>
    </w:p>
    <w:p w14:paraId="6D592EEE" w14:textId="77777777" w:rsidR="00241DFB" w:rsidRPr="003A173C" w:rsidRDefault="00241DFB" w:rsidP="0050112F">
      <w:pPr>
        <w:numPr>
          <w:ilvl w:val="0"/>
          <w:numId w:val="44"/>
        </w:numPr>
        <w:spacing w:before="0" w:after="160" w:line="259" w:lineRule="auto"/>
        <w:rPr>
          <w:rFonts w:cs="Calibri"/>
          <w:szCs w:val="20"/>
        </w:rPr>
      </w:pPr>
      <w:r w:rsidRPr="003A173C">
        <w:rPr>
          <w:rFonts w:cs="Calibri"/>
          <w:szCs w:val="20"/>
          <w:lang w:val="en-US"/>
        </w:rPr>
        <w:t>facilitating effective interagency case conferences;</w:t>
      </w:r>
      <w:r w:rsidRPr="003A173C">
        <w:rPr>
          <w:rFonts w:cs="Calibri"/>
          <w:szCs w:val="20"/>
        </w:rPr>
        <w:t> </w:t>
      </w:r>
    </w:p>
    <w:p w14:paraId="116A494A" w14:textId="77777777" w:rsidR="00241DFB" w:rsidRPr="003A173C" w:rsidRDefault="00241DFB" w:rsidP="0050112F">
      <w:pPr>
        <w:numPr>
          <w:ilvl w:val="0"/>
          <w:numId w:val="45"/>
        </w:numPr>
        <w:spacing w:before="0" w:after="160" w:line="259" w:lineRule="auto"/>
        <w:rPr>
          <w:rFonts w:cs="Calibri"/>
          <w:szCs w:val="20"/>
        </w:rPr>
      </w:pPr>
      <w:r w:rsidRPr="003A173C">
        <w:rPr>
          <w:rFonts w:cs="Calibri"/>
          <w:szCs w:val="20"/>
          <w:lang w:val="en-US"/>
        </w:rPr>
        <w:lastRenderedPageBreak/>
        <w:t>facilitating the individual’s entry to and exit from transition care so the individual experiences a seamless move;</w:t>
      </w:r>
      <w:r w:rsidRPr="003A173C">
        <w:rPr>
          <w:rFonts w:cs="Calibri"/>
          <w:szCs w:val="20"/>
        </w:rPr>
        <w:t> </w:t>
      </w:r>
    </w:p>
    <w:p w14:paraId="358A53DB" w14:textId="77777777" w:rsidR="00241DFB" w:rsidRPr="003A173C" w:rsidRDefault="00241DFB" w:rsidP="0050112F">
      <w:pPr>
        <w:numPr>
          <w:ilvl w:val="0"/>
          <w:numId w:val="46"/>
        </w:numPr>
        <w:spacing w:before="0" w:after="160" w:line="259" w:lineRule="auto"/>
        <w:rPr>
          <w:rFonts w:cs="Calibri"/>
          <w:szCs w:val="20"/>
        </w:rPr>
      </w:pPr>
      <w:r w:rsidRPr="003A173C">
        <w:rPr>
          <w:rFonts w:cs="Calibri"/>
          <w:szCs w:val="20"/>
          <w:lang w:val="en-US"/>
        </w:rPr>
        <w:t>effectively coordinating the individual’s needs and goals between services;</w:t>
      </w:r>
      <w:r w:rsidRPr="003A173C">
        <w:rPr>
          <w:rFonts w:cs="Calibri"/>
          <w:szCs w:val="20"/>
        </w:rPr>
        <w:t> </w:t>
      </w:r>
    </w:p>
    <w:p w14:paraId="16BFC656" w14:textId="77777777" w:rsidR="00241DFB" w:rsidRPr="003A173C" w:rsidRDefault="00241DFB" w:rsidP="0050112F">
      <w:pPr>
        <w:numPr>
          <w:ilvl w:val="0"/>
          <w:numId w:val="47"/>
        </w:numPr>
        <w:spacing w:before="0" w:after="160" w:line="259" w:lineRule="auto"/>
        <w:rPr>
          <w:rFonts w:cs="Calibri"/>
          <w:szCs w:val="20"/>
        </w:rPr>
      </w:pPr>
      <w:r w:rsidRPr="003A173C">
        <w:rPr>
          <w:rFonts w:cs="Calibri"/>
          <w:szCs w:val="20"/>
          <w:lang w:val="en-US"/>
        </w:rPr>
        <w:t>keeping the individual and/or their supporters well informed prior to moving to a new service;</w:t>
      </w:r>
      <w:r w:rsidRPr="003A173C">
        <w:rPr>
          <w:rFonts w:cs="Calibri"/>
          <w:szCs w:val="20"/>
        </w:rPr>
        <w:t> </w:t>
      </w:r>
    </w:p>
    <w:p w14:paraId="5628998C" w14:textId="77777777" w:rsidR="00241DFB" w:rsidRPr="003A173C" w:rsidRDefault="00241DFB" w:rsidP="0050112F">
      <w:pPr>
        <w:numPr>
          <w:ilvl w:val="0"/>
          <w:numId w:val="48"/>
        </w:numPr>
        <w:spacing w:before="0" w:after="160" w:line="259" w:lineRule="auto"/>
        <w:rPr>
          <w:rFonts w:cs="Calibri"/>
          <w:szCs w:val="20"/>
        </w:rPr>
      </w:pPr>
      <w:r w:rsidRPr="003A173C">
        <w:rPr>
          <w:rFonts w:cs="Calibri"/>
          <w:szCs w:val="20"/>
          <w:lang w:val="en-US"/>
        </w:rPr>
        <w:t>facilitating education, training, networking and support across sectors and service boundaries in the broader health and aged care community where appropriate; and</w:t>
      </w:r>
      <w:r w:rsidRPr="003A173C">
        <w:rPr>
          <w:rFonts w:cs="Calibri"/>
          <w:szCs w:val="20"/>
        </w:rPr>
        <w:t> </w:t>
      </w:r>
    </w:p>
    <w:p w14:paraId="435F96F2" w14:textId="1438FEE8" w:rsidR="00241DFB" w:rsidRPr="007206E9" w:rsidRDefault="00241DFB" w:rsidP="0050112F">
      <w:pPr>
        <w:numPr>
          <w:ilvl w:val="0"/>
          <w:numId w:val="49"/>
        </w:numPr>
        <w:spacing w:before="0" w:after="160" w:line="259" w:lineRule="auto"/>
        <w:rPr>
          <w:rFonts w:cs="Calibri"/>
          <w:szCs w:val="20"/>
        </w:rPr>
      </w:pPr>
      <w:r w:rsidRPr="003A173C">
        <w:rPr>
          <w:rFonts w:cs="Calibri"/>
          <w:szCs w:val="20"/>
          <w:lang w:val="en-US"/>
        </w:rPr>
        <w:t>facilitating access to ongoing care and service provision post discharge from the program, as required.</w:t>
      </w:r>
    </w:p>
    <w:p w14:paraId="452EABA3" w14:textId="77777777" w:rsidR="00241DFB" w:rsidRPr="00721280" w:rsidRDefault="00241DFB" w:rsidP="008974DB">
      <w:pPr>
        <w:pStyle w:val="Style3"/>
      </w:pPr>
      <w:bookmarkStart w:id="1337" w:name="_Toc216865496"/>
      <w:r w:rsidRPr="00721280">
        <w:t>The transition care service develops systems for the safe discharge of individuals that help prevent re-admission, including:</w:t>
      </w:r>
      <w:bookmarkEnd w:id="1337"/>
      <w:r w:rsidRPr="00721280">
        <w:t> </w:t>
      </w:r>
    </w:p>
    <w:p w14:paraId="2A7B715F" w14:textId="2C556DCE" w:rsidR="00241DFB" w:rsidRPr="003A173C" w:rsidRDefault="00241DFB" w:rsidP="0050112F">
      <w:pPr>
        <w:numPr>
          <w:ilvl w:val="0"/>
          <w:numId w:val="50"/>
        </w:numPr>
        <w:spacing w:before="0" w:after="160" w:line="259" w:lineRule="auto"/>
        <w:rPr>
          <w:rFonts w:cs="Calibri"/>
          <w:szCs w:val="20"/>
        </w:rPr>
      </w:pPr>
      <w:r w:rsidRPr="003A173C">
        <w:rPr>
          <w:rFonts w:cs="Calibri"/>
          <w:szCs w:val="20"/>
          <w:lang w:val="en-US"/>
        </w:rPr>
        <w:t>providing transition care service discharge plan information to any subsequent care organisation; and</w:t>
      </w:r>
    </w:p>
    <w:p w14:paraId="5CB9053A" w14:textId="62D54F70" w:rsidR="00241DFB" w:rsidRPr="003A173C" w:rsidRDefault="00241DFB" w:rsidP="0050112F">
      <w:pPr>
        <w:numPr>
          <w:ilvl w:val="0"/>
          <w:numId w:val="51"/>
        </w:numPr>
        <w:spacing w:before="0" w:after="160" w:line="259" w:lineRule="auto"/>
        <w:rPr>
          <w:rFonts w:cs="Calibri"/>
          <w:szCs w:val="20"/>
        </w:rPr>
      </w:pPr>
      <w:r w:rsidRPr="003A173C">
        <w:rPr>
          <w:rFonts w:cs="Calibri"/>
          <w:szCs w:val="20"/>
          <w:lang w:val="en-US"/>
        </w:rPr>
        <w:t>providing appropriate discharge documentation to the individual, specifying:</w:t>
      </w:r>
    </w:p>
    <w:p w14:paraId="410A795B" w14:textId="30C724A3" w:rsidR="00241DFB" w:rsidRPr="003A173C" w:rsidRDefault="00241DFB" w:rsidP="0050112F">
      <w:pPr>
        <w:numPr>
          <w:ilvl w:val="0"/>
          <w:numId w:val="52"/>
        </w:numPr>
        <w:spacing w:before="0" w:after="160" w:line="259" w:lineRule="auto"/>
        <w:rPr>
          <w:rFonts w:cs="Calibri"/>
          <w:szCs w:val="20"/>
        </w:rPr>
      </w:pPr>
      <w:r w:rsidRPr="003A173C">
        <w:rPr>
          <w:rFonts w:cs="Calibri"/>
          <w:szCs w:val="20"/>
        </w:rPr>
        <w:t>length of stay in transition care;</w:t>
      </w:r>
    </w:p>
    <w:p w14:paraId="49DE787E" w14:textId="2D9E664B" w:rsidR="00241DFB" w:rsidRPr="003A173C" w:rsidRDefault="00241DFB" w:rsidP="0050112F">
      <w:pPr>
        <w:numPr>
          <w:ilvl w:val="0"/>
          <w:numId w:val="53"/>
        </w:numPr>
        <w:spacing w:before="0" w:after="160" w:line="259" w:lineRule="auto"/>
        <w:rPr>
          <w:rFonts w:cs="Calibri"/>
          <w:szCs w:val="20"/>
        </w:rPr>
      </w:pPr>
      <w:r w:rsidRPr="003A173C">
        <w:rPr>
          <w:rFonts w:cs="Calibri"/>
          <w:szCs w:val="20"/>
        </w:rPr>
        <w:t>destination post transition care;</w:t>
      </w:r>
    </w:p>
    <w:p w14:paraId="76C14AD8" w14:textId="646243D0" w:rsidR="00241DFB" w:rsidRPr="003A173C" w:rsidRDefault="00241DFB" w:rsidP="0050112F">
      <w:pPr>
        <w:numPr>
          <w:ilvl w:val="0"/>
          <w:numId w:val="54"/>
        </w:numPr>
        <w:spacing w:before="0" w:after="160" w:line="259" w:lineRule="auto"/>
        <w:rPr>
          <w:rFonts w:cs="Calibri"/>
          <w:szCs w:val="20"/>
        </w:rPr>
      </w:pPr>
      <w:r w:rsidRPr="003A173C">
        <w:rPr>
          <w:rFonts w:cs="Calibri"/>
          <w:szCs w:val="20"/>
        </w:rPr>
        <w:t>goals which the individual agrees has or has not been achieved (with reasons for non-achievement);</w:t>
      </w:r>
    </w:p>
    <w:p w14:paraId="70612ED6" w14:textId="1F5F7F2B" w:rsidR="00241DFB" w:rsidRPr="003A173C" w:rsidRDefault="00241DFB" w:rsidP="0050112F">
      <w:pPr>
        <w:numPr>
          <w:ilvl w:val="0"/>
          <w:numId w:val="55"/>
        </w:numPr>
        <w:spacing w:before="0" w:after="160" w:line="259" w:lineRule="auto"/>
        <w:rPr>
          <w:rFonts w:cs="Calibri"/>
          <w:szCs w:val="20"/>
        </w:rPr>
      </w:pPr>
      <w:r w:rsidRPr="003A173C">
        <w:rPr>
          <w:rFonts w:cs="Calibri"/>
          <w:szCs w:val="20"/>
        </w:rPr>
        <w:t>individual physical and cognitive functional levels on discharge from transition care, assessed using the same validated instrument used on admission;</w:t>
      </w:r>
    </w:p>
    <w:p w14:paraId="5B4EB702" w14:textId="06A5BD65" w:rsidR="00241DFB" w:rsidRPr="003A173C" w:rsidRDefault="00241DFB" w:rsidP="0050112F">
      <w:pPr>
        <w:numPr>
          <w:ilvl w:val="0"/>
          <w:numId w:val="56"/>
        </w:numPr>
        <w:spacing w:before="0" w:after="160" w:line="259" w:lineRule="auto"/>
        <w:rPr>
          <w:rFonts w:cs="Calibri"/>
          <w:szCs w:val="20"/>
        </w:rPr>
      </w:pPr>
      <w:r w:rsidRPr="003A173C">
        <w:rPr>
          <w:rFonts w:cs="Calibri"/>
          <w:szCs w:val="20"/>
        </w:rPr>
        <w:t>individual and/or supporter, carer and family education and support to improve functioning following discharge;</w:t>
      </w:r>
    </w:p>
    <w:p w14:paraId="75CFBDE3" w14:textId="248B14B2" w:rsidR="00241DFB" w:rsidRPr="003A173C" w:rsidRDefault="00241DFB" w:rsidP="0050112F">
      <w:pPr>
        <w:numPr>
          <w:ilvl w:val="0"/>
          <w:numId w:val="57"/>
        </w:numPr>
        <w:spacing w:before="0" w:after="160" w:line="259" w:lineRule="auto"/>
        <w:rPr>
          <w:rFonts w:cs="Calibri"/>
          <w:szCs w:val="20"/>
        </w:rPr>
      </w:pPr>
      <w:r w:rsidRPr="003A173C">
        <w:rPr>
          <w:rFonts w:cs="Calibri"/>
          <w:szCs w:val="20"/>
        </w:rPr>
        <w:t>where appropriate, all services and equipment to be provided to the individual on discharge from transition care, with key supplier contact details;</w:t>
      </w:r>
    </w:p>
    <w:p w14:paraId="3DB49877" w14:textId="394844FB" w:rsidR="00241DFB" w:rsidRPr="003A173C" w:rsidRDefault="00241DFB" w:rsidP="0050112F">
      <w:pPr>
        <w:numPr>
          <w:ilvl w:val="0"/>
          <w:numId w:val="58"/>
        </w:numPr>
        <w:spacing w:before="0" w:after="160" w:line="259" w:lineRule="auto"/>
        <w:rPr>
          <w:rFonts w:cs="Calibri"/>
          <w:szCs w:val="20"/>
        </w:rPr>
      </w:pPr>
      <w:r w:rsidRPr="003A173C">
        <w:rPr>
          <w:rFonts w:cs="Calibri"/>
          <w:szCs w:val="20"/>
        </w:rPr>
        <w:t>an up-to-date list of prescribed discharge medications; and</w:t>
      </w:r>
    </w:p>
    <w:p w14:paraId="2EA61814" w14:textId="0B908830" w:rsidR="00241DFB" w:rsidRPr="007206E9" w:rsidRDefault="00241DFB" w:rsidP="0050112F">
      <w:pPr>
        <w:numPr>
          <w:ilvl w:val="0"/>
          <w:numId w:val="59"/>
        </w:numPr>
        <w:spacing w:before="0" w:after="160" w:line="259" w:lineRule="auto"/>
        <w:rPr>
          <w:rFonts w:cs="Calibri"/>
          <w:szCs w:val="20"/>
        </w:rPr>
      </w:pPr>
      <w:r w:rsidRPr="003A173C">
        <w:rPr>
          <w:rFonts w:cs="Calibri"/>
          <w:szCs w:val="20"/>
        </w:rPr>
        <w:t>other follow-up arrangements/referrals such as information for the individual’s GP, which are the responsibility of the individual and/or their supporters.</w:t>
      </w:r>
    </w:p>
    <w:p w14:paraId="01FC1DA3" w14:textId="18A69E46" w:rsidR="0046348E" w:rsidRPr="003A173C" w:rsidRDefault="0046348E" w:rsidP="0046348E">
      <w:pPr>
        <w:pStyle w:val="Heading1"/>
        <w:spacing w:before="120"/>
        <w:rPr>
          <w:rFonts w:ascii="Calibri" w:hAnsi="Calibri" w:cs="Calibri"/>
        </w:rPr>
      </w:pPr>
      <w:bookmarkStart w:id="1338" w:name="_Toc216865497"/>
      <w:bookmarkStart w:id="1339" w:name="_Toc205561172"/>
      <w:r w:rsidRPr="003A173C">
        <w:rPr>
          <w:rFonts w:ascii="Calibri" w:hAnsi="Calibri" w:cs="Calibri"/>
        </w:rPr>
        <w:lastRenderedPageBreak/>
        <w:t>INDIVIDUALS RECEIVING TRANSITION</w:t>
      </w:r>
      <w:r w:rsidR="009A3951">
        <w:rPr>
          <w:rFonts w:ascii="Calibri" w:hAnsi="Calibri" w:cs="Calibri"/>
        </w:rPr>
        <w:t xml:space="preserve"> CARE</w:t>
      </w:r>
      <w:bookmarkEnd w:id="1338"/>
      <w:r w:rsidRPr="003A173C">
        <w:rPr>
          <w:rFonts w:ascii="Calibri" w:hAnsi="Calibri" w:cs="Calibri"/>
        </w:rPr>
        <w:t xml:space="preserve"> </w:t>
      </w:r>
      <w:bookmarkEnd w:id="1339"/>
    </w:p>
    <w:p w14:paraId="4009B35B" w14:textId="12ADEA1E" w:rsidR="0046348E" w:rsidRPr="003A173C" w:rsidRDefault="0046348E" w:rsidP="0046348E">
      <w:pPr>
        <w:pStyle w:val="Heading2"/>
        <w:rPr>
          <w:rFonts w:ascii="Calibri" w:hAnsi="Calibri" w:cs="Calibri"/>
        </w:rPr>
      </w:pPr>
      <w:bookmarkStart w:id="1340" w:name="_Toc205561173"/>
      <w:bookmarkStart w:id="1341" w:name="_Toc216865498"/>
      <w:r w:rsidRPr="003A173C">
        <w:rPr>
          <w:rFonts w:ascii="Calibri" w:hAnsi="Calibri" w:cs="Calibri"/>
        </w:rPr>
        <w:t>Aged Care Statement of Rights</w:t>
      </w:r>
      <w:bookmarkEnd w:id="1340"/>
      <w:bookmarkEnd w:id="1341"/>
    </w:p>
    <w:p w14:paraId="613CE8BE" w14:textId="28D06372" w:rsidR="0046348E" w:rsidRPr="003A173C" w:rsidRDefault="0046348E" w:rsidP="007206E9">
      <w:pPr>
        <w:pStyle w:val="ListBullet"/>
        <w:numPr>
          <w:ilvl w:val="0"/>
          <w:numId w:val="0"/>
        </w:numPr>
        <w:rPr>
          <w:rStyle w:val="Hyperlink"/>
          <w:rFonts w:ascii="Calibri" w:eastAsiaTheme="majorEastAsia" w:hAnsi="Calibri" w:cs="Calibri"/>
          <w:color w:val="auto"/>
          <w:sz w:val="20"/>
          <w:szCs w:val="20"/>
          <w:u w:val="none"/>
        </w:rPr>
      </w:pPr>
      <w:r w:rsidRPr="003A173C">
        <w:rPr>
          <w:rStyle w:val="Hyperlink"/>
          <w:rFonts w:ascii="Calibri" w:eastAsiaTheme="majorEastAsia" w:hAnsi="Calibri" w:cs="Calibri"/>
          <w:color w:val="auto"/>
          <w:sz w:val="20"/>
          <w:szCs w:val="20"/>
          <w:u w:val="none"/>
        </w:rPr>
        <w:t xml:space="preserve">The Act includes a Statement of Rights for older people accessing aged care services. The Statement of Rights, contained in Part 3 of Chapter 1 of the Act, replaces the Charter of Aged Care Rights from 1 November 2025 and explains what rights older people have when accessing aged care services funded by the </w:t>
      </w:r>
      <w:r w:rsidR="00931641" w:rsidRPr="003A173C">
        <w:rPr>
          <w:rStyle w:val="Hyperlink"/>
          <w:rFonts w:ascii="Calibri" w:eastAsiaTheme="majorEastAsia" w:hAnsi="Calibri" w:cs="Calibri"/>
          <w:color w:val="auto"/>
          <w:sz w:val="20"/>
          <w:szCs w:val="20"/>
          <w:u w:val="none"/>
        </w:rPr>
        <w:t xml:space="preserve">Australian </w:t>
      </w:r>
      <w:r w:rsidRPr="003A173C">
        <w:rPr>
          <w:rStyle w:val="Hyperlink"/>
          <w:rFonts w:ascii="Calibri" w:eastAsiaTheme="majorEastAsia" w:hAnsi="Calibri" w:cs="Calibri"/>
          <w:color w:val="auto"/>
          <w:sz w:val="20"/>
          <w:szCs w:val="20"/>
          <w:u w:val="none"/>
        </w:rPr>
        <w:t xml:space="preserve">Government. </w:t>
      </w:r>
    </w:p>
    <w:p w14:paraId="079B923D" w14:textId="27590678" w:rsidR="0046348E" w:rsidRPr="007206E9" w:rsidRDefault="0046348E" w:rsidP="007206E9">
      <w:pPr>
        <w:rPr>
          <w:rFonts w:eastAsiaTheme="majorEastAsia"/>
        </w:rPr>
      </w:pPr>
      <w:r w:rsidRPr="003A173C">
        <w:rPr>
          <w:rStyle w:val="Hyperlink"/>
          <w:rFonts w:ascii="Calibri" w:eastAsiaTheme="majorEastAsia" w:hAnsi="Calibri" w:cs="Calibri"/>
          <w:color w:val="auto"/>
          <w:sz w:val="20"/>
          <w:szCs w:val="20"/>
          <w:u w:val="none"/>
        </w:rPr>
        <w:t xml:space="preserve">Under section 155-15 of </w:t>
      </w:r>
      <w:r w:rsidRPr="00D26260">
        <w:rPr>
          <w:rStyle w:val="Hyperlink"/>
          <w:rFonts w:ascii="Calibri" w:eastAsiaTheme="majorEastAsia" w:hAnsi="Calibri" w:cs="Calibri"/>
          <w:color w:val="auto"/>
          <w:sz w:val="20"/>
          <w:szCs w:val="20"/>
          <w:u w:val="none"/>
        </w:rPr>
        <w:t>the Rules, registered providers must explain and provide a copy of the Statement of Rights to individual</w:t>
      </w:r>
      <w:r w:rsidR="00B24FBB" w:rsidRPr="00D2626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accessing or seeking to access transition care.</w:t>
      </w:r>
      <w:r w:rsidRPr="00D26260">
        <w:rPr>
          <w:rStyle w:val="FootnoteReference"/>
          <w:rFonts w:eastAsiaTheme="majorEastAsia" w:cs="Calibri"/>
          <w:szCs w:val="20"/>
        </w:rPr>
        <w:footnoteReference w:id="10"/>
      </w:r>
      <w:r w:rsidRPr="00D26260">
        <w:rPr>
          <w:rStyle w:val="Hyperlink"/>
          <w:rFonts w:ascii="Calibri" w:eastAsiaTheme="majorEastAsia" w:hAnsi="Calibri" w:cs="Calibri"/>
          <w:color w:val="auto"/>
          <w:sz w:val="20"/>
          <w:szCs w:val="20"/>
          <w:u w:val="none"/>
        </w:rPr>
        <w:t xml:space="preserve"> Registered provider</w:t>
      </w:r>
      <w:r w:rsidR="001A3B20">
        <w:rPr>
          <w:rStyle w:val="Hyperlink"/>
          <w:rFonts w:ascii="Calibri" w:eastAsiaTheme="majorEastAsia" w:hAnsi="Calibri" w:cs="Calibri"/>
          <w:color w:val="auto"/>
          <w:sz w:val="20"/>
          <w:szCs w:val="20"/>
          <w:u w:val="none"/>
        </w:rPr>
        <w:t>s</w:t>
      </w:r>
      <w:r w:rsidRPr="00D26260">
        <w:rPr>
          <w:rStyle w:val="Hyperlink"/>
          <w:rFonts w:ascii="Calibri" w:eastAsiaTheme="majorEastAsia" w:hAnsi="Calibri" w:cs="Calibri"/>
          <w:color w:val="auto"/>
          <w:sz w:val="20"/>
          <w:szCs w:val="20"/>
          <w:u w:val="none"/>
        </w:rPr>
        <w:t xml:space="preserve"> are also required to assist individuals to understand the information contained in the Statement of Rights.</w:t>
      </w:r>
    </w:p>
    <w:p w14:paraId="7645EF1F" w14:textId="00C559FD" w:rsidR="0046348E" w:rsidRPr="00D26260" w:rsidRDefault="0046348E" w:rsidP="0046348E">
      <w:pPr>
        <w:pStyle w:val="ListBullet"/>
        <w:numPr>
          <w:ilvl w:val="0"/>
          <w:numId w:val="0"/>
        </w:numPr>
        <w:rPr>
          <w:rStyle w:val="Hyperlink"/>
          <w:rFonts w:ascii="Calibri" w:eastAsiaTheme="majorEastAsia" w:hAnsi="Calibri" w:cs="Calibri"/>
          <w:color w:val="auto"/>
          <w:sz w:val="20"/>
          <w:szCs w:val="20"/>
          <w:u w:val="none"/>
        </w:rPr>
      </w:pPr>
      <w:r w:rsidRPr="00D26260">
        <w:rPr>
          <w:rStyle w:val="Hyperlink"/>
          <w:rFonts w:ascii="Calibri" w:eastAsiaTheme="majorEastAsia" w:hAnsi="Calibri" w:cs="Calibri"/>
          <w:color w:val="auto"/>
          <w:sz w:val="20"/>
          <w:szCs w:val="20"/>
          <w:u w:val="none"/>
        </w:rPr>
        <w:t>The Statement of Rights is designed to ensure individuals accessing government funded aged care service are put at the centre of their aged care journey. The Statement gives individuals the right to:</w:t>
      </w:r>
      <w:r w:rsidRPr="00D26260">
        <w:rPr>
          <w:rFonts w:cs="Calibri"/>
        </w:rPr>
        <w:t xml:space="preserve"> </w:t>
      </w:r>
    </w:p>
    <w:p w14:paraId="73F3649B" w14:textId="323BF753" w:rsidR="0046348E" w:rsidRPr="00D26260" w:rsidRDefault="0046348E" w:rsidP="00EA291E">
      <w:pPr>
        <w:pStyle w:val="ListBullet"/>
        <w:numPr>
          <w:ilvl w:val="0"/>
          <w:numId w:val="1"/>
        </w:numPr>
        <w:rPr>
          <w:rFonts w:cs="Calibri"/>
        </w:rPr>
      </w:pPr>
      <w:r w:rsidRPr="00D26260">
        <w:rPr>
          <w:rFonts w:cs="Calibri"/>
        </w:rPr>
        <w:t>make their own decisions about their own life</w:t>
      </w:r>
      <w:r w:rsidR="0067799F" w:rsidRPr="00D26260">
        <w:rPr>
          <w:rFonts w:cs="Calibri"/>
        </w:rPr>
        <w:t>;</w:t>
      </w:r>
      <w:r w:rsidRPr="00D26260">
        <w:rPr>
          <w:rFonts w:cs="Calibri"/>
        </w:rPr>
        <w:t xml:space="preserve"> </w:t>
      </w:r>
    </w:p>
    <w:p w14:paraId="5B678152" w14:textId="002D1246" w:rsidR="0046348E" w:rsidRPr="00D26260" w:rsidRDefault="0046348E" w:rsidP="00EA291E">
      <w:pPr>
        <w:pStyle w:val="ListBullet"/>
        <w:numPr>
          <w:ilvl w:val="0"/>
          <w:numId w:val="1"/>
        </w:numPr>
        <w:rPr>
          <w:rFonts w:cs="Calibri"/>
        </w:rPr>
      </w:pPr>
      <w:r w:rsidRPr="00D26260">
        <w:rPr>
          <w:rFonts w:cs="Calibri"/>
        </w:rPr>
        <w:t>have their decisions not just</w:t>
      </w:r>
      <w:r w:rsidR="00970DAA" w:rsidRPr="00D26260">
        <w:rPr>
          <w:rFonts w:cs="Calibri"/>
        </w:rPr>
        <w:t xml:space="preserve"> be</w:t>
      </w:r>
      <w:r w:rsidRPr="00D26260">
        <w:rPr>
          <w:rFonts w:cs="Calibri"/>
        </w:rPr>
        <w:t xml:space="preserve"> accepted, but respected</w:t>
      </w:r>
      <w:r w:rsidR="0067799F" w:rsidRPr="00D26260">
        <w:rPr>
          <w:rFonts w:cs="Calibri"/>
        </w:rPr>
        <w:t>;</w:t>
      </w:r>
    </w:p>
    <w:p w14:paraId="2CD92019" w14:textId="1393548C" w:rsidR="0046348E" w:rsidRPr="00D26260" w:rsidRDefault="0046348E" w:rsidP="00EA291E">
      <w:pPr>
        <w:pStyle w:val="ListBullet"/>
        <w:numPr>
          <w:ilvl w:val="0"/>
          <w:numId w:val="1"/>
        </w:numPr>
        <w:rPr>
          <w:rFonts w:cs="Calibri"/>
        </w:rPr>
      </w:pPr>
      <w:r w:rsidRPr="00D26260">
        <w:rPr>
          <w:rFonts w:cs="Calibri"/>
        </w:rPr>
        <w:t>get information and support to help them make decisions</w:t>
      </w:r>
      <w:r w:rsidR="0067799F" w:rsidRPr="00D26260">
        <w:rPr>
          <w:rFonts w:cs="Calibri"/>
        </w:rPr>
        <w:t>;</w:t>
      </w:r>
    </w:p>
    <w:p w14:paraId="20B13BD8" w14:textId="482B0446" w:rsidR="0046348E" w:rsidRPr="00D26260" w:rsidRDefault="0046348E" w:rsidP="00EA291E">
      <w:pPr>
        <w:pStyle w:val="ListBullet"/>
        <w:numPr>
          <w:ilvl w:val="0"/>
          <w:numId w:val="1"/>
        </w:numPr>
        <w:rPr>
          <w:rFonts w:cs="Calibri"/>
        </w:rPr>
      </w:pPr>
      <w:r w:rsidRPr="00D26260">
        <w:rPr>
          <w:rFonts w:cs="Calibri"/>
        </w:rPr>
        <w:t>communicate their wishes, needs and preferences</w:t>
      </w:r>
      <w:r w:rsidR="0067799F" w:rsidRPr="00D26260">
        <w:rPr>
          <w:rFonts w:cs="Calibri"/>
        </w:rPr>
        <w:t>;</w:t>
      </w:r>
    </w:p>
    <w:p w14:paraId="4A51A25D" w14:textId="5066F10D" w:rsidR="0046348E" w:rsidRPr="00D26260" w:rsidRDefault="0046348E" w:rsidP="00EA291E">
      <w:pPr>
        <w:pStyle w:val="ListBullet"/>
        <w:numPr>
          <w:ilvl w:val="0"/>
          <w:numId w:val="1"/>
        </w:numPr>
        <w:rPr>
          <w:rFonts w:cs="Calibri"/>
        </w:rPr>
      </w:pPr>
      <w:r w:rsidRPr="00D26260">
        <w:rPr>
          <w:rFonts w:cs="Calibri"/>
        </w:rPr>
        <w:t>feel safe and respected</w:t>
      </w:r>
      <w:r w:rsidR="0067799F" w:rsidRPr="00D26260">
        <w:rPr>
          <w:rFonts w:cs="Calibri"/>
        </w:rPr>
        <w:t>;</w:t>
      </w:r>
    </w:p>
    <w:p w14:paraId="38CE9BE8" w14:textId="0FF28D5A" w:rsidR="0046348E" w:rsidRPr="00D26260" w:rsidRDefault="0046348E" w:rsidP="00EA291E">
      <w:pPr>
        <w:pStyle w:val="ListBullet"/>
        <w:numPr>
          <w:ilvl w:val="0"/>
          <w:numId w:val="1"/>
        </w:numPr>
        <w:rPr>
          <w:rFonts w:cs="Calibri"/>
        </w:rPr>
      </w:pPr>
      <w:r w:rsidRPr="00D26260">
        <w:rPr>
          <w:rFonts w:cs="Calibri"/>
        </w:rPr>
        <w:t>have their culture and identity respected</w:t>
      </w:r>
      <w:r w:rsidR="0067799F" w:rsidRPr="00D26260">
        <w:rPr>
          <w:rFonts w:cs="Calibri"/>
        </w:rPr>
        <w:t>;</w:t>
      </w:r>
    </w:p>
    <w:p w14:paraId="54EB8AC2" w14:textId="5F2FBF50" w:rsidR="0046348E" w:rsidRPr="007206E9" w:rsidRDefault="0046348E" w:rsidP="007206E9">
      <w:pPr>
        <w:pStyle w:val="ListBullet"/>
        <w:numPr>
          <w:ilvl w:val="0"/>
          <w:numId w:val="1"/>
        </w:numPr>
        <w:rPr>
          <w:rFonts w:cs="Calibri"/>
        </w:rPr>
      </w:pPr>
      <w:r w:rsidRPr="00D26260">
        <w:rPr>
          <w:rFonts w:cs="Calibri"/>
        </w:rPr>
        <w:t>stay connected with their community</w:t>
      </w:r>
      <w:r w:rsidR="007206E9">
        <w:rPr>
          <w:rFonts w:cs="Calibri"/>
        </w:rPr>
        <w:t>.</w:t>
      </w:r>
    </w:p>
    <w:p w14:paraId="3E269D51" w14:textId="6CC6DC25" w:rsidR="0046348E" w:rsidRPr="00721280" w:rsidRDefault="0046348E" w:rsidP="008974DB">
      <w:pPr>
        <w:pStyle w:val="Style3"/>
      </w:pPr>
      <w:bookmarkStart w:id="1342" w:name="_Toc205374429"/>
      <w:bookmarkStart w:id="1343" w:name="_Toc205374577"/>
      <w:bookmarkStart w:id="1344" w:name="_Toc205378375"/>
      <w:bookmarkStart w:id="1345" w:name="_Toc205378609"/>
      <w:bookmarkStart w:id="1346" w:name="_Toc205378843"/>
      <w:bookmarkStart w:id="1347" w:name="_Toc205379076"/>
      <w:bookmarkStart w:id="1348" w:name="_Toc205379309"/>
      <w:bookmarkStart w:id="1349" w:name="_Toc205379542"/>
      <w:bookmarkStart w:id="1350" w:name="_Toc205379767"/>
      <w:bookmarkStart w:id="1351" w:name="_Toc205379991"/>
      <w:bookmarkStart w:id="1352" w:name="_Toc205395449"/>
      <w:bookmarkStart w:id="1353" w:name="_Toc205396243"/>
      <w:bookmarkStart w:id="1354" w:name="_Toc205397774"/>
      <w:bookmarkStart w:id="1355" w:name="_Toc205397999"/>
      <w:bookmarkStart w:id="1356" w:name="_Toc205468625"/>
      <w:bookmarkStart w:id="1357" w:name="_Toc205469084"/>
      <w:bookmarkStart w:id="1358" w:name="_Toc205479876"/>
      <w:bookmarkStart w:id="1359" w:name="_Toc205560949"/>
      <w:bookmarkStart w:id="1360" w:name="_Toc205561174"/>
      <w:bookmarkStart w:id="1361" w:name="_Toc205890689"/>
      <w:bookmarkStart w:id="1362" w:name="_Toc205890829"/>
      <w:bookmarkStart w:id="1363" w:name="_Toc205892039"/>
      <w:bookmarkStart w:id="1364" w:name="_Toc205897196"/>
      <w:bookmarkStart w:id="1365" w:name="_Toc205906079"/>
      <w:bookmarkStart w:id="1366" w:name="_Toc205909217"/>
      <w:bookmarkStart w:id="1367" w:name="_Toc205909710"/>
      <w:bookmarkStart w:id="1368" w:name="_Toc205910016"/>
      <w:bookmarkStart w:id="1369" w:name="_Toc205974525"/>
      <w:bookmarkStart w:id="1370" w:name="_Toc205974665"/>
      <w:bookmarkStart w:id="1371" w:name="_Toc205974805"/>
      <w:bookmarkStart w:id="1372" w:name="_Toc205999104"/>
      <w:bookmarkStart w:id="1373" w:name="_Toc206001413"/>
      <w:bookmarkStart w:id="1374" w:name="_Toc206001555"/>
      <w:bookmarkStart w:id="1375" w:name="_Toc206001696"/>
      <w:bookmarkStart w:id="1376" w:name="_Toc206001838"/>
      <w:bookmarkStart w:id="1377" w:name="_Toc206003760"/>
      <w:bookmarkStart w:id="1378" w:name="_Toc206006248"/>
      <w:bookmarkStart w:id="1379" w:name="_Toc206006569"/>
      <w:bookmarkStart w:id="1380" w:name="_Toc206006710"/>
      <w:bookmarkStart w:id="1381" w:name="_Toc206059585"/>
      <w:bookmarkStart w:id="1382" w:name="_Toc206084502"/>
      <w:bookmarkStart w:id="1383" w:name="_Toc206143950"/>
      <w:bookmarkStart w:id="1384" w:name="_Toc206153638"/>
      <w:bookmarkStart w:id="1385" w:name="_Toc206155687"/>
      <w:bookmarkStart w:id="1386" w:name="_Toc206155828"/>
      <w:bookmarkStart w:id="1387" w:name="_Toc206157034"/>
      <w:bookmarkStart w:id="1388" w:name="_Toc206157254"/>
      <w:bookmarkStart w:id="1389" w:name="_Toc205561175"/>
      <w:bookmarkStart w:id="1390" w:name="_Toc216865499"/>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r w:rsidRPr="00721280">
        <w:t>Provider responsibilities in relation to the Statement of Rights</w:t>
      </w:r>
      <w:bookmarkEnd w:id="1389"/>
      <w:bookmarkEnd w:id="1390"/>
    </w:p>
    <w:p w14:paraId="6A6E04C4" w14:textId="2164E360" w:rsidR="0046348E" w:rsidRPr="00D26260" w:rsidRDefault="0046348E" w:rsidP="0046348E">
      <w:pPr>
        <w:rPr>
          <w:rStyle w:val="Hyperlink"/>
          <w:rFonts w:ascii="Calibri" w:eastAsiaTheme="majorEastAsia" w:hAnsi="Calibri" w:cs="Calibri"/>
          <w:b/>
          <w:bCs/>
          <w:color w:val="auto"/>
          <w:spacing w:val="0"/>
          <w:sz w:val="20"/>
          <w:szCs w:val="20"/>
          <w:u w:val="none"/>
          <w:lang w:eastAsia="en-US"/>
        </w:rPr>
      </w:pPr>
      <w:r w:rsidRPr="00D26260">
        <w:rPr>
          <w:rStyle w:val="Hyperlink"/>
          <w:rFonts w:ascii="Calibri" w:eastAsiaTheme="majorEastAsia" w:hAnsi="Calibri" w:cs="Calibri"/>
          <w:color w:val="auto"/>
          <w:sz w:val="20"/>
          <w:szCs w:val="20"/>
          <w:u w:val="none"/>
        </w:rPr>
        <w:t>It is a requirement under section 24 of the Act that registered providers delivering transition care services to individuals must take all reasonable and proportion steps to act compatibly with the Statement of Rights and balance this responsibility with the following factors:</w:t>
      </w:r>
    </w:p>
    <w:p w14:paraId="19B9B2F7" w14:textId="5B384B22" w:rsidR="0046348E" w:rsidRPr="00D26260" w:rsidRDefault="0066291F" w:rsidP="00020AC2">
      <w:pPr>
        <w:pStyle w:val="ListBullet"/>
        <w:rPr>
          <w:rFonts w:eastAsia="Calibri"/>
        </w:rPr>
      </w:pPr>
      <w:r w:rsidRPr="00D26260">
        <w:rPr>
          <w:rFonts w:eastAsia="Calibri"/>
        </w:rPr>
        <w:t>c</w:t>
      </w:r>
      <w:r w:rsidR="0046348E" w:rsidRPr="00D26260">
        <w:rPr>
          <w:rFonts w:eastAsia="Calibri"/>
        </w:rPr>
        <w:t>ompeting or conflicting interests;</w:t>
      </w:r>
    </w:p>
    <w:p w14:paraId="04136675" w14:textId="404D3CFF" w:rsidR="0046348E" w:rsidRPr="00D26260" w:rsidRDefault="0066291F" w:rsidP="00020AC2">
      <w:pPr>
        <w:pStyle w:val="ListBullet"/>
        <w:rPr>
          <w:rFonts w:eastAsia="Calibri"/>
        </w:rPr>
      </w:pPr>
      <w:r w:rsidRPr="00D26260">
        <w:rPr>
          <w:rFonts w:eastAsia="Calibri"/>
        </w:rPr>
        <w:t>t</w:t>
      </w:r>
      <w:r w:rsidR="0046348E" w:rsidRPr="00D26260">
        <w:rPr>
          <w:rFonts w:eastAsia="Calibri"/>
        </w:rPr>
        <w:t>he rights and freedoms of other individuals, including aged care workers of the registered provider and other individuals accessing funded aged care services; and</w:t>
      </w:r>
    </w:p>
    <w:p w14:paraId="774E36DF" w14:textId="35A7D278" w:rsidR="0046348E" w:rsidRPr="00D26260" w:rsidRDefault="0066291F" w:rsidP="00020AC2">
      <w:pPr>
        <w:pStyle w:val="ListBullet"/>
        <w:rPr>
          <w:rFonts w:eastAsia="Calibri"/>
        </w:rPr>
      </w:pPr>
      <w:r w:rsidRPr="00D26260">
        <w:rPr>
          <w:rFonts w:eastAsia="Calibri"/>
        </w:rPr>
        <w:t>c</w:t>
      </w:r>
      <w:r w:rsidR="0046348E" w:rsidRPr="00D26260">
        <w:rPr>
          <w:rFonts w:eastAsia="Calibri"/>
        </w:rPr>
        <w:t xml:space="preserve">ompliance with other laws of the </w:t>
      </w:r>
      <w:r w:rsidR="00931641" w:rsidRPr="00D26260">
        <w:rPr>
          <w:rFonts w:eastAsia="Calibri"/>
        </w:rPr>
        <w:t xml:space="preserve">Australian </w:t>
      </w:r>
      <w:r w:rsidR="00727BA4" w:rsidRPr="00D26260">
        <w:rPr>
          <w:rFonts w:eastAsia="Calibri"/>
        </w:rPr>
        <w:t xml:space="preserve">Government </w:t>
      </w:r>
      <w:r w:rsidR="0046348E" w:rsidRPr="00D26260">
        <w:rPr>
          <w:rFonts w:eastAsia="Calibri"/>
        </w:rPr>
        <w:t xml:space="preserve">or of a </w:t>
      </w:r>
      <w:r w:rsidR="003E7603" w:rsidRPr="00D26260">
        <w:rPr>
          <w:rFonts w:eastAsia="Calibri"/>
        </w:rPr>
        <w:t>S</w:t>
      </w:r>
      <w:r w:rsidR="0046348E" w:rsidRPr="00D26260">
        <w:rPr>
          <w:rFonts w:eastAsia="Calibri"/>
        </w:rPr>
        <w:t xml:space="preserve">tate or </w:t>
      </w:r>
      <w:r w:rsidR="003E7603" w:rsidRPr="00D26260">
        <w:rPr>
          <w:rFonts w:eastAsia="Calibri"/>
        </w:rPr>
        <w:t>T</w:t>
      </w:r>
      <w:r w:rsidR="0046348E" w:rsidRPr="00D26260">
        <w:rPr>
          <w:rFonts w:eastAsia="Calibri"/>
        </w:rPr>
        <w:t xml:space="preserve">erritory, including the </w:t>
      </w:r>
      <w:r w:rsidR="0046348E" w:rsidRPr="0090438E">
        <w:rPr>
          <w:rFonts w:eastAsia="Calibri"/>
          <w:i/>
          <w:iCs/>
        </w:rPr>
        <w:t>Work Health and Safety Act 2011</w:t>
      </w:r>
      <w:r w:rsidRPr="00D26260">
        <w:rPr>
          <w:rFonts w:eastAsia="Calibri"/>
        </w:rPr>
        <w:t xml:space="preserve"> (Cth).</w:t>
      </w:r>
      <w:r w:rsidR="0046348E" w:rsidRPr="00D26260">
        <w:rPr>
          <w:rFonts w:eastAsia="Calibri"/>
        </w:rPr>
        <w:t xml:space="preserve">  </w:t>
      </w:r>
    </w:p>
    <w:p w14:paraId="0E9BF4D6" w14:textId="69718CAB" w:rsidR="0046348E" w:rsidRPr="00D26260" w:rsidRDefault="0046348E" w:rsidP="0046348E">
      <w:pPr>
        <w:rPr>
          <w:rStyle w:val="Hyperlink"/>
          <w:rFonts w:ascii="Calibri" w:eastAsiaTheme="majorEastAsia" w:hAnsi="Calibri" w:cs="Calibri"/>
          <w:color w:val="auto"/>
          <w:sz w:val="20"/>
          <w:szCs w:val="20"/>
          <w:u w:val="none"/>
          <w:lang w:eastAsia="en-US"/>
        </w:rPr>
      </w:pPr>
      <w:r w:rsidRPr="00D26260">
        <w:rPr>
          <w:rStyle w:val="Hyperlink"/>
          <w:rFonts w:ascii="Calibri" w:eastAsiaTheme="majorEastAsia" w:hAnsi="Calibri" w:cs="Calibri"/>
          <w:color w:val="auto"/>
          <w:sz w:val="20"/>
          <w:szCs w:val="20"/>
          <w:u w:val="none"/>
          <w:lang w:eastAsia="en-US"/>
        </w:rPr>
        <w:t xml:space="preserve">Under </w:t>
      </w:r>
      <w:r w:rsidRPr="00D26260">
        <w:rPr>
          <w:rStyle w:val="Hyperlink"/>
          <w:rFonts w:ascii="Calibri" w:eastAsiaTheme="majorEastAsia" w:hAnsi="Calibri" w:cs="Calibri"/>
          <w:i/>
          <w:iCs/>
          <w:color w:val="auto"/>
          <w:sz w:val="20"/>
          <w:szCs w:val="20"/>
          <w:u w:val="none"/>
          <w:lang w:eastAsia="en-US"/>
        </w:rPr>
        <w:t>Aged Care Quality Standard 1 – The Individual</w:t>
      </w:r>
      <w:r w:rsidRPr="00D26260">
        <w:rPr>
          <w:rStyle w:val="Hyperlink"/>
          <w:rFonts w:ascii="Calibri" w:eastAsiaTheme="majorEastAsia" w:hAnsi="Calibri" w:cs="Calibri"/>
          <w:color w:val="auto"/>
          <w:sz w:val="20"/>
          <w:szCs w:val="20"/>
          <w:u w:val="none"/>
          <w:lang w:eastAsia="en-US"/>
        </w:rPr>
        <w:t xml:space="preserve">, contained within Part 6, Chapter 1 of the </w:t>
      </w:r>
      <w:r w:rsidR="00F91E99" w:rsidRPr="00D26260">
        <w:rPr>
          <w:rStyle w:val="Hyperlink"/>
          <w:rFonts w:ascii="Calibri" w:eastAsiaTheme="majorEastAsia" w:hAnsi="Calibri" w:cs="Calibri"/>
          <w:color w:val="auto"/>
          <w:sz w:val="20"/>
          <w:szCs w:val="20"/>
          <w:u w:val="none"/>
          <w:lang w:eastAsia="en-US"/>
        </w:rPr>
        <w:t>Rules</w:t>
      </w:r>
      <w:r w:rsidRPr="00D26260">
        <w:rPr>
          <w:rStyle w:val="Hyperlink"/>
          <w:rFonts w:ascii="Calibri" w:eastAsiaTheme="majorEastAsia" w:hAnsi="Calibri" w:cs="Calibri"/>
          <w:color w:val="auto"/>
          <w:sz w:val="20"/>
          <w:szCs w:val="20"/>
          <w:u w:val="none"/>
          <w:lang w:eastAsia="en-US"/>
        </w:rPr>
        <w:t xml:space="preserve">, registered providers are required to demonstrate they understand the rights of individuals under the Statement of Rights and they must have practices in place to ensure that they act compatibly with the Statement of Rights. </w:t>
      </w:r>
    </w:p>
    <w:p w14:paraId="1E7D333E" w14:textId="77777777" w:rsidR="0046348E" w:rsidRPr="00D26260" w:rsidRDefault="0046348E" w:rsidP="0046348E">
      <w:pPr>
        <w:pStyle w:val="ListBullet"/>
        <w:numPr>
          <w:ilvl w:val="0"/>
          <w:numId w:val="0"/>
        </w:numPr>
        <w:rPr>
          <w:rStyle w:val="Hyperlink"/>
          <w:rFonts w:ascii="Calibri" w:eastAsiaTheme="majorEastAsia" w:hAnsi="Calibri" w:cs="Calibri"/>
          <w:b/>
          <w:color w:val="auto"/>
          <w:sz w:val="20"/>
          <w:szCs w:val="20"/>
          <w:u w:val="none"/>
        </w:rPr>
      </w:pPr>
      <w:r w:rsidRPr="00D26260">
        <w:rPr>
          <w:rStyle w:val="Hyperlink"/>
          <w:rFonts w:ascii="Calibri" w:eastAsiaTheme="majorEastAsia" w:hAnsi="Calibri" w:cs="Calibri"/>
          <w:b/>
          <w:color w:val="auto"/>
          <w:sz w:val="20"/>
          <w:szCs w:val="20"/>
          <w:u w:val="none"/>
        </w:rPr>
        <w:t>5.1.2</w:t>
      </w:r>
      <w:r w:rsidRPr="00D26260">
        <w:rPr>
          <w:rStyle w:val="Hyperlink"/>
          <w:rFonts w:ascii="Calibri" w:eastAsiaTheme="majorEastAsia" w:hAnsi="Calibri" w:cs="Calibri"/>
          <w:b/>
          <w:color w:val="auto"/>
          <w:sz w:val="20"/>
          <w:szCs w:val="20"/>
          <w:u w:val="none"/>
        </w:rPr>
        <w:tab/>
        <w:t>Resources</w:t>
      </w:r>
    </w:p>
    <w:p w14:paraId="3DC4F2DA" w14:textId="309AA766" w:rsidR="0046348E" w:rsidRPr="007206E9" w:rsidRDefault="0046348E" w:rsidP="007206E9">
      <w:pPr>
        <w:rPr>
          <w:rFonts w:cs="Calibri"/>
        </w:rPr>
      </w:pPr>
      <w:r w:rsidRPr="00D26260">
        <w:rPr>
          <w:rFonts w:cs="Calibri"/>
          <w:lang w:val="en"/>
        </w:rPr>
        <w:t xml:space="preserve">To assist providers and individuals receiving transition care understand the requirements in the Statement of Rights, the Department has developed a fact sheet which provides a summary of how the rights apply for individuals when accessing aged care services: </w:t>
      </w:r>
      <w:hyperlink r:id="rId49" w:history="1">
        <w:r w:rsidRPr="00D26260">
          <w:rPr>
            <w:rStyle w:val="Hyperlink"/>
            <w:rFonts w:ascii="Calibri" w:hAnsi="Calibri" w:cs="Calibri"/>
            <w:color w:val="auto"/>
            <w:sz w:val="20"/>
            <w:lang w:val="en"/>
          </w:rPr>
          <w:t>A new rights-based Aged Care Act</w:t>
        </w:r>
        <w:r w:rsidRPr="006654D8">
          <w:rPr>
            <w:rStyle w:val="Hyperlink"/>
            <w:rFonts w:ascii="Calibri" w:hAnsi="Calibri" w:cs="Calibri"/>
            <w:color w:val="auto"/>
            <w:sz w:val="20"/>
            <w:u w:val="none"/>
            <w:lang w:val="en"/>
          </w:rPr>
          <w:t>.</w:t>
        </w:r>
      </w:hyperlink>
      <w:r w:rsidRPr="00D26260">
        <w:rPr>
          <w:rFonts w:cs="Calibri"/>
          <w:lang w:val="en"/>
        </w:rPr>
        <w:t xml:space="preserve"> The fact sheet is </w:t>
      </w:r>
      <w:r w:rsidRPr="00D26260">
        <w:rPr>
          <w:rFonts w:cs="Calibri"/>
        </w:rPr>
        <w:t xml:space="preserve">available in English and a number of other languages to download from the Department’s website. Other resources to support the sector are available on the Department’s website and the </w:t>
      </w:r>
      <w:hyperlink r:id="rId50">
        <w:r w:rsidRPr="00D26260">
          <w:rPr>
            <w:rFonts w:cs="Calibri"/>
            <w:u w:val="single"/>
          </w:rPr>
          <w:t>Older Persons Advocacy Network website</w:t>
        </w:r>
      </w:hyperlink>
      <w:r w:rsidRPr="00D26260">
        <w:rPr>
          <w:rFonts w:cs="Calibri"/>
        </w:rPr>
        <w:t>.</w:t>
      </w:r>
      <w:bookmarkStart w:id="1391" w:name="_Toc110834656"/>
      <w:bookmarkStart w:id="1392" w:name="_Toc249169623"/>
      <w:bookmarkStart w:id="1393" w:name="_Toc395537196"/>
      <w:bookmarkStart w:id="1394" w:name="_Toc422732553"/>
      <w:bookmarkStart w:id="1395" w:name="_Toc422752893"/>
    </w:p>
    <w:p w14:paraId="47A557E2" w14:textId="788DB8E0" w:rsidR="0046348E" w:rsidRPr="003A173C" w:rsidRDefault="0046348E" w:rsidP="0046348E">
      <w:pPr>
        <w:pStyle w:val="Heading2"/>
        <w:rPr>
          <w:rFonts w:ascii="Calibri" w:hAnsi="Calibri" w:cs="Calibri"/>
        </w:rPr>
      </w:pPr>
      <w:bookmarkStart w:id="1396" w:name="_Toc205561176"/>
      <w:bookmarkStart w:id="1397" w:name="_Toc216865500"/>
      <w:r w:rsidRPr="003A173C">
        <w:rPr>
          <w:rFonts w:ascii="Calibri" w:hAnsi="Calibri" w:cs="Calibri"/>
        </w:rPr>
        <w:t xml:space="preserve">Individual </w:t>
      </w:r>
      <w:r w:rsidR="00CC30E4" w:rsidRPr="003A173C">
        <w:rPr>
          <w:rFonts w:ascii="Calibri" w:hAnsi="Calibri" w:cs="Calibri"/>
        </w:rPr>
        <w:t>S</w:t>
      </w:r>
      <w:r w:rsidRPr="003A173C">
        <w:rPr>
          <w:rFonts w:ascii="Calibri" w:hAnsi="Calibri" w:cs="Calibri"/>
        </w:rPr>
        <w:t xml:space="preserve">ervice </w:t>
      </w:r>
      <w:r w:rsidR="00CC30E4" w:rsidRPr="003A173C">
        <w:rPr>
          <w:rFonts w:ascii="Calibri" w:hAnsi="Calibri" w:cs="Calibri"/>
        </w:rPr>
        <w:t>A</w:t>
      </w:r>
      <w:r w:rsidRPr="003A173C">
        <w:rPr>
          <w:rFonts w:ascii="Calibri" w:hAnsi="Calibri" w:cs="Calibri"/>
        </w:rPr>
        <w:t>greements</w:t>
      </w:r>
      <w:bookmarkEnd w:id="1391"/>
      <w:bookmarkEnd w:id="1392"/>
      <w:bookmarkEnd w:id="1393"/>
      <w:bookmarkEnd w:id="1394"/>
      <w:bookmarkEnd w:id="1395"/>
      <w:bookmarkEnd w:id="1396"/>
      <w:bookmarkEnd w:id="1397"/>
    </w:p>
    <w:p w14:paraId="2D2945E8" w14:textId="427FB64D" w:rsidR="0046348E" w:rsidRPr="003A173C" w:rsidRDefault="0046348E" w:rsidP="0046348E">
      <w:pPr>
        <w:rPr>
          <w:rFonts w:cs="Calibri"/>
        </w:rPr>
      </w:pPr>
      <w:r w:rsidRPr="003A173C">
        <w:rPr>
          <w:rFonts w:cs="Calibri"/>
        </w:rPr>
        <w:t>Registered providers of TCP services are required to enter to service agreement</w:t>
      </w:r>
      <w:r w:rsidR="00546745" w:rsidRPr="003A173C">
        <w:rPr>
          <w:rFonts w:cs="Calibri"/>
        </w:rPr>
        <w:t>s</w:t>
      </w:r>
      <w:r w:rsidRPr="003A173C">
        <w:rPr>
          <w:rFonts w:cs="Calibri"/>
        </w:rPr>
        <w:t xml:space="preserve"> with individuals accessing </w:t>
      </w:r>
      <w:r w:rsidR="00B72953" w:rsidRPr="003A173C">
        <w:rPr>
          <w:rFonts w:cs="Calibri"/>
        </w:rPr>
        <w:t xml:space="preserve">transition care </w:t>
      </w:r>
      <w:r w:rsidRPr="003A173C">
        <w:rPr>
          <w:rFonts w:cs="Calibri"/>
        </w:rPr>
        <w:t>under section 148-65 of the Rules</w:t>
      </w:r>
      <w:r w:rsidR="00B72953" w:rsidRPr="003A173C">
        <w:rPr>
          <w:rFonts w:cs="Calibri"/>
        </w:rPr>
        <w:t>,</w:t>
      </w:r>
      <w:r w:rsidRPr="003A173C">
        <w:rPr>
          <w:rFonts w:cs="Calibri"/>
        </w:rPr>
        <w:t xml:space="preserve"> </w:t>
      </w:r>
      <w:r w:rsidR="003A3130" w:rsidRPr="003A173C">
        <w:rPr>
          <w:rFonts w:cs="Calibri"/>
        </w:rPr>
        <w:t xml:space="preserve">on or </w:t>
      </w:r>
      <w:r w:rsidRPr="003A173C">
        <w:rPr>
          <w:rFonts w:cs="Calibri"/>
        </w:rPr>
        <w:t xml:space="preserve">before </w:t>
      </w:r>
      <w:r w:rsidR="005049A9" w:rsidRPr="003A173C">
        <w:rPr>
          <w:rFonts w:cs="Calibri"/>
        </w:rPr>
        <w:t>the client’s start day</w:t>
      </w:r>
      <w:r w:rsidR="00B97D6A">
        <w:rPr>
          <w:rFonts w:cs="Calibri"/>
        </w:rPr>
        <w:t>.</w:t>
      </w:r>
      <w:r w:rsidR="001E0588" w:rsidRPr="003A173C">
        <w:rPr>
          <w:rStyle w:val="FootnoteReference"/>
          <w:rFonts w:cs="Calibri"/>
        </w:rPr>
        <w:footnoteReference w:id="11"/>
      </w:r>
      <w:r w:rsidR="005049A9" w:rsidRPr="003A173C">
        <w:rPr>
          <w:rFonts w:cs="Calibri"/>
        </w:rPr>
        <w:t xml:space="preserve"> </w:t>
      </w:r>
      <w:r w:rsidR="00953F4B" w:rsidRPr="003A173C">
        <w:rPr>
          <w:rFonts w:cs="Calibri"/>
        </w:rPr>
        <w:t xml:space="preserve"> If the start date changes, the service agreement should be updated, with the agreement of the client, to reflect that.  </w:t>
      </w:r>
    </w:p>
    <w:p w14:paraId="236B8FBA" w14:textId="657AF23D" w:rsidR="0046348E" w:rsidRPr="003A173C" w:rsidRDefault="0046348E" w:rsidP="0046348E">
      <w:pPr>
        <w:rPr>
          <w:rFonts w:cs="Calibri"/>
          <w:szCs w:val="20"/>
        </w:rPr>
      </w:pPr>
      <w:r w:rsidRPr="003A173C">
        <w:rPr>
          <w:rFonts w:cs="Calibri"/>
          <w:szCs w:val="20"/>
        </w:rPr>
        <w:t>A registered provider must ensure the following in relation to the service agreement:</w:t>
      </w:r>
    </w:p>
    <w:p w14:paraId="7075A01E" w14:textId="77777777" w:rsidR="0046348E" w:rsidRPr="003A173C" w:rsidRDefault="0046348E" w:rsidP="00020AC2">
      <w:pPr>
        <w:pStyle w:val="ListBullet"/>
      </w:pPr>
      <w:r w:rsidRPr="003A173C">
        <w:t>the individual is involved in the development and negotiation of the service agreement;</w:t>
      </w:r>
    </w:p>
    <w:p w14:paraId="6B8C9F06" w14:textId="77777777" w:rsidR="0046348E" w:rsidRPr="003A173C" w:rsidRDefault="0046348E" w:rsidP="00020AC2">
      <w:pPr>
        <w:pStyle w:val="ListBullet"/>
      </w:pPr>
      <w:r w:rsidRPr="003A173C">
        <w:t xml:space="preserve">if requested by the individual, a supporter, family member, carer or advocate of the individual, or any other person significant to the individual, is present during the development and negotiation of the service agreement; </w:t>
      </w:r>
    </w:p>
    <w:p w14:paraId="0CBD9A66" w14:textId="77777777" w:rsidR="0046348E" w:rsidRPr="003A173C" w:rsidRDefault="0046348E" w:rsidP="00020AC2">
      <w:pPr>
        <w:pStyle w:val="ListBullet"/>
      </w:pPr>
      <w:r w:rsidRPr="003A173C">
        <w:t>the service agreement is expressed in plain language and is readily understandable by the individual; and</w:t>
      </w:r>
    </w:p>
    <w:p w14:paraId="60D90036" w14:textId="77777777" w:rsidR="0046348E" w:rsidRPr="003A173C" w:rsidRDefault="0046348E" w:rsidP="00020AC2">
      <w:pPr>
        <w:pStyle w:val="ListBullet"/>
      </w:pPr>
      <w:r w:rsidRPr="003A173C">
        <w:lastRenderedPageBreak/>
        <w:t xml:space="preserve">the individual is helped to understand the terms of the service agreement. </w:t>
      </w:r>
    </w:p>
    <w:p w14:paraId="7FEA0A8E" w14:textId="3E805217" w:rsidR="0046348E" w:rsidRPr="003A173C" w:rsidRDefault="0046348E" w:rsidP="0046348E">
      <w:pPr>
        <w:rPr>
          <w:rFonts w:cs="Calibri"/>
          <w:szCs w:val="20"/>
        </w:rPr>
      </w:pPr>
      <w:r w:rsidRPr="003A173C">
        <w:rPr>
          <w:rFonts w:cs="Calibri"/>
          <w:szCs w:val="20"/>
        </w:rPr>
        <w:t>There is a cooling off period for service agreements under section 148-65(</w:t>
      </w:r>
      <w:r w:rsidR="00421B2B" w:rsidRPr="003A173C">
        <w:rPr>
          <w:rFonts w:cs="Calibri"/>
          <w:szCs w:val="20"/>
        </w:rPr>
        <w:t>3</w:t>
      </w:r>
      <w:r w:rsidRPr="003A173C">
        <w:rPr>
          <w:rFonts w:cs="Calibri"/>
          <w:szCs w:val="20"/>
        </w:rPr>
        <w:t>)</w:t>
      </w:r>
      <w:r w:rsidR="00421B2B" w:rsidRPr="003A173C">
        <w:rPr>
          <w:rFonts w:cs="Calibri"/>
          <w:szCs w:val="20"/>
        </w:rPr>
        <w:t xml:space="preserve">-(4) </w:t>
      </w:r>
      <w:r w:rsidRPr="003A173C">
        <w:rPr>
          <w:rFonts w:cs="Calibri"/>
          <w:szCs w:val="20"/>
        </w:rPr>
        <w:t xml:space="preserve">of the Rules which allows individuals to withdraw from their service agreements by giving notice. </w:t>
      </w:r>
    </w:p>
    <w:p w14:paraId="20D15DF0" w14:textId="3B5EED98" w:rsidR="00203922" w:rsidRPr="003A173C" w:rsidRDefault="0046348E" w:rsidP="00805475">
      <w:pPr>
        <w:spacing w:before="60" w:after="60" w:line="276" w:lineRule="auto"/>
        <w:rPr>
          <w:rFonts w:cs="Calibri"/>
        </w:rPr>
      </w:pPr>
      <w:r w:rsidRPr="003A173C">
        <w:rPr>
          <w:rFonts w:cs="Calibri"/>
          <w:szCs w:val="20"/>
        </w:rPr>
        <w:t>Service agreements are also required to state how they will be varied (section 148-65(</w:t>
      </w:r>
      <w:r w:rsidR="00685CFF" w:rsidRPr="003A173C">
        <w:rPr>
          <w:rFonts w:cs="Calibri"/>
          <w:szCs w:val="20"/>
        </w:rPr>
        <w:t>5</w:t>
      </w:r>
      <w:r w:rsidRPr="003A173C">
        <w:rPr>
          <w:rFonts w:cs="Calibri"/>
          <w:szCs w:val="20"/>
        </w:rPr>
        <w:t xml:space="preserve">) of the Rules). This section </w:t>
      </w:r>
      <w:r w:rsidRPr="003A173C">
        <w:rPr>
          <w:rFonts w:cs="Calibri"/>
        </w:rPr>
        <w:t xml:space="preserve">provides that variation to a service agreement may be made following adequate consultation and mutual consent of the individual and the registered provider. Any variations to the agreement must be clearly documented in the individual’s records and not be varied in a way that is inconsistent with the </w:t>
      </w:r>
      <w:r w:rsidRPr="003A173C">
        <w:rPr>
          <w:rFonts w:cs="Calibri"/>
          <w:i/>
        </w:rPr>
        <w:t>New Tax System (Goods and Services Tax) Act 1999</w:t>
      </w:r>
      <w:r w:rsidR="00716746" w:rsidRPr="003A173C">
        <w:rPr>
          <w:rFonts w:cs="Calibri"/>
        </w:rPr>
        <w:t xml:space="preserve"> (Cth) </w:t>
      </w:r>
      <w:r w:rsidRPr="003A173C">
        <w:rPr>
          <w:rFonts w:cs="Calibri"/>
        </w:rPr>
        <w:t xml:space="preserve">and the Act. </w:t>
      </w:r>
      <w:r w:rsidR="00203922" w:rsidRPr="003A173C">
        <w:rPr>
          <w:rFonts w:cs="Calibri"/>
        </w:rPr>
        <w:t>Service Agreements can be</w:t>
      </w:r>
      <w:r w:rsidR="00240581">
        <w:rPr>
          <w:rFonts w:cs="Calibri"/>
        </w:rPr>
        <w:t xml:space="preserve"> varied</w:t>
      </w:r>
      <w:r w:rsidR="00203922" w:rsidRPr="003A173C">
        <w:rPr>
          <w:rFonts w:cs="Calibri"/>
        </w:rPr>
        <w:t xml:space="preserve"> at any time during a TCP episode. When a TCP episode is extended beyond the initial 12-week period up to a maximum to 18 weeks (further to an extension request application through an Assessment Delegate), this should also be recorded as a variation to </w:t>
      </w:r>
      <w:r w:rsidR="00E63070" w:rsidRPr="003A173C">
        <w:rPr>
          <w:rFonts w:cs="Calibri"/>
        </w:rPr>
        <w:t xml:space="preserve">the </w:t>
      </w:r>
      <w:r w:rsidR="00203922" w:rsidRPr="003A173C">
        <w:rPr>
          <w:rFonts w:cs="Calibri"/>
        </w:rPr>
        <w:t>TCP episode length details</w:t>
      </w:r>
      <w:r w:rsidR="00341196">
        <w:rPr>
          <w:rFonts w:cs="Calibri"/>
        </w:rPr>
        <w:t xml:space="preserve"> in the service agreement</w:t>
      </w:r>
      <w:r w:rsidR="00203922" w:rsidRPr="003A173C">
        <w:rPr>
          <w:rFonts w:cs="Calibri"/>
        </w:rPr>
        <w:t xml:space="preserve">. </w:t>
      </w:r>
    </w:p>
    <w:p w14:paraId="6AB12EAE" w14:textId="77777777" w:rsidR="0046348E" w:rsidRPr="003A173C" w:rsidRDefault="0046348E" w:rsidP="0046348E">
      <w:pPr>
        <w:pStyle w:val="ListBullet"/>
        <w:numPr>
          <w:ilvl w:val="0"/>
          <w:numId w:val="0"/>
        </w:numPr>
        <w:rPr>
          <w:rFonts w:cs="Calibri"/>
          <w:szCs w:val="20"/>
        </w:rPr>
      </w:pPr>
      <w:r w:rsidRPr="003A173C">
        <w:rPr>
          <w:rFonts w:cs="Calibri"/>
          <w:szCs w:val="20"/>
        </w:rPr>
        <w:t>The required specific contents of service agreements are set out in section 148-70. Service agreements for the provision of TCP must include the following:</w:t>
      </w:r>
    </w:p>
    <w:p w14:paraId="2A58C0B9" w14:textId="77777777" w:rsidR="0046348E" w:rsidRPr="008202E1" w:rsidRDefault="0046348E" w:rsidP="00020AC2">
      <w:pPr>
        <w:pStyle w:val="ListBullet"/>
        <w:rPr>
          <w:rFonts w:eastAsia="Calibri"/>
        </w:rPr>
      </w:pPr>
      <w:r w:rsidRPr="008202E1">
        <w:rPr>
          <w:rFonts w:eastAsia="Calibri"/>
        </w:rPr>
        <w:t>a statement setting out the parties to the agreement, including the contact details of the individual;</w:t>
      </w:r>
    </w:p>
    <w:p w14:paraId="29E6482F" w14:textId="77777777" w:rsidR="0046348E" w:rsidRPr="008202E1" w:rsidRDefault="0046348E" w:rsidP="00020AC2">
      <w:pPr>
        <w:pStyle w:val="ListBullet"/>
        <w:rPr>
          <w:rFonts w:eastAsia="Calibri"/>
        </w:rPr>
      </w:pPr>
      <w:r w:rsidRPr="008202E1">
        <w:rPr>
          <w:rFonts w:eastAsia="Calibri"/>
        </w:rPr>
        <w:t xml:space="preserve">the name of the provider; </w:t>
      </w:r>
    </w:p>
    <w:p w14:paraId="026BF7CA" w14:textId="77777777" w:rsidR="0046348E" w:rsidRPr="008202E1" w:rsidRDefault="0046348E" w:rsidP="00020AC2">
      <w:pPr>
        <w:pStyle w:val="ListBullet"/>
        <w:rPr>
          <w:rFonts w:eastAsia="Calibri"/>
        </w:rPr>
      </w:pPr>
      <w:r w:rsidRPr="008202E1">
        <w:rPr>
          <w:rFonts w:eastAsia="Calibri"/>
        </w:rPr>
        <w:t xml:space="preserve">the contact details of the provider; </w:t>
      </w:r>
    </w:p>
    <w:p w14:paraId="030DA327" w14:textId="77777777" w:rsidR="0046348E" w:rsidRPr="008202E1" w:rsidRDefault="0046348E" w:rsidP="00020AC2">
      <w:pPr>
        <w:pStyle w:val="ListBullet"/>
        <w:rPr>
          <w:rFonts w:eastAsia="Calibri"/>
        </w:rPr>
      </w:pPr>
      <w:r w:rsidRPr="008202E1">
        <w:rPr>
          <w:rFonts w:eastAsia="Calibri"/>
        </w:rPr>
        <w:t xml:space="preserve">the contact details of the supporters of the individual (if any); </w:t>
      </w:r>
    </w:p>
    <w:p w14:paraId="3D38CD70" w14:textId="37113500" w:rsidR="0046348E" w:rsidRPr="008202E1" w:rsidRDefault="0046348E" w:rsidP="00020AC2">
      <w:pPr>
        <w:pStyle w:val="ListBullet"/>
        <w:rPr>
          <w:rFonts w:eastAsia="Calibri"/>
        </w:rPr>
      </w:pPr>
      <w:r w:rsidRPr="008202E1">
        <w:rPr>
          <w:rFonts w:eastAsia="Calibri"/>
        </w:rPr>
        <w:t>a copy of the individual’s access approval</w:t>
      </w:r>
      <w:r w:rsidR="009E6390">
        <w:rPr>
          <w:rFonts w:eastAsia="Calibri"/>
        </w:rPr>
        <w:t xml:space="preserve"> (including Support Plan) from the assessment delegate</w:t>
      </w:r>
      <w:r w:rsidRPr="008202E1">
        <w:rPr>
          <w:rFonts w:eastAsia="Calibri"/>
        </w:rPr>
        <w:t xml:space="preserve">; </w:t>
      </w:r>
    </w:p>
    <w:p w14:paraId="472E09FD" w14:textId="7EA4DEFC" w:rsidR="0046348E" w:rsidRPr="008202E1" w:rsidRDefault="0046348E" w:rsidP="00020AC2">
      <w:pPr>
        <w:pStyle w:val="ListBullet"/>
        <w:rPr>
          <w:rFonts w:eastAsia="Calibri"/>
        </w:rPr>
      </w:pPr>
      <w:r w:rsidRPr="008202E1">
        <w:rPr>
          <w:rFonts w:eastAsia="Calibri"/>
        </w:rPr>
        <w:t xml:space="preserve">the approved residential care home (if any) in or from which the provider </w:t>
      </w:r>
      <w:r w:rsidR="00867FF5" w:rsidRPr="008202E1">
        <w:rPr>
          <w:rFonts w:eastAsia="Calibri"/>
        </w:rPr>
        <w:t>will deliver transition care</w:t>
      </w:r>
      <w:r w:rsidRPr="008202E1">
        <w:rPr>
          <w:rFonts w:eastAsia="Calibri"/>
        </w:rPr>
        <w:t xml:space="preserve"> to the individual;</w:t>
      </w:r>
    </w:p>
    <w:p w14:paraId="1CD219DD" w14:textId="64DF8B28" w:rsidR="0046348E" w:rsidRPr="008202E1" w:rsidRDefault="0046348E" w:rsidP="00020AC2">
      <w:pPr>
        <w:pStyle w:val="ListBullet"/>
        <w:rPr>
          <w:rFonts w:eastAsia="Calibri"/>
        </w:rPr>
      </w:pPr>
      <w:r w:rsidRPr="008202E1">
        <w:rPr>
          <w:rFonts w:eastAsia="Calibri"/>
        </w:rPr>
        <w:t xml:space="preserve">the date when the service agreement commences; </w:t>
      </w:r>
    </w:p>
    <w:p w14:paraId="4336F4EC" w14:textId="624B235F" w:rsidR="0046348E" w:rsidRPr="008202E1" w:rsidRDefault="0046348E" w:rsidP="00020AC2">
      <w:pPr>
        <w:pStyle w:val="ListBullet"/>
        <w:rPr>
          <w:rFonts w:eastAsia="Calibri"/>
        </w:rPr>
      </w:pPr>
      <w:r w:rsidRPr="008202E1">
        <w:rPr>
          <w:rFonts w:eastAsia="Calibri"/>
        </w:rPr>
        <w:t>the start day</w:t>
      </w:r>
      <w:r w:rsidR="00867FF5" w:rsidRPr="008202E1">
        <w:rPr>
          <w:rFonts w:eastAsia="Calibri"/>
        </w:rPr>
        <w:t xml:space="preserve"> of care</w:t>
      </w:r>
      <w:r w:rsidRPr="008202E1">
        <w:rPr>
          <w:rFonts w:eastAsia="Calibri"/>
        </w:rPr>
        <w:t xml:space="preserve"> for the individual; </w:t>
      </w:r>
    </w:p>
    <w:p w14:paraId="2E5EE012" w14:textId="1D395FDB" w:rsidR="0046348E" w:rsidRPr="008202E1" w:rsidRDefault="0046348E" w:rsidP="00020AC2">
      <w:pPr>
        <w:pStyle w:val="ListBullet"/>
        <w:rPr>
          <w:rFonts w:eastAsia="Calibri"/>
        </w:rPr>
      </w:pPr>
      <w:r w:rsidRPr="008202E1">
        <w:rPr>
          <w:rFonts w:eastAsia="Calibri"/>
        </w:rPr>
        <w:t>when the provider will cease delivering</w:t>
      </w:r>
      <w:r w:rsidR="00867FF5" w:rsidRPr="008202E1">
        <w:rPr>
          <w:rFonts w:eastAsia="Calibri"/>
        </w:rPr>
        <w:t xml:space="preserve"> </w:t>
      </w:r>
      <w:r w:rsidRPr="008202E1">
        <w:rPr>
          <w:rFonts w:eastAsia="Calibri"/>
        </w:rPr>
        <w:t>care</w:t>
      </w:r>
      <w:r w:rsidR="00867FF5" w:rsidRPr="008202E1">
        <w:rPr>
          <w:rFonts w:eastAsia="Calibri"/>
        </w:rPr>
        <w:t xml:space="preserve"> and</w:t>
      </w:r>
      <w:r w:rsidRPr="008202E1">
        <w:rPr>
          <w:rFonts w:eastAsia="Calibri"/>
        </w:rPr>
        <w:t xml:space="preserve"> services to the individual (this includes providing an exit strategy planned for the individual, for instance where the individual is expected to be discharged to, support services to be arranged, and carer briefings); </w:t>
      </w:r>
    </w:p>
    <w:p w14:paraId="08C6E051" w14:textId="77777777" w:rsidR="0046348E" w:rsidRPr="008202E1" w:rsidRDefault="0046348E" w:rsidP="00020AC2">
      <w:pPr>
        <w:pStyle w:val="ListBullet"/>
        <w:rPr>
          <w:rFonts w:eastAsia="Calibri"/>
        </w:rPr>
      </w:pPr>
      <w:r w:rsidRPr="008202E1">
        <w:rPr>
          <w:rFonts w:eastAsia="Calibri"/>
        </w:rPr>
        <w:t>the date when the service agreement ends; and</w:t>
      </w:r>
    </w:p>
    <w:p w14:paraId="50984BBB" w14:textId="07CE188E" w:rsidR="0046348E" w:rsidRPr="008202E1" w:rsidRDefault="0046348E" w:rsidP="00020AC2">
      <w:pPr>
        <w:pStyle w:val="ListBullet"/>
        <w:rPr>
          <w:rFonts w:eastAsia="Calibri"/>
        </w:rPr>
      </w:pPr>
      <w:r w:rsidRPr="008202E1">
        <w:rPr>
          <w:rFonts w:eastAsia="Calibri"/>
        </w:rPr>
        <w:t>which fees or contributions (if any), referred to in Division 3 of Part 3 of Chapter 4 of the Act, the provider will charge the individual, including copies of any policies and practices used to set fees, and information about what happens if a</w:t>
      </w:r>
      <w:r w:rsidR="004A2E85" w:rsidRPr="008202E1">
        <w:rPr>
          <w:rFonts w:eastAsia="Calibri"/>
        </w:rPr>
        <w:t xml:space="preserve">n individual does </w:t>
      </w:r>
      <w:r w:rsidRPr="008202E1">
        <w:rPr>
          <w:rFonts w:eastAsia="Calibri"/>
        </w:rPr>
        <w:t>not pay any agreed fees.</w:t>
      </w:r>
    </w:p>
    <w:p w14:paraId="48A1E4A8" w14:textId="77777777" w:rsidR="009C4524" w:rsidRDefault="009C4524">
      <w:pPr>
        <w:pStyle w:val="ListBullet"/>
        <w:numPr>
          <w:ilvl w:val="0"/>
          <w:numId w:val="0"/>
        </w:numPr>
        <w:rPr>
          <w:rFonts w:cs="Calibri"/>
        </w:rPr>
      </w:pPr>
    </w:p>
    <w:p w14:paraId="22346E99" w14:textId="67126B0E" w:rsidR="00505A3E" w:rsidRPr="003A173C" w:rsidRDefault="0046348E">
      <w:pPr>
        <w:pStyle w:val="ListBullet"/>
        <w:numPr>
          <w:ilvl w:val="0"/>
          <w:numId w:val="0"/>
        </w:numPr>
        <w:rPr>
          <w:rFonts w:cs="Calibri"/>
        </w:rPr>
      </w:pPr>
      <w:r w:rsidRPr="003A173C">
        <w:rPr>
          <w:rFonts w:cs="Calibri"/>
        </w:rPr>
        <w:t>In addition, the service agreements are required to state the range of services, particularly physical and/or cognitive therapies, the individual has been assessed as requiring as per their</w:t>
      </w:r>
      <w:r w:rsidR="00422A21">
        <w:rPr>
          <w:rFonts w:cs="Calibri"/>
        </w:rPr>
        <w:t xml:space="preserve"> Support Plan</w:t>
      </w:r>
      <w:r w:rsidRPr="003A173C">
        <w:rPr>
          <w:rFonts w:cs="Calibri"/>
        </w:rPr>
        <w:t xml:space="preserve">. Further to this, registered providers must adhere to the requirements for developing care and services plans for individual entering a TCP episode under </w:t>
      </w:r>
      <w:r w:rsidR="00EB62DD" w:rsidRPr="003A173C">
        <w:rPr>
          <w:rFonts w:cs="Calibri"/>
        </w:rPr>
        <w:t>S</w:t>
      </w:r>
      <w:r w:rsidRPr="003A173C">
        <w:rPr>
          <w:rFonts w:cs="Calibri"/>
        </w:rPr>
        <w:t>ubdivision D, Division 3, Part 4, Chapter 4 of the Rules.</w:t>
      </w:r>
      <w:r w:rsidR="00494CE0" w:rsidRPr="003A173C">
        <w:rPr>
          <w:rFonts w:cs="Calibri"/>
        </w:rPr>
        <w:t xml:space="preserve"> Further information o</w:t>
      </w:r>
      <w:r w:rsidR="006A7C5D">
        <w:rPr>
          <w:rFonts w:cs="Calibri"/>
        </w:rPr>
        <w:t>n</w:t>
      </w:r>
      <w:r w:rsidR="00494CE0" w:rsidRPr="003A173C">
        <w:rPr>
          <w:rFonts w:cs="Calibri"/>
        </w:rPr>
        <w:t xml:space="preserve"> care and services plans is in the next section. </w:t>
      </w:r>
      <w:r w:rsidRPr="002734B4">
        <w:rPr>
          <w:rFonts w:cs="Calibri"/>
        </w:rPr>
        <w:t xml:space="preserve">Registered providers are also required to state in the service agreement that the individual (or their supporter) is entitled to make, without fear of reprisal, any complaint about the provision of transition care and state the mechanisms for making a complaint. This refers to both internal and external complaints mechanisms (see </w:t>
      </w:r>
      <w:r w:rsidRPr="002734B4">
        <w:rPr>
          <w:rFonts w:cs="Calibri"/>
          <w:i/>
          <w:iCs/>
        </w:rPr>
        <w:t>section </w:t>
      </w:r>
      <w:r w:rsidRPr="002734B4">
        <w:rPr>
          <w:rFonts w:cs="Calibri"/>
          <w:i/>
        </w:rPr>
        <w:t>7.2 Complaints</w:t>
      </w:r>
      <w:r w:rsidRPr="002734B4">
        <w:rPr>
          <w:rFonts w:cs="Calibri"/>
        </w:rPr>
        <w:t>).</w:t>
      </w:r>
      <w:r w:rsidR="00505A3E" w:rsidRPr="003A173C">
        <w:rPr>
          <w:rFonts w:cs="Calibri"/>
        </w:rPr>
        <w:t xml:space="preserve"> </w:t>
      </w:r>
    </w:p>
    <w:p w14:paraId="05198166" w14:textId="22276033" w:rsidR="0046348E" w:rsidRPr="003A173C" w:rsidRDefault="00505A3E" w:rsidP="00805475">
      <w:pPr>
        <w:spacing w:before="60" w:after="60" w:line="276" w:lineRule="auto"/>
        <w:rPr>
          <w:rFonts w:cs="Calibri"/>
        </w:rPr>
      </w:pPr>
      <w:r w:rsidRPr="003A173C">
        <w:rPr>
          <w:rFonts w:cs="Calibri"/>
        </w:rPr>
        <w:t xml:space="preserve">Service </w:t>
      </w:r>
      <w:r w:rsidR="0046348E" w:rsidRPr="003A173C">
        <w:rPr>
          <w:rFonts w:cs="Calibri"/>
        </w:rPr>
        <w:t>agreements entered into under the new Act must be signed by the individual and should state any other matters to be agreed to between the parties such as any conditions under which either party may terminate the agreement.</w:t>
      </w:r>
      <w:r w:rsidR="00B70F56" w:rsidRPr="003A173C">
        <w:rPr>
          <w:rFonts w:cs="Calibri"/>
        </w:rPr>
        <w:t xml:space="preserve"> Responsibility for </w:t>
      </w:r>
      <w:r w:rsidR="00B70F56" w:rsidRPr="00A61CCA">
        <w:rPr>
          <w:rFonts w:cs="Calibri"/>
        </w:rPr>
        <w:t>facilitating</w:t>
      </w:r>
      <w:r w:rsidR="00B70F56" w:rsidRPr="0070031A">
        <w:rPr>
          <w:rFonts w:cs="Calibri"/>
        </w:rPr>
        <w:t xml:space="preserve"> </w:t>
      </w:r>
      <w:r w:rsidR="00FB3726">
        <w:rPr>
          <w:rFonts w:cs="Calibri"/>
        </w:rPr>
        <w:t>signing of the</w:t>
      </w:r>
      <w:r w:rsidR="00B70F56" w:rsidRPr="0070031A">
        <w:rPr>
          <w:rFonts w:cs="Calibri"/>
        </w:rPr>
        <w:t xml:space="preserve"> </w:t>
      </w:r>
      <w:r w:rsidR="002F7CAF" w:rsidRPr="0070031A">
        <w:rPr>
          <w:rFonts w:cs="Calibri"/>
        </w:rPr>
        <w:t>s</w:t>
      </w:r>
      <w:r w:rsidR="00B70F56" w:rsidRPr="0070031A">
        <w:rPr>
          <w:rFonts w:cs="Calibri"/>
        </w:rPr>
        <w:t xml:space="preserve">ervice </w:t>
      </w:r>
      <w:r w:rsidR="002F7CAF" w:rsidRPr="0070031A">
        <w:rPr>
          <w:rFonts w:cs="Calibri"/>
        </w:rPr>
        <w:t>a</w:t>
      </w:r>
      <w:r w:rsidR="00B70F56" w:rsidRPr="0070031A">
        <w:rPr>
          <w:rFonts w:cs="Calibri"/>
        </w:rPr>
        <w:t xml:space="preserve">greement lies with the </w:t>
      </w:r>
      <w:r w:rsidR="00225EC5" w:rsidRPr="0070031A">
        <w:rPr>
          <w:rFonts w:cs="Calibri"/>
        </w:rPr>
        <w:t>r</w:t>
      </w:r>
      <w:r w:rsidR="00B70F56" w:rsidRPr="0070031A">
        <w:rPr>
          <w:rFonts w:cs="Calibri"/>
        </w:rPr>
        <w:t xml:space="preserve">egistered </w:t>
      </w:r>
      <w:r w:rsidR="00225EC5" w:rsidRPr="0070031A">
        <w:rPr>
          <w:rFonts w:cs="Calibri"/>
        </w:rPr>
        <w:t>p</w:t>
      </w:r>
      <w:r w:rsidR="00B70F56" w:rsidRPr="0070031A">
        <w:rPr>
          <w:rFonts w:cs="Calibri"/>
        </w:rPr>
        <w:t xml:space="preserve">rovider. Either the </w:t>
      </w:r>
      <w:r w:rsidR="00225EC5" w:rsidRPr="0070031A">
        <w:rPr>
          <w:rFonts w:cs="Calibri"/>
        </w:rPr>
        <w:t>r</w:t>
      </w:r>
      <w:r w:rsidR="00B70F56" w:rsidRPr="0070031A">
        <w:rPr>
          <w:rFonts w:cs="Calibri"/>
        </w:rPr>
        <w:t xml:space="preserve">egistered </w:t>
      </w:r>
      <w:r w:rsidR="00225EC5" w:rsidRPr="0070031A">
        <w:rPr>
          <w:rFonts w:cs="Calibri"/>
        </w:rPr>
        <w:t>p</w:t>
      </w:r>
      <w:r w:rsidR="00B70F56" w:rsidRPr="0070031A">
        <w:rPr>
          <w:rFonts w:cs="Calibri"/>
        </w:rPr>
        <w:t xml:space="preserve">rovider or their associated provider is able to sign the </w:t>
      </w:r>
      <w:r w:rsidR="00225EC5" w:rsidRPr="0070031A">
        <w:rPr>
          <w:rFonts w:cs="Calibri"/>
        </w:rPr>
        <w:t>a</w:t>
      </w:r>
      <w:r w:rsidR="00B70F56" w:rsidRPr="0070031A">
        <w:rPr>
          <w:rFonts w:cs="Calibri"/>
        </w:rPr>
        <w:t>greement, noting arrangements</w:t>
      </w:r>
      <w:r w:rsidR="00B70F56" w:rsidRPr="003A173C">
        <w:rPr>
          <w:rFonts w:cs="Calibri"/>
        </w:rPr>
        <w:t xml:space="preserve"> will be up to the jurisdictions and what works best in their respective TCP service delivery models. </w:t>
      </w:r>
    </w:p>
    <w:p w14:paraId="4DAB0FCC" w14:textId="182FD2E1" w:rsidR="0006759A" w:rsidRPr="003A173C" w:rsidRDefault="0046348E" w:rsidP="0046348E">
      <w:pPr>
        <w:rPr>
          <w:rFonts w:cs="Calibri"/>
        </w:rPr>
      </w:pPr>
      <w:r w:rsidRPr="003A173C">
        <w:rPr>
          <w:rFonts w:cs="Calibri"/>
        </w:rPr>
        <w:t xml:space="preserve">As indicated in </w:t>
      </w:r>
      <w:r w:rsidR="00B2652D" w:rsidRPr="003A173C">
        <w:rPr>
          <w:rFonts w:cs="Calibri"/>
          <w:i/>
          <w:iCs/>
        </w:rPr>
        <w:t>S</w:t>
      </w:r>
      <w:r w:rsidRPr="003A173C">
        <w:rPr>
          <w:rFonts w:cs="Calibri"/>
          <w:i/>
          <w:iCs/>
        </w:rPr>
        <w:t>ection 3.5.5</w:t>
      </w:r>
      <w:r w:rsidRPr="003A173C">
        <w:rPr>
          <w:rFonts w:cs="Calibri"/>
        </w:rPr>
        <w:t xml:space="preserve"> </w:t>
      </w:r>
      <w:r w:rsidRPr="003A173C">
        <w:rPr>
          <w:rFonts w:cs="Calibri"/>
          <w:i/>
          <w:iCs/>
        </w:rPr>
        <w:t xml:space="preserve">– </w:t>
      </w:r>
      <w:r w:rsidR="00B2652D" w:rsidRPr="003A173C">
        <w:rPr>
          <w:rFonts w:cs="Calibri"/>
          <w:i/>
          <w:iCs/>
        </w:rPr>
        <w:t>M</w:t>
      </w:r>
      <w:r w:rsidRPr="003A173C">
        <w:rPr>
          <w:rFonts w:cs="Calibri"/>
          <w:i/>
          <w:iCs/>
        </w:rPr>
        <w:t>ovement between care settings and services</w:t>
      </w:r>
      <w:r w:rsidRPr="003A173C">
        <w:rPr>
          <w:rFonts w:cs="Calibri"/>
        </w:rPr>
        <w:t xml:space="preserve">, </w:t>
      </w:r>
      <w:r w:rsidR="005708A7" w:rsidRPr="003A173C">
        <w:rPr>
          <w:rFonts w:cs="Calibri"/>
        </w:rPr>
        <w:t xml:space="preserve">if </w:t>
      </w:r>
      <w:r w:rsidRPr="003A173C">
        <w:rPr>
          <w:rFonts w:cs="Calibri"/>
        </w:rPr>
        <w:t>an individual moves to a new registered provider</w:t>
      </w:r>
      <w:r w:rsidR="0018465D" w:rsidRPr="003A173C">
        <w:rPr>
          <w:rFonts w:cs="Calibri"/>
        </w:rPr>
        <w:t xml:space="preserve"> during their transition care episode</w:t>
      </w:r>
      <w:r w:rsidRPr="003A173C">
        <w:rPr>
          <w:rFonts w:cs="Calibri"/>
        </w:rPr>
        <w:t>, a new service agreement must be</w:t>
      </w:r>
      <w:r w:rsidR="00A67980" w:rsidRPr="003A173C">
        <w:rPr>
          <w:rFonts w:cs="Calibri"/>
        </w:rPr>
        <w:t xml:space="preserve"> developed with the new registered provider. </w:t>
      </w:r>
    </w:p>
    <w:p w14:paraId="5267304E" w14:textId="77777777" w:rsidR="002D5050" w:rsidRPr="003A173C" w:rsidRDefault="0006759A" w:rsidP="002D5050">
      <w:pPr>
        <w:rPr>
          <w:rFonts w:cs="Calibri"/>
        </w:rPr>
      </w:pPr>
      <w:r w:rsidRPr="003A173C">
        <w:rPr>
          <w:rFonts w:cs="Calibri"/>
        </w:rPr>
        <w:t xml:space="preserve">New service agreements do not need to be entered when moving between different associated providers who are sub-contacted by the registered provider, who has signed the initial service agreement with the TCP client. </w:t>
      </w:r>
      <w:r w:rsidR="00E33F59" w:rsidRPr="003A173C">
        <w:rPr>
          <w:rFonts w:cs="Calibri"/>
        </w:rPr>
        <w:t>The initial service ag</w:t>
      </w:r>
      <w:r w:rsidR="009F1F26" w:rsidRPr="003A173C">
        <w:rPr>
          <w:rFonts w:cs="Calibri"/>
        </w:rPr>
        <w:t xml:space="preserve">reement that the </w:t>
      </w:r>
      <w:r w:rsidR="0085142A" w:rsidRPr="003A173C">
        <w:rPr>
          <w:rFonts w:cs="Calibri"/>
        </w:rPr>
        <w:t xml:space="preserve">registered provider signs, </w:t>
      </w:r>
      <w:r w:rsidR="00C51F28" w:rsidRPr="003A173C">
        <w:rPr>
          <w:rFonts w:cs="Calibri"/>
        </w:rPr>
        <w:t xml:space="preserve">may </w:t>
      </w:r>
      <w:r w:rsidR="0085142A" w:rsidRPr="003A173C">
        <w:rPr>
          <w:rFonts w:cs="Calibri"/>
        </w:rPr>
        <w:t xml:space="preserve">indicate </w:t>
      </w:r>
      <w:r w:rsidR="00C15871" w:rsidRPr="003A173C">
        <w:rPr>
          <w:rFonts w:cs="Calibri"/>
        </w:rPr>
        <w:t xml:space="preserve">the </w:t>
      </w:r>
      <w:r w:rsidR="008C1DE9" w:rsidRPr="003A173C">
        <w:rPr>
          <w:rFonts w:cs="Calibri"/>
        </w:rPr>
        <w:t xml:space="preserve">associated providers that will be involved in the provision of care. If this changes during the course of an individual’s TCP episode, </w:t>
      </w:r>
      <w:r w:rsidR="00CE4B33" w:rsidRPr="003A173C">
        <w:rPr>
          <w:rFonts w:cs="Calibri"/>
        </w:rPr>
        <w:t xml:space="preserve">this </w:t>
      </w:r>
      <w:r w:rsidR="000A4186" w:rsidRPr="003A173C">
        <w:rPr>
          <w:rFonts w:cs="Calibri"/>
        </w:rPr>
        <w:t>may</w:t>
      </w:r>
      <w:r w:rsidR="00CE4B33" w:rsidRPr="003A173C">
        <w:rPr>
          <w:rFonts w:cs="Calibri"/>
        </w:rPr>
        <w:t xml:space="preserve"> be recorded as a variation to the initial service agreement si</w:t>
      </w:r>
      <w:r w:rsidR="00117B7D" w:rsidRPr="003A173C">
        <w:rPr>
          <w:rFonts w:cs="Calibri"/>
        </w:rPr>
        <w:t>gned</w:t>
      </w:r>
      <w:r w:rsidR="00CE4B33" w:rsidRPr="003A173C">
        <w:rPr>
          <w:rFonts w:cs="Calibri"/>
        </w:rPr>
        <w:t xml:space="preserve"> with the registered provider. </w:t>
      </w:r>
    </w:p>
    <w:p w14:paraId="0CBEB295" w14:textId="47299345" w:rsidR="007D46B5" w:rsidRPr="003A173C" w:rsidRDefault="002D5050" w:rsidP="0046348E">
      <w:pPr>
        <w:rPr>
          <w:rFonts w:cs="Calibri"/>
        </w:rPr>
      </w:pPr>
      <w:r w:rsidRPr="003A173C">
        <w:rPr>
          <w:rFonts w:cs="Calibri"/>
        </w:rPr>
        <w:t xml:space="preserve">Please see </w:t>
      </w:r>
      <w:r w:rsidRPr="003A173C">
        <w:rPr>
          <w:rFonts w:cs="Calibri"/>
          <w:i/>
          <w:iCs/>
        </w:rPr>
        <w:t>Attachment B</w:t>
      </w:r>
      <w:r w:rsidRPr="003A173C">
        <w:rPr>
          <w:rFonts w:cs="Calibri"/>
        </w:rPr>
        <w:t xml:space="preserve"> for </w:t>
      </w:r>
      <w:r w:rsidR="003901A4" w:rsidRPr="003A173C">
        <w:rPr>
          <w:rFonts w:cs="Calibri"/>
        </w:rPr>
        <w:t>a</w:t>
      </w:r>
      <w:r w:rsidRPr="003A173C">
        <w:rPr>
          <w:rFonts w:cs="Calibri"/>
        </w:rPr>
        <w:t xml:space="preserve"> </w:t>
      </w:r>
      <w:r w:rsidR="004D0CAA" w:rsidRPr="003A173C">
        <w:rPr>
          <w:rFonts w:cs="Calibri"/>
        </w:rPr>
        <w:t>Client Service Agreement Template which jurisdiction</w:t>
      </w:r>
      <w:r w:rsidR="002F44E3">
        <w:rPr>
          <w:rFonts w:cs="Calibri"/>
        </w:rPr>
        <w:t>s</w:t>
      </w:r>
      <w:r w:rsidR="004D0CAA" w:rsidRPr="003A173C">
        <w:rPr>
          <w:rFonts w:cs="Calibri"/>
        </w:rPr>
        <w:t xml:space="preserve"> may choose to use </w:t>
      </w:r>
      <w:r w:rsidR="0028715A" w:rsidRPr="003A173C">
        <w:rPr>
          <w:rFonts w:cs="Calibri"/>
        </w:rPr>
        <w:t xml:space="preserve">or </w:t>
      </w:r>
      <w:r w:rsidR="003901A4" w:rsidRPr="003A173C">
        <w:rPr>
          <w:rFonts w:cs="Calibri"/>
        </w:rPr>
        <w:t>modify</w:t>
      </w:r>
      <w:r w:rsidR="0028715A" w:rsidRPr="003A173C">
        <w:rPr>
          <w:rFonts w:cs="Calibri"/>
        </w:rPr>
        <w:t xml:space="preserve"> for use a</w:t>
      </w:r>
      <w:r w:rsidR="00177F44" w:rsidRPr="003A173C">
        <w:rPr>
          <w:rFonts w:cs="Calibri"/>
        </w:rPr>
        <w:t>s</w:t>
      </w:r>
      <w:r w:rsidR="0028715A" w:rsidRPr="003A173C">
        <w:rPr>
          <w:rFonts w:cs="Calibri"/>
        </w:rPr>
        <w:t xml:space="preserve"> they see fit. It is not </w:t>
      </w:r>
      <w:r w:rsidR="003901A4" w:rsidRPr="003A173C">
        <w:rPr>
          <w:rFonts w:cs="Calibri"/>
        </w:rPr>
        <w:t>compulsory</w:t>
      </w:r>
      <w:r w:rsidR="0028715A" w:rsidRPr="003A173C">
        <w:rPr>
          <w:rFonts w:cs="Calibri"/>
        </w:rPr>
        <w:t xml:space="preserve"> to use this template if </w:t>
      </w:r>
      <w:r w:rsidR="00DE4DBD" w:rsidRPr="003A173C">
        <w:rPr>
          <w:rFonts w:cs="Calibri"/>
        </w:rPr>
        <w:t>jurisdictions</w:t>
      </w:r>
      <w:r w:rsidR="0028715A" w:rsidRPr="003A173C">
        <w:rPr>
          <w:rFonts w:cs="Calibri"/>
        </w:rPr>
        <w:t xml:space="preserve"> would like to develop their own </w:t>
      </w:r>
      <w:r w:rsidR="009A4DAE" w:rsidRPr="003A173C">
        <w:rPr>
          <w:rFonts w:cs="Calibri"/>
        </w:rPr>
        <w:t xml:space="preserve">based on the </w:t>
      </w:r>
      <w:r w:rsidR="00DE4DBD" w:rsidRPr="003A173C">
        <w:rPr>
          <w:rFonts w:cs="Calibri"/>
        </w:rPr>
        <w:t>legislative</w:t>
      </w:r>
      <w:r w:rsidR="009A4DAE" w:rsidRPr="003A173C">
        <w:rPr>
          <w:rFonts w:cs="Calibri"/>
        </w:rPr>
        <w:t xml:space="preserve"> requirements</w:t>
      </w:r>
      <w:r w:rsidR="003901A4" w:rsidRPr="003A173C">
        <w:rPr>
          <w:rFonts w:cs="Calibri"/>
        </w:rPr>
        <w:t xml:space="preserve"> and </w:t>
      </w:r>
      <w:r w:rsidR="00B445CD" w:rsidRPr="003A173C">
        <w:rPr>
          <w:rFonts w:cs="Calibri"/>
        </w:rPr>
        <w:t xml:space="preserve">their </w:t>
      </w:r>
      <w:r w:rsidR="009214D7">
        <w:rPr>
          <w:rFonts w:cs="Calibri"/>
        </w:rPr>
        <w:t xml:space="preserve">respective </w:t>
      </w:r>
      <w:r w:rsidR="00B445CD" w:rsidRPr="003A173C">
        <w:rPr>
          <w:rFonts w:cs="Calibri"/>
        </w:rPr>
        <w:t>TCP operating models</w:t>
      </w:r>
      <w:r w:rsidR="009A4DAE" w:rsidRPr="003A173C">
        <w:rPr>
          <w:rFonts w:cs="Calibri"/>
        </w:rPr>
        <w:t xml:space="preserve">. </w:t>
      </w:r>
      <w:r w:rsidR="00B445CD" w:rsidRPr="003A173C">
        <w:rPr>
          <w:rFonts w:cs="Calibri"/>
        </w:rPr>
        <w:t>The</w:t>
      </w:r>
      <w:r w:rsidR="00B445CD" w:rsidRPr="003A173C">
        <w:rPr>
          <w:rFonts w:cs="Calibri"/>
          <w:bCs/>
        </w:rPr>
        <w:t xml:space="preserve"> </w:t>
      </w:r>
      <w:r w:rsidR="00177F44" w:rsidRPr="003A173C">
        <w:rPr>
          <w:rFonts w:cs="Calibri"/>
          <w:bCs/>
        </w:rPr>
        <w:t xml:space="preserve">Client </w:t>
      </w:r>
      <w:r w:rsidR="00B445CD" w:rsidRPr="003A173C">
        <w:rPr>
          <w:rFonts w:cs="Calibri"/>
          <w:bCs/>
        </w:rPr>
        <w:t xml:space="preserve">Service Agreement </w:t>
      </w:r>
      <w:r w:rsidR="00177F44" w:rsidRPr="003A173C">
        <w:rPr>
          <w:rFonts w:cs="Calibri"/>
          <w:bCs/>
        </w:rPr>
        <w:t>T</w:t>
      </w:r>
      <w:r w:rsidR="00B445CD" w:rsidRPr="003A173C">
        <w:rPr>
          <w:rFonts w:cs="Calibri"/>
          <w:bCs/>
        </w:rPr>
        <w:t xml:space="preserve">emplate also assists with setting client expectations in terms of noting that the specific care and services </w:t>
      </w:r>
      <w:r w:rsidR="00E70790" w:rsidRPr="003A173C">
        <w:rPr>
          <w:rFonts w:cs="Calibri"/>
          <w:bCs/>
        </w:rPr>
        <w:t>clients</w:t>
      </w:r>
      <w:r w:rsidR="00B445CD" w:rsidRPr="003A173C">
        <w:rPr>
          <w:rFonts w:cs="Calibri"/>
          <w:bCs/>
        </w:rPr>
        <w:t xml:space="preserve"> will receive under </w:t>
      </w:r>
      <w:r w:rsidR="00B445CD" w:rsidRPr="003A173C">
        <w:rPr>
          <w:rFonts w:cs="Calibri"/>
          <w:bCs/>
        </w:rPr>
        <w:lastRenderedPageBreak/>
        <w:t xml:space="preserve">TCP will be those required to meet their assessed needs and goals, which will be detailed in the </w:t>
      </w:r>
      <w:r w:rsidR="00DE2092" w:rsidRPr="003A173C">
        <w:rPr>
          <w:rFonts w:cs="Calibri"/>
          <w:bCs/>
        </w:rPr>
        <w:t>c</w:t>
      </w:r>
      <w:r w:rsidR="00B445CD" w:rsidRPr="003A173C">
        <w:rPr>
          <w:rFonts w:cs="Calibri"/>
          <w:bCs/>
        </w:rPr>
        <w:t xml:space="preserve">are and </w:t>
      </w:r>
      <w:r w:rsidR="00DE2092" w:rsidRPr="003A173C">
        <w:rPr>
          <w:rFonts w:cs="Calibri"/>
          <w:bCs/>
        </w:rPr>
        <w:t>s</w:t>
      </w:r>
      <w:r w:rsidR="00B445CD" w:rsidRPr="003A173C">
        <w:rPr>
          <w:rFonts w:cs="Calibri"/>
          <w:bCs/>
        </w:rPr>
        <w:t xml:space="preserve">ervices </w:t>
      </w:r>
      <w:r w:rsidR="00DE2092" w:rsidRPr="003A173C">
        <w:rPr>
          <w:rFonts w:cs="Calibri"/>
          <w:bCs/>
        </w:rPr>
        <w:t>p</w:t>
      </w:r>
      <w:r w:rsidR="00B445CD" w:rsidRPr="003A173C">
        <w:rPr>
          <w:rFonts w:cs="Calibri"/>
          <w:bCs/>
        </w:rPr>
        <w:t xml:space="preserve">lan their provider will develop for them. </w:t>
      </w:r>
    </w:p>
    <w:p w14:paraId="558B8B7F" w14:textId="5080B833" w:rsidR="00C94C79" w:rsidRPr="003A173C" w:rsidRDefault="00C94C79" w:rsidP="0046348E">
      <w:pPr>
        <w:pStyle w:val="Heading2"/>
        <w:spacing w:before="120"/>
        <w:rPr>
          <w:rFonts w:ascii="Calibri" w:hAnsi="Calibri" w:cs="Calibri"/>
        </w:rPr>
      </w:pPr>
      <w:bookmarkStart w:id="1398" w:name="_Toc216865501"/>
      <w:bookmarkStart w:id="1399" w:name="_Toc26699237"/>
      <w:bookmarkStart w:id="1400" w:name="_Toc29371678"/>
      <w:bookmarkStart w:id="1401" w:name="_Toc110834657"/>
      <w:bookmarkStart w:id="1402" w:name="_Toc249169624"/>
      <w:bookmarkStart w:id="1403" w:name="_Toc395537197"/>
      <w:bookmarkStart w:id="1404" w:name="_Toc422732554"/>
      <w:bookmarkStart w:id="1405" w:name="_Toc422752894"/>
      <w:bookmarkStart w:id="1406" w:name="_Toc205561177"/>
      <w:r w:rsidRPr="003A173C">
        <w:rPr>
          <w:rFonts w:ascii="Calibri" w:hAnsi="Calibri" w:cs="Calibri"/>
        </w:rPr>
        <w:t>Individual Care and Services Plan</w:t>
      </w:r>
      <w:r w:rsidR="00CC30E4" w:rsidRPr="003A173C">
        <w:rPr>
          <w:rFonts w:ascii="Calibri" w:hAnsi="Calibri" w:cs="Calibri"/>
        </w:rPr>
        <w:t>s</w:t>
      </w:r>
      <w:bookmarkEnd w:id="1398"/>
    </w:p>
    <w:p w14:paraId="5195497C" w14:textId="4A481ED8" w:rsidR="004A1268" w:rsidRPr="003A173C" w:rsidRDefault="005F2F6E">
      <w:pPr>
        <w:rPr>
          <w:rFonts w:cs="Calibri"/>
        </w:rPr>
      </w:pPr>
      <w:r w:rsidRPr="003A173C">
        <w:rPr>
          <w:rFonts w:cs="Calibri"/>
        </w:rPr>
        <w:t>A c</w:t>
      </w:r>
      <w:r w:rsidR="004A1268" w:rsidRPr="003A173C">
        <w:rPr>
          <w:rFonts w:cs="Calibri"/>
        </w:rPr>
        <w:t xml:space="preserve">are and </w:t>
      </w:r>
      <w:r w:rsidRPr="003A173C">
        <w:rPr>
          <w:rFonts w:cs="Calibri"/>
        </w:rPr>
        <w:t>s</w:t>
      </w:r>
      <w:r w:rsidR="004A1268" w:rsidRPr="003A173C">
        <w:rPr>
          <w:rFonts w:cs="Calibri"/>
        </w:rPr>
        <w:t xml:space="preserve">ervices </w:t>
      </w:r>
      <w:r w:rsidRPr="003A173C">
        <w:rPr>
          <w:rFonts w:cs="Calibri"/>
        </w:rPr>
        <w:t>p</w:t>
      </w:r>
      <w:r w:rsidR="004A1268" w:rsidRPr="003A173C">
        <w:rPr>
          <w:rFonts w:cs="Calibri"/>
        </w:rPr>
        <w:t xml:space="preserve">lan </w:t>
      </w:r>
      <w:r w:rsidRPr="003A173C">
        <w:rPr>
          <w:rFonts w:cs="Calibri"/>
        </w:rPr>
        <w:t>must be</w:t>
      </w:r>
      <w:r w:rsidR="004A1268" w:rsidRPr="003A173C">
        <w:rPr>
          <w:rFonts w:cs="Calibri"/>
        </w:rPr>
        <w:t xml:space="preserve"> developed </w:t>
      </w:r>
      <w:r w:rsidRPr="003A173C">
        <w:rPr>
          <w:rFonts w:cs="Calibri"/>
        </w:rPr>
        <w:t xml:space="preserve">for </w:t>
      </w:r>
      <w:r w:rsidR="00886461" w:rsidRPr="003A173C">
        <w:rPr>
          <w:rFonts w:cs="Calibri"/>
        </w:rPr>
        <w:t xml:space="preserve">the TCP client </w:t>
      </w:r>
      <w:r w:rsidR="004A1268" w:rsidRPr="003A173C">
        <w:rPr>
          <w:rFonts w:cs="Calibri"/>
        </w:rPr>
        <w:t xml:space="preserve">on or before </w:t>
      </w:r>
      <w:r w:rsidR="00886461" w:rsidRPr="003A173C">
        <w:rPr>
          <w:rFonts w:cs="Calibri"/>
        </w:rPr>
        <w:t>their start day</w:t>
      </w:r>
      <w:r w:rsidR="00A9700A" w:rsidRPr="003A173C">
        <w:rPr>
          <w:rFonts w:cs="Calibri"/>
        </w:rPr>
        <w:t xml:space="preserve"> under </w:t>
      </w:r>
      <w:r w:rsidR="00EE1B42" w:rsidRPr="003A173C">
        <w:rPr>
          <w:rFonts w:cs="Calibri"/>
        </w:rPr>
        <w:t>section 148-80 and 1</w:t>
      </w:r>
      <w:r w:rsidR="009867A9" w:rsidRPr="003A173C">
        <w:rPr>
          <w:rFonts w:cs="Calibri"/>
        </w:rPr>
        <w:t xml:space="preserve">48-85 of the Rules. </w:t>
      </w:r>
      <w:r w:rsidR="00C96398" w:rsidRPr="003A173C">
        <w:rPr>
          <w:rFonts w:cs="Calibri"/>
        </w:rPr>
        <w:t>The care and services plan will be based on the client</w:t>
      </w:r>
      <w:r w:rsidR="005B7FF6" w:rsidRPr="003A173C">
        <w:rPr>
          <w:rFonts w:cs="Calibri"/>
        </w:rPr>
        <w:t>’</w:t>
      </w:r>
      <w:r w:rsidR="00C96398" w:rsidRPr="003A173C">
        <w:rPr>
          <w:rFonts w:cs="Calibri"/>
        </w:rPr>
        <w:t xml:space="preserve">s </w:t>
      </w:r>
      <w:r w:rsidR="005B7FF6" w:rsidRPr="003A173C">
        <w:rPr>
          <w:rFonts w:cs="Calibri"/>
        </w:rPr>
        <w:t xml:space="preserve">needs </w:t>
      </w:r>
      <w:r w:rsidR="009E5CA0" w:rsidRPr="003A173C">
        <w:rPr>
          <w:rFonts w:cs="Calibri"/>
        </w:rPr>
        <w:t xml:space="preserve">assessment </w:t>
      </w:r>
      <w:r w:rsidR="00F610A0" w:rsidRPr="003A173C">
        <w:rPr>
          <w:rFonts w:cs="Calibri"/>
        </w:rPr>
        <w:t xml:space="preserve">and </w:t>
      </w:r>
      <w:r w:rsidR="00A25911" w:rsidRPr="003A173C">
        <w:rPr>
          <w:rFonts w:cs="Calibri"/>
        </w:rPr>
        <w:t>accompanying</w:t>
      </w:r>
      <w:r w:rsidR="00F610A0" w:rsidRPr="003A173C">
        <w:rPr>
          <w:rFonts w:cs="Calibri"/>
        </w:rPr>
        <w:t xml:space="preserve"> </w:t>
      </w:r>
      <w:r w:rsidR="00A25911" w:rsidRPr="003A173C">
        <w:rPr>
          <w:rFonts w:cs="Calibri"/>
        </w:rPr>
        <w:t>S</w:t>
      </w:r>
      <w:r w:rsidR="00F610A0" w:rsidRPr="003A173C">
        <w:rPr>
          <w:rFonts w:cs="Calibri"/>
        </w:rPr>
        <w:t xml:space="preserve">upport </w:t>
      </w:r>
      <w:r w:rsidR="00A25911" w:rsidRPr="003A173C">
        <w:rPr>
          <w:rFonts w:cs="Calibri"/>
        </w:rPr>
        <w:t>P</w:t>
      </w:r>
      <w:r w:rsidR="00F610A0" w:rsidRPr="003A173C">
        <w:rPr>
          <w:rFonts w:cs="Calibri"/>
        </w:rPr>
        <w:t>lan</w:t>
      </w:r>
      <w:r w:rsidR="005B7FF6" w:rsidRPr="003A173C">
        <w:rPr>
          <w:rFonts w:cs="Calibri"/>
        </w:rPr>
        <w:t xml:space="preserve"> as signed off by the assessment delegate,</w:t>
      </w:r>
      <w:r w:rsidR="00A25911" w:rsidRPr="003A173C">
        <w:rPr>
          <w:rFonts w:cs="Calibri"/>
        </w:rPr>
        <w:t xml:space="preserve"> which lists the </w:t>
      </w:r>
      <w:r w:rsidR="005B7FF6" w:rsidRPr="003A173C">
        <w:rPr>
          <w:rFonts w:cs="Calibri"/>
        </w:rPr>
        <w:t>client’s</w:t>
      </w:r>
      <w:r w:rsidR="00A25911" w:rsidRPr="003A173C">
        <w:rPr>
          <w:rFonts w:cs="Calibri"/>
        </w:rPr>
        <w:t xml:space="preserve"> goals</w:t>
      </w:r>
      <w:r w:rsidR="005B7FF6" w:rsidRPr="003A173C">
        <w:rPr>
          <w:rFonts w:cs="Calibri"/>
        </w:rPr>
        <w:t xml:space="preserve"> in accessing transition care. </w:t>
      </w:r>
      <w:r w:rsidR="00C96800" w:rsidRPr="003A173C">
        <w:rPr>
          <w:rFonts w:cs="Calibri"/>
        </w:rPr>
        <w:t>The Support Plan will list tha</w:t>
      </w:r>
      <w:r w:rsidR="00006CD5" w:rsidRPr="003A173C">
        <w:rPr>
          <w:rFonts w:cs="Calibri"/>
        </w:rPr>
        <w:t>t</w:t>
      </w:r>
      <w:r w:rsidR="00C96800" w:rsidRPr="003A173C">
        <w:rPr>
          <w:rFonts w:cs="Calibri"/>
        </w:rPr>
        <w:t xml:space="preserve"> an individual is eligible for all the</w:t>
      </w:r>
      <w:r w:rsidR="003217C4" w:rsidRPr="003A173C">
        <w:rPr>
          <w:rFonts w:cs="Calibri"/>
        </w:rPr>
        <w:t xml:space="preserve"> relevant</w:t>
      </w:r>
      <w:r w:rsidR="00C96800" w:rsidRPr="003A173C">
        <w:rPr>
          <w:rFonts w:cs="Calibri"/>
        </w:rPr>
        <w:t xml:space="preserve"> transition care service groups and service types from the Aged Care Service List</w:t>
      </w:r>
      <w:r w:rsidR="003217C4" w:rsidRPr="003A173C">
        <w:rPr>
          <w:rFonts w:cs="Calibri"/>
        </w:rPr>
        <w:t xml:space="preserve"> </w:t>
      </w:r>
      <w:r w:rsidR="00FE7D6D" w:rsidRPr="003A173C">
        <w:rPr>
          <w:rFonts w:cs="Calibri"/>
        </w:rPr>
        <w:t xml:space="preserve">but the actual services that the client will receive from that complete list </w:t>
      </w:r>
      <w:r w:rsidR="00CC4014" w:rsidRPr="003A173C">
        <w:rPr>
          <w:rFonts w:cs="Calibri"/>
        </w:rPr>
        <w:t xml:space="preserve">will be based on their </w:t>
      </w:r>
      <w:r w:rsidR="006E5B94" w:rsidRPr="003A173C">
        <w:rPr>
          <w:rFonts w:cs="Calibri"/>
        </w:rPr>
        <w:t>individual</w:t>
      </w:r>
      <w:r w:rsidR="00CC4014" w:rsidRPr="003A173C">
        <w:rPr>
          <w:rFonts w:cs="Calibri"/>
        </w:rPr>
        <w:t xml:space="preserve"> needs as assessed by the</w:t>
      </w:r>
      <w:r w:rsidR="006E5B94" w:rsidRPr="003A173C">
        <w:rPr>
          <w:rFonts w:cs="Calibri"/>
        </w:rPr>
        <w:t xml:space="preserve"> </w:t>
      </w:r>
      <w:r w:rsidR="00A15CE6" w:rsidRPr="003A173C">
        <w:rPr>
          <w:rFonts w:cs="Calibri"/>
        </w:rPr>
        <w:t xml:space="preserve">a multidisciplinary </w:t>
      </w:r>
      <w:r w:rsidR="006E5B94" w:rsidRPr="003A173C">
        <w:rPr>
          <w:rFonts w:cs="Calibri"/>
        </w:rPr>
        <w:t>care team of the registered provider</w:t>
      </w:r>
      <w:r w:rsidR="00594AFA" w:rsidRPr="003A173C">
        <w:rPr>
          <w:rFonts w:cs="Calibri"/>
        </w:rPr>
        <w:t xml:space="preserve"> (including associated providers)</w:t>
      </w:r>
      <w:r w:rsidR="006E5B94" w:rsidRPr="003A173C">
        <w:rPr>
          <w:rFonts w:cs="Calibri"/>
        </w:rPr>
        <w:t xml:space="preserve">, as they are commencing their TCP episode. </w:t>
      </w:r>
      <w:r w:rsidR="00C96800" w:rsidRPr="003A173C">
        <w:rPr>
          <w:rFonts w:cs="Calibri"/>
        </w:rPr>
        <w:t xml:space="preserve"> </w:t>
      </w:r>
      <w:r w:rsidR="00F610A0" w:rsidRPr="003A173C">
        <w:rPr>
          <w:rFonts w:cs="Calibri"/>
        </w:rPr>
        <w:t xml:space="preserve"> </w:t>
      </w:r>
    </w:p>
    <w:p w14:paraId="2A2480CE" w14:textId="6490BB1C" w:rsidR="00FC4998" w:rsidRPr="003A173C" w:rsidRDefault="00DC7B88" w:rsidP="00FC4998">
      <w:pPr>
        <w:rPr>
          <w:rFonts w:cs="Calibri"/>
        </w:rPr>
      </w:pPr>
      <w:r w:rsidRPr="003A173C">
        <w:rPr>
          <w:rFonts w:cs="Calibri"/>
        </w:rPr>
        <w:t>The care and services plan will primary have a therapeutic focus based on the individual’s goals</w:t>
      </w:r>
      <w:r w:rsidR="00E16E29" w:rsidRPr="003A173C">
        <w:rPr>
          <w:rFonts w:cs="Calibri"/>
        </w:rPr>
        <w:t xml:space="preserve"> and will specify</w:t>
      </w:r>
      <w:r w:rsidR="00FC4998" w:rsidRPr="003A173C">
        <w:rPr>
          <w:rFonts w:cs="Calibri"/>
        </w:rPr>
        <w:t xml:space="preserve"> the type and level of available therapeutic services a TCP client is to receive</w:t>
      </w:r>
      <w:r w:rsidR="0062478B" w:rsidRPr="003A173C">
        <w:rPr>
          <w:rFonts w:cs="Calibri"/>
        </w:rPr>
        <w:t>,</w:t>
      </w:r>
      <w:r w:rsidR="00FC4998" w:rsidRPr="003A173C">
        <w:rPr>
          <w:rFonts w:cs="Calibri"/>
        </w:rPr>
        <w:t xml:space="preserve"> which incorporates a therapeutic plan for physical and cognitive needs developed through the individual’s hospital discharge planning, the aged care assessment process and in consultation with the individual, and their carer or supporters where appropriate.</w:t>
      </w:r>
    </w:p>
    <w:p w14:paraId="556E1CCD" w14:textId="6DB0A119" w:rsidR="00FC4998" w:rsidRPr="003A173C" w:rsidRDefault="00FC4998" w:rsidP="00FC4998">
      <w:pPr>
        <w:rPr>
          <w:rFonts w:cs="Calibri"/>
        </w:rPr>
      </w:pPr>
      <w:r w:rsidRPr="003A173C">
        <w:rPr>
          <w:rFonts w:cs="Calibri"/>
        </w:rPr>
        <w:t xml:space="preserve">As is currently the case, when developing a client’s </w:t>
      </w:r>
      <w:r w:rsidR="009B1D5F" w:rsidRPr="003A173C">
        <w:rPr>
          <w:rFonts w:cs="Calibri"/>
        </w:rPr>
        <w:t>care and services plan,</w:t>
      </w:r>
      <w:r w:rsidRPr="003A173C">
        <w:rPr>
          <w:rFonts w:cs="Calibri"/>
        </w:rPr>
        <w:t xml:space="preserve"> TCP providers must comply with the TCP Restorative Care Requirements, which are detailed in the</w:t>
      </w:r>
      <w:r w:rsidR="009B1D5F" w:rsidRPr="003A173C">
        <w:rPr>
          <w:rFonts w:cs="Calibri"/>
        </w:rPr>
        <w:t>se guidelines at Chapter 4</w:t>
      </w:r>
      <w:r w:rsidRPr="003A173C">
        <w:rPr>
          <w:rFonts w:cs="Calibri"/>
        </w:rPr>
        <w:t>. These are not changing during the transition to the new Act. Their core requirements remain:</w:t>
      </w:r>
    </w:p>
    <w:p w14:paraId="7C53C6A0" w14:textId="7B39CF93" w:rsidR="00FC4998" w:rsidRPr="003A173C" w:rsidRDefault="00FC4998" w:rsidP="00020AC2">
      <w:pPr>
        <w:pStyle w:val="ListBullet"/>
      </w:pPr>
      <w:r w:rsidRPr="003A173C">
        <w:t xml:space="preserve">Requirement 1 </w:t>
      </w:r>
      <w:r w:rsidR="004136B5">
        <w:t>–</w:t>
      </w:r>
      <w:r w:rsidRPr="003A173C">
        <w:t xml:space="preserve"> Optimising</w:t>
      </w:r>
      <w:r w:rsidR="004136B5">
        <w:t xml:space="preserve"> </w:t>
      </w:r>
      <w:r w:rsidRPr="003A173C">
        <w:t>Independence and Wellbeing;</w:t>
      </w:r>
    </w:p>
    <w:p w14:paraId="34F7E661" w14:textId="66D28716" w:rsidR="00FC4998" w:rsidRPr="003A173C" w:rsidRDefault="00FC4998" w:rsidP="00020AC2">
      <w:pPr>
        <w:pStyle w:val="ListBullet"/>
      </w:pPr>
      <w:r w:rsidRPr="003A173C">
        <w:t xml:space="preserve">Requirement 2 </w:t>
      </w:r>
      <w:r w:rsidR="004136B5">
        <w:t>–</w:t>
      </w:r>
      <w:r w:rsidRPr="003A173C">
        <w:t xml:space="preserve"> Multidisciplinary</w:t>
      </w:r>
      <w:r w:rsidR="004136B5">
        <w:t xml:space="preserve"> </w:t>
      </w:r>
      <w:r w:rsidRPr="003A173C">
        <w:t>Approach and Therapy Focussed Care; and</w:t>
      </w:r>
    </w:p>
    <w:p w14:paraId="254DF3A0" w14:textId="7E09503C" w:rsidR="00FC4998" w:rsidRPr="003A173C" w:rsidRDefault="00FC4998" w:rsidP="00020AC2">
      <w:pPr>
        <w:pStyle w:val="ListBullet"/>
      </w:pPr>
      <w:r w:rsidRPr="003A173C">
        <w:t xml:space="preserve">Requirement 3 </w:t>
      </w:r>
      <w:r w:rsidR="004136B5">
        <w:t>–</w:t>
      </w:r>
      <w:r w:rsidRPr="003A173C">
        <w:t xml:space="preserve"> Seamless Care.</w:t>
      </w:r>
    </w:p>
    <w:p w14:paraId="31B305D3" w14:textId="49AEB7EB" w:rsidR="008E4B5D" w:rsidRPr="003A173C" w:rsidRDefault="00DB755E">
      <w:pPr>
        <w:rPr>
          <w:rFonts w:cs="Calibri"/>
        </w:rPr>
      </w:pPr>
      <w:r w:rsidRPr="003A173C">
        <w:rPr>
          <w:rFonts w:cs="Calibri"/>
        </w:rPr>
        <w:t>As the client’s TCP episode progresses, it is</w:t>
      </w:r>
      <w:r w:rsidR="004A1268" w:rsidRPr="003A173C">
        <w:rPr>
          <w:rFonts w:cs="Calibri"/>
        </w:rPr>
        <w:t xml:space="preserve"> expected the </w:t>
      </w:r>
      <w:r w:rsidRPr="003A173C">
        <w:rPr>
          <w:rFonts w:cs="Calibri"/>
        </w:rPr>
        <w:t xml:space="preserve">care and services plan </w:t>
      </w:r>
      <w:r w:rsidR="004A1268" w:rsidRPr="003A173C">
        <w:rPr>
          <w:rFonts w:cs="Calibri"/>
        </w:rPr>
        <w:t>will be</w:t>
      </w:r>
      <w:r w:rsidR="00E42BCB" w:rsidRPr="003A173C">
        <w:rPr>
          <w:rFonts w:cs="Calibri"/>
        </w:rPr>
        <w:t xml:space="preserve"> </w:t>
      </w:r>
      <w:r w:rsidR="002D478F" w:rsidRPr="003A173C">
        <w:rPr>
          <w:rFonts w:cs="Calibri"/>
        </w:rPr>
        <w:t xml:space="preserve">regularly reviewed </w:t>
      </w:r>
      <w:r w:rsidR="00E42BCB" w:rsidRPr="003A173C">
        <w:rPr>
          <w:rFonts w:cs="Calibri"/>
        </w:rPr>
        <w:t xml:space="preserve">or </w:t>
      </w:r>
      <w:r w:rsidR="004A1268" w:rsidRPr="003A173C">
        <w:rPr>
          <w:rFonts w:cs="Calibri"/>
        </w:rPr>
        <w:t>updated</w:t>
      </w:r>
      <w:r w:rsidR="00E42BCB" w:rsidRPr="003A173C">
        <w:rPr>
          <w:rFonts w:cs="Calibri"/>
        </w:rPr>
        <w:t xml:space="preserve"> as required</w:t>
      </w:r>
      <w:r w:rsidR="004A1268" w:rsidRPr="003A173C">
        <w:rPr>
          <w:rFonts w:cs="Calibri"/>
        </w:rPr>
        <w:t xml:space="preserve"> with detailed care plan information</w:t>
      </w:r>
      <w:r w:rsidR="00E42BCB" w:rsidRPr="003A173C">
        <w:rPr>
          <w:rFonts w:cs="Calibri"/>
        </w:rPr>
        <w:t xml:space="preserve"> and progress notes</w:t>
      </w:r>
      <w:r w:rsidR="004A1268" w:rsidRPr="003A173C">
        <w:rPr>
          <w:rFonts w:cs="Calibri"/>
        </w:rPr>
        <w:t xml:space="preserve"> from the registered provider’s care team (these teams may also be engaged as </w:t>
      </w:r>
      <w:r w:rsidR="00764137" w:rsidRPr="003A173C">
        <w:rPr>
          <w:rFonts w:cs="Calibri"/>
        </w:rPr>
        <w:t>a</w:t>
      </w:r>
      <w:r w:rsidR="004A1268" w:rsidRPr="003A173C">
        <w:rPr>
          <w:rFonts w:cs="Calibri"/>
        </w:rPr>
        <w:t xml:space="preserve">ssociated </w:t>
      </w:r>
      <w:r w:rsidR="00764137" w:rsidRPr="003A173C">
        <w:rPr>
          <w:rFonts w:cs="Calibri"/>
        </w:rPr>
        <w:t>p</w:t>
      </w:r>
      <w:r w:rsidR="004A1268" w:rsidRPr="003A173C">
        <w:rPr>
          <w:rFonts w:cs="Calibri"/>
        </w:rPr>
        <w:t>roviders)</w:t>
      </w:r>
      <w:r w:rsidR="00E42BCB" w:rsidRPr="003A173C">
        <w:rPr>
          <w:rFonts w:cs="Calibri"/>
        </w:rPr>
        <w:t>.</w:t>
      </w:r>
      <w:r w:rsidR="0008507B" w:rsidRPr="003A173C">
        <w:rPr>
          <w:rFonts w:cs="Calibri"/>
        </w:rPr>
        <w:t xml:space="preserve"> Any updates to the care and services plan is to be b</w:t>
      </w:r>
      <w:r w:rsidR="004A1268" w:rsidRPr="003A173C">
        <w:rPr>
          <w:rFonts w:cs="Calibri"/>
        </w:rPr>
        <w:t xml:space="preserve">ased on </w:t>
      </w:r>
      <w:r w:rsidR="008B393E" w:rsidRPr="003A173C">
        <w:rPr>
          <w:rFonts w:cs="Calibri"/>
        </w:rPr>
        <w:t xml:space="preserve">monitoring of changes in the client’s condition and </w:t>
      </w:r>
      <w:r w:rsidR="004A1268" w:rsidRPr="003A173C">
        <w:rPr>
          <w:rFonts w:cs="Calibri"/>
        </w:rPr>
        <w:t>ongoing communications between the</w:t>
      </w:r>
      <w:r w:rsidR="008B393E" w:rsidRPr="003A173C">
        <w:rPr>
          <w:rFonts w:cs="Calibri"/>
        </w:rPr>
        <w:t xml:space="preserve"> client</w:t>
      </w:r>
      <w:r w:rsidR="0008507B" w:rsidRPr="003A173C">
        <w:rPr>
          <w:rFonts w:cs="Calibri"/>
        </w:rPr>
        <w:t xml:space="preserve">, </w:t>
      </w:r>
      <w:r w:rsidR="00B93535" w:rsidRPr="003A173C">
        <w:rPr>
          <w:rFonts w:cs="Calibri"/>
        </w:rPr>
        <w:t>their supp</w:t>
      </w:r>
      <w:r w:rsidR="002D478F" w:rsidRPr="003A173C">
        <w:rPr>
          <w:rFonts w:cs="Calibri"/>
        </w:rPr>
        <w:t>orters</w:t>
      </w:r>
      <w:r w:rsidR="004A1268" w:rsidRPr="003A173C">
        <w:rPr>
          <w:rFonts w:cs="Calibri"/>
        </w:rPr>
        <w:t xml:space="preserve"> and care team.</w:t>
      </w:r>
      <w:r w:rsidR="008E4B5D" w:rsidRPr="003A173C">
        <w:rPr>
          <w:rFonts w:cs="Calibri"/>
        </w:rPr>
        <w:t xml:space="preserve"> </w:t>
      </w:r>
    </w:p>
    <w:p w14:paraId="6996DACD" w14:textId="5A3D2450" w:rsidR="00F40D5D" w:rsidRPr="003A173C" w:rsidRDefault="00F40D5D" w:rsidP="00805475">
      <w:pPr>
        <w:rPr>
          <w:rFonts w:cs="Calibri"/>
        </w:rPr>
      </w:pPr>
      <w:r w:rsidRPr="003A173C">
        <w:rPr>
          <w:rFonts w:cs="Calibri"/>
        </w:rPr>
        <w:t xml:space="preserve">TCP clients will not need to be reassessed by an Aged Care </w:t>
      </w:r>
      <w:r w:rsidR="008B393E" w:rsidRPr="003A173C">
        <w:rPr>
          <w:rFonts w:cs="Calibri"/>
        </w:rPr>
        <w:t xml:space="preserve">Needs </w:t>
      </w:r>
      <w:r w:rsidRPr="003A173C">
        <w:rPr>
          <w:rFonts w:cs="Calibri"/>
        </w:rPr>
        <w:t>Assessor if their condition, or TCP care setting changes through the course of their TCP episode.</w:t>
      </w:r>
    </w:p>
    <w:p w14:paraId="03368534" w14:textId="511A732D" w:rsidR="00C94C79" w:rsidRPr="003A173C" w:rsidRDefault="00BC56D3" w:rsidP="00C94C79">
      <w:pPr>
        <w:rPr>
          <w:rFonts w:cs="Calibri"/>
        </w:rPr>
      </w:pPr>
      <w:r w:rsidRPr="003A173C">
        <w:rPr>
          <w:rFonts w:cs="Calibri"/>
        </w:rPr>
        <w:t>Clients should be provided with</w:t>
      </w:r>
      <w:r w:rsidR="00F5175D" w:rsidRPr="003A173C">
        <w:rPr>
          <w:rFonts w:cs="Calibri"/>
        </w:rPr>
        <w:t xml:space="preserve"> a copy of the care and services plan when it is initially developed and any time it is updated</w:t>
      </w:r>
      <w:r w:rsidR="001C3BAA" w:rsidRPr="003A173C">
        <w:rPr>
          <w:rFonts w:cs="Calibri"/>
        </w:rPr>
        <w:t>,</w:t>
      </w:r>
      <w:r w:rsidR="00F5175D" w:rsidRPr="003A173C">
        <w:rPr>
          <w:rFonts w:cs="Calibri"/>
        </w:rPr>
        <w:t xml:space="preserve"> and </w:t>
      </w:r>
      <w:r w:rsidR="008C7C16" w:rsidRPr="003A173C">
        <w:rPr>
          <w:rFonts w:cs="Calibri"/>
        </w:rPr>
        <w:t>also provided</w:t>
      </w:r>
      <w:r w:rsidRPr="003A173C">
        <w:rPr>
          <w:rFonts w:cs="Calibri"/>
        </w:rPr>
        <w:t xml:space="preserve"> information on the full list of TCP </w:t>
      </w:r>
      <w:r w:rsidR="006C52B7" w:rsidRPr="003A173C">
        <w:rPr>
          <w:rFonts w:cs="Calibri"/>
        </w:rPr>
        <w:t>s</w:t>
      </w:r>
      <w:r w:rsidRPr="003A173C">
        <w:rPr>
          <w:rFonts w:cs="Calibri"/>
        </w:rPr>
        <w:t xml:space="preserve">ervice </w:t>
      </w:r>
      <w:r w:rsidR="006C52B7" w:rsidRPr="003A173C">
        <w:rPr>
          <w:rFonts w:cs="Calibri"/>
        </w:rPr>
        <w:t>t</w:t>
      </w:r>
      <w:r w:rsidRPr="003A173C">
        <w:rPr>
          <w:rFonts w:cs="Calibri"/>
        </w:rPr>
        <w:t xml:space="preserve">ypes that may be made available </w:t>
      </w:r>
      <w:r w:rsidR="00D16FE2" w:rsidRPr="003A173C">
        <w:rPr>
          <w:rFonts w:cs="Calibri"/>
        </w:rPr>
        <w:t xml:space="preserve">to them </w:t>
      </w:r>
      <w:r w:rsidRPr="003A173C">
        <w:rPr>
          <w:rFonts w:cs="Calibri"/>
        </w:rPr>
        <w:t xml:space="preserve">under the </w:t>
      </w:r>
      <w:r w:rsidR="001637A8" w:rsidRPr="003A173C">
        <w:rPr>
          <w:rFonts w:cs="Calibri"/>
        </w:rPr>
        <w:t>p</w:t>
      </w:r>
      <w:r w:rsidRPr="003A173C">
        <w:rPr>
          <w:rFonts w:cs="Calibri"/>
        </w:rPr>
        <w:t xml:space="preserve">rogram. The </w:t>
      </w:r>
      <w:r w:rsidR="009E32D3" w:rsidRPr="003A173C">
        <w:rPr>
          <w:rFonts w:cs="Calibri"/>
        </w:rPr>
        <w:t xml:space="preserve">Client </w:t>
      </w:r>
      <w:r w:rsidRPr="003A173C">
        <w:rPr>
          <w:rFonts w:cs="Calibri"/>
        </w:rPr>
        <w:t xml:space="preserve">Service Agreement </w:t>
      </w:r>
      <w:r w:rsidR="009E32D3" w:rsidRPr="003A173C">
        <w:rPr>
          <w:rFonts w:cs="Calibri"/>
        </w:rPr>
        <w:t>T</w:t>
      </w:r>
      <w:r w:rsidRPr="003A173C">
        <w:rPr>
          <w:rFonts w:cs="Calibri"/>
        </w:rPr>
        <w:t xml:space="preserve">emplate developed by the Department </w:t>
      </w:r>
      <w:r w:rsidR="009E32D3" w:rsidRPr="003A173C">
        <w:rPr>
          <w:rFonts w:cs="Calibri"/>
        </w:rPr>
        <w:t>at</w:t>
      </w:r>
      <w:r w:rsidR="009E32D3" w:rsidRPr="003A173C">
        <w:rPr>
          <w:rFonts w:cs="Calibri"/>
          <w:i/>
          <w:iCs/>
        </w:rPr>
        <w:t xml:space="preserve"> Attachment B </w:t>
      </w:r>
      <w:r w:rsidRPr="003A173C">
        <w:rPr>
          <w:rFonts w:cs="Calibri"/>
        </w:rPr>
        <w:t xml:space="preserve">includes an attachment with the full list of TCP </w:t>
      </w:r>
      <w:r w:rsidR="006C52B7" w:rsidRPr="003A173C">
        <w:rPr>
          <w:rFonts w:cs="Calibri"/>
        </w:rPr>
        <w:t>s</w:t>
      </w:r>
      <w:r w:rsidRPr="003A173C">
        <w:rPr>
          <w:rFonts w:cs="Calibri"/>
        </w:rPr>
        <w:t xml:space="preserve">ervice </w:t>
      </w:r>
      <w:r w:rsidR="009E32D3" w:rsidRPr="003A173C">
        <w:rPr>
          <w:rFonts w:cs="Calibri"/>
        </w:rPr>
        <w:t>t</w:t>
      </w:r>
      <w:r w:rsidRPr="003A173C">
        <w:rPr>
          <w:rFonts w:cs="Calibri"/>
        </w:rPr>
        <w:t>ypes.</w:t>
      </w:r>
    </w:p>
    <w:p w14:paraId="2D2E2827" w14:textId="799EA0CB" w:rsidR="0046348E" w:rsidRPr="003A173C" w:rsidRDefault="0046348E" w:rsidP="0046348E">
      <w:pPr>
        <w:pStyle w:val="Heading2"/>
        <w:spacing w:before="120"/>
        <w:rPr>
          <w:rFonts w:ascii="Calibri" w:hAnsi="Calibri" w:cs="Calibri"/>
        </w:rPr>
      </w:pPr>
      <w:bookmarkStart w:id="1407" w:name="_Toc216865502"/>
      <w:r w:rsidRPr="003A173C">
        <w:rPr>
          <w:rFonts w:ascii="Calibri" w:hAnsi="Calibri" w:cs="Calibri"/>
        </w:rPr>
        <w:t>Individual responsibilities</w:t>
      </w:r>
      <w:bookmarkEnd w:id="1399"/>
      <w:bookmarkEnd w:id="1400"/>
      <w:bookmarkEnd w:id="1401"/>
      <w:bookmarkEnd w:id="1402"/>
      <w:bookmarkEnd w:id="1403"/>
      <w:bookmarkEnd w:id="1404"/>
      <w:bookmarkEnd w:id="1405"/>
      <w:bookmarkEnd w:id="1406"/>
      <w:bookmarkEnd w:id="1407"/>
    </w:p>
    <w:p w14:paraId="19E708F9" w14:textId="7657FED6" w:rsidR="0046348E" w:rsidRPr="003A173C" w:rsidRDefault="0046348E" w:rsidP="0046348E">
      <w:pPr>
        <w:rPr>
          <w:rFonts w:cs="Calibri"/>
        </w:rPr>
      </w:pPr>
      <w:r w:rsidRPr="003A173C">
        <w:rPr>
          <w:rFonts w:cs="Calibri"/>
        </w:rPr>
        <w:t>As well as having rights that must be respected, individual</w:t>
      </w:r>
      <w:r w:rsidR="00C92ED6" w:rsidRPr="003A173C">
        <w:rPr>
          <w:rFonts w:cs="Calibri"/>
        </w:rPr>
        <w:t>s</w:t>
      </w:r>
      <w:r w:rsidRPr="003A173C">
        <w:rPr>
          <w:rFonts w:cs="Calibri"/>
        </w:rPr>
        <w:t xml:space="preserve"> receiving TCP services, or their supporters where appropriate, have responsibilities to the registered provider, care staff, other individuals in care</w:t>
      </w:r>
      <w:r w:rsidR="00C92ED6" w:rsidRPr="003A173C">
        <w:rPr>
          <w:rFonts w:cs="Calibri"/>
        </w:rPr>
        <w:t xml:space="preserve"> </w:t>
      </w:r>
      <w:r w:rsidRPr="003A173C">
        <w:rPr>
          <w:rFonts w:cs="Calibri"/>
        </w:rPr>
        <w:t>and themselves.</w:t>
      </w:r>
    </w:p>
    <w:p w14:paraId="4F4FFB38" w14:textId="5C40E12F" w:rsidR="0046348E" w:rsidRPr="003A173C" w:rsidRDefault="0046348E" w:rsidP="0046348E">
      <w:pPr>
        <w:rPr>
          <w:rFonts w:cs="Calibri"/>
        </w:rPr>
      </w:pPr>
      <w:r w:rsidRPr="003A173C">
        <w:rPr>
          <w:rFonts w:cs="Calibri"/>
        </w:rPr>
        <w:t>The Department expects that responsibilities of individuals will be agreed between both parties and not be inconsistent with any requirements of the Act and the</w:t>
      </w:r>
      <w:r w:rsidRPr="003A173C">
        <w:rPr>
          <w:rFonts w:cs="Calibri"/>
          <w:bCs/>
          <w:iCs/>
        </w:rPr>
        <w:t xml:space="preserve"> Rules</w:t>
      </w:r>
      <w:r w:rsidRPr="003A173C">
        <w:rPr>
          <w:rFonts w:cs="Calibri"/>
          <w:i/>
          <w:iCs/>
        </w:rPr>
        <w:t xml:space="preserve">. </w:t>
      </w:r>
      <w:r w:rsidRPr="003A173C">
        <w:rPr>
          <w:rFonts w:cs="Calibri"/>
        </w:rPr>
        <w:t xml:space="preserve">These responsibilities are to be clearly articulated in the service agreement between the registered provider and the individual. </w:t>
      </w:r>
    </w:p>
    <w:p w14:paraId="4A65671D" w14:textId="20BE0233" w:rsidR="0046348E" w:rsidRPr="003A173C" w:rsidRDefault="0046348E" w:rsidP="0046348E">
      <w:pPr>
        <w:rPr>
          <w:rFonts w:cs="Calibri"/>
        </w:rPr>
      </w:pPr>
      <w:r w:rsidRPr="003A173C">
        <w:rPr>
          <w:rFonts w:cs="Calibri"/>
        </w:rPr>
        <w:t>In the spirit of the individual and the TCP registered provider having reciprocal responsibilities, the individual’s responsibilities include the following:</w:t>
      </w:r>
    </w:p>
    <w:p w14:paraId="2F31A039" w14:textId="77777777" w:rsidR="0046348E" w:rsidRPr="008202E1" w:rsidRDefault="0046348E" w:rsidP="00020AC2">
      <w:pPr>
        <w:pStyle w:val="ListBullet"/>
        <w:rPr>
          <w:rFonts w:eastAsia="Calibri"/>
        </w:rPr>
      </w:pPr>
      <w:r w:rsidRPr="008202E1">
        <w:rPr>
          <w:rFonts w:eastAsia="Calibri"/>
        </w:rPr>
        <w:t>respecting the rights of staff and the provider to work in a safe and healthy environment free from harassment;</w:t>
      </w:r>
    </w:p>
    <w:p w14:paraId="1DDC78A3" w14:textId="3467269C" w:rsidR="0046348E" w:rsidRPr="008202E1" w:rsidRDefault="0046348E" w:rsidP="00020AC2">
      <w:pPr>
        <w:pStyle w:val="ListBullet"/>
        <w:rPr>
          <w:rFonts w:eastAsia="Calibri"/>
        </w:rPr>
      </w:pPr>
      <w:r w:rsidRPr="008202E1">
        <w:rPr>
          <w:rFonts w:eastAsia="Calibri"/>
        </w:rPr>
        <w:t>respecting the rights and needs of other individuals (for transition care delivered in a residential setting);</w:t>
      </w:r>
    </w:p>
    <w:p w14:paraId="2E0CB518" w14:textId="77777777" w:rsidR="0046348E" w:rsidRPr="008202E1" w:rsidRDefault="0046348E" w:rsidP="00020AC2">
      <w:pPr>
        <w:pStyle w:val="ListBullet"/>
        <w:rPr>
          <w:rFonts w:eastAsia="Calibri"/>
        </w:rPr>
      </w:pPr>
      <w:r w:rsidRPr="008202E1">
        <w:rPr>
          <w:rFonts w:eastAsia="Calibri"/>
        </w:rPr>
        <w:t>caring for their own health and well-being, as far as they are capable;</w:t>
      </w:r>
    </w:p>
    <w:p w14:paraId="388C362E" w14:textId="43C8214B" w:rsidR="0046348E" w:rsidRPr="008202E1" w:rsidRDefault="0046348E" w:rsidP="00020AC2">
      <w:pPr>
        <w:pStyle w:val="ListBullet"/>
        <w:rPr>
          <w:rFonts w:eastAsia="Calibri"/>
        </w:rPr>
      </w:pPr>
      <w:r w:rsidRPr="008202E1">
        <w:rPr>
          <w:rFonts w:eastAsia="Calibri"/>
        </w:rPr>
        <w:t xml:space="preserve">working to achieve the goals articulated in their agreed individual care </w:t>
      </w:r>
      <w:r w:rsidR="00F502EC" w:rsidRPr="008202E1">
        <w:rPr>
          <w:rFonts w:eastAsia="Calibri"/>
        </w:rPr>
        <w:t xml:space="preserve">and services </w:t>
      </w:r>
      <w:r w:rsidRPr="008202E1">
        <w:rPr>
          <w:rFonts w:eastAsia="Calibri"/>
        </w:rPr>
        <w:t>plan;</w:t>
      </w:r>
    </w:p>
    <w:p w14:paraId="76076217" w14:textId="36AC61B9" w:rsidR="0046348E" w:rsidRPr="008202E1" w:rsidRDefault="0046348E" w:rsidP="00020AC2">
      <w:pPr>
        <w:pStyle w:val="ListBullet"/>
        <w:rPr>
          <w:rFonts w:eastAsia="Calibri"/>
        </w:rPr>
      </w:pPr>
      <w:r w:rsidRPr="008202E1">
        <w:rPr>
          <w:rFonts w:eastAsia="Calibri"/>
        </w:rPr>
        <w:t>informing the registered provider about any required changes to the care</w:t>
      </w:r>
      <w:r w:rsidR="00F502EC" w:rsidRPr="008202E1">
        <w:rPr>
          <w:rFonts w:eastAsia="Calibri"/>
        </w:rPr>
        <w:t xml:space="preserve"> and services</w:t>
      </w:r>
      <w:r w:rsidRPr="008202E1">
        <w:rPr>
          <w:rFonts w:eastAsia="Calibri"/>
        </w:rPr>
        <w:t xml:space="preserve"> plan or service agreement;</w:t>
      </w:r>
    </w:p>
    <w:p w14:paraId="144B1554" w14:textId="77777777" w:rsidR="0046348E" w:rsidRPr="008202E1" w:rsidRDefault="0046348E" w:rsidP="00020AC2">
      <w:pPr>
        <w:pStyle w:val="ListBullet"/>
        <w:rPr>
          <w:rFonts w:eastAsia="Calibri"/>
        </w:rPr>
      </w:pPr>
      <w:r w:rsidRPr="008202E1">
        <w:rPr>
          <w:rFonts w:eastAsia="Calibri"/>
        </w:rPr>
        <w:t>providing information to the registered provider about their wants and needs;</w:t>
      </w:r>
    </w:p>
    <w:p w14:paraId="1F7DEC7E" w14:textId="77777777" w:rsidR="0046348E" w:rsidRPr="008202E1" w:rsidRDefault="0046348E" w:rsidP="00020AC2">
      <w:pPr>
        <w:pStyle w:val="ListBullet"/>
        <w:rPr>
          <w:rFonts w:eastAsia="Calibri"/>
        </w:rPr>
      </w:pPr>
      <w:r w:rsidRPr="008202E1">
        <w:rPr>
          <w:rFonts w:eastAsia="Calibri"/>
        </w:rPr>
        <w:t>notifying the registered provider of any special requirements;</w:t>
      </w:r>
    </w:p>
    <w:p w14:paraId="3CE6615C" w14:textId="77777777" w:rsidR="0046348E" w:rsidRPr="008202E1" w:rsidRDefault="0046348E" w:rsidP="00020AC2">
      <w:pPr>
        <w:pStyle w:val="ListBullet"/>
        <w:rPr>
          <w:rFonts w:eastAsia="Calibri"/>
        </w:rPr>
      </w:pPr>
      <w:r w:rsidRPr="008202E1">
        <w:rPr>
          <w:rFonts w:eastAsia="Calibri"/>
        </w:rPr>
        <w:t>providing constructive feedback to the registered provider about the service’s performance; and</w:t>
      </w:r>
    </w:p>
    <w:p w14:paraId="6D31DA1D" w14:textId="77777777" w:rsidR="0046348E" w:rsidRDefault="0046348E" w:rsidP="00020AC2">
      <w:pPr>
        <w:pStyle w:val="ListBullet"/>
        <w:rPr>
          <w:rFonts w:eastAsia="Calibri"/>
        </w:rPr>
      </w:pPr>
      <w:r w:rsidRPr="008202E1">
        <w:rPr>
          <w:rFonts w:eastAsia="Calibri"/>
        </w:rPr>
        <w:t>contributing to the cost of care where appropriate.</w:t>
      </w:r>
    </w:p>
    <w:p w14:paraId="7B3854EB" w14:textId="77777777" w:rsidR="00802AF6" w:rsidRPr="008202E1" w:rsidRDefault="00802AF6" w:rsidP="00802AF6">
      <w:pPr>
        <w:pStyle w:val="ListBullet"/>
        <w:numPr>
          <w:ilvl w:val="0"/>
          <w:numId w:val="0"/>
        </w:numPr>
        <w:ind w:left="584"/>
        <w:rPr>
          <w:rFonts w:eastAsia="Calibri"/>
        </w:rPr>
      </w:pPr>
    </w:p>
    <w:p w14:paraId="2C89869E" w14:textId="77777777" w:rsidR="0046348E" w:rsidRPr="003A173C" w:rsidRDefault="0046348E" w:rsidP="0046348E">
      <w:pPr>
        <w:pStyle w:val="Heading2"/>
        <w:rPr>
          <w:rFonts w:ascii="Calibri" w:hAnsi="Calibri" w:cs="Calibri"/>
          <w:snapToGrid w:val="0"/>
        </w:rPr>
      </w:pPr>
      <w:bookmarkStart w:id="1408" w:name="_Toc26699238"/>
      <w:bookmarkStart w:id="1409" w:name="_Toc29371679"/>
      <w:bookmarkStart w:id="1410" w:name="_Toc110834658"/>
      <w:bookmarkStart w:id="1411" w:name="_Toc245536180"/>
      <w:bookmarkStart w:id="1412" w:name="_Toc249169625"/>
      <w:bookmarkStart w:id="1413" w:name="_Toc395537198"/>
      <w:bookmarkStart w:id="1414" w:name="_Toc422732555"/>
      <w:bookmarkStart w:id="1415" w:name="_Toc422752895"/>
      <w:bookmarkStart w:id="1416" w:name="_Toc205561178"/>
      <w:bookmarkStart w:id="1417" w:name="_Toc216865503"/>
      <w:r w:rsidRPr="003A173C">
        <w:rPr>
          <w:rFonts w:ascii="Calibri" w:hAnsi="Calibri" w:cs="Calibri"/>
          <w:snapToGrid w:val="0"/>
        </w:rPr>
        <w:lastRenderedPageBreak/>
        <w:t>Advocacy</w:t>
      </w:r>
      <w:bookmarkEnd w:id="1408"/>
      <w:bookmarkEnd w:id="1409"/>
      <w:bookmarkEnd w:id="1410"/>
      <w:bookmarkEnd w:id="1411"/>
      <w:bookmarkEnd w:id="1412"/>
      <w:bookmarkEnd w:id="1413"/>
      <w:bookmarkEnd w:id="1414"/>
      <w:bookmarkEnd w:id="1415"/>
      <w:bookmarkEnd w:id="1416"/>
      <w:bookmarkEnd w:id="1417"/>
    </w:p>
    <w:p w14:paraId="5C224448" w14:textId="4470A0CF" w:rsidR="0046348E" w:rsidRPr="003A173C" w:rsidRDefault="0046348E" w:rsidP="0046348E">
      <w:pPr>
        <w:rPr>
          <w:rFonts w:cs="Calibri"/>
          <w:snapToGrid w:val="0"/>
        </w:rPr>
      </w:pPr>
      <w:r w:rsidRPr="003A173C">
        <w:rPr>
          <w:rFonts w:cs="Calibri"/>
          <w:snapToGrid w:val="0"/>
        </w:rPr>
        <w:t>Registered providers should present information to individuals on the role of advocates.</w:t>
      </w:r>
    </w:p>
    <w:p w14:paraId="29A25E24" w14:textId="0600405A" w:rsidR="0046348E" w:rsidRPr="003A173C" w:rsidRDefault="0046348E" w:rsidP="0046348E">
      <w:pPr>
        <w:rPr>
          <w:rFonts w:cs="Calibri"/>
          <w:snapToGrid w:val="0"/>
        </w:rPr>
      </w:pPr>
      <w:r w:rsidRPr="003A173C">
        <w:rPr>
          <w:rFonts w:cs="Calibri"/>
          <w:snapToGrid w:val="0"/>
        </w:rPr>
        <w:t>An individual has the right to call on an advocate of their choice to represent them as required in the management of their care, including establishing or reviewing their service agreement, negotiating the fees they may be asked to pay and in presenting any complaints they may have.</w:t>
      </w:r>
    </w:p>
    <w:p w14:paraId="5611D21F" w14:textId="1860B3FF" w:rsidR="0046348E" w:rsidRPr="003A173C" w:rsidRDefault="0046348E" w:rsidP="0046348E">
      <w:pPr>
        <w:rPr>
          <w:rFonts w:cs="Calibri"/>
          <w:snapToGrid w:val="0"/>
        </w:rPr>
      </w:pPr>
      <w:bookmarkStart w:id="1418" w:name="_Toc26699239"/>
      <w:bookmarkStart w:id="1419" w:name="_Toc29371680"/>
      <w:bookmarkStart w:id="1420" w:name="_Toc110834659"/>
      <w:bookmarkStart w:id="1421" w:name="_Toc245536181"/>
      <w:bookmarkStart w:id="1422" w:name="_Toc249169626"/>
      <w:bookmarkStart w:id="1423" w:name="_Toc395537199"/>
      <w:bookmarkStart w:id="1424" w:name="_Toc422732556"/>
      <w:bookmarkStart w:id="1425" w:name="_Toc422752896"/>
      <w:r w:rsidRPr="003A173C">
        <w:rPr>
          <w:rFonts w:cs="Calibri"/>
          <w:snapToGrid w:val="0"/>
        </w:rPr>
        <w:t>If an individual requires assistance, the National Aged Care Advocacy Program (</w:t>
      </w:r>
      <w:r w:rsidRPr="003A173C">
        <w:rPr>
          <w:rFonts w:cs="Calibri"/>
          <w:b/>
          <w:bCs/>
          <w:snapToGrid w:val="0"/>
        </w:rPr>
        <w:t>NACAP</w:t>
      </w:r>
      <w:r w:rsidRPr="003A173C">
        <w:rPr>
          <w:rFonts w:cs="Calibri"/>
          <w:snapToGrid w:val="0"/>
        </w:rPr>
        <w:t>) provides free, independent and confidential advocacy support, education and information. NACAP is provided Australia</w:t>
      </w:r>
      <w:r w:rsidRPr="003A173C">
        <w:rPr>
          <w:rFonts w:cs="Calibri"/>
          <w:snapToGrid w:val="0"/>
        </w:rPr>
        <w:noBreakHyphen/>
        <w:t>wide by the Older Persons Advocacy Network (</w:t>
      </w:r>
      <w:r w:rsidRPr="003A173C">
        <w:rPr>
          <w:rFonts w:cs="Calibri"/>
          <w:b/>
          <w:bCs/>
          <w:snapToGrid w:val="0"/>
        </w:rPr>
        <w:t>OPAN</w:t>
      </w:r>
      <w:r w:rsidRPr="003A173C">
        <w:rPr>
          <w:rFonts w:cs="Calibri"/>
          <w:snapToGrid w:val="0"/>
        </w:rPr>
        <w:t xml:space="preserve">). OPAN can be contacted between 8am to 8pm from Monday to Friday and between 10am to 4pm on Saturday on 1800 700 600 (free call) or at </w:t>
      </w:r>
      <w:hyperlink r:id="rId51" w:history="1">
        <w:r w:rsidRPr="003A173C">
          <w:rPr>
            <w:rStyle w:val="Hyperlink"/>
            <w:rFonts w:ascii="Calibri" w:hAnsi="Calibri" w:cs="Calibri"/>
            <w:snapToGrid w:val="0"/>
            <w:sz w:val="20"/>
          </w:rPr>
          <w:t>www.opan.org.au</w:t>
        </w:r>
      </w:hyperlink>
      <w:r w:rsidRPr="003A173C">
        <w:rPr>
          <w:rStyle w:val="Hyperlink"/>
          <w:rFonts w:ascii="Calibri" w:hAnsi="Calibri" w:cs="Calibri"/>
          <w:sz w:val="20"/>
          <w:szCs w:val="22"/>
        </w:rPr>
        <w:t>.</w:t>
      </w:r>
      <w:r w:rsidRPr="003A173C">
        <w:rPr>
          <w:rFonts w:cs="Calibri"/>
          <w:snapToGrid w:val="0"/>
        </w:rPr>
        <w:t xml:space="preserve"> An advocate can help </w:t>
      </w:r>
      <w:r w:rsidR="0043770F" w:rsidRPr="003A173C">
        <w:rPr>
          <w:rFonts w:cs="Calibri"/>
          <w:snapToGrid w:val="0"/>
        </w:rPr>
        <w:t xml:space="preserve">an </w:t>
      </w:r>
      <w:r w:rsidRPr="003A173C">
        <w:rPr>
          <w:rFonts w:cs="Calibri"/>
          <w:snapToGrid w:val="0"/>
        </w:rPr>
        <w:t>individual to make informed decisions and support them in raising concerns and working towards a resolution.</w:t>
      </w:r>
    </w:p>
    <w:p w14:paraId="04B6DC36" w14:textId="77777777" w:rsidR="0046348E" w:rsidRPr="003A173C" w:rsidRDefault="0046348E" w:rsidP="0046348E">
      <w:pPr>
        <w:pStyle w:val="Heading2"/>
        <w:spacing w:before="120"/>
        <w:rPr>
          <w:rFonts w:ascii="Calibri" w:hAnsi="Calibri" w:cs="Calibri"/>
          <w:snapToGrid w:val="0"/>
        </w:rPr>
      </w:pPr>
      <w:bookmarkStart w:id="1426" w:name="_Toc29371683"/>
      <w:bookmarkStart w:id="1427" w:name="_Toc110834663"/>
      <w:bookmarkStart w:id="1428" w:name="_Toc245536185"/>
      <w:bookmarkStart w:id="1429" w:name="_Toc26699242"/>
      <w:bookmarkStart w:id="1430" w:name="_Toc205561179"/>
      <w:bookmarkStart w:id="1431" w:name="_Toc216865504"/>
      <w:bookmarkEnd w:id="1418"/>
      <w:bookmarkEnd w:id="1419"/>
      <w:bookmarkEnd w:id="1420"/>
      <w:bookmarkEnd w:id="1421"/>
      <w:bookmarkEnd w:id="1422"/>
      <w:r w:rsidRPr="003A173C">
        <w:rPr>
          <w:rFonts w:ascii="Calibri" w:hAnsi="Calibri" w:cs="Calibri"/>
          <w:snapToGrid w:val="0"/>
        </w:rPr>
        <w:t>Privacy/confidentiality</w:t>
      </w:r>
      <w:bookmarkEnd w:id="1423"/>
      <w:bookmarkEnd w:id="1424"/>
      <w:bookmarkEnd w:id="1425"/>
      <w:bookmarkEnd w:id="1426"/>
      <w:bookmarkEnd w:id="1427"/>
      <w:bookmarkEnd w:id="1428"/>
      <w:bookmarkEnd w:id="1429"/>
      <w:bookmarkEnd w:id="1430"/>
      <w:bookmarkEnd w:id="1431"/>
    </w:p>
    <w:p w14:paraId="762ABB23" w14:textId="77777777" w:rsidR="0046348E" w:rsidRPr="003A173C" w:rsidRDefault="0046348E" w:rsidP="0046348E">
      <w:pPr>
        <w:rPr>
          <w:rFonts w:cs="Calibri"/>
        </w:rPr>
      </w:pPr>
      <w:r w:rsidRPr="003A173C">
        <w:rPr>
          <w:rFonts w:cs="Calibri"/>
        </w:rPr>
        <w:t>Under section 168 of the Act, registered providers of TCP must ensure the protection of personal information, relating to an individual to whom the registered provider delivers TCP services. The personal information must not be used other than:</w:t>
      </w:r>
    </w:p>
    <w:p w14:paraId="605A1E68" w14:textId="77777777" w:rsidR="0046348E" w:rsidRPr="008202E1" w:rsidRDefault="0046348E" w:rsidP="00020AC2">
      <w:pPr>
        <w:pStyle w:val="ListBullet"/>
        <w:rPr>
          <w:rFonts w:eastAsia="Calibri"/>
        </w:rPr>
      </w:pPr>
      <w:r w:rsidRPr="008202E1">
        <w:rPr>
          <w:rFonts w:eastAsia="Calibri"/>
        </w:rPr>
        <w:t>for a purpose connected with the delivery of a funded aged care service to the individual; or</w:t>
      </w:r>
    </w:p>
    <w:p w14:paraId="7C4D5CCF" w14:textId="77777777" w:rsidR="0046348E" w:rsidRPr="008202E1" w:rsidRDefault="0046348E" w:rsidP="00020AC2">
      <w:pPr>
        <w:pStyle w:val="ListBullet"/>
        <w:rPr>
          <w:rFonts w:eastAsia="Calibri"/>
        </w:rPr>
      </w:pPr>
      <w:r w:rsidRPr="008202E1">
        <w:rPr>
          <w:rFonts w:eastAsia="Calibri"/>
        </w:rPr>
        <w:t xml:space="preserve">for a purpose for which the personal information was given to the registered provider. </w:t>
      </w:r>
    </w:p>
    <w:p w14:paraId="3EEE7A05" w14:textId="77777777" w:rsidR="0046348E" w:rsidRPr="003A173C" w:rsidRDefault="0046348E" w:rsidP="0046348E">
      <w:pPr>
        <w:rPr>
          <w:rFonts w:cs="Calibri"/>
        </w:rPr>
      </w:pPr>
      <w:r w:rsidRPr="003A173C">
        <w:rPr>
          <w:rFonts w:cs="Calibri"/>
        </w:rPr>
        <w:t>Except with the consent of the individual, the personal information must not be disclosed to any other person other than:</w:t>
      </w:r>
    </w:p>
    <w:p w14:paraId="5DCBDF5E" w14:textId="7456B8BB" w:rsidR="0046348E" w:rsidRPr="008202E1" w:rsidRDefault="0046348E" w:rsidP="00020AC2">
      <w:pPr>
        <w:pStyle w:val="ListBullet"/>
        <w:rPr>
          <w:rFonts w:eastAsia="Calibri"/>
        </w:rPr>
      </w:pPr>
      <w:r w:rsidRPr="008202E1">
        <w:rPr>
          <w:rFonts w:eastAsia="Calibri"/>
        </w:rPr>
        <w:t>for a purpose connected with the delivery of TCP services to the individual by the registered provider</w:t>
      </w:r>
      <w:r w:rsidR="00170015" w:rsidRPr="008202E1">
        <w:rPr>
          <w:rFonts w:eastAsia="Calibri"/>
        </w:rPr>
        <w:t>;</w:t>
      </w:r>
      <w:r w:rsidRPr="008202E1">
        <w:rPr>
          <w:rFonts w:eastAsia="Calibri"/>
        </w:rPr>
        <w:t xml:space="preserve"> </w:t>
      </w:r>
    </w:p>
    <w:p w14:paraId="7144F2E9" w14:textId="3DF9C6AF" w:rsidR="0046348E" w:rsidRPr="008202E1" w:rsidRDefault="0046348E" w:rsidP="00020AC2">
      <w:pPr>
        <w:pStyle w:val="ListBullet"/>
        <w:rPr>
          <w:rFonts w:eastAsia="Calibri"/>
        </w:rPr>
      </w:pPr>
      <w:r w:rsidRPr="008202E1">
        <w:rPr>
          <w:rFonts w:eastAsia="Calibri"/>
        </w:rPr>
        <w:t>for a purpose connected with the delivery of TCP services to the individual by an associated provider of the registered provider</w:t>
      </w:r>
      <w:r w:rsidR="00170015" w:rsidRPr="008202E1">
        <w:rPr>
          <w:rFonts w:eastAsia="Calibri"/>
        </w:rPr>
        <w:t>,</w:t>
      </w:r>
      <w:r w:rsidRPr="008202E1">
        <w:rPr>
          <w:rFonts w:eastAsia="Calibri"/>
        </w:rPr>
        <w:t xml:space="preserve"> or another registered provider; or</w:t>
      </w:r>
    </w:p>
    <w:p w14:paraId="7D27C5B5" w14:textId="77777777" w:rsidR="0046348E" w:rsidRPr="008202E1" w:rsidRDefault="0046348E" w:rsidP="00020AC2">
      <w:pPr>
        <w:pStyle w:val="ListBullet"/>
        <w:rPr>
          <w:rFonts w:eastAsia="Calibri"/>
        </w:rPr>
      </w:pPr>
      <w:r w:rsidRPr="008202E1">
        <w:rPr>
          <w:rFonts w:eastAsia="Calibri"/>
        </w:rPr>
        <w:t>for a purpose for which the personal information was given; or</w:t>
      </w:r>
    </w:p>
    <w:p w14:paraId="79D8B4B3" w14:textId="77777777" w:rsidR="0046348E" w:rsidRPr="008202E1" w:rsidRDefault="0046348E" w:rsidP="00020AC2">
      <w:pPr>
        <w:pStyle w:val="ListBullet"/>
        <w:rPr>
          <w:rFonts w:eastAsia="Calibri"/>
        </w:rPr>
      </w:pPr>
      <w:r w:rsidRPr="008202E1">
        <w:rPr>
          <w:rFonts w:eastAsia="Calibri"/>
        </w:rPr>
        <w:t>for the purpose of complying with an obligation under the Act.</w:t>
      </w:r>
    </w:p>
    <w:p w14:paraId="0999324A" w14:textId="77777777" w:rsidR="0046348E" w:rsidRPr="003A173C" w:rsidRDefault="0046348E" w:rsidP="0046348E">
      <w:pPr>
        <w:rPr>
          <w:rFonts w:cs="Calibri"/>
        </w:rPr>
      </w:pPr>
      <w:r w:rsidRPr="003A173C">
        <w:rPr>
          <w:rFonts w:cs="Calibri"/>
        </w:rPr>
        <w:t>The personal information must be protected by security safeguards that it is reasonable in the circumstances to take by registered providers against the loss or misuse of the information. The obligations in section 168, however, do not prevent personal information being given to a court, or to a tribunal, authority or person having the power to require the production of documents or the answering of questions, in accordance with a requirement of that court, tribunal, authority, or person.</w:t>
      </w:r>
    </w:p>
    <w:p w14:paraId="178C2443" w14:textId="1718530B" w:rsidR="0046348E" w:rsidRPr="003A173C" w:rsidRDefault="0046348E" w:rsidP="0046348E">
      <w:pPr>
        <w:rPr>
          <w:rFonts w:cs="Calibri"/>
        </w:rPr>
      </w:pPr>
      <w:r w:rsidRPr="003A173C">
        <w:rPr>
          <w:rFonts w:cs="Calibri"/>
        </w:rPr>
        <w:t xml:space="preserve">Chapter 7 of the Act outline the responsibilities relating to the protection of personal information by the </w:t>
      </w:r>
      <w:r w:rsidR="00931641" w:rsidRPr="003A173C">
        <w:rPr>
          <w:rFonts w:cs="Calibri"/>
        </w:rPr>
        <w:t>Australian</w:t>
      </w:r>
      <w:r w:rsidRPr="003A173C">
        <w:rPr>
          <w:rFonts w:cs="Calibri"/>
        </w:rPr>
        <w:t xml:space="preserve"> Government. Section 538 outlines unauthorised use and disclosure of protected information by officers of the </w:t>
      </w:r>
      <w:r w:rsidR="00931641" w:rsidRPr="003A173C">
        <w:rPr>
          <w:rFonts w:cs="Calibri"/>
        </w:rPr>
        <w:t xml:space="preserve">Australian </w:t>
      </w:r>
      <w:r w:rsidRPr="003A173C">
        <w:rPr>
          <w:rFonts w:cs="Calibri"/>
        </w:rPr>
        <w:t xml:space="preserve">Government. Protected information is defined under section 21 of the Act as personal information or information (including commercially sensitive information) the disclosure of which could reasonably be expected to found an action by an entity (other than the </w:t>
      </w:r>
      <w:r w:rsidR="00931641" w:rsidRPr="003A173C">
        <w:rPr>
          <w:rFonts w:cs="Calibri"/>
        </w:rPr>
        <w:t xml:space="preserve">Australian </w:t>
      </w:r>
      <w:r w:rsidR="00FB6DC9" w:rsidRPr="003A173C">
        <w:rPr>
          <w:rFonts w:cs="Calibri"/>
        </w:rPr>
        <w:t>Government</w:t>
      </w:r>
      <w:r w:rsidRPr="003A173C">
        <w:rPr>
          <w:rFonts w:cs="Calibri"/>
        </w:rPr>
        <w:t xml:space="preserve">) for breach of a duty of confidence. </w:t>
      </w:r>
    </w:p>
    <w:p w14:paraId="6E0C5885" w14:textId="1A1E4C8F" w:rsidR="00D97DB0" w:rsidRPr="003A173C" w:rsidRDefault="0046348E" w:rsidP="0046348E">
      <w:pPr>
        <w:rPr>
          <w:rFonts w:cs="Calibri"/>
        </w:rPr>
      </w:pPr>
      <w:r w:rsidRPr="003A173C">
        <w:rPr>
          <w:rFonts w:cs="Calibri"/>
        </w:rPr>
        <w:t xml:space="preserve">Sections 537 – 542 authorises the use and disclosure of protected information and relevant information by the </w:t>
      </w:r>
      <w:r w:rsidR="00931641" w:rsidRPr="003A173C">
        <w:rPr>
          <w:rFonts w:cs="Calibri"/>
        </w:rPr>
        <w:t>Australian</w:t>
      </w:r>
      <w:r w:rsidRPr="003A173C">
        <w:rPr>
          <w:rFonts w:cs="Calibri"/>
        </w:rPr>
        <w:t xml:space="preserve"> Government and its representatives/officials in various circumstances. Some of the circumstances prescribed in these sections of the Act are as follows:</w:t>
      </w:r>
    </w:p>
    <w:p w14:paraId="49A37FC3" w14:textId="29D371A0"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in performing functions or exercising power</w:t>
      </w:r>
      <w:r w:rsidRPr="008202E1">
        <w:rPr>
          <w:rFonts w:eastAsia="Calibri"/>
        </w:rPr>
        <w:t>s</w:t>
      </w:r>
      <w:r w:rsidR="0046348E" w:rsidRPr="008202E1">
        <w:rPr>
          <w:rFonts w:eastAsia="Calibri"/>
        </w:rPr>
        <w:t xml:space="preserve"> under the Act;</w:t>
      </w:r>
    </w:p>
    <w:p w14:paraId="2069256C" w14:textId="7E27CD18"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for purposes of proceedings;</w:t>
      </w:r>
    </w:p>
    <w:p w14:paraId="7CCD61F1" w14:textId="48551F83"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required or authorised by another Australian law;</w:t>
      </w:r>
    </w:p>
    <w:p w14:paraId="6E336637" w14:textId="0B7438AE" w:rsidR="0046348E" w:rsidRPr="008202E1" w:rsidRDefault="00FD26D4" w:rsidP="00020AC2">
      <w:pPr>
        <w:pStyle w:val="ListBullet"/>
        <w:rPr>
          <w:rFonts w:eastAsia="Calibri"/>
        </w:rPr>
      </w:pPr>
      <w:r w:rsidRPr="008202E1">
        <w:rPr>
          <w:rFonts w:eastAsia="Calibri"/>
        </w:rPr>
        <w:t>d</w:t>
      </w:r>
      <w:r w:rsidR="0046348E" w:rsidRPr="008202E1">
        <w:rPr>
          <w:rFonts w:eastAsia="Calibri"/>
        </w:rPr>
        <w:t>isclosure to an entity to whom the information relates; and</w:t>
      </w:r>
    </w:p>
    <w:p w14:paraId="44E53C00" w14:textId="56D17B45" w:rsidR="0046348E" w:rsidRPr="008202E1" w:rsidRDefault="00FD26D4" w:rsidP="00020AC2">
      <w:pPr>
        <w:pStyle w:val="ListBullet"/>
        <w:rPr>
          <w:rFonts w:eastAsia="Calibri"/>
        </w:rPr>
      </w:pPr>
      <w:r w:rsidRPr="008202E1">
        <w:rPr>
          <w:rFonts w:eastAsia="Calibri"/>
        </w:rPr>
        <w:t>u</w:t>
      </w:r>
      <w:r w:rsidR="0046348E" w:rsidRPr="008202E1">
        <w:rPr>
          <w:rFonts w:eastAsia="Calibri"/>
        </w:rPr>
        <w:t>se or disclosure of information that has already lawfully been made public.</w:t>
      </w:r>
    </w:p>
    <w:p w14:paraId="293B94C2" w14:textId="485ABC6C" w:rsidR="0046348E" w:rsidRPr="003A173C" w:rsidRDefault="0046348E" w:rsidP="0046348E">
      <w:pPr>
        <w:rPr>
          <w:rFonts w:cs="Calibri"/>
        </w:rPr>
      </w:pPr>
      <w:r w:rsidRPr="003A173C">
        <w:rPr>
          <w:rFonts w:cs="Calibri"/>
        </w:rPr>
        <w:t>It is the responsibility of each registered provider to ensure that it protect</w:t>
      </w:r>
      <w:r w:rsidR="00FD26D4" w:rsidRPr="003A173C">
        <w:rPr>
          <w:rFonts w:cs="Calibri"/>
        </w:rPr>
        <w:t>s</w:t>
      </w:r>
      <w:r w:rsidRPr="003A173C">
        <w:rPr>
          <w:rFonts w:cs="Calibri"/>
        </w:rPr>
        <w:t xml:space="preserve"> the privacy of the individuals in their care and compl</w:t>
      </w:r>
      <w:r w:rsidR="00FD26D4" w:rsidRPr="003A173C">
        <w:rPr>
          <w:rFonts w:cs="Calibri"/>
        </w:rPr>
        <w:t>ies</w:t>
      </w:r>
      <w:r w:rsidRPr="003A173C">
        <w:rPr>
          <w:rFonts w:cs="Calibri"/>
        </w:rPr>
        <w:t xml:space="preserve"> with all applicable laws relating to the use of personal information or protected information. </w:t>
      </w:r>
    </w:p>
    <w:p w14:paraId="76CC2E9C" w14:textId="1E933596" w:rsidR="0046348E" w:rsidRPr="003A173C" w:rsidRDefault="0046348E" w:rsidP="0046348E">
      <w:pPr>
        <w:rPr>
          <w:rFonts w:cs="Calibri"/>
        </w:rPr>
      </w:pPr>
      <w:r w:rsidRPr="003A173C">
        <w:rPr>
          <w:rFonts w:cs="Calibri"/>
        </w:rPr>
        <w:t xml:space="preserve">Registered providers should also determine how they meet the </w:t>
      </w:r>
      <w:r w:rsidRPr="00090E0C">
        <w:rPr>
          <w:rFonts w:cs="Calibri"/>
          <w:iCs/>
        </w:rPr>
        <w:t>Australian Privacy Principles</w:t>
      </w:r>
      <w:r w:rsidRPr="003A173C">
        <w:rPr>
          <w:rFonts w:cs="Calibri"/>
        </w:rPr>
        <w:t xml:space="preserve"> in the </w:t>
      </w:r>
      <w:r w:rsidRPr="003A173C">
        <w:rPr>
          <w:rFonts w:cs="Calibri"/>
          <w:bCs/>
          <w:i/>
          <w:iCs/>
        </w:rPr>
        <w:t>Privacy Act 1988</w:t>
      </w:r>
      <w:r w:rsidR="00FD26D4" w:rsidRPr="003A173C">
        <w:rPr>
          <w:rFonts w:cs="Calibri"/>
          <w:bCs/>
          <w:i/>
          <w:iCs/>
        </w:rPr>
        <w:t xml:space="preserve"> </w:t>
      </w:r>
      <w:r w:rsidR="00FD26D4" w:rsidRPr="003A173C">
        <w:rPr>
          <w:rFonts w:cs="Calibri"/>
        </w:rPr>
        <w:t xml:space="preserve">(Cth) </w:t>
      </w:r>
      <w:r w:rsidRPr="003A173C">
        <w:rPr>
          <w:rFonts w:cs="Calibri"/>
        </w:rPr>
        <w:t xml:space="preserve">and/or similar obligations contained in </w:t>
      </w:r>
      <w:r w:rsidR="00672369" w:rsidRPr="003A173C">
        <w:rPr>
          <w:rFonts w:cs="Calibri"/>
        </w:rPr>
        <w:t>S</w:t>
      </w:r>
      <w:r w:rsidRPr="003A173C">
        <w:rPr>
          <w:rFonts w:cs="Calibri"/>
        </w:rPr>
        <w:t xml:space="preserve">tate or </w:t>
      </w:r>
      <w:r w:rsidR="00672369" w:rsidRPr="003A173C">
        <w:rPr>
          <w:rFonts w:cs="Calibri"/>
        </w:rPr>
        <w:t>T</w:t>
      </w:r>
      <w:r w:rsidRPr="003A173C">
        <w:rPr>
          <w:rFonts w:cs="Calibri"/>
        </w:rPr>
        <w:t>erritory privacy laws.</w:t>
      </w:r>
    </w:p>
    <w:p w14:paraId="122502A6" w14:textId="6C53FB22" w:rsidR="0046348E" w:rsidRPr="003A173C" w:rsidRDefault="0046348E" w:rsidP="0046348E">
      <w:pPr>
        <w:pStyle w:val="Heading2"/>
        <w:rPr>
          <w:rFonts w:ascii="Calibri" w:hAnsi="Calibri" w:cs="Calibri"/>
        </w:rPr>
      </w:pPr>
      <w:bookmarkStart w:id="1432" w:name="_Toc205561180"/>
      <w:bookmarkStart w:id="1433" w:name="_Ref29283303"/>
      <w:bookmarkStart w:id="1434" w:name="_Toc29371690"/>
      <w:bookmarkStart w:id="1435" w:name="_Toc110834664"/>
      <w:bookmarkStart w:id="1436" w:name="_Toc245536186"/>
      <w:bookmarkStart w:id="1437" w:name="_Toc395537200"/>
      <w:bookmarkStart w:id="1438" w:name="_Toc422732557"/>
      <w:bookmarkStart w:id="1439" w:name="_Toc422752897"/>
      <w:bookmarkStart w:id="1440" w:name="_Toc216865505"/>
      <w:r w:rsidRPr="003A173C">
        <w:rPr>
          <w:rFonts w:ascii="Calibri" w:hAnsi="Calibri" w:cs="Calibri"/>
          <w:snapToGrid w:val="0"/>
        </w:rPr>
        <w:t>Fees payable by individuals receiving transition care</w:t>
      </w:r>
      <w:bookmarkEnd w:id="1432"/>
      <w:bookmarkEnd w:id="1433"/>
      <w:bookmarkEnd w:id="1434"/>
      <w:bookmarkEnd w:id="1435"/>
      <w:bookmarkEnd w:id="1436"/>
      <w:bookmarkEnd w:id="1437"/>
      <w:bookmarkEnd w:id="1438"/>
      <w:bookmarkEnd w:id="1439"/>
      <w:bookmarkEnd w:id="1440"/>
    </w:p>
    <w:p w14:paraId="30E3440A" w14:textId="279A6D2C" w:rsidR="0046348E" w:rsidRPr="003A173C" w:rsidRDefault="0046348E" w:rsidP="0046348E">
      <w:pPr>
        <w:rPr>
          <w:rFonts w:cs="Calibri"/>
        </w:rPr>
      </w:pPr>
      <w:r w:rsidRPr="003A173C">
        <w:rPr>
          <w:rFonts w:cs="Calibri"/>
        </w:rPr>
        <w:t>Section 286 of the Act and section 286-10 of the Rules sets out the requirements for the charging of client fees by registered providers of TCP services (this</w:t>
      </w:r>
      <w:r w:rsidR="00483E33" w:rsidRPr="003A173C">
        <w:rPr>
          <w:rFonts w:cs="Calibri"/>
        </w:rPr>
        <w:t xml:space="preserve"> fee</w:t>
      </w:r>
      <w:r w:rsidRPr="003A173C">
        <w:rPr>
          <w:rFonts w:cs="Calibri"/>
        </w:rPr>
        <w:t xml:space="preserve"> is referred to as a </w:t>
      </w:r>
      <w:r w:rsidRPr="003A173C">
        <w:rPr>
          <w:rFonts w:cs="Calibri"/>
          <w:i/>
          <w:iCs/>
        </w:rPr>
        <w:t xml:space="preserve">specialist aged care program fee </w:t>
      </w:r>
      <w:r w:rsidRPr="003A173C">
        <w:rPr>
          <w:rFonts w:cs="Calibri"/>
        </w:rPr>
        <w:t>under the Rules) and the maximum amount that can be charged to individuals.</w:t>
      </w:r>
    </w:p>
    <w:p w14:paraId="19B61425" w14:textId="34660C33" w:rsidR="0046348E" w:rsidRPr="003A173C" w:rsidRDefault="0046348E" w:rsidP="0046348E">
      <w:pPr>
        <w:rPr>
          <w:rFonts w:cs="Calibri"/>
          <w:szCs w:val="20"/>
        </w:rPr>
      </w:pPr>
      <w:r w:rsidRPr="003A173C">
        <w:rPr>
          <w:rFonts w:cs="Calibri"/>
        </w:rPr>
        <w:lastRenderedPageBreak/>
        <w:t>Registered providers may ask individuals to pay a care fee as a contribution to the cost of their care. Any fees must be fully explained to the individual and the amount charged form</w:t>
      </w:r>
      <w:r w:rsidR="005A71BD" w:rsidRPr="003A173C">
        <w:rPr>
          <w:rFonts w:cs="Calibri"/>
        </w:rPr>
        <w:t>s</w:t>
      </w:r>
      <w:r w:rsidRPr="003A173C">
        <w:rPr>
          <w:rFonts w:cs="Calibri"/>
        </w:rPr>
        <w:t xml:space="preserve"> part of the service agreement between the individual and </w:t>
      </w:r>
      <w:r w:rsidRPr="003A173C">
        <w:rPr>
          <w:rFonts w:cs="Calibri"/>
          <w:szCs w:val="20"/>
        </w:rPr>
        <w:t xml:space="preserve">registered provider. </w:t>
      </w:r>
    </w:p>
    <w:p w14:paraId="792F811E" w14:textId="77777777" w:rsidR="0046348E" w:rsidRPr="003A173C" w:rsidRDefault="0046348E" w:rsidP="0046348E">
      <w:pPr>
        <w:rPr>
          <w:rFonts w:cs="Calibri"/>
          <w:szCs w:val="20"/>
        </w:rPr>
      </w:pPr>
      <w:r w:rsidRPr="003A173C">
        <w:rPr>
          <w:rFonts w:cs="Calibri"/>
          <w:szCs w:val="20"/>
        </w:rPr>
        <w:t>The maximum amount that can be charged as per section 286-10 of the Rules is:</w:t>
      </w:r>
    </w:p>
    <w:p w14:paraId="2E794626" w14:textId="27C71E5E" w:rsidR="0046348E" w:rsidRPr="003A173C" w:rsidRDefault="0046348E" w:rsidP="00020AC2">
      <w:pPr>
        <w:pStyle w:val="ListBullet"/>
      </w:pPr>
      <w:r w:rsidRPr="003A173C">
        <w:t xml:space="preserve">if TCP </w:t>
      </w:r>
      <w:r w:rsidR="005A71BD" w:rsidRPr="003A173C">
        <w:t xml:space="preserve">is </w:t>
      </w:r>
      <w:r w:rsidRPr="003A173C">
        <w:t>delivered through the residential care service group</w:t>
      </w:r>
      <w:r w:rsidR="005A71BD" w:rsidRPr="003A173C">
        <w:t xml:space="preserve"> </w:t>
      </w:r>
      <w:r w:rsidRPr="003A173C">
        <w:t>—the amount obtained by rounding down to the nearest cent the amount equal to 85% of the basic age pension amount (worked out on a per day basis); or</w:t>
      </w:r>
    </w:p>
    <w:p w14:paraId="6EF19D10" w14:textId="5308AAF3" w:rsidR="0046348E" w:rsidRPr="003A173C" w:rsidRDefault="0046348E" w:rsidP="00020AC2">
      <w:pPr>
        <w:pStyle w:val="ListBullet"/>
        <w:rPr>
          <w:rFonts w:eastAsia="Calibri"/>
        </w:rPr>
      </w:pPr>
      <w:r w:rsidRPr="003A173C">
        <w:t>if TCP is delivered in a community</w:t>
      </w:r>
      <w:r w:rsidR="005A71BD" w:rsidRPr="003A173C">
        <w:t>/home</w:t>
      </w:r>
      <w:r w:rsidRPr="003A173C">
        <w:t xml:space="preserve"> setting </w:t>
      </w:r>
      <w:r w:rsidR="00071EF9" w:rsidRPr="003A173C">
        <w:t>and is</w:t>
      </w:r>
      <w:r w:rsidRPr="003A173C">
        <w:t xml:space="preserve"> delivered through the </w:t>
      </w:r>
      <w:r w:rsidR="00071EF9" w:rsidRPr="003A173C">
        <w:t>home support, or assistive technology service groups</w:t>
      </w:r>
      <w:r w:rsidR="005A71BD" w:rsidRPr="003A173C">
        <w:t xml:space="preserve"> </w:t>
      </w:r>
      <w:r w:rsidRPr="003A173C">
        <w:t>—</w:t>
      </w:r>
      <w:r w:rsidR="005A71BD" w:rsidRPr="003A173C">
        <w:t xml:space="preserve"> </w:t>
      </w:r>
      <w:r w:rsidRPr="003A173C">
        <w:rPr>
          <w:rFonts w:eastAsia="Calibri"/>
        </w:rPr>
        <w:t>the amount obtained by rounding down to the nearest cent the amount equal to 17.5% of the basic age pension amount (worked out on a per day basis).</w:t>
      </w:r>
    </w:p>
    <w:p w14:paraId="462360A1" w14:textId="77777777" w:rsidR="0046348E" w:rsidRPr="003A173C" w:rsidRDefault="0046348E" w:rsidP="0046348E">
      <w:pPr>
        <w:rPr>
          <w:rFonts w:cs="Calibri"/>
          <w:szCs w:val="20"/>
        </w:rPr>
      </w:pPr>
      <w:r w:rsidRPr="003A173C">
        <w:rPr>
          <w:rFonts w:cs="Calibri"/>
          <w:szCs w:val="20"/>
        </w:rPr>
        <w:t>An individual’s access to transition care should not be affected by their ability to pay fees but should be decided based on their need for care and the capacity of the registered provider to meet that need.</w:t>
      </w:r>
    </w:p>
    <w:p w14:paraId="563ED708" w14:textId="0D36A53F" w:rsidR="0046348E" w:rsidRPr="003A173C" w:rsidRDefault="0046348E" w:rsidP="0046348E">
      <w:pPr>
        <w:rPr>
          <w:rFonts w:cs="Calibri"/>
          <w:szCs w:val="20"/>
        </w:rPr>
      </w:pPr>
      <w:r w:rsidRPr="003A173C">
        <w:rPr>
          <w:rFonts w:cs="Calibri"/>
          <w:szCs w:val="20"/>
        </w:rPr>
        <w:t xml:space="preserve">Decisions on whether to charge fees are entirely at the discretion of </w:t>
      </w:r>
      <w:r w:rsidR="00476DBA" w:rsidRPr="003A173C">
        <w:rPr>
          <w:rFonts w:cs="Calibri"/>
          <w:szCs w:val="20"/>
        </w:rPr>
        <w:t>each State and Territory</w:t>
      </w:r>
      <w:r w:rsidRPr="003A173C">
        <w:rPr>
          <w:rFonts w:cs="Calibri"/>
          <w:szCs w:val="20"/>
        </w:rPr>
        <w:t>. The Australian Government recommends that fees be waived for financially disadvantaged individuals.</w:t>
      </w:r>
    </w:p>
    <w:p w14:paraId="43CC1FE1" w14:textId="77777777" w:rsidR="0046348E" w:rsidRPr="003A173C" w:rsidRDefault="0046348E" w:rsidP="0046348E">
      <w:pPr>
        <w:rPr>
          <w:rFonts w:cs="Calibri"/>
          <w:szCs w:val="20"/>
        </w:rPr>
      </w:pPr>
      <w:r w:rsidRPr="003A173C">
        <w:rPr>
          <w:rFonts w:cs="Calibri"/>
          <w:szCs w:val="20"/>
        </w:rPr>
        <w:t xml:space="preserve">Information on the cost of transition care for individuals is outlined on the </w:t>
      </w:r>
      <w:hyperlink r:id="rId52" w:history="1">
        <w:r w:rsidRPr="003A173C">
          <w:rPr>
            <w:rFonts w:eastAsia="Calibri" w:cs="Calibri"/>
            <w:color w:val="0563C1"/>
            <w:szCs w:val="20"/>
            <w:u w:val="single"/>
          </w:rPr>
          <w:t>My Aged Care website</w:t>
        </w:r>
      </w:hyperlink>
      <w:r w:rsidRPr="003A173C">
        <w:rPr>
          <w:rFonts w:eastAsia="Calibri" w:cs="Calibri"/>
          <w:color w:val="1F497D"/>
          <w:sz w:val="22"/>
          <w:szCs w:val="22"/>
        </w:rPr>
        <w:t>.</w:t>
      </w:r>
    </w:p>
    <w:p w14:paraId="780CB391" w14:textId="77777777" w:rsidR="0046348E" w:rsidRPr="00721280" w:rsidRDefault="0046348E" w:rsidP="008974DB">
      <w:pPr>
        <w:pStyle w:val="Style3"/>
      </w:pPr>
      <w:bookmarkStart w:id="1441" w:name="_Toc202452065"/>
      <w:bookmarkStart w:id="1442" w:name="_Toc203057049"/>
      <w:bookmarkStart w:id="1443" w:name="_Toc203117279"/>
      <w:bookmarkStart w:id="1444" w:name="_Toc203379344"/>
      <w:bookmarkStart w:id="1445" w:name="_Toc205378850"/>
      <w:bookmarkStart w:id="1446" w:name="_Toc205379083"/>
      <w:bookmarkStart w:id="1447" w:name="_Toc205379316"/>
      <w:bookmarkStart w:id="1448" w:name="_Toc205379549"/>
      <w:bookmarkStart w:id="1449" w:name="_Toc205379774"/>
      <w:bookmarkStart w:id="1450" w:name="_Toc205379998"/>
      <w:bookmarkStart w:id="1451" w:name="_Toc205395456"/>
      <w:bookmarkStart w:id="1452" w:name="_Toc205396250"/>
      <w:bookmarkStart w:id="1453" w:name="_Toc205397781"/>
      <w:bookmarkStart w:id="1454" w:name="_Toc205398006"/>
      <w:bookmarkStart w:id="1455" w:name="_Toc205468632"/>
      <w:bookmarkStart w:id="1456" w:name="_Toc205469091"/>
      <w:bookmarkStart w:id="1457" w:name="_Toc205479883"/>
      <w:bookmarkStart w:id="1458" w:name="_Toc205560956"/>
      <w:bookmarkStart w:id="1459" w:name="_Toc205561181"/>
      <w:bookmarkStart w:id="1460" w:name="_Toc205890696"/>
      <w:bookmarkStart w:id="1461" w:name="_Toc205890836"/>
      <w:bookmarkStart w:id="1462" w:name="_Toc205892046"/>
      <w:bookmarkStart w:id="1463" w:name="_Toc205897203"/>
      <w:bookmarkStart w:id="1464" w:name="_Toc205906086"/>
      <w:bookmarkStart w:id="1465" w:name="_Toc205909224"/>
      <w:bookmarkStart w:id="1466" w:name="_Toc205909717"/>
      <w:bookmarkStart w:id="1467" w:name="_Toc205910023"/>
      <w:bookmarkStart w:id="1468" w:name="_Toc205974532"/>
      <w:bookmarkStart w:id="1469" w:name="_Toc205974672"/>
      <w:bookmarkStart w:id="1470" w:name="_Toc205974812"/>
      <w:bookmarkStart w:id="1471" w:name="_Toc205999111"/>
      <w:bookmarkStart w:id="1472" w:name="_Toc206001420"/>
      <w:bookmarkStart w:id="1473" w:name="_Toc206001562"/>
      <w:bookmarkStart w:id="1474" w:name="_Toc206001703"/>
      <w:bookmarkStart w:id="1475" w:name="_Toc206001845"/>
      <w:bookmarkStart w:id="1476" w:name="_Toc206003767"/>
      <w:bookmarkStart w:id="1477" w:name="_Toc206006255"/>
      <w:bookmarkStart w:id="1478" w:name="_Toc206006576"/>
      <w:bookmarkStart w:id="1479" w:name="_Toc206006717"/>
      <w:bookmarkStart w:id="1480" w:name="_Toc206059592"/>
      <w:bookmarkStart w:id="1481" w:name="_Toc206084509"/>
      <w:bookmarkStart w:id="1482" w:name="_Toc206143957"/>
      <w:bookmarkStart w:id="1483" w:name="_Toc206153645"/>
      <w:bookmarkStart w:id="1484" w:name="_Toc206155694"/>
      <w:bookmarkStart w:id="1485" w:name="_Toc206155835"/>
      <w:bookmarkStart w:id="1486" w:name="_Toc206157041"/>
      <w:bookmarkStart w:id="1487" w:name="_Toc206157261"/>
      <w:bookmarkStart w:id="1488" w:name="_Toc202452066"/>
      <w:bookmarkStart w:id="1489" w:name="_Toc203057050"/>
      <w:bookmarkStart w:id="1490" w:name="_Toc203117280"/>
      <w:bookmarkStart w:id="1491" w:name="_Toc203379345"/>
      <w:bookmarkStart w:id="1492" w:name="_Toc205369485"/>
      <w:bookmarkStart w:id="1493" w:name="_Toc205374437"/>
      <w:bookmarkStart w:id="1494" w:name="_Toc205374585"/>
      <w:bookmarkStart w:id="1495" w:name="_Toc205378383"/>
      <w:bookmarkStart w:id="1496" w:name="_Toc205378617"/>
      <w:bookmarkStart w:id="1497" w:name="_Toc205378851"/>
      <w:bookmarkStart w:id="1498" w:name="_Toc205379084"/>
      <w:bookmarkStart w:id="1499" w:name="_Toc205379317"/>
      <w:bookmarkStart w:id="1500" w:name="_Toc205379550"/>
      <w:bookmarkStart w:id="1501" w:name="_Toc205379775"/>
      <w:bookmarkStart w:id="1502" w:name="_Toc205379999"/>
      <w:bookmarkStart w:id="1503" w:name="_Toc205395457"/>
      <w:bookmarkStart w:id="1504" w:name="_Toc205396251"/>
      <w:bookmarkStart w:id="1505" w:name="_Toc205397782"/>
      <w:bookmarkStart w:id="1506" w:name="_Toc205398007"/>
      <w:bookmarkStart w:id="1507" w:name="_Toc205468633"/>
      <w:bookmarkStart w:id="1508" w:name="_Toc205469092"/>
      <w:bookmarkStart w:id="1509" w:name="_Toc205479884"/>
      <w:bookmarkStart w:id="1510" w:name="_Toc205560957"/>
      <w:bookmarkStart w:id="1511" w:name="_Toc205561182"/>
      <w:bookmarkStart w:id="1512" w:name="_Toc205890697"/>
      <w:bookmarkStart w:id="1513" w:name="_Toc205890837"/>
      <w:bookmarkStart w:id="1514" w:name="_Toc205892047"/>
      <w:bookmarkStart w:id="1515" w:name="_Toc205897204"/>
      <w:bookmarkStart w:id="1516" w:name="_Toc205906087"/>
      <w:bookmarkStart w:id="1517" w:name="_Toc205909225"/>
      <w:bookmarkStart w:id="1518" w:name="_Toc205909718"/>
      <w:bookmarkStart w:id="1519" w:name="_Toc205910024"/>
      <w:bookmarkStart w:id="1520" w:name="_Toc205974533"/>
      <w:bookmarkStart w:id="1521" w:name="_Toc205974673"/>
      <w:bookmarkStart w:id="1522" w:name="_Toc205974813"/>
      <w:bookmarkStart w:id="1523" w:name="_Toc205999112"/>
      <w:bookmarkStart w:id="1524" w:name="_Toc206001421"/>
      <w:bookmarkStart w:id="1525" w:name="_Toc206001563"/>
      <w:bookmarkStart w:id="1526" w:name="_Toc206001704"/>
      <w:bookmarkStart w:id="1527" w:name="_Toc206001846"/>
      <w:bookmarkStart w:id="1528" w:name="_Toc206003768"/>
      <w:bookmarkStart w:id="1529" w:name="_Toc206006256"/>
      <w:bookmarkStart w:id="1530" w:name="_Toc206006577"/>
      <w:bookmarkStart w:id="1531" w:name="_Toc206006718"/>
      <w:bookmarkStart w:id="1532" w:name="_Toc206059593"/>
      <w:bookmarkStart w:id="1533" w:name="_Toc206084510"/>
      <w:bookmarkStart w:id="1534" w:name="_Toc206143958"/>
      <w:bookmarkStart w:id="1535" w:name="_Toc206153646"/>
      <w:bookmarkStart w:id="1536" w:name="_Toc206155695"/>
      <w:bookmarkStart w:id="1537" w:name="_Toc206155836"/>
      <w:bookmarkStart w:id="1538" w:name="_Toc206157042"/>
      <w:bookmarkStart w:id="1539" w:name="_Toc206157262"/>
      <w:bookmarkStart w:id="1540" w:name="_Toc202452067"/>
      <w:bookmarkStart w:id="1541" w:name="_Toc203057051"/>
      <w:bookmarkStart w:id="1542" w:name="_Toc203117281"/>
      <w:bookmarkStart w:id="1543" w:name="_Toc203379346"/>
      <w:bookmarkStart w:id="1544" w:name="_Toc205378852"/>
      <w:bookmarkStart w:id="1545" w:name="_Toc205379085"/>
      <w:bookmarkStart w:id="1546" w:name="_Toc205379318"/>
      <w:bookmarkStart w:id="1547" w:name="_Toc205379551"/>
      <w:bookmarkStart w:id="1548" w:name="_Toc205379776"/>
      <w:bookmarkStart w:id="1549" w:name="_Toc205380000"/>
      <w:bookmarkStart w:id="1550" w:name="_Toc205395458"/>
      <w:bookmarkStart w:id="1551" w:name="_Toc205396252"/>
      <w:bookmarkStart w:id="1552" w:name="_Toc205397783"/>
      <w:bookmarkStart w:id="1553" w:name="_Toc205398008"/>
      <w:bookmarkStart w:id="1554" w:name="_Toc205468634"/>
      <w:bookmarkStart w:id="1555" w:name="_Toc205469093"/>
      <w:bookmarkStart w:id="1556" w:name="_Toc205479885"/>
      <w:bookmarkStart w:id="1557" w:name="_Toc205560958"/>
      <w:bookmarkStart w:id="1558" w:name="_Toc205561183"/>
      <w:bookmarkStart w:id="1559" w:name="_Toc205890698"/>
      <w:bookmarkStart w:id="1560" w:name="_Toc205890838"/>
      <w:bookmarkStart w:id="1561" w:name="_Toc205892048"/>
      <w:bookmarkStart w:id="1562" w:name="_Toc205897205"/>
      <w:bookmarkStart w:id="1563" w:name="_Toc205906088"/>
      <w:bookmarkStart w:id="1564" w:name="_Toc205909226"/>
      <w:bookmarkStart w:id="1565" w:name="_Toc205909719"/>
      <w:bookmarkStart w:id="1566" w:name="_Toc205910025"/>
      <w:bookmarkStart w:id="1567" w:name="_Toc205974534"/>
      <w:bookmarkStart w:id="1568" w:name="_Toc205974674"/>
      <w:bookmarkStart w:id="1569" w:name="_Toc205974814"/>
      <w:bookmarkStart w:id="1570" w:name="_Toc205999113"/>
      <w:bookmarkStart w:id="1571" w:name="_Toc206001422"/>
      <w:bookmarkStart w:id="1572" w:name="_Toc206001564"/>
      <w:bookmarkStart w:id="1573" w:name="_Toc206001705"/>
      <w:bookmarkStart w:id="1574" w:name="_Toc206001847"/>
      <w:bookmarkStart w:id="1575" w:name="_Toc206003769"/>
      <w:bookmarkStart w:id="1576" w:name="_Toc206006257"/>
      <w:bookmarkStart w:id="1577" w:name="_Toc206006578"/>
      <w:bookmarkStart w:id="1578" w:name="_Toc206006719"/>
      <w:bookmarkStart w:id="1579" w:name="_Toc206059594"/>
      <w:bookmarkStart w:id="1580" w:name="_Toc206084511"/>
      <w:bookmarkStart w:id="1581" w:name="_Toc206143959"/>
      <w:bookmarkStart w:id="1582" w:name="_Toc206153647"/>
      <w:bookmarkStart w:id="1583" w:name="_Toc206155696"/>
      <w:bookmarkStart w:id="1584" w:name="_Toc206155837"/>
      <w:bookmarkStart w:id="1585" w:name="_Toc206157043"/>
      <w:bookmarkStart w:id="1586" w:name="_Toc206157263"/>
      <w:bookmarkStart w:id="1587" w:name="_Toc202452068"/>
      <w:bookmarkStart w:id="1588" w:name="_Toc203057052"/>
      <w:bookmarkStart w:id="1589" w:name="_Toc203117282"/>
      <w:bookmarkStart w:id="1590" w:name="_Toc203379347"/>
      <w:bookmarkStart w:id="1591" w:name="_Toc205378853"/>
      <w:bookmarkStart w:id="1592" w:name="_Toc205379086"/>
      <w:bookmarkStart w:id="1593" w:name="_Toc205379319"/>
      <w:bookmarkStart w:id="1594" w:name="_Toc205379552"/>
      <w:bookmarkStart w:id="1595" w:name="_Toc205379777"/>
      <w:bookmarkStart w:id="1596" w:name="_Toc205380001"/>
      <w:bookmarkStart w:id="1597" w:name="_Toc205395459"/>
      <w:bookmarkStart w:id="1598" w:name="_Toc205396253"/>
      <w:bookmarkStart w:id="1599" w:name="_Toc205397784"/>
      <w:bookmarkStart w:id="1600" w:name="_Toc205398009"/>
      <w:bookmarkStart w:id="1601" w:name="_Toc205468635"/>
      <w:bookmarkStart w:id="1602" w:name="_Toc205469094"/>
      <w:bookmarkStart w:id="1603" w:name="_Toc205479886"/>
      <w:bookmarkStart w:id="1604" w:name="_Toc205560959"/>
      <w:bookmarkStart w:id="1605" w:name="_Toc205561184"/>
      <w:bookmarkStart w:id="1606" w:name="_Toc205890699"/>
      <w:bookmarkStart w:id="1607" w:name="_Toc205890839"/>
      <w:bookmarkStart w:id="1608" w:name="_Toc205892049"/>
      <w:bookmarkStart w:id="1609" w:name="_Toc205897206"/>
      <w:bookmarkStart w:id="1610" w:name="_Toc205906089"/>
      <w:bookmarkStart w:id="1611" w:name="_Toc205909227"/>
      <w:bookmarkStart w:id="1612" w:name="_Toc205909720"/>
      <w:bookmarkStart w:id="1613" w:name="_Toc205910026"/>
      <w:bookmarkStart w:id="1614" w:name="_Toc205974535"/>
      <w:bookmarkStart w:id="1615" w:name="_Toc205974675"/>
      <w:bookmarkStart w:id="1616" w:name="_Toc205974815"/>
      <w:bookmarkStart w:id="1617" w:name="_Toc205999114"/>
      <w:bookmarkStart w:id="1618" w:name="_Toc206001423"/>
      <w:bookmarkStart w:id="1619" w:name="_Toc206001565"/>
      <w:bookmarkStart w:id="1620" w:name="_Toc206001706"/>
      <w:bookmarkStart w:id="1621" w:name="_Toc206001848"/>
      <w:bookmarkStart w:id="1622" w:name="_Toc206003770"/>
      <w:bookmarkStart w:id="1623" w:name="_Toc206006258"/>
      <w:bookmarkStart w:id="1624" w:name="_Toc206006579"/>
      <w:bookmarkStart w:id="1625" w:name="_Toc206006720"/>
      <w:bookmarkStart w:id="1626" w:name="_Toc206059595"/>
      <w:bookmarkStart w:id="1627" w:name="_Toc206084512"/>
      <w:bookmarkStart w:id="1628" w:name="_Toc206143960"/>
      <w:bookmarkStart w:id="1629" w:name="_Toc206153648"/>
      <w:bookmarkStart w:id="1630" w:name="_Toc206155697"/>
      <w:bookmarkStart w:id="1631" w:name="_Toc206155838"/>
      <w:bookmarkStart w:id="1632" w:name="_Toc206157044"/>
      <w:bookmarkStart w:id="1633" w:name="_Toc206157264"/>
      <w:bookmarkStart w:id="1634" w:name="_Toc202452069"/>
      <w:bookmarkStart w:id="1635" w:name="_Toc203057053"/>
      <w:bookmarkStart w:id="1636" w:name="_Toc203117283"/>
      <w:bookmarkStart w:id="1637" w:name="_Toc203379348"/>
      <w:bookmarkStart w:id="1638" w:name="_Toc205369488"/>
      <w:bookmarkStart w:id="1639" w:name="_Toc205374440"/>
      <w:bookmarkStart w:id="1640" w:name="_Toc205374588"/>
      <w:bookmarkStart w:id="1641" w:name="_Toc205378386"/>
      <w:bookmarkStart w:id="1642" w:name="_Toc205378620"/>
      <w:bookmarkStart w:id="1643" w:name="_Toc205378854"/>
      <w:bookmarkStart w:id="1644" w:name="_Toc205379087"/>
      <w:bookmarkStart w:id="1645" w:name="_Toc205379320"/>
      <w:bookmarkStart w:id="1646" w:name="_Toc205379553"/>
      <w:bookmarkStart w:id="1647" w:name="_Toc205379778"/>
      <w:bookmarkStart w:id="1648" w:name="_Toc205380002"/>
      <w:bookmarkStart w:id="1649" w:name="_Toc205395460"/>
      <w:bookmarkStart w:id="1650" w:name="_Toc205396254"/>
      <w:bookmarkStart w:id="1651" w:name="_Toc205397785"/>
      <w:bookmarkStart w:id="1652" w:name="_Toc205398010"/>
      <w:bookmarkStart w:id="1653" w:name="_Toc205468636"/>
      <w:bookmarkStart w:id="1654" w:name="_Toc205469095"/>
      <w:bookmarkStart w:id="1655" w:name="_Toc205479887"/>
      <w:bookmarkStart w:id="1656" w:name="_Toc205560960"/>
      <w:bookmarkStart w:id="1657" w:name="_Toc205561185"/>
      <w:bookmarkStart w:id="1658" w:name="_Toc205890700"/>
      <w:bookmarkStart w:id="1659" w:name="_Toc205890840"/>
      <w:bookmarkStart w:id="1660" w:name="_Toc205892050"/>
      <w:bookmarkStart w:id="1661" w:name="_Toc205897207"/>
      <w:bookmarkStart w:id="1662" w:name="_Toc205906090"/>
      <w:bookmarkStart w:id="1663" w:name="_Toc205909228"/>
      <w:bookmarkStart w:id="1664" w:name="_Toc205909721"/>
      <w:bookmarkStart w:id="1665" w:name="_Toc205910027"/>
      <w:bookmarkStart w:id="1666" w:name="_Toc205974536"/>
      <w:bookmarkStart w:id="1667" w:name="_Toc205974676"/>
      <w:bookmarkStart w:id="1668" w:name="_Toc205974816"/>
      <w:bookmarkStart w:id="1669" w:name="_Toc205999115"/>
      <w:bookmarkStart w:id="1670" w:name="_Toc206001424"/>
      <w:bookmarkStart w:id="1671" w:name="_Toc206001566"/>
      <w:bookmarkStart w:id="1672" w:name="_Toc206001707"/>
      <w:bookmarkStart w:id="1673" w:name="_Toc206001849"/>
      <w:bookmarkStart w:id="1674" w:name="_Toc206003771"/>
      <w:bookmarkStart w:id="1675" w:name="_Toc206006259"/>
      <w:bookmarkStart w:id="1676" w:name="_Toc206006580"/>
      <w:bookmarkStart w:id="1677" w:name="_Toc206006721"/>
      <w:bookmarkStart w:id="1678" w:name="_Toc206059596"/>
      <w:bookmarkStart w:id="1679" w:name="_Toc206084513"/>
      <w:bookmarkStart w:id="1680" w:name="_Toc206143961"/>
      <w:bookmarkStart w:id="1681" w:name="_Toc206153649"/>
      <w:bookmarkStart w:id="1682" w:name="_Toc206155698"/>
      <w:bookmarkStart w:id="1683" w:name="_Toc206155839"/>
      <w:bookmarkStart w:id="1684" w:name="_Toc206157045"/>
      <w:bookmarkStart w:id="1685" w:name="_Toc206157265"/>
      <w:bookmarkStart w:id="1686" w:name="_Toc521122318"/>
      <w:bookmarkStart w:id="1687" w:name="_Toc29371692"/>
      <w:bookmarkStart w:id="1688" w:name="_Toc110834666"/>
      <w:bookmarkStart w:id="1689" w:name="_Toc245536188"/>
      <w:bookmarkStart w:id="1690" w:name="_Toc395537202"/>
      <w:bookmarkStart w:id="1691" w:name="_Toc422732559"/>
      <w:bookmarkStart w:id="1692" w:name="_Toc422752899"/>
      <w:bookmarkStart w:id="1693" w:name="_Toc205561186"/>
      <w:bookmarkStart w:id="1694" w:name="_Toc216865506"/>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r w:rsidRPr="00721280">
        <w:t>Determining care fees</w:t>
      </w:r>
      <w:bookmarkEnd w:id="1686"/>
      <w:bookmarkEnd w:id="1687"/>
      <w:bookmarkEnd w:id="1688"/>
      <w:bookmarkEnd w:id="1689"/>
      <w:bookmarkEnd w:id="1690"/>
      <w:bookmarkEnd w:id="1691"/>
      <w:bookmarkEnd w:id="1692"/>
      <w:bookmarkEnd w:id="1693"/>
      <w:bookmarkEnd w:id="1694"/>
    </w:p>
    <w:p w14:paraId="1A51C45A" w14:textId="08212B69" w:rsidR="0046348E" w:rsidRPr="003A173C" w:rsidRDefault="0046348E" w:rsidP="0046348E">
      <w:pPr>
        <w:rPr>
          <w:rFonts w:cs="Calibri"/>
        </w:rPr>
      </w:pPr>
      <w:r w:rsidRPr="003A173C">
        <w:rPr>
          <w:rFonts w:cs="Calibri"/>
        </w:rPr>
        <w:t>The process of setting fees should be as simple and unobtrusive as possible, respecting the individual’s right to privacy and confidentiality.</w:t>
      </w:r>
    </w:p>
    <w:p w14:paraId="4DE68224" w14:textId="2110AF57" w:rsidR="0046348E" w:rsidRPr="003A173C" w:rsidRDefault="0046348E" w:rsidP="0046348E">
      <w:pPr>
        <w:rPr>
          <w:rFonts w:cs="Calibri"/>
        </w:rPr>
      </w:pPr>
      <w:r w:rsidRPr="003A173C">
        <w:rPr>
          <w:rFonts w:cs="Calibri"/>
        </w:rPr>
        <w:t>To ascertain an individual’s ability to contribute to the cost of their transition care, the service provider may only request information that is reasonable to request under the circumstances (i.e. the individual</w:t>
      </w:r>
      <w:r w:rsidR="003341BC" w:rsidRPr="003A173C">
        <w:rPr>
          <w:rFonts w:cs="Calibri"/>
        </w:rPr>
        <w:t xml:space="preserve"> is</w:t>
      </w:r>
      <w:r w:rsidRPr="003A173C">
        <w:rPr>
          <w:rFonts w:cs="Calibri"/>
        </w:rPr>
        <w:t xml:space="preserve"> an in-patient of the hospital before entering transition care).</w:t>
      </w:r>
    </w:p>
    <w:p w14:paraId="1F1B89EE" w14:textId="315F2133" w:rsidR="0046348E" w:rsidRPr="003A173C" w:rsidRDefault="0046348E" w:rsidP="0046348E">
      <w:pPr>
        <w:rPr>
          <w:rFonts w:cs="Calibri"/>
        </w:rPr>
      </w:pPr>
      <w:r w:rsidRPr="003A173C">
        <w:rPr>
          <w:rFonts w:cs="Calibri"/>
        </w:rPr>
        <w:t>In determining an individual’s capacity to pay fees, the service provider should consider any exceptional and unavoidable expenses incurred by the individual.</w:t>
      </w:r>
      <w:bookmarkStart w:id="1695" w:name="_Toc521122319"/>
    </w:p>
    <w:p w14:paraId="7E8723AF" w14:textId="3C6BB74A" w:rsidR="0046348E" w:rsidRPr="003A173C" w:rsidRDefault="0046348E" w:rsidP="0046348E">
      <w:pPr>
        <w:rPr>
          <w:rFonts w:cs="Calibri"/>
        </w:rPr>
      </w:pPr>
      <w:r w:rsidRPr="003A173C">
        <w:rPr>
          <w:rFonts w:cs="Calibri"/>
        </w:rPr>
        <w:t xml:space="preserve">Where an individual enters a TCP episode, while receiving other forms of funded aged care services, registered providers should consider the interaction of the TCP with these other services in determining the capacity of individuals to pay fees. For instance, Support at Home services can continue to be accessed while accessing TCP, as long as the services are not duplicative. It is expected that the </w:t>
      </w:r>
      <w:r w:rsidR="003B5D2F" w:rsidRPr="003A173C">
        <w:rPr>
          <w:rFonts w:cs="Calibri"/>
        </w:rPr>
        <w:t>individual</w:t>
      </w:r>
      <w:r w:rsidRPr="003A173C">
        <w:rPr>
          <w:rFonts w:cs="Calibri"/>
        </w:rPr>
        <w:t xml:space="preserve">’s Support at Home provider and the relevant transition care provider will discuss and coordinate care provision to ensure the </w:t>
      </w:r>
      <w:r w:rsidR="003B5D2F" w:rsidRPr="003A173C">
        <w:rPr>
          <w:rFonts w:cs="Calibri"/>
        </w:rPr>
        <w:t>individual’s</w:t>
      </w:r>
      <w:r w:rsidRPr="003A173C">
        <w:rPr>
          <w:rFonts w:cs="Calibri"/>
        </w:rPr>
        <w:t xml:space="preserve"> needs are met. During this period</w:t>
      </w:r>
      <w:r w:rsidR="003B5D2F" w:rsidRPr="003A173C">
        <w:rPr>
          <w:rFonts w:cs="Calibri"/>
        </w:rPr>
        <w:t>,</w:t>
      </w:r>
      <w:r w:rsidRPr="003A173C">
        <w:rPr>
          <w:rFonts w:cs="Calibri"/>
        </w:rPr>
        <w:t xml:space="preserve"> Support at Home providers can claim subsidies for care management services for activities related to coordination and consultation with TCP stakeholders. Further information can be found in the </w:t>
      </w:r>
      <w:hyperlink r:id="rId53" w:history="1">
        <w:r w:rsidRPr="003C225C">
          <w:rPr>
            <w:rStyle w:val="Hyperlink"/>
            <w:rFonts w:ascii="Calibri" w:hAnsi="Calibri" w:cs="Calibri"/>
            <w:sz w:val="20"/>
          </w:rPr>
          <w:t>Support at Home Program Manual</w:t>
        </w:r>
        <w:r w:rsidRPr="00035FDB">
          <w:rPr>
            <w:rStyle w:val="Hyperlink"/>
            <w:rFonts w:ascii="Calibri" w:hAnsi="Calibri" w:cs="Calibri"/>
            <w:sz w:val="20"/>
            <w:u w:val="none"/>
          </w:rPr>
          <w:t>.</w:t>
        </w:r>
      </w:hyperlink>
      <w:r w:rsidRPr="003A173C">
        <w:rPr>
          <w:rFonts w:cs="Calibri"/>
        </w:rPr>
        <w:t xml:space="preserve"> </w:t>
      </w:r>
    </w:p>
    <w:p w14:paraId="2170E191" w14:textId="3322B77B" w:rsidR="0046348E" w:rsidRPr="003A173C" w:rsidRDefault="0046348E" w:rsidP="0046348E">
      <w:pPr>
        <w:rPr>
          <w:rFonts w:cs="Calibri"/>
        </w:rPr>
      </w:pPr>
      <w:r w:rsidRPr="003A173C">
        <w:rPr>
          <w:rFonts w:cs="Calibri"/>
        </w:rPr>
        <w:t xml:space="preserve">Similarly, residents who were in residential aged care before entering hospital may continue to be charged fees by their original </w:t>
      </w:r>
      <w:r w:rsidR="00970DE0" w:rsidRPr="003A173C">
        <w:rPr>
          <w:rFonts w:cs="Calibri"/>
        </w:rPr>
        <w:t xml:space="preserve">residential care </w:t>
      </w:r>
      <w:r w:rsidRPr="003A173C">
        <w:rPr>
          <w:rFonts w:cs="Calibri"/>
        </w:rPr>
        <w:t>service whilst receiving transition care services, which may impact on their capacity to pay fees for transition care.</w:t>
      </w:r>
    </w:p>
    <w:bookmarkEnd w:id="1695"/>
    <w:p w14:paraId="0387C168" w14:textId="5DFFE536" w:rsidR="0046348E" w:rsidRPr="003A173C" w:rsidRDefault="0046348E" w:rsidP="0046348E">
      <w:pPr>
        <w:rPr>
          <w:rFonts w:cs="Calibri"/>
        </w:rPr>
      </w:pPr>
      <w:r w:rsidRPr="003A173C">
        <w:rPr>
          <w:rFonts w:cs="Calibri"/>
        </w:rPr>
        <w:t xml:space="preserve">Each March and September when new pension rates are announced, the Department notifies the registered providers of any variations in the rate of the maximum fees for transition care. The approved providers should then notify all associated providers of the new rate. These rates are published on the Department’s website at: </w:t>
      </w:r>
      <w:hyperlink r:id="rId54" w:history="1">
        <w:r w:rsidRPr="003A173C">
          <w:rPr>
            <w:rStyle w:val="Hyperlink"/>
            <w:rFonts w:ascii="Calibri" w:hAnsi="Calibri" w:cs="Calibri"/>
            <w:sz w:val="20"/>
            <w:szCs w:val="20"/>
          </w:rPr>
          <w:t>Schedule of Fees and Charges for Residential and Home Care</w:t>
        </w:r>
      </w:hyperlink>
      <w:r w:rsidRPr="003A173C">
        <w:rPr>
          <w:rFonts w:cs="Calibri"/>
        </w:rPr>
        <w:t>.</w:t>
      </w:r>
    </w:p>
    <w:p w14:paraId="255AE2BF" w14:textId="77777777" w:rsidR="0046348E" w:rsidRPr="00721280" w:rsidRDefault="0046348E" w:rsidP="008974DB">
      <w:pPr>
        <w:pStyle w:val="Style3"/>
      </w:pPr>
      <w:bookmarkStart w:id="1696" w:name="_Toc202452071"/>
      <w:bookmarkStart w:id="1697" w:name="_Toc203057055"/>
      <w:bookmarkStart w:id="1698" w:name="_Toc203117285"/>
      <w:bookmarkStart w:id="1699" w:name="_Toc203379350"/>
      <w:bookmarkStart w:id="1700" w:name="_Toc205369490"/>
      <w:bookmarkStart w:id="1701" w:name="_Toc205374442"/>
      <w:bookmarkStart w:id="1702" w:name="_Toc205374590"/>
      <w:bookmarkStart w:id="1703" w:name="_Toc205378388"/>
      <w:bookmarkStart w:id="1704" w:name="_Toc205378622"/>
      <w:bookmarkStart w:id="1705" w:name="_Toc205378856"/>
      <w:bookmarkStart w:id="1706" w:name="_Toc205379089"/>
      <w:bookmarkStart w:id="1707" w:name="_Toc205379322"/>
      <w:bookmarkStart w:id="1708" w:name="_Toc205379555"/>
      <w:bookmarkStart w:id="1709" w:name="_Toc205379780"/>
      <w:bookmarkStart w:id="1710" w:name="_Toc205380004"/>
      <w:bookmarkStart w:id="1711" w:name="_Toc205395462"/>
      <w:bookmarkStart w:id="1712" w:name="_Toc205396256"/>
      <w:bookmarkStart w:id="1713" w:name="_Toc205397787"/>
      <w:bookmarkStart w:id="1714" w:name="_Toc205398012"/>
      <w:bookmarkStart w:id="1715" w:name="_Toc205468638"/>
      <w:bookmarkStart w:id="1716" w:name="_Toc205469097"/>
      <w:bookmarkStart w:id="1717" w:name="_Toc205479889"/>
      <w:bookmarkStart w:id="1718" w:name="_Toc205560962"/>
      <w:bookmarkStart w:id="1719" w:name="_Toc205561187"/>
      <w:bookmarkStart w:id="1720" w:name="_Toc205890702"/>
      <w:bookmarkStart w:id="1721" w:name="_Toc205890842"/>
      <w:bookmarkStart w:id="1722" w:name="_Toc205892052"/>
      <w:bookmarkStart w:id="1723" w:name="_Toc205897209"/>
      <w:bookmarkStart w:id="1724" w:name="_Toc205906092"/>
      <w:bookmarkStart w:id="1725" w:name="_Toc205909230"/>
      <w:bookmarkStart w:id="1726" w:name="_Toc205909723"/>
      <w:bookmarkStart w:id="1727" w:name="_Toc205910029"/>
      <w:bookmarkStart w:id="1728" w:name="_Toc205974538"/>
      <w:bookmarkStart w:id="1729" w:name="_Toc205974678"/>
      <w:bookmarkStart w:id="1730" w:name="_Toc205974818"/>
      <w:bookmarkStart w:id="1731" w:name="_Toc205999117"/>
      <w:bookmarkStart w:id="1732" w:name="_Toc206001426"/>
      <w:bookmarkStart w:id="1733" w:name="_Toc206001568"/>
      <w:bookmarkStart w:id="1734" w:name="_Toc206001709"/>
      <w:bookmarkStart w:id="1735" w:name="_Toc206001851"/>
      <w:bookmarkStart w:id="1736" w:name="_Toc206003773"/>
      <w:bookmarkStart w:id="1737" w:name="_Toc206006261"/>
      <w:bookmarkStart w:id="1738" w:name="_Toc206006582"/>
      <w:bookmarkStart w:id="1739" w:name="_Toc206006723"/>
      <w:bookmarkStart w:id="1740" w:name="_Toc206059598"/>
      <w:bookmarkStart w:id="1741" w:name="_Toc206084515"/>
      <w:bookmarkStart w:id="1742" w:name="_Toc206143963"/>
      <w:bookmarkStart w:id="1743" w:name="_Toc206153651"/>
      <w:bookmarkStart w:id="1744" w:name="_Toc206155700"/>
      <w:bookmarkStart w:id="1745" w:name="_Toc206155841"/>
      <w:bookmarkStart w:id="1746" w:name="_Toc206157047"/>
      <w:bookmarkStart w:id="1747" w:name="_Toc206157267"/>
      <w:bookmarkStart w:id="1748" w:name="_Toc521122321"/>
      <w:bookmarkStart w:id="1749" w:name="_Toc29371694"/>
      <w:bookmarkStart w:id="1750" w:name="_Toc110834668"/>
      <w:bookmarkStart w:id="1751" w:name="_Toc245536190"/>
      <w:bookmarkStart w:id="1752" w:name="_Toc395537204"/>
      <w:bookmarkStart w:id="1753" w:name="_Toc422732561"/>
      <w:bookmarkStart w:id="1754" w:name="_Toc422752901"/>
      <w:bookmarkStart w:id="1755" w:name="_Toc205561188"/>
      <w:bookmarkStart w:id="1756" w:name="_Toc216865507"/>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721280">
        <w:t>Payment of fees in advance</w:t>
      </w:r>
      <w:bookmarkEnd w:id="1748"/>
      <w:bookmarkEnd w:id="1749"/>
      <w:bookmarkEnd w:id="1750"/>
      <w:bookmarkEnd w:id="1751"/>
      <w:bookmarkEnd w:id="1752"/>
      <w:bookmarkEnd w:id="1753"/>
      <w:bookmarkEnd w:id="1754"/>
      <w:bookmarkEnd w:id="1755"/>
      <w:bookmarkEnd w:id="1756"/>
    </w:p>
    <w:p w14:paraId="27EDFC4F" w14:textId="1CC2D79C" w:rsidR="0046348E" w:rsidRPr="003A173C" w:rsidRDefault="0046348E" w:rsidP="0046348E">
      <w:pPr>
        <w:rPr>
          <w:rFonts w:cs="Calibri"/>
        </w:rPr>
      </w:pPr>
      <w:r w:rsidRPr="003A173C">
        <w:rPr>
          <w:rFonts w:cs="Calibri"/>
        </w:rPr>
        <w:t xml:space="preserve">Service providers may ask for fees up to one month in advance under section 286(3) of the Act. If the individual dies or stops accessing TCP services, any amounts paid in advance for a day occurring after the individual dies or stops accessing those services must be refunded under the requirements as set out in section 285-17 of the Rules. </w:t>
      </w:r>
    </w:p>
    <w:p w14:paraId="6FF53C29" w14:textId="77777777" w:rsidR="0046348E" w:rsidRPr="00721280" w:rsidRDefault="0046348E" w:rsidP="008974DB">
      <w:pPr>
        <w:pStyle w:val="Style3"/>
      </w:pPr>
      <w:bookmarkStart w:id="1757" w:name="_Toc205561189"/>
      <w:bookmarkStart w:id="1758" w:name="_Toc216865508"/>
      <w:r w:rsidRPr="00721280">
        <w:t>Waiving Fees (Financial Hardship)</w:t>
      </w:r>
      <w:bookmarkEnd w:id="1757"/>
      <w:bookmarkEnd w:id="1758"/>
    </w:p>
    <w:p w14:paraId="00A8E5DA" w14:textId="3814CBCC" w:rsidR="0046348E" w:rsidRPr="007206E9" w:rsidRDefault="0046348E" w:rsidP="007206E9">
      <w:pPr>
        <w:rPr>
          <w:rFonts w:cs="Calibri"/>
        </w:rPr>
      </w:pPr>
      <w:r w:rsidRPr="003A173C">
        <w:rPr>
          <w:rFonts w:cs="Calibri"/>
        </w:rPr>
        <w:t>Transition care registered providers are required to have a financial hardship policy in place and publicly available and under such a policy</w:t>
      </w:r>
      <w:r w:rsidR="00A51A02" w:rsidRPr="003A173C">
        <w:rPr>
          <w:rFonts w:cs="Calibri"/>
        </w:rPr>
        <w:t>,</w:t>
      </w:r>
      <w:r w:rsidRPr="003A173C">
        <w:rPr>
          <w:rFonts w:cs="Calibri"/>
        </w:rPr>
        <w:t xml:space="preserve"> can waive or reduce the </w:t>
      </w:r>
      <w:r w:rsidRPr="003A173C">
        <w:rPr>
          <w:rFonts w:cs="Calibri"/>
          <w:i/>
          <w:iCs/>
        </w:rPr>
        <w:t>specialist aged care program fee</w:t>
      </w:r>
      <w:r w:rsidRPr="003A173C">
        <w:rPr>
          <w:rFonts w:cs="Calibri"/>
        </w:rPr>
        <w:t xml:space="preserve"> payable by individuals in circumstances where an individual is experiencing financial hardship. The individual will need to apply for a waiver or reduction of the fee. Individuals </w:t>
      </w:r>
      <w:r w:rsidR="00A51A02" w:rsidRPr="003A173C">
        <w:rPr>
          <w:rFonts w:cs="Calibri"/>
        </w:rPr>
        <w:t>s</w:t>
      </w:r>
      <w:r w:rsidRPr="003A173C">
        <w:rPr>
          <w:rFonts w:cs="Calibri"/>
        </w:rPr>
        <w:t xml:space="preserve">hould discuss their financial circumstances with the transition care </w:t>
      </w:r>
      <w:r w:rsidR="00A51A02" w:rsidRPr="003A173C">
        <w:rPr>
          <w:rFonts w:cs="Calibri"/>
        </w:rPr>
        <w:t xml:space="preserve">registered </w:t>
      </w:r>
      <w:r w:rsidRPr="003A173C">
        <w:rPr>
          <w:rFonts w:cs="Calibri"/>
        </w:rPr>
        <w:t xml:space="preserve">provider </w:t>
      </w:r>
      <w:r w:rsidR="003132BD" w:rsidRPr="003A173C">
        <w:rPr>
          <w:rFonts w:cs="Calibri"/>
        </w:rPr>
        <w:t xml:space="preserve">at </w:t>
      </w:r>
      <w:r w:rsidR="00D26855" w:rsidRPr="003A173C">
        <w:rPr>
          <w:rFonts w:cs="Calibri"/>
        </w:rPr>
        <w:t xml:space="preserve">the time </w:t>
      </w:r>
      <w:r w:rsidR="00C25A31" w:rsidRPr="003A173C">
        <w:rPr>
          <w:rFonts w:cs="Calibri"/>
        </w:rPr>
        <w:t>of</w:t>
      </w:r>
      <w:r w:rsidR="00D26855" w:rsidRPr="003A173C">
        <w:rPr>
          <w:rFonts w:cs="Calibri"/>
        </w:rPr>
        <w:t xml:space="preserve"> entering into the </w:t>
      </w:r>
      <w:r w:rsidR="00034335">
        <w:rPr>
          <w:rFonts w:cs="Calibri"/>
        </w:rPr>
        <w:t>service agreement</w:t>
      </w:r>
      <w:r w:rsidR="00D26855" w:rsidRPr="003A173C">
        <w:rPr>
          <w:rFonts w:cs="Calibri"/>
        </w:rPr>
        <w:t xml:space="preserve"> and also during the episode if any </w:t>
      </w:r>
      <w:r w:rsidR="00A44FC8" w:rsidRPr="003A173C">
        <w:rPr>
          <w:rFonts w:cs="Calibri"/>
        </w:rPr>
        <w:t>financial circumstances change and</w:t>
      </w:r>
      <w:r w:rsidR="0071206D" w:rsidRPr="003A173C">
        <w:rPr>
          <w:rFonts w:cs="Calibri"/>
        </w:rPr>
        <w:t xml:space="preserve"> they are experiencing financial hardship</w:t>
      </w:r>
      <w:r w:rsidRPr="003A173C">
        <w:rPr>
          <w:rFonts w:cs="Calibri"/>
        </w:rPr>
        <w:t xml:space="preserve"> (see section 286-20 of the Rules and </w:t>
      </w:r>
      <w:r w:rsidR="00A51A02" w:rsidRPr="003A173C">
        <w:rPr>
          <w:rFonts w:cs="Calibri"/>
          <w:i/>
          <w:iCs/>
        </w:rPr>
        <w:t>S</w:t>
      </w:r>
      <w:r w:rsidRPr="003A173C">
        <w:rPr>
          <w:rFonts w:cs="Calibri"/>
          <w:i/>
          <w:iCs/>
        </w:rPr>
        <w:t>ection 5.</w:t>
      </w:r>
      <w:r w:rsidR="00AA6130">
        <w:rPr>
          <w:rFonts w:cs="Calibri"/>
          <w:i/>
          <w:iCs/>
        </w:rPr>
        <w:t>7</w:t>
      </w:r>
      <w:r w:rsidRPr="003A173C">
        <w:rPr>
          <w:rFonts w:cs="Calibri"/>
          <w:i/>
          <w:iCs/>
        </w:rPr>
        <w:t>.1 Determining care fees</w:t>
      </w:r>
      <w:r w:rsidRPr="003A173C">
        <w:rPr>
          <w:rFonts w:cs="Calibri"/>
        </w:rPr>
        <w:t xml:space="preserve"> above).</w:t>
      </w:r>
    </w:p>
    <w:p w14:paraId="01EA062E" w14:textId="0661C9F1" w:rsidR="00605BA0" w:rsidRPr="003A173C" w:rsidRDefault="00605BA0" w:rsidP="001B4B19">
      <w:pPr>
        <w:pStyle w:val="Heading1"/>
        <w:ind w:left="0" w:firstLine="0"/>
        <w:rPr>
          <w:rFonts w:ascii="Calibri" w:hAnsi="Calibri" w:cs="Calibri"/>
        </w:rPr>
      </w:pPr>
      <w:bookmarkStart w:id="1759" w:name="_Toc205378372"/>
      <w:bookmarkStart w:id="1760" w:name="_Toc205378606"/>
      <w:bookmarkStart w:id="1761" w:name="_Toc205378840"/>
      <w:bookmarkStart w:id="1762" w:name="_Toc205379073"/>
      <w:bookmarkStart w:id="1763" w:name="_Toc205379306"/>
      <w:bookmarkStart w:id="1764" w:name="_Toc205379539"/>
      <w:bookmarkStart w:id="1765" w:name="_Toc205379764"/>
      <w:bookmarkStart w:id="1766" w:name="_Toc205379988"/>
      <w:bookmarkStart w:id="1767" w:name="_Toc205395446"/>
      <w:bookmarkStart w:id="1768" w:name="_Toc205396240"/>
      <w:bookmarkStart w:id="1769" w:name="_Toc205397771"/>
      <w:bookmarkStart w:id="1770" w:name="_Toc205397996"/>
      <w:bookmarkStart w:id="1771" w:name="_Toc205468622"/>
      <w:bookmarkStart w:id="1772" w:name="_Toc205469081"/>
      <w:bookmarkStart w:id="1773" w:name="_Toc205479873"/>
      <w:bookmarkStart w:id="1774" w:name="_Toc205560946"/>
      <w:bookmarkStart w:id="1775" w:name="_Toc205561171"/>
      <w:bookmarkStart w:id="1776" w:name="_Toc205819223"/>
      <w:bookmarkStart w:id="1777" w:name="_RESPONSIBILITIES_OF_APPROVED"/>
      <w:bookmarkStart w:id="1778" w:name="_Toc29371699"/>
      <w:bookmarkStart w:id="1779" w:name="_Toc110834669"/>
      <w:bookmarkStart w:id="1780" w:name="_Toc245536191"/>
      <w:bookmarkStart w:id="1781" w:name="_Toc395537205"/>
      <w:bookmarkStart w:id="1782" w:name="_Toc422732562"/>
      <w:bookmarkStart w:id="1783" w:name="_Toc422752902"/>
      <w:bookmarkStart w:id="1784" w:name="_Toc216865509"/>
      <w:bookmarkEnd w:id="1322"/>
      <w:bookmarkEnd w:id="1323"/>
      <w:bookmarkEnd w:id="1324"/>
      <w:bookmarkEnd w:id="1325"/>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Pr="003A173C">
        <w:rPr>
          <w:rFonts w:ascii="Calibri" w:hAnsi="Calibri" w:cs="Calibri"/>
        </w:rPr>
        <w:lastRenderedPageBreak/>
        <w:t xml:space="preserve">RESPONSIBILITIES OF </w:t>
      </w:r>
      <w:r w:rsidR="005741CC" w:rsidRPr="003A173C">
        <w:rPr>
          <w:rFonts w:ascii="Calibri" w:hAnsi="Calibri" w:cs="Calibri"/>
        </w:rPr>
        <w:t>REGISTERED</w:t>
      </w:r>
      <w:r w:rsidRPr="003A173C">
        <w:rPr>
          <w:rFonts w:ascii="Calibri" w:hAnsi="Calibri" w:cs="Calibri"/>
        </w:rPr>
        <w:t xml:space="preserve"> PROVIDERS</w:t>
      </w:r>
      <w:bookmarkEnd w:id="1778"/>
      <w:bookmarkEnd w:id="1779"/>
      <w:bookmarkEnd w:id="1780"/>
      <w:bookmarkEnd w:id="1781"/>
      <w:bookmarkEnd w:id="1782"/>
      <w:bookmarkEnd w:id="1783"/>
      <w:bookmarkEnd w:id="1784"/>
    </w:p>
    <w:p w14:paraId="09FBB15C" w14:textId="5909B83E" w:rsidR="00605BA0" w:rsidRPr="007206E9" w:rsidRDefault="007F5520" w:rsidP="001B4B19">
      <w:bookmarkStart w:id="1785" w:name="_Toc422732563"/>
      <w:bookmarkStart w:id="1786" w:name="_Toc422732727"/>
      <w:bookmarkStart w:id="1787" w:name="_Toc29371706"/>
      <w:bookmarkStart w:id="1788" w:name="_Toc110834670"/>
      <w:bookmarkStart w:id="1789" w:name="_Toc245536192"/>
      <w:bookmarkStart w:id="1790" w:name="_Toc395537206"/>
      <w:r w:rsidRPr="003A173C">
        <w:rPr>
          <w:rFonts w:cs="Calibri"/>
        </w:rPr>
        <w:t>Part 4 of Chapter 3</w:t>
      </w:r>
      <w:r w:rsidR="00605BA0" w:rsidRPr="003A173C">
        <w:rPr>
          <w:rFonts w:cs="Calibri"/>
        </w:rPr>
        <w:t xml:space="preserve"> of the </w:t>
      </w:r>
      <w:r w:rsidR="00723838" w:rsidRPr="003A173C">
        <w:rPr>
          <w:rFonts w:cs="Calibri"/>
        </w:rPr>
        <w:t>Act</w:t>
      </w:r>
      <w:r w:rsidR="00605BA0" w:rsidRPr="003A173C">
        <w:rPr>
          <w:rFonts w:cs="Calibri"/>
        </w:rPr>
        <w:t xml:space="preserve"> sets out the responsibilities of t</w:t>
      </w:r>
      <w:r w:rsidRPr="003A173C">
        <w:rPr>
          <w:rFonts w:cs="Calibri"/>
        </w:rPr>
        <w:t xml:space="preserve">he registered </w:t>
      </w:r>
      <w:r w:rsidR="00605BA0" w:rsidRPr="003A173C">
        <w:rPr>
          <w:rFonts w:cs="Calibri"/>
        </w:rPr>
        <w:t>provider</w:t>
      </w:r>
      <w:r w:rsidR="00AB3803" w:rsidRPr="003A173C">
        <w:rPr>
          <w:rFonts w:cs="Calibri"/>
        </w:rPr>
        <w:t>s</w:t>
      </w:r>
      <w:bookmarkEnd w:id="1785"/>
      <w:bookmarkEnd w:id="1786"/>
      <w:r w:rsidR="00385BFF" w:rsidRPr="003A173C">
        <w:rPr>
          <w:rFonts w:cs="Calibri"/>
        </w:rPr>
        <w:t xml:space="preserve"> </w:t>
      </w:r>
      <w:r w:rsidR="00E81365" w:rsidRPr="003A173C">
        <w:rPr>
          <w:rFonts w:cs="Calibri"/>
        </w:rPr>
        <w:t xml:space="preserve">of </w:t>
      </w:r>
      <w:r w:rsidR="00385BFF" w:rsidRPr="003A173C">
        <w:rPr>
          <w:rFonts w:cs="Calibri"/>
        </w:rPr>
        <w:t>all funded aged care services including the TCP</w:t>
      </w:r>
      <w:r w:rsidR="007206E9">
        <w:rPr>
          <w:rFonts w:cs="Calibri"/>
        </w:rPr>
        <w:t>.</w:t>
      </w:r>
    </w:p>
    <w:p w14:paraId="17CFD511" w14:textId="2A3E528C" w:rsidR="00605BA0" w:rsidRPr="003A173C" w:rsidRDefault="00605BA0" w:rsidP="00B42C61">
      <w:pPr>
        <w:pStyle w:val="Heading2"/>
        <w:rPr>
          <w:rFonts w:ascii="Calibri" w:hAnsi="Calibri" w:cs="Calibri"/>
        </w:rPr>
      </w:pPr>
      <w:bookmarkStart w:id="1791" w:name="_Toc422732564"/>
      <w:bookmarkStart w:id="1792" w:name="_Toc422752903"/>
      <w:bookmarkStart w:id="1793" w:name="_Toc216865510"/>
      <w:r w:rsidRPr="003A173C">
        <w:rPr>
          <w:rFonts w:ascii="Calibri" w:hAnsi="Calibri" w:cs="Calibri"/>
        </w:rPr>
        <w:t xml:space="preserve">Compliance with the </w:t>
      </w:r>
      <w:bookmarkEnd w:id="1787"/>
      <w:bookmarkEnd w:id="1788"/>
      <w:bookmarkEnd w:id="1789"/>
      <w:r w:rsidRPr="003A173C">
        <w:rPr>
          <w:rFonts w:ascii="Calibri" w:hAnsi="Calibri" w:cs="Calibri"/>
        </w:rPr>
        <w:t>legislation</w:t>
      </w:r>
      <w:bookmarkEnd w:id="1790"/>
      <w:bookmarkEnd w:id="1791"/>
      <w:bookmarkEnd w:id="1792"/>
      <w:bookmarkEnd w:id="1793"/>
    </w:p>
    <w:p w14:paraId="1B2DB1F4" w14:textId="48B5CCDF" w:rsidR="00605BA0" w:rsidRPr="003A173C" w:rsidRDefault="00975D07" w:rsidP="001E340F">
      <w:pPr>
        <w:rPr>
          <w:rFonts w:cs="Calibri"/>
        </w:rPr>
      </w:pPr>
      <w:r w:rsidRPr="003A173C">
        <w:rPr>
          <w:rFonts w:cs="Calibri"/>
        </w:rPr>
        <w:t>Registered</w:t>
      </w:r>
      <w:r w:rsidR="00605BA0" w:rsidRPr="003A173C">
        <w:rPr>
          <w:rFonts w:cs="Calibri"/>
        </w:rPr>
        <w:t xml:space="preserve"> providers are</w:t>
      </w:r>
      <w:r w:rsidR="00BB0979" w:rsidRPr="003A173C">
        <w:rPr>
          <w:rFonts w:cs="Calibri"/>
        </w:rPr>
        <w:t xml:space="preserve"> assessed and</w:t>
      </w:r>
      <w:r w:rsidR="00605BA0" w:rsidRPr="003A173C">
        <w:rPr>
          <w:rFonts w:cs="Calibri"/>
        </w:rPr>
        <w:t xml:space="preserve"> </w:t>
      </w:r>
      <w:r w:rsidRPr="003A173C">
        <w:rPr>
          <w:rFonts w:cs="Calibri"/>
        </w:rPr>
        <w:t>registered</w:t>
      </w:r>
      <w:r w:rsidR="00476C9C" w:rsidRPr="003A173C">
        <w:rPr>
          <w:rFonts w:cs="Calibri"/>
        </w:rPr>
        <w:t xml:space="preserve"> by</w:t>
      </w:r>
      <w:r w:rsidR="00BB0979" w:rsidRPr="003A173C">
        <w:rPr>
          <w:rFonts w:cs="Calibri"/>
        </w:rPr>
        <w:t xml:space="preserve"> the </w:t>
      </w:r>
      <w:r w:rsidR="00601748" w:rsidRPr="003A173C">
        <w:rPr>
          <w:rFonts w:cs="Calibri"/>
        </w:rPr>
        <w:t>Commission</w:t>
      </w:r>
      <w:r w:rsidR="00883D4C" w:rsidRPr="003A173C">
        <w:rPr>
          <w:rFonts w:cs="Calibri"/>
        </w:rPr>
        <w:t xml:space="preserve"> </w:t>
      </w:r>
      <w:r w:rsidR="00036B5A" w:rsidRPr="003A173C">
        <w:rPr>
          <w:rFonts w:cs="Calibri"/>
        </w:rPr>
        <w:t xml:space="preserve">as per </w:t>
      </w:r>
      <w:r w:rsidR="009B1AC5" w:rsidRPr="003A173C">
        <w:rPr>
          <w:rFonts w:cs="Calibri"/>
        </w:rPr>
        <w:t xml:space="preserve">functions given to the Commission </w:t>
      </w:r>
      <w:r w:rsidR="00BB0979" w:rsidRPr="003A173C">
        <w:rPr>
          <w:rFonts w:cs="Calibri"/>
        </w:rPr>
        <w:t>under the Act</w:t>
      </w:r>
      <w:r w:rsidR="00605BA0" w:rsidRPr="003A173C">
        <w:rPr>
          <w:rFonts w:cs="Calibri"/>
          <w:i/>
        </w:rPr>
        <w:t xml:space="preserve"> </w:t>
      </w:r>
      <w:r w:rsidR="00605BA0" w:rsidRPr="003A173C">
        <w:rPr>
          <w:rFonts w:cs="Calibri"/>
        </w:rPr>
        <w:t xml:space="preserve">and therefore must comply with </w:t>
      </w:r>
      <w:r w:rsidR="00511D5C" w:rsidRPr="003A173C">
        <w:rPr>
          <w:rFonts w:cs="Calibri"/>
        </w:rPr>
        <w:t>the requirements set out</w:t>
      </w:r>
      <w:r w:rsidR="00605BA0" w:rsidRPr="003A173C">
        <w:rPr>
          <w:rFonts w:cs="Calibri"/>
        </w:rPr>
        <w:t xml:space="preserve"> in the Act </w:t>
      </w:r>
      <w:r w:rsidR="00193C70" w:rsidRPr="003A173C">
        <w:rPr>
          <w:rFonts w:cs="Calibri"/>
        </w:rPr>
        <w:t xml:space="preserve">and </w:t>
      </w:r>
      <w:r w:rsidR="00605BA0" w:rsidRPr="003A173C">
        <w:rPr>
          <w:rFonts w:cs="Calibri"/>
        </w:rPr>
        <w:t>the</w:t>
      </w:r>
      <w:r w:rsidR="00365BC6" w:rsidRPr="003A173C">
        <w:rPr>
          <w:rFonts w:cs="Calibri"/>
        </w:rPr>
        <w:t xml:space="preserve"> Rules</w:t>
      </w:r>
      <w:r w:rsidR="00690A7F" w:rsidRPr="003A173C">
        <w:rPr>
          <w:rFonts w:cs="Calibri"/>
        </w:rPr>
        <w:t xml:space="preserve">. </w:t>
      </w:r>
      <w:r w:rsidR="00605BA0" w:rsidRPr="003A173C">
        <w:rPr>
          <w:rFonts w:cs="Calibri"/>
        </w:rPr>
        <w:t xml:space="preserve">This chapter identifies the key responsibilities of </w:t>
      </w:r>
      <w:r w:rsidR="00A154EF" w:rsidRPr="003A173C">
        <w:rPr>
          <w:rFonts w:cs="Calibri"/>
        </w:rPr>
        <w:t xml:space="preserve">registered providers of the TCP </w:t>
      </w:r>
      <w:r w:rsidR="00605BA0" w:rsidRPr="003A173C">
        <w:rPr>
          <w:rFonts w:cs="Calibri"/>
        </w:rPr>
        <w:t xml:space="preserve">under the Act and </w:t>
      </w:r>
      <w:r w:rsidR="00A154EF" w:rsidRPr="003A173C">
        <w:rPr>
          <w:rFonts w:cs="Calibri"/>
        </w:rPr>
        <w:t>Rules</w:t>
      </w:r>
      <w:r w:rsidR="00605BA0" w:rsidRPr="003A173C">
        <w:rPr>
          <w:rFonts w:cs="Calibri"/>
        </w:rPr>
        <w:t>.</w:t>
      </w:r>
      <w:r w:rsidR="00D11ADE" w:rsidRPr="003A173C">
        <w:rPr>
          <w:rFonts w:cs="Calibri"/>
        </w:rPr>
        <w:t xml:space="preserve"> </w:t>
      </w:r>
    </w:p>
    <w:p w14:paraId="43109E7E" w14:textId="402EF602" w:rsidR="00605BA0" w:rsidRDefault="00605BA0" w:rsidP="001E340F">
      <w:pPr>
        <w:rPr>
          <w:rFonts w:cs="Calibri"/>
        </w:rPr>
      </w:pPr>
      <w:r w:rsidRPr="003A173C">
        <w:rPr>
          <w:rFonts w:cs="Calibri"/>
        </w:rPr>
        <w:t xml:space="preserve">While these guidelines provide additional advice on responsibilities of the </w:t>
      </w:r>
      <w:r w:rsidR="004424F1" w:rsidRPr="003A173C">
        <w:rPr>
          <w:rFonts w:cs="Calibri"/>
        </w:rPr>
        <w:t xml:space="preserve">registered </w:t>
      </w:r>
      <w:r w:rsidRPr="003A173C">
        <w:rPr>
          <w:rFonts w:cs="Calibri"/>
        </w:rPr>
        <w:t xml:space="preserve">providers and a measure of policy interpretation, it is strongly recommended that </w:t>
      </w:r>
      <w:r w:rsidR="00116013" w:rsidRPr="003A173C">
        <w:rPr>
          <w:rFonts w:cs="Calibri"/>
        </w:rPr>
        <w:t xml:space="preserve">registered </w:t>
      </w:r>
      <w:r w:rsidRPr="003A173C">
        <w:rPr>
          <w:rFonts w:cs="Calibri"/>
        </w:rPr>
        <w:t xml:space="preserve">providers and </w:t>
      </w:r>
      <w:r w:rsidR="00116013" w:rsidRPr="003A173C">
        <w:rPr>
          <w:rFonts w:cs="Calibri"/>
        </w:rPr>
        <w:t xml:space="preserve">their sub-contracted </w:t>
      </w:r>
      <w:r w:rsidRPr="003A173C">
        <w:rPr>
          <w:rFonts w:cs="Calibri"/>
        </w:rPr>
        <w:t>service providers become familiar with the Act</w:t>
      </w:r>
      <w:r w:rsidRPr="003A173C">
        <w:rPr>
          <w:rFonts w:cs="Calibri"/>
          <w:i/>
        </w:rPr>
        <w:t xml:space="preserve"> </w:t>
      </w:r>
      <w:r w:rsidRPr="003A173C">
        <w:rPr>
          <w:rFonts w:cs="Calibri"/>
        </w:rPr>
        <w:t xml:space="preserve">and the </w:t>
      </w:r>
      <w:r w:rsidR="00A548B1" w:rsidRPr="003A173C">
        <w:rPr>
          <w:rFonts w:cs="Calibri"/>
        </w:rPr>
        <w:t>Rules</w:t>
      </w:r>
      <w:r w:rsidRPr="003A173C" w:rsidDel="00573B17">
        <w:rPr>
          <w:rFonts w:cs="Calibri"/>
        </w:rPr>
        <w:t xml:space="preserve"> </w:t>
      </w:r>
      <w:r w:rsidRPr="003A173C">
        <w:rPr>
          <w:rFonts w:cs="Calibri"/>
        </w:rPr>
        <w:t>to be fully aware of their responsibilities in all aspects o</w:t>
      </w:r>
      <w:r w:rsidR="00782114" w:rsidRPr="003A173C">
        <w:rPr>
          <w:rFonts w:cs="Calibri"/>
        </w:rPr>
        <w:t xml:space="preserve">f </w:t>
      </w:r>
      <w:r w:rsidRPr="003A173C">
        <w:rPr>
          <w:rFonts w:cs="Calibri"/>
        </w:rPr>
        <w:t>transition care.</w:t>
      </w:r>
    </w:p>
    <w:p w14:paraId="72FD619C" w14:textId="0741D3C7" w:rsidR="00A154FF" w:rsidRPr="003A173C" w:rsidRDefault="00A154FF" w:rsidP="001E340F">
      <w:pPr>
        <w:rPr>
          <w:rFonts w:cs="Calibri"/>
        </w:rPr>
      </w:pPr>
      <w:r>
        <w:rPr>
          <w:rFonts w:cs="Calibri"/>
        </w:rPr>
        <w:t xml:space="preserve">The Department has </w:t>
      </w:r>
      <w:r w:rsidR="00080538">
        <w:rPr>
          <w:rFonts w:cs="Calibri"/>
        </w:rPr>
        <w:t>developed</w:t>
      </w:r>
      <w:r>
        <w:rPr>
          <w:rFonts w:cs="Calibri"/>
        </w:rPr>
        <w:t xml:space="preserve"> an online search tool</w:t>
      </w:r>
      <w:r w:rsidR="00080538">
        <w:rPr>
          <w:rFonts w:cs="Calibri"/>
        </w:rPr>
        <w:t xml:space="preserve">, Aged Care Provider Requirement Search, </w:t>
      </w:r>
      <w:r>
        <w:rPr>
          <w:rFonts w:cs="Calibri"/>
        </w:rPr>
        <w:t xml:space="preserve">to </w:t>
      </w:r>
      <w:r w:rsidR="00080538">
        <w:rPr>
          <w:rFonts w:cs="Calibri"/>
        </w:rPr>
        <w:t>assist</w:t>
      </w:r>
      <w:r>
        <w:rPr>
          <w:rFonts w:cs="Calibri"/>
        </w:rPr>
        <w:t xml:space="preserve"> </w:t>
      </w:r>
      <w:r w:rsidR="00080538">
        <w:rPr>
          <w:rFonts w:cs="Calibri"/>
        </w:rPr>
        <w:t>registered</w:t>
      </w:r>
      <w:r>
        <w:rPr>
          <w:rFonts w:cs="Calibri"/>
        </w:rPr>
        <w:t xml:space="preserve"> </w:t>
      </w:r>
      <w:r w:rsidR="00080538">
        <w:rPr>
          <w:rFonts w:cs="Calibri"/>
        </w:rPr>
        <w:t>providers</w:t>
      </w:r>
      <w:r>
        <w:rPr>
          <w:rFonts w:cs="Calibri"/>
        </w:rPr>
        <w:t xml:space="preserve"> </w:t>
      </w:r>
      <w:r w:rsidR="00C93EDE">
        <w:rPr>
          <w:rFonts w:cs="Calibri"/>
        </w:rPr>
        <w:t>navigate an</w:t>
      </w:r>
      <w:r w:rsidR="00330D2F">
        <w:rPr>
          <w:rFonts w:cs="Calibri"/>
        </w:rPr>
        <w:t>d</w:t>
      </w:r>
      <w:r w:rsidR="00C93EDE">
        <w:rPr>
          <w:rFonts w:cs="Calibri"/>
        </w:rPr>
        <w:t xml:space="preserve"> understand their </w:t>
      </w:r>
      <w:r w:rsidR="00080538">
        <w:rPr>
          <w:rFonts w:cs="Calibri"/>
        </w:rPr>
        <w:t>obligations</w:t>
      </w:r>
      <w:r w:rsidR="00C93EDE">
        <w:rPr>
          <w:rFonts w:cs="Calibri"/>
        </w:rPr>
        <w:t xml:space="preserve"> under the Act and Rules. This can be access at </w:t>
      </w:r>
      <w:hyperlink r:id="rId55" w:history="1">
        <w:r w:rsidR="00080538" w:rsidRPr="00080538">
          <w:rPr>
            <w:rStyle w:val="Hyperlink"/>
            <w:rFonts w:ascii="Calibri" w:hAnsi="Calibri" w:cs="Calibri"/>
            <w:sz w:val="20"/>
          </w:rPr>
          <w:t>Aged Care Provider Requirements Search</w:t>
        </w:r>
      </w:hyperlink>
      <w:r w:rsidR="00080538">
        <w:rPr>
          <w:rFonts w:cs="Calibri"/>
        </w:rPr>
        <w:t xml:space="preserve">. </w:t>
      </w:r>
    </w:p>
    <w:p w14:paraId="6F9D167C" w14:textId="723B9B67" w:rsidR="00605BA0" w:rsidRPr="00721280" w:rsidRDefault="00605BA0" w:rsidP="008974DB">
      <w:pPr>
        <w:pStyle w:val="Style3"/>
      </w:pPr>
      <w:bookmarkStart w:id="1794" w:name="_Toc110834671"/>
      <w:bookmarkStart w:id="1795" w:name="_Toc245536193"/>
      <w:bookmarkStart w:id="1796" w:name="_Toc395537207"/>
      <w:bookmarkStart w:id="1797" w:name="_Toc422732565"/>
      <w:bookmarkStart w:id="1798" w:name="_Toc422752904"/>
      <w:bookmarkStart w:id="1799" w:name="_Toc216865511"/>
      <w:r w:rsidRPr="00721280">
        <w:t>Failure to comply</w:t>
      </w:r>
      <w:bookmarkEnd w:id="1794"/>
      <w:bookmarkEnd w:id="1795"/>
      <w:bookmarkEnd w:id="1796"/>
      <w:bookmarkEnd w:id="1797"/>
      <w:bookmarkEnd w:id="1798"/>
      <w:bookmarkEnd w:id="1799"/>
    </w:p>
    <w:p w14:paraId="787478F2" w14:textId="222888AA" w:rsidR="00605BA0" w:rsidRPr="003A173C" w:rsidRDefault="006730A2" w:rsidP="001E340F">
      <w:pPr>
        <w:rPr>
          <w:rFonts w:cs="Calibri"/>
        </w:rPr>
      </w:pPr>
      <w:r w:rsidRPr="003A173C">
        <w:rPr>
          <w:rFonts w:cs="Calibri"/>
        </w:rPr>
        <w:t xml:space="preserve">Chapter </w:t>
      </w:r>
      <w:r w:rsidR="0019254F" w:rsidRPr="003A173C">
        <w:rPr>
          <w:rFonts w:cs="Calibri"/>
        </w:rPr>
        <w:t>6 of the</w:t>
      </w:r>
      <w:r w:rsidR="00A70732" w:rsidRPr="003A173C">
        <w:rPr>
          <w:rFonts w:cs="Calibri"/>
        </w:rPr>
        <w:t xml:space="preserve"> Act </w:t>
      </w:r>
      <w:r w:rsidR="00605BA0" w:rsidRPr="003A173C">
        <w:rPr>
          <w:rFonts w:cs="Calibri"/>
        </w:rPr>
        <w:t xml:space="preserve">outline the </w:t>
      </w:r>
      <w:r w:rsidR="0019254F" w:rsidRPr="003A173C">
        <w:rPr>
          <w:rFonts w:cs="Calibri"/>
        </w:rPr>
        <w:t>regulatory functions and powers available to the Commission, Complain</w:t>
      </w:r>
      <w:r w:rsidR="003D4803" w:rsidRPr="003A173C">
        <w:rPr>
          <w:rFonts w:cs="Calibri"/>
        </w:rPr>
        <w:t>t</w:t>
      </w:r>
      <w:r w:rsidR="0019254F" w:rsidRPr="003A173C">
        <w:rPr>
          <w:rFonts w:cs="Calibri"/>
        </w:rPr>
        <w:t>s Commission and the System Governor</w:t>
      </w:r>
      <w:r w:rsidR="00B63C13" w:rsidRPr="003A173C">
        <w:rPr>
          <w:rFonts w:cs="Calibri"/>
        </w:rPr>
        <w:t xml:space="preserve">, including the regulatory responses available for </w:t>
      </w:r>
      <w:r w:rsidR="00605BA0" w:rsidRPr="003A173C">
        <w:rPr>
          <w:rFonts w:cs="Calibri"/>
        </w:rPr>
        <w:t>non</w:t>
      </w:r>
      <w:r w:rsidR="00135C13" w:rsidRPr="003A173C">
        <w:rPr>
          <w:rFonts w:cs="Calibri"/>
        </w:rPr>
        <w:noBreakHyphen/>
      </w:r>
      <w:r w:rsidR="00605BA0" w:rsidRPr="003A173C">
        <w:rPr>
          <w:rFonts w:cs="Calibri"/>
        </w:rPr>
        <w:t>compliance</w:t>
      </w:r>
      <w:r w:rsidR="006A0736" w:rsidRPr="003A173C">
        <w:rPr>
          <w:rFonts w:cs="Calibri"/>
        </w:rPr>
        <w:t xml:space="preserve"> by</w:t>
      </w:r>
      <w:r w:rsidR="00605BA0" w:rsidRPr="003A173C">
        <w:rPr>
          <w:rFonts w:cs="Calibri"/>
        </w:rPr>
        <w:t xml:space="preserve"> </w:t>
      </w:r>
      <w:r w:rsidR="00244BE6" w:rsidRPr="003A173C">
        <w:rPr>
          <w:rFonts w:cs="Calibri"/>
        </w:rPr>
        <w:t>registered</w:t>
      </w:r>
      <w:r w:rsidR="00605BA0" w:rsidRPr="003A173C">
        <w:rPr>
          <w:rFonts w:cs="Calibri"/>
        </w:rPr>
        <w:t xml:space="preserve"> providers.</w:t>
      </w:r>
    </w:p>
    <w:p w14:paraId="74B50C90" w14:textId="2ED061B1" w:rsidR="00B0741C" w:rsidRPr="003A173C" w:rsidRDefault="004108D6" w:rsidP="001E340F">
      <w:pPr>
        <w:rPr>
          <w:rFonts w:cs="Calibri"/>
        </w:rPr>
      </w:pPr>
      <w:r w:rsidRPr="003A173C">
        <w:rPr>
          <w:rFonts w:cs="Calibri"/>
        </w:rPr>
        <w:t xml:space="preserve">Failure to meet responsibilities under the Act can lead to the imposition of </w:t>
      </w:r>
      <w:r w:rsidR="005A2676" w:rsidRPr="003A173C">
        <w:rPr>
          <w:rFonts w:cs="Calibri"/>
        </w:rPr>
        <w:t>civil penalties</w:t>
      </w:r>
      <w:r w:rsidR="00AE666F" w:rsidRPr="003A173C">
        <w:rPr>
          <w:rFonts w:cs="Calibri"/>
        </w:rPr>
        <w:t xml:space="preserve"> and a range of other compliance actions such as injunctions, enforceable undertakings,</w:t>
      </w:r>
      <w:r w:rsidR="003D4803" w:rsidRPr="003A173C">
        <w:rPr>
          <w:rFonts w:cs="Calibri"/>
        </w:rPr>
        <w:t xml:space="preserve"> and</w:t>
      </w:r>
      <w:r w:rsidR="00AE666F" w:rsidRPr="003A173C">
        <w:rPr>
          <w:rFonts w:cs="Calibri"/>
        </w:rPr>
        <w:t xml:space="preserve"> compliance notices </w:t>
      </w:r>
      <w:r w:rsidRPr="003A173C">
        <w:rPr>
          <w:rFonts w:cs="Calibri"/>
        </w:rPr>
        <w:t xml:space="preserve">on a </w:t>
      </w:r>
      <w:r w:rsidR="00AE666F" w:rsidRPr="003A173C">
        <w:rPr>
          <w:rFonts w:cs="Calibri"/>
        </w:rPr>
        <w:t>registered</w:t>
      </w:r>
      <w:r w:rsidRPr="003A173C">
        <w:rPr>
          <w:rFonts w:cs="Calibri"/>
        </w:rPr>
        <w:t xml:space="preserve"> provider under </w:t>
      </w:r>
      <w:r w:rsidR="00AE666F" w:rsidRPr="003A173C">
        <w:rPr>
          <w:rFonts w:cs="Calibri"/>
        </w:rPr>
        <w:t>Chapter 7 of the</w:t>
      </w:r>
      <w:r w:rsidRPr="003A173C">
        <w:rPr>
          <w:rFonts w:cs="Calibri"/>
        </w:rPr>
        <w:t xml:space="preserve"> Act</w:t>
      </w:r>
      <w:r w:rsidR="00B0741C" w:rsidRPr="003A173C">
        <w:rPr>
          <w:rFonts w:cs="Calibri"/>
        </w:rPr>
        <w:t xml:space="preserve">. </w:t>
      </w:r>
      <w:r w:rsidR="00605BA0" w:rsidRPr="003A173C">
        <w:rPr>
          <w:rFonts w:cs="Calibri"/>
        </w:rPr>
        <w:t xml:space="preserve">Most instances of non-compliance can be resolved without the </w:t>
      </w:r>
      <w:r w:rsidR="00BA2807" w:rsidRPr="003A173C">
        <w:rPr>
          <w:rFonts w:cs="Calibri"/>
        </w:rPr>
        <w:t xml:space="preserve">registered </w:t>
      </w:r>
      <w:r w:rsidR="00605BA0" w:rsidRPr="003A173C">
        <w:rPr>
          <w:rFonts w:cs="Calibri"/>
        </w:rPr>
        <w:t xml:space="preserve">provider incurring </w:t>
      </w:r>
      <w:r w:rsidR="004E3195" w:rsidRPr="003A173C">
        <w:rPr>
          <w:rFonts w:cs="Calibri"/>
        </w:rPr>
        <w:t>pecuniary penalties</w:t>
      </w:r>
      <w:r w:rsidR="008F64A5" w:rsidRPr="003A173C">
        <w:rPr>
          <w:rFonts w:cs="Calibri"/>
        </w:rPr>
        <w:t>.</w:t>
      </w:r>
    </w:p>
    <w:p w14:paraId="64473A93" w14:textId="65E7F3D7" w:rsidR="00605BA0" w:rsidRPr="003A173C" w:rsidRDefault="0064270C" w:rsidP="001E340F">
      <w:pPr>
        <w:rPr>
          <w:rFonts w:cs="Calibri"/>
        </w:rPr>
      </w:pPr>
      <w:r w:rsidRPr="003A173C">
        <w:rPr>
          <w:rFonts w:cs="Calibri"/>
        </w:rPr>
        <w:t>If,</w:t>
      </w:r>
      <w:r w:rsidR="00A22297" w:rsidRPr="003A173C">
        <w:rPr>
          <w:rFonts w:cs="Calibri"/>
        </w:rPr>
        <w:t xml:space="preserve"> however, </w:t>
      </w:r>
      <w:r w:rsidR="00605BA0" w:rsidRPr="003A173C">
        <w:rPr>
          <w:rFonts w:cs="Calibri"/>
        </w:rPr>
        <w:t xml:space="preserve">the </w:t>
      </w:r>
      <w:r w:rsidR="004E3195" w:rsidRPr="003A173C">
        <w:rPr>
          <w:rFonts w:cs="Calibri"/>
        </w:rPr>
        <w:t xml:space="preserve">registered </w:t>
      </w:r>
      <w:r w:rsidR="00605BA0" w:rsidRPr="003A173C">
        <w:rPr>
          <w:rFonts w:cs="Calibri"/>
        </w:rPr>
        <w:t>provider does not remedy the non</w:t>
      </w:r>
      <w:r w:rsidR="00605BA0" w:rsidRPr="003A173C">
        <w:rPr>
          <w:rFonts w:cs="Calibri"/>
        </w:rPr>
        <w:noBreakHyphen/>
        <w:t>compliance</w:t>
      </w:r>
      <w:r w:rsidR="00DB65A8" w:rsidRPr="003A173C">
        <w:rPr>
          <w:rFonts w:cs="Calibri"/>
        </w:rPr>
        <w:t>,</w:t>
      </w:r>
      <w:r w:rsidR="00605BA0" w:rsidRPr="003A173C">
        <w:rPr>
          <w:rFonts w:cs="Calibri"/>
        </w:rPr>
        <w:t xml:space="preserve"> one or more </w:t>
      </w:r>
      <w:r w:rsidR="008F64A5" w:rsidRPr="003A173C">
        <w:rPr>
          <w:rFonts w:cs="Calibri"/>
        </w:rPr>
        <w:t xml:space="preserve">enforcement actions </w:t>
      </w:r>
      <w:r w:rsidR="00605BA0" w:rsidRPr="003A173C">
        <w:rPr>
          <w:rFonts w:cs="Calibri"/>
        </w:rPr>
        <w:t>may be imposed</w:t>
      </w:r>
      <w:r w:rsidR="005D4A6D" w:rsidRPr="003A173C">
        <w:rPr>
          <w:rFonts w:cs="Calibri"/>
        </w:rPr>
        <w:t xml:space="preserve">. </w:t>
      </w:r>
      <w:r w:rsidR="00605BA0" w:rsidRPr="003A173C">
        <w:rPr>
          <w:rFonts w:cs="Calibri"/>
        </w:rPr>
        <w:t xml:space="preserve">A decision to impose </w:t>
      </w:r>
      <w:r w:rsidR="00DD0DB0" w:rsidRPr="003A173C">
        <w:rPr>
          <w:rFonts w:cs="Calibri"/>
        </w:rPr>
        <w:t>various enforcement actions</w:t>
      </w:r>
      <w:r w:rsidR="00605BA0" w:rsidRPr="003A173C">
        <w:rPr>
          <w:rFonts w:cs="Calibri"/>
        </w:rPr>
        <w:t xml:space="preserve"> under</w:t>
      </w:r>
      <w:r w:rsidR="005D4A6D" w:rsidRPr="003A173C">
        <w:rPr>
          <w:rFonts w:cs="Calibri"/>
          <w:bCs/>
          <w:iCs/>
        </w:rPr>
        <w:t xml:space="preserve"> </w:t>
      </w:r>
      <w:r w:rsidR="00DD0DB0" w:rsidRPr="003A173C">
        <w:rPr>
          <w:rFonts w:cs="Calibri"/>
          <w:bCs/>
          <w:iCs/>
        </w:rPr>
        <w:t>Chapter 6 of the Act</w:t>
      </w:r>
      <w:r w:rsidR="00914E11" w:rsidRPr="003A173C">
        <w:rPr>
          <w:rFonts w:cs="Calibri"/>
          <w:bCs/>
          <w:iCs/>
        </w:rPr>
        <w:t xml:space="preserve"> are ‘reviewable decisions’ </w:t>
      </w:r>
      <w:r w:rsidR="00605BA0" w:rsidRPr="003A173C">
        <w:rPr>
          <w:rFonts w:cs="Calibri"/>
        </w:rPr>
        <w:t>and</w:t>
      </w:r>
      <w:r w:rsidR="00C720EF" w:rsidRPr="003A173C">
        <w:rPr>
          <w:rFonts w:cs="Calibri"/>
        </w:rPr>
        <w:t xml:space="preserve"> m</w:t>
      </w:r>
      <w:r w:rsidR="00AF09BC" w:rsidRPr="003A173C">
        <w:rPr>
          <w:rFonts w:cs="Calibri"/>
        </w:rPr>
        <w:t>ust</w:t>
      </w:r>
      <w:r w:rsidR="000F6BEF" w:rsidRPr="003A173C">
        <w:rPr>
          <w:rFonts w:cs="Calibri"/>
        </w:rPr>
        <w:t xml:space="preserve"> be subject</w:t>
      </w:r>
      <w:r w:rsidR="00AF09BC" w:rsidRPr="003A173C">
        <w:rPr>
          <w:rFonts w:cs="Calibri"/>
        </w:rPr>
        <w:t>ed</w:t>
      </w:r>
      <w:r w:rsidR="000F6BEF" w:rsidRPr="003A173C">
        <w:rPr>
          <w:rFonts w:cs="Calibri"/>
        </w:rPr>
        <w:t xml:space="preserve"> to an internal review</w:t>
      </w:r>
      <w:r w:rsidR="003D4803" w:rsidRPr="003A173C">
        <w:rPr>
          <w:rFonts w:cs="Calibri"/>
        </w:rPr>
        <w:t>,</w:t>
      </w:r>
      <w:r w:rsidR="000F6BEF" w:rsidRPr="003A173C">
        <w:rPr>
          <w:rFonts w:cs="Calibri"/>
        </w:rPr>
        <w:t xml:space="preserve"> </w:t>
      </w:r>
      <w:r w:rsidR="00AF09BC" w:rsidRPr="003A173C">
        <w:rPr>
          <w:rFonts w:cs="Calibri"/>
        </w:rPr>
        <w:t xml:space="preserve">as </w:t>
      </w:r>
      <w:r w:rsidR="005A032E" w:rsidRPr="003A173C">
        <w:rPr>
          <w:rFonts w:cs="Calibri"/>
        </w:rPr>
        <w:t>required</w:t>
      </w:r>
      <w:r w:rsidR="003D4803" w:rsidRPr="003A173C">
        <w:rPr>
          <w:rFonts w:cs="Calibri"/>
        </w:rPr>
        <w:t>,</w:t>
      </w:r>
      <w:r w:rsidR="005A032E" w:rsidRPr="003A173C">
        <w:rPr>
          <w:rFonts w:cs="Calibri"/>
        </w:rPr>
        <w:t xml:space="preserve"> </w:t>
      </w:r>
      <w:r w:rsidR="000F6BEF" w:rsidRPr="003A173C">
        <w:rPr>
          <w:rFonts w:cs="Calibri"/>
        </w:rPr>
        <w:t>before it is</w:t>
      </w:r>
      <w:r w:rsidR="00D925D9" w:rsidRPr="003A173C">
        <w:rPr>
          <w:rFonts w:cs="Calibri"/>
        </w:rPr>
        <w:t xml:space="preserve"> referred to the</w:t>
      </w:r>
      <w:r w:rsidR="00605BA0" w:rsidRPr="003A173C">
        <w:rPr>
          <w:rFonts w:cs="Calibri"/>
        </w:rPr>
        <w:t xml:space="preserve"> Administrative </w:t>
      </w:r>
      <w:r w:rsidR="00781F7A" w:rsidRPr="003A173C">
        <w:rPr>
          <w:rFonts w:cs="Calibri"/>
        </w:rPr>
        <w:t xml:space="preserve">Review </w:t>
      </w:r>
      <w:r w:rsidR="00605BA0" w:rsidRPr="003A173C">
        <w:rPr>
          <w:rFonts w:cs="Calibri"/>
        </w:rPr>
        <w:t>Tribunal</w:t>
      </w:r>
      <w:r w:rsidR="00D925D9" w:rsidRPr="003A173C">
        <w:rPr>
          <w:rFonts w:cs="Calibri"/>
        </w:rPr>
        <w:t xml:space="preserve"> for an external review.</w:t>
      </w:r>
    </w:p>
    <w:p w14:paraId="6D6E960F" w14:textId="25DE18B4" w:rsidR="00FF47BB" w:rsidRPr="003A173C" w:rsidRDefault="00EB434C" w:rsidP="001E340F">
      <w:pPr>
        <w:rPr>
          <w:rFonts w:cs="Calibri"/>
        </w:rPr>
      </w:pPr>
      <w:r w:rsidRPr="003A173C">
        <w:rPr>
          <w:rFonts w:cs="Calibri"/>
        </w:rPr>
        <w:t>Where registered providers sub-contract</w:t>
      </w:r>
      <w:r w:rsidR="005E2F6E">
        <w:rPr>
          <w:rFonts w:cs="Calibri"/>
        </w:rPr>
        <w:t>s</w:t>
      </w:r>
      <w:r w:rsidRPr="003A173C">
        <w:rPr>
          <w:rFonts w:cs="Calibri"/>
        </w:rPr>
        <w:t xml:space="preserve"> out TCP service provision to associated providers, </w:t>
      </w:r>
      <w:r w:rsidR="009A0E63" w:rsidRPr="003A173C">
        <w:rPr>
          <w:rFonts w:cs="Calibri"/>
        </w:rPr>
        <w:t>the registered providers will continue to be responsible for how their associated providers are delivering TCP services and whether</w:t>
      </w:r>
      <w:r w:rsidR="004016C2" w:rsidRPr="003A173C">
        <w:rPr>
          <w:rFonts w:cs="Calibri"/>
        </w:rPr>
        <w:t xml:space="preserve"> it is in compliance with the legislative requirements. </w:t>
      </w:r>
      <w:r w:rsidR="005339B9" w:rsidRPr="003A173C">
        <w:rPr>
          <w:rFonts w:cs="Calibri"/>
        </w:rPr>
        <w:t>If</w:t>
      </w:r>
      <w:r w:rsidR="00FF47BB" w:rsidRPr="003A173C">
        <w:rPr>
          <w:rFonts w:cs="Calibri"/>
        </w:rPr>
        <w:t xml:space="preserve"> there is a regulatory issue with the service delivery of a registered provider, the Commission will always work with the registered provider even when </w:t>
      </w:r>
      <w:r w:rsidR="007B72A8" w:rsidRPr="003A173C">
        <w:rPr>
          <w:rFonts w:cs="Calibri"/>
        </w:rPr>
        <w:t>the service</w:t>
      </w:r>
      <w:r w:rsidR="00FF47BB" w:rsidRPr="003A173C">
        <w:rPr>
          <w:rFonts w:cs="Calibri"/>
        </w:rPr>
        <w:t xml:space="preserve"> is being delivered by an associated provide</w:t>
      </w:r>
      <w:r w:rsidR="00BE0B7B" w:rsidRPr="003A173C">
        <w:rPr>
          <w:rFonts w:cs="Calibri"/>
        </w:rPr>
        <w:t>r</w:t>
      </w:r>
      <w:r w:rsidR="00FF47BB" w:rsidRPr="003A173C">
        <w:rPr>
          <w:rFonts w:cs="Calibri"/>
        </w:rPr>
        <w:t>.</w:t>
      </w:r>
      <w:r w:rsidR="007B72A8" w:rsidRPr="003A173C">
        <w:rPr>
          <w:rFonts w:cs="Calibri"/>
        </w:rPr>
        <w:t xml:space="preserve"> For example, w</w:t>
      </w:r>
      <w:r w:rsidR="00FF47BB" w:rsidRPr="003A173C">
        <w:rPr>
          <w:rFonts w:cs="Calibri"/>
        </w:rPr>
        <w:t>here a registered provider (Provider A) is sub</w:t>
      </w:r>
      <w:r w:rsidR="00432866">
        <w:rPr>
          <w:rFonts w:cs="Calibri"/>
        </w:rPr>
        <w:t>-</w:t>
      </w:r>
      <w:r w:rsidR="00FF47BB" w:rsidRPr="003A173C">
        <w:rPr>
          <w:rFonts w:cs="Calibri"/>
        </w:rPr>
        <w:t xml:space="preserve">contracting to an associated provider who </w:t>
      </w:r>
      <w:r w:rsidR="007A5C03" w:rsidRPr="003A173C">
        <w:rPr>
          <w:rFonts w:cs="Calibri"/>
        </w:rPr>
        <w:t>may also be a</w:t>
      </w:r>
      <w:r w:rsidR="00FF47BB" w:rsidRPr="003A173C">
        <w:rPr>
          <w:rFonts w:cs="Calibri"/>
        </w:rPr>
        <w:t xml:space="preserve"> registered provider (Provider B) and there is a regulatory issue with the service Provider B delivers as a registered provider, as we</w:t>
      </w:r>
      <w:r w:rsidR="00383FC0" w:rsidRPr="003A173C">
        <w:rPr>
          <w:rFonts w:cs="Calibri"/>
        </w:rPr>
        <w:t xml:space="preserve">ll </w:t>
      </w:r>
      <w:r w:rsidR="00FF47BB" w:rsidRPr="003A173C">
        <w:rPr>
          <w:rFonts w:cs="Calibri"/>
        </w:rPr>
        <w:t xml:space="preserve">as what they deliver for Provider A, the Commission will work with Provider B to remedy the concern at a provider level but also work with Provider A to remedy (e.g. through </w:t>
      </w:r>
      <w:r w:rsidR="00383FC0" w:rsidRPr="003A173C">
        <w:rPr>
          <w:rFonts w:cs="Calibri"/>
        </w:rPr>
        <w:t xml:space="preserve">the </w:t>
      </w:r>
      <w:r w:rsidR="00280620" w:rsidRPr="003A173C">
        <w:rPr>
          <w:rFonts w:cs="Calibri"/>
        </w:rPr>
        <w:t>contractual</w:t>
      </w:r>
      <w:r w:rsidR="00FF47BB" w:rsidRPr="003A173C">
        <w:rPr>
          <w:rFonts w:cs="Calibri"/>
        </w:rPr>
        <w:t xml:space="preserve"> </w:t>
      </w:r>
      <w:r w:rsidR="00280620" w:rsidRPr="003A173C">
        <w:rPr>
          <w:rFonts w:cs="Calibri"/>
        </w:rPr>
        <w:t>arrangements</w:t>
      </w:r>
      <w:r w:rsidR="00DC05FB">
        <w:rPr>
          <w:rFonts w:cs="Calibri"/>
        </w:rPr>
        <w:t xml:space="preserve"> with Provider B</w:t>
      </w:r>
      <w:r w:rsidR="00FF47BB" w:rsidRPr="003A173C">
        <w:rPr>
          <w:rFonts w:cs="Calibri"/>
        </w:rPr>
        <w:t>) any concerns related to the service delivery they are sub</w:t>
      </w:r>
      <w:r w:rsidR="00DC05FB">
        <w:rPr>
          <w:rFonts w:cs="Calibri"/>
        </w:rPr>
        <w:t>-</w:t>
      </w:r>
      <w:r w:rsidR="00FF47BB" w:rsidRPr="003A173C">
        <w:rPr>
          <w:rFonts w:cs="Calibri"/>
        </w:rPr>
        <w:t>contracting</w:t>
      </w:r>
      <w:r w:rsidR="00383FC0" w:rsidRPr="003A173C">
        <w:rPr>
          <w:rFonts w:cs="Calibri"/>
        </w:rPr>
        <w:t xml:space="preserve"> through Provider B. </w:t>
      </w:r>
    </w:p>
    <w:p w14:paraId="1B9F048D" w14:textId="0EC3D3BC" w:rsidR="00605BA0" w:rsidRPr="00721280" w:rsidRDefault="00605BA0" w:rsidP="008974DB">
      <w:pPr>
        <w:pStyle w:val="Style3"/>
      </w:pPr>
      <w:bookmarkStart w:id="1800" w:name="_Toc110834672"/>
      <w:bookmarkStart w:id="1801" w:name="_Toc245536194"/>
      <w:bookmarkStart w:id="1802" w:name="_Toc395537208"/>
      <w:bookmarkStart w:id="1803" w:name="_Toc422732566"/>
      <w:bookmarkStart w:id="1804" w:name="_Toc422752905"/>
      <w:bookmarkStart w:id="1805" w:name="_Toc216865512"/>
      <w:r w:rsidRPr="00721280">
        <w:t xml:space="preserve">Serious and immediate health and safety risk </w:t>
      </w:r>
      <w:r w:rsidR="00FD6640" w:rsidRPr="00721280">
        <w:t xml:space="preserve">management and </w:t>
      </w:r>
      <w:r w:rsidRPr="00721280">
        <w:t>reporting</w:t>
      </w:r>
      <w:bookmarkEnd w:id="1800"/>
      <w:bookmarkEnd w:id="1801"/>
      <w:bookmarkEnd w:id="1802"/>
      <w:bookmarkEnd w:id="1803"/>
      <w:bookmarkEnd w:id="1804"/>
      <w:bookmarkEnd w:id="1805"/>
    </w:p>
    <w:p w14:paraId="089AF0C2" w14:textId="23057882" w:rsidR="00AA1736" w:rsidRPr="003A173C" w:rsidRDefault="00AA1736" w:rsidP="00AA1736">
      <w:pPr>
        <w:rPr>
          <w:rFonts w:cs="Calibri"/>
          <w:szCs w:val="20"/>
        </w:rPr>
      </w:pPr>
      <w:r w:rsidRPr="003A173C">
        <w:rPr>
          <w:rFonts w:cs="Calibri"/>
        </w:rPr>
        <w:t>The Serious Incident Response Scheme (</w:t>
      </w:r>
      <w:r w:rsidRPr="003A173C">
        <w:rPr>
          <w:rFonts w:cs="Calibri"/>
          <w:b/>
          <w:bCs/>
        </w:rPr>
        <w:t>SIRS</w:t>
      </w:r>
      <w:r w:rsidRPr="003A173C">
        <w:rPr>
          <w:rFonts w:cs="Calibri"/>
        </w:rPr>
        <w:t xml:space="preserve">) commenced on 1 </w:t>
      </w:r>
      <w:r w:rsidRPr="003A173C">
        <w:rPr>
          <w:rFonts w:cs="Calibri"/>
          <w:szCs w:val="20"/>
        </w:rPr>
        <w:t xml:space="preserve">April 2021 for residential care and </w:t>
      </w:r>
      <w:r w:rsidR="00EF7C73" w:rsidRPr="003A173C">
        <w:rPr>
          <w:rFonts w:cs="Calibri"/>
          <w:szCs w:val="20"/>
        </w:rPr>
        <w:t>transition</w:t>
      </w:r>
      <w:r w:rsidRPr="003A173C">
        <w:rPr>
          <w:rFonts w:cs="Calibri"/>
          <w:szCs w:val="20"/>
        </w:rPr>
        <w:t xml:space="preserve"> care delivered in a residential setting. From 1 December 2022, the SIRS also applied to home care and </w:t>
      </w:r>
      <w:r w:rsidR="005A226B" w:rsidRPr="003A173C">
        <w:rPr>
          <w:rFonts w:cs="Calibri"/>
          <w:szCs w:val="20"/>
        </w:rPr>
        <w:t>transition</w:t>
      </w:r>
      <w:r w:rsidRPr="003A173C">
        <w:rPr>
          <w:rFonts w:cs="Calibri"/>
          <w:szCs w:val="20"/>
        </w:rPr>
        <w:t xml:space="preserve"> care delivered in home and community settings. SIRS aims to reduce abuse and neglect in aged care by increasing the transparency of serious incidents and providing a means by which the Commission can respond to such incidents.</w:t>
      </w:r>
    </w:p>
    <w:p w14:paraId="5F531BC1" w14:textId="7D743E72" w:rsidR="00AA1736" w:rsidRPr="003A173C" w:rsidRDefault="00AA1736" w:rsidP="00AA1736">
      <w:pPr>
        <w:rPr>
          <w:rFonts w:cs="Calibri"/>
          <w:szCs w:val="20"/>
        </w:rPr>
      </w:pPr>
      <w:r w:rsidRPr="003A173C">
        <w:rPr>
          <w:rFonts w:cs="Calibri"/>
          <w:szCs w:val="20"/>
        </w:rPr>
        <w:t xml:space="preserve">TCP registered providers must comply with the incident management and reporting requirements under the Act (sections 164 and 165) and the </w:t>
      </w:r>
      <w:r w:rsidR="00D40359" w:rsidRPr="003A173C">
        <w:rPr>
          <w:rFonts w:cs="Calibri"/>
          <w:szCs w:val="20"/>
        </w:rPr>
        <w:t>Rules</w:t>
      </w:r>
      <w:r w:rsidRPr="003A173C">
        <w:rPr>
          <w:rFonts w:cs="Calibri"/>
          <w:szCs w:val="20"/>
        </w:rPr>
        <w:t xml:space="preserve"> (Chapter 4, Part 10, Division 1 and Chapter 5, Part 2, Division</w:t>
      </w:r>
      <w:r w:rsidR="005A226B" w:rsidRPr="003A173C">
        <w:rPr>
          <w:rFonts w:cs="Calibri"/>
          <w:szCs w:val="20"/>
        </w:rPr>
        <w:t xml:space="preserve"> 2)</w:t>
      </w:r>
      <w:r w:rsidRPr="003A173C">
        <w:rPr>
          <w:rFonts w:cs="Calibri"/>
          <w:szCs w:val="20"/>
        </w:rPr>
        <w:t xml:space="preserve">. The information below provides a </w:t>
      </w:r>
      <w:r w:rsidR="00EC5F07" w:rsidRPr="003A173C">
        <w:rPr>
          <w:rFonts w:cs="Calibri"/>
          <w:szCs w:val="20"/>
        </w:rPr>
        <w:t>high-level</w:t>
      </w:r>
      <w:r w:rsidRPr="003A173C">
        <w:rPr>
          <w:rFonts w:cs="Calibri"/>
          <w:szCs w:val="20"/>
        </w:rPr>
        <w:t xml:space="preserve"> summary of the SIRS requirements. Registered providers should refer to the legislation for information on detailed requirements and check the Commission’s website at </w:t>
      </w:r>
      <w:hyperlink r:id="rId56" w:anchor="what%20is%20the%20serious%20incident%20response%20scheme%20sirs" w:history="1">
        <w:r w:rsidRPr="003A173C">
          <w:rPr>
            <w:rStyle w:val="Hyperlink"/>
            <w:rFonts w:ascii="Calibri" w:hAnsi="Calibri" w:cs="Calibri"/>
            <w:sz w:val="20"/>
            <w:szCs w:val="20"/>
          </w:rPr>
          <w:t>aged care quality.gov.au/sirs</w:t>
        </w:r>
      </w:hyperlink>
      <w:r w:rsidRPr="003A173C">
        <w:rPr>
          <w:rFonts w:cs="Calibri"/>
          <w:szCs w:val="20"/>
        </w:rPr>
        <w:t xml:space="preserve"> for further SIRS information, including provider resources. Alternatively, the Commission can be contacted by emailing </w:t>
      </w:r>
      <w:hyperlink r:id="rId57" w:history="1">
        <w:r w:rsidRPr="003A173C">
          <w:rPr>
            <w:rStyle w:val="Hyperlink"/>
            <w:rFonts w:ascii="Calibri" w:hAnsi="Calibri" w:cs="Calibri"/>
            <w:sz w:val="20"/>
            <w:szCs w:val="20"/>
          </w:rPr>
          <w:t>sirs@agedcarequality.gov.au</w:t>
        </w:r>
      </w:hyperlink>
      <w:r w:rsidRPr="003A173C">
        <w:rPr>
          <w:rFonts w:cs="Calibri"/>
          <w:szCs w:val="20"/>
        </w:rPr>
        <w:t xml:space="preserve"> or calling on 1800 081 549.</w:t>
      </w:r>
      <w:r w:rsidR="00AA79AC" w:rsidRPr="003A173C">
        <w:rPr>
          <w:rFonts w:cs="Calibri"/>
          <w:szCs w:val="20"/>
        </w:rPr>
        <w:t xml:space="preserve"> </w:t>
      </w:r>
    </w:p>
    <w:p w14:paraId="125CA01F" w14:textId="77777777" w:rsidR="00AA1736" w:rsidRPr="003A173C" w:rsidRDefault="00AA1736" w:rsidP="00412682">
      <w:pPr>
        <w:pStyle w:val="heading4withoutnumbers"/>
        <w:rPr>
          <w:rFonts w:cs="Calibri"/>
          <w:b/>
          <w:bCs/>
        </w:rPr>
      </w:pPr>
      <w:r w:rsidRPr="003A173C">
        <w:rPr>
          <w:rFonts w:cs="Calibri"/>
          <w:b/>
          <w:bCs/>
        </w:rPr>
        <w:t>Incident management system</w:t>
      </w:r>
    </w:p>
    <w:p w14:paraId="26E17294" w14:textId="4A66516E" w:rsidR="00AA1736" w:rsidRPr="003A173C" w:rsidRDefault="00AA1736" w:rsidP="00AA1736">
      <w:pPr>
        <w:rPr>
          <w:rFonts w:cs="Calibri"/>
        </w:rPr>
      </w:pPr>
      <w:r w:rsidRPr="003A173C">
        <w:rPr>
          <w:rFonts w:cs="Calibri"/>
          <w:szCs w:val="20"/>
        </w:rPr>
        <w:t>The SIRS requires every registered provider to have in place an effective incident management system – a set of protocols, processes, and standard operating procedures that staff are trained in and expected to use when reporting and responding to incidents. Responsibility to establish an incident management</w:t>
      </w:r>
      <w:r w:rsidRPr="003A173C">
        <w:rPr>
          <w:rFonts w:cs="Calibri"/>
        </w:rPr>
        <w:t xml:space="preserve"> system and notify the Commission of any reportable incident, sits with the registered provider</w:t>
      </w:r>
      <w:r w:rsidR="003A1CA9" w:rsidRPr="003A173C">
        <w:rPr>
          <w:rFonts w:cs="Calibri"/>
        </w:rPr>
        <w:t xml:space="preserve"> through their </w:t>
      </w:r>
      <w:r w:rsidR="00CA5D7E" w:rsidRPr="003A173C">
        <w:rPr>
          <w:rFonts w:cs="Calibri"/>
        </w:rPr>
        <w:t>accounts in the My Aged Care portal</w:t>
      </w:r>
      <w:r w:rsidRPr="003A173C">
        <w:rPr>
          <w:rFonts w:cs="Calibri"/>
        </w:rPr>
        <w:t xml:space="preserve">. The </w:t>
      </w:r>
      <w:r w:rsidRPr="003A173C">
        <w:rPr>
          <w:rFonts w:cs="Calibri"/>
        </w:rPr>
        <w:lastRenderedPageBreak/>
        <w:t>registered provider is also responsible for determining how information about an incident moves from any sub-contracted TCP service</w:t>
      </w:r>
      <w:r w:rsidR="00CA5D7E" w:rsidRPr="003A173C">
        <w:rPr>
          <w:rFonts w:cs="Calibri"/>
        </w:rPr>
        <w:t xml:space="preserve"> or associated providers</w:t>
      </w:r>
      <w:r w:rsidRPr="003A173C">
        <w:rPr>
          <w:rFonts w:cs="Calibri"/>
        </w:rPr>
        <w:t xml:space="preserve"> to the registered provider and/or the Commission.</w:t>
      </w:r>
      <w:r w:rsidR="00CA5D7E" w:rsidRPr="003A173C">
        <w:rPr>
          <w:rFonts w:cs="Calibri"/>
        </w:rPr>
        <w:t xml:space="preserve"> As registered providers are responsible for reporting incidents through their My Aged Care accounts, they should liaise</w:t>
      </w:r>
      <w:r w:rsidR="00A4680D" w:rsidRPr="003A173C">
        <w:rPr>
          <w:rFonts w:cs="Calibri"/>
        </w:rPr>
        <w:t xml:space="preserve"> and agree</w:t>
      </w:r>
      <w:r w:rsidR="00CA5D7E" w:rsidRPr="003A173C">
        <w:rPr>
          <w:rFonts w:cs="Calibri"/>
        </w:rPr>
        <w:t xml:space="preserve"> with</w:t>
      </w:r>
      <w:r w:rsidR="00986504" w:rsidRPr="003A173C">
        <w:rPr>
          <w:rFonts w:cs="Calibri"/>
        </w:rPr>
        <w:t xml:space="preserve"> any a</w:t>
      </w:r>
      <w:r w:rsidR="00A10D00" w:rsidRPr="003A173C">
        <w:rPr>
          <w:rFonts w:cs="Calibri"/>
        </w:rPr>
        <w:t>ssociated</w:t>
      </w:r>
      <w:r w:rsidR="00986504" w:rsidRPr="003A173C">
        <w:rPr>
          <w:rFonts w:cs="Calibri"/>
        </w:rPr>
        <w:t xml:space="preserve"> </w:t>
      </w:r>
      <w:r w:rsidR="004D32C5" w:rsidRPr="003A173C">
        <w:rPr>
          <w:rFonts w:cs="Calibri"/>
        </w:rPr>
        <w:t>providers</w:t>
      </w:r>
      <w:r w:rsidR="00986504" w:rsidRPr="003A173C">
        <w:rPr>
          <w:rFonts w:cs="Calibri"/>
        </w:rPr>
        <w:t xml:space="preserve"> about how they will obtain information about incidents </w:t>
      </w:r>
      <w:r w:rsidR="00A10D00" w:rsidRPr="003A173C">
        <w:rPr>
          <w:rFonts w:cs="Calibri"/>
        </w:rPr>
        <w:t>occurring</w:t>
      </w:r>
      <w:r w:rsidR="00986504" w:rsidRPr="003A173C">
        <w:rPr>
          <w:rFonts w:cs="Calibri"/>
        </w:rPr>
        <w:t xml:space="preserve"> when associated providers are delivering a TCP service and also </w:t>
      </w:r>
      <w:r w:rsidR="00A10D00" w:rsidRPr="003A173C">
        <w:rPr>
          <w:rFonts w:cs="Calibri"/>
        </w:rPr>
        <w:t xml:space="preserve">to what extent, associated providers, will bear responsibility for </w:t>
      </w:r>
      <w:r w:rsidR="00C46333" w:rsidRPr="003A173C">
        <w:rPr>
          <w:rFonts w:cs="Calibri"/>
        </w:rPr>
        <w:t>reporting</w:t>
      </w:r>
      <w:r w:rsidR="00A10D00" w:rsidRPr="003A173C">
        <w:rPr>
          <w:rFonts w:cs="Calibri"/>
        </w:rPr>
        <w:t xml:space="preserve"> </w:t>
      </w:r>
      <w:r w:rsidR="00A4680D" w:rsidRPr="003A173C">
        <w:rPr>
          <w:rFonts w:cs="Calibri"/>
        </w:rPr>
        <w:t>via the</w:t>
      </w:r>
      <w:r w:rsidR="00A10D00" w:rsidRPr="003A173C">
        <w:rPr>
          <w:rFonts w:cs="Calibri"/>
        </w:rPr>
        <w:t xml:space="preserve"> My Aged Care</w:t>
      </w:r>
      <w:r w:rsidR="00A4680D" w:rsidRPr="003A173C">
        <w:rPr>
          <w:rFonts w:cs="Calibri"/>
        </w:rPr>
        <w:t xml:space="preserve"> portal</w:t>
      </w:r>
      <w:r w:rsidR="00A10D00" w:rsidRPr="003A173C">
        <w:rPr>
          <w:rFonts w:cs="Calibri"/>
        </w:rPr>
        <w:t>, given this</w:t>
      </w:r>
      <w:r w:rsidR="00A4680D" w:rsidRPr="003A173C">
        <w:rPr>
          <w:rFonts w:cs="Calibri"/>
        </w:rPr>
        <w:t xml:space="preserve"> may</w:t>
      </w:r>
      <w:r w:rsidR="00CB11F7" w:rsidRPr="003A173C">
        <w:rPr>
          <w:rFonts w:cs="Calibri"/>
        </w:rPr>
        <w:t xml:space="preserve"> require </w:t>
      </w:r>
      <w:r w:rsidR="00A10D00" w:rsidRPr="003A173C">
        <w:rPr>
          <w:rFonts w:cs="Calibri"/>
        </w:rPr>
        <w:t xml:space="preserve">system access </w:t>
      </w:r>
      <w:r w:rsidR="00C46333" w:rsidRPr="003A173C">
        <w:rPr>
          <w:rFonts w:cs="Calibri"/>
        </w:rPr>
        <w:t xml:space="preserve">to be arranged </w:t>
      </w:r>
      <w:r w:rsidR="00CB11F7" w:rsidRPr="003A173C">
        <w:rPr>
          <w:rFonts w:cs="Calibri"/>
        </w:rPr>
        <w:t xml:space="preserve">by registered providers </w:t>
      </w:r>
      <w:r w:rsidR="00C46333" w:rsidRPr="003A173C">
        <w:rPr>
          <w:rFonts w:cs="Calibri"/>
        </w:rPr>
        <w:t>for</w:t>
      </w:r>
      <w:r w:rsidR="00CB11F7" w:rsidRPr="003A173C">
        <w:rPr>
          <w:rFonts w:cs="Calibri"/>
        </w:rPr>
        <w:t xml:space="preserve"> their</w:t>
      </w:r>
      <w:r w:rsidR="00C46333" w:rsidRPr="003A173C">
        <w:rPr>
          <w:rFonts w:cs="Calibri"/>
        </w:rPr>
        <w:t xml:space="preserve"> associated providers. </w:t>
      </w:r>
    </w:p>
    <w:p w14:paraId="31F56FE2" w14:textId="77777777" w:rsidR="00AA1736" w:rsidRPr="003A173C" w:rsidRDefault="00AA1736" w:rsidP="00412682">
      <w:pPr>
        <w:pStyle w:val="heading4withoutnumbers"/>
        <w:rPr>
          <w:rFonts w:cs="Calibri"/>
          <w:b/>
          <w:bCs/>
        </w:rPr>
      </w:pPr>
      <w:r w:rsidRPr="003A173C">
        <w:rPr>
          <w:rFonts w:cs="Calibri"/>
          <w:b/>
          <w:bCs/>
        </w:rPr>
        <w:t>Managing and responding to incidents</w:t>
      </w:r>
    </w:p>
    <w:p w14:paraId="2FD1FBF5" w14:textId="7CD99668" w:rsidR="00AA1736" w:rsidRPr="003A173C" w:rsidRDefault="00AA1736" w:rsidP="00AA1736">
      <w:pPr>
        <w:rPr>
          <w:rFonts w:cs="Calibri"/>
        </w:rPr>
      </w:pPr>
      <w:r w:rsidRPr="003A173C">
        <w:rPr>
          <w:rFonts w:cs="Calibri"/>
        </w:rPr>
        <w:t>Under the SIRS</w:t>
      </w:r>
      <w:r w:rsidR="00F87F32" w:rsidRPr="003A173C">
        <w:rPr>
          <w:rFonts w:cs="Calibri"/>
        </w:rPr>
        <w:t>,</w:t>
      </w:r>
      <w:r w:rsidRPr="003A173C">
        <w:rPr>
          <w:rFonts w:cs="Calibri"/>
        </w:rPr>
        <w:t xml:space="preserve"> registered providers need to manage incidents and take reasonable steps to prevent incidents with a focus on the safety, health and wellbeing of individuals.</w:t>
      </w:r>
    </w:p>
    <w:p w14:paraId="23D9B7C5" w14:textId="269473B1" w:rsidR="00AA1736" w:rsidRPr="003A173C" w:rsidRDefault="00AA1736" w:rsidP="00AA1736">
      <w:pPr>
        <w:rPr>
          <w:rFonts w:cs="Calibri"/>
        </w:rPr>
      </w:pPr>
      <w:r w:rsidRPr="003A173C">
        <w:rPr>
          <w:rFonts w:cs="Calibri"/>
        </w:rPr>
        <w:t>Consistent with the incident management system arrangements, these responsibilities relate to a range of incidents that occur, or are alleged or suspected to occur, in connection with the delivery of aged care</w:t>
      </w:r>
      <w:r w:rsidR="00F87F32" w:rsidRPr="003A173C">
        <w:rPr>
          <w:rFonts w:cs="Calibri"/>
        </w:rPr>
        <w:t xml:space="preserve"> services</w:t>
      </w:r>
      <w:r w:rsidRPr="003A173C">
        <w:rPr>
          <w:rFonts w:cs="Calibri"/>
        </w:rPr>
        <w:t>, that either have caused, or could reasonably have been expected to have caused, harm to an individual in care or another person.</w:t>
      </w:r>
    </w:p>
    <w:p w14:paraId="2B9F56F7" w14:textId="77777777" w:rsidR="00AA1736" w:rsidRPr="003A173C" w:rsidRDefault="00AA1736" w:rsidP="00AA1736">
      <w:pPr>
        <w:rPr>
          <w:rFonts w:cs="Calibri"/>
          <w:szCs w:val="20"/>
        </w:rPr>
      </w:pPr>
      <w:r w:rsidRPr="003A173C">
        <w:rPr>
          <w:rFonts w:cs="Calibri"/>
        </w:rPr>
        <w:t xml:space="preserve">As part of these responsibilities, registered providers must respond to incidents by assessing and providing support and assistance to persons affected by </w:t>
      </w:r>
      <w:r w:rsidRPr="003A173C">
        <w:rPr>
          <w:rFonts w:cs="Calibri"/>
          <w:szCs w:val="20"/>
        </w:rPr>
        <w:t>incidents to ensure their health, safety and wellbeing. Registered providers should use an open disclosure process and make sure to involve persons affected by incidents in the management and resolution of the incident.</w:t>
      </w:r>
    </w:p>
    <w:p w14:paraId="3A4244E9" w14:textId="09FC4626" w:rsidR="00F12160" w:rsidRPr="003A173C" w:rsidRDefault="00AA1736" w:rsidP="00AA1736">
      <w:pPr>
        <w:rPr>
          <w:rFonts w:cs="Calibri"/>
          <w:szCs w:val="20"/>
        </w:rPr>
      </w:pPr>
      <w:r w:rsidRPr="003A173C">
        <w:rPr>
          <w:rFonts w:cs="Calibri"/>
          <w:szCs w:val="20"/>
        </w:rPr>
        <w:t xml:space="preserve">For more information refer to the SIRS guidance for providers on the </w:t>
      </w:r>
      <w:r w:rsidR="00783BD3" w:rsidRPr="00005086">
        <w:rPr>
          <w:rFonts w:cs="Calibri"/>
          <w:szCs w:val="20"/>
          <w:lang w:val="en"/>
        </w:rPr>
        <w:t>Aged</w:t>
      </w:r>
      <w:r w:rsidR="00005086" w:rsidRPr="00A107DE">
        <w:rPr>
          <w:rFonts w:cs="Calibri"/>
          <w:szCs w:val="20"/>
        </w:rPr>
        <w:t xml:space="preserve"> </w:t>
      </w:r>
      <w:r w:rsidR="00B1297C" w:rsidRPr="00005086">
        <w:rPr>
          <w:rFonts w:cs="Calibri"/>
          <w:szCs w:val="20"/>
          <w:lang w:val="en"/>
        </w:rPr>
        <w:t>Care</w:t>
      </w:r>
      <w:r w:rsidR="00B1297C" w:rsidRPr="00B1297C">
        <w:rPr>
          <w:rFonts w:cs="Calibri"/>
          <w:szCs w:val="20"/>
          <w:lang w:val="en"/>
        </w:rPr>
        <w:t xml:space="preserve"> Quality and Safety Commission</w:t>
      </w:r>
      <w:r w:rsidRPr="003A173C">
        <w:rPr>
          <w:rFonts w:cs="Calibri"/>
          <w:szCs w:val="20"/>
          <w:lang w:val="en"/>
        </w:rPr>
        <w:t xml:space="preserve"> </w:t>
      </w:r>
      <w:hyperlink r:id="rId58" w:history="1">
        <w:r w:rsidRPr="00CF3F4E">
          <w:rPr>
            <w:rStyle w:val="Hyperlink"/>
            <w:rFonts w:ascii="Calibri" w:hAnsi="Calibri" w:cs="Calibri"/>
            <w:sz w:val="20"/>
            <w:szCs w:val="20"/>
            <w:lang w:val="en"/>
          </w:rPr>
          <w:t>website</w:t>
        </w:r>
        <w:r w:rsidRPr="007E4460">
          <w:rPr>
            <w:rStyle w:val="Hyperlink"/>
            <w:rFonts w:ascii="Calibri" w:hAnsi="Calibri" w:cs="Calibri"/>
            <w:sz w:val="20"/>
            <w:szCs w:val="20"/>
            <w:u w:val="none"/>
          </w:rPr>
          <w:t>.</w:t>
        </w:r>
      </w:hyperlink>
    </w:p>
    <w:p w14:paraId="73C2CCD4" w14:textId="77777777" w:rsidR="00AA1736" w:rsidRPr="003A173C" w:rsidRDefault="00AA1736" w:rsidP="00412682">
      <w:pPr>
        <w:pStyle w:val="heading4withoutnumbers"/>
        <w:rPr>
          <w:rFonts w:cs="Calibri"/>
          <w:b/>
          <w:bCs/>
        </w:rPr>
      </w:pPr>
      <w:r w:rsidRPr="003A173C">
        <w:rPr>
          <w:rFonts w:cs="Calibri"/>
          <w:b/>
          <w:bCs/>
        </w:rPr>
        <w:t>Reportable incidents</w:t>
      </w:r>
    </w:p>
    <w:p w14:paraId="1338CB0B" w14:textId="294174AE" w:rsidR="00AA1736" w:rsidRPr="003A173C" w:rsidRDefault="00AA1736" w:rsidP="00AA1736">
      <w:pPr>
        <w:rPr>
          <w:rFonts w:cs="Calibri"/>
          <w:szCs w:val="20"/>
        </w:rPr>
      </w:pPr>
      <w:r w:rsidRPr="003A173C">
        <w:rPr>
          <w:rFonts w:cs="Calibri"/>
          <w:szCs w:val="20"/>
        </w:rPr>
        <w:t xml:space="preserve">SIRS reporting is facilitated through the </w:t>
      </w:r>
      <w:hyperlink r:id="rId59" w:history="1">
        <w:r w:rsidRPr="00047F46">
          <w:rPr>
            <w:rStyle w:val="Hyperlink"/>
            <w:rFonts w:ascii="Calibri" w:hAnsi="Calibri" w:cs="Calibri"/>
            <w:sz w:val="20"/>
            <w:szCs w:val="20"/>
          </w:rPr>
          <w:t xml:space="preserve">My Aged Care Provider </w:t>
        </w:r>
        <w:r w:rsidR="00C4188D" w:rsidRPr="00047F46">
          <w:rPr>
            <w:rStyle w:val="Hyperlink"/>
            <w:rFonts w:ascii="Calibri" w:hAnsi="Calibri" w:cs="Calibri"/>
            <w:sz w:val="20"/>
            <w:szCs w:val="20"/>
          </w:rPr>
          <w:t>P</w:t>
        </w:r>
        <w:r w:rsidRPr="00047F46">
          <w:rPr>
            <w:rStyle w:val="Hyperlink"/>
            <w:rFonts w:ascii="Calibri" w:hAnsi="Calibri" w:cs="Calibri"/>
            <w:sz w:val="20"/>
            <w:szCs w:val="20"/>
          </w:rPr>
          <w:t>ortal</w:t>
        </w:r>
      </w:hyperlink>
      <w:r w:rsidRPr="003A173C">
        <w:rPr>
          <w:rFonts w:cs="Calibri"/>
          <w:szCs w:val="20"/>
        </w:rPr>
        <w:t>. Specific guidance and resources for</w:t>
      </w:r>
      <w:r w:rsidRPr="003A173C">
        <w:rPr>
          <w:rFonts w:cs="Calibri"/>
          <w:szCs w:val="20"/>
          <w:lang w:val="en"/>
        </w:rPr>
        <w:t xml:space="preserve"> providers on reporting incidents through the My Aged Care Provider </w:t>
      </w:r>
      <w:r w:rsidR="00C4188D" w:rsidRPr="003A173C">
        <w:rPr>
          <w:rFonts w:cs="Calibri"/>
          <w:szCs w:val="20"/>
          <w:lang w:val="en"/>
        </w:rPr>
        <w:t>P</w:t>
      </w:r>
      <w:r w:rsidRPr="003A173C">
        <w:rPr>
          <w:rFonts w:cs="Calibri"/>
          <w:szCs w:val="20"/>
          <w:lang w:val="en"/>
        </w:rPr>
        <w:t xml:space="preserve">ortal, can be found by visiting the resources page on the </w:t>
      </w:r>
      <w:hyperlink r:id="rId60" w:history="1">
        <w:r w:rsidRPr="003A173C">
          <w:rPr>
            <w:rStyle w:val="Hyperlink"/>
            <w:rFonts w:ascii="Calibri" w:hAnsi="Calibri" w:cs="Calibri"/>
            <w:sz w:val="20"/>
            <w:szCs w:val="20"/>
            <w:lang w:val="en"/>
          </w:rPr>
          <w:t>Department of Health and Aged Care website</w:t>
        </w:r>
        <w:r w:rsidRPr="007E4460">
          <w:rPr>
            <w:rStyle w:val="Hyperlink"/>
            <w:rFonts w:ascii="Calibri" w:hAnsi="Calibri" w:cs="Calibri"/>
            <w:sz w:val="20"/>
            <w:szCs w:val="20"/>
            <w:u w:val="none"/>
            <w:lang w:val="en"/>
          </w:rPr>
          <w:t>.</w:t>
        </w:r>
      </w:hyperlink>
    </w:p>
    <w:p w14:paraId="04D21960" w14:textId="5123343C" w:rsidR="00AA1736" w:rsidRPr="003A173C" w:rsidRDefault="00AA1736" w:rsidP="00AA1736">
      <w:pPr>
        <w:rPr>
          <w:rFonts w:cs="Calibri"/>
          <w:szCs w:val="20"/>
        </w:rPr>
      </w:pPr>
      <w:r w:rsidRPr="003A173C">
        <w:rPr>
          <w:rFonts w:cs="Calibri"/>
          <w:szCs w:val="20"/>
        </w:rPr>
        <w:t xml:space="preserve">Under SIRS, certain types of incidents must be reported to the Commission, referred to as reportable incidents. This can include both incidents that occur or are alleged or suspected to have occurred and may also include incidents involving individuals with cognitive or mental impairment (such as dementia). There are 8 types of reportable incidents involving </w:t>
      </w:r>
      <w:r w:rsidR="00E16A2C" w:rsidRPr="003A173C">
        <w:rPr>
          <w:rFonts w:cs="Calibri"/>
          <w:szCs w:val="20"/>
        </w:rPr>
        <w:t>individual</w:t>
      </w:r>
      <w:r w:rsidRPr="003A173C">
        <w:rPr>
          <w:rFonts w:cs="Calibri"/>
          <w:szCs w:val="20"/>
        </w:rPr>
        <w:t>s that must be reported to the Commission. If the incident is of a criminal nature, it must also be reported to the police.</w:t>
      </w:r>
    </w:p>
    <w:p w14:paraId="0B242A15" w14:textId="6D67E426" w:rsidR="00AA1736" w:rsidRPr="003A173C" w:rsidRDefault="00AA1736" w:rsidP="00AA1736">
      <w:pPr>
        <w:rPr>
          <w:rFonts w:cs="Calibri"/>
        </w:rPr>
      </w:pPr>
      <w:r w:rsidRPr="003A173C">
        <w:rPr>
          <w:rFonts w:cs="Calibri"/>
          <w:szCs w:val="20"/>
        </w:rPr>
        <w:t>The table below sets out the differences in the definitions</w:t>
      </w:r>
      <w:r w:rsidRPr="003A173C">
        <w:rPr>
          <w:rFonts w:cs="Calibri"/>
        </w:rPr>
        <w:t xml:space="preserve"> of what is considered to be a reportable incident for residential </w:t>
      </w:r>
      <w:r w:rsidR="00C4188D" w:rsidRPr="003A173C">
        <w:rPr>
          <w:rFonts w:cs="Calibri"/>
        </w:rPr>
        <w:t xml:space="preserve">care </w:t>
      </w:r>
      <w:r w:rsidRPr="003A173C">
        <w:rPr>
          <w:rFonts w:cs="Calibri"/>
        </w:rPr>
        <w:t>settings and home and community settings.</w:t>
      </w:r>
    </w:p>
    <w:tbl>
      <w:tblPr>
        <w:tblW w:w="0" w:type="auto"/>
        <w:tblInd w:w="118" w:type="dxa"/>
        <w:tblCellMar>
          <w:left w:w="0" w:type="dxa"/>
          <w:right w:w="0" w:type="dxa"/>
        </w:tblCellMar>
        <w:tblLook w:val="04A0" w:firstRow="1" w:lastRow="0" w:firstColumn="1" w:lastColumn="0" w:noHBand="0" w:noVBand="1"/>
      </w:tblPr>
      <w:tblGrid>
        <w:gridCol w:w="4704"/>
        <w:gridCol w:w="4704"/>
      </w:tblGrid>
      <w:tr w:rsidR="00AA1736" w:rsidRPr="003A173C" w14:paraId="0ADD10EA" w14:textId="77777777" w:rsidTr="007206E9">
        <w:trPr>
          <w:tblHeader/>
        </w:trPr>
        <w:tc>
          <w:tcPr>
            <w:tcW w:w="47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56F0F92" w14:textId="77777777" w:rsidR="00AA1736" w:rsidRPr="003A173C" w:rsidRDefault="00AA1736" w:rsidP="00412682">
            <w:pPr>
              <w:jc w:val="center"/>
              <w:rPr>
                <w:rFonts w:cs="Calibri"/>
                <w:szCs w:val="20"/>
              </w:rPr>
            </w:pPr>
            <w:r w:rsidRPr="003A173C">
              <w:rPr>
                <w:rFonts w:cs="Calibri"/>
                <w:b/>
                <w:bCs/>
                <w:szCs w:val="20"/>
              </w:rPr>
              <w:t>Residential setting</w:t>
            </w:r>
          </w:p>
        </w:tc>
        <w:tc>
          <w:tcPr>
            <w:tcW w:w="4704"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0B50066" w14:textId="77777777" w:rsidR="00AA1736" w:rsidRPr="003A173C" w:rsidRDefault="00AA1736" w:rsidP="00412682">
            <w:pPr>
              <w:jc w:val="center"/>
              <w:rPr>
                <w:rFonts w:cs="Calibri"/>
                <w:szCs w:val="20"/>
              </w:rPr>
            </w:pPr>
            <w:r w:rsidRPr="003A173C">
              <w:rPr>
                <w:rFonts w:cs="Calibri"/>
                <w:b/>
                <w:bCs/>
                <w:szCs w:val="20"/>
              </w:rPr>
              <w:t>Home or community setting</w:t>
            </w:r>
          </w:p>
        </w:tc>
      </w:tr>
      <w:tr w:rsidR="00AA1736" w:rsidRPr="003A173C" w14:paraId="083E061A" w14:textId="77777777" w:rsidTr="00241E36">
        <w:trPr>
          <w:trHeight w:val="830"/>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E9BE6" w14:textId="77777777" w:rsidR="00AA1736" w:rsidRPr="003A0120" w:rsidRDefault="00AA1736" w:rsidP="00020AC2">
            <w:pPr>
              <w:pStyle w:val="TableParagraph"/>
              <w:rPr>
                <w:sz w:val="20"/>
                <w:szCs w:val="20"/>
              </w:rPr>
            </w:pPr>
            <w:r w:rsidRPr="003A0120">
              <w:rPr>
                <w:b/>
                <w:bCs/>
                <w:sz w:val="20"/>
                <w:szCs w:val="20"/>
              </w:rPr>
              <w:t xml:space="preserve">Unreasonable use of force </w:t>
            </w:r>
            <w:r w:rsidRPr="003A0120">
              <w:rPr>
                <w:sz w:val="20"/>
                <w:szCs w:val="20"/>
              </w:rPr>
              <w:t>– includes conduct ranging from a deliberate and violent physical attack to use of unwarranted physical force.</w:t>
            </w:r>
          </w:p>
          <w:p w14:paraId="400FBDEA" w14:textId="77777777" w:rsidR="00AA1736" w:rsidRPr="003A0120" w:rsidRDefault="00AA1736" w:rsidP="00020AC2">
            <w:pPr>
              <w:pStyle w:val="TableParagraph"/>
              <w:rPr>
                <w:sz w:val="20"/>
                <w:szCs w:val="20"/>
              </w:rPr>
            </w:pPr>
            <w:r w:rsidRPr="003A0120">
              <w:rPr>
                <w:sz w:val="20"/>
                <w:szCs w:val="20"/>
              </w:rPr>
              <w:t>It does not include gently touching an individual for the purposes of providing a service, to attract their attention, to guide them, or to comfort them when distressed.</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36F5A169" w14:textId="683C7F47" w:rsidR="00AA1736" w:rsidRPr="003A0120" w:rsidRDefault="00AA1736" w:rsidP="00020AC2">
            <w:pPr>
              <w:pStyle w:val="TableParagraph"/>
              <w:rPr>
                <w:i/>
                <w:iCs/>
                <w:sz w:val="20"/>
                <w:szCs w:val="20"/>
              </w:rPr>
            </w:pPr>
            <w:r w:rsidRPr="003A0120">
              <w:rPr>
                <w:i/>
                <w:iCs/>
                <w:sz w:val="20"/>
                <w:szCs w:val="20"/>
              </w:rPr>
              <w:t>Same as the residential setting</w:t>
            </w:r>
          </w:p>
        </w:tc>
      </w:tr>
      <w:tr w:rsidR="00AA1736" w:rsidRPr="003A173C" w14:paraId="1A5B514E" w14:textId="77777777" w:rsidTr="00241E36">
        <w:trPr>
          <w:trHeight w:val="1409"/>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CB576" w14:textId="77777777" w:rsidR="00AA1736" w:rsidRPr="003A0120" w:rsidRDefault="00AA1736" w:rsidP="00020AC2">
            <w:pPr>
              <w:pStyle w:val="TableParagraph"/>
              <w:rPr>
                <w:sz w:val="20"/>
                <w:szCs w:val="20"/>
              </w:rPr>
            </w:pPr>
            <w:r w:rsidRPr="003A0120">
              <w:rPr>
                <w:b/>
                <w:bCs/>
                <w:sz w:val="20"/>
                <w:szCs w:val="20"/>
              </w:rPr>
              <w:t xml:space="preserve">Unlawful sexual contact or inappropriate sexual conduct </w:t>
            </w:r>
            <w:r w:rsidRPr="003A0120">
              <w:rPr>
                <w:sz w:val="20"/>
                <w:szCs w:val="20"/>
              </w:rPr>
              <w:t>– includes, where the contact or conduct is inflicted by an aged care worker:</w:t>
            </w:r>
          </w:p>
          <w:p w14:paraId="214A5B8B" w14:textId="3C2E2AF9" w:rsidR="00AA1736" w:rsidRPr="003A0120" w:rsidRDefault="00AA1736" w:rsidP="00020AC2">
            <w:pPr>
              <w:pStyle w:val="TableParagraph"/>
              <w:rPr>
                <w:sz w:val="20"/>
                <w:szCs w:val="20"/>
              </w:rPr>
            </w:pPr>
            <w:r w:rsidRPr="003A0120">
              <w:rPr>
                <w:sz w:val="20"/>
                <w:szCs w:val="20"/>
              </w:rPr>
              <w:t>any conduct or contact of a sexual nature inflicted on the individual</w:t>
            </w:r>
            <w:r w:rsidR="00013AA9" w:rsidRPr="003A0120">
              <w:rPr>
                <w:sz w:val="20"/>
                <w:szCs w:val="20"/>
              </w:rPr>
              <w:t>;</w:t>
            </w:r>
          </w:p>
          <w:p w14:paraId="3CA697A6" w14:textId="77777777" w:rsidR="00AA1736" w:rsidRPr="003A0120" w:rsidRDefault="00AA1736" w:rsidP="00020AC2">
            <w:pPr>
              <w:pStyle w:val="TableParagraph"/>
              <w:rPr>
                <w:sz w:val="20"/>
                <w:szCs w:val="20"/>
              </w:rPr>
            </w:pPr>
            <w:r w:rsidRPr="003A0120">
              <w:rPr>
                <w:sz w:val="20"/>
                <w:szCs w:val="20"/>
              </w:rPr>
              <w:t>any touching of an individual’s genital area, anal area or breasts in circumstances where this is not necessary to deliver a service.</w:t>
            </w:r>
          </w:p>
          <w:p w14:paraId="5E147EF7" w14:textId="42D4BB5E" w:rsidR="00AA1736" w:rsidRPr="003A0120" w:rsidRDefault="00AA1736" w:rsidP="00020AC2">
            <w:pPr>
              <w:pStyle w:val="TableParagraph"/>
              <w:rPr>
                <w:sz w:val="20"/>
                <w:szCs w:val="20"/>
              </w:rPr>
            </w:pPr>
            <w:r w:rsidRPr="003A0120">
              <w:rPr>
                <w:sz w:val="20"/>
                <w:szCs w:val="20"/>
              </w:rPr>
              <w:t>For conduct by any person</w:t>
            </w:r>
            <w:r w:rsidR="00A13643" w:rsidRPr="003A0120">
              <w:rPr>
                <w:sz w:val="20"/>
                <w:szCs w:val="20"/>
              </w:rPr>
              <w:t>,</w:t>
            </w:r>
            <w:r w:rsidRPr="003A0120">
              <w:rPr>
                <w:sz w:val="20"/>
                <w:szCs w:val="20"/>
              </w:rPr>
              <w:t xml:space="preserve"> it includes any non-consensual contact or conduct of a sexual nature, an act of indecency, and the sharing of intimate images of the individual, or engaging in conduct with the intention of making it easier to procure the individual to engage in sexual contact or conduct.</w:t>
            </w:r>
          </w:p>
          <w:p w14:paraId="726BC75F" w14:textId="77777777" w:rsidR="00AA1736" w:rsidRPr="003A0120" w:rsidRDefault="00AA1736" w:rsidP="00020AC2">
            <w:pPr>
              <w:pStyle w:val="TableParagraph"/>
              <w:rPr>
                <w:sz w:val="20"/>
                <w:szCs w:val="20"/>
              </w:rPr>
            </w:pPr>
            <w:r w:rsidRPr="003A0120">
              <w:rPr>
                <w:sz w:val="20"/>
                <w:szCs w:val="20"/>
              </w:rPr>
              <w:lastRenderedPageBreak/>
              <w:t>It does not include consensual contact or conduct of a sexual nature between the individual and a person who is not an aged care worker. It also does not include consensual contact or conduct of a sexual nature between the individual and an aged care worker, if the contact or conduct occurs other than while that person is delivering services to the individual.</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644A8849" w14:textId="77777777" w:rsidR="00AA1736" w:rsidRPr="003A0120" w:rsidRDefault="00AA1736" w:rsidP="00020AC2">
            <w:pPr>
              <w:pStyle w:val="TableParagraph"/>
              <w:rPr>
                <w:sz w:val="20"/>
                <w:szCs w:val="20"/>
              </w:rPr>
            </w:pPr>
            <w:r w:rsidRPr="003A0120">
              <w:rPr>
                <w:i/>
                <w:iCs/>
                <w:sz w:val="20"/>
                <w:szCs w:val="20"/>
              </w:rPr>
              <w:lastRenderedPageBreak/>
              <w:t>Same as the residential setting</w:t>
            </w:r>
          </w:p>
        </w:tc>
      </w:tr>
      <w:tr w:rsidR="00AA1736" w:rsidRPr="003A173C" w14:paraId="3D3E7B24"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FAF" w14:textId="77777777" w:rsidR="00AA1736" w:rsidRPr="003A0120" w:rsidRDefault="00AA1736" w:rsidP="00020AC2">
            <w:pPr>
              <w:pStyle w:val="TableParagraph"/>
              <w:rPr>
                <w:sz w:val="20"/>
                <w:szCs w:val="20"/>
              </w:rPr>
            </w:pPr>
            <w:r w:rsidRPr="003A0120">
              <w:rPr>
                <w:b/>
                <w:bCs/>
                <w:sz w:val="20"/>
                <w:szCs w:val="20"/>
              </w:rPr>
              <w:t xml:space="preserve">Psychological or emotional abuse </w:t>
            </w:r>
            <w:r w:rsidRPr="003A0120">
              <w:rPr>
                <w:sz w:val="20"/>
                <w:szCs w:val="20"/>
              </w:rPr>
              <w:t>– includes conduct that has caused the individual psychological or emotional distress, or which could reasonably have been expected to have caused an individual psychological or emotional distress. Examples include taunting, bullying, harassment, intimidation, threats of maltreatment, and humiliation.</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1D9D7F4"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61EBB305"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6E334" w14:textId="77777777" w:rsidR="00AA1736" w:rsidRPr="003A0120" w:rsidRDefault="00AA1736" w:rsidP="00020AC2">
            <w:pPr>
              <w:pStyle w:val="TableParagraph"/>
              <w:rPr>
                <w:sz w:val="20"/>
                <w:szCs w:val="20"/>
              </w:rPr>
            </w:pPr>
            <w:r w:rsidRPr="003A0120">
              <w:rPr>
                <w:b/>
                <w:bCs/>
                <w:sz w:val="20"/>
                <w:szCs w:val="20"/>
              </w:rPr>
              <w:t xml:space="preserve">Stealing or financial coercion by a staff member </w:t>
            </w:r>
            <w:r w:rsidRPr="003A0120">
              <w:rPr>
                <w:sz w:val="20"/>
                <w:szCs w:val="20"/>
              </w:rPr>
              <w:t>– includes stealing from the individual by an aged care worker, as well as conduct by an aged care worker that is coercive or deceptive in relation to the individual’s financial affairs or which unreasonably controls the individual’s financial affairs.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2047148A" w14:textId="77777777" w:rsidR="00AA1736" w:rsidRPr="003A0120" w:rsidRDefault="00AA1736" w:rsidP="00020AC2">
            <w:pPr>
              <w:pStyle w:val="TableParagraph"/>
              <w:rPr>
                <w:sz w:val="20"/>
                <w:szCs w:val="20"/>
              </w:rPr>
            </w:pPr>
            <w:r w:rsidRPr="003A0120">
              <w:rPr>
                <w:i/>
                <w:iCs/>
                <w:sz w:val="20"/>
                <w:szCs w:val="20"/>
              </w:rPr>
              <w:t>Same as the residential setting</w:t>
            </w:r>
          </w:p>
        </w:tc>
      </w:tr>
      <w:tr w:rsidR="00AA1736" w:rsidRPr="003A173C" w14:paraId="3CE2A438"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FAC32" w14:textId="1F95EEDB" w:rsidR="00AA1736" w:rsidRPr="003A0120" w:rsidRDefault="00AA1736" w:rsidP="00020AC2">
            <w:pPr>
              <w:pStyle w:val="TableParagraph"/>
              <w:rPr>
                <w:sz w:val="20"/>
                <w:szCs w:val="20"/>
              </w:rPr>
            </w:pPr>
            <w:r w:rsidRPr="003A0120">
              <w:rPr>
                <w:b/>
                <w:bCs/>
                <w:sz w:val="20"/>
                <w:szCs w:val="20"/>
              </w:rPr>
              <w:t>Neglect of a</w:t>
            </w:r>
            <w:r w:rsidR="007144BF" w:rsidRPr="003A0120">
              <w:rPr>
                <w:b/>
                <w:bCs/>
                <w:sz w:val="20"/>
                <w:szCs w:val="20"/>
              </w:rPr>
              <w:t>n</w:t>
            </w:r>
            <w:r w:rsidRPr="003A0120">
              <w:rPr>
                <w:b/>
                <w:bCs/>
                <w:sz w:val="20"/>
                <w:szCs w:val="20"/>
              </w:rPr>
              <w:t xml:space="preserve"> </w:t>
            </w:r>
            <w:r w:rsidR="00E16A2C" w:rsidRPr="003A0120">
              <w:rPr>
                <w:b/>
                <w:bCs/>
                <w:sz w:val="20"/>
                <w:szCs w:val="20"/>
              </w:rPr>
              <w:t>individual</w:t>
            </w:r>
            <w:r w:rsidRPr="003A0120">
              <w:rPr>
                <w:b/>
                <w:bCs/>
                <w:sz w:val="20"/>
                <w:szCs w:val="20"/>
              </w:rPr>
              <w:t xml:space="preserve"> </w:t>
            </w:r>
            <w:r w:rsidRPr="003A0120">
              <w:rPr>
                <w:sz w:val="20"/>
                <w:szCs w:val="20"/>
              </w:rPr>
              <w:t>– circumstances in which a registered provider, aged care worker, or responsible person of the registered provider:</w:t>
            </w:r>
          </w:p>
          <w:p w14:paraId="67BDCAC9" w14:textId="55F90167" w:rsidR="00AA1736" w:rsidRPr="003A0120" w:rsidRDefault="00AA1736" w:rsidP="00020AC2">
            <w:pPr>
              <w:pStyle w:val="TLPTableBullet"/>
              <w:rPr>
                <w:sz w:val="20"/>
              </w:rPr>
            </w:pPr>
            <w:r w:rsidRPr="003A0120">
              <w:rPr>
                <w:sz w:val="20"/>
              </w:rPr>
              <w:t>has been reckless or intentionally negligent in delivering a service</w:t>
            </w:r>
            <w:r w:rsidR="007144BF" w:rsidRPr="003A0120">
              <w:rPr>
                <w:sz w:val="20"/>
              </w:rPr>
              <w:t>;</w:t>
            </w:r>
          </w:p>
          <w:p w14:paraId="77196BF0" w14:textId="4CB7AEF3" w:rsidR="00AA1736" w:rsidRPr="003A0120" w:rsidRDefault="00AA1736" w:rsidP="00020AC2">
            <w:pPr>
              <w:pStyle w:val="TLPTableBullet"/>
              <w:rPr>
                <w:sz w:val="20"/>
              </w:rPr>
            </w:pPr>
            <w:r w:rsidRPr="003A0120">
              <w:rPr>
                <w:sz w:val="20"/>
              </w:rPr>
              <w:t>has caused or contributed to a significant failure to deliver services or a systematic pattern of conduct</w:t>
            </w:r>
            <w:r w:rsidR="007144BF" w:rsidRPr="003A0120">
              <w:rPr>
                <w:sz w:val="20"/>
              </w:rPr>
              <w:t>;</w:t>
            </w:r>
          </w:p>
          <w:p w14:paraId="254EDE1C" w14:textId="3DBF74A6" w:rsidR="00AA1736" w:rsidRPr="003A0120" w:rsidRDefault="00AA1736" w:rsidP="00020AC2">
            <w:pPr>
              <w:pStyle w:val="TLPTableBullet"/>
              <w:rPr>
                <w:sz w:val="20"/>
              </w:rPr>
            </w:pPr>
            <w:r w:rsidRPr="003A0120">
              <w:rPr>
                <w:sz w:val="20"/>
              </w:rPr>
              <w:t>has delivered a grossly inadequate service to an individual</w:t>
            </w:r>
            <w:r w:rsidR="007144BF" w:rsidRPr="003A0120">
              <w:rPr>
                <w:sz w:val="20"/>
              </w:rPr>
              <w:t>;</w:t>
            </w:r>
          </w:p>
          <w:p w14:paraId="5DAB9ED4" w14:textId="77777777" w:rsidR="00AA1736" w:rsidRPr="003A0120" w:rsidRDefault="00AA1736" w:rsidP="00020AC2">
            <w:pPr>
              <w:pStyle w:val="TLPTableBullet"/>
              <w:rPr>
                <w:sz w:val="20"/>
              </w:rPr>
            </w:pPr>
            <w:r w:rsidRPr="003A0120">
              <w:rPr>
                <w:sz w:val="20"/>
              </w:rPr>
              <w:t>has delivered a service to an individual that exposes the individual to a risk of serious injury or illness.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BF90FDF" w14:textId="77777777" w:rsidR="00AA1736" w:rsidRPr="003A0120" w:rsidRDefault="00AA1736" w:rsidP="00020AC2">
            <w:pPr>
              <w:pStyle w:val="TableParagraph"/>
              <w:rPr>
                <w:sz w:val="20"/>
                <w:szCs w:val="20"/>
              </w:rPr>
            </w:pPr>
            <w:r w:rsidRPr="003A0120">
              <w:rPr>
                <w:sz w:val="20"/>
                <w:szCs w:val="20"/>
              </w:rPr>
              <w:t>Same as the residential setting</w:t>
            </w:r>
          </w:p>
        </w:tc>
      </w:tr>
      <w:tr w:rsidR="00AA1736" w:rsidRPr="003A173C" w14:paraId="06D10DB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C2D9C0" w14:textId="77777777"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home where there are reasonable grounds to report the absence to the police.</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72879B0" w14:textId="16285048" w:rsidR="00AA1736" w:rsidRPr="003A0120" w:rsidRDefault="00AA1736" w:rsidP="00020AC2">
            <w:pPr>
              <w:pStyle w:val="TableParagraph"/>
              <w:rPr>
                <w:sz w:val="20"/>
                <w:szCs w:val="20"/>
              </w:rPr>
            </w:pPr>
            <w:r w:rsidRPr="003A0120">
              <w:rPr>
                <w:b/>
                <w:bCs/>
                <w:sz w:val="20"/>
                <w:szCs w:val="20"/>
              </w:rPr>
              <w:t xml:space="preserve">Unexplained absence from care </w:t>
            </w:r>
            <w:r w:rsidRPr="003A0120">
              <w:rPr>
                <w:sz w:val="20"/>
                <w:szCs w:val="20"/>
              </w:rPr>
              <w:t>– an absence of the individual from the setting during the delivery of a service to the individual in circumstances where there are reasonable grounds to report the absence to the police.</w:t>
            </w:r>
          </w:p>
        </w:tc>
      </w:tr>
      <w:tr w:rsidR="00AA1736" w:rsidRPr="003A173C" w14:paraId="657A055D" w14:textId="77777777" w:rsidTr="00241E36">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8B300" w14:textId="77777777" w:rsidR="00AA1736"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p>
          <w:p w14:paraId="185D7412" w14:textId="77777777" w:rsidR="00AA1736" w:rsidRPr="003A0120" w:rsidRDefault="00AA1736" w:rsidP="00020AC2">
            <w:pPr>
              <w:pStyle w:val="TLPTableBullet"/>
              <w:rPr>
                <w:sz w:val="20"/>
              </w:rPr>
            </w:pPr>
            <w:r w:rsidRPr="003A0120">
              <w:rPr>
                <w:sz w:val="20"/>
              </w:rPr>
              <w:t>the death resulted from services delivered by the registered provider, or a failure by the registered provider to deliver services.</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2B96F53" w14:textId="77777777" w:rsidR="00AF48F7" w:rsidRPr="003A0120" w:rsidRDefault="00AA1736" w:rsidP="00020AC2">
            <w:pPr>
              <w:pStyle w:val="TableParagraph"/>
              <w:rPr>
                <w:sz w:val="20"/>
                <w:szCs w:val="20"/>
              </w:rPr>
            </w:pPr>
            <w:r w:rsidRPr="003A0120">
              <w:rPr>
                <w:b/>
                <w:bCs/>
                <w:sz w:val="20"/>
                <w:szCs w:val="20"/>
              </w:rPr>
              <w:t xml:space="preserve">Unexpected death </w:t>
            </w:r>
            <w:r w:rsidRPr="003A0120">
              <w:rPr>
                <w:sz w:val="20"/>
                <w:szCs w:val="20"/>
              </w:rPr>
              <w:t>– includes deaths where</w:t>
            </w:r>
            <w:r w:rsidR="00AF48F7" w:rsidRPr="003A0120">
              <w:rPr>
                <w:sz w:val="20"/>
                <w:szCs w:val="20"/>
              </w:rPr>
              <w:t>:</w:t>
            </w:r>
          </w:p>
          <w:p w14:paraId="3EAEF6E6" w14:textId="5942A281" w:rsidR="00AF48F7" w:rsidRPr="003A0120" w:rsidRDefault="00AF48F7" w:rsidP="00020AC2">
            <w:pPr>
              <w:pStyle w:val="TLPTableBullet"/>
              <w:rPr>
                <w:sz w:val="20"/>
              </w:rPr>
            </w:pPr>
            <w:r w:rsidRPr="003A0120">
              <w:rPr>
                <w:sz w:val="20"/>
              </w:rPr>
              <w:t>the individual was accessing services in a residential care home and reasonable steps were not taken to prevent the death;</w:t>
            </w:r>
          </w:p>
          <w:p w14:paraId="543A8E82" w14:textId="6C611D9B" w:rsidR="00AA1736" w:rsidRPr="003A0120" w:rsidRDefault="00AA1736" w:rsidP="00020AC2">
            <w:pPr>
              <w:pStyle w:val="TLPTableBullet"/>
              <w:rPr>
                <w:sz w:val="20"/>
              </w:rPr>
            </w:pPr>
            <w:r w:rsidRPr="003A0120">
              <w:rPr>
                <w:sz w:val="20"/>
              </w:rPr>
              <w:t>the death resulted from services delivered by the registered provider, or a failure by the registered provider to deliver services.</w:t>
            </w:r>
          </w:p>
        </w:tc>
      </w:tr>
      <w:tr w:rsidR="00AA1736" w:rsidRPr="003A173C" w14:paraId="32A1ABC7" w14:textId="77777777" w:rsidTr="00020AC2">
        <w:trPr>
          <w:trHeight w:val="1825"/>
        </w:trPr>
        <w:tc>
          <w:tcPr>
            <w:tcW w:w="4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3D9D7" w14:textId="43731D12" w:rsidR="00CF0466" w:rsidRPr="003A0120" w:rsidRDefault="00CF0466" w:rsidP="00020AC2">
            <w:pPr>
              <w:pStyle w:val="TableParagraph"/>
              <w:rPr>
                <w:sz w:val="20"/>
                <w:szCs w:val="20"/>
              </w:rPr>
            </w:pPr>
            <w:r w:rsidRPr="003A0120">
              <w:rPr>
                <w:b/>
                <w:bCs/>
                <w:sz w:val="20"/>
                <w:szCs w:val="20"/>
              </w:rPr>
              <w:t xml:space="preserve">Inappropriate use of </w:t>
            </w:r>
            <w:hyperlink r:id="rId61"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where a restrictive practice is used in relation to an individual and this use is not in accordance with the requirements for use of a restrictive practice set out in the Act and Rules. See in particularly clause 16-15 of the Aged Care Rules 2025.</w:t>
            </w:r>
          </w:p>
        </w:tc>
        <w:tc>
          <w:tcPr>
            <w:tcW w:w="4704" w:type="dxa"/>
            <w:tcBorders>
              <w:top w:val="nil"/>
              <w:left w:val="nil"/>
              <w:bottom w:val="single" w:sz="8" w:space="0" w:color="auto"/>
              <w:right w:val="single" w:sz="8" w:space="0" w:color="auto"/>
            </w:tcBorders>
            <w:tcMar>
              <w:top w:w="0" w:type="dxa"/>
              <w:left w:w="108" w:type="dxa"/>
              <w:bottom w:w="0" w:type="dxa"/>
              <w:right w:w="108" w:type="dxa"/>
            </w:tcMar>
            <w:hideMark/>
          </w:tcPr>
          <w:p w14:paraId="1F98592C" w14:textId="698E6C09" w:rsidR="00AA1736" w:rsidRPr="003A0120" w:rsidRDefault="00CF0466" w:rsidP="00020AC2">
            <w:pPr>
              <w:pStyle w:val="TableParagraph"/>
              <w:rPr>
                <w:sz w:val="20"/>
                <w:szCs w:val="20"/>
              </w:rPr>
            </w:pPr>
            <w:r w:rsidRPr="003A0120">
              <w:rPr>
                <w:b/>
                <w:bCs/>
                <w:sz w:val="20"/>
                <w:szCs w:val="20"/>
              </w:rPr>
              <w:t xml:space="preserve">Inappropriate use of </w:t>
            </w:r>
            <w:hyperlink r:id="rId62" w:history="1">
              <w:r w:rsidRPr="00E95CA6">
                <w:rPr>
                  <w:rStyle w:val="Hyperlink"/>
                  <w:rFonts w:ascii="Calibri" w:hAnsi="Calibri" w:cs="Calibri"/>
                  <w:b/>
                  <w:bCs/>
                  <w:sz w:val="20"/>
                  <w:szCs w:val="20"/>
                </w:rPr>
                <w:t>restrictive practices</w:t>
              </w:r>
            </w:hyperlink>
            <w:r w:rsidRPr="003A0120">
              <w:rPr>
                <w:b/>
                <w:bCs/>
                <w:sz w:val="20"/>
                <w:szCs w:val="20"/>
              </w:rPr>
              <w:t xml:space="preserve"> </w:t>
            </w:r>
            <w:r w:rsidRPr="003A0120">
              <w:rPr>
                <w:sz w:val="20"/>
                <w:szCs w:val="20"/>
              </w:rPr>
              <w:t>– where a restrictive practice is used in relation to an individual and this use is not in accordance with the requirements for use of a restrictive practice set out in the Act and Rules. See in particular Chapter 4, Part 9 of the Rules</w:t>
            </w:r>
            <w:r w:rsidR="007206E9" w:rsidRPr="003A0120">
              <w:rPr>
                <w:sz w:val="20"/>
                <w:szCs w:val="20"/>
              </w:rPr>
              <w:t>.</w:t>
            </w:r>
          </w:p>
        </w:tc>
      </w:tr>
    </w:tbl>
    <w:p w14:paraId="53F6DC86" w14:textId="39E82318" w:rsidR="00AA1736" w:rsidRPr="003A173C" w:rsidRDefault="00AA1736" w:rsidP="007206E9">
      <w:r w:rsidRPr="003A173C">
        <w:lastRenderedPageBreak/>
        <w:t xml:space="preserve">For more detail on what is a reportable incident and examples for each </w:t>
      </w:r>
      <w:r w:rsidR="00AF48F7" w:rsidRPr="003A173C">
        <w:t xml:space="preserve">care </w:t>
      </w:r>
      <w:r w:rsidRPr="003A173C">
        <w:t xml:space="preserve">setting, please review guidance on the </w:t>
      </w:r>
      <w:hyperlink r:id="rId63" w:history="1">
        <w:r w:rsidRPr="003A173C">
          <w:rPr>
            <w:rStyle w:val="Hyperlink"/>
            <w:rFonts w:ascii="Calibri" w:hAnsi="Calibri" w:cs="Calibri"/>
            <w:sz w:val="20"/>
            <w:szCs w:val="20"/>
          </w:rPr>
          <w:t>Commission’s website</w:t>
        </w:r>
      </w:hyperlink>
      <w:r w:rsidRPr="003A173C">
        <w:t>.</w:t>
      </w:r>
    </w:p>
    <w:p w14:paraId="4076D1D4" w14:textId="7ED91596" w:rsidR="00AA1736" w:rsidRPr="003A173C" w:rsidRDefault="00AA1736" w:rsidP="00412682">
      <w:pPr>
        <w:pStyle w:val="heading4withoutnumbers"/>
        <w:rPr>
          <w:rFonts w:cs="Calibri"/>
          <w:b/>
          <w:bCs/>
        </w:rPr>
      </w:pPr>
      <w:r w:rsidRPr="003A173C">
        <w:rPr>
          <w:rFonts w:cs="Calibri"/>
          <w:b/>
          <w:bCs/>
        </w:rPr>
        <w:t xml:space="preserve">Reporting </w:t>
      </w:r>
      <w:r w:rsidR="00434741">
        <w:rPr>
          <w:rFonts w:cs="Calibri"/>
          <w:b/>
          <w:bCs/>
        </w:rPr>
        <w:t>t</w:t>
      </w:r>
      <w:r w:rsidRPr="003A173C">
        <w:rPr>
          <w:rFonts w:cs="Calibri"/>
          <w:b/>
          <w:bCs/>
        </w:rPr>
        <w:t>imeframes</w:t>
      </w:r>
    </w:p>
    <w:p w14:paraId="295C80FE" w14:textId="77777777" w:rsidR="00AA1736" w:rsidRPr="003A173C" w:rsidRDefault="00AA1736" w:rsidP="00AA1736">
      <w:pPr>
        <w:rPr>
          <w:rFonts w:cs="Calibri"/>
        </w:rPr>
      </w:pPr>
      <w:r w:rsidRPr="003A173C">
        <w:rPr>
          <w:rFonts w:cs="Calibri"/>
        </w:rPr>
        <w:t xml:space="preserve">All </w:t>
      </w:r>
      <w:r w:rsidRPr="003A173C">
        <w:rPr>
          <w:rFonts w:cs="Calibri"/>
          <w:b/>
          <w:bCs/>
        </w:rPr>
        <w:t>‘Priority 1</w:t>
      </w:r>
      <w:r w:rsidRPr="003A173C">
        <w:rPr>
          <w:rFonts w:cs="Calibri"/>
        </w:rPr>
        <w:t xml:space="preserve">’ reportable incidents must be reported to the Commission, and the police where the incident is of a criminal nature, by the registered provider within </w:t>
      </w:r>
      <w:r w:rsidRPr="003A173C">
        <w:rPr>
          <w:rFonts w:cs="Calibri"/>
          <w:b/>
          <w:bCs/>
        </w:rPr>
        <w:t xml:space="preserve">24 hours </w:t>
      </w:r>
      <w:r w:rsidRPr="003A173C">
        <w:rPr>
          <w:rFonts w:cs="Calibri"/>
        </w:rPr>
        <w:t>of the provider becoming aware of the incident. There are certain types of reportable incidents that must always be reported as a Priority 1 reportable incident:</w:t>
      </w:r>
    </w:p>
    <w:p w14:paraId="5CCD54FB" w14:textId="77777777" w:rsidR="00AA1736" w:rsidRPr="003A173C" w:rsidRDefault="00AA1736" w:rsidP="00020AC2">
      <w:pPr>
        <w:pStyle w:val="ListBullet"/>
      </w:pPr>
      <w:r w:rsidRPr="003A173C">
        <w:t>an incident that has caused an individual physical or psychological injury or discomfort that requires medical or psychological treatment to resolve;</w:t>
      </w:r>
    </w:p>
    <w:p w14:paraId="4C4210AD" w14:textId="77777777" w:rsidR="00AA1736" w:rsidRPr="003A173C" w:rsidRDefault="00AA1736" w:rsidP="00020AC2">
      <w:pPr>
        <w:pStyle w:val="ListBullet"/>
      </w:pPr>
      <w:r w:rsidRPr="003A173C">
        <w:t>where there are reasonable grounds to report that incident to the police;</w:t>
      </w:r>
    </w:p>
    <w:p w14:paraId="1D86A17B" w14:textId="77777777" w:rsidR="00AA1736" w:rsidRPr="003A173C" w:rsidRDefault="00AA1736" w:rsidP="00020AC2">
      <w:pPr>
        <w:pStyle w:val="ListBullet"/>
      </w:pPr>
      <w:r w:rsidRPr="003A173C">
        <w:t>the unexpected death of an individual;</w:t>
      </w:r>
    </w:p>
    <w:p w14:paraId="50ED9CFC" w14:textId="77777777" w:rsidR="00AA1736" w:rsidRPr="003A173C" w:rsidRDefault="00AA1736" w:rsidP="00020AC2">
      <w:pPr>
        <w:pStyle w:val="ListBullet"/>
      </w:pPr>
      <w:r w:rsidRPr="003A173C">
        <w:t>an individual’s unexplained absence from the service; or</w:t>
      </w:r>
    </w:p>
    <w:p w14:paraId="46AC5D51" w14:textId="77777777" w:rsidR="00AA1736" w:rsidRPr="003A173C" w:rsidRDefault="00AA1736" w:rsidP="00020AC2">
      <w:pPr>
        <w:pStyle w:val="ListBullet"/>
        <w:rPr>
          <w:szCs w:val="20"/>
        </w:rPr>
      </w:pPr>
      <w:r w:rsidRPr="003A173C">
        <w:rPr>
          <w:szCs w:val="20"/>
        </w:rPr>
        <w:t>unlawful sexual contact or inappropriate sexual conduct.</w:t>
      </w:r>
    </w:p>
    <w:p w14:paraId="5D84CA3C" w14:textId="77777777" w:rsidR="00AA1736" w:rsidRPr="003A173C" w:rsidRDefault="00AA1736" w:rsidP="00AA1736">
      <w:pPr>
        <w:rPr>
          <w:rFonts w:cs="Calibri"/>
          <w:szCs w:val="20"/>
        </w:rPr>
      </w:pPr>
      <w:r w:rsidRPr="003A173C">
        <w:rPr>
          <w:rFonts w:cs="Calibri"/>
          <w:szCs w:val="20"/>
        </w:rPr>
        <w:t xml:space="preserve">All </w:t>
      </w:r>
      <w:r w:rsidRPr="003A173C">
        <w:rPr>
          <w:rFonts w:cs="Calibri"/>
          <w:b/>
          <w:bCs/>
          <w:szCs w:val="20"/>
        </w:rPr>
        <w:t xml:space="preserve">‘Priority 2’ </w:t>
      </w:r>
      <w:r w:rsidRPr="003A173C">
        <w:rPr>
          <w:rFonts w:cs="Calibri"/>
          <w:szCs w:val="20"/>
        </w:rPr>
        <w:t xml:space="preserve">incidents must be reported to the Commission within 30 days of becoming aware of the incident. Priority 2 incidents include all other reportable incidents that do not meet the criteria for a ‘Priority 1’ incident. The </w:t>
      </w:r>
      <w:hyperlink r:id="rId64" w:history="1">
        <w:r w:rsidRPr="003A173C">
          <w:rPr>
            <w:rStyle w:val="Hyperlink"/>
            <w:rFonts w:ascii="Calibri" w:hAnsi="Calibri" w:cs="Calibri"/>
            <w:sz w:val="20"/>
            <w:szCs w:val="20"/>
          </w:rPr>
          <w:t>SIRS decision support tool</w:t>
        </w:r>
      </w:hyperlink>
      <w:r w:rsidRPr="003A173C">
        <w:rPr>
          <w:rFonts w:cs="Calibri"/>
          <w:szCs w:val="20"/>
        </w:rPr>
        <w:t xml:space="preserve"> helps providers to quickly and easily determine the difference between ‘Priority 1’ and ‘Priority 2’ reportable incidents.</w:t>
      </w:r>
    </w:p>
    <w:p w14:paraId="4A4F4985" w14:textId="33136F8C" w:rsidR="00AA1736" w:rsidRPr="003A173C" w:rsidRDefault="00AA1736" w:rsidP="00AA1736">
      <w:pPr>
        <w:rPr>
          <w:rFonts w:cs="Calibri"/>
        </w:rPr>
      </w:pPr>
      <w:r w:rsidRPr="003A173C">
        <w:rPr>
          <w:rFonts w:cs="Calibri"/>
          <w:szCs w:val="20"/>
        </w:rPr>
        <w:t>While the 24-hour timeframe to report Priority 1 incidents to the Commission and the police commences from the point in time the registered provider is aware of the incident, staff members of registered providers (any individual who is employed, hired, retained or contracted by the registered provider or a TCP service provider, whether directly or through an employment or recruiting agency, and including volunteers) who are aware of a reportable incident, must notify the registered provider as soon as possible. For example, if a person working for a third-party organisation is caring for a person in bed-based TCP and there is an unexpected death (SIRS incident category) of that person on a Friday night, that person must notify the registered provider’s key personnel as soon as possible. If the registered provider becomes aware on Friday night, they will still need to comply with timeframes and report the incident to police and</w:t>
      </w:r>
      <w:r w:rsidRPr="003A173C">
        <w:rPr>
          <w:rFonts w:cs="Calibri"/>
        </w:rPr>
        <w:t xml:space="preserve"> the Commission within 24 hours (i.e. by Saturday night).</w:t>
      </w:r>
    </w:p>
    <w:p w14:paraId="172A4878" w14:textId="77777777" w:rsidR="00264770" w:rsidRPr="003A173C" w:rsidRDefault="00264770" w:rsidP="00264770">
      <w:pPr>
        <w:pStyle w:val="heading4withoutnumbers"/>
        <w:rPr>
          <w:rFonts w:cs="Calibri"/>
          <w:b/>
          <w:bCs/>
        </w:rPr>
      </w:pPr>
      <w:r w:rsidRPr="003A173C">
        <w:rPr>
          <w:rFonts w:cs="Calibri"/>
          <w:b/>
          <w:bCs/>
        </w:rPr>
        <w:t>Protection against disclosure</w:t>
      </w:r>
    </w:p>
    <w:p w14:paraId="4C2AD33F" w14:textId="1A60AAB2" w:rsidR="00264770" w:rsidRPr="003A173C" w:rsidRDefault="00C12843" w:rsidP="00264770">
      <w:pPr>
        <w:rPr>
          <w:rFonts w:cs="Calibri"/>
        </w:rPr>
      </w:pPr>
      <w:r w:rsidRPr="003A173C">
        <w:rPr>
          <w:rFonts w:cs="Calibri"/>
        </w:rPr>
        <w:t>Registered</w:t>
      </w:r>
      <w:r w:rsidR="00264770" w:rsidRPr="003A173C">
        <w:rPr>
          <w:rFonts w:cs="Calibri"/>
        </w:rPr>
        <w:t xml:space="preserve"> providers will also have to provide certain protections to persons who make disclosures about reportable incidents in accordance with the</w:t>
      </w:r>
      <w:r w:rsidR="00D162FC" w:rsidRPr="003A173C">
        <w:rPr>
          <w:rFonts w:cs="Calibri"/>
        </w:rPr>
        <w:t xml:space="preserve"> Act</w:t>
      </w:r>
      <w:r w:rsidR="00264770" w:rsidRPr="003A173C">
        <w:rPr>
          <w:rFonts w:cs="Calibri"/>
        </w:rPr>
        <w:t xml:space="preserve"> (Part </w:t>
      </w:r>
      <w:r w:rsidR="004A5E3D" w:rsidRPr="003A173C">
        <w:rPr>
          <w:rFonts w:cs="Calibri"/>
        </w:rPr>
        <w:t>5, Chapter 7 – Whistleblower protections</w:t>
      </w:r>
      <w:r w:rsidR="00264770" w:rsidRPr="003A173C">
        <w:rPr>
          <w:rFonts w:cs="Calibri"/>
        </w:rPr>
        <w:t>).</w:t>
      </w:r>
    </w:p>
    <w:p w14:paraId="1BD386A6" w14:textId="30A5378E" w:rsidR="003B69FC" w:rsidRPr="00721280" w:rsidRDefault="0000405C" w:rsidP="008974DB">
      <w:pPr>
        <w:pStyle w:val="Style3"/>
      </w:pPr>
      <w:bookmarkStart w:id="1806" w:name="_Toc216865513"/>
      <w:r w:rsidRPr="00721280">
        <w:t>Minimising the use of restraints</w:t>
      </w:r>
      <w:bookmarkEnd w:id="1806"/>
    </w:p>
    <w:p w14:paraId="5AF04CCB" w14:textId="691E07D6" w:rsidR="00583078" w:rsidRPr="003A173C" w:rsidRDefault="00A47AC2" w:rsidP="001B4B19">
      <w:pPr>
        <w:rPr>
          <w:rFonts w:cs="Calibri"/>
          <w:szCs w:val="20"/>
        </w:rPr>
      </w:pPr>
      <w:r w:rsidRPr="003A173C">
        <w:rPr>
          <w:rFonts w:cs="Calibri"/>
        </w:rPr>
        <w:t xml:space="preserve">Legislative requirements regarding the use of physical and chemical restraints are contained </w:t>
      </w:r>
      <w:r w:rsidR="00F637E1" w:rsidRPr="003A173C">
        <w:rPr>
          <w:rFonts w:cs="Calibri"/>
        </w:rPr>
        <w:t>in section 17-18</w:t>
      </w:r>
      <w:r w:rsidR="002A3DA6" w:rsidRPr="003A173C">
        <w:rPr>
          <w:rFonts w:cs="Calibri"/>
        </w:rPr>
        <w:t xml:space="preserve"> and sections 162-163 of the Act. </w:t>
      </w:r>
      <w:r w:rsidR="0072090A" w:rsidRPr="003A173C">
        <w:rPr>
          <w:rFonts w:cs="Calibri"/>
          <w:szCs w:val="20"/>
        </w:rPr>
        <w:t>T</w:t>
      </w:r>
      <w:r w:rsidR="00CA0C00" w:rsidRPr="003A173C">
        <w:rPr>
          <w:rFonts w:cs="Calibri"/>
          <w:szCs w:val="20"/>
        </w:rPr>
        <w:t xml:space="preserve">hese </w:t>
      </w:r>
      <w:r w:rsidR="00CA0C00" w:rsidRPr="003A173C">
        <w:rPr>
          <w:rFonts w:cs="Calibri"/>
        </w:rPr>
        <w:t>requirement</w:t>
      </w:r>
      <w:r w:rsidR="0072090A" w:rsidRPr="003A173C">
        <w:rPr>
          <w:rFonts w:cs="Calibri"/>
        </w:rPr>
        <w:t xml:space="preserve">s also </w:t>
      </w:r>
      <w:r w:rsidR="00CA0C00" w:rsidRPr="003A173C">
        <w:rPr>
          <w:rFonts w:cs="Calibri"/>
        </w:rPr>
        <w:t xml:space="preserve">apply to </w:t>
      </w:r>
      <w:r w:rsidR="0072090A" w:rsidRPr="003A173C">
        <w:rPr>
          <w:rFonts w:cs="Calibri"/>
        </w:rPr>
        <w:t xml:space="preserve">registered provider of TCP services. TCP providers </w:t>
      </w:r>
      <w:r w:rsidR="001F1D39" w:rsidRPr="003A173C">
        <w:rPr>
          <w:rFonts w:cs="Calibri"/>
        </w:rPr>
        <w:t xml:space="preserve"> should familiarise themselves with the </w:t>
      </w:r>
      <w:r w:rsidR="00CA0C00" w:rsidRPr="003A173C">
        <w:rPr>
          <w:rFonts w:cs="Calibri"/>
        </w:rPr>
        <w:t>restraint requirements and continue to apply the guidance contained in</w:t>
      </w:r>
      <w:r w:rsidR="00CA0C00" w:rsidRPr="003A173C">
        <w:rPr>
          <w:rFonts w:cs="Calibri"/>
          <w:szCs w:val="20"/>
        </w:rPr>
        <w:t xml:space="preserve"> the </w:t>
      </w:r>
      <w:r w:rsidR="00CA0C00" w:rsidRPr="003A173C">
        <w:rPr>
          <w:rFonts w:cs="Calibri"/>
          <w:iCs/>
          <w:szCs w:val="20"/>
        </w:rPr>
        <w:t>Decision-Making Tool: Supporting a Restraint Free Environment in Community Aged Care</w:t>
      </w:r>
      <w:r w:rsidR="003020F3" w:rsidRPr="003A173C">
        <w:rPr>
          <w:rFonts w:cs="Calibri"/>
          <w:iCs/>
          <w:szCs w:val="20"/>
        </w:rPr>
        <w:t xml:space="preserve"> and Residential Aged Care</w:t>
      </w:r>
      <w:r w:rsidR="00CA0C00" w:rsidRPr="003A173C">
        <w:rPr>
          <w:rFonts w:cs="Calibri"/>
          <w:szCs w:val="20"/>
        </w:rPr>
        <w:t>, available on the Commission’s website at</w:t>
      </w:r>
      <w:r w:rsidR="00FE7699" w:rsidRPr="003A173C">
        <w:rPr>
          <w:rFonts w:cs="Calibri"/>
          <w:szCs w:val="20"/>
        </w:rPr>
        <w:t xml:space="preserve"> </w:t>
      </w:r>
      <w:hyperlink r:id="rId65" w:history="1">
        <w:r w:rsidR="00FE7699" w:rsidRPr="003A173C">
          <w:rPr>
            <w:rStyle w:val="Hyperlink"/>
            <w:rFonts w:ascii="Calibri" w:hAnsi="Calibri" w:cs="Calibri"/>
            <w:sz w:val="20"/>
            <w:szCs w:val="20"/>
          </w:rPr>
          <w:t>Restrictive practices provider resources | Aged Care Quality and Safety Commission</w:t>
        </w:r>
      </w:hyperlink>
      <w:r w:rsidR="00FE7699" w:rsidRPr="003A173C">
        <w:rPr>
          <w:rFonts w:cs="Calibri"/>
          <w:szCs w:val="20"/>
        </w:rPr>
        <w:t xml:space="preserve">. </w:t>
      </w:r>
    </w:p>
    <w:p w14:paraId="4FBF0061" w14:textId="3191D088" w:rsidR="00605BA0" w:rsidRPr="003A173C" w:rsidRDefault="00605BA0" w:rsidP="00B42C61">
      <w:pPr>
        <w:pStyle w:val="Heading2"/>
        <w:rPr>
          <w:rFonts w:ascii="Calibri" w:hAnsi="Calibri" w:cs="Calibri"/>
        </w:rPr>
      </w:pPr>
      <w:bookmarkStart w:id="1807" w:name="_Toc110834673"/>
      <w:bookmarkStart w:id="1808" w:name="_Toc245536195"/>
      <w:bookmarkStart w:id="1809" w:name="_Toc395537209"/>
      <w:bookmarkStart w:id="1810" w:name="_Toc216865514"/>
      <w:r w:rsidRPr="003A173C">
        <w:rPr>
          <w:rFonts w:ascii="Calibri" w:hAnsi="Calibri" w:cs="Calibri"/>
        </w:rPr>
        <w:t>Specific legislative requirements</w:t>
      </w:r>
      <w:bookmarkEnd w:id="1807"/>
      <w:bookmarkEnd w:id="1808"/>
      <w:bookmarkEnd w:id="1809"/>
      <w:bookmarkEnd w:id="1810"/>
    </w:p>
    <w:p w14:paraId="6D7E7402" w14:textId="389AEECB" w:rsidR="00605BA0" w:rsidRPr="003A173C" w:rsidRDefault="000F6D4F" w:rsidP="001E340F">
      <w:pPr>
        <w:rPr>
          <w:rFonts w:cs="Calibri"/>
        </w:rPr>
      </w:pPr>
      <w:r w:rsidRPr="003A173C">
        <w:rPr>
          <w:rFonts w:cs="Calibri"/>
        </w:rPr>
        <w:t>The responsibilities of</w:t>
      </w:r>
      <w:r w:rsidR="00605BA0" w:rsidRPr="003A173C">
        <w:rPr>
          <w:rFonts w:cs="Calibri"/>
        </w:rPr>
        <w:t xml:space="preserve"> </w:t>
      </w:r>
      <w:r w:rsidR="00C21DAA" w:rsidRPr="003A173C">
        <w:rPr>
          <w:rFonts w:cs="Calibri"/>
        </w:rPr>
        <w:t>registered</w:t>
      </w:r>
      <w:r w:rsidR="00605BA0" w:rsidRPr="003A173C">
        <w:rPr>
          <w:rFonts w:cs="Calibri"/>
        </w:rPr>
        <w:t xml:space="preserve"> providers </w:t>
      </w:r>
      <w:r w:rsidRPr="003A173C">
        <w:rPr>
          <w:rFonts w:cs="Calibri"/>
        </w:rPr>
        <w:t>are generally set out</w:t>
      </w:r>
      <w:r w:rsidR="00D950C8" w:rsidRPr="003A173C">
        <w:rPr>
          <w:rFonts w:cs="Calibri"/>
        </w:rPr>
        <w:t xml:space="preserve"> in</w:t>
      </w:r>
      <w:r w:rsidRPr="003A173C">
        <w:rPr>
          <w:rFonts w:cs="Calibri"/>
        </w:rPr>
        <w:t xml:space="preserve"> Part 4 of Chapter 3 of the Act – Obligations of registered providers and conditions on registration of registered providers.</w:t>
      </w:r>
      <w:r w:rsidR="00DB04EB" w:rsidRPr="003A173C">
        <w:rPr>
          <w:rFonts w:cs="Calibri"/>
        </w:rPr>
        <w:t xml:space="preserve"> Some specific legislative require</w:t>
      </w:r>
      <w:r w:rsidR="00266C55" w:rsidRPr="003A173C">
        <w:rPr>
          <w:rFonts w:cs="Calibri"/>
        </w:rPr>
        <w:t xml:space="preserve">ments </w:t>
      </w:r>
      <w:r w:rsidR="00DB04EB" w:rsidRPr="003A173C">
        <w:rPr>
          <w:rFonts w:cs="Calibri"/>
        </w:rPr>
        <w:t xml:space="preserve">are outlined below. </w:t>
      </w:r>
    </w:p>
    <w:p w14:paraId="09265C0F" w14:textId="6B130B7D" w:rsidR="00B2576B" w:rsidRPr="00721280" w:rsidRDefault="00B2576B" w:rsidP="008974DB">
      <w:pPr>
        <w:pStyle w:val="Style3"/>
      </w:pPr>
      <w:bookmarkStart w:id="1811" w:name="_Toc203379359"/>
      <w:bookmarkStart w:id="1812" w:name="_Toc205369499"/>
      <w:bookmarkStart w:id="1813" w:name="_Toc205374451"/>
      <w:bookmarkStart w:id="1814" w:name="_Toc205374599"/>
      <w:bookmarkStart w:id="1815" w:name="_Toc205378397"/>
      <w:bookmarkStart w:id="1816" w:name="_Toc205378631"/>
      <w:bookmarkStart w:id="1817" w:name="_Toc205378865"/>
      <w:bookmarkStart w:id="1818" w:name="_Toc205379098"/>
      <w:bookmarkStart w:id="1819" w:name="_Toc205379331"/>
      <w:bookmarkStart w:id="1820" w:name="_Toc205379564"/>
      <w:bookmarkStart w:id="1821" w:name="_Toc205379789"/>
      <w:bookmarkStart w:id="1822" w:name="_Toc205380013"/>
      <w:bookmarkStart w:id="1823" w:name="_Toc205395471"/>
      <w:bookmarkStart w:id="1824" w:name="_Toc205396265"/>
      <w:bookmarkStart w:id="1825" w:name="_Toc205397796"/>
      <w:bookmarkStart w:id="1826" w:name="_Toc205398021"/>
      <w:bookmarkStart w:id="1827" w:name="_Toc205468647"/>
      <w:bookmarkStart w:id="1828" w:name="_Toc205469106"/>
      <w:bookmarkStart w:id="1829" w:name="_Toc205479898"/>
      <w:bookmarkStart w:id="1830" w:name="_Toc205560971"/>
      <w:bookmarkStart w:id="1831" w:name="_Toc205561196"/>
      <w:bookmarkStart w:id="1832" w:name="_Toc205819248"/>
      <w:bookmarkStart w:id="1833" w:name="_Toc205890711"/>
      <w:bookmarkStart w:id="1834" w:name="_Toc205890851"/>
      <w:bookmarkStart w:id="1835" w:name="_Toc205892061"/>
      <w:bookmarkStart w:id="1836" w:name="_Toc205897218"/>
      <w:bookmarkStart w:id="1837" w:name="_Toc205906101"/>
      <w:bookmarkStart w:id="1838" w:name="_Toc205909239"/>
      <w:bookmarkStart w:id="1839" w:name="_Toc205909732"/>
      <w:bookmarkStart w:id="1840" w:name="_Toc205910038"/>
      <w:bookmarkStart w:id="1841" w:name="_Toc205974547"/>
      <w:bookmarkStart w:id="1842" w:name="_Toc205974687"/>
      <w:bookmarkStart w:id="1843" w:name="_Toc205974827"/>
      <w:bookmarkStart w:id="1844" w:name="_Toc205999126"/>
      <w:bookmarkStart w:id="1845" w:name="_Toc206001435"/>
      <w:bookmarkStart w:id="1846" w:name="_Toc206001577"/>
      <w:bookmarkStart w:id="1847" w:name="_Toc206001718"/>
      <w:bookmarkStart w:id="1848" w:name="_Toc206001860"/>
      <w:bookmarkStart w:id="1849" w:name="_Toc206003782"/>
      <w:bookmarkStart w:id="1850" w:name="_Toc206006270"/>
      <w:bookmarkStart w:id="1851" w:name="_Toc206006591"/>
      <w:bookmarkStart w:id="1852" w:name="_Toc206006732"/>
      <w:bookmarkStart w:id="1853" w:name="_Toc206059607"/>
      <w:bookmarkStart w:id="1854" w:name="_Toc206084524"/>
      <w:bookmarkStart w:id="1855" w:name="_Toc206143972"/>
      <w:bookmarkStart w:id="1856" w:name="_Toc206153660"/>
      <w:bookmarkStart w:id="1857" w:name="_Toc206155709"/>
      <w:bookmarkStart w:id="1858" w:name="_Toc206155850"/>
      <w:bookmarkStart w:id="1859" w:name="_Toc206157056"/>
      <w:bookmarkStart w:id="1860" w:name="_Toc206157276"/>
      <w:bookmarkStart w:id="1861" w:name="_Toc203379360"/>
      <w:bookmarkStart w:id="1862" w:name="_Toc205369500"/>
      <w:bookmarkStart w:id="1863" w:name="_Toc205374452"/>
      <w:bookmarkStart w:id="1864" w:name="_Toc205374600"/>
      <w:bookmarkStart w:id="1865" w:name="_Toc205378398"/>
      <w:bookmarkStart w:id="1866" w:name="_Toc205378632"/>
      <w:bookmarkStart w:id="1867" w:name="_Toc205378866"/>
      <w:bookmarkStart w:id="1868" w:name="_Toc205379099"/>
      <w:bookmarkStart w:id="1869" w:name="_Toc205379332"/>
      <w:bookmarkStart w:id="1870" w:name="_Toc205379565"/>
      <w:bookmarkStart w:id="1871" w:name="_Toc205379790"/>
      <w:bookmarkStart w:id="1872" w:name="_Toc205380014"/>
      <w:bookmarkStart w:id="1873" w:name="_Toc205395472"/>
      <w:bookmarkStart w:id="1874" w:name="_Toc205396266"/>
      <w:bookmarkStart w:id="1875" w:name="_Toc205397797"/>
      <w:bookmarkStart w:id="1876" w:name="_Toc205398022"/>
      <w:bookmarkStart w:id="1877" w:name="_Toc205468648"/>
      <w:bookmarkStart w:id="1878" w:name="_Toc205469107"/>
      <w:bookmarkStart w:id="1879" w:name="_Toc205479899"/>
      <w:bookmarkStart w:id="1880" w:name="_Toc205560972"/>
      <w:bookmarkStart w:id="1881" w:name="_Toc205561197"/>
      <w:bookmarkStart w:id="1882" w:name="_Toc205819249"/>
      <w:bookmarkStart w:id="1883" w:name="_Toc205890712"/>
      <w:bookmarkStart w:id="1884" w:name="_Toc205890852"/>
      <w:bookmarkStart w:id="1885" w:name="_Toc205892062"/>
      <w:bookmarkStart w:id="1886" w:name="_Toc205897219"/>
      <w:bookmarkStart w:id="1887" w:name="_Toc205906102"/>
      <w:bookmarkStart w:id="1888" w:name="_Toc205909240"/>
      <w:bookmarkStart w:id="1889" w:name="_Toc205909733"/>
      <w:bookmarkStart w:id="1890" w:name="_Toc205910039"/>
      <w:bookmarkStart w:id="1891" w:name="_Toc205974548"/>
      <w:bookmarkStart w:id="1892" w:name="_Toc205974688"/>
      <w:bookmarkStart w:id="1893" w:name="_Toc205974828"/>
      <w:bookmarkStart w:id="1894" w:name="_Toc205999127"/>
      <w:bookmarkStart w:id="1895" w:name="_Toc206001436"/>
      <w:bookmarkStart w:id="1896" w:name="_Toc206001578"/>
      <w:bookmarkStart w:id="1897" w:name="_Toc206001719"/>
      <w:bookmarkStart w:id="1898" w:name="_Toc206001861"/>
      <w:bookmarkStart w:id="1899" w:name="_Toc206003783"/>
      <w:bookmarkStart w:id="1900" w:name="_Toc206006271"/>
      <w:bookmarkStart w:id="1901" w:name="_Toc206006592"/>
      <w:bookmarkStart w:id="1902" w:name="_Toc206006733"/>
      <w:bookmarkStart w:id="1903" w:name="_Toc206059608"/>
      <w:bookmarkStart w:id="1904" w:name="_Toc206084525"/>
      <w:bookmarkStart w:id="1905" w:name="_Toc206143973"/>
      <w:bookmarkStart w:id="1906" w:name="_Toc206153661"/>
      <w:bookmarkStart w:id="1907" w:name="_Toc206155710"/>
      <w:bookmarkStart w:id="1908" w:name="_Toc206155851"/>
      <w:bookmarkStart w:id="1909" w:name="_Toc206157057"/>
      <w:bookmarkStart w:id="1910" w:name="_Toc206157277"/>
      <w:bookmarkStart w:id="1911" w:name="_Toc110834675"/>
      <w:bookmarkStart w:id="1912" w:name="_Toc245536197"/>
      <w:bookmarkStart w:id="1913" w:name="_Toc395537211"/>
      <w:bookmarkStart w:id="1914" w:name="_Toc422732568"/>
      <w:bookmarkStart w:id="1915" w:name="_Toc422752907"/>
      <w:bookmarkStart w:id="1916" w:name="_Toc216865515"/>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r w:rsidRPr="00721280">
        <w:t>TCP</w:t>
      </w:r>
      <w:r w:rsidR="00605BA0" w:rsidRPr="00721280">
        <w:t xml:space="preserve"> subsidy</w:t>
      </w:r>
      <w:bookmarkEnd w:id="1911"/>
      <w:bookmarkEnd w:id="1912"/>
      <w:bookmarkEnd w:id="1913"/>
      <w:bookmarkEnd w:id="1914"/>
      <w:bookmarkEnd w:id="1915"/>
      <w:bookmarkEnd w:id="1916"/>
    </w:p>
    <w:p w14:paraId="004829CC" w14:textId="397F6513" w:rsidR="006C5B7E" w:rsidRPr="003A173C" w:rsidRDefault="009F2679" w:rsidP="002054A2">
      <w:pPr>
        <w:rPr>
          <w:rFonts w:cs="Calibri"/>
        </w:rPr>
      </w:pPr>
      <w:r w:rsidRPr="003A173C">
        <w:rPr>
          <w:rFonts w:cs="Calibri"/>
        </w:rPr>
        <w:t>Section 248 of the</w:t>
      </w:r>
      <w:r w:rsidR="00605BA0" w:rsidRPr="003A173C">
        <w:rPr>
          <w:rFonts w:cs="Calibri"/>
        </w:rPr>
        <w:t xml:space="preserve"> </w:t>
      </w:r>
      <w:r w:rsidR="00723838" w:rsidRPr="003A173C">
        <w:rPr>
          <w:rFonts w:cs="Calibri"/>
        </w:rPr>
        <w:t>Act</w:t>
      </w:r>
      <w:r w:rsidR="009E5CC4" w:rsidRPr="003A173C">
        <w:rPr>
          <w:rFonts w:cs="Calibri"/>
        </w:rPr>
        <w:t xml:space="preserve"> state</w:t>
      </w:r>
      <w:r w:rsidRPr="003A173C">
        <w:rPr>
          <w:rFonts w:cs="Calibri"/>
        </w:rPr>
        <w:t>s</w:t>
      </w:r>
      <w:r w:rsidR="009E5CC4" w:rsidRPr="003A173C">
        <w:rPr>
          <w:rFonts w:cs="Calibri"/>
        </w:rPr>
        <w:t xml:space="preserve"> the requirements which must</w:t>
      </w:r>
      <w:r w:rsidR="00605BA0" w:rsidRPr="003A173C">
        <w:rPr>
          <w:rFonts w:cs="Calibri"/>
        </w:rPr>
        <w:t xml:space="preserve"> be satisfied to claim</w:t>
      </w:r>
      <w:r w:rsidR="00D950C8" w:rsidRPr="003A173C">
        <w:rPr>
          <w:rFonts w:cs="Calibri"/>
        </w:rPr>
        <w:t xml:space="preserve"> the TCP</w:t>
      </w:r>
      <w:r w:rsidR="00605BA0" w:rsidRPr="003A173C">
        <w:rPr>
          <w:rFonts w:cs="Calibri"/>
        </w:rPr>
        <w:t xml:space="preserve"> subsidy, </w:t>
      </w:r>
      <w:r w:rsidR="006C5B7E" w:rsidRPr="003A173C">
        <w:rPr>
          <w:rFonts w:cs="Calibri"/>
        </w:rPr>
        <w:t xml:space="preserve">and </w:t>
      </w:r>
      <w:r w:rsidR="00605BA0" w:rsidRPr="003A173C">
        <w:rPr>
          <w:rFonts w:cs="Calibri"/>
        </w:rPr>
        <w:t>the basis on which it will be paid</w:t>
      </w:r>
      <w:r w:rsidR="00266C55" w:rsidRPr="003A173C">
        <w:rPr>
          <w:rFonts w:cs="Calibri"/>
        </w:rPr>
        <w:t xml:space="preserve"> to registered providers</w:t>
      </w:r>
      <w:r w:rsidR="006F0D0D" w:rsidRPr="003A173C">
        <w:rPr>
          <w:rFonts w:cs="Calibri"/>
        </w:rPr>
        <w:t>.</w:t>
      </w:r>
      <w:r w:rsidR="006C5B7E" w:rsidRPr="003A173C">
        <w:rPr>
          <w:rFonts w:cs="Calibri"/>
        </w:rPr>
        <w:t xml:space="preserve"> To be eligible for a TCP subsidy, registered providers must be:</w:t>
      </w:r>
    </w:p>
    <w:p w14:paraId="4064597D" w14:textId="77777777" w:rsidR="00377894" w:rsidRPr="003A173C" w:rsidRDefault="006C5B7E" w:rsidP="00020AC2">
      <w:pPr>
        <w:pStyle w:val="ListBullet"/>
        <w:rPr>
          <w:lang w:eastAsia="en-US"/>
        </w:rPr>
      </w:pPr>
      <w:r w:rsidRPr="003A173C">
        <w:rPr>
          <w:lang w:eastAsia="en-US"/>
        </w:rPr>
        <w:t>registered as an aged care provider with the Aged Care Quality and Safety Commissioner; and</w:t>
      </w:r>
    </w:p>
    <w:p w14:paraId="183E3445" w14:textId="77777777" w:rsidR="00377894" w:rsidRPr="003A173C" w:rsidRDefault="006C5B7E" w:rsidP="00020AC2">
      <w:pPr>
        <w:pStyle w:val="ListBullet"/>
        <w:rPr>
          <w:lang w:eastAsia="en-US"/>
        </w:rPr>
      </w:pPr>
      <w:r w:rsidRPr="003A173C">
        <w:rPr>
          <w:lang w:eastAsia="en-US"/>
        </w:rPr>
        <w:t>allocated Places that are:</w:t>
      </w:r>
      <w:r w:rsidR="00377894" w:rsidRPr="003A173C">
        <w:rPr>
          <w:lang w:eastAsia="en-US"/>
        </w:rPr>
        <w:t xml:space="preserve"> </w:t>
      </w:r>
    </w:p>
    <w:p w14:paraId="03634078" w14:textId="77777777" w:rsidR="00377894" w:rsidRPr="003A173C" w:rsidRDefault="006C5B7E" w:rsidP="00020AC2">
      <w:pPr>
        <w:pStyle w:val="ListBullet2"/>
        <w:rPr>
          <w:lang w:eastAsia="en-US"/>
        </w:rPr>
      </w:pPr>
      <w:r w:rsidRPr="003A173C">
        <w:rPr>
          <w:lang w:eastAsia="en-US"/>
        </w:rPr>
        <w:t xml:space="preserve">able to be used to deliver funded Aged Care Services; and </w:t>
      </w:r>
    </w:p>
    <w:p w14:paraId="05DB2188" w14:textId="2CEB7DD7" w:rsidR="006C5B7E" w:rsidRPr="003A173C" w:rsidRDefault="006C5B7E" w:rsidP="00020AC2">
      <w:pPr>
        <w:pStyle w:val="ListBullet2"/>
        <w:rPr>
          <w:lang w:eastAsia="en-US"/>
        </w:rPr>
      </w:pPr>
      <w:r w:rsidRPr="003A173C">
        <w:rPr>
          <w:lang w:eastAsia="en-US"/>
        </w:rPr>
        <w:t xml:space="preserve">in effect under the Act and that meet any conditions of allocation that apply to those </w:t>
      </w:r>
      <w:r w:rsidR="00266C55" w:rsidRPr="003A173C">
        <w:rPr>
          <w:lang w:eastAsia="en-US"/>
        </w:rPr>
        <w:t>pl</w:t>
      </w:r>
      <w:r w:rsidRPr="003A173C">
        <w:rPr>
          <w:lang w:eastAsia="en-US"/>
        </w:rPr>
        <w:t>aces.</w:t>
      </w:r>
    </w:p>
    <w:p w14:paraId="50E94656" w14:textId="2D05D197" w:rsidR="00463E70" w:rsidRPr="003A173C" w:rsidRDefault="006F0D0D" w:rsidP="00463E70">
      <w:pPr>
        <w:rPr>
          <w:rFonts w:cs="Calibri"/>
        </w:rPr>
      </w:pPr>
      <w:r w:rsidRPr="003A173C">
        <w:rPr>
          <w:rFonts w:cs="Calibri"/>
        </w:rPr>
        <w:t xml:space="preserve">The TCP subsidy rate is </w:t>
      </w:r>
      <w:r w:rsidR="00855AC8" w:rsidRPr="003A173C">
        <w:rPr>
          <w:rFonts w:cs="Calibri"/>
        </w:rPr>
        <w:t>stated in</w:t>
      </w:r>
      <w:r w:rsidRPr="003A173C">
        <w:rPr>
          <w:rFonts w:cs="Calibri"/>
        </w:rPr>
        <w:t xml:space="preserve"> section 249-90 of the Rules</w:t>
      </w:r>
      <w:r w:rsidR="00605BA0" w:rsidRPr="003A173C">
        <w:rPr>
          <w:rFonts w:cs="Calibri"/>
        </w:rPr>
        <w:t>.</w:t>
      </w:r>
      <w:r w:rsidR="00377894" w:rsidRPr="003A173C">
        <w:rPr>
          <w:rFonts w:cs="Calibri"/>
        </w:rPr>
        <w:t xml:space="preserve"> Section</w:t>
      </w:r>
      <w:r w:rsidR="00463E70" w:rsidRPr="003A173C">
        <w:rPr>
          <w:rFonts w:cs="Calibri"/>
        </w:rPr>
        <w:t xml:space="preserve"> 260 sets out requirement for claims and payment of TCP subsidies. It is a condition on which subsidy is paid to a registered provider under that section that the subsidy is used by the registered provider only for the purpose of delivering funded aged care services to individuals in circumstances where all of the following apply:</w:t>
      </w:r>
    </w:p>
    <w:p w14:paraId="36769817" w14:textId="1DA5DE01" w:rsidR="00463E70" w:rsidRPr="003A173C" w:rsidRDefault="00463E70" w:rsidP="00020AC2">
      <w:pPr>
        <w:pStyle w:val="ListBullet"/>
      </w:pPr>
      <w:r w:rsidRPr="003A173C">
        <w:lastRenderedPageBreak/>
        <w:t>the services are delivered to the individual by the registered provider under a place that is in effect under section 97 of the Act for the program and service group;</w:t>
      </w:r>
    </w:p>
    <w:p w14:paraId="15C83664" w14:textId="3B68B9C8" w:rsidR="00463E70" w:rsidRPr="003A173C" w:rsidRDefault="00463E70" w:rsidP="00020AC2">
      <w:pPr>
        <w:pStyle w:val="ListBullet"/>
      </w:pPr>
      <w:r w:rsidRPr="003A173C">
        <w:t>all conditions on those places under section 99 have been complied with;</w:t>
      </w:r>
    </w:p>
    <w:p w14:paraId="433C3568" w14:textId="2B4F48C3" w:rsidR="00463E70" w:rsidRPr="003A173C" w:rsidRDefault="00463E70" w:rsidP="00020AC2">
      <w:pPr>
        <w:pStyle w:val="ListBullet"/>
      </w:pPr>
      <w:r w:rsidRPr="003A173C">
        <w:t>the registered provider’s registration is in effect and covers the delivery of each of those services; and</w:t>
      </w:r>
    </w:p>
    <w:p w14:paraId="749BDDF7" w14:textId="2DCAA22E" w:rsidR="00463E70" w:rsidRPr="003A173C" w:rsidRDefault="00463E70" w:rsidP="00020AC2">
      <w:pPr>
        <w:pStyle w:val="ListBullet"/>
      </w:pPr>
      <w:r w:rsidRPr="003A173C">
        <w:t>each of those individuals has an access approval in effect that covers each of the services being delivered to the individual.</w:t>
      </w:r>
    </w:p>
    <w:p w14:paraId="156FEF67" w14:textId="7946048E" w:rsidR="00647A59" w:rsidRPr="003A173C" w:rsidRDefault="00463E70" w:rsidP="00412682">
      <w:pPr>
        <w:rPr>
          <w:rFonts w:eastAsiaTheme="majorEastAsia" w:cs="Calibri"/>
          <w:b/>
          <w:spacing w:val="0"/>
          <w:szCs w:val="20"/>
          <w:lang w:eastAsia="en-US"/>
        </w:rPr>
      </w:pPr>
      <w:r w:rsidRPr="003A173C">
        <w:rPr>
          <w:rFonts w:cs="Calibri"/>
        </w:rPr>
        <w:t xml:space="preserve">The </w:t>
      </w:r>
      <w:r w:rsidR="00931641" w:rsidRPr="003A173C">
        <w:rPr>
          <w:rFonts w:cs="Calibri"/>
        </w:rPr>
        <w:t>Australian</w:t>
      </w:r>
      <w:r w:rsidRPr="003A173C">
        <w:rPr>
          <w:rFonts w:cs="Calibri"/>
        </w:rPr>
        <w:t xml:space="preserve"> Government can recover amounts paid in circumstances where a registered provider breaches the above condition under section 514 of the Act. </w:t>
      </w:r>
      <w:bookmarkStart w:id="1917" w:name="_Toc110834676"/>
      <w:bookmarkStart w:id="1918" w:name="_Toc245536198"/>
      <w:bookmarkStart w:id="1919" w:name="_Toc395537212"/>
      <w:bookmarkStart w:id="1920" w:name="_Toc422732569"/>
      <w:bookmarkStart w:id="1921" w:name="_Toc422752908"/>
    </w:p>
    <w:p w14:paraId="61FF6F60" w14:textId="7923FDDF" w:rsidR="00605BA0" w:rsidRPr="00721280" w:rsidRDefault="00605BA0" w:rsidP="008974DB">
      <w:pPr>
        <w:pStyle w:val="Style3"/>
      </w:pPr>
      <w:bookmarkStart w:id="1922" w:name="_Toc216865516"/>
      <w:r w:rsidRPr="00721280">
        <w:t xml:space="preserve">Record </w:t>
      </w:r>
      <w:r w:rsidR="00AC4D54" w:rsidRPr="00721280">
        <w:t>k</w:t>
      </w:r>
      <w:r w:rsidRPr="00721280">
        <w:t>eeping</w:t>
      </w:r>
      <w:bookmarkEnd w:id="1917"/>
      <w:bookmarkEnd w:id="1918"/>
      <w:bookmarkEnd w:id="1919"/>
      <w:bookmarkEnd w:id="1920"/>
      <w:bookmarkEnd w:id="1921"/>
      <w:bookmarkEnd w:id="1922"/>
    </w:p>
    <w:p w14:paraId="1F60981C" w14:textId="2B90C14B" w:rsidR="00605BA0" w:rsidRPr="003A173C" w:rsidRDefault="00964622" w:rsidP="001E340F">
      <w:pPr>
        <w:rPr>
          <w:rFonts w:cs="Calibri"/>
        </w:rPr>
      </w:pPr>
      <w:r w:rsidRPr="003A173C">
        <w:rPr>
          <w:rFonts w:cs="Calibri"/>
        </w:rPr>
        <w:t xml:space="preserve">Section 543 of the Act and </w:t>
      </w:r>
      <w:r w:rsidR="00855AC8" w:rsidRPr="003A173C">
        <w:rPr>
          <w:rFonts w:cs="Calibri"/>
        </w:rPr>
        <w:t xml:space="preserve">section </w:t>
      </w:r>
      <w:r w:rsidRPr="003A173C">
        <w:rPr>
          <w:rFonts w:cs="Calibri"/>
        </w:rPr>
        <w:t>543-5 of the Rules</w:t>
      </w:r>
      <w:r w:rsidR="00605BA0" w:rsidRPr="003A173C">
        <w:rPr>
          <w:rFonts w:cs="Calibri"/>
        </w:rPr>
        <w:t xml:space="preserve"> cover the records </w:t>
      </w:r>
      <w:r w:rsidR="002A2B58" w:rsidRPr="003A173C">
        <w:rPr>
          <w:rFonts w:cs="Calibri"/>
        </w:rPr>
        <w:t xml:space="preserve">former </w:t>
      </w:r>
      <w:r w:rsidRPr="003A173C">
        <w:rPr>
          <w:rFonts w:cs="Calibri"/>
        </w:rPr>
        <w:t>registered</w:t>
      </w:r>
      <w:r w:rsidR="00605BA0" w:rsidRPr="003A173C">
        <w:rPr>
          <w:rFonts w:cs="Calibri"/>
        </w:rPr>
        <w:t xml:space="preserve"> providers are required to keep in relation to the administration of</w:t>
      </w:r>
      <w:r w:rsidR="004B5564" w:rsidRPr="003A173C">
        <w:rPr>
          <w:rFonts w:cs="Calibri"/>
        </w:rPr>
        <w:t xml:space="preserve"> </w:t>
      </w:r>
      <w:r w:rsidRPr="003A173C">
        <w:rPr>
          <w:rFonts w:cs="Calibri"/>
        </w:rPr>
        <w:t>TCP</w:t>
      </w:r>
      <w:r w:rsidR="00605BA0" w:rsidRPr="003A173C">
        <w:rPr>
          <w:rFonts w:cs="Calibri"/>
        </w:rPr>
        <w:t xml:space="preserve"> service</w:t>
      </w:r>
      <w:r w:rsidR="00570DA0" w:rsidRPr="003A173C">
        <w:rPr>
          <w:rFonts w:cs="Calibri"/>
        </w:rPr>
        <w:t>s</w:t>
      </w:r>
      <w:r w:rsidR="009E5CC4" w:rsidRPr="003A173C">
        <w:rPr>
          <w:rFonts w:cs="Calibri"/>
        </w:rPr>
        <w:t xml:space="preserve">. </w:t>
      </w:r>
      <w:r w:rsidR="00472CF1" w:rsidRPr="003A173C">
        <w:rPr>
          <w:rFonts w:cs="Calibri"/>
        </w:rPr>
        <w:t>Part 15 of Chapter 6 of the Act</w:t>
      </w:r>
      <w:r w:rsidR="00605BA0" w:rsidRPr="003A173C">
        <w:rPr>
          <w:rFonts w:cs="Calibri"/>
        </w:rPr>
        <w:t xml:space="preserve"> also cover </w:t>
      </w:r>
      <w:r w:rsidR="00472CF1" w:rsidRPr="003A173C">
        <w:rPr>
          <w:rFonts w:cs="Calibri"/>
        </w:rPr>
        <w:t xml:space="preserve">the provision of </w:t>
      </w:r>
      <w:r w:rsidR="00605BA0" w:rsidRPr="003A173C">
        <w:rPr>
          <w:rFonts w:cs="Calibri"/>
        </w:rPr>
        <w:t xml:space="preserve">false </w:t>
      </w:r>
      <w:r w:rsidR="00BD7752" w:rsidRPr="003A173C">
        <w:rPr>
          <w:rFonts w:cs="Calibri"/>
        </w:rPr>
        <w:t>or</w:t>
      </w:r>
      <w:r w:rsidR="00605BA0" w:rsidRPr="003A173C">
        <w:rPr>
          <w:rFonts w:cs="Calibri"/>
        </w:rPr>
        <w:t xml:space="preserve"> misleading </w:t>
      </w:r>
      <w:r w:rsidR="00472CF1" w:rsidRPr="003A173C">
        <w:rPr>
          <w:rFonts w:cs="Calibri"/>
        </w:rPr>
        <w:t>information under the Act</w:t>
      </w:r>
      <w:r w:rsidR="00605BA0" w:rsidRPr="003A173C">
        <w:rPr>
          <w:rFonts w:cs="Calibri"/>
        </w:rPr>
        <w:t xml:space="preserve"> and the penalties that may apply.</w:t>
      </w:r>
      <w:r w:rsidR="00583078" w:rsidRPr="003A173C">
        <w:rPr>
          <w:rFonts w:cs="Calibri"/>
        </w:rPr>
        <w:t xml:space="preserve"> </w:t>
      </w:r>
      <w:r w:rsidRPr="003A173C">
        <w:rPr>
          <w:rFonts w:cs="Calibri"/>
        </w:rPr>
        <w:t xml:space="preserve">Registered </w:t>
      </w:r>
      <w:r w:rsidR="00605BA0" w:rsidRPr="003A173C">
        <w:rPr>
          <w:rFonts w:cs="Calibri"/>
        </w:rPr>
        <w:t xml:space="preserve">providers should also ensure </w:t>
      </w:r>
      <w:r w:rsidR="003C68A4" w:rsidRPr="003A173C">
        <w:rPr>
          <w:rFonts w:cs="Calibri"/>
        </w:rPr>
        <w:t xml:space="preserve">they </w:t>
      </w:r>
      <w:r w:rsidR="00605BA0" w:rsidRPr="003A173C">
        <w:rPr>
          <w:rFonts w:cs="Calibri"/>
        </w:rPr>
        <w:t>maintain the health records of individual</w:t>
      </w:r>
      <w:r w:rsidRPr="003A173C">
        <w:rPr>
          <w:rFonts w:cs="Calibri"/>
        </w:rPr>
        <w:t>s</w:t>
      </w:r>
      <w:r w:rsidR="00605BA0" w:rsidRPr="003A173C">
        <w:rPr>
          <w:rFonts w:cs="Calibri"/>
        </w:rPr>
        <w:t xml:space="preserve"> in accordance with the local </w:t>
      </w:r>
      <w:r w:rsidR="00CF4680" w:rsidRPr="003A173C">
        <w:rPr>
          <w:rFonts w:cs="Calibri"/>
        </w:rPr>
        <w:t>S</w:t>
      </w:r>
      <w:r w:rsidR="00605BA0" w:rsidRPr="003A173C">
        <w:rPr>
          <w:rFonts w:cs="Calibri"/>
        </w:rPr>
        <w:t xml:space="preserve">tate or </w:t>
      </w:r>
      <w:r w:rsidR="00CF4680" w:rsidRPr="003A173C">
        <w:rPr>
          <w:rFonts w:cs="Calibri"/>
        </w:rPr>
        <w:t>T</w:t>
      </w:r>
      <w:r w:rsidR="00605BA0" w:rsidRPr="003A173C">
        <w:rPr>
          <w:rFonts w:cs="Calibri"/>
        </w:rPr>
        <w:t>erritory legislation and policy guidelines, as appropriate.</w:t>
      </w:r>
    </w:p>
    <w:p w14:paraId="57B822AB" w14:textId="372BC35B" w:rsidR="00605BA0" w:rsidRPr="00721280" w:rsidRDefault="00605BA0" w:rsidP="008974DB">
      <w:pPr>
        <w:pStyle w:val="Style3"/>
      </w:pPr>
      <w:bookmarkStart w:id="1923" w:name="_Toc110834677"/>
      <w:bookmarkStart w:id="1924" w:name="_Toc245536199"/>
      <w:bookmarkStart w:id="1925" w:name="_Toc395537213"/>
      <w:bookmarkStart w:id="1926" w:name="_Toc422732570"/>
      <w:bookmarkStart w:id="1927" w:name="_Toc422752909"/>
      <w:bookmarkStart w:id="1928" w:name="_Toc216865517"/>
      <w:r w:rsidRPr="00721280">
        <w:t>Quality of care</w:t>
      </w:r>
      <w:bookmarkEnd w:id="1923"/>
      <w:bookmarkEnd w:id="1924"/>
      <w:bookmarkEnd w:id="1925"/>
      <w:bookmarkEnd w:id="1926"/>
      <w:bookmarkEnd w:id="1927"/>
      <w:bookmarkEnd w:id="1928"/>
    </w:p>
    <w:p w14:paraId="4E16D250" w14:textId="6878EB24" w:rsidR="003B3FB8" w:rsidRPr="003A173C" w:rsidRDefault="00AC29DB" w:rsidP="002A7DBF">
      <w:pPr>
        <w:rPr>
          <w:rFonts w:cs="Calibri"/>
        </w:rPr>
      </w:pPr>
      <w:r w:rsidRPr="003A173C">
        <w:rPr>
          <w:rFonts w:cs="Calibri"/>
        </w:rPr>
        <w:t>Section 146</w:t>
      </w:r>
      <w:r w:rsidR="00605BA0" w:rsidRPr="003A173C">
        <w:rPr>
          <w:rFonts w:cs="Calibri"/>
        </w:rPr>
        <w:t xml:space="preserve"> of the </w:t>
      </w:r>
      <w:r w:rsidR="00723838" w:rsidRPr="003A173C">
        <w:rPr>
          <w:rFonts w:cs="Calibri"/>
        </w:rPr>
        <w:t>Act</w:t>
      </w:r>
      <w:r w:rsidR="00605BA0" w:rsidRPr="003A173C">
        <w:rPr>
          <w:rFonts w:cs="Calibri"/>
        </w:rPr>
        <w:t xml:space="preserve"> outlines </w:t>
      </w:r>
      <w:r w:rsidRPr="003A173C">
        <w:rPr>
          <w:rFonts w:cs="Calibri"/>
        </w:rPr>
        <w:t xml:space="preserve">the </w:t>
      </w:r>
      <w:r w:rsidR="00735D5F" w:rsidRPr="003A173C">
        <w:rPr>
          <w:rFonts w:cs="Calibri"/>
        </w:rPr>
        <w:t>condition of registration</w:t>
      </w:r>
      <w:r w:rsidRPr="003A173C">
        <w:rPr>
          <w:rFonts w:cs="Calibri"/>
        </w:rPr>
        <w:t xml:space="preserve"> that registered </w:t>
      </w:r>
      <w:r w:rsidR="00605BA0" w:rsidRPr="003A173C">
        <w:rPr>
          <w:rFonts w:cs="Calibri"/>
        </w:rPr>
        <w:t>providers</w:t>
      </w:r>
      <w:r w:rsidR="00735D5F" w:rsidRPr="003A173C">
        <w:rPr>
          <w:rFonts w:cs="Calibri"/>
        </w:rPr>
        <w:t xml:space="preserve"> must con</w:t>
      </w:r>
      <w:r w:rsidR="003C68A4" w:rsidRPr="003A173C">
        <w:rPr>
          <w:rFonts w:cs="Calibri"/>
        </w:rPr>
        <w:t>form</w:t>
      </w:r>
      <w:r w:rsidR="00735D5F" w:rsidRPr="003A173C">
        <w:rPr>
          <w:rFonts w:cs="Calibri"/>
        </w:rPr>
        <w:t xml:space="preserve"> with the Aged Care Quality Standards</w:t>
      </w:r>
      <w:r w:rsidR="00207444" w:rsidRPr="003A173C">
        <w:rPr>
          <w:rFonts w:cs="Calibri"/>
        </w:rPr>
        <w:t xml:space="preserve">. </w:t>
      </w:r>
      <w:r w:rsidR="00735D5F" w:rsidRPr="003A173C">
        <w:rPr>
          <w:rFonts w:cs="Calibri"/>
        </w:rPr>
        <w:t xml:space="preserve">Registered </w:t>
      </w:r>
      <w:r w:rsidR="00605BA0" w:rsidRPr="003A173C">
        <w:rPr>
          <w:rFonts w:cs="Calibri"/>
        </w:rPr>
        <w:t xml:space="preserve">providers are required to ensure </w:t>
      </w:r>
      <w:r w:rsidR="00735D5F" w:rsidRPr="003A173C">
        <w:rPr>
          <w:rFonts w:cs="Calibri"/>
        </w:rPr>
        <w:t>they and their associated providers</w:t>
      </w:r>
      <w:r w:rsidR="00605BA0" w:rsidRPr="003A173C">
        <w:rPr>
          <w:rFonts w:cs="Calibri"/>
        </w:rPr>
        <w:t xml:space="preserve"> </w:t>
      </w:r>
      <w:r w:rsidR="007B1295" w:rsidRPr="003A173C">
        <w:rPr>
          <w:rFonts w:cs="Calibri"/>
        </w:rPr>
        <w:t xml:space="preserve">have a workforce that is sufficient, and </w:t>
      </w:r>
      <w:r w:rsidR="00BD0DB8" w:rsidRPr="003A173C">
        <w:rPr>
          <w:rFonts w:cs="Calibri"/>
        </w:rPr>
        <w:t xml:space="preserve">appropriately </w:t>
      </w:r>
      <w:r w:rsidR="007B1295" w:rsidRPr="003A173C">
        <w:rPr>
          <w:rFonts w:cs="Calibri"/>
        </w:rPr>
        <w:t>skilled to provide safe, respectful</w:t>
      </w:r>
      <w:r w:rsidR="007F0045" w:rsidRPr="003A173C">
        <w:rPr>
          <w:rFonts w:cs="Calibri"/>
        </w:rPr>
        <w:t>,</w:t>
      </w:r>
      <w:r w:rsidR="007B1295" w:rsidRPr="003A173C">
        <w:rPr>
          <w:rFonts w:cs="Calibri"/>
        </w:rPr>
        <w:t xml:space="preserve"> quality care and services</w:t>
      </w:r>
      <w:r w:rsidR="00605BA0" w:rsidRPr="003A173C">
        <w:rPr>
          <w:rFonts w:cs="Calibri"/>
        </w:rPr>
        <w:t>.</w:t>
      </w:r>
      <w:r w:rsidR="00207444" w:rsidRPr="003A173C">
        <w:rPr>
          <w:rFonts w:cs="Calibri"/>
        </w:rPr>
        <w:t xml:space="preserve"> </w:t>
      </w:r>
      <w:r w:rsidR="003E6C21" w:rsidRPr="003A173C">
        <w:rPr>
          <w:rFonts w:cs="Calibri"/>
        </w:rPr>
        <w:t xml:space="preserve">Further, </w:t>
      </w:r>
      <w:r w:rsidR="00735D5F" w:rsidRPr="003A173C">
        <w:rPr>
          <w:rFonts w:cs="Calibri"/>
        </w:rPr>
        <w:t>section</w:t>
      </w:r>
      <w:r w:rsidR="002A7DBF" w:rsidRPr="003A173C">
        <w:rPr>
          <w:rFonts w:cs="Calibri"/>
        </w:rPr>
        <w:t xml:space="preserve"> 147 </w:t>
      </w:r>
      <w:r w:rsidR="003C68A4" w:rsidRPr="003A173C">
        <w:rPr>
          <w:rFonts w:cs="Calibri"/>
        </w:rPr>
        <w:t xml:space="preserve">of the Act </w:t>
      </w:r>
      <w:r w:rsidR="002A7DBF" w:rsidRPr="003A173C">
        <w:rPr>
          <w:rFonts w:cs="Calibri"/>
        </w:rPr>
        <w:t>and section 147-5 and 147-10 of the Rules set the condition of registration that a registered providers of TCP must demonstrate the capability for, and commitment to, continuous improvement towards the delivery of high quality care. It is a condition of registration under these sections that a registered provider of the TCP must have a continuous improvement plan.</w:t>
      </w:r>
    </w:p>
    <w:p w14:paraId="5C8F18E2" w14:textId="01E1B526" w:rsidR="00605BA0" w:rsidRPr="00721280" w:rsidRDefault="00DB04EB" w:rsidP="008974DB">
      <w:pPr>
        <w:pStyle w:val="Style3"/>
      </w:pPr>
      <w:bookmarkStart w:id="1929" w:name="_Toc216865518"/>
      <w:r w:rsidRPr="00721280">
        <w:t>Aged care workers</w:t>
      </w:r>
      <w:bookmarkEnd w:id="1929"/>
      <w:r w:rsidRPr="00721280">
        <w:t xml:space="preserve"> </w:t>
      </w:r>
    </w:p>
    <w:p w14:paraId="17A71748" w14:textId="7345DFF7" w:rsidR="004A15F6" w:rsidRPr="003A173C" w:rsidRDefault="00BC1566" w:rsidP="0057424E">
      <w:pPr>
        <w:rPr>
          <w:rFonts w:cs="Calibri"/>
        </w:rPr>
      </w:pPr>
      <w:r w:rsidRPr="003A173C">
        <w:rPr>
          <w:rFonts w:cs="Calibri"/>
        </w:rPr>
        <w:t>Subject to a staged implementation and transition requirements, s</w:t>
      </w:r>
      <w:r w:rsidR="004C25A0" w:rsidRPr="003A173C">
        <w:rPr>
          <w:rFonts w:cs="Calibri"/>
        </w:rPr>
        <w:t>ection</w:t>
      </w:r>
      <w:r w:rsidR="00F251FE" w:rsidRPr="003A173C">
        <w:rPr>
          <w:rFonts w:cs="Calibri"/>
        </w:rPr>
        <w:t xml:space="preserve"> 152</w:t>
      </w:r>
      <w:r w:rsidR="006E5F81" w:rsidRPr="003A173C">
        <w:rPr>
          <w:rFonts w:cs="Calibri"/>
        </w:rPr>
        <w:t xml:space="preserve"> of the Act</w:t>
      </w:r>
      <w:r w:rsidR="00DB04EB" w:rsidRPr="003A173C">
        <w:rPr>
          <w:rFonts w:cs="Calibri"/>
        </w:rPr>
        <w:t xml:space="preserve"> </w:t>
      </w:r>
      <w:r w:rsidR="004C25A0" w:rsidRPr="003A173C">
        <w:rPr>
          <w:rFonts w:cs="Calibri"/>
        </w:rPr>
        <w:t xml:space="preserve">sets out the </w:t>
      </w:r>
      <w:r w:rsidR="00DB04EB" w:rsidRPr="003A173C">
        <w:rPr>
          <w:rFonts w:cs="Calibri"/>
        </w:rPr>
        <w:t xml:space="preserve">condition of registration </w:t>
      </w:r>
      <w:r w:rsidR="006E5F81" w:rsidRPr="003A173C">
        <w:rPr>
          <w:rFonts w:cs="Calibri"/>
        </w:rPr>
        <w:t xml:space="preserve">relating to aged care workers including </w:t>
      </w:r>
      <w:r w:rsidR="00DB04EB" w:rsidRPr="003A173C">
        <w:rPr>
          <w:rFonts w:cs="Calibri"/>
        </w:rPr>
        <w:t xml:space="preserve">that a registered provider </w:t>
      </w:r>
      <w:r w:rsidR="003C68A4" w:rsidRPr="003A173C">
        <w:rPr>
          <w:rFonts w:cs="Calibri"/>
        </w:rPr>
        <w:t>m</w:t>
      </w:r>
      <w:r w:rsidR="00F11BFB" w:rsidRPr="003A173C">
        <w:rPr>
          <w:rFonts w:cs="Calibri"/>
        </w:rPr>
        <w:t>ust</w:t>
      </w:r>
      <w:r w:rsidR="00DB04EB" w:rsidRPr="003A173C">
        <w:rPr>
          <w:rFonts w:cs="Calibri"/>
        </w:rPr>
        <w:t xml:space="preserve"> comply with the worker screening requirements prescribed</w:t>
      </w:r>
      <w:r w:rsidR="00F11BFB" w:rsidRPr="003A173C">
        <w:rPr>
          <w:rFonts w:cs="Calibri"/>
        </w:rPr>
        <w:t xml:space="preserve"> </w:t>
      </w:r>
      <w:r w:rsidR="00DB04EB" w:rsidRPr="003A173C">
        <w:rPr>
          <w:rFonts w:cs="Calibri"/>
        </w:rPr>
        <w:t xml:space="preserve">by the </w:t>
      </w:r>
      <w:r w:rsidR="00F11BFB" w:rsidRPr="003A173C">
        <w:rPr>
          <w:rFonts w:cs="Calibri"/>
        </w:rPr>
        <w:t>R</w:t>
      </w:r>
      <w:r w:rsidR="00DB04EB" w:rsidRPr="003A173C">
        <w:rPr>
          <w:rFonts w:cs="Calibri"/>
        </w:rPr>
        <w:t>ules and ensure that aged care workers meet any qualifications and</w:t>
      </w:r>
      <w:r w:rsidR="00F11BFB" w:rsidRPr="003A173C">
        <w:rPr>
          <w:rFonts w:cs="Calibri"/>
        </w:rPr>
        <w:t xml:space="preserve"> </w:t>
      </w:r>
      <w:r w:rsidR="00DB04EB" w:rsidRPr="003A173C">
        <w:rPr>
          <w:rFonts w:cs="Calibri"/>
        </w:rPr>
        <w:t>training requirements</w:t>
      </w:r>
      <w:r w:rsidR="006E5F81" w:rsidRPr="003A173C">
        <w:rPr>
          <w:rFonts w:cs="Calibri"/>
        </w:rPr>
        <w:t xml:space="preserve">. </w:t>
      </w:r>
      <w:r w:rsidR="003C68A4" w:rsidRPr="003A173C">
        <w:rPr>
          <w:rFonts w:cs="Calibri"/>
        </w:rPr>
        <w:t>A</w:t>
      </w:r>
      <w:r w:rsidR="004A15F6" w:rsidRPr="003A173C">
        <w:rPr>
          <w:rFonts w:cs="Calibri"/>
        </w:rPr>
        <w:t xml:space="preserve">n aged care worker </w:t>
      </w:r>
      <w:r w:rsidR="0057424E" w:rsidRPr="003A173C">
        <w:rPr>
          <w:rFonts w:cs="Calibri"/>
        </w:rPr>
        <w:t xml:space="preserve">and responsible persons </w:t>
      </w:r>
      <w:r w:rsidR="004A15F6" w:rsidRPr="003A173C">
        <w:rPr>
          <w:rFonts w:cs="Calibri"/>
        </w:rPr>
        <w:t>of a registered provider must comply with the</w:t>
      </w:r>
      <w:r w:rsidR="006E5F81" w:rsidRPr="003A173C">
        <w:rPr>
          <w:rFonts w:cs="Calibri"/>
        </w:rPr>
        <w:t xml:space="preserve"> </w:t>
      </w:r>
      <w:r w:rsidR="004A15F6" w:rsidRPr="003A173C">
        <w:rPr>
          <w:rFonts w:cs="Calibri"/>
        </w:rPr>
        <w:t>Aged Care Code of Conduct</w:t>
      </w:r>
      <w:r w:rsidR="006E5F81" w:rsidRPr="003A173C">
        <w:rPr>
          <w:rFonts w:cs="Calibri"/>
        </w:rPr>
        <w:t xml:space="preserve"> as specified in</w:t>
      </w:r>
      <w:r w:rsidR="0057424E" w:rsidRPr="003A173C">
        <w:rPr>
          <w:rFonts w:cs="Calibri"/>
        </w:rPr>
        <w:t xml:space="preserve"> Part 5 of Chapter 1 of the Rules</w:t>
      </w:r>
      <w:r w:rsidR="003C68A4" w:rsidRPr="003A173C">
        <w:rPr>
          <w:rFonts w:cs="Calibri"/>
        </w:rPr>
        <w:t xml:space="preserve"> (see sections 173 and 174 of the Act).</w:t>
      </w:r>
    </w:p>
    <w:p w14:paraId="75672EC0" w14:textId="728AC42A" w:rsidR="00EE4D24" w:rsidRPr="00721280" w:rsidRDefault="00EE4D24" w:rsidP="008974DB">
      <w:pPr>
        <w:pStyle w:val="Style3"/>
      </w:pPr>
      <w:bookmarkStart w:id="1930" w:name="_Toc203379365"/>
      <w:bookmarkStart w:id="1931" w:name="_Toc205369505"/>
      <w:bookmarkStart w:id="1932" w:name="_Toc205374457"/>
      <w:bookmarkStart w:id="1933" w:name="_Toc205374605"/>
      <w:bookmarkStart w:id="1934" w:name="_Toc205378403"/>
      <w:bookmarkStart w:id="1935" w:name="_Toc205378637"/>
      <w:bookmarkStart w:id="1936" w:name="_Toc205378871"/>
      <w:bookmarkStart w:id="1937" w:name="_Toc205379104"/>
      <w:bookmarkStart w:id="1938" w:name="_Toc205379337"/>
      <w:bookmarkStart w:id="1939" w:name="_Toc205379570"/>
      <w:bookmarkStart w:id="1940" w:name="_Toc205379795"/>
      <w:bookmarkStart w:id="1941" w:name="_Toc205380019"/>
      <w:bookmarkStart w:id="1942" w:name="_Toc205395477"/>
      <w:bookmarkStart w:id="1943" w:name="_Toc205396271"/>
      <w:bookmarkStart w:id="1944" w:name="_Toc205397802"/>
      <w:bookmarkStart w:id="1945" w:name="_Toc205398027"/>
      <w:bookmarkStart w:id="1946" w:name="_Toc205468653"/>
      <w:bookmarkStart w:id="1947" w:name="_Toc205469112"/>
      <w:bookmarkStart w:id="1948" w:name="_Toc205479904"/>
      <w:bookmarkStart w:id="1949" w:name="_Toc205560977"/>
      <w:bookmarkStart w:id="1950" w:name="_Toc205561202"/>
      <w:bookmarkStart w:id="1951" w:name="_Toc205819254"/>
      <w:bookmarkStart w:id="1952" w:name="_Toc205890717"/>
      <w:bookmarkStart w:id="1953" w:name="_Toc205890857"/>
      <w:bookmarkStart w:id="1954" w:name="_Toc205892067"/>
      <w:bookmarkStart w:id="1955" w:name="_Toc205897224"/>
      <w:bookmarkStart w:id="1956" w:name="_Toc205906107"/>
      <w:bookmarkStart w:id="1957" w:name="_Toc205909245"/>
      <w:bookmarkStart w:id="1958" w:name="_Toc205909738"/>
      <w:bookmarkStart w:id="1959" w:name="_Toc205910044"/>
      <w:bookmarkStart w:id="1960" w:name="_Toc205974553"/>
      <w:bookmarkStart w:id="1961" w:name="_Toc205974693"/>
      <w:bookmarkStart w:id="1962" w:name="_Toc205974833"/>
      <w:bookmarkStart w:id="1963" w:name="_Toc205999132"/>
      <w:bookmarkStart w:id="1964" w:name="_Toc206001441"/>
      <w:bookmarkStart w:id="1965" w:name="_Toc206001583"/>
      <w:bookmarkStart w:id="1966" w:name="_Toc206001724"/>
      <w:bookmarkStart w:id="1967" w:name="_Toc206001866"/>
      <w:bookmarkStart w:id="1968" w:name="_Toc206003788"/>
      <w:bookmarkStart w:id="1969" w:name="_Toc206006276"/>
      <w:bookmarkStart w:id="1970" w:name="_Toc206006597"/>
      <w:bookmarkStart w:id="1971" w:name="_Toc206006738"/>
      <w:bookmarkStart w:id="1972" w:name="_Toc206059613"/>
      <w:bookmarkStart w:id="1973" w:name="_Toc206084530"/>
      <w:bookmarkStart w:id="1974" w:name="_Toc206143978"/>
      <w:bookmarkStart w:id="1975" w:name="_Toc206153666"/>
      <w:bookmarkStart w:id="1976" w:name="_Toc206155715"/>
      <w:bookmarkStart w:id="1977" w:name="_Toc206155856"/>
      <w:bookmarkStart w:id="1978" w:name="_Toc206157062"/>
      <w:bookmarkStart w:id="1979" w:name="_Toc206157282"/>
      <w:bookmarkStart w:id="1980" w:name="_Toc203379366"/>
      <w:bookmarkStart w:id="1981" w:name="_Toc205369506"/>
      <w:bookmarkStart w:id="1982" w:name="_Toc205374458"/>
      <w:bookmarkStart w:id="1983" w:name="_Toc205374606"/>
      <w:bookmarkStart w:id="1984" w:name="_Toc205378404"/>
      <w:bookmarkStart w:id="1985" w:name="_Toc205378638"/>
      <w:bookmarkStart w:id="1986" w:name="_Toc205378872"/>
      <w:bookmarkStart w:id="1987" w:name="_Toc205379105"/>
      <w:bookmarkStart w:id="1988" w:name="_Toc205379338"/>
      <w:bookmarkStart w:id="1989" w:name="_Toc205379571"/>
      <w:bookmarkStart w:id="1990" w:name="_Toc205379796"/>
      <w:bookmarkStart w:id="1991" w:name="_Toc205380020"/>
      <w:bookmarkStart w:id="1992" w:name="_Toc205395478"/>
      <w:bookmarkStart w:id="1993" w:name="_Toc205396272"/>
      <w:bookmarkStart w:id="1994" w:name="_Toc205397803"/>
      <w:bookmarkStart w:id="1995" w:name="_Toc205398028"/>
      <w:bookmarkStart w:id="1996" w:name="_Toc205468654"/>
      <w:bookmarkStart w:id="1997" w:name="_Toc205469113"/>
      <w:bookmarkStart w:id="1998" w:name="_Toc205479905"/>
      <w:bookmarkStart w:id="1999" w:name="_Toc205560978"/>
      <w:bookmarkStart w:id="2000" w:name="_Toc205561203"/>
      <w:bookmarkStart w:id="2001" w:name="_Toc205819255"/>
      <w:bookmarkStart w:id="2002" w:name="_Toc205890718"/>
      <w:bookmarkStart w:id="2003" w:name="_Toc205890858"/>
      <w:bookmarkStart w:id="2004" w:name="_Toc205892068"/>
      <w:bookmarkStart w:id="2005" w:name="_Toc205897225"/>
      <w:bookmarkStart w:id="2006" w:name="_Toc205906108"/>
      <w:bookmarkStart w:id="2007" w:name="_Toc205909246"/>
      <w:bookmarkStart w:id="2008" w:name="_Toc205909739"/>
      <w:bookmarkStart w:id="2009" w:name="_Toc205910045"/>
      <w:bookmarkStart w:id="2010" w:name="_Toc205974554"/>
      <w:bookmarkStart w:id="2011" w:name="_Toc205974694"/>
      <w:bookmarkStart w:id="2012" w:name="_Toc205974834"/>
      <w:bookmarkStart w:id="2013" w:name="_Toc205999133"/>
      <w:bookmarkStart w:id="2014" w:name="_Toc206001442"/>
      <w:bookmarkStart w:id="2015" w:name="_Toc206001584"/>
      <w:bookmarkStart w:id="2016" w:name="_Toc206001725"/>
      <w:bookmarkStart w:id="2017" w:name="_Toc206001867"/>
      <w:bookmarkStart w:id="2018" w:name="_Toc206003789"/>
      <w:bookmarkStart w:id="2019" w:name="_Toc206006277"/>
      <w:bookmarkStart w:id="2020" w:name="_Toc206006598"/>
      <w:bookmarkStart w:id="2021" w:name="_Toc206006739"/>
      <w:bookmarkStart w:id="2022" w:name="_Toc206059614"/>
      <w:bookmarkStart w:id="2023" w:name="_Toc206084531"/>
      <w:bookmarkStart w:id="2024" w:name="_Toc206143979"/>
      <w:bookmarkStart w:id="2025" w:name="_Toc206153667"/>
      <w:bookmarkStart w:id="2026" w:name="_Toc206155716"/>
      <w:bookmarkStart w:id="2027" w:name="_Toc206155857"/>
      <w:bookmarkStart w:id="2028" w:name="_Toc206157063"/>
      <w:bookmarkStart w:id="2029" w:name="_Toc206157283"/>
      <w:bookmarkStart w:id="2030" w:name="_Toc21686551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r w:rsidRPr="00721280">
        <w:t xml:space="preserve">Notification of </w:t>
      </w:r>
      <w:r w:rsidR="00870AFB" w:rsidRPr="00721280">
        <w:t xml:space="preserve">a change of circumstances </w:t>
      </w:r>
      <w:r w:rsidR="00C0299E" w:rsidRPr="00721280">
        <w:t>including</w:t>
      </w:r>
      <w:r w:rsidR="00870AFB" w:rsidRPr="00721280">
        <w:t xml:space="preserve"> changes in responsible persons</w:t>
      </w:r>
      <w:bookmarkEnd w:id="2030"/>
      <w:r w:rsidR="00870AFB" w:rsidRPr="00721280">
        <w:t xml:space="preserve"> </w:t>
      </w:r>
    </w:p>
    <w:p w14:paraId="702D0809" w14:textId="3D59C63D" w:rsidR="00E7572D" w:rsidRPr="003A173C" w:rsidRDefault="00586B1D" w:rsidP="006A0A9C">
      <w:pPr>
        <w:autoSpaceDE w:val="0"/>
        <w:autoSpaceDN w:val="0"/>
        <w:adjustRightInd w:val="0"/>
        <w:spacing w:before="0" w:after="0"/>
        <w:rPr>
          <w:rFonts w:eastAsiaTheme="minorHAnsi" w:cs="Calibri"/>
          <w:spacing w:val="0"/>
          <w:szCs w:val="20"/>
          <w:lang w:eastAsia="en-US"/>
        </w:rPr>
      </w:pPr>
      <w:r w:rsidRPr="003A173C">
        <w:rPr>
          <w:rFonts w:eastAsiaTheme="minorHAnsi" w:cs="Calibri"/>
          <w:spacing w:val="0"/>
          <w:szCs w:val="20"/>
          <w:lang w:eastAsia="en-US"/>
        </w:rPr>
        <w:t>A</w:t>
      </w:r>
      <w:r w:rsidR="00E7572D"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registered provider must give</w:t>
      </w:r>
      <w:r w:rsidR="00953DA4" w:rsidRPr="003A173C">
        <w:rPr>
          <w:rFonts w:eastAsiaTheme="minorHAnsi" w:cs="Calibri"/>
          <w:spacing w:val="0"/>
          <w:szCs w:val="20"/>
          <w:lang w:eastAsia="en-US"/>
        </w:rPr>
        <w:t xml:space="preserve"> </w:t>
      </w:r>
      <w:r w:rsidR="006A0A9C" w:rsidRPr="003A173C">
        <w:rPr>
          <w:rFonts w:eastAsiaTheme="minorHAnsi" w:cs="Calibri"/>
          <w:spacing w:val="0"/>
          <w:szCs w:val="20"/>
          <w:lang w:eastAsia="en-US"/>
        </w:rPr>
        <w:t>notice to the Commissioner of any change</w:t>
      </w:r>
      <w:r w:rsidR="006A3FEE" w:rsidRPr="003A173C">
        <w:rPr>
          <w:rFonts w:eastAsiaTheme="minorHAnsi" w:cs="Calibri"/>
          <w:spacing w:val="0"/>
          <w:szCs w:val="20"/>
          <w:lang w:eastAsia="en-US"/>
        </w:rPr>
        <w:t xml:space="preserve"> in its circumstances</w:t>
      </w:r>
      <w:r w:rsidRPr="003A173C">
        <w:rPr>
          <w:rFonts w:eastAsiaTheme="minorHAnsi" w:cs="Calibri"/>
          <w:spacing w:val="0"/>
          <w:szCs w:val="20"/>
          <w:lang w:eastAsia="en-US"/>
        </w:rPr>
        <w:t xml:space="preserve"> as prescribed in the Rules (see section 167 of the Act).</w:t>
      </w:r>
      <w:r w:rsidR="00B8233A" w:rsidRPr="003A173C">
        <w:rPr>
          <w:rFonts w:eastAsiaTheme="minorHAnsi" w:cs="Calibri"/>
          <w:spacing w:val="0"/>
          <w:szCs w:val="20"/>
          <w:lang w:eastAsia="en-US"/>
        </w:rPr>
        <w:t xml:space="preserve"> </w:t>
      </w:r>
      <w:r w:rsidRPr="003A173C">
        <w:rPr>
          <w:rFonts w:eastAsiaTheme="minorHAnsi" w:cs="Calibri"/>
          <w:spacing w:val="0"/>
          <w:szCs w:val="20"/>
          <w:lang w:eastAsia="en-US"/>
        </w:rPr>
        <w:t>The</w:t>
      </w:r>
      <w:r w:rsidR="006A3FEE" w:rsidRPr="003A173C">
        <w:rPr>
          <w:rFonts w:eastAsiaTheme="minorHAnsi" w:cs="Calibri"/>
          <w:spacing w:val="0"/>
          <w:szCs w:val="20"/>
          <w:lang w:eastAsia="en-US"/>
        </w:rPr>
        <w:t xml:space="preserve"> changes</w:t>
      </w:r>
      <w:r w:rsidR="00305E4D" w:rsidRPr="003A173C">
        <w:rPr>
          <w:rFonts w:eastAsiaTheme="minorHAnsi" w:cs="Calibri"/>
          <w:spacing w:val="0"/>
          <w:szCs w:val="20"/>
          <w:lang w:eastAsia="en-US"/>
        </w:rPr>
        <w:t xml:space="preserve"> may</w:t>
      </w:r>
      <w:r w:rsidR="006A3FEE" w:rsidRPr="003A173C">
        <w:rPr>
          <w:rFonts w:eastAsiaTheme="minorHAnsi" w:cs="Calibri"/>
          <w:spacing w:val="0"/>
          <w:szCs w:val="20"/>
          <w:lang w:eastAsia="en-US"/>
        </w:rPr>
        <w:t xml:space="preserve"> </w:t>
      </w:r>
      <w:r w:rsidR="00E7572D" w:rsidRPr="003A173C">
        <w:rPr>
          <w:rFonts w:eastAsiaTheme="minorHAnsi" w:cs="Calibri"/>
          <w:spacing w:val="0"/>
          <w:szCs w:val="20"/>
          <w:lang w:eastAsia="en-US"/>
        </w:rPr>
        <w:t xml:space="preserve">include: </w:t>
      </w:r>
    </w:p>
    <w:p w14:paraId="124DF155" w14:textId="33766CEA" w:rsidR="006A0A9C" w:rsidRPr="00020AC2" w:rsidRDefault="00E7572D" w:rsidP="00020AC2">
      <w:pPr>
        <w:pStyle w:val="ListBullet"/>
        <w:rPr>
          <w:rFonts w:eastAsiaTheme="minorHAnsi"/>
        </w:rPr>
      </w:pPr>
      <w:r w:rsidRPr="003A173C">
        <w:rPr>
          <w:rFonts w:eastAsiaTheme="minorHAnsi"/>
          <w:lang w:eastAsia="en-US"/>
        </w:rPr>
        <w:t>a</w:t>
      </w:r>
      <w:r w:rsidR="006A0A9C" w:rsidRPr="003A173C">
        <w:rPr>
          <w:rFonts w:eastAsiaTheme="minorHAnsi"/>
          <w:lang w:eastAsia="en-US"/>
        </w:rPr>
        <w:t xml:space="preserve"> change of </w:t>
      </w:r>
      <w:r w:rsidR="006A0A9C" w:rsidRPr="00020AC2">
        <w:rPr>
          <w:rFonts w:eastAsiaTheme="minorHAnsi"/>
        </w:rPr>
        <w:t xml:space="preserve">circumstances or an event that materially </w:t>
      </w:r>
      <w:r w:rsidRPr="00020AC2">
        <w:rPr>
          <w:rFonts w:eastAsiaTheme="minorHAnsi"/>
        </w:rPr>
        <w:t xml:space="preserve">affects </w:t>
      </w:r>
      <w:r w:rsidR="006A0A9C" w:rsidRPr="00020AC2">
        <w:rPr>
          <w:rFonts w:eastAsiaTheme="minorHAnsi"/>
        </w:rPr>
        <w:t>the provider’s suitability to be a registered provider taking</w:t>
      </w:r>
      <w:r w:rsidR="006A3FEE" w:rsidRPr="00020AC2">
        <w:rPr>
          <w:rFonts w:eastAsiaTheme="minorHAnsi"/>
        </w:rPr>
        <w:t xml:space="preserve"> </w:t>
      </w:r>
      <w:r w:rsidR="006A0A9C" w:rsidRPr="00020AC2">
        <w:rPr>
          <w:rFonts w:eastAsiaTheme="minorHAnsi"/>
        </w:rPr>
        <w:t xml:space="preserve">into account the matters referred to in </w:t>
      </w:r>
      <w:r w:rsidRPr="00020AC2">
        <w:rPr>
          <w:rFonts w:eastAsiaTheme="minorHAnsi"/>
        </w:rPr>
        <w:t xml:space="preserve">section </w:t>
      </w:r>
      <w:r w:rsidR="006A0A9C" w:rsidRPr="00020AC2">
        <w:rPr>
          <w:rFonts w:eastAsiaTheme="minorHAnsi"/>
        </w:rPr>
        <w:t>109(1)(b)</w:t>
      </w:r>
      <w:r w:rsidRPr="00020AC2">
        <w:rPr>
          <w:rFonts w:eastAsiaTheme="minorHAnsi"/>
        </w:rPr>
        <w:t xml:space="preserve"> </w:t>
      </w:r>
      <w:r w:rsidR="00305E4D" w:rsidRPr="00020AC2">
        <w:rPr>
          <w:rFonts w:eastAsiaTheme="minorHAnsi"/>
        </w:rPr>
        <w:t xml:space="preserve">of the Act </w:t>
      </w:r>
      <w:r w:rsidR="006A0A9C" w:rsidRPr="00020AC2">
        <w:rPr>
          <w:rFonts w:eastAsiaTheme="minorHAnsi"/>
        </w:rPr>
        <w:t>(which deals with suitability of registered providers);</w:t>
      </w:r>
    </w:p>
    <w:p w14:paraId="72064A03" w14:textId="050B5DD4" w:rsidR="006A0A9C" w:rsidRPr="00020AC2" w:rsidRDefault="006A0A9C" w:rsidP="00020AC2">
      <w:pPr>
        <w:pStyle w:val="ListBullet"/>
        <w:rPr>
          <w:rFonts w:eastAsiaTheme="minorHAnsi"/>
        </w:rPr>
      </w:pPr>
      <w:r w:rsidRPr="00020AC2">
        <w:rPr>
          <w:rFonts w:eastAsiaTheme="minorHAnsi"/>
        </w:rPr>
        <w:t>a change of circumstances that relates to a suitability matter</w:t>
      </w:r>
      <w:r w:rsidR="00305E4D" w:rsidRPr="00020AC2">
        <w:rPr>
          <w:rFonts w:eastAsiaTheme="minorHAnsi"/>
        </w:rPr>
        <w:t xml:space="preserve"> </w:t>
      </w:r>
      <w:r w:rsidRPr="00020AC2">
        <w:rPr>
          <w:rFonts w:eastAsiaTheme="minorHAnsi"/>
        </w:rPr>
        <w:t>in relation to a responsible person of the provider;</w:t>
      </w:r>
    </w:p>
    <w:p w14:paraId="76525CB5" w14:textId="2113DAE0" w:rsidR="006A0A9C" w:rsidRPr="00020AC2" w:rsidRDefault="006A0A9C" w:rsidP="00020AC2">
      <w:pPr>
        <w:pStyle w:val="ListBullet"/>
        <w:rPr>
          <w:rFonts w:eastAsiaTheme="minorHAnsi"/>
        </w:rPr>
      </w:pPr>
      <w:r w:rsidRPr="00020AC2">
        <w:rPr>
          <w:rFonts w:eastAsiaTheme="minorHAnsi"/>
        </w:rPr>
        <w:t>a change in the responsible persons of the provider;</w:t>
      </w:r>
    </w:p>
    <w:p w14:paraId="174DC6EC" w14:textId="77777777" w:rsidR="00305E4D" w:rsidRPr="00020AC2" w:rsidRDefault="006A0A9C" w:rsidP="00020AC2">
      <w:pPr>
        <w:pStyle w:val="ListBullet"/>
        <w:rPr>
          <w:rFonts w:eastAsiaTheme="minorHAnsi"/>
        </w:rPr>
      </w:pPr>
      <w:r w:rsidRPr="00020AC2">
        <w:rPr>
          <w:rFonts w:eastAsiaTheme="minorHAnsi"/>
        </w:rPr>
        <w:t>a significant change in the organisation or governance</w:t>
      </w:r>
      <w:r w:rsidR="00305E4D" w:rsidRPr="00020AC2">
        <w:rPr>
          <w:rFonts w:eastAsiaTheme="minorHAnsi"/>
        </w:rPr>
        <w:t xml:space="preserve"> </w:t>
      </w:r>
      <w:r w:rsidRPr="00020AC2">
        <w:rPr>
          <w:rFonts w:eastAsiaTheme="minorHAnsi"/>
        </w:rPr>
        <w:t xml:space="preserve">arrangements of the provider; </w:t>
      </w:r>
    </w:p>
    <w:p w14:paraId="35901ED1" w14:textId="23217C5C" w:rsidR="006A0A9C" w:rsidRPr="00020AC2" w:rsidRDefault="006A0A9C" w:rsidP="00020AC2">
      <w:pPr>
        <w:pStyle w:val="ListBullet"/>
        <w:rPr>
          <w:rFonts w:eastAsiaTheme="minorHAnsi"/>
        </w:rPr>
      </w:pPr>
      <w:r w:rsidRPr="00020AC2">
        <w:rPr>
          <w:rFonts w:eastAsiaTheme="minorHAnsi"/>
        </w:rPr>
        <w:t>a significant change in the scale of the provider in relation to</w:t>
      </w:r>
      <w:r w:rsidR="00305E4D" w:rsidRPr="00020AC2">
        <w:rPr>
          <w:rFonts w:eastAsiaTheme="minorHAnsi"/>
        </w:rPr>
        <w:t xml:space="preserve"> </w:t>
      </w:r>
      <w:r w:rsidRPr="00020AC2">
        <w:rPr>
          <w:rFonts w:eastAsiaTheme="minorHAnsi"/>
        </w:rPr>
        <w:t>the funded aged care services delivered;</w:t>
      </w:r>
    </w:p>
    <w:p w14:paraId="74FB1043" w14:textId="45034065" w:rsidR="006A0A9C" w:rsidRPr="00020AC2" w:rsidRDefault="006A0A9C" w:rsidP="00020AC2">
      <w:pPr>
        <w:pStyle w:val="ListBullet"/>
        <w:rPr>
          <w:rFonts w:eastAsiaTheme="minorHAnsi"/>
        </w:rPr>
      </w:pPr>
      <w:r w:rsidRPr="00020AC2">
        <w:rPr>
          <w:rFonts w:eastAsiaTheme="minorHAnsi"/>
        </w:rPr>
        <w:t>a change in the service types delivered by the provider;</w:t>
      </w:r>
    </w:p>
    <w:p w14:paraId="02CEEE1B" w14:textId="20159FA7" w:rsidR="006A0A9C" w:rsidRPr="00020AC2" w:rsidRDefault="006A0A9C" w:rsidP="00020AC2">
      <w:pPr>
        <w:pStyle w:val="ListBullet"/>
        <w:rPr>
          <w:rFonts w:eastAsiaTheme="minorHAnsi"/>
        </w:rPr>
      </w:pPr>
      <w:r w:rsidRPr="00020AC2">
        <w:rPr>
          <w:rFonts w:eastAsiaTheme="minorHAnsi"/>
        </w:rPr>
        <w:t>specified changes relating to the associated providers of the</w:t>
      </w:r>
      <w:r w:rsidR="00305E4D" w:rsidRPr="00020AC2">
        <w:rPr>
          <w:rFonts w:eastAsiaTheme="minorHAnsi"/>
        </w:rPr>
        <w:t xml:space="preserve"> </w:t>
      </w:r>
      <w:r w:rsidRPr="00020AC2">
        <w:rPr>
          <w:rFonts w:eastAsiaTheme="minorHAnsi"/>
        </w:rPr>
        <w:t>provider;</w:t>
      </w:r>
    </w:p>
    <w:p w14:paraId="5791301D" w14:textId="55B94BE5" w:rsidR="006A0A9C" w:rsidRPr="00020AC2" w:rsidRDefault="006A0A9C" w:rsidP="00020AC2">
      <w:pPr>
        <w:pStyle w:val="ListBullet"/>
        <w:rPr>
          <w:rFonts w:eastAsiaTheme="minorHAnsi"/>
        </w:rPr>
      </w:pPr>
      <w:r w:rsidRPr="00020AC2">
        <w:rPr>
          <w:rFonts w:eastAsiaTheme="minorHAnsi"/>
        </w:rPr>
        <w:t>specified changes to an approved residential care home;</w:t>
      </w:r>
      <w:r w:rsidR="00305E4D" w:rsidRPr="00020AC2">
        <w:rPr>
          <w:rFonts w:eastAsiaTheme="minorHAnsi"/>
        </w:rPr>
        <w:t xml:space="preserve"> or</w:t>
      </w:r>
    </w:p>
    <w:p w14:paraId="77EFAC1D" w14:textId="7691853B" w:rsidR="006A0A9C" w:rsidRPr="003A173C" w:rsidRDefault="006A0A9C" w:rsidP="00020AC2">
      <w:pPr>
        <w:pStyle w:val="ListBullet"/>
        <w:rPr>
          <w:rFonts w:eastAsiaTheme="minorHAnsi"/>
          <w:lang w:eastAsia="en-US"/>
        </w:rPr>
      </w:pPr>
      <w:r w:rsidRPr="00020AC2">
        <w:rPr>
          <w:rFonts w:eastAsiaTheme="minorHAnsi"/>
        </w:rPr>
        <w:t>specified financial</w:t>
      </w:r>
      <w:r w:rsidRPr="003A173C">
        <w:rPr>
          <w:rFonts w:eastAsiaTheme="minorHAnsi"/>
          <w:lang w:eastAsia="en-US"/>
        </w:rPr>
        <w:t xml:space="preserve"> and prudential matters.</w:t>
      </w:r>
    </w:p>
    <w:p w14:paraId="0B7062CE" w14:textId="5D647C91" w:rsidR="006A0A9C" w:rsidRPr="003A173C" w:rsidRDefault="006A0A9C" w:rsidP="006A0A9C">
      <w:pPr>
        <w:rPr>
          <w:rFonts w:eastAsiaTheme="minorHAnsi" w:cs="Calibri"/>
          <w:spacing w:val="0"/>
          <w:szCs w:val="20"/>
          <w:lang w:eastAsia="en-US"/>
        </w:rPr>
      </w:pPr>
      <w:r w:rsidRPr="003A173C">
        <w:rPr>
          <w:rFonts w:eastAsiaTheme="minorHAnsi" w:cs="Calibri"/>
          <w:spacing w:val="0"/>
          <w:szCs w:val="20"/>
          <w:lang w:eastAsia="en-US"/>
        </w:rPr>
        <w:t xml:space="preserve">A notice under subsection </w:t>
      </w:r>
      <w:r w:rsidR="00305E4D" w:rsidRPr="003A173C">
        <w:rPr>
          <w:rFonts w:eastAsiaTheme="minorHAnsi" w:cs="Calibri"/>
          <w:spacing w:val="0"/>
          <w:szCs w:val="20"/>
          <w:lang w:eastAsia="en-US"/>
        </w:rPr>
        <w:t>section 167 must</w:t>
      </w:r>
      <w:r w:rsidRPr="003A173C">
        <w:rPr>
          <w:rFonts w:eastAsiaTheme="minorHAnsi" w:cs="Calibri"/>
          <w:spacing w:val="0"/>
          <w:szCs w:val="20"/>
          <w:lang w:eastAsia="en-US"/>
        </w:rPr>
        <w:t xml:space="preserve"> be given within 14 days after the registered provider becomes</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aware of the change in circumstance</w:t>
      </w:r>
      <w:r w:rsidR="00305E4D" w:rsidRPr="003A173C">
        <w:rPr>
          <w:rFonts w:eastAsiaTheme="minorHAnsi" w:cs="Calibri"/>
          <w:spacing w:val="0"/>
          <w:szCs w:val="20"/>
          <w:lang w:eastAsia="en-US"/>
        </w:rPr>
        <w:t>s, be in an approved form a</w:t>
      </w:r>
      <w:r w:rsidRPr="003A173C">
        <w:rPr>
          <w:rFonts w:eastAsiaTheme="minorHAnsi" w:cs="Calibri"/>
          <w:spacing w:val="0"/>
          <w:szCs w:val="20"/>
          <w:lang w:eastAsia="en-US"/>
        </w:rPr>
        <w:t>nd</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include any information prescribed by the rules in relation to</w:t>
      </w:r>
      <w:r w:rsidR="00305E4D" w:rsidRPr="003A173C">
        <w:rPr>
          <w:rFonts w:eastAsiaTheme="minorHAnsi" w:cs="Calibri"/>
          <w:spacing w:val="0"/>
          <w:szCs w:val="20"/>
          <w:lang w:eastAsia="en-US"/>
        </w:rPr>
        <w:t xml:space="preserve"> </w:t>
      </w:r>
      <w:r w:rsidRPr="003A173C">
        <w:rPr>
          <w:rFonts w:eastAsiaTheme="minorHAnsi" w:cs="Calibri"/>
          <w:spacing w:val="0"/>
          <w:szCs w:val="20"/>
          <w:lang w:eastAsia="en-US"/>
        </w:rPr>
        <w:t>a change of circumstances</w:t>
      </w:r>
      <w:r w:rsidR="00305E4D" w:rsidRPr="003A173C">
        <w:rPr>
          <w:rFonts w:eastAsiaTheme="minorHAnsi" w:cs="Calibri"/>
          <w:spacing w:val="0"/>
          <w:szCs w:val="20"/>
          <w:lang w:eastAsia="en-US"/>
        </w:rPr>
        <w:t>.</w:t>
      </w:r>
    </w:p>
    <w:p w14:paraId="086AEA9A" w14:textId="4393FB88" w:rsidR="00CE62E0" w:rsidRPr="003A173C" w:rsidRDefault="00CE62E0" w:rsidP="00CE62E0">
      <w:pPr>
        <w:pStyle w:val="heading4withoutnumbers"/>
        <w:rPr>
          <w:rFonts w:cs="Calibri"/>
          <w:b/>
          <w:bCs/>
        </w:rPr>
      </w:pPr>
      <w:r w:rsidRPr="003A173C">
        <w:rPr>
          <w:rFonts w:cs="Calibri"/>
          <w:b/>
          <w:bCs/>
        </w:rPr>
        <w:t xml:space="preserve">Responsible persons </w:t>
      </w:r>
    </w:p>
    <w:p w14:paraId="58EBCCD0" w14:textId="77777777" w:rsidR="00DC40CC" w:rsidRPr="003A173C" w:rsidRDefault="00A801DB" w:rsidP="00E44267">
      <w:pPr>
        <w:rPr>
          <w:rFonts w:eastAsiaTheme="minorHAnsi" w:cs="Calibri"/>
          <w:spacing w:val="0"/>
          <w:szCs w:val="20"/>
          <w:lang w:eastAsia="en-US"/>
        </w:rPr>
      </w:pPr>
      <w:r w:rsidRPr="003A173C">
        <w:rPr>
          <w:rFonts w:eastAsiaTheme="minorHAnsi" w:cs="Calibri"/>
          <w:spacing w:val="0"/>
          <w:szCs w:val="20"/>
          <w:lang w:eastAsia="en-US"/>
        </w:rPr>
        <w:t xml:space="preserve">The Act </w:t>
      </w:r>
      <w:r w:rsidR="00A37E9C" w:rsidRPr="003A173C">
        <w:rPr>
          <w:rFonts w:eastAsiaTheme="minorHAnsi" w:cs="Calibri"/>
          <w:spacing w:val="0"/>
          <w:szCs w:val="20"/>
          <w:lang w:eastAsia="en-US"/>
        </w:rPr>
        <w:t xml:space="preserve">and Rules </w:t>
      </w:r>
      <w:r w:rsidRPr="003A173C">
        <w:rPr>
          <w:rFonts w:eastAsiaTheme="minorHAnsi" w:cs="Calibri"/>
          <w:spacing w:val="0"/>
          <w:szCs w:val="20"/>
          <w:lang w:eastAsia="en-US"/>
        </w:rPr>
        <w:t xml:space="preserve">places obligations </w:t>
      </w:r>
      <w:r w:rsidR="00926942" w:rsidRPr="003A173C">
        <w:rPr>
          <w:rFonts w:eastAsiaTheme="minorHAnsi" w:cs="Calibri"/>
          <w:spacing w:val="0"/>
          <w:szCs w:val="20"/>
          <w:lang w:eastAsia="en-US"/>
        </w:rPr>
        <w:t>on ‘responsible persons’ of</w:t>
      </w:r>
      <w:r w:rsidRPr="003A173C">
        <w:rPr>
          <w:rFonts w:eastAsiaTheme="minorHAnsi" w:cs="Calibri"/>
          <w:spacing w:val="0"/>
          <w:szCs w:val="20"/>
          <w:lang w:eastAsia="en-US"/>
        </w:rPr>
        <w:t xml:space="preserve"> registered provider</w:t>
      </w:r>
      <w:r w:rsidR="00201326" w:rsidRPr="003A173C">
        <w:rPr>
          <w:rFonts w:eastAsiaTheme="minorHAnsi" w:cs="Calibri"/>
          <w:spacing w:val="0"/>
          <w:szCs w:val="20"/>
          <w:lang w:eastAsia="en-US"/>
        </w:rPr>
        <w:t>s</w:t>
      </w:r>
      <w:r w:rsidRPr="003A173C">
        <w:rPr>
          <w:rFonts w:eastAsiaTheme="minorHAnsi" w:cs="Calibri"/>
          <w:spacing w:val="0"/>
          <w:szCs w:val="20"/>
          <w:lang w:eastAsia="en-US"/>
        </w:rPr>
        <w:t xml:space="preserve"> of transition care</w:t>
      </w:r>
      <w:r w:rsidR="00A37E9C" w:rsidRPr="003A173C">
        <w:rPr>
          <w:rFonts w:eastAsiaTheme="minorHAnsi" w:cs="Calibri"/>
          <w:spacing w:val="0"/>
          <w:szCs w:val="20"/>
          <w:lang w:eastAsia="en-US"/>
        </w:rPr>
        <w:t xml:space="preserve"> including</w:t>
      </w:r>
      <w:r w:rsidRPr="003A173C">
        <w:rPr>
          <w:rFonts w:eastAsiaTheme="minorHAnsi" w:cs="Calibri"/>
          <w:spacing w:val="0"/>
          <w:szCs w:val="20"/>
          <w:lang w:eastAsia="en-US"/>
        </w:rPr>
        <w:t xml:space="preserve"> to have</w:t>
      </w:r>
      <w:r w:rsidR="00201326" w:rsidRPr="003A173C">
        <w:rPr>
          <w:rFonts w:eastAsiaTheme="minorHAnsi" w:cs="Calibri"/>
          <w:spacing w:val="0"/>
          <w:szCs w:val="20"/>
          <w:lang w:eastAsia="en-US"/>
        </w:rPr>
        <w:t xml:space="preserve"> the required worker screening checks done</w:t>
      </w:r>
      <w:r w:rsidR="00BB4829" w:rsidRPr="003A173C">
        <w:rPr>
          <w:rFonts w:eastAsiaTheme="minorHAnsi" w:cs="Calibri"/>
          <w:spacing w:val="0"/>
          <w:szCs w:val="20"/>
          <w:lang w:eastAsia="en-US"/>
        </w:rPr>
        <w:t xml:space="preserve"> (section 152 of the Act; 152-15 and 152-25 of the Rules) </w:t>
      </w:r>
      <w:r w:rsidR="00201326" w:rsidRPr="003A173C">
        <w:rPr>
          <w:rFonts w:eastAsiaTheme="minorHAnsi" w:cs="Calibri"/>
          <w:spacing w:val="0"/>
          <w:szCs w:val="20"/>
          <w:lang w:eastAsia="en-US"/>
        </w:rPr>
        <w:t xml:space="preserve">and report any change of circumstances or suitability to be a </w:t>
      </w:r>
      <w:r w:rsidRPr="003A173C">
        <w:rPr>
          <w:rFonts w:eastAsiaTheme="minorHAnsi" w:cs="Calibri"/>
          <w:spacing w:val="0"/>
          <w:szCs w:val="20"/>
          <w:lang w:eastAsia="en-US"/>
        </w:rPr>
        <w:t>responsible person</w:t>
      </w:r>
      <w:r w:rsidR="00A37E9C" w:rsidRPr="003A173C">
        <w:rPr>
          <w:rFonts w:eastAsiaTheme="minorHAnsi" w:cs="Calibri"/>
          <w:spacing w:val="0"/>
          <w:szCs w:val="20"/>
          <w:lang w:eastAsia="en-US"/>
        </w:rPr>
        <w:t xml:space="preserve"> to the Commission</w:t>
      </w:r>
      <w:r w:rsidR="00BB4829" w:rsidRPr="003A173C">
        <w:rPr>
          <w:rFonts w:eastAsiaTheme="minorHAnsi" w:cs="Calibri"/>
          <w:spacing w:val="0"/>
          <w:szCs w:val="20"/>
          <w:lang w:eastAsia="en-US"/>
        </w:rPr>
        <w:t xml:space="preserve"> (section 167-25 and 167-30 of the Rules)</w:t>
      </w:r>
      <w:r w:rsidR="00201326" w:rsidRPr="003A173C">
        <w:rPr>
          <w:rFonts w:eastAsiaTheme="minorHAnsi" w:cs="Calibri"/>
          <w:spacing w:val="0"/>
          <w:szCs w:val="20"/>
          <w:lang w:eastAsia="en-US"/>
        </w:rPr>
        <w:t xml:space="preserve">. </w:t>
      </w:r>
      <w:r w:rsidR="00A37E9C" w:rsidRPr="003A173C">
        <w:rPr>
          <w:rFonts w:eastAsiaTheme="minorHAnsi" w:cs="Calibri"/>
          <w:spacing w:val="0"/>
          <w:szCs w:val="20"/>
          <w:lang w:eastAsia="en-US"/>
        </w:rPr>
        <w:t>Responsible persons are also required to comply with the Aged Care Code of Conduct (section 1</w:t>
      </w:r>
      <w:r w:rsidR="00BB4829" w:rsidRPr="003A173C">
        <w:rPr>
          <w:rFonts w:eastAsiaTheme="minorHAnsi" w:cs="Calibri"/>
          <w:spacing w:val="0"/>
          <w:szCs w:val="20"/>
          <w:lang w:eastAsia="en-US"/>
        </w:rPr>
        <w:t xml:space="preserve">74 </w:t>
      </w:r>
      <w:r w:rsidR="00A37E9C" w:rsidRPr="003A173C">
        <w:rPr>
          <w:rFonts w:eastAsiaTheme="minorHAnsi" w:cs="Calibri"/>
          <w:spacing w:val="0"/>
          <w:szCs w:val="20"/>
          <w:lang w:eastAsia="en-US"/>
        </w:rPr>
        <w:t xml:space="preserve">of the Act). </w:t>
      </w:r>
    </w:p>
    <w:p w14:paraId="0DEE7699" w14:textId="0D60E2DC" w:rsidR="00201326" w:rsidRPr="003A173C" w:rsidRDefault="00201326" w:rsidP="00E44267">
      <w:pPr>
        <w:rPr>
          <w:rFonts w:eastAsiaTheme="minorHAnsi" w:cs="Calibri"/>
          <w:spacing w:val="0"/>
          <w:szCs w:val="20"/>
          <w:lang w:eastAsia="en-US"/>
        </w:rPr>
      </w:pPr>
      <w:r w:rsidRPr="003A173C">
        <w:rPr>
          <w:rFonts w:eastAsiaTheme="minorHAnsi" w:cs="Calibri"/>
          <w:spacing w:val="0"/>
          <w:szCs w:val="20"/>
          <w:lang w:eastAsia="en-US"/>
        </w:rPr>
        <w:t>The Act defines responsible person in section 12 as</w:t>
      </w:r>
      <w:r w:rsidR="00194C8F" w:rsidRPr="003A173C">
        <w:rPr>
          <w:rFonts w:eastAsiaTheme="minorHAnsi" w:cs="Calibri"/>
          <w:spacing w:val="0"/>
          <w:szCs w:val="20"/>
          <w:lang w:eastAsia="en-US"/>
        </w:rPr>
        <w:t xml:space="preserve"> each of the following</w:t>
      </w:r>
      <w:r w:rsidRPr="003A173C">
        <w:rPr>
          <w:rFonts w:eastAsiaTheme="minorHAnsi" w:cs="Calibri"/>
          <w:spacing w:val="0"/>
          <w:szCs w:val="20"/>
          <w:lang w:eastAsia="en-US"/>
        </w:rPr>
        <w:t>:</w:t>
      </w:r>
    </w:p>
    <w:p w14:paraId="3FEA76BC" w14:textId="77777777" w:rsidR="00201326" w:rsidRPr="003A173C" w:rsidRDefault="00201326" w:rsidP="003F13B2">
      <w:pPr>
        <w:pStyle w:val="ListBullet"/>
      </w:pPr>
      <w:r w:rsidRPr="003A173C">
        <w:lastRenderedPageBreak/>
        <w:t>if the registered provider is not a government entity—any person who is responsible for the executive decisions of the registered provider;</w:t>
      </w:r>
    </w:p>
    <w:p w14:paraId="75E13BD1" w14:textId="77777777" w:rsidR="00201326" w:rsidRPr="003A173C" w:rsidRDefault="00201326" w:rsidP="003F13B2">
      <w:pPr>
        <w:pStyle w:val="ListBullet"/>
      </w:pPr>
      <w:r w:rsidRPr="003A173C">
        <w:t>if the registered provider is not a government entity—any other person who has authority or responsibility for (or significant influence over) planning, directing or controlling the activities of the registered provider;</w:t>
      </w:r>
    </w:p>
    <w:p w14:paraId="709D22DF" w14:textId="77777777" w:rsidR="00D74AC9" w:rsidRPr="003A173C" w:rsidRDefault="00201326" w:rsidP="003F13B2">
      <w:pPr>
        <w:pStyle w:val="ListBullet"/>
      </w:pPr>
      <w:r w:rsidRPr="003A173C">
        <w:t xml:space="preserve">for any registered provider (including a government entity)— if the registered provider delivers, or proposes to deliver, a funded aged care service: </w:t>
      </w:r>
    </w:p>
    <w:p w14:paraId="1855E38F" w14:textId="77777777" w:rsidR="00D74AC9" w:rsidRPr="003A173C" w:rsidRDefault="00201326" w:rsidP="003F13B2">
      <w:pPr>
        <w:pStyle w:val="ListBullet2"/>
      </w:pPr>
      <w:r w:rsidRPr="003A173C">
        <w:t>any person who has responsibility for overall management of the nursing services delivered by the registered provider, or overall management of the nursing services delivered at an approved residential</w:t>
      </w:r>
      <w:r w:rsidR="00D74AC9" w:rsidRPr="003A173C">
        <w:t xml:space="preserve"> </w:t>
      </w:r>
      <w:r w:rsidRPr="003A173C">
        <w:t>care home of the registered provider, and who is a</w:t>
      </w:r>
      <w:r w:rsidR="00D74AC9" w:rsidRPr="003A173C">
        <w:t xml:space="preserve"> </w:t>
      </w:r>
      <w:r w:rsidRPr="003A173C">
        <w:t>registered nurse; and</w:t>
      </w:r>
    </w:p>
    <w:p w14:paraId="6A0A0246" w14:textId="3299DF24" w:rsidR="00201326" w:rsidRPr="003A173C" w:rsidRDefault="00201326" w:rsidP="003F13B2">
      <w:pPr>
        <w:pStyle w:val="ListBullet2"/>
      </w:pPr>
      <w:r w:rsidRPr="003A173C">
        <w:t>any person who is responsible for the day-to-day</w:t>
      </w:r>
      <w:r w:rsidR="00D74AC9" w:rsidRPr="003A173C">
        <w:t xml:space="preserve"> </w:t>
      </w:r>
      <w:r w:rsidRPr="003A173C">
        <w:t>operations of an approved residential care home o</w:t>
      </w:r>
      <w:r w:rsidR="00D74AC9" w:rsidRPr="003A173C">
        <w:t xml:space="preserve">r </w:t>
      </w:r>
      <w:r w:rsidRPr="003A173C">
        <w:t>service delivery branch of the registered provider.</w:t>
      </w:r>
    </w:p>
    <w:p w14:paraId="4E20A5AC" w14:textId="7B7E898B" w:rsidR="00E44267" w:rsidRPr="003A173C" w:rsidRDefault="00BB4829" w:rsidP="00E44267">
      <w:pPr>
        <w:rPr>
          <w:rFonts w:eastAsiaTheme="minorHAnsi" w:cs="Calibri"/>
          <w:spacing w:val="0"/>
          <w:szCs w:val="20"/>
          <w:lang w:eastAsia="en-US"/>
        </w:rPr>
      </w:pPr>
      <w:r w:rsidRPr="003A173C">
        <w:rPr>
          <w:rFonts w:eastAsiaTheme="minorHAnsi" w:cs="Calibri"/>
          <w:spacing w:val="0"/>
          <w:szCs w:val="20"/>
          <w:lang w:eastAsia="en-US"/>
        </w:rPr>
        <w:t xml:space="preserve">The </w:t>
      </w:r>
      <w:r w:rsidR="00A37E9C" w:rsidRPr="003A173C">
        <w:rPr>
          <w:rFonts w:eastAsiaTheme="minorHAnsi" w:cs="Calibri"/>
          <w:spacing w:val="0"/>
          <w:szCs w:val="20"/>
          <w:lang w:eastAsia="en-US"/>
        </w:rPr>
        <w:t xml:space="preserve">obligations </w:t>
      </w:r>
      <w:r w:rsidRPr="003A173C">
        <w:rPr>
          <w:rFonts w:eastAsiaTheme="minorHAnsi" w:cs="Calibri"/>
          <w:spacing w:val="0"/>
          <w:szCs w:val="20"/>
          <w:lang w:eastAsia="en-US"/>
        </w:rPr>
        <w:t>placed on responsible persons are</w:t>
      </w:r>
      <w:r w:rsidR="00A37E9C" w:rsidRPr="003A173C">
        <w:rPr>
          <w:rFonts w:eastAsiaTheme="minorHAnsi" w:cs="Calibri"/>
          <w:spacing w:val="0"/>
          <w:szCs w:val="20"/>
          <w:lang w:eastAsia="en-US"/>
        </w:rPr>
        <w:t xml:space="preserve"> enforceable by the Commission</w:t>
      </w:r>
      <w:r w:rsidRPr="003A173C">
        <w:rPr>
          <w:rFonts w:eastAsiaTheme="minorHAnsi" w:cs="Calibri"/>
          <w:spacing w:val="0"/>
          <w:szCs w:val="20"/>
          <w:lang w:eastAsia="en-US"/>
        </w:rPr>
        <w:t xml:space="preserve"> and compliance action can be taken for non-compliance</w:t>
      </w:r>
      <w:r w:rsidR="00A37E9C" w:rsidRPr="003A173C">
        <w:rPr>
          <w:rFonts w:eastAsiaTheme="minorHAnsi" w:cs="Calibri"/>
          <w:spacing w:val="0"/>
          <w:szCs w:val="20"/>
          <w:lang w:eastAsia="en-US"/>
        </w:rPr>
        <w:t xml:space="preserve">. </w:t>
      </w:r>
    </w:p>
    <w:p w14:paraId="619E5F5B" w14:textId="717E48F4" w:rsidR="00CC1443" w:rsidRPr="003A173C" w:rsidRDefault="00094764" w:rsidP="00E44267">
      <w:pPr>
        <w:rPr>
          <w:rFonts w:eastAsiaTheme="minorHAnsi" w:cs="Calibri"/>
          <w:spacing w:val="0"/>
          <w:szCs w:val="20"/>
          <w:lang w:eastAsia="en-US"/>
        </w:rPr>
      </w:pPr>
      <w:r w:rsidRPr="003A173C">
        <w:rPr>
          <w:rFonts w:eastAsiaTheme="minorHAnsi" w:cs="Calibri"/>
          <w:spacing w:val="0"/>
          <w:szCs w:val="20"/>
          <w:lang w:eastAsia="en-US"/>
        </w:rPr>
        <w:t>Due</w:t>
      </w:r>
      <w:r w:rsidR="00CC1443" w:rsidRPr="003A173C">
        <w:rPr>
          <w:rFonts w:eastAsiaTheme="minorHAnsi" w:cs="Calibri"/>
          <w:spacing w:val="0"/>
          <w:szCs w:val="20"/>
          <w:lang w:eastAsia="en-US"/>
        </w:rPr>
        <w:t xml:space="preserve"> to</w:t>
      </w:r>
      <w:r w:rsidR="009A24EB" w:rsidRPr="003A173C">
        <w:rPr>
          <w:rFonts w:eastAsiaTheme="minorHAnsi" w:cs="Calibri"/>
          <w:spacing w:val="0"/>
          <w:szCs w:val="20"/>
          <w:lang w:eastAsia="en-US"/>
        </w:rPr>
        <w:t xml:space="preserve"> the</w:t>
      </w:r>
      <w:r w:rsidR="00CC1443" w:rsidRPr="003A173C">
        <w:rPr>
          <w:rFonts w:eastAsiaTheme="minorHAnsi" w:cs="Calibri"/>
          <w:spacing w:val="0"/>
          <w:szCs w:val="20"/>
          <w:lang w:eastAsia="en-US"/>
        </w:rPr>
        <w:t xml:space="preserve"> different structures and governance arrangements</w:t>
      </w:r>
      <w:r w:rsidR="009A24EB" w:rsidRPr="003A173C">
        <w:rPr>
          <w:rFonts w:eastAsiaTheme="minorHAnsi" w:cs="Calibri"/>
          <w:spacing w:val="0"/>
          <w:szCs w:val="20"/>
          <w:lang w:eastAsia="en-US"/>
        </w:rPr>
        <w:t xml:space="preserve"> of registered providers who are government entities, the definition of responsible person allows government</w:t>
      </w:r>
      <w:r w:rsidR="002D6518" w:rsidRPr="003A173C">
        <w:rPr>
          <w:rFonts w:eastAsiaTheme="minorHAnsi" w:cs="Calibri"/>
          <w:spacing w:val="0"/>
          <w:szCs w:val="20"/>
          <w:lang w:eastAsia="en-US"/>
        </w:rPr>
        <w:t xml:space="preserve"> registered</w:t>
      </w:r>
      <w:r w:rsidR="009A24EB" w:rsidRPr="003A173C">
        <w:rPr>
          <w:rFonts w:eastAsiaTheme="minorHAnsi" w:cs="Calibri"/>
          <w:spacing w:val="0"/>
          <w:szCs w:val="20"/>
          <w:lang w:eastAsia="en-US"/>
        </w:rPr>
        <w:t xml:space="preserve"> providers to nominate a responsible person of at least one sub-contractor entity </w:t>
      </w:r>
      <w:r w:rsidR="005C6BCD" w:rsidRPr="003A173C">
        <w:rPr>
          <w:rFonts w:eastAsiaTheme="minorHAnsi" w:cs="Calibri"/>
          <w:spacing w:val="0"/>
          <w:szCs w:val="20"/>
          <w:lang w:eastAsia="en-US"/>
        </w:rPr>
        <w:t xml:space="preserve">(associate providers) </w:t>
      </w:r>
      <w:r w:rsidR="009A24EB" w:rsidRPr="003A173C">
        <w:rPr>
          <w:rFonts w:eastAsiaTheme="minorHAnsi" w:cs="Calibri"/>
          <w:spacing w:val="0"/>
          <w:szCs w:val="20"/>
          <w:lang w:eastAsia="en-US"/>
        </w:rPr>
        <w:t>who would be r</w:t>
      </w:r>
      <w:r w:rsidR="00CC1443" w:rsidRPr="003A173C">
        <w:rPr>
          <w:rFonts w:eastAsiaTheme="minorHAnsi" w:cs="Calibri"/>
          <w:spacing w:val="0"/>
          <w:szCs w:val="20"/>
          <w:lang w:eastAsia="en-US"/>
        </w:rPr>
        <w:t>esponsible for</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 xml:space="preserve">the day-to-day operations of </w:t>
      </w:r>
      <w:r w:rsidR="009A24EB" w:rsidRPr="003A173C">
        <w:rPr>
          <w:rFonts w:eastAsiaTheme="minorHAnsi" w:cs="Calibri"/>
          <w:spacing w:val="0"/>
          <w:szCs w:val="20"/>
          <w:lang w:eastAsia="en-US"/>
        </w:rPr>
        <w:t xml:space="preserve">the sub-contracting entity as </w:t>
      </w:r>
      <w:r w:rsidR="00CC1443" w:rsidRPr="003A173C">
        <w:rPr>
          <w:rFonts w:eastAsiaTheme="minorHAnsi" w:cs="Calibri"/>
          <w:spacing w:val="0"/>
          <w:szCs w:val="20"/>
          <w:lang w:eastAsia="en-US"/>
        </w:rPr>
        <w:t>a</w:t>
      </w:r>
      <w:r w:rsidR="009A24EB" w:rsidRPr="003A173C">
        <w:rPr>
          <w:rFonts w:eastAsiaTheme="minorHAnsi" w:cs="Calibri"/>
          <w:spacing w:val="0"/>
          <w:szCs w:val="20"/>
          <w:lang w:eastAsia="en-US"/>
        </w:rPr>
        <w:t xml:space="preserve"> </w:t>
      </w:r>
      <w:r w:rsidR="00CC1443" w:rsidRPr="003A173C">
        <w:rPr>
          <w:rFonts w:eastAsiaTheme="minorHAnsi" w:cs="Calibri"/>
          <w:spacing w:val="0"/>
          <w:szCs w:val="20"/>
          <w:lang w:eastAsia="en-US"/>
        </w:rPr>
        <w:t>service delivery branch</w:t>
      </w:r>
      <w:r w:rsidR="009A24EB" w:rsidRPr="003A173C">
        <w:rPr>
          <w:rFonts w:eastAsiaTheme="minorHAnsi" w:cs="Calibri"/>
          <w:spacing w:val="0"/>
          <w:szCs w:val="20"/>
          <w:lang w:eastAsia="en-US"/>
        </w:rPr>
        <w:t xml:space="preserve"> of the government registered provider.</w:t>
      </w:r>
      <w:r w:rsidR="005435FC" w:rsidRPr="003A173C">
        <w:rPr>
          <w:rFonts w:eastAsiaTheme="minorHAnsi" w:cs="Calibri"/>
          <w:spacing w:val="0"/>
          <w:szCs w:val="20"/>
          <w:lang w:eastAsia="en-US"/>
        </w:rPr>
        <w:t xml:space="preserve"> If </w:t>
      </w:r>
      <w:r w:rsidR="005979CC" w:rsidRPr="003A173C">
        <w:rPr>
          <w:rFonts w:eastAsiaTheme="minorHAnsi" w:cs="Calibri"/>
          <w:spacing w:val="0"/>
          <w:szCs w:val="20"/>
          <w:lang w:eastAsia="en-US"/>
        </w:rPr>
        <w:t xml:space="preserve">a </w:t>
      </w:r>
      <w:r w:rsidR="005435FC" w:rsidRPr="003A173C">
        <w:rPr>
          <w:rFonts w:eastAsiaTheme="minorHAnsi" w:cs="Calibri"/>
          <w:spacing w:val="0"/>
          <w:szCs w:val="20"/>
          <w:lang w:eastAsia="en-US"/>
        </w:rPr>
        <w:t>State or Territory Government</w:t>
      </w:r>
      <w:r w:rsidR="00E50F4C" w:rsidRPr="003A173C">
        <w:rPr>
          <w:rFonts w:eastAsiaTheme="minorHAnsi" w:cs="Calibri"/>
          <w:spacing w:val="0"/>
          <w:szCs w:val="20"/>
          <w:lang w:eastAsia="en-US"/>
        </w:rPr>
        <w:t>’s local health networks are the registered providers of TCP and t</w:t>
      </w:r>
      <w:r w:rsidR="005979CC" w:rsidRPr="003A173C">
        <w:rPr>
          <w:rFonts w:eastAsiaTheme="minorHAnsi" w:cs="Calibri"/>
          <w:spacing w:val="0"/>
          <w:szCs w:val="20"/>
          <w:lang w:eastAsia="en-US"/>
        </w:rPr>
        <w:t>he networks</w:t>
      </w:r>
      <w:r w:rsidR="00E50F4C" w:rsidRPr="003A173C">
        <w:rPr>
          <w:rFonts w:eastAsiaTheme="minorHAnsi" w:cs="Calibri"/>
          <w:spacing w:val="0"/>
          <w:szCs w:val="20"/>
          <w:lang w:eastAsia="en-US"/>
        </w:rPr>
        <w:t xml:space="preserve"> further sub-contract out services </w:t>
      </w:r>
      <w:r w:rsidR="009655AE" w:rsidRPr="003A173C">
        <w:rPr>
          <w:rFonts w:eastAsiaTheme="minorHAnsi" w:cs="Calibri"/>
          <w:spacing w:val="0"/>
          <w:szCs w:val="20"/>
          <w:lang w:eastAsia="en-US"/>
        </w:rPr>
        <w:t>provision</w:t>
      </w:r>
      <w:r w:rsidR="00E50F4C" w:rsidRPr="003A173C">
        <w:rPr>
          <w:rFonts w:eastAsiaTheme="minorHAnsi" w:cs="Calibri"/>
          <w:spacing w:val="0"/>
          <w:szCs w:val="20"/>
          <w:lang w:eastAsia="en-US"/>
        </w:rPr>
        <w:t xml:space="preserve"> to </w:t>
      </w:r>
      <w:r w:rsidR="00EB2800" w:rsidRPr="003A173C">
        <w:rPr>
          <w:rFonts w:eastAsiaTheme="minorHAnsi" w:cs="Calibri"/>
          <w:spacing w:val="0"/>
          <w:szCs w:val="20"/>
          <w:lang w:eastAsia="en-US"/>
        </w:rPr>
        <w:t xml:space="preserve">other </w:t>
      </w:r>
      <w:r w:rsidR="00925232" w:rsidRPr="003A173C">
        <w:rPr>
          <w:rFonts w:eastAsiaTheme="minorHAnsi" w:cs="Calibri"/>
          <w:spacing w:val="0"/>
          <w:szCs w:val="20"/>
          <w:lang w:eastAsia="en-US"/>
        </w:rPr>
        <w:t>services</w:t>
      </w:r>
      <w:r w:rsidR="00EB2800" w:rsidRPr="003A173C">
        <w:rPr>
          <w:rFonts w:eastAsiaTheme="minorHAnsi" w:cs="Calibri"/>
          <w:spacing w:val="0"/>
          <w:szCs w:val="20"/>
          <w:lang w:eastAsia="en-US"/>
        </w:rPr>
        <w:t xml:space="preserve">, who are associated providers, then personnel of these </w:t>
      </w:r>
      <w:r w:rsidR="00925232" w:rsidRPr="003A173C">
        <w:rPr>
          <w:rFonts w:eastAsiaTheme="minorHAnsi" w:cs="Calibri"/>
          <w:spacing w:val="0"/>
          <w:szCs w:val="20"/>
          <w:lang w:eastAsia="en-US"/>
        </w:rPr>
        <w:t>associated</w:t>
      </w:r>
      <w:r w:rsidR="00EB2800" w:rsidRPr="003A173C">
        <w:rPr>
          <w:rFonts w:eastAsiaTheme="minorHAnsi" w:cs="Calibri"/>
          <w:spacing w:val="0"/>
          <w:szCs w:val="20"/>
          <w:lang w:eastAsia="en-US"/>
        </w:rPr>
        <w:t xml:space="preserve"> providers can also be nominated as </w:t>
      </w:r>
      <w:r w:rsidR="009655AE" w:rsidRPr="003A173C">
        <w:rPr>
          <w:rFonts w:eastAsiaTheme="minorHAnsi" w:cs="Calibri"/>
          <w:spacing w:val="0"/>
          <w:szCs w:val="20"/>
          <w:lang w:eastAsia="en-US"/>
        </w:rPr>
        <w:t xml:space="preserve">responsible persons. </w:t>
      </w:r>
      <w:r w:rsidR="00B8474F" w:rsidRPr="003A173C">
        <w:rPr>
          <w:rFonts w:eastAsiaTheme="minorHAnsi" w:cs="Calibri"/>
          <w:spacing w:val="0"/>
          <w:szCs w:val="20"/>
          <w:lang w:eastAsia="en-US"/>
        </w:rPr>
        <w:t xml:space="preserve">Please see </w:t>
      </w:r>
      <w:r w:rsidR="00B8474F" w:rsidRPr="00711B5A">
        <w:rPr>
          <w:rFonts w:eastAsiaTheme="minorHAnsi" w:cs="Calibri"/>
          <w:i/>
          <w:iCs/>
          <w:spacing w:val="0"/>
          <w:szCs w:val="20"/>
          <w:lang w:eastAsia="en-US"/>
        </w:rPr>
        <w:t xml:space="preserve">Attachment </w:t>
      </w:r>
      <w:r w:rsidR="008607D3">
        <w:rPr>
          <w:rFonts w:eastAsiaTheme="minorHAnsi" w:cs="Calibri"/>
          <w:i/>
          <w:iCs/>
          <w:spacing w:val="0"/>
          <w:szCs w:val="20"/>
          <w:lang w:eastAsia="en-US"/>
        </w:rPr>
        <w:t>C</w:t>
      </w:r>
      <w:r w:rsidR="00EC4F29" w:rsidRPr="003A173C">
        <w:rPr>
          <w:rFonts w:eastAsiaTheme="minorHAnsi" w:cs="Calibri"/>
          <w:spacing w:val="0"/>
          <w:szCs w:val="20"/>
          <w:lang w:eastAsia="en-US"/>
        </w:rPr>
        <w:t xml:space="preserve"> for more detailed guidance on responsible persons. </w:t>
      </w:r>
    </w:p>
    <w:p w14:paraId="452B9BAB" w14:textId="0BC02CA8" w:rsidR="005C6BCD" w:rsidRPr="003A173C" w:rsidRDefault="005C6BCD" w:rsidP="00E44267">
      <w:pPr>
        <w:rPr>
          <w:rFonts w:eastAsiaTheme="minorHAnsi" w:cs="Calibri"/>
          <w:spacing w:val="0"/>
          <w:szCs w:val="20"/>
          <w:lang w:eastAsia="en-US"/>
        </w:rPr>
      </w:pPr>
      <w:r w:rsidRPr="003A173C">
        <w:rPr>
          <w:rFonts w:eastAsiaTheme="minorHAnsi" w:cs="Calibri"/>
          <w:spacing w:val="0"/>
          <w:szCs w:val="20"/>
          <w:lang w:eastAsia="en-US"/>
        </w:rPr>
        <w:t>In recognition of the responsible person arrangements for government entities</w:t>
      </w:r>
      <w:r w:rsidR="00251FE2" w:rsidRPr="003A173C">
        <w:rPr>
          <w:rFonts w:eastAsiaTheme="minorHAnsi" w:cs="Calibri"/>
          <w:spacing w:val="0"/>
          <w:szCs w:val="20"/>
          <w:lang w:eastAsia="en-US"/>
        </w:rPr>
        <w:t xml:space="preserve"> above</w:t>
      </w:r>
      <w:r w:rsidRPr="003A173C">
        <w:rPr>
          <w:rFonts w:eastAsiaTheme="minorHAnsi" w:cs="Calibri"/>
          <w:spacing w:val="0"/>
          <w:szCs w:val="20"/>
          <w:lang w:eastAsia="en-US"/>
        </w:rPr>
        <w:t xml:space="preserve">, the </w:t>
      </w:r>
      <w:r w:rsidR="00466812" w:rsidRPr="003A173C">
        <w:rPr>
          <w:rFonts w:eastAsiaTheme="minorHAnsi" w:cs="Calibri"/>
          <w:spacing w:val="0"/>
          <w:szCs w:val="20"/>
          <w:lang w:eastAsia="en-US"/>
        </w:rPr>
        <w:t xml:space="preserve">Commission </w:t>
      </w:r>
      <w:r w:rsidRPr="003A173C">
        <w:rPr>
          <w:rFonts w:eastAsiaTheme="minorHAnsi" w:cs="Calibri"/>
          <w:spacing w:val="0"/>
          <w:szCs w:val="20"/>
          <w:lang w:eastAsia="en-US"/>
        </w:rPr>
        <w:t>will</w:t>
      </w:r>
      <w:r w:rsidR="00466812" w:rsidRPr="003A173C">
        <w:rPr>
          <w:rFonts w:eastAsiaTheme="minorHAnsi" w:cs="Calibri"/>
          <w:spacing w:val="0"/>
          <w:szCs w:val="20"/>
          <w:lang w:eastAsia="en-US"/>
        </w:rPr>
        <w:t xml:space="preserve"> require government registered providers</w:t>
      </w:r>
      <w:r w:rsidR="00251FE2" w:rsidRPr="003A173C">
        <w:rPr>
          <w:rFonts w:eastAsiaTheme="minorHAnsi" w:cs="Calibri"/>
          <w:spacing w:val="0"/>
          <w:szCs w:val="20"/>
          <w:lang w:eastAsia="en-US"/>
        </w:rPr>
        <w:t xml:space="preserve"> </w:t>
      </w:r>
      <w:r w:rsidR="005A7E74" w:rsidRPr="003A173C">
        <w:rPr>
          <w:rFonts w:eastAsiaTheme="minorHAnsi" w:cs="Calibri"/>
          <w:spacing w:val="0"/>
          <w:szCs w:val="20"/>
          <w:lang w:eastAsia="en-US"/>
        </w:rPr>
        <w:t xml:space="preserve">of TCP </w:t>
      </w:r>
      <w:r w:rsidR="00251FE2" w:rsidRPr="003A173C">
        <w:rPr>
          <w:rFonts w:eastAsiaTheme="minorHAnsi" w:cs="Calibri"/>
          <w:spacing w:val="0"/>
          <w:szCs w:val="20"/>
          <w:lang w:eastAsia="en-US"/>
        </w:rPr>
        <w:t xml:space="preserve">(that is the </w:t>
      </w:r>
      <w:r w:rsidR="00CF4680" w:rsidRPr="003A173C">
        <w:rPr>
          <w:rFonts w:eastAsiaTheme="minorHAnsi" w:cs="Calibri"/>
          <w:spacing w:val="0"/>
          <w:szCs w:val="20"/>
          <w:lang w:eastAsia="en-US"/>
        </w:rPr>
        <w:t>S</w:t>
      </w:r>
      <w:r w:rsidR="00251FE2" w:rsidRPr="003A173C">
        <w:rPr>
          <w:rFonts w:eastAsiaTheme="minorHAnsi" w:cs="Calibri"/>
          <w:spacing w:val="0"/>
          <w:szCs w:val="20"/>
          <w:lang w:eastAsia="en-US"/>
        </w:rPr>
        <w:t xml:space="preserve">tate or </w:t>
      </w:r>
      <w:r w:rsidR="00CF4680" w:rsidRPr="003A173C">
        <w:rPr>
          <w:rFonts w:eastAsiaTheme="minorHAnsi" w:cs="Calibri"/>
          <w:spacing w:val="0"/>
          <w:szCs w:val="20"/>
          <w:lang w:eastAsia="en-US"/>
        </w:rPr>
        <w:t>T</w:t>
      </w:r>
      <w:r w:rsidR="00251FE2" w:rsidRPr="003A173C">
        <w:rPr>
          <w:rFonts w:eastAsiaTheme="minorHAnsi" w:cs="Calibri"/>
          <w:spacing w:val="0"/>
          <w:szCs w:val="20"/>
          <w:lang w:eastAsia="en-US"/>
        </w:rPr>
        <w:t>erritory Department of Health)</w:t>
      </w:r>
      <w:r w:rsidR="00466812" w:rsidRPr="003A173C">
        <w:rPr>
          <w:rFonts w:eastAsiaTheme="minorHAnsi" w:cs="Calibri"/>
          <w:spacing w:val="0"/>
          <w:szCs w:val="20"/>
          <w:lang w:eastAsia="en-US"/>
        </w:rPr>
        <w:t xml:space="preserve"> to nominate a </w:t>
      </w:r>
      <w:r w:rsidRPr="003A173C">
        <w:rPr>
          <w:rFonts w:eastAsiaTheme="minorHAnsi" w:cs="Calibri"/>
          <w:spacing w:val="0"/>
          <w:szCs w:val="20"/>
          <w:lang w:eastAsia="en-US"/>
        </w:rPr>
        <w:t>key contact from the</w:t>
      </w:r>
      <w:r w:rsidR="005A7E74" w:rsidRPr="003A173C">
        <w:rPr>
          <w:rFonts w:eastAsiaTheme="minorHAnsi" w:cs="Calibri"/>
          <w:spacing w:val="0"/>
          <w:szCs w:val="20"/>
          <w:lang w:eastAsia="en-US"/>
        </w:rPr>
        <w:t xml:space="preserve">ir </w:t>
      </w:r>
      <w:r w:rsidR="00466812" w:rsidRPr="003A173C">
        <w:rPr>
          <w:rFonts w:eastAsiaTheme="minorHAnsi" w:cs="Calibri"/>
          <w:spacing w:val="0"/>
          <w:szCs w:val="20"/>
          <w:lang w:eastAsia="en-US"/>
        </w:rPr>
        <w:t>Department</w:t>
      </w:r>
      <w:r w:rsidR="005A7E74" w:rsidRPr="003A173C">
        <w:rPr>
          <w:rFonts w:eastAsiaTheme="minorHAnsi" w:cs="Calibri"/>
          <w:spacing w:val="0"/>
          <w:szCs w:val="20"/>
          <w:lang w:eastAsia="en-US"/>
        </w:rPr>
        <w:t xml:space="preserve"> for the Commission </w:t>
      </w:r>
      <w:r w:rsidRPr="003A173C">
        <w:rPr>
          <w:rFonts w:eastAsiaTheme="minorHAnsi" w:cs="Calibri"/>
          <w:spacing w:val="0"/>
          <w:szCs w:val="20"/>
          <w:lang w:eastAsia="en-US"/>
        </w:rPr>
        <w:t xml:space="preserve">to be able to contact about matter relating to their registration, complaints and compliance matters. </w:t>
      </w:r>
    </w:p>
    <w:p w14:paraId="2F8BC39B" w14:textId="3D782493" w:rsidR="003837F8" w:rsidRPr="003A173C" w:rsidRDefault="009321AC" w:rsidP="007206E9">
      <w:pPr>
        <w:rPr>
          <w:rFonts w:cs="Calibri"/>
        </w:rPr>
      </w:pPr>
      <w:r w:rsidRPr="003A173C">
        <w:rPr>
          <w:rFonts w:cs="Calibri"/>
        </w:rPr>
        <w:t xml:space="preserve">See the process steps </w:t>
      </w:r>
      <w:r w:rsidR="003D76F9" w:rsidRPr="003A173C">
        <w:rPr>
          <w:rFonts w:cs="Calibri"/>
        </w:rPr>
        <w:t xml:space="preserve">below </w:t>
      </w:r>
      <w:r w:rsidRPr="003A173C">
        <w:rPr>
          <w:rFonts w:cs="Calibri"/>
        </w:rPr>
        <w:t xml:space="preserve">for updating </w:t>
      </w:r>
      <w:r w:rsidR="00757145" w:rsidRPr="003A173C">
        <w:rPr>
          <w:rFonts w:cs="Calibri"/>
        </w:rPr>
        <w:t>registered</w:t>
      </w:r>
      <w:r w:rsidRPr="003A173C">
        <w:rPr>
          <w:rFonts w:cs="Calibri"/>
        </w:rPr>
        <w:t xml:space="preserve"> provider </w:t>
      </w:r>
      <w:r w:rsidR="00757145" w:rsidRPr="003A173C">
        <w:rPr>
          <w:rFonts w:cs="Calibri"/>
        </w:rPr>
        <w:t>responsible person</w:t>
      </w:r>
      <w:r w:rsidRPr="003A173C">
        <w:rPr>
          <w:rFonts w:cs="Calibri"/>
        </w:rPr>
        <w:t xml:space="preserve"> details</w:t>
      </w:r>
      <w:r w:rsidR="007206E9">
        <w:rPr>
          <w:rFonts w:cs="Calibri"/>
        </w:rPr>
        <w:t>:</w:t>
      </w:r>
    </w:p>
    <w:tbl>
      <w:tblPr>
        <w:tblStyle w:val="TableGridLight"/>
        <w:tblW w:w="0" w:type="auto"/>
        <w:tblLook w:val="04A0" w:firstRow="1" w:lastRow="0" w:firstColumn="1" w:lastColumn="0" w:noHBand="0" w:noVBand="1"/>
        <w:tblDescription w:val="This table list the process steps for updating approved provider material / key personnel details."/>
      </w:tblPr>
      <w:tblGrid>
        <w:gridCol w:w="1251"/>
        <w:gridCol w:w="8943"/>
      </w:tblGrid>
      <w:tr w:rsidR="009321AC" w:rsidRPr="003A173C" w14:paraId="48543CA0" w14:textId="77777777" w:rsidTr="00412682">
        <w:trPr>
          <w:trHeight w:val="1072"/>
          <w:tblHeader/>
        </w:trPr>
        <w:tc>
          <w:tcPr>
            <w:cnfStyle w:val="001000000000" w:firstRow="0" w:lastRow="0" w:firstColumn="1" w:lastColumn="0" w:oddVBand="0" w:evenVBand="0" w:oddHBand="0" w:evenHBand="0" w:firstRowFirstColumn="0" w:firstRowLastColumn="0" w:lastRowFirstColumn="0" w:lastRowLastColumn="0"/>
            <w:tcW w:w="1251" w:type="dxa"/>
            <w:hideMark/>
          </w:tcPr>
          <w:p w14:paraId="5CB3FBDF" w14:textId="77777777" w:rsidR="009321AC" w:rsidRPr="003A173C" w:rsidRDefault="009321AC" w:rsidP="005E09CD">
            <w:pPr>
              <w:rPr>
                <w:rFonts w:cs="Calibri"/>
              </w:rPr>
            </w:pPr>
            <w:r w:rsidRPr="003A173C">
              <w:rPr>
                <w:rFonts w:cs="Calibri"/>
              </w:rPr>
              <w:t>Step 1</w:t>
            </w:r>
          </w:p>
        </w:tc>
        <w:tc>
          <w:tcPr>
            <w:tcW w:w="8943" w:type="dxa"/>
            <w:hideMark/>
          </w:tcPr>
          <w:p w14:paraId="7FD2780B" w14:textId="37D719A8" w:rsidR="009321AC" w:rsidRPr="003A173C" w:rsidRDefault="009321AC" w:rsidP="003D76F9">
            <w:pPr>
              <w:pStyle w:val="TableofFigures"/>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Register the</w:t>
            </w:r>
            <w:r w:rsidR="00F40074" w:rsidRPr="003A173C">
              <w:rPr>
                <w:rFonts w:ascii="Calibri" w:hAnsi="Calibri" w:cs="Calibri"/>
              </w:rPr>
              <w:t xml:space="preserve"> new responsible person</w:t>
            </w:r>
            <w:r w:rsidRPr="003A173C">
              <w:rPr>
                <w:rFonts w:ascii="Calibri" w:hAnsi="Calibri" w:cs="Calibri"/>
              </w:rPr>
              <w:t xml:space="preserve"> on PRODA (Provider Digital Access system). PRODA is </w:t>
            </w:r>
            <w:r w:rsidRPr="003A173C">
              <w:rPr>
                <w:rFonts w:ascii="Calibri" w:hAnsi="Calibri" w:cs="Calibri"/>
                <w:lang w:val="en"/>
              </w:rPr>
              <w:t xml:space="preserve">the online identity verification and authentication system, needed to access the Aged Care Provider Portal </w:t>
            </w:r>
            <w:hyperlink r:id="rId66" w:history="1">
              <w:r w:rsidR="00266C55" w:rsidRPr="003A173C">
                <w:rPr>
                  <w:rStyle w:val="Hyperlink"/>
                  <w:rFonts w:ascii="Calibri" w:hAnsi="Calibri" w:cs="Calibri"/>
                  <w:sz w:val="20"/>
                </w:rPr>
                <w:t>www.servicesaustralia.gov.au/organisations/business/services/proda-provider-digital-access</w:t>
              </w:r>
            </w:hyperlink>
          </w:p>
        </w:tc>
      </w:tr>
      <w:tr w:rsidR="009321AC" w:rsidRPr="003A173C" w14:paraId="1B2E4DCC" w14:textId="77777777" w:rsidTr="00412682">
        <w:trPr>
          <w:trHeight w:val="240"/>
        </w:trPr>
        <w:tc>
          <w:tcPr>
            <w:cnfStyle w:val="001000000000" w:firstRow="0" w:lastRow="0" w:firstColumn="1" w:lastColumn="0" w:oddVBand="0" w:evenVBand="0" w:oddHBand="0" w:evenHBand="0" w:firstRowFirstColumn="0" w:firstRowLastColumn="0" w:lastRowFirstColumn="0" w:lastRowLastColumn="0"/>
            <w:tcW w:w="1251" w:type="dxa"/>
            <w:hideMark/>
          </w:tcPr>
          <w:p w14:paraId="62A69F10" w14:textId="77777777" w:rsidR="009321AC" w:rsidRPr="003A173C" w:rsidRDefault="009321AC" w:rsidP="005E09CD">
            <w:pPr>
              <w:rPr>
                <w:rFonts w:cs="Calibri"/>
              </w:rPr>
            </w:pPr>
            <w:r w:rsidRPr="003A173C">
              <w:rPr>
                <w:rFonts w:cs="Calibri"/>
              </w:rPr>
              <w:t>Step 2</w:t>
            </w:r>
          </w:p>
        </w:tc>
        <w:tc>
          <w:tcPr>
            <w:tcW w:w="8943" w:type="dxa"/>
          </w:tcPr>
          <w:p w14:paraId="2D3119F5" w14:textId="458B62A0" w:rsidR="009321AC" w:rsidRPr="003A173C" w:rsidRDefault="009321AC" w:rsidP="003D76F9">
            <w:pPr>
              <w:spacing w:before="0"/>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Submit a </w:t>
            </w:r>
            <w:r w:rsidR="00757145" w:rsidRPr="003A173C">
              <w:rPr>
                <w:rFonts w:cs="Calibri"/>
                <w:szCs w:val="20"/>
              </w:rPr>
              <w:t>n</w:t>
            </w:r>
            <w:r w:rsidRPr="003A173C">
              <w:rPr>
                <w:rFonts w:cs="Calibri"/>
                <w:szCs w:val="20"/>
              </w:rPr>
              <w:t xml:space="preserve">otification form </w:t>
            </w:r>
            <w:r w:rsidR="00F85EDF" w:rsidRPr="003A173C">
              <w:rPr>
                <w:rFonts w:cs="Calibri"/>
                <w:szCs w:val="20"/>
              </w:rPr>
              <w:t xml:space="preserve">relating to a change of circumstances </w:t>
            </w:r>
            <w:r w:rsidRPr="003A173C">
              <w:rPr>
                <w:rFonts w:cs="Calibri"/>
                <w:szCs w:val="20"/>
              </w:rPr>
              <w:t xml:space="preserve">to the Aged Care Quality and Safety Commission (as part of its notification processing, the Commission will update </w:t>
            </w:r>
            <w:r w:rsidR="001460A2" w:rsidRPr="003A173C">
              <w:rPr>
                <w:rFonts w:cs="Calibri"/>
                <w:szCs w:val="20"/>
              </w:rPr>
              <w:t>GPMS</w:t>
            </w:r>
            <w:r w:rsidRPr="003A173C">
              <w:rPr>
                <w:rFonts w:cs="Calibri"/>
                <w:szCs w:val="20"/>
              </w:rPr>
              <w:t>)</w:t>
            </w:r>
          </w:p>
          <w:p w14:paraId="4FBD8A1E" w14:textId="6D542D00" w:rsidR="009321AC" w:rsidRPr="003A173C" w:rsidRDefault="009321AC" w:rsidP="00471400">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Process and requirement information: </w:t>
            </w:r>
            <w:hyperlink r:id="rId67" w:history="1">
              <w:r w:rsidR="003D76F9" w:rsidRPr="003A173C">
                <w:rPr>
                  <w:rStyle w:val="Hyperlink"/>
                  <w:rFonts w:ascii="Calibri" w:hAnsi="Calibri" w:cs="Calibri"/>
                  <w:sz w:val="20"/>
                </w:rPr>
                <w:t>https://www.agedcarequality.gov.au/providers/notifying-material-changes-approved-providers</w:t>
              </w:r>
            </w:hyperlink>
            <w:r w:rsidR="003D76F9" w:rsidRPr="003A173C">
              <w:rPr>
                <w:rFonts w:ascii="Calibri" w:hAnsi="Calibri" w:cs="Calibri"/>
              </w:rPr>
              <w:t>.</w:t>
            </w:r>
          </w:p>
          <w:p w14:paraId="078F2FED" w14:textId="143B11FD" w:rsidR="009321AC" w:rsidRPr="003A173C" w:rsidRDefault="009321AC" w:rsidP="00471400">
            <w:pPr>
              <w:cnfStyle w:val="000000000000" w:firstRow="0" w:lastRow="0" w:firstColumn="0" w:lastColumn="0" w:oddVBand="0" w:evenVBand="0" w:oddHBand="0" w:evenHBand="0" w:firstRowFirstColumn="0" w:firstRowLastColumn="0" w:lastRowFirstColumn="0" w:lastRowLastColumn="0"/>
              <w:rPr>
                <w:rFonts w:cs="Calibri"/>
                <w:szCs w:val="20"/>
              </w:rPr>
            </w:pPr>
            <w:r w:rsidRPr="003A173C">
              <w:rPr>
                <w:rFonts w:cs="Calibri"/>
                <w:szCs w:val="20"/>
              </w:rPr>
              <w:t xml:space="preserve">Form: </w:t>
            </w:r>
            <w:hyperlink r:id="rId68" w:history="1">
              <w:r w:rsidRPr="003A173C">
                <w:rPr>
                  <w:rStyle w:val="Hyperlink"/>
                  <w:rFonts w:ascii="Calibri" w:hAnsi="Calibri" w:cs="Calibri"/>
                  <w:sz w:val="20"/>
                  <w:szCs w:val="20"/>
                </w:rPr>
                <w:t>here</w:t>
              </w:r>
            </w:hyperlink>
          </w:p>
        </w:tc>
      </w:tr>
      <w:tr w:rsidR="009321AC" w:rsidRPr="003A173C" w14:paraId="72048293" w14:textId="77777777" w:rsidTr="00412682">
        <w:trPr>
          <w:trHeight w:val="787"/>
        </w:trPr>
        <w:tc>
          <w:tcPr>
            <w:cnfStyle w:val="001000000000" w:firstRow="0" w:lastRow="0" w:firstColumn="1" w:lastColumn="0" w:oddVBand="0" w:evenVBand="0" w:oddHBand="0" w:evenHBand="0" w:firstRowFirstColumn="0" w:firstRowLastColumn="0" w:lastRowFirstColumn="0" w:lastRowLastColumn="0"/>
            <w:tcW w:w="1251" w:type="dxa"/>
            <w:hideMark/>
          </w:tcPr>
          <w:p w14:paraId="5A6B5583" w14:textId="3BADEB59" w:rsidR="009321AC" w:rsidRPr="003A173C" w:rsidRDefault="009321AC" w:rsidP="005E09CD">
            <w:pPr>
              <w:rPr>
                <w:rFonts w:cs="Calibri"/>
              </w:rPr>
            </w:pPr>
            <w:r w:rsidRPr="003A173C">
              <w:rPr>
                <w:rFonts w:cs="Calibri"/>
              </w:rPr>
              <w:t xml:space="preserve">Step </w:t>
            </w:r>
            <w:r w:rsidR="001460A2" w:rsidRPr="003A173C">
              <w:rPr>
                <w:rFonts w:cs="Calibri"/>
              </w:rPr>
              <w:t>3</w:t>
            </w:r>
          </w:p>
        </w:tc>
        <w:tc>
          <w:tcPr>
            <w:tcW w:w="8943" w:type="dxa"/>
          </w:tcPr>
          <w:p w14:paraId="71520130" w14:textId="30765508"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 xml:space="preserve">Submit a </w:t>
            </w:r>
            <w:r w:rsidRPr="003A173C">
              <w:rPr>
                <w:rFonts w:ascii="Calibri" w:hAnsi="Calibri" w:cs="Calibri"/>
                <w:i/>
              </w:rPr>
              <w:t>Register, amend or remove users for Aged Care Provider Portal</w:t>
            </w:r>
            <w:r w:rsidRPr="003A173C">
              <w:rPr>
                <w:rFonts w:ascii="Calibri" w:hAnsi="Calibri" w:cs="Calibri"/>
              </w:rPr>
              <w:t xml:space="preserve"> form (AC004) to Services Australia to enable updates to the A</w:t>
            </w:r>
            <w:r w:rsidR="00F40074" w:rsidRPr="003A173C">
              <w:rPr>
                <w:rFonts w:ascii="Calibri" w:hAnsi="Calibri" w:cs="Calibri"/>
              </w:rPr>
              <w:t xml:space="preserve">ged </w:t>
            </w:r>
            <w:r w:rsidRPr="003A173C">
              <w:rPr>
                <w:rFonts w:ascii="Calibri" w:hAnsi="Calibri" w:cs="Calibri"/>
              </w:rPr>
              <w:t>C</w:t>
            </w:r>
            <w:r w:rsidR="00F40074" w:rsidRPr="003A173C">
              <w:rPr>
                <w:rFonts w:ascii="Calibri" w:hAnsi="Calibri" w:cs="Calibri"/>
              </w:rPr>
              <w:t xml:space="preserve">are </w:t>
            </w:r>
            <w:r w:rsidRPr="003A173C">
              <w:rPr>
                <w:rFonts w:ascii="Calibri" w:hAnsi="Calibri" w:cs="Calibri"/>
              </w:rPr>
              <w:t>P</w:t>
            </w:r>
            <w:r w:rsidR="00F40074" w:rsidRPr="003A173C">
              <w:rPr>
                <w:rFonts w:ascii="Calibri" w:hAnsi="Calibri" w:cs="Calibri"/>
              </w:rPr>
              <w:t xml:space="preserve">rovider Portal </w:t>
            </w:r>
            <w:r w:rsidRPr="003A173C">
              <w:rPr>
                <w:rFonts w:ascii="Calibri" w:hAnsi="Calibri" w:cs="Calibri"/>
              </w:rPr>
              <w:t xml:space="preserve">(and the payments system). Information and form link: </w:t>
            </w:r>
            <w:hyperlink r:id="rId69" w:history="1">
              <w:r w:rsidRPr="003A173C">
                <w:rPr>
                  <w:rStyle w:val="Hyperlink"/>
                  <w:rFonts w:ascii="Calibri" w:hAnsi="Calibri" w:cs="Calibri"/>
                  <w:sz w:val="20"/>
                </w:rPr>
                <w:t>here</w:t>
              </w:r>
            </w:hyperlink>
          </w:p>
        </w:tc>
      </w:tr>
      <w:tr w:rsidR="009321AC" w:rsidRPr="003A173C" w14:paraId="5BA856A0" w14:textId="77777777" w:rsidTr="00412682">
        <w:trPr>
          <w:trHeight w:val="838"/>
        </w:trPr>
        <w:tc>
          <w:tcPr>
            <w:cnfStyle w:val="001000000000" w:firstRow="0" w:lastRow="0" w:firstColumn="1" w:lastColumn="0" w:oddVBand="0" w:evenVBand="0" w:oddHBand="0" w:evenHBand="0" w:firstRowFirstColumn="0" w:firstRowLastColumn="0" w:lastRowFirstColumn="0" w:lastRowLastColumn="0"/>
            <w:tcW w:w="1251" w:type="dxa"/>
            <w:hideMark/>
          </w:tcPr>
          <w:p w14:paraId="32123039" w14:textId="6CB248F1" w:rsidR="009321AC" w:rsidRPr="003A173C" w:rsidRDefault="009321AC" w:rsidP="005E09CD">
            <w:pPr>
              <w:rPr>
                <w:rFonts w:cs="Calibri"/>
              </w:rPr>
            </w:pPr>
            <w:r w:rsidRPr="003A173C">
              <w:rPr>
                <w:rFonts w:cs="Calibri"/>
              </w:rPr>
              <w:t xml:space="preserve">Step </w:t>
            </w:r>
            <w:r w:rsidR="001460A2" w:rsidRPr="003A173C">
              <w:rPr>
                <w:rFonts w:cs="Calibri"/>
              </w:rPr>
              <w:t>4</w:t>
            </w:r>
          </w:p>
        </w:tc>
        <w:tc>
          <w:tcPr>
            <w:tcW w:w="8943" w:type="dxa"/>
          </w:tcPr>
          <w:p w14:paraId="2A7167D0" w14:textId="4D792FE1" w:rsidR="009321AC" w:rsidRPr="003A173C" w:rsidRDefault="009321AC" w:rsidP="001B4B19">
            <w:pPr>
              <w:pStyle w:val="TableofFigures"/>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173C">
              <w:rPr>
                <w:rFonts w:ascii="Calibri" w:hAnsi="Calibri" w:cs="Calibri"/>
              </w:rPr>
              <w:t>If required, update the My Aged Care provider portal with new user details and deactivate previous users – see section 2.5 of the</w:t>
            </w:r>
            <w:r w:rsidR="00B06E49" w:rsidRPr="003A173C">
              <w:rPr>
                <w:rFonts w:ascii="Calibri" w:hAnsi="Calibri" w:cs="Calibri"/>
              </w:rPr>
              <w:t xml:space="preserve"> </w:t>
            </w:r>
            <w:hyperlink r:id="rId70" w:history="1">
              <w:r w:rsidRPr="003A173C">
                <w:rPr>
                  <w:rStyle w:val="Hyperlink"/>
                  <w:rFonts w:ascii="Calibri" w:hAnsi="Calibri" w:cs="Calibri"/>
                  <w:sz w:val="20"/>
                </w:rPr>
                <w:t>My Aged Care Provider Portal User Guide Part 1: Administrator Functions</w:t>
              </w:r>
            </w:hyperlink>
          </w:p>
        </w:tc>
      </w:tr>
    </w:tbl>
    <w:p w14:paraId="09054928" w14:textId="476F9141" w:rsidR="00FB050A" w:rsidRPr="00721280" w:rsidRDefault="00FB050A" w:rsidP="008974DB">
      <w:pPr>
        <w:pStyle w:val="Style3"/>
      </w:pPr>
      <w:bookmarkStart w:id="2031" w:name="_Toc216865520"/>
      <w:r w:rsidRPr="00721280">
        <w:t xml:space="preserve">Notification of deceased TCP </w:t>
      </w:r>
      <w:r w:rsidR="004E210C" w:rsidRPr="00721280">
        <w:t>recipient</w:t>
      </w:r>
      <w:bookmarkEnd w:id="2031"/>
    </w:p>
    <w:p w14:paraId="4BD5A980" w14:textId="427EC469" w:rsidR="00FB050A" w:rsidRPr="003A173C" w:rsidRDefault="00FB050A" w:rsidP="001E340F">
      <w:pPr>
        <w:rPr>
          <w:rFonts w:cs="Calibri"/>
        </w:rPr>
      </w:pPr>
      <w:r w:rsidRPr="003A173C">
        <w:rPr>
          <w:rFonts w:cs="Calibri"/>
        </w:rPr>
        <w:t>Where a current TCP recipient passes away</w:t>
      </w:r>
      <w:r w:rsidR="00BE6E55" w:rsidRPr="003A173C">
        <w:rPr>
          <w:rFonts w:cs="Calibri"/>
        </w:rPr>
        <w:t>,</w:t>
      </w:r>
      <w:r w:rsidRPr="003A173C">
        <w:rPr>
          <w:rFonts w:cs="Calibri"/>
        </w:rPr>
        <w:t xml:space="preserve"> the responsible TCP </w:t>
      </w:r>
      <w:r w:rsidR="003533B9" w:rsidRPr="003A173C">
        <w:rPr>
          <w:rFonts w:cs="Calibri"/>
        </w:rPr>
        <w:t xml:space="preserve">registered provider </w:t>
      </w:r>
      <w:r w:rsidRPr="003A173C">
        <w:rPr>
          <w:rFonts w:cs="Calibri"/>
        </w:rPr>
        <w:t xml:space="preserve">is to update the client’s record in the My Aged Care system. </w:t>
      </w:r>
      <w:r w:rsidR="00D80648" w:rsidRPr="003A173C">
        <w:rPr>
          <w:rFonts w:cs="Calibri"/>
        </w:rPr>
        <w:t>Several</w:t>
      </w:r>
      <w:r w:rsidRPr="003A173C">
        <w:rPr>
          <w:rFonts w:cs="Calibri"/>
        </w:rPr>
        <w:t xml:space="preserve"> processes are triggered to inactivate a client record when the client</w:t>
      </w:r>
      <w:r w:rsidR="00393C26" w:rsidRPr="003A173C">
        <w:rPr>
          <w:rFonts w:cs="Calibri"/>
        </w:rPr>
        <w:t>’s</w:t>
      </w:r>
      <w:r w:rsidRPr="003A173C">
        <w:rPr>
          <w:rFonts w:cs="Calibri"/>
        </w:rPr>
        <w:t xml:space="preserve"> status is marked as </w:t>
      </w:r>
      <w:r w:rsidR="00A647C4" w:rsidRPr="003A173C">
        <w:rPr>
          <w:rFonts w:cs="Calibri"/>
        </w:rPr>
        <w:t>deceased and</w:t>
      </w:r>
      <w:r w:rsidRPr="003A173C">
        <w:rPr>
          <w:rFonts w:cs="Calibri"/>
        </w:rPr>
        <w:t xml:space="preserve"> will prevent the client or their </w:t>
      </w:r>
      <w:r w:rsidR="00701999" w:rsidRPr="003A173C">
        <w:rPr>
          <w:rFonts w:cs="Calibri"/>
        </w:rPr>
        <w:t xml:space="preserve">supporters </w:t>
      </w:r>
      <w:r w:rsidRPr="003A173C">
        <w:rPr>
          <w:rFonts w:cs="Calibri"/>
        </w:rPr>
        <w:t>from receiving further correspondence from My Aged Care (which can understandably be upsetting when the client has passed away).</w:t>
      </w:r>
    </w:p>
    <w:p w14:paraId="182580C0" w14:textId="1441D095" w:rsidR="00FB050A" w:rsidRPr="003A173C" w:rsidRDefault="00FB050A" w:rsidP="001E340F">
      <w:pPr>
        <w:rPr>
          <w:rFonts w:cs="Calibri"/>
        </w:rPr>
      </w:pPr>
      <w:r w:rsidRPr="003A173C">
        <w:rPr>
          <w:rFonts w:cs="Calibri"/>
        </w:rPr>
        <w:t>This is in addition to the standard requirements in respect to ensuring accurate claims reporting, including selection of the ‘deceased’ discharge code.</w:t>
      </w:r>
    </w:p>
    <w:p w14:paraId="3DAB38B8" w14:textId="4E65CDE1" w:rsidR="007A0F18" w:rsidRPr="003A173C" w:rsidRDefault="00FB050A" w:rsidP="001E340F">
      <w:pPr>
        <w:rPr>
          <w:rFonts w:cs="Calibri"/>
        </w:rPr>
      </w:pPr>
      <w:r w:rsidRPr="003A173C">
        <w:rPr>
          <w:rFonts w:cs="Calibri"/>
        </w:rPr>
        <w:t xml:space="preserve">In the unfortunate instance that a TCP </w:t>
      </w:r>
      <w:r w:rsidR="002B1920" w:rsidRPr="003A173C">
        <w:rPr>
          <w:rFonts w:cs="Calibri"/>
        </w:rPr>
        <w:t>registered provider</w:t>
      </w:r>
      <w:r w:rsidR="00A45825" w:rsidRPr="003A173C">
        <w:rPr>
          <w:rFonts w:cs="Calibri"/>
        </w:rPr>
        <w:t xml:space="preserve"> or associated provider </w:t>
      </w:r>
      <w:r w:rsidRPr="003A173C">
        <w:rPr>
          <w:rFonts w:cs="Calibri"/>
        </w:rPr>
        <w:t>is first to discover a</w:t>
      </w:r>
      <w:r w:rsidR="005C72E0" w:rsidRPr="003A173C">
        <w:rPr>
          <w:rFonts w:cs="Calibri"/>
        </w:rPr>
        <w:t>n</w:t>
      </w:r>
      <w:r w:rsidRPr="003A173C">
        <w:rPr>
          <w:rFonts w:cs="Calibri"/>
        </w:rPr>
        <w:t xml:space="preserve"> </w:t>
      </w:r>
      <w:r w:rsidR="00E16A2C" w:rsidRPr="003A173C">
        <w:rPr>
          <w:rFonts w:cs="Calibri"/>
        </w:rPr>
        <w:t>individual</w:t>
      </w:r>
      <w:r w:rsidRPr="003A173C">
        <w:rPr>
          <w:rFonts w:cs="Calibri"/>
        </w:rPr>
        <w:t xml:space="preserve"> is deceased when delivering care and services, it is expected that the</w:t>
      </w:r>
      <w:r w:rsidR="00794EDA" w:rsidRPr="003A173C">
        <w:rPr>
          <w:rFonts w:cs="Calibri"/>
        </w:rPr>
        <w:t>y follow their own</w:t>
      </w:r>
      <w:r w:rsidRPr="003A173C">
        <w:rPr>
          <w:rFonts w:cs="Calibri"/>
        </w:rPr>
        <w:t xml:space="preserve"> guidance protocols in relation to notifying emergency services and the appropriate key contact person for the </w:t>
      </w:r>
      <w:r w:rsidR="00794EDA" w:rsidRPr="003A173C">
        <w:rPr>
          <w:rFonts w:cs="Calibri"/>
        </w:rPr>
        <w:t>individual</w:t>
      </w:r>
      <w:r w:rsidRPr="003A173C">
        <w:rPr>
          <w:rFonts w:cs="Calibri"/>
        </w:rPr>
        <w:t xml:space="preserve">, and </w:t>
      </w:r>
      <w:r w:rsidR="001B4947" w:rsidRPr="003A173C">
        <w:rPr>
          <w:rFonts w:cs="Calibri"/>
        </w:rPr>
        <w:t>the SIRS reporting obligations as mentioned above.</w:t>
      </w:r>
      <w:r w:rsidR="005E2B34" w:rsidRPr="003A173C">
        <w:rPr>
          <w:rFonts w:cs="Calibri"/>
        </w:rPr>
        <w:t xml:space="preserve"> </w:t>
      </w:r>
    </w:p>
    <w:p w14:paraId="10D09A3F" w14:textId="2ED55218" w:rsidR="00605BA0" w:rsidRPr="003A173C" w:rsidRDefault="00605BA0" w:rsidP="001B4B19">
      <w:pPr>
        <w:pStyle w:val="Heading1"/>
        <w:ind w:left="0" w:firstLine="0"/>
        <w:rPr>
          <w:rFonts w:ascii="Calibri" w:hAnsi="Calibri" w:cs="Calibri"/>
        </w:rPr>
      </w:pPr>
      <w:bookmarkStart w:id="2032" w:name="_Toc211853713"/>
      <w:bookmarkStart w:id="2033" w:name="_Toc211942181"/>
      <w:bookmarkStart w:id="2034" w:name="_Toc211853714"/>
      <w:bookmarkStart w:id="2035" w:name="_Toc211942182"/>
      <w:bookmarkStart w:id="2036" w:name="_Toc203057073"/>
      <w:bookmarkStart w:id="2037" w:name="_Toc203117303"/>
      <w:bookmarkStart w:id="2038" w:name="_Toc203379371"/>
      <w:bookmarkStart w:id="2039" w:name="_Toc205369511"/>
      <w:bookmarkStart w:id="2040" w:name="_Toc205374463"/>
      <w:bookmarkStart w:id="2041" w:name="_Toc205374611"/>
      <w:bookmarkStart w:id="2042" w:name="_Toc205378409"/>
      <w:bookmarkStart w:id="2043" w:name="_Toc205378643"/>
      <w:bookmarkStart w:id="2044" w:name="_Toc205378877"/>
      <w:bookmarkStart w:id="2045" w:name="_Toc205379110"/>
      <w:bookmarkStart w:id="2046" w:name="_Toc205379343"/>
      <w:bookmarkStart w:id="2047" w:name="_Toc205379576"/>
      <w:bookmarkStart w:id="2048" w:name="_Toc205379801"/>
      <w:bookmarkStart w:id="2049" w:name="_Toc205380025"/>
      <w:bookmarkStart w:id="2050" w:name="_Toc205395483"/>
      <w:bookmarkStart w:id="2051" w:name="_Toc205396277"/>
      <w:bookmarkStart w:id="2052" w:name="_Toc205397808"/>
      <w:bookmarkStart w:id="2053" w:name="_Toc205398033"/>
      <w:bookmarkStart w:id="2054" w:name="_Toc205468659"/>
      <w:bookmarkStart w:id="2055" w:name="_Toc205469118"/>
      <w:bookmarkStart w:id="2056" w:name="_Toc205479910"/>
      <w:bookmarkStart w:id="2057" w:name="_Toc205560983"/>
      <w:bookmarkStart w:id="2058" w:name="_Toc205561208"/>
      <w:bookmarkStart w:id="2059" w:name="_Toc205819260"/>
      <w:bookmarkStart w:id="2060" w:name="_Toc205890723"/>
      <w:bookmarkStart w:id="2061" w:name="_Toc205890863"/>
      <w:bookmarkStart w:id="2062" w:name="_Toc205892073"/>
      <w:bookmarkStart w:id="2063" w:name="_Toc205897230"/>
      <w:bookmarkStart w:id="2064" w:name="_Toc205906113"/>
      <w:bookmarkStart w:id="2065" w:name="_Toc205909251"/>
      <w:bookmarkStart w:id="2066" w:name="_Toc205909744"/>
      <w:bookmarkStart w:id="2067" w:name="_Toc205910050"/>
      <w:bookmarkStart w:id="2068" w:name="_Toc205974559"/>
      <w:bookmarkStart w:id="2069" w:name="_Toc205974699"/>
      <w:bookmarkStart w:id="2070" w:name="_Toc205974839"/>
      <w:bookmarkStart w:id="2071" w:name="_Toc205999139"/>
      <w:bookmarkStart w:id="2072" w:name="_Toc206001448"/>
      <w:bookmarkStart w:id="2073" w:name="_Toc206001589"/>
      <w:bookmarkStart w:id="2074" w:name="_Toc206001730"/>
      <w:bookmarkStart w:id="2075" w:name="_Toc206001872"/>
      <w:bookmarkStart w:id="2076" w:name="_Toc206003794"/>
      <w:bookmarkStart w:id="2077" w:name="_Toc206006282"/>
      <w:bookmarkStart w:id="2078" w:name="_Toc206006603"/>
      <w:bookmarkStart w:id="2079" w:name="_Toc206006744"/>
      <w:bookmarkStart w:id="2080" w:name="_Toc206059619"/>
      <w:bookmarkStart w:id="2081" w:name="_Toc206084536"/>
      <w:bookmarkStart w:id="2082" w:name="_Toc206143984"/>
      <w:bookmarkStart w:id="2083" w:name="_Toc206153672"/>
      <w:bookmarkStart w:id="2084" w:name="_Toc206155721"/>
      <w:bookmarkStart w:id="2085" w:name="_Toc206155862"/>
      <w:bookmarkStart w:id="2086" w:name="_Toc206157068"/>
      <w:bookmarkStart w:id="2087" w:name="_Toc206157288"/>
      <w:bookmarkStart w:id="2088" w:name="_Toc211853715"/>
      <w:bookmarkStart w:id="2089" w:name="_Toc211942183"/>
      <w:bookmarkStart w:id="2090" w:name="_Toc211853716"/>
      <w:bookmarkStart w:id="2091" w:name="_Toc211942184"/>
      <w:bookmarkStart w:id="2092" w:name="_Toc211853717"/>
      <w:bookmarkStart w:id="2093" w:name="_Toc211942185"/>
      <w:bookmarkStart w:id="2094" w:name="_Toc211853718"/>
      <w:bookmarkStart w:id="2095" w:name="_Toc211942186"/>
      <w:bookmarkStart w:id="2096" w:name="_Toc211853719"/>
      <w:bookmarkStart w:id="2097" w:name="_Toc211942187"/>
      <w:bookmarkStart w:id="2098" w:name="_Toc211853720"/>
      <w:bookmarkStart w:id="2099" w:name="_Toc211942188"/>
      <w:bookmarkStart w:id="2100" w:name="_Toc211853721"/>
      <w:bookmarkStart w:id="2101" w:name="_Toc211942189"/>
      <w:bookmarkStart w:id="2102" w:name="_Toc211853722"/>
      <w:bookmarkStart w:id="2103" w:name="_Toc211942190"/>
      <w:bookmarkStart w:id="2104" w:name="_QUALITY_ASSURANCE_AND"/>
      <w:bookmarkStart w:id="2105" w:name="_Toc395537220"/>
      <w:bookmarkStart w:id="2106" w:name="_Toc422732576"/>
      <w:bookmarkStart w:id="2107" w:name="_Toc422752915"/>
      <w:bookmarkStart w:id="2108" w:name="_Toc21686552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r w:rsidRPr="003A173C">
        <w:rPr>
          <w:rFonts w:ascii="Calibri" w:hAnsi="Calibri" w:cs="Calibri"/>
        </w:rPr>
        <w:lastRenderedPageBreak/>
        <w:t xml:space="preserve">QUALITY ASSURANCE </w:t>
      </w:r>
      <w:r w:rsidR="00C82E90" w:rsidRPr="003A173C">
        <w:rPr>
          <w:rFonts w:ascii="Calibri" w:hAnsi="Calibri" w:cs="Calibri"/>
        </w:rPr>
        <w:t xml:space="preserve">AND COMPLAINTS </w:t>
      </w:r>
      <w:r w:rsidRPr="003A173C">
        <w:rPr>
          <w:rFonts w:ascii="Calibri" w:hAnsi="Calibri" w:cs="Calibri"/>
        </w:rPr>
        <w:t>IN TRANSITION CARE</w:t>
      </w:r>
      <w:bookmarkEnd w:id="2105"/>
      <w:bookmarkEnd w:id="2106"/>
      <w:bookmarkEnd w:id="2107"/>
      <w:bookmarkEnd w:id="2108"/>
    </w:p>
    <w:p w14:paraId="2DBA12EB" w14:textId="7860C04F" w:rsidR="00642596" w:rsidRPr="003A173C" w:rsidRDefault="00642596" w:rsidP="00642596">
      <w:pPr>
        <w:pStyle w:val="Heading2"/>
        <w:rPr>
          <w:rFonts w:ascii="Calibri" w:hAnsi="Calibri" w:cs="Calibri"/>
        </w:rPr>
      </w:pPr>
      <w:bookmarkStart w:id="2109" w:name="_Toc216865522"/>
      <w:bookmarkStart w:id="2110" w:name="_Hlk77072567"/>
      <w:bookmarkStart w:id="2111" w:name="_Toc395537221"/>
      <w:bookmarkStart w:id="2112" w:name="_Toc422732577"/>
      <w:bookmarkStart w:id="2113" w:name="_Toc422752916"/>
      <w:r w:rsidRPr="003A173C">
        <w:rPr>
          <w:rFonts w:ascii="Calibri" w:hAnsi="Calibri" w:cs="Calibri"/>
        </w:rPr>
        <w:t>Aged Care Quality Standards</w:t>
      </w:r>
      <w:bookmarkEnd w:id="2109"/>
    </w:p>
    <w:bookmarkEnd w:id="2110"/>
    <w:p w14:paraId="0D81BA71" w14:textId="3B0E20E8" w:rsidR="00217750" w:rsidRPr="003A173C" w:rsidRDefault="00B22433" w:rsidP="001E340F">
      <w:pPr>
        <w:rPr>
          <w:rFonts w:eastAsia="Calibri" w:cs="Calibri"/>
        </w:rPr>
      </w:pPr>
      <w:r w:rsidRPr="003A173C">
        <w:rPr>
          <w:rFonts w:eastAsia="Calibri" w:cs="Calibri"/>
        </w:rPr>
        <w:t>The Aged Care Quality Standards</w:t>
      </w:r>
      <w:r w:rsidR="00490AEA" w:rsidRPr="003A173C">
        <w:rPr>
          <w:rFonts w:eastAsia="Calibri" w:cs="Calibri"/>
        </w:rPr>
        <w:t xml:space="preserve"> (see</w:t>
      </w:r>
      <w:r w:rsidR="00D14C11" w:rsidRPr="003A173C">
        <w:rPr>
          <w:rFonts w:eastAsia="Calibri" w:cs="Calibri"/>
        </w:rPr>
        <w:t xml:space="preserve"> </w:t>
      </w:r>
      <w:r w:rsidR="00490AEA" w:rsidRPr="003A173C">
        <w:rPr>
          <w:rFonts w:eastAsia="Calibri" w:cs="Calibri"/>
        </w:rPr>
        <w:t>Chapter 1 of the</w:t>
      </w:r>
      <w:r w:rsidR="0089029E" w:rsidRPr="003A173C">
        <w:rPr>
          <w:rFonts w:eastAsia="Calibri" w:cs="Calibri"/>
        </w:rPr>
        <w:t xml:space="preserve"> Rules</w:t>
      </w:r>
      <w:r w:rsidR="00490AEA" w:rsidRPr="003A173C">
        <w:rPr>
          <w:rFonts w:eastAsia="Calibri" w:cs="Calibri"/>
        </w:rPr>
        <w:t>)</w:t>
      </w:r>
      <w:r w:rsidR="0034295A" w:rsidRPr="003A173C">
        <w:rPr>
          <w:rFonts w:eastAsia="Calibri" w:cs="Calibri"/>
        </w:rPr>
        <w:t xml:space="preserve"> which have been reviewed and strengthened as part of the aged care reforms,</w:t>
      </w:r>
      <w:r w:rsidRPr="003A173C">
        <w:rPr>
          <w:rFonts w:eastAsia="Calibri" w:cs="Calibri"/>
        </w:rPr>
        <w:t xml:space="preserve"> </w:t>
      </w:r>
      <w:r w:rsidR="004F3146">
        <w:rPr>
          <w:rFonts w:eastAsia="Calibri" w:cs="Calibri"/>
        </w:rPr>
        <w:t>commence with the A</w:t>
      </w:r>
      <w:r w:rsidR="00CF2327">
        <w:rPr>
          <w:rFonts w:eastAsia="Calibri" w:cs="Calibri"/>
        </w:rPr>
        <w:t>ct</w:t>
      </w:r>
      <w:r w:rsidR="004F3146">
        <w:rPr>
          <w:rFonts w:eastAsia="Calibri" w:cs="Calibri"/>
        </w:rPr>
        <w:t xml:space="preserve"> from 1 November 2025. The Aged Care Quality Standards </w:t>
      </w:r>
      <w:r w:rsidRPr="003A173C">
        <w:rPr>
          <w:rFonts w:eastAsia="Calibri" w:cs="Calibri"/>
        </w:rPr>
        <w:t>apply to</w:t>
      </w:r>
      <w:r w:rsidR="00BD343B">
        <w:rPr>
          <w:rFonts w:eastAsia="Calibri" w:cs="Calibri"/>
        </w:rPr>
        <w:t xml:space="preserve"> providers </w:t>
      </w:r>
      <w:r w:rsidR="006B3A5F" w:rsidRPr="003A173C">
        <w:rPr>
          <w:rFonts w:eastAsia="Calibri" w:cs="Calibri"/>
        </w:rPr>
        <w:t>regist</w:t>
      </w:r>
      <w:r w:rsidR="00BD343B">
        <w:rPr>
          <w:rFonts w:eastAsia="Calibri" w:cs="Calibri"/>
        </w:rPr>
        <w:t>ered in</w:t>
      </w:r>
      <w:r w:rsidR="006B3A5F" w:rsidRPr="003A173C">
        <w:rPr>
          <w:rFonts w:eastAsia="Calibri" w:cs="Calibri"/>
        </w:rPr>
        <w:t xml:space="preserve"> </w:t>
      </w:r>
      <w:r w:rsidR="00435485" w:rsidRPr="003A173C">
        <w:rPr>
          <w:rFonts w:eastAsia="Calibri" w:cs="Calibri"/>
        </w:rPr>
        <w:t>categories</w:t>
      </w:r>
      <w:r w:rsidR="006B3A5F" w:rsidRPr="003A173C">
        <w:rPr>
          <w:rFonts w:eastAsia="Calibri" w:cs="Calibri"/>
        </w:rPr>
        <w:t xml:space="preserve"> </w:t>
      </w:r>
      <w:r w:rsidR="00625737" w:rsidRPr="003A173C">
        <w:rPr>
          <w:rFonts w:eastAsia="Calibri" w:cs="Calibri"/>
        </w:rPr>
        <w:t>4, 5 and 6</w:t>
      </w:r>
      <w:r w:rsidR="00E61A25">
        <w:rPr>
          <w:rFonts w:eastAsia="Calibri" w:cs="Calibri"/>
        </w:rPr>
        <w:t>,</w:t>
      </w:r>
      <w:r w:rsidRPr="003A173C">
        <w:rPr>
          <w:rFonts w:eastAsia="Calibri" w:cs="Calibri"/>
        </w:rPr>
        <w:t xml:space="preserve"> including</w:t>
      </w:r>
      <w:r w:rsidR="00281701">
        <w:rPr>
          <w:rFonts w:eastAsia="Calibri" w:cs="Calibri"/>
        </w:rPr>
        <w:t xml:space="preserve"> where they are </w:t>
      </w:r>
      <w:r w:rsidR="0011299A">
        <w:rPr>
          <w:rFonts w:eastAsia="Calibri" w:cs="Calibri"/>
        </w:rPr>
        <w:t xml:space="preserve">delivering relevant funded aged care services through a specialist </w:t>
      </w:r>
      <w:r w:rsidR="009F2E00">
        <w:rPr>
          <w:rFonts w:eastAsia="Calibri" w:cs="Calibri"/>
        </w:rPr>
        <w:t>aged care program</w:t>
      </w:r>
      <w:r w:rsidRPr="003A173C">
        <w:rPr>
          <w:rFonts w:eastAsia="Calibri" w:cs="Calibri"/>
        </w:rPr>
        <w:t xml:space="preserve">. </w:t>
      </w:r>
      <w:r w:rsidR="00FC15F1" w:rsidRPr="003A173C">
        <w:rPr>
          <w:rFonts w:eastAsia="Calibri" w:cs="Calibri"/>
        </w:rPr>
        <w:t xml:space="preserve">Further information on the different registration categories can </w:t>
      </w:r>
      <w:r w:rsidR="00D8531A" w:rsidRPr="003A173C">
        <w:rPr>
          <w:rFonts w:eastAsia="Calibri" w:cs="Calibri"/>
        </w:rPr>
        <w:t>be found</w:t>
      </w:r>
      <w:r w:rsidR="00A278E9" w:rsidRPr="003A173C">
        <w:rPr>
          <w:rFonts w:eastAsia="Calibri" w:cs="Calibri"/>
        </w:rPr>
        <w:t xml:space="preserve"> on</w:t>
      </w:r>
      <w:r w:rsidR="00D8531A" w:rsidRPr="003A173C">
        <w:rPr>
          <w:rFonts w:eastAsia="Calibri" w:cs="Calibri"/>
        </w:rPr>
        <w:t xml:space="preserve"> </w:t>
      </w:r>
      <w:r w:rsidR="00396AD8" w:rsidRPr="003A173C">
        <w:rPr>
          <w:rFonts w:eastAsia="Calibri" w:cs="Calibri"/>
        </w:rPr>
        <w:t xml:space="preserve">the Department’s website </w:t>
      </w:r>
      <w:hyperlink r:id="rId71" w:history="1">
        <w:r w:rsidR="00396AD8" w:rsidRPr="003A173C">
          <w:rPr>
            <w:rStyle w:val="Hyperlink"/>
            <w:rFonts w:ascii="Calibri" w:eastAsia="Calibri" w:hAnsi="Calibri" w:cs="Calibri"/>
            <w:sz w:val="20"/>
          </w:rPr>
          <w:t>here</w:t>
        </w:r>
      </w:hyperlink>
      <w:r w:rsidR="00396AD8" w:rsidRPr="003A173C">
        <w:rPr>
          <w:rFonts w:eastAsia="Calibri" w:cs="Calibri"/>
        </w:rPr>
        <w:t>.</w:t>
      </w:r>
    </w:p>
    <w:p w14:paraId="259055AC" w14:textId="2D44BD29" w:rsidR="001F7395" w:rsidRPr="003A173C" w:rsidRDefault="001F7395" w:rsidP="001F7395">
      <w:pPr>
        <w:rPr>
          <w:rFonts w:eastAsia="Calibri" w:cs="Calibri"/>
        </w:rPr>
      </w:pPr>
      <w:r w:rsidRPr="003A173C">
        <w:rPr>
          <w:rFonts w:eastAsia="Calibri" w:cs="Calibri"/>
        </w:rPr>
        <w:t xml:space="preserve">The Aged Care Quality Standards </w:t>
      </w:r>
      <w:r w:rsidR="00D50407">
        <w:rPr>
          <w:rFonts w:eastAsia="Calibri" w:cs="Calibri"/>
        </w:rPr>
        <w:t>set the</w:t>
      </w:r>
      <w:r w:rsidR="008259E5">
        <w:rPr>
          <w:rFonts w:eastAsia="Calibri" w:cs="Calibri"/>
        </w:rPr>
        <w:t xml:space="preserve"> standard for the safety and quality of aged care</w:t>
      </w:r>
      <w:r w:rsidR="00D50407">
        <w:rPr>
          <w:rFonts w:eastAsia="Calibri" w:cs="Calibri"/>
        </w:rPr>
        <w:t xml:space="preserve"> accessed by older people in Australia</w:t>
      </w:r>
      <w:r w:rsidR="00DD0BAB" w:rsidRPr="003A173C">
        <w:rPr>
          <w:rFonts w:eastAsia="Calibri" w:cs="Calibri"/>
        </w:rPr>
        <w:t>.</w:t>
      </w:r>
      <w:r w:rsidRPr="003A173C">
        <w:rPr>
          <w:rFonts w:eastAsia="Calibri" w:cs="Calibri"/>
        </w:rPr>
        <w:t xml:space="preserve"> This makes it easier for </w:t>
      </w:r>
      <w:r w:rsidR="0008299F">
        <w:rPr>
          <w:rFonts w:eastAsia="Calibri" w:cs="Calibri"/>
        </w:rPr>
        <w:t>individuals</w:t>
      </w:r>
      <w:r w:rsidRPr="003A173C">
        <w:rPr>
          <w:rFonts w:eastAsia="Calibri" w:cs="Calibri"/>
        </w:rPr>
        <w:t xml:space="preserve">, their families, carers and </w:t>
      </w:r>
      <w:r w:rsidR="00D14C11" w:rsidRPr="003A173C">
        <w:rPr>
          <w:rFonts w:eastAsia="Calibri" w:cs="Calibri"/>
        </w:rPr>
        <w:t>supporter</w:t>
      </w:r>
      <w:r w:rsidRPr="003A173C">
        <w:rPr>
          <w:rFonts w:eastAsia="Calibri" w:cs="Calibri"/>
        </w:rPr>
        <w:t>s to understand what they can expect from a service. It also makes regulation simpler for providers working across multiple aged care services, and encourage</w:t>
      </w:r>
      <w:r w:rsidR="004A65C8">
        <w:rPr>
          <w:rFonts w:eastAsia="Calibri" w:cs="Calibri"/>
        </w:rPr>
        <w:t>s</w:t>
      </w:r>
      <w:r w:rsidRPr="003A173C">
        <w:rPr>
          <w:rFonts w:eastAsia="Calibri" w:cs="Calibri"/>
        </w:rPr>
        <w:t xml:space="preserve"> innovation, excellence and continuous improvement.</w:t>
      </w:r>
    </w:p>
    <w:p w14:paraId="557948A6" w14:textId="0BC9BC93" w:rsidR="0008766C" w:rsidRPr="003A173C" w:rsidRDefault="00947697" w:rsidP="001E340F">
      <w:pPr>
        <w:rPr>
          <w:rFonts w:eastAsia="Calibri" w:cs="Calibri"/>
          <w:lang w:eastAsia="en-US"/>
        </w:rPr>
      </w:pPr>
      <w:r w:rsidRPr="003A173C">
        <w:rPr>
          <w:rFonts w:eastAsia="Calibri" w:cs="Calibri"/>
          <w:lang w:eastAsia="en-US"/>
        </w:rPr>
        <w:t xml:space="preserve">The Aged Care Quality Standards, including information for </w:t>
      </w:r>
      <w:r w:rsidR="00FF2AA8">
        <w:rPr>
          <w:rFonts w:eastAsia="Calibri" w:cs="Calibri"/>
          <w:lang w:eastAsia="en-US"/>
        </w:rPr>
        <w:t>individuals</w:t>
      </w:r>
      <w:r w:rsidRPr="003A173C">
        <w:rPr>
          <w:rFonts w:eastAsia="Calibri" w:cs="Calibri"/>
          <w:lang w:eastAsia="en-US"/>
        </w:rPr>
        <w:t xml:space="preserve"> and specific guidance and resources to assist </w:t>
      </w:r>
      <w:r w:rsidR="00D14C11" w:rsidRPr="003A173C">
        <w:rPr>
          <w:rFonts w:eastAsia="Calibri" w:cs="Calibri"/>
          <w:lang w:eastAsia="en-US"/>
        </w:rPr>
        <w:t>registered p</w:t>
      </w:r>
      <w:r w:rsidRPr="003A173C">
        <w:rPr>
          <w:rFonts w:eastAsia="Calibri" w:cs="Calibri"/>
          <w:lang w:eastAsia="en-US"/>
        </w:rPr>
        <w:t>roviders and aged care services with implementing and maintaining co</w:t>
      </w:r>
      <w:r w:rsidR="00C5700F">
        <w:rPr>
          <w:rFonts w:eastAsia="Calibri" w:cs="Calibri"/>
          <w:lang w:eastAsia="en-US"/>
        </w:rPr>
        <w:t>nformance</w:t>
      </w:r>
      <w:r w:rsidRPr="003A173C">
        <w:rPr>
          <w:rFonts w:eastAsia="Calibri" w:cs="Calibri"/>
          <w:lang w:eastAsia="en-US"/>
        </w:rPr>
        <w:t xml:space="preserve"> with the </w:t>
      </w:r>
      <w:r w:rsidR="002258DD" w:rsidRPr="003A173C">
        <w:rPr>
          <w:rFonts w:eastAsia="Calibri" w:cs="Calibri"/>
          <w:lang w:eastAsia="en-US"/>
        </w:rPr>
        <w:t>s</w:t>
      </w:r>
      <w:r w:rsidRPr="003A173C">
        <w:rPr>
          <w:rFonts w:eastAsia="Calibri" w:cs="Calibri"/>
          <w:lang w:eastAsia="en-US"/>
        </w:rPr>
        <w:t xml:space="preserve">tandards, are available on the Commission’s website at </w:t>
      </w:r>
      <w:hyperlink r:id="rId72" w:history="1">
        <w:r w:rsidR="00844001" w:rsidRPr="003A173C">
          <w:rPr>
            <w:rStyle w:val="Hyperlink"/>
            <w:rFonts w:ascii="Calibri" w:hAnsi="Calibri" w:cs="Calibri"/>
            <w:sz w:val="20"/>
          </w:rPr>
          <w:t>Strengthened Quality Standards | Aged Care Quality and Safety Commission</w:t>
        </w:r>
      </w:hyperlink>
      <w:r w:rsidR="00844001" w:rsidRPr="003A173C">
        <w:rPr>
          <w:rFonts w:cs="Calibri"/>
        </w:rPr>
        <w:t xml:space="preserve">. </w:t>
      </w:r>
    </w:p>
    <w:p w14:paraId="19C89F2C" w14:textId="5A794E31" w:rsidR="009A3151" w:rsidRPr="00FA079C" w:rsidRDefault="009A3151" w:rsidP="009A3151">
      <w:pPr>
        <w:pStyle w:val="Heading2"/>
        <w:rPr>
          <w:rFonts w:ascii="Calibri" w:hAnsi="Calibri" w:cs="Calibri"/>
        </w:rPr>
      </w:pPr>
      <w:bookmarkStart w:id="2114" w:name="_Toc216865523"/>
      <w:r w:rsidRPr="00FA079C">
        <w:rPr>
          <w:rFonts w:ascii="Calibri" w:hAnsi="Calibri" w:cs="Calibri"/>
        </w:rPr>
        <w:t>Quality Monitoring and Reviews</w:t>
      </w:r>
      <w:bookmarkEnd w:id="2114"/>
    </w:p>
    <w:p w14:paraId="6E7E861A" w14:textId="18E8025A" w:rsidR="00AE4B9D" w:rsidRPr="00382E99" w:rsidRDefault="007F1809" w:rsidP="00AE4B9D">
      <w:pPr>
        <w:spacing w:before="0" w:after="80"/>
        <w:rPr>
          <w:rStyle w:val="eop"/>
          <w:rFonts w:eastAsiaTheme="majorEastAsia" w:cs="Calibri"/>
          <w:szCs w:val="20"/>
        </w:rPr>
      </w:pPr>
      <w:r w:rsidRPr="003A173C">
        <w:rPr>
          <w:rFonts w:eastAsia="Calibri" w:cs="Calibri"/>
          <w:szCs w:val="20"/>
          <w:lang w:eastAsia="en-US"/>
        </w:rPr>
        <w:t xml:space="preserve">From </w:t>
      </w:r>
      <w:r w:rsidR="007A15F5" w:rsidRPr="003A173C">
        <w:rPr>
          <w:rFonts w:eastAsia="Calibri" w:cs="Calibri"/>
          <w:szCs w:val="20"/>
          <w:lang w:eastAsia="en-US"/>
        </w:rPr>
        <w:t xml:space="preserve">1 November 2025, the new regulatory model will </w:t>
      </w:r>
      <w:r w:rsidR="00526178" w:rsidRPr="003A173C">
        <w:rPr>
          <w:rFonts w:eastAsia="Calibri" w:cs="Calibri"/>
          <w:szCs w:val="20"/>
          <w:lang w:eastAsia="en-US"/>
        </w:rPr>
        <w:t>commence</w:t>
      </w:r>
      <w:r w:rsidR="007A15F5" w:rsidRPr="003A173C">
        <w:rPr>
          <w:rFonts w:eastAsia="Calibri" w:cs="Calibri"/>
          <w:szCs w:val="20"/>
          <w:lang w:eastAsia="en-US"/>
        </w:rPr>
        <w:t xml:space="preserve"> as part of the </w:t>
      </w:r>
      <w:r w:rsidR="00272CC2">
        <w:rPr>
          <w:rFonts w:eastAsia="Calibri" w:cs="Calibri"/>
          <w:szCs w:val="20"/>
          <w:lang w:eastAsia="en-US"/>
        </w:rPr>
        <w:t>Act</w:t>
      </w:r>
      <w:r w:rsidR="00001F5F" w:rsidRPr="003A173C">
        <w:rPr>
          <w:rFonts w:eastAsia="Calibri" w:cs="Calibri"/>
          <w:szCs w:val="20"/>
          <w:lang w:eastAsia="en-US"/>
        </w:rPr>
        <w:t>. This means</w:t>
      </w:r>
      <w:r w:rsidRPr="003A173C">
        <w:rPr>
          <w:rFonts w:eastAsia="Calibri" w:cs="Calibri"/>
          <w:szCs w:val="20"/>
          <w:lang w:eastAsia="en-US"/>
        </w:rPr>
        <w:t xml:space="preserve"> </w:t>
      </w:r>
      <w:r w:rsidR="00AE4B9D" w:rsidRPr="00497EDC">
        <w:rPr>
          <w:rFonts w:eastAsiaTheme="majorEastAsia"/>
        </w:rPr>
        <w:t xml:space="preserve">the Commission </w:t>
      </w:r>
      <w:r w:rsidR="00001F5F" w:rsidRPr="00497EDC">
        <w:rPr>
          <w:rFonts w:eastAsiaTheme="majorEastAsia"/>
        </w:rPr>
        <w:t>will have the legal authority to review and monitor registered providers</w:t>
      </w:r>
      <w:r w:rsidR="005846EA" w:rsidRPr="00497EDC">
        <w:rPr>
          <w:rFonts w:eastAsiaTheme="majorEastAsia"/>
        </w:rPr>
        <w:t xml:space="preserve">, </w:t>
      </w:r>
      <w:r w:rsidR="00E70D50" w:rsidRPr="00E70D50">
        <w:rPr>
          <w:rFonts w:eastAsiaTheme="majorEastAsia" w:cs="Calibri"/>
          <w:szCs w:val="20"/>
        </w:rPr>
        <w:t xml:space="preserve">against all applicable requirements under the </w:t>
      </w:r>
      <w:r w:rsidR="00272CC2">
        <w:rPr>
          <w:rFonts w:eastAsiaTheme="majorEastAsia" w:cs="Calibri"/>
          <w:szCs w:val="20"/>
        </w:rPr>
        <w:t xml:space="preserve">Act </w:t>
      </w:r>
      <w:r w:rsidR="00C00C97">
        <w:rPr>
          <w:rFonts w:eastAsiaTheme="majorEastAsia" w:cs="Calibri"/>
          <w:szCs w:val="20"/>
        </w:rPr>
        <w:t>and the Rules</w:t>
      </w:r>
      <w:r w:rsidR="00E70D50" w:rsidRPr="00E70D50">
        <w:rPr>
          <w:rFonts w:eastAsiaTheme="majorEastAsia" w:cs="Calibri"/>
          <w:szCs w:val="20"/>
        </w:rPr>
        <w:t xml:space="preserve"> (which include the</w:t>
      </w:r>
      <w:r w:rsidR="007D797C">
        <w:rPr>
          <w:rFonts w:eastAsiaTheme="majorEastAsia" w:cs="Calibri"/>
          <w:szCs w:val="20"/>
        </w:rPr>
        <w:t xml:space="preserve"> Aged Care </w:t>
      </w:r>
      <w:r w:rsidR="00E70D50" w:rsidRPr="00E70D50">
        <w:rPr>
          <w:rFonts w:eastAsiaTheme="majorEastAsia" w:cs="Calibri"/>
          <w:szCs w:val="20"/>
        </w:rPr>
        <w:t xml:space="preserve">Quality Standards).  </w:t>
      </w:r>
    </w:p>
    <w:p w14:paraId="42F9C8BA" w14:textId="28AB47B8" w:rsidR="00423472" w:rsidRPr="00721280" w:rsidRDefault="00423472" w:rsidP="008974DB">
      <w:pPr>
        <w:pStyle w:val="Style3"/>
      </w:pPr>
      <w:bookmarkStart w:id="2115" w:name="_Toc216865524"/>
      <w:r w:rsidRPr="00721280">
        <w:t>How does the Commission regulate aged care services?</w:t>
      </w:r>
      <w:bookmarkEnd w:id="2115"/>
    </w:p>
    <w:p w14:paraId="03966BFA" w14:textId="2B5D770A" w:rsidR="00423472" w:rsidRPr="003A173C" w:rsidRDefault="00423472" w:rsidP="00423472">
      <w:pPr>
        <w:rPr>
          <w:rFonts w:eastAsia="Calibri" w:cs="Calibri"/>
          <w:lang w:eastAsia="en-US"/>
        </w:rPr>
      </w:pPr>
      <w:r w:rsidRPr="003A173C">
        <w:rPr>
          <w:rFonts w:eastAsia="Calibri" w:cs="Calibri"/>
          <w:lang w:eastAsia="en-US"/>
        </w:rPr>
        <w:t xml:space="preserve">Regulating aged care requires clarity about the risks being addressed. The Commission applies a responsive, risk-based and proportionate approach to regulation. This means the focus of its activities is on the areas of greatest risk to the safety, health and well-being of </w:t>
      </w:r>
      <w:r w:rsidR="00FF2AA8">
        <w:rPr>
          <w:rFonts w:eastAsia="Calibri" w:cs="Calibri"/>
          <w:lang w:eastAsia="en-US"/>
        </w:rPr>
        <w:t>individual</w:t>
      </w:r>
      <w:r w:rsidRPr="003A173C">
        <w:rPr>
          <w:rFonts w:eastAsia="Calibri" w:cs="Calibri"/>
          <w:lang w:eastAsia="en-US"/>
        </w:rPr>
        <w:t>s</w:t>
      </w:r>
      <w:r w:rsidR="00806DE4">
        <w:rPr>
          <w:rFonts w:eastAsia="Calibri" w:cs="Calibri"/>
          <w:lang w:eastAsia="en-US"/>
        </w:rPr>
        <w:t xml:space="preserve"> accessing aged care</w:t>
      </w:r>
      <w:r w:rsidRPr="003A173C">
        <w:rPr>
          <w:rFonts w:eastAsia="Calibri" w:cs="Calibri"/>
          <w:lang w:eastAsia="en-US"/>
        </w:rPr>
        <w:t>, and where care and services fall short of legislated standards.</w:t>
      </w:r>
    </w:p>
    <w:p w14:paraId="27145CD1" w14:textId="3BAC7F0B" w:rsidR="00423472" w:rsidRPr="003A173C" w:rsidRDefault="00423472" w:rsidP="00423472">
      <w:pPr>
        <w:rPr>
          <w:rFonts w:eastAsia="Calibri" w:cs="Calibri"/>
          <w:lang w:eastAsia="en-US"/>
        </w:rPr>
      </w:pPr>
      <w:r w:rsidRPr="003A173C">
        <w:rPr>
          <w:rFonts w:eastAsia="Calibri" w:cs="Calibri"/>
          <w:lang w:eastAsia="en-US"/>
        </w:rPr>
        <w:t xml:space="preserve">The Commission will modify its program and direct its resources in response to the nature of risks to the safety, health, well-being and quality of life of </w:t>
      </w:r>
      <w:r w:rsidR="001D2F8C">
        <w:rPr>
          <w:rFonts w:eastAsia="Calibri" w:cs="Calibri"/>
          <w:lang w:eastAsia="en-US"/>
        </w:rPr>
        <w:t>individuals</w:t>
      </w:r>
      <w:r w:rsidR="006E708E" w:rsidRPr="003A173C">
        <w:rPr>
          <w:rFonts w:eastAsia="Calibri" w:cs="Calibri"/>
          <w:lang w:eastAsia="en-US"/>
        </w:rPr>
        <w:t>,</w:t>
      </w:r>
      <w:r w:rsidRPr="003A173C">
        <w:rPr>
          <w:rFonts w:eastAsia="Calibri" w:cs="Calibri"/>
          <w:lang w:eastAsia="en-US"/>
        </w:rPr>
        <w:t xml:space="preserve"> and the circumstances and behaviour</w:t>
      </w:r>
      <w:r w:rsidR="006E708E" w:rsidRPr="003A173C">
        <w:rPr>
          <w:rFonts w:eastAsia="Calibri" w:cs="Calibri"/>
          <w:lang w:eastAsia="en-US"/>
        </w:rPr>
        <w:t>s</w:t>
      </w:r>
      <w:r w:rsidRPr="003A173C">
        <w:rPr>
          <w:rFonts w:eastAsia="Calibri" w:cs="Calibri"/>
          <w:lang w:eastAsia="en-US"/>
        </w:rPr>
        <w:t xml:space="preserve"> of the provider</w:t>
      </w:r>
      <w:r w:rsidR="006E708E" w:rsidRPr="003A173C">
        <w:rPr>
          <w:rFonts w:eastAsia="Calibri" w:cs="Calibri"/>
          <w:lang w:eastAsia="en-US"/>
        </w:rPr>
        <w:t>s</w:t>
      </w:r>
      <w:r w:rsidRPr="003A173C">
        <w:rPr>
          <w:rFonts w:eastAsia="Calibri" w:cs="Calibri"/>
          <w:lang w:eastAsia="en-US"/>
        </w:rPr>
        <w:t xml:space="preserve"> of the services that are regulated.</w:t>
      </w:r>
    </w:p>
    <w:p w14:paraId="23F0DFE7" w14:textId="56A1E856" w:rsidR="00423472" w:rsidRPr="003A173C" w:rsidRDefault="00423472" w:rsidP="00423472">
      <w:pPr>
        <w:rPr>
          <w:rFonts w:eastAsia="Calibri" w:cs="Calibri"/>
          <w:lang w:eastAsia="en-US"/>
        </w:rPr>
      </w:pPr>
      <w:r w:rsidRPr="003A173C">
        <w:rPr>
          <w:rFonts w:eastAsia="Calibri" w:cs="Calibri"/>
          <w:lang w:eastAsia="en-US"/>
        </w:rPr>
        <w:t>The Commission looks for evidence of what works in aged care practice and draw</w:t>
      </w:r>
      <w:r w:rsidR="00866120">
        <w:rPr>
          <w:rFonts w:eastAsia="Calibri" w:cs="Calibri"/>
          <w:lang w:eastAsia="en-US"/>
        </w:rPr>
        <w:t>s</w:t>
      </w:r>
      <w:r w:rsidRPr="003A173C">
        <w:rPr>
          <w:rFonts w:eastAsia="Calibri" w:cs="Calibri"/>
          <w:lang w:eastAsia="en-US"/>
        </w:rPr>
        <w:t xml:space="preserve"> the sector’s attention to this as appropriate. It uses education, information and targeted communications to support its regulatory objectives, including publishing outcomes of regulatory activities to support greater transparency and accountability.</w:t>
      </w:r>
    </w:p>
    <w:p w14:paraId="6ACA573D" w14:textId="63929C9D" w:rsidR="00423472" w:rsidRPr="003A173C" w:rsidRDefault="00423472" w:rsidP="00423472">
      <w:pPr>
        <w:rPr>
          <w:rFonts w:eastAsia="Calibri" w:cs="Calibri"/>
          <w:lang w:eastAsia="en-US"/>
        </w:rPr>
      </w:pPr>
      <w:r w:rsidRPr="003A173C">
        <w:rPr>
          <w:rFonts w:eastAsia="Calibri" w:cs="Calibri"/>
          <w:lang w:eastAsia="en-US"/>
        </w:rPr>
        <w:t xml:space="preserve">The Commission identifies sector-wide risks through research, sector trend analysis and strategic conversations with </w:t>
      </w:r>
      <w:r w:rsidR="00FB0349">
        <w:rPr>
          <w:rFonts w:eastAsia="Calibri" w:cs="Calibri"/>
          <w:lang w:eastAsia="en-US"/>
        </w:rPr>
        <w:t>individuals accessing aged care</w:t>
      </w:r>
      <w:r w:rsidRPr="003A173C">
        <w:rPr>
          <w:rFonts w:eastAsia="Calibri" w:cs="Calibri"/>
          <w:lang w:eastAsia="en-US"/>
        </w:rPr>
        <w:t xml:space="preserve"> and providers.</w:t>
      </w:r>
    </w:p>
    <w:p w14:paraId="6F81B372" w14:textId="099F1845" w:rsidR="00423472" w:rsidRPr="003A173C" w:rsidRDefault="00423472" w:rsidP="00423472">
      <w:pPr>
        <w:rPr>
          <w:rFonts w:eastAsia="Calibri" w:cs="Calibri"/>
          <w:lang w:eastAsia="en-US"/>
        </w:rPr>
      </w:pPr>
      <w:r w:rsidRPr="003A173C">
        <w:rPr>
          <w:rFonts w:eastAsia="Calibri" w:cs="Calibri"/>
          <w:lang w:eastAsia="en-US"/>
        </w:rPr>
        <w:t>Detail</w:t>
      </w:r>
      <w:r w:rsidR="006E708E" w:rsidRPr="003A173C">
        <w:rPr>
          <w:rFonts w:eastAsia="Calibri" w:cs="Calibri"/>
          <w:lang w:eastAsia="en-US"/>
        </w:rPr>
        <w:t>s</w:t>
      </w:r>
      <w:r w:rsidRPr="003A173C">
        <w:rPr>
          <w:rFonts w:eastAsia="Calibri" w:cs="Calibri"/>
          <w:lang w:eastAsia="en-US"/>
        </w:rPr>
        <w:t xml:space="preserve"> of specific regulatory functions and activities are published on the Commission’s website.</w:t>
      </w:r>
    </w:p>
    <w:p w14:paraId="46A2B15A" w14:textId="556603D9" w:rsidR="00423472" w:rsidRPr="00721280" w:rsidRDefault="000C3808" w:rsidP="008974DB">
      <w:pPr>
        <w:pStyle w:val="Style3"/>
      </w:pPr>
      <w:bookmarkStart w:id="2116" w:name="_Toc216865525"/>
      <w:r w:rsidRPr="00721280">
        <w:t>Audit</w:t>
      </w:r>
      <w:r w:rsidR="00423472" w:rsidRPr="00721280">
        <w:t xml:space="preserve"> process for </w:t>
      </w:r>
      <w:r w:rsidR="00EB3562" w:rsidRPr="00721280">
        <w:t>TCP</w:t>
      </w:r>
      <w:r w:rsidR="00423472" w:rsidRPr="00721280">
        <w:t xml:space="preserve"> service</w:t>
      </w:r>
      <w:r w:rsidR="006A06A3" w:rsidRPr="00721280">
        <w:t xml:space="preserve"> provision</w:t>
      </w:r>
      <w:bookmarkEnd w:id="2116"/>
      <w:r w:rsidR="006A06A3" w:rsidRPr="00721280">
        <w:t xml:space="preserve"> </w:t>
      </w:r>
    </w:p>
    <w:p w14:paraId="0993B594" w14:textId="1A2985C9" w:rsidR="00FE6735" w:rsidRPr="007C41F9" w:rsidRDefault="00423472" w:rsidP="00423472">
      <w:pPr>
        <w:rPr>
          <w:rFonts w:eastAsia="Calibri" w:cs="Calibri"/>
          <w:szCs w:val="20"/>
          <w:lang w:eastAsia="en-US"/>
        </w:rPr>
      </w:pPr>
      <w:r w:rsidRPr="003A173C">
        <w:rPr>
          <w:rFonts w:eastAsia="Calibri" w:cs="Calibri"/>
          <w:lang w:eastAsia="en-US"/>
        </w:rPr>
        <w:t xml:space="preserve">The Commission conducts </w:t>
      </w:r>
      <w:r w:rsidR="002A3C2E" w:rsidRPr="003A173C">
        <w:rPr>
          <w:rFonts w:eastAsia="Calibri" w:cs="Calibri"/>
          <w:lang w:eastAsia="en-US"/>
        </w:rPr>
        <w:t xml:space="preserve">audits </w:t>
      </w:r>
      <w:r w:rsidRPr="003A173C">
        <w:rPr>
          <w:rFonts w:eastAsia="Calibri" w:cs="Calibri"/>
          <w:lang w:eastAsia="en-US"/>
        </w:rPr>
        <w:t xml:space="preserve">to assess whether </w:t>
      </w:r>
      <w:r w:rsidR="00DD5931" w:rsidRPr="003A173C">
        <w:rPr>
          <w:rFonts w:eastAsia="Calibri" w:cs="Calibri"/>
          <w:lang w:eastAsia="en-US"/>
        </w:rPr>
        <w:t xml:space="preserve">registered </w:t>
      </w:r>
      <w:r w:rsidRPr="003A173C">
        <w:rPr>
          <w:rFonts w:eastAsia="Calibri" w:cs="Calibri"/>
          <w:lang w:eastAsia="en-US"/>
        </w:rPr>
        <w:t>providers are deliverin</w:t>
      </w:r>
      <w:r w:rsidR="00DD5931" w:rsidRPr="003A173C">
        <w:rPr>
          <w:rFonts w:eastAsia="Calibri" w:cs="Calibri"/>
          <w:lang w:eastAsia="en-US"/>
        </w:rPr>
        <w:t xml:space="preserve">g </w:t>
      </w:r>
      <w:r w:rsidR="00173D3A">
        <w:rPr>
          <w:rFonts w:eastAsia="Calibri" w:cs="Calibri"/>
          <w:lang w:eastAsia="en-US"/>
        </w:rPr>
        <w:t xml:space="preserve">services </w:t>
      </w:r>
      <w:r w:rsidRPr="003A173C">
        <w:rPr>
          <w:rFonts w:eastAsia="Calibri" w:cs="Calibri"/>
          <w:lang w:eastAsia="en-US"/>
        </w:rPr>
        <w:t>in accordance with the</w:t>
      </w:r>
      <w:r w:rsidR="00DD5931" w:rsidRPr="003A173C">
        <w:rPr>
          <w:rFonts w:eastAsia="Calibri" w:cs="Calibri"/>
          <w:lang w:eastAsia="en-US"/>
        </w:rPr>
        <w:t xml:space="preserve"> Aged Care</w:t>
      </w:r>
      <w:r w:rsidRPr="003A173C">
        <w:rPr>
          <w:rFonts w:eastAsia="Calibri" w:cs="Calibri"/>
          <w:lang w:eastAsia="en-US"/>
        </w:rPr>
        <w:t xml:space="preserve"> Quality </w:t>
      </w:r>
      <w:r w:rsidRPr="006975DB">
        <w:rPr>
          <w:rFonts w:eastAsia="Calibri" w:cs="Calibri"/>
          <w:szCs w:val="20"/>
          <w:lang w:eastAsia="en-US"/>
        </w:rPr>
        <w:t>Standard</w:t>
      </w:r>
      <w:r w:rsidR="001F4A30" w:rsidRPr="006975DB">
        <w:rPr>
          <w:rFonts w:eastAsia="Calibri" w:cs="Calibri"/>
          <w:szCs w:val="20"/>
          <w:lang w:eastAsia="en-US"/>
        </w:rPr>
        <w:t>s</w:t>
      </w:r>
      <w:r w:rsidR="00AD6F39" w:rsidRPr="007C41F9">
        <w:rPr>
          <w:rFonts w:eastAsia="Calibri" w:cs="Calibri"/>
          <w:szCs w:val="20"/>
          <w:lang w:eastAsia="en-US"/>
        </w:rPr>
        <w:t xml:space="preserve"> to inform the registration or renewal process</w:t>
      </w:r>
      <w:r w:rsidR="009A5B40" w:rsidRPr="007C41F9">
        <w:rPr>
          <w:rFonts w:eastAsia="Calibri" w:cs="Calibri"/>
          <w:szCs w:val="20"/>
          <w:lang w:eastAsia="en-US"/>
        </w:rPr>
        <w:t>.</w:t>
      </w:r>
      <w:r w:rsidR="001F4A30" w:rsidRPr="007C41F9">
        <w:rPr>
          <w:rFonts w:eastAsia="Calibri" w:cs="Calibri"/>
          <w:szCs w:val="20"/>
          <w:lang w:eastAsia="en-US"/>
        </w:rPr>
        <w:t xml:space="preserve"> </w:t>
      </w:r>
    </w:p>
    <w:p w14:paraId="14E3C30D" w14:textId="77777777" w:rsidR="00FE6735" w:rsidRPr="007C41F9" w:rsidRDefault="00FE6735" w:rsidP="00FE6735">
      <w:pPr>
        <w:rPr>
          <w:rFonts w:eastAsia="Calibri" w:cs="Calibri"/>
          <w:szCs w:val="20"/>
          <w:lang w:eastAsia="en-US"/>
        </w:rPr>
      </w:pPr>
      <w:r w:rsidRPr="00FB22FF">
        <w:rPr>
          <w:rFonts w:eastAsia="Calibri" w:cs="Calibri"/>
          <w:szCs w:val="20"/>
          <w:lang w:eastAsia="en-US"/>
        </w:rPr>
        <w:t>This includes where those services are being delivered under the TCP, unless alternative audit arrangements are in place (see section 7.2.4 below)</w:t>
      </w:r>
      <w:r w:rsidRPr="007C41F9">
        <w:rPr>
          <w:rFonts w:eastAsia="Calibri" w:cs="Calibri"/>
          <w:szCs w:val="20"/>
          <w:lang w:eastAsia="en-US"/>
        </w:rPr>
        <w:t> </w:t>
      </w:r>
    </w:p>
    <w:p w14:paraId="00BE945B" w14:textId="77777777" w:rsidR="00FE6735" w:rsidRPr="007C41F9" w:rsidRDefault="00FE6735" w:rsidP="00FE6735">
      <w:pPr>
        <w:rPr>
          <w:rFonts w:eastAsia="Calibri" w:cs="Calibri"/>
          <w:szCs w:val="20"/>
          <w:lang w:eastAsia="en-US"/>
        </w:rPr>
      </w:pPr>
      <w:r w:rsidRPr="00FB22FF">
        <w:rPr>
          <w:rFonts w:eastAsia="Calibri" w:cs="Calibri"/>
          <w:szCs w:val="20"/>
          <w:lang w:eastAsia="en-US"/>
        </w:rPr>
        <w:t>Where a provider is registering for category 6 – residential care, this process will include an assessment of the residential care homes included in the provider’s registration. </w:t>
      </w:r>
      <w:r w:rsidRPr="007C41F9">
        <w:rPr>
          <w:rFonts w:eastAsia="Calibri" w:cs="Calibri"/>
          <w:szCs w:val="20"/>
          <w:lang w:eastAsia="en-US"/>
        </w:rPr>
        <w:t> </w:t>
      </w:r>
    </w:p>
    <w:p w14:paraId="10E6DF92" w14:textId="20228258" w:rsidR="00DB0148" w:rsidRPr="00AC702E" w:rsidRDefault="001F4A30" w:rsidP="00423472">
      <w:pPr>
        <w:rPr>
          <w:rFonts w:eastAsia="Calibri" w:cs="Calibri"/>
          <w:szCs w:val="20"/>
          <w:lang w:eastAsia="en-US"/>
        </w:rPr>
      </w:pPr>
      <w:r w:rsidRPr="006975DB">
        <w:rPr>
          <w:rFonts w:eastAsia="Calibri" w:cs="Calibri"/>
          <w:szCs w:val="20"/>
          <w:lang w:eastAsia="en-US"/>
        </w:rPr>
        <w:t>The Commission</w:t>
      </w:r>
      <w:r w:rsidR="00B479B1" w:rsidRPr="006975DB">
        <w:rPr>
          <w:rFonts w:eastAsia="Calibri" w:cs="Calibri"/>
          <w:szCs w:val="20"/>
          <w:lang w:eastAsia="en-US"/>
        </w:rPr>
        <w:t xml:space="preserve"> has</w:t>
      </w:r>
      <w:r w:rsidRPr="006975DB">
        <w:rPr>
          <w:rFonts w:eastAsia="Calibri" w:cs="Calibri"/>
          <w:szCs w:val="20"/>
          <w:lang w:eastAsia="en-US"/>
        </w:rPr>
        <w:t xml:space="preserve"> developed updated audit </w:t>
      </w:r>
      <w:r w:rsidR="00964BBD">
        <w:rPr>
          <w:rFonts w:eastAsia="Calibri" w:cs="Calibri"/>
          <w:szCs w:val="20"/>
          <w:lang w:eastAsia="en-US"/>
        </w:rPr>
        <w:t>guides</w:t>
      </w:r>
      <w:r w:rsidR="00B479B1" w:rsidRPr="006975DB">
        <w:rPr>
          <w:rFonts w:eastAsia="Calibri" w:cs="Calibri"/>
          <w:szCs w:val="20"/>
          <w:lang w:eastAsia="en-US"/>
        </w:rPr>
        <w:t xml:space="preserve"> in line with the </w:t>
      </w:r>
      <w:r w:rsidR="007A2C5C" w:rsidRPr="006975DB">
        <w:rPr>
          <w:rFonts w:eastAsia="Calibri" w:cs="Calibri"/>
          <w:szCs w:val="20"/>
          <w:lang w:eastAsia="en-US"/>
        </w:rPr>
        <w:t xml:space="preserve">requirements of the </w:t>
      </w:r>
      <w:r w:rsidR="00B479B1" w:rsidRPr="006975DB">
        <w:rPr>
          <w:rFonts w:eastAsia="Calibri" w:cs="Calibri"/>
          <w:szCs w:val="20"/>
          <w:lang w:eastAsia="en-US"/>
        </w:rPr>
        <w:t xml:space="preserve">new </w:t>
      </w:r>
      <w:r w:rsidR="007A2C5C" w:rsidRPr="00AC702E">
        <w:rPr>
          <w:rFonts w:eastAsia="Calibri" w:cs="Calibri"/>
          <w:szCs w:val="20"/>
          <w:lang w:eastAsia="en-US"/>
        </w:rPr>
        <w:t>regulatory model</w:t>
      </w:r>
      <w:r w:rsidR="00B479B1" w:rsidRPr="00AC702E">
        <w:rPr>
          <w:rFonts w:eastAsia="Calibri" w:cs="Calibri"/>
          <w:szCs w:val="20"/>
          <w:lang w:eastAsia="en-US"/>
        </w:rPr>
        <w:t xml:space="preserve"> under the new Act</w:t>
      </w:r>
      <w:r w:rsidR="007A2C5C" w:rsidRPr="00AC702E">
        <w:rPr>
          <w:rFonts w:eastAsia="Calibri" w:cs="Calibri"/>
          <w:szCs w:val="20"/>
          <w:lang w:eastAsia="en-US"/>
        </w:rPr>
        <w:t>, w</w:t>
      </w:r>
      <w:r w:rsidR="002253F5" w:rsidRPr="00AC702E">
        <w:rPr>
          <w:rFonts w:eastAsia="Calibri" w:cs="Calibri"/>
          <w:szCs w:val="20"/>
          <w:lang w:eastAsia="en-US"/>
        </w:rPr>
        <w:t>hich can be access</w:t>
      </w:r>
      <w:r w:rsidR="007A2C5C" w:rsidRPr="00AC702E">
        <w:rPr>
          <w:rFonts w:eastAsia="Calibri" w:cs="Calibri"/>
          <w:szCs w:val="20"/>
          <w:lang w:eastAsia="en-US"/>
        </w:rPr>
        <w:t>ed</w:t>
      </w:r>
      <w:r w:rsidR="002253F5" w:rsidRPr="00AC702E">
        <w:rPr>
          <w:rFonts w:eastAsia="Calibri" w:cs="Calibri"/>
          <w:szCs w:val="20"/>
          <w:lang w:eastAsia="en-US"/>
        </w:rPr>
        <w:t xml:space="preserve"> on its website</w:t>
      </w:r>
      <w:r w:rsidR="00DB0148" w:rsidRPr="00AC702E">
        <w:rPr>
          <w:rFonts w:eastAsia="Calibri" w:cs="Calibri"/>
          <w:szCs w:val="20"/>
          <w:lang w:eastAsia="en-US"/>
        </w:rPr>
        <w:t>:</w:t>
      </w:r>
    </w:p>
    <w:p w14:paraId="3D4FD23E" w14:textId="66EF3BCA" w:rsidR="00DB0148" w:rsidRPr="00AC702E" w:rsidRDefault="00DB0148" w:rsidP="003F13B2">
      <w:pPr>
        <w:pStyle w:val="ListBullet"/>
      </w:pPr>
      <w:hyperlink r:id="rId73" w:history="1">
        <w:r w:rsidRPr="00AC702E">
          <w:rPr>
            <w:rStyle w:val="Hyperlink"/>
            <w:rFonts w:ascii="Calibri" w:eastAsiaTheme="majorEastAsia" w:hAnsi="Calibri" w:cs="Calibri"/>
            <w:sz w:val="20"/>
            <w:szCs w:val="20"/>
          </w:rPr>
          <w:t>Registration audit guide | Aged Care Quality and Safety Commission</w:t>
        </w:r>
      </w:hyperlink>
    </w:p>
    <w:p w14:paraId="3A416B5E" w14:textId="02D59BB7" w:rsidR="00DB0148" w:rsidRPr="00AC702E" w:rsidRDefault="00DB0148" w:rsidP="003F13B2">
      <w:pPr>
        <w:pStyle w:val="ListBullet"/>
      </w:pPr>
      <w:hyperlink r:id="rId74" w:history="1">
        <w:r w:rsidRPr="00AC702E">
          <w:rPr>
            <w:rStyle w:val="Hyperlink"/>
            <w:rFonts w:ascii="Calibri" w:eastAsiaTheme="majorEastAsia" w:hAnsi="Calibri" w:cs="Calibri"/>
            <w:sz w:val="20"/>
            <w:szCs w:val="20"/>
          </w:rPr>
          <w:t>Renewal of registration audit guide | Aged Care Quality and Safety Commission</w:t>
        </w:r>
      </w:hyperlink>
    </w:p>
    <w:p w14:paraId="7AC0BCA0" w14:textId="57C35B19" w:rsidR="00DB0148" w:rsidRPr="00AC702E" w:rsidRDefault="00DB0148" w:rsidP="003F13B2">
      <w:pPr>
        <w:pStyle w:val="ListBullet"/>
      </w:pPr>
      <w:hyperlink r:id="rId75" w:history="1">
        <w:r w:rsidRPr="00AC702E">
          <w:rPr>
            <w:rStyle w:val="Hyperlink"/>
            <w:rFonts w:ascii="Calibri" w:eastAsiaTheme="majorEastAsia" w:hAnsi="Calibri" w:cs="Calibri"/>
            <w:sz w:val="20"/>
            <w:szCs w:val="20"/>
          </w:rPr>
          <w:t>Variation of registration audit | Aged Care Quality and Safety Commission</w:t>
        </w:r>
      </w:hyperlink>
    </w:p>
    <w:p w14:paraId="4F115144" w14:textId="36608A9B" w:rsidR="00DB0148" w:rsidRPr="00AC702E" w:rsidRDefault="00DB0148" w:rsidP="003F13B2">
      <w:pPr>
        <w:pStyle w:val="ListBullet"/>
      </w:pPr>
      <w:hyperlink r:id="rId76" w:history="1">
        <w:r w:rsidRPr="00AC702E">
          <w:rPr>
            <w:rStyle w:val="Hyperlink"/>
            <w:rFonts w:ascii="Calibri" w:eastAsiaTheme="majorEastAsia" w:hAnsi="Calibri" w:cs="Calibri"/>
            <w:sz w:val="20"/>
            <w:szCs w:val="20"/>
          </w:rPr>
          <w:t>Pre-audit readiness checklist | Aged Care Quality and Safety Commission</w:t>
        </w:r>
      </w:hyperlink>
      <w:r w:rsidR="0063431D">
        <w:t>.</w:t>
      </w:r>
    </w:p>
    <w:p w14:paraId="7FC09AD7" w14:textId="4474B2C6" w:rsidR="00423472" w:rsidRPr="003A173C" w:rsidRDefault="00423472" w:rsidP="00423472">
      <w:pPr>
        <w:rPr>
          <w:rFonts w:eastAsia="Calibri" w:cs="Calibri"/>
          <w:lang w:eastAsia="en-US"/>
        </w:rPr>
      </w:pPr>
      <w:r w:rsidRPr="00AC702E">
        <w:rPr>
          <w:rFonts w:eastAsia="Calibri" w:cs="Calibri"/>
          <w:szCs w:val="20"/>
          <w:lang w:eastAsia="en-US"/>
        </w:rPr>
        <w:lastRenderedPageBreak/>
        <w:t>During the aud</w:t>
      </w:r>
      <w:r w:rsidR="0079742D" w:rsidRPr="00AC702E">
        <w:rPr>
          <w:rFonts w:eastAsia="Calibri" w:cs="Calibri"/>
          <w:szCs w:val="20"/>
          <w:lang w:eastAsia="en-US"/>
        </w:rPr>
        <w:t>it</w:t>
      </w:r>
      <w:r w:rsidR="00312055" w:rsidRPr="00AC702E">
        <w:rPr>
          <w:rFonts w:eastAsia="Calibri" w:cs="Calibri"/>
          <w:szCs w:val="20"/>
          <w:lang w:eastAsia="en-US"/>
        </w:rPr>
        <w:t>,</w:t>
      </w:r>
      <w:r w:rsidR="0079742D" w:rsidRPr="00AC702E">
        <w:rPr>
          <w:rFonts w:eastAsia="Calibri" w:cs="Calibri"/>
          <w:szCs w:val="20"/>
          <w:lang w:eastAsia="en-US"/>
        </w:rPr>
        <w:t xml:space="preserve"> </w:t>
      </w:r>
      <w:r w:rsidR="008546F7" w:rsidRPr="00AC702E">
        <w:rPr>
          <w:rFonts w:eastAsia="Calibri" w:cs="Calibri"/>
          <w:szCs w:val="20"/>
          <w:lang w:eastAsia="en-US"/>
        </w:rPr>
        <w:t>the Commission’s audit team will review</w:t>
      </w:r>
      <w:r w:rsidRPr="006975DB">
        <w:rPr>
          <w:rFonts w:eastAsia="Calibri" w:cs="Calibri"/>
          <w:szCs w:val="20"/>
          <w:lang w:eastAsia="en-US"/>
        </w:rPr>
        <w:t xml:space="preserve"> </w:t>
      </w:r>
      <w:r w:rsidR="00A21ED5">
        <w:rPr>
          <w:rFonts w:eastAsia="Calibri" w:cs="Calibri"/>
          <w:szCs w:val="20"/>
          <w:lang w:eastAsia="en-US"/>
        </w:rPr>
        <w:t xml:space="preserve">individual </w:t>
      </w:r>
      <w:r w:rsidRPr="006975DB">
        <w:rPr>
          <w:rFonts w:eastAsia="Calibri" w:cs="Calibri"/>
          <w:szCs w:val="20"/>
          <w:lang w:eastAsia="en-US"/>
        </w:rPr>
        <w:t xml:space="preserve">consumer records and other relevant documents such as policies, procedures and registers. </w:t>
      </w:r>
      <w:r w:rsidR="00A21ED5">
        <w:rPr>
          <w:rFonts w:eastAsia="Calibri" w:cs="Calibri"/>
          <w:szCs w:val="20"/>
          <w:lang w:eastAsia="en-US"/>
        </w:rPr>
        <w:t>Individuals</w:t>
      </w:r>
      <w:r w:rsidRPr="006975DB">
        <w:rPr>
          <w:rFonts w:eastAsia="Calibri" w:cs="Calibri"/>
          <w:szCs w:val="20"/>
          <w:lang w:eastAsia="en-US"/>
        </w:rPr>
        <w:t>,</w:t>
      </w:r>
      <w:r w:rsidRPr="006975DB">
        <w:rPr>
          <w:rFonts w:eastAsia="Calibri" w:cs="Calibri"/>
          <w:lang w:eastAsia="en-US"/>
        </w:rPr>
        <w:t xml:space="preserve"> representatives, staff and management are interviewed about their systems, processes and practices and activities</w:t>
      </w:r>
      <w:r w:rsidR="00312055" w:rsidRPr="006975DB">
        <w:rPr>
          <w:rFonts w:eastAsia="Calibri" w:cs="Calibri"/>
          <w:lang w:eastAsia="en-US"/>
        </w:rPr>
        <w:t>,</w:t>
      </w:r>
      <w:r w:rsidRPr="006975DB">
        <w:rPr>
          <w:rFonts w:eastAsia="Calibri" w:cs="Calibri"/>
          <w:lang w:eastAsia="en-US"/>
        </w:rPr>
        <w:t xml:space="preserve"> and</w:t>
      </w:r>
      <w:r w:rsidRPr="003A173C">
        <w:rPr>
          <w:rFonts w:eastAsia="Calibri" w:cs="Calibri"/>
          <w:lang w:eastAsia="en-US"/>
        </w:rPr>
        <w:t xml:space="preserve"> interactions with </w:t>
      </w:r>
      <w:r w:rsidR="0068413F">
        <w:rPr>
          <w:rFonts w:eastAsia="Calibri" w:cs="Calibri"/>
          <w:lang w:eastAsia="en-US"/>
        </w:rPr>
        <w:t>individuals</w:t>
      </w:r>
      <w:r w:rsidRPr="003A173C">
        <w:rPr>
          <w:rFonts w:eastAsia="Calibri" w:cs="Calibri"/>
          <w:lang w:eastAsia="en-US"/>
        </w:rPr>
        <w:t xml:space="preserve"> are observed.</w:t>
      </w:r>
    </w:p>
    <w:p w14:paraId="46CC6F2B" w14:textId="15E70C5B" w:rsidR="00423472" w:rsidRPr="003A173C" w:rsidRDefault="00423472" w:rsidP="00423472">
      <w:pPr>
        <w:rPr>
          <w:rFonts w:eastAsia="Calibri" w:cs="Calibri"/>
          <w:lang w:eastAsia="en-US"/>
        </w:rPr>
      </w:pPr>
      <w:r w:rsidRPr="003A173C">
        <w:rPr>
          <w:rFonts w:eastAsia="Calibri" w:cs="Calibri"/>
          <w:lang w:eastAsia="en-US"/>
        </w:rPr>
        <w:t>A</w:t>
      </w:r>
      <w:r w:rsidR="005A3F8D" w:rsidRPr="003A173C">
        <w:rPr>
          <w:rFonts w:eastAsia="Calibri" w:cs="Calibri"/>
          <w:lang w:eastAsia="en-US"/>
        </w:rPr>
        <w:t xml:space="preserve"> preliminary </w:t>
      </w:r>
      <w:r w:rsidRPr="003A173C">
        <w:rPr>
          <w:rFonts w:eastAsia="Calibri" w:cs="Calibri"/>
          <w:lang w:eastAsia="en-US"/>
        </w:rPr>
        <w:t xml:space="preserve">audit report is then drafted, which documents the provider’s performance against the </w:t>
      </w:r>
      <w:r w:rsidR="00493172" w:rsidRPr="003A173C">
        <w:rPr>
          <w:rFonts w:eastAsia="Calibri" w:cs="Calibri"/>
          <w:lang w:eastAsia="en-US"/>
        </w:rPr>
        <w:t xml:space="preserve">Aged Care </w:t>
      </w:r>
      <w:r w:rsidRPr="003A173C">
        <w:rPr>
          <w:rFonts w:eastAsia="Calibri" w:cs="Calibri"/>
          <w:lang w:eastAsia="en-US"/>
        </w:rPr>
        <w:t xml:space="preserve">Quality Standards. The provider is then invited to respond to the information in the </w:t>
      </w:r>
      <w:r w:rsidR="00A44D64" w:rsidRPr="003A173C">
        <w:rPr>
          <w:rFonts w:eastAsia="Calibri" w:cs="Calibri"/>
          <w:lang w:eastAsia="en-US"/>
        </w:rPr>
        <w:t xml:space="preserve">preliminary </w:t>
      </w:r>
      <w:r w:rsidRPr="003A173C">
        <w:rPr>
          <w:rFonts w:eastAsia="Calibri" w:cs="Calibri"/>
          <w:lang w:eastAsia="en-US"/>
        </w:rPr>
        <w:t xml:space="preserve">audit report, before a </w:t>
      </w:r>
      <w:r w:rsidR="00A44D64" w:rsidRPr="003A173C">
        <w:rPr>
          <w:rFonts w:eastAsia="Calibri" w:cs="Calibri"/>
          <w:lang w:eastAsia="en-US"/>
        </w:rPr>
        <w:t xml:space="preserve">final audit </w:t>
      </w:r>
      <w:r w:rsidRPr="003A173C">
        <w:rPr>
          <w:rFonts w:eastAsia="Calibri" w:cs="Calibri"/>
          <w:lang w:eastAsia="en-US"/>
        </w:rPr>
        <w:t>report is prepared.</w:t>
      </w:r>
      <w:r w:rsidR="002A1358" w:rsidRPr="003A173C">
        <w:rPr>
          <w:rFonts w:eastAsia="Calibri" w:cs="Calibri"/>
          <w:lang w:eastAsia="en-US"/>
        </w:rPr>
        <w:t xml:space="preserve"> </w:t>
      </w:r>
      <w:r w:rsidR="00FB01FC" w:rsidRPr="003A173C">
        <w:rPr>
          <w:rFonts w:eastAsia="Calibri" w:cs="Calibri"/>
          <w:lang w:eastAsia="en-US"/>
        </w:rPr>
        <w:t>The Commission</w:t>
      </w:r>
      <w:r w:rsidRPr="003A173C">
        <w:rPr>
          <w:rFonts w:eastAsia="Calibri" w:cs="Calibri"/>
          <w:lang w:eastAsia="en-US"/>
        </w:rPr>
        <w:t xml:space="preserve"> will prepare </w:t>
      </w:r>
      <w:r w:rsidR="00E1291B" w:rsidRPr="003A173C">
        <w:rPr>
          <w:rFonts w:eastAsia="Calibri" w:cs="Calibri"/>
          <w:lang w:eastAsia="en-US"/>
        </w:rPr>
        <w:t>audit gradings</w:t>
      </w:r>
      <w:r w:rsidR="00EA0E18" w:rsidRPr="003A173C">
        <w:rPr>
          <w:rFonts w:eastAsia="Calibri" w:cs="Calibri"/>
          <w:lang w:eastAsia="en-US"/>
        </w:rPr>
        <w:t xml:space="preserve"> in the final audit report</w:t>
      </w:r>
      <w:r w:rsidRPr="003A173C">
        <w:rPr>
          <w:rFonts w:eastAsia="Calibri" w:cs="Calibri"/>
          <w:lang w:eastAsia="en-US"/>
        </w:rPr>
        <w:t xml:space="preserve">, considering the </w:t>
      </w:r>
      <w:r w:rsidR="00EA0E18" w:rsidRPr="003A173C">
        <w:rPr>
          <w:rFonts w:eastAsia="Calibri" w:cs="Calibri"/>
          <w:lang w:eastAsia="en-US"/>
        </w:rPr>
        <w:t>preliminary</w:t>
      </w:r>
      <w:r w:rsidRPr="003A173C">
        <w:rPr>
          <w:rFonts w:eastAsia="Calibri" w:cs="Calibri"/>
          <w:lang w:eastAsia="en-US"/>
        </w:rPr>
        <w:t xml:space="preserve"> audit report, any response made by the provider and any other relevant matters.</w:t>
      </w:r>
      <w:r w:rsidR="002A1358" w:rsidRPr="003A173C">
        <w:rPr>
          <w:rFonts w:eastAsia="Calibri" w:cs="Calibri"/>
          <w:lang w:eastAsia="en-US"/>
        </w:rPr>
        <w:t xml:space="preserve"> </w:t>
      </w:r>
    </w:p>
    <w:p w14:paraId="2BD19C37" w14:textId="09922173" w:rsidR="00423472" w:rsidRPr="003A173C" w:rsidRDefault="00423472" w:rsidP="00423472">
      <w:pPr>
        <w:rPr>
          <w:rFonts w:eastAsia="Calibri" w:cs="Calibri"/>
          <w:lang w:eastAsia="en-US"/>
        </w:rPr>
      </w:pPr>
      <w:r w:rsidRPr="003A173C">
        <w:rPr>
          <w:rFonts w:eastAsia="Calibri" w:cs="Calibri"/>
          <w:lang w:eastAsia="en-US"/>
        </w:rPr>
        <w:t>Where non-</w:t>
      </w:r>
      <w:r w:rsidR="00B17CA0" w:rsidRPr="003A173C">
        <w:rPr>
          <w:rFonts w:eastAsia="Calibri" w:cs="Calibri"/>
          <w:lang w:eastAsia="en-US"/>
        </w:rPr>
        <w:t>co</w:t>
      </w:r>
      <w:r w:rsidR="00B17CA0">
        <w:rPr>
          <w:rFonts w:eastAsia="Calibri" w:cs="Calibri"/>
          <w:lang w:eastAsia="en-US"/>
        </w:rPr>
        <w:t xml:space="preserve">nformance </w:t>
      </w:r>
      <w:r w:rsidRPr="003A173C">
        <w:rPr>
          <w:rFonts w:eastAsia="Calibri" w:cs="Calibri"/>
          <w:lang w:eastAsia="en-US"/>
        </w:rPr>
        <w:t>with the</w:t>
      </w:r>
      <w:r w:rsidR="00493172" w:rsidRPr="003A173C">
        <w:rPr>
          <w:rFonts w:eastAsia="Calibri" w:cs="Calibri"/>
          <w:lang w:eastAsia="en-US"/>
        </w:rPr>
        <w:t xml:space="preserve"> Aged Care</w:t>
      </w:r>
      <w:r w:rsidRPr="003A173C">
        <w:rPr>
          <w:rFonts w:eastAsia="Calibri" w:cs="Calibri"/>
          <w:lang w:eastAsia="en-US"/>
        </w:rPr>
        <w:t xml:space="preserve"> Quality Standards is identified, the Commission's response will be risk based and proportionate to ensure the service returns to co</w:t>
      </w:r>
      <w:r w:rsidR="005E4B0D">
        <w:rPr>
          <w:rFonts w:eastAsia="Calibri" w:cs="Calibri"/>
          <w:lang w:eastAsia="en-US"/>
        </w:rPr>
        <w:t>nformance</w:t>
      </w:r>
      <w:r w:rsidRPr="003A173C">
        <w:rPr>
          <w:rFonts w:eastAsia="Calibri" w:cs="Calibri"/>
          <w:lang w:eastAsia="en-US"/>
        </w:rPr>
        <w:t xml:space="preserve"> and addresses any risks to the safety, health and well-being of </w:t>
      </w:r>
      <w:r w:rsidR="00EA4941">
        <w:rPr>
          <w:rFonts w:eastAsia="Calibri" w:cs="Calibri"/>
          <w:lang w:eastAsia="en-US"/>
        </w:rPr>
        <w:t>individual</w:t>
      </w:r>
      <w:r w:rsidRPr="003A173C">
        <w:rPr>
          <w:rFonts w:eastAsia="Calibri" w:cs="Calibri"/>
          <w:lang w:eastAsia="en-US"/>
        </w:rPr>
        <w:t>s</w:t>
      </w:r>
      <w:r w:rsidR="00AA5730">
        <w:rPr>
          <w:rFonts w:eastAsia="Calibri" w:cs="Calibri"/>
          <w:lang w:eastAsia="en-US"/>
        </w:rPr>
        <w:t xml:space="preserve"> accessing aged care</w:t>
      </w:r>
      <w:r w:rsidRPr="003A173C">
        <w:rPr>
          <w:rFonts w:eastAsia="Calibri" w:cs="Calibri"/>
          <w:lang w:eastAsia="en-US"/>
        </w:rPr>
        <w:t>.</w:t>
      </w:r>
    </w:p>
    <w:p w14:paraId="1B30ACCE" w14:textId="1000987F" w:rsidR="00423472" w:rsidRPr="00721280" w:rsidRDefault="00423472" w:rsidP="008974DB">
      <w:pPr>
        <w:pStyle w:val="Style3"/>
      </w:pPr>
      <w:bookmarkStart w:id="2117" w:name="_Toc216865526"/>
      <w:r w:rsidRPr="00721280">
        <w:t>Managing non-compliance through continuous improvement</w:t>
      </w:r>
      <w:bookmarkEnd w:id="2117"/>
      <w:r w:rsidRPr="00721280">
        <w:t xml:space="preserve"> </w:t>
      </w:r>
    </w:p>
    <w:p w14:paraId="35621DD3" w14:textId="4619E117" w:rsidR="00423472" w:rsidRPr="003A173C" w:rsidRDefault="00423472" w:rsidP="00423472">
      <w:pPr>
        <w:rPr>
          <w:rFonts w:eastAsia="Calibri" w:cs="Calibri"/>
          <w:lang w:eastAsia="en-US"/>
        </w:rPr>
      </w:pPr>
      <w:r w:rsidRPr="003A173C">
        <w:rPr>
          <w:rFonts w:eastAsia="Calibri" w:cs="Calibri"/>
          <w:lang w:eastAsia="en-US"/>
        </w:rPr>
        <w:t xml:space="preserve">The </w:t>
      </w:r>
      <w:r w:rsidR="00C549E7" w:rsidRPr="003A173C">
        <w:rPr>
          <w:rFonts w:eastAsia="Calibri" w:cs="Calibri"/>
          <w:lang w:eastAsia="en-US"/>
        </w:rPr>
        <w:t xml:space="preserve">Aged Care </w:t>
      </w:r>
      <w:r w:rsidRPr="003A173C">
        <w:rPr>
          <w:rFonts w:eastAsia="Calibri" w:cs="Calibri"/>
          <w:lang w:eastAsia="en-US"/>
        </w:rPr>
        <w:t xml:space="preserve">Quality Standards require </w:t>
      </w:r>
      <w:r w:rsidR="00C549E7" w:rsidRPr="003A173C">
        <w:rPr>
          <w:rFonts w:eastAsia="Calibri" w:cs="Calibri"/>
          <w:lang w:eastAsia="en-US"/>
        </w:rPr>
        <w:t xml:space="preserve">registered </w:t>
      </w:r>
      <w:r w:rsidRPr="003A173C">
        <w:rPr>
          <w:rFonts w:eastAsia="Calibri" w:cs="Calibri"/>
          <w:lang w:eastAsia="en-US"/>
        </w:rPr>
        <w:t>providers to have effective organisation wide governance systems, including for continuous improvement</w:t>
      </w:r>
      <w:r w:rsidR="00C549E7" w:rsidRPr="003A173C">
        <w:rPr>
          <w:rFonts w:eastAsia="Calibri" w:cs="Calibri"/>
          <w:lang w:eastAsia="en-US"/>
        </w:rPr>
        <w:t xml:space="preserve"> </w:t>
      </w:r>
      <w:r w:rsidR="00D95B48" w:rsidRPr="003A173C">
        <w:rPr>
          <w:rFonts w:eastAsia="Calibri" w:cs="Calibri"/>
          <w:lang w:eastAsia="en-US"/>
        </w:rPr>
        <w:t>(</w:t>
      </w:r>
      <w:r w:rsidR="00C92FDC" w:rsidRPr="003A173C">
        <w:rPr>
          <w:rFonts w:eastAsia="Calibri" w:cs="Calibri"/>
          <w:lang w:eastAsia="en-US"/>
        </w:rPr>
        <w:t>Standard 2</w:t>
      </w:r>
      <w:r w:rsidR="00C952DC">
        <w:rPr>
          <w:rFonts w:eastAsia="Calibri" w:cs="Calibri"/>
          <w:lang w:eastAsia="en-US"/>
        </w:rPr>
        <w:t xml:space="preserve"> and the condition of registration related to continuous improvement</w:t>
      </w:r>
      <w:r w:rsidR="00D30390">
        <w:rPr>
          <w:rFonts w:eastAsia="Calibri" w:cs="Calibri"/>
          <w:lang w:eastAsia="en-US"/>
        </w:rPr>
        <w:t xml:space="preserve"> in </w:t>
      </w:r>
      <w:r w:rsidR="00D95D4E">
        <w:rPr>
          <w:rFonts w:eastAsia="Calibri" w:cs="Calibri"/>
          <w:lang w:eastAsia="en-US"/>
        </w:rPr>
        <w:t>sub</w:t>
      </w:r>
      <w:r w:rsidR="005D695A">
        <w:rPr>
          <w:rFonts w:eastAsia="Calibri" w:cs="Calibri"/>
          <w:lang w:eastAsia="en-US"/>
        </w:rPr>
        <w:t>-</w:t>
      </w:r>
      <w:r w:rsidR="00D30390">
        <w:rPr>
          <w:rFonts w:eastAsia="Calibri" w:cs="Calibri"/>
          <w:lang w:eastAsia="en-US"/>
        </w:rPr>
        <w:t>section 147(1) of the Act</w:t>
      </w:r>
      <w:r w:rsidR="00D95B48" w:rsidRPr="003A173C">
        <w:rPr>
          <w:rFonts w:eastAsia="Calibri" w:cs="Calibri"/>
          <w:lang w:eastAsia="en-US"/>
        </w:rPr>
        <w:t>)</w:t>
      </w:r>
      <w:r w:rsidRPr="003A173C">
        <w:rPr>
          <w:rFonts w:eastAsia="Calibri" w:cs="Calibri"/>
          <w:lang w:eastAsia="en-US"/>
        </w:rPr>
        <w:t>. The governing body is expected to drive and monitor improvements to make sure the organisation is committed to quality care and services</w:t>
      </w:r>
      <w:r w:rsidR="005D3EFA" w:rsidRPr="003A173C">
        <w:rPr>
          <w:rFonts w:eastAsia="Calibri" w:cs="Calibri"/>
          <w:lang w:eastAsia="en-US"/>
        </w:rPr>
        <w:t>,</w:t>
      </w:r>
      <w:r w:rsidRPr="003A173C">
        <w:rPr>
          <w:rFonts w:eastAsia="Calibri" w:cs="Calibri"/>
          <w:lang w:eastAsia="en-US"/>
        </w:rPr>
        <w:t xml:space="preserve"> and the best interests of </w:t>
      </w:r>
      <w:r w:rsidR="00BD27D7">
        <w:rPr>
          <w:rFonts w:eastAsia="Calibri" w:cs="Calibri"/>
          <w:lang w:eastAsia="en-US"/>
        </w:rPr>
        <w:t>individual</w:t>
      </w:r>
      <w:r w:rsidRPr="003A173C">
        <w:rPr>
          <w:rFonts w:eastAsia="Calibri" w:cs="Calibri"/>
          <w:lang w:eastAsia="en-US"/>
        </w:rPr>
        <w:t xml:space="preserve">s. </w:t>
      </w:r>
    </w:p>
    <w:p w14:paraId="5339857B" w14:textId="69DCFE8D" w:rsidR="00423472" w:rsidRPr="003A173C" w:rsidRDefault="00423472" w:rsidP="00423472">
      <w:pPr>
        <w:rPr>
          <w:rFonts w:eastAsia="Calibri" w:cs="Calibri"/>
          <w:lang w:eastAsia="en-US"/>
        </w:rPr>
      </w:pPr>
      <w:r w:rsidRPr="003A173C">
        <w:rPr>
          <w:rFonts w:eastAsia="Calibri" w:cs="Calibri"/>
          <w:lang w:eastAsia="en-US"/>
        </w:rPr>
        <w:t>Evidence of continuous quality improvement also supports co</w:t>
      </w:r>
      <w:r w:rsidR="001E51FF">
        <w:rPr>
          <w:rFonts w:eastAsia="Calibri" w:cs="Calibri"/>
          <w:lang w:eastAsia="en-US"/>
        </w:rPr>
        <w:t>nformance</w:t>
      </w:r>
      <w:r w:rsidRPr="003A173C">
        <w:rPr>
          <w:rFonts w:eastAsia="Calibri" w:cs="Calibri"/>
          <w:lang w:eastAsia="en-US"/>
        </w:rPr>
        <w:t xml:space="preserve"> with a number of other standards, such as those relating to risk management (</w:t>
      </w:r>
      <w:r w:rsidR="00DF1311" w:rsidRPr="003A173C">
        <w:rPr>
          <w:rFonts w:eastAsia="Calibri" w:cs="Calibri"/>
          <w:lang w:eastAsia="en-US"/>
        </w:rPr>
        <w:t>Standard 2 – Outcome 2.4</w:t>
      </w:r>
      <w:r w:rsidRPr="003A173C">
        <w:rPr>
          <w:rFonts w:eastAsia="Calibri" w:cs="Calibri"/>
          <w:lang w:eastAsia="en-US"/>
        </w:rPr>
        <w:t xml:space="preserve">), </w:t>
      </w:r>
      <w:r w:rsidR="00AB2207" w:rsidRPr="003A173C">
        <w:rPr>
          <w:rFonts w:eastAsia="Calibri" w:cs="Calibri"/>
          <w:lang w:eastAsia="en-US"/>
        </w:rPr>
        <w:t>and</w:t>
      </w:r>
      <w:r w:rsidRPr="003A173C">
        <w:rPr>
          <w:rFonts w:eastAsia="Calibri" w:cs="Calibri"/>
          <w:lang w:eastAsia="en-US"/>
        </w:rPr>
        <w:t xml:space="preserve"> feedback and complaints (Standard </w:t>
      </w:r>
      <w:r w:rsidR="00112A8E" w:rsidRPr="003A173C">
        <w:rPr>
          <w:rFonts w:eastAsia="Calibri" w:cs="Calibri"/>
          <w:lang w:eastAsia="en-US"/>
        </w:rPr>
        <w:t>2 – Outcome</w:t>
      </w:r>
      <w:r w:rsidR="004C1DA1">
        <w:rPr>
          <w:rFonts w:eastAsia="Calibri" w:cs="Calibri"/>
          <w:lang w:eastAsia="en-US"/>
        </w:rPr>
        <w:t>s</w:t>
      </w:r>
      <w:r w:rsidR="00112A8E" w:rsidRPr="003A173C">
        <w:rPr>
          <w:rFonts w:eastAsia="Calibri" w:cs="Calibri"/>
          <w:lang w:eastAsia="en-US"/>
        </w:rPr>
        <w:t xml:space="preserve"> 2.6</w:t>
      </w:r>
      <w:r w:rsidR="004C1DA1">
        <w:rPr>
          <w:rFonts w:eastAsia="Calibri" w:cs="Calibri"/>
          <w:lang w:eastAsia="en-US"/>
        </w:rPr>
        <w:t>a and 2.6b</w:t>
      </w:r>
      <w:r w:rsidRPr="003A173C">
        <w:rPr>
          <w:rFonts w:eastAsia="Calibri" w:cs="Calibri"/>
          <w:lang w:eastAsia="en-US"/>
        </w:rPr>
        <w:t>).</w:t>
      </w:r>
    </w:p>
    <w:p w14:paraId="179EBC76" w14:textId="77777777" w:rsidR="005D3EFA" w:rsidRPr="003A173C" w:rsidRDefault="00423472" w:rsidP="00423472">
      <w:pPr>
        <w:rPr>
          <w:rFonts w:eastAsia="Calibri" w:cs="Calibri"/>
          <w:lang w:eastAsia="en-US"/>
        </w:rPr>
      </w:pPr>
      <w:r w:rsidRPr="003A173C">
        <w:rPr>
          <w:rFonts w:eastAsia="Calibri" w:cs="Calibri"/>
          <w:lang w:eastAsia="en-US"/>
        </w:rPr>
        <w:t>Risk-based monitoring and management of non-compliance is determined by the Commission based on</w:t>
      </w:r>
      <w:r w:rsidR="005D3EFA" w:rsidRPr="003A173C">
        <w:rPr>
          <w:rFonts w:eastAsia="Calibri" w:cs="Calibri"/>
          <w:lang w:eastAsia="en-US"/>
        </w:rPr>
        <w:t>:</w:t>
      </w:r>
    </w:p>
    <w:p w14:paraId="77039C9A" w14:textId="5E1E6733" w:rsidR="005D3EFA" w:rsidRPr="003A173C" w:rsidRDefault="00423472" w:rsidP="003F13B2">
      <w:pPr>
        <w:pStyle w:val="ListBullet"/>
        <w:rPr>
          <w:rFonts w:eastAsia="Calibri"/>
          <w:lang w:eastAsia="en-US"/>
        </w:rPr>
      </w:pPr>
      <w:r w:rsidRPr="003A173C">
        <w:rPr>
          <w:rFonts w:eastAsia="Calibri"/>
          <w:lang w:eastAsia="en-US"/>
        </w:rPr>
        <w:t>the nature of non-co</w:t>
      </w:r>
      <w:r w:rsidR="004E61E9">
        <w:rPr>
          <w:rFonts w:eastAsia="Calibri"/>
          <w:lang w:eastAsia="en-US"/>
        </w:rPr>
        <w:t>nformance</w:t>
      </w:r>
      <w:r w:rsidRPr="003A173C">
        <w:rPr>
          <w:rFonts w:eastAsia="Calibri"/>
          <w:lang w:eastAsia="en-US"/>
        </w:rPr>
        <w:t xml:space="preserve">; </w:t>
      </w:r>
    </w:p>
    <w:p w14:paraId="51EDC623" w14:textId="4F69F2A8" w:rsidR="005D3EFA" w:rsidRPr="003A173C" w:rsidRDefault="00423472" w:rsidP="003F13B2">
      <w:pPr>
        <w:pStyle w:val="ListBullet"/>
        <w:rPr>
          <w:rFonts w:eastAsia="Calibri"/>
          <w:lang w:eastAsia="en-US"/>
        </w:rPr>
      </w:pPr>
      <w:r w:rsidRPr="003A173C">
        <w:rPr>
          <w:rFonts w:eastAsia="Calibri"/>
          <w:lang w:eastAsia="en-US"/>
        </w:rPr>
        <w:t xml:space="preserve">the level of risk to </w:t>
      </w:r>
      <w:r w:rsidR="007A5F41">
        <w:rPr>
          <w:rFonts w:eastAsia="Calibri"/>
          <w:lang w:eastAsia="en-US"/>
        </w:rPr>
        <w:t>individuals</w:t>
      </w:r>
      <w:r w:rsidRPr="003A173C">
        <w:rPr>
          <w:rFonts w:eastAsia="Calibri"/>
          <w:lang w:eastAsia="en-US"/>
        </w:rPr>
        <w:t xml:space="preserve">; </w:t>
      </w:r>
    </w:p>
    <w:p w14:paraId="3AF7D22E" w14:textId="77777777" w:rsidR="005D3EFA" w:rsidRPr="003A173C" w:rsidRDefault="00423472" w:rsidP="003F13B2">
      <w:pPr>
        <w:pStyle w:val="ListBullet"/>
        <w:rPr>
          <w:rFonts w:eastAsia="Calibri"/>
          <w:lang w:eastAsia="en-US"/>
        </w:rPr>
      </w:pPr>
      <w:r w:rsidRPr="003A173C">
        <w:rPr>
          <w:rFonts w:eastAsia="Calibri"/>
          <w:lang w:eastAsia="en-US"/>
        </w:rPr>
        <w:t xml:space="preserve">what is known about the provider; and </w:t>
      </w:r>
    </w:p>
    <w:p w14:paraId="0D02790F" w14:textId="63E9378B" w:rsidR="00423472" w:rsidRPr="003A173C" w:rsidRDefault="00423472" w:rsidP="003F13B2">
      <w:pPr>
        <w:pStyle w:val="ListBullet"/>
        <w:rPr>
          <w:rFonts w:eastAsia="Calibri"/>
          <w:lang w:eastAsia="en-US"/>
        </w:rPr>
      </w:pPr>
      <w:r w:rsidRPr="003A173C">
        <w:rPr>
          <w:rFonts w:eastAsia="Calibri"/>
          <w:lang w:eastAsia="en-US"/>
        </w:rPr>
        <w:t>the information in the provider</w:t>
      </w:r>
      <w:r w:rsidR="00E6183E">
        <w:rPr>
          <w:rFonts w:eastAsia="Calibri"/>
          <w:lang w:eastAsia="en-US"/>
        </w:rPr>
        <w:t>’</w:t>
      </w:r>
      <w:r w:rsidRPr="003A173C">
        <w:rPr>
          <w:rFonts w:eastAsia="Calibri"/>
          <w:lang w:eastAsia="en-US"/>
        </w:rPr>
        <w:t xml:space="preserve">s revised plan for continuous improvement or </w:t>
      </w:r>
      <w:r w:rsidR="003E3BFB" w:rsidRPr="003A173C">
        <w:rPr>
          <w:rFonts w:eastAsia="Calibri"/>
          <w:lang w:eastAsia="en-US"/>
        </w:rPr>
        <w:t xml:space="preserve">remediating </w:t>
      </w:r>
      <w:r w:rsidR="00F0638F" w:rsidRPr="003A173C">
        <w:rPr>
          <w:rFonts w:eastAsia="Calibri"/>
          <w:lang w:eastAsia="en-US"/>
        </w:rPr>
        <w:t>any non-</w:t>
      </w:r>
      <w:r w:rsidR="00A35C39" w:rsidRPr="003A173C">
        <w:rPr>
          <w:rFonts w:eastAsia="Calibri"/>
          <w:lang w:eastAsia="en-US"/>
        </w:rPr>
        <w:t>conformance</w:t>
      </w:r>
      <w:r w:rsidR="00F0638F" w:rsidRPr="003A173C">
        <w:rPr>
          <w:rFonts w:eastAsia="Calibri"/>
          <w:lang w:eastAsia="en-US"/>
        </w:rPr>
        <w:t xml:space="preserve"> outcomes</w:t>
      </w:r>
      <w:r w:rsidRPr="003A173C">
        <w:rPr>
          <w:rFonts w:eastAsia="Calibri"/>
          <w:lang w:eastAsia="en-US"/>
        </w:rPr>
        <w:t>.</w:t>
      </w:r>
    </w:p>
    <w:p w14:paraId="60C2AB6E" w14:textId="3E84781F" w:rsidR="00423472" w:rsidRPr="003A173C" w:rsidRDefault="00423472" w:rsidP="00423472">
      <w:pPr>
        <w:rPr>
          <w:rFonts w:eastAsia="Calibri" w:cs="Calibri"/>
          <w:lang w:eastAsia="en-US"/>
        </w:rPr>
      </w:pPr>
      <w:r w:rsidRPr="003A173C">
        <w:rPr>
          <w:rFonts w:eastAsia="Calibri" w:cs="Calibri"/>
          <w:lang w:eastAsia="en-US"/>
        </w:rPr>
        <w:t xml:space="preserve">Where a risk is assessed as low or medium, the Commission may issue to the provider a </w:t>
      </w:r>
      <w:r w:rsidR="00217396" w:rsidRPr="003A173C">
        <w:rPr>
          <w:rFonts w:eastAsia="Calibri" w:cs="Calibri"/>
          <w:lang w:eastAsia="en-US"/>
        </w:rPr>
        <w:t>d</w:t>
      </w:r>
      <w:r w:rsidRPr="003A173C">
        <w:rPr>
          <w:rFonts w:eastAsia="Calibri" w:cs="Calibri"/>
          <w:lang w:eastAsia="en-US"/>
        </w:rPr>
        <w:t xml:space="preserve">irection to revise the plan for continuous improvement for the service. The revised plan must be given to the Commission. If the Commission is not satisfied that necessary improvements are being made to </w:t>
      </w:r>
      <w:r w:rsidR="000E76F4">
        <w:rPr>
          <w:rFonts w:eastAsia="Calibri" w:cs="Calibri"/>
          <w:lang w:eastAsia="en-US"/>
        </w:rPr>
        <w:t>conf</w:t>
      </w:r>
      <w:r w:rsidR="00D01C29">
        <w:rPr>
          <w:rFonts w:eastAsia="Calibri" w:cs="Calibri"/>
          <w:lang w:eastAsia="en-US"/>
        </w:rPr>
        <w:t>orm</w:t>
      </w:r>
      <w:r w:rsidR="000E76F4">
        <w:rPr>
          <w:rFonts w:eastAsia="Calibri" w:cs="Calibri"/>
          <w:lang w:eastAsia="en-US"/>
        </w:rPr>
        <w:t xml:space="preserve"> to</w:t>
      </w:r>
      <w:r w:rsidRPr="003A173C">
        <w:rPr>
          <w:rFonts w:eastAsia="Calibri" w:cs="Calibri"/>
          <w:lang w:eastAsia="en-US"/>
        </w:rPr>
        <w:t xml:space="preserve"> the </w:t>
      </w:r>
      <w:r w:rsidR="004D6E18" w:rsidRPr="003A173C">
        <w:rPr>
          <w:rFonts w:eastAsia="Calibri" w:cs="Calibri"/>
          <w:lang w:eastAsia="en-US"/>
        </w:rPr>
        <w:t xml:space="preserve">Aged Care </w:t>
      </w:r>
      <w:r w:rsidRPr="003A173C">
        <w:rPr>
          <w:rFonts w:eastAsia="Calibri" w:cs="Calibri"/>
          <w:lang w:eastAsia="en-US"/>
        </w:rPr>
        <w:t>Quality Standards as outlined in the plan for continuous improvement, then the Commission may escalate regulatory action.</w:t>
      </w:r>
      <w:r w:rsidR="005C3D76" w:rsidRPr="003A173C">
        <w:rPr>
          <w:rFonts w:eastAsia="Calibri" w:cs="Calibri"/>
          <w:lang w:eastAsia="en-US"/>
        </w:rPr>
        <w:t xml:space="preserve"> </w:t>
      </w:r>
    </w:p>
    <w:p w14:paraId="55570C61" w14:textId="1F0E7E0C" w:rsidR="00423472" w:rsidRPr="003A173C" w:rsidRDefault="00423472" w:rsidP="00E67963">
      <w:pPr>
        <w:rPr>
          <w:rStyle w:val="Hyperlink"/>
          <w:rFonts w:ascii="Calibri" w:eastAsia="Calibri" w:hAnsi="Calibri" w:cs="Calibri"/>
          <w:sz w:val="20"/>
          <w:szCs w:val="20"/>
        </w:rPr>
      </w:pPr>
      <w:r w:rsidRPr="003A173C">
        <w:rPr>
          <w:rFonts w:eastAsia="Calibri" w:cs="Calibri"/>
          <w:lang w:eastAsia="en-US"/>
        </w:rPr>
        <w:t xml:space="preserve">Further information </w:t>
      </w:r>
      <w:r w:rsidR="00217396" w:rsidRPr="003A173C">
        <w:rPr>
          <w:rFonts w:eastAsia="Calibri" w:cs="Calibri"/>
          <w:lang w:eastAsia="en-US"/>
        </w:rPr>
        <w:t xml:space="preserve">is </w:t>
      </w:r>
      <w:r w:rsidRPr="003A173C">
        <w:rPr>
          <w:rFonts w:eastAsia="Calibri" w:cs="Calibri"/>
          <w:lang w:eastAsia="en-US"/>
        </w:rPr>
        <w:t xml:space="preserve">available on </w:t>
      </w:r>
      <w:r w:rsidR="0065386D" w:rsidRPr="003A173C">
        <w:rPr>
          <w:rFonts w:eastAsia="Calibri" w:cs="Calibri"/>
          <w:lang w:eastAsia="en-US"/>
        </w:rPr>
        <w:t xml:space="preserve">the </w:t>
      </w:r>
      <w:r w:rsidRPr="003A173C">
        <w:rPr>
          <w:rFonts w:eastAsia="Calibri" w:cs="Calibri"/>
          <w:lang w:eastAsia="en-US"/>
        </w:rPr>
        <w:t>Commission</w:t>
      </w:r>
      <w:r w:rsidR="00217396" w:rsidRPr="003A173C">
        <w:rPr>
          <w:rFonts w:eastAsia="Calibri" w:cs="Calibri"/>
          <w:lang w:eastAsia="en-US"/>
        </w:rPr>
        <w:t>’s</w:t>
      </w:r>
      <w:r w:rsidRPr="003A173C">
        <w:rPr>
          <w:rFonts w:eastAsia="Calibri" w:cs="Calibri"/>
          <w:lang w:eastAsia="en-US"/>
        </w:rPr>
        <w:t xml:space="preserve"> website</w:t>
      </w:r>
      <w:r w:rsidR="006B15F5" w:rsidRPr="003A173C">
        <w:rPr>
          <w:rFonts w:eastAsia="Calibri" w:cs="Calibri"/>
          <w:lang w:eastAsia="en-US"/>
        </w:rPr>
        <w:t xml:space="preserve"> </w:t>
      </w:r>
      <w:r w:rsidR="008348A5" w:rsidRPr="003A173C">
        <w:rPr>
          <w:rFonts w:eastAsia="Calibri" w:cs="Calibri"/>
          <w:szCs w:val="20"/>
          <w:lang w:eastAsia="en-US"/>
        </w:rPr>
        <w:t xml:space="preserve">at </w:t>
      </w:r>
      <w:hyperlink r:id="rId77" w:history="1">
        <w:r w:rsidR="008348A5" w:rsidRPr="003A173C">
          <w:rPr>
            <w:rStyle w:val="Hyperlink"/>
            <w:rFonts w:ascii="Calibri" w:hAnsi="Calibri" w:cs="Calibri"/>
            <w:sz w:val="20"/>
            <w:szCs w:val="20"/>
          </w:rPr>
          <w:t>https://www.agedcarequality.gov.au/</w:t>
        </w:r>
      </w:hyperlink>
      <w:r w:rsidR="008348A5" w:rsidRPr="003A0120">
        <w:rPr>
          <w:rStyle w:val="Hyperlink"/>
          <w:rFonts w:ascii="Calibri" w:hAnsi="Calibri" w:cs="Calibri"/>
          <w:sz w:val="20"/>
          <w:szCs w:val="20"/>
          <w:u w:val="none"/>
        </w:rPr>
        <w:t>.</w:t>
      </w:r>
    </w:p>
    <w:p w14:paraId="6616BF56" w14:textId="04A9F57F" w:rsidR="00E84B2C" w:rsidRPr="00721280" w:rsidRDefault="00CC189D" w:rsidP="008974DB">
      <w:pPr>
        <w:pStyle w:val="Style3"/>
      </w:pPr>
      <w:bookmarkStart w:id="2118" w:name="_Toc211454337"/>
      <w:bookmarkStart w:id="2119" w:name="_Toc216865527"/>
      <w:r w:rsidRPr="00721280">
        <w:t>Alternative audit arrangements</w:t>
      </w:r>
      <w:r w:rsidR="00E84B2C" w:rsidRPr="00721280">
        <w:t xml:space="preserve"> and the Integrated Health and Aged Care Services</w:t>
      </w:r>
      <w:r w:rsidR="00502A57" w:rsidRPr="00721280">
        <w:t xml:space="preserve"> (IHACS)</w:t>
      </w:r>
      <w:r w:rsidR="00E84B2C" w:rsidRPr="00721280">
        <w:t xml:space="preserve"> Module</w:t>
      </w:r>
      <w:bookmarkEnd w:id="2118"/>
      <w:bookmarkEnd w:id="2119"/>
    </w:p>
    <w:p w14:paraId="01A3CE47" w14:textId="77777777" w:rsidR="00DD0F24" w:rsidRDefault="00DD0F24" w:rsidP="00DD0F24">
      <w:pPr>
        <w:rPr>
          <w:rFonts w:eastAsia="Calibri" w:cs="Calibri"/>
          <w:lang w:eastAsia="en-US"/>
        </w:rPr>
      </w:pPr>
      <w:r>
        <w:rPr>
          <w:rFonts w:eastAsia="Calibri" w:cs="Calibri"/>
          <w:lang w:eastAsia="en-US"/>
        </w:rPr>
        <w:t xml:space="preserve">As noted above, all registered providers must meet their obligations under the </w:t>
      </w:r>
      <w:r w:rsidRPr="00030EC4">
        <w:rPr>
          <w:rFonts w:eastAsia="Calibri" w:cs="Calibri"/>
          <w:lang w:eastAsia="en-US"/>
        </w:rPr>
        <w:t xml:space="preserve">Aged Care Quality Standards </w:t>
      </w:r>
      <w:r>
        <w:rPr>
          <w:rFonts w:eastAsia="Calibri" w:cs="Calibri"/>
          <w:lang w:eastAsia="en-US"/>
        </w:rPr>
        <w:t xml:space="preserve">where applicable from </w:t>
      </w:r>
      <w:r w:rsidRPr="00030EC4">
        <w:rPr>
          <w:rFonts w:eastAsia="Calibri" w:cs="Calibri"/>
          <w:lang w:eastAsia="en-US"/>
        </w:rPr>
        <w:t>1 November 2025</w:t>
      </w:r>
      <w:r>
        <w:rPr>
          <w:rFonts w:eastAsia="Calibri" w:cs="Calibri"/>
          <w:lang w:eastAsia="en-US"/>
        </w:rPr>
        <w:t>. This includes providers who deliver services under TCP and who also deliver health services.</w:t>
      </w:r>
    </w:p>
    <w:p w14:paraId="14B45457" w14:textId="77777777" w:rsidR="005C667F" w:rsidRDefault="00DD0F24" w:rsidP="005C667F">
      <w:pPr>
        <w:rPr>
          <w:rFonts w:eastAsia="Calibri" w:cs="Calibri"/>
        </w:rPr>
      </w:pPr>
      <w:r>
        <w:rPr>
          <w:rFonts w:eastAsia="Calibri" w:cs="Calibri"/>
          <w:lang w:eastAsia="en-US"/>
        </w:rPr>
        <w:t xml:space="preserve">The Department is, however, working with the </w:t>
      </w:r>
      <w:r w:rsidR="00077F42">
        <w:rPr>
          <w:rFonts w:eastAsia="Calibri" w:cs="Calibri"/>
          <w:lang w:eastAsia="en-US"/>
        </w:rPr>
        <w:t>Commission</w:t>
      </w:r>
      <w:r>
        <w:rPr>
          <w:rFonts w:eastAsia="Calibri" w:cs="Calibri"/>
          <w:lang w:eastAsia="en-US"/>
        </w:rPr>
        <w:t xml:space="preserve"> and the Australian Commission on Quality and Safety in Health Care</w:t>
      </w:r>
      <w:r w:rsidR="002A45CD">
        <w:rPr>
          <w:rFonts w:eastAsia="Calibri" w:cs="Calibri"/>
          <w:lang w:eastAsia="en-US"/>
        </w:rPr>
        <w:t xml:space="preserve"> (</w:t>
      </w:r>
      <w:r w:rsidR="002A45CD" w:rsidRPr="009F4C77">
        <w:rPr>
          <w:rFonts w:eastAsia="Calibri" w:cs="Calibri"/>
          <w:b/>
          <w:bCs/>
          <w:lang w:eastAsia="en-US"/>
        </w:rPr>
        <w:t>ACQSH</w:t>
      </w:r>
      <w:r w:rsidR="00112214" w:rsidRPr="009F4C77">
        <w:rPr>
          <w:rFonts w:eastAsia="Calibri" w:cs="Calibri"/>
          <w:b/>
          <w:bCs/>
          <w:lang w:eastAsia="en-US"/>
        </w:rPr>
        <w:t>C</w:t>
      </w:r>
      <w:r w:rsidR="002A45CD">
        <w:rPr>
          <w:rFonts w:eastAsia="Calibri" w:cs="Calibri"/>
          <w:lang w:eastAsia="en-US"/>
        </w:rPr>
        <w:t>)</w:t>
      </w:r>
      <w:r>
        <w:rPr>
          <w:rFonts w:eastAsia="Calibri" w:cs="Calibri"/>
          <w:lang w:eastAsia="en-US"/>
        </w:rPr>
        <w:t xml:space="preserve"> to implement expanded streamlined accreditation arrangements for some government providers who </w:t>
      </w:r>
      <w:r w:rsidRPr="00B44973">
        <w:rPr>
          <w:rFonts w:eastAsia="Calibri" w:cs="Calibri"/>
          <w:lang w:eastAsia="en-US"/>
        </w:rPr>
        <w:t xml:space="preserve">deliver </w:t>
      </w:r>
      <w:r w:rsidRPr="00A80BF8">
        <w:rPr>
          <w:rFonts w:eastAsia="Calibri" w:cs="Calibri"/>
          <w:u w:val="single"/>
          <w:lang w:eastAsia="en-US"/>
        </w:rPr>
        <w:t>integrated</w:t>
      </w:r>
      <w:r w:rsidRPr="00B44973">
        <w:rPr>
          <w:rFonts w:eastAsia="Calibri" w:cs="Calibri"/>
          <w:lang w:eastAsia="en-US"/>
        </w:rPr>
        <w:t xml:space="preserve"> health and aged care services from 1 November 2025. These arrangements are designed to reduce </w:t>
      </w:r>
      <w:r w:rsidRPr="00B44973">
        <w:rPr>
          <w:rFonts w:eastAsia="Calibri" w:cs="Calibri"/>
        </w:rPr>
        <w:t>duplication for providers who currently need to be separately audited under both health and aged care</w:t>
      </w:r>
      <w:r w:rsidRPr="00B44973">
        <w:rPr>
          <w:rFonts w:eastAsia="Calibri" w:cs="Calibri"/>
          <w:lang w:eastAsia="en-US"/>
        </w:rPr>
        <w:t xml:space="preserve"> regulatory </w:t>
      </w:r>
      <w:r w:rsidRPr="00B44973">
        <w:rPr>
          <w:rFonts w:eastAsia="Calibri" w:cs="Calibri"/>
        </w:rPr>
        <w:t>schemes.</w:t>
      </w:r>
      <w:r>
        <w:rPr>
          <w:rFonts w:eastAsia="Calibri" w:cs="Calibri"/>
        </w:rPr>
        <w:t xml:space="preserve"> </w:t>
      </w:r>
    </w:p>
    <w:p w14:paraId="00B0A533" w14:textId="77777777" w:rsidR="005C667F" w:rsidRDefault="00DD0F24" w:rsidP="005C667F">
      <w:pPr>
        <w:rPr>
          <w:rFonts w:eastAsia="Calibri" w:cs="Calibri"/>
          <w:szCs w:val="20"/>
          <w:lang w:eastAsia="en-US"/>
        </w:rPr>
      </w:pPr>
      <w:r w:rsidRPr="1C30FF31">
        <w:rPr>
          <w:rFonts w:eastAsia="Calibri" w:cs="Calibri"/>
        </w:rPr>
        <w:t>These new arrangements will only apply to government providers who ‘opt in’ and are already accredited against the National Safety and Quality Health Service Standards</w:t>
      </w:r>
      <w:r w:rsidRPr="1C30FF31">
        <w:rPr>
          <w:rFonts w:eastAsia="Calibri" w:cs="Calibri"/>
          <w:b/>
          <w:bCs/>
          <w:lang w:eastAsia="en-US"/>
        </w:rPr>
        <w:t xml:space="preserve"> (NSQHS)</w:t>
      </w:r>
      <w:r w:rsidRPr="1C30FF31">
        <w:rPr>
          <w:rFonts w:eastAsia="Calibri" w:cs="Calibri"/>
        </w:rPr>
        <w:t xml:space="preserve">, and who deliver health services out of an approved residential care home in rural or remote locations </w:t>
      </w:r>
      <w:r w:rsidRPr="1C30FF31">
        <w:rPr>
          <w:rFonts w:eastAsia="Calibri" w:cs="Calibri"/>
          <w:lang w:eastAsia="en-US"/>
        </w:rPr>
        <w:t>(MM 3-7)</w:t>
      </w:r>
      <w:r w:rsidR="00BC4BDB" w:rsidRPr="1C30FF31">
        <w:rPr>
          <w:rFonts w:eastAsia="Calibri" w:cs="Calibri"/>
          <w:lang w:eastAsia="en-US"/>
        </w:rPr>
        <w:t>.</w:t>
      </w:r>
      <w:r w:rsidRPr="1C30FF31">
        <w:rPr>
          <w:rStyle w:val="FootnoteReference"/>
          <w:rFonts w:eastAsia="Calibri" w:cs="Calibri"/>
          <w:lang w:eastAsia="en-US"/>
        </w:rPr>
        <w:footnoteReference w:id="12"/>
      </w:r>
      <w:r w:rsidRPr="1C30FF31">
        <w:rPr>
          <w:rFonts w:eastAsia="Calibri" w:cs="Calibri"/>
        </w:rPr>
        <w:t xml:space="preserve"> These providers can be accredited under the </w:t>
      </w:r>
      <w:r w:rsidRPr="1C30FF31">
        <w:rPr>
          <w:rFonts w:eastAsia="Calibri" w:cs="Calibri"/>
          <w:lang w:eastAsia="en-US"/>
        </w:rPr>
        <w:t>Australian Health Services Safety and Quality Accreditation (</w:t>
      </w:r>
      <w:r w:rsidRPr="1C30FF31">
        <w:rPr>
          <w:rFonts w:eastAsia="Calibri" w:cs="Calibri"/>
          <w:b/>
          <w:bCs/>
          <w:lang w:eastAsia="en-US"/>
        </w:rPr>
        <w:t>AHSSQA</w:t>
      </w:r>
      <w:r w:rsidRPr="1C30FF31">
        <w:rPr>
          <w:rFonts w:eastAsia="Calibri" w:cs="Calibri"/>
          <w:lang w:eastAsia="en-US"/>
        </w:rPr>
        <w:t>) Scheme, after being assessed against both the NSQHS Standards and the</w:t>
      </w:r>
      <w:r w:rsidRPr="00030EC4">
        <w:rPr>
          <w:rFonts w:eastAsia="Calibri" w:cs="Calibri"/>
          <w:lang w:eastAsia="en-US"/>
        </w:rPr>
        <w:t xml:space="preserve"> Integrated Health and Aged Care Services Module</w:t>
      </w:r>
      <w:r>
        <w:rPr>
          <w:rFonts w:eastAsia="Calibri" w:cs="Calibri"/>
          <w:lang w:eastAsia="en-US"/>
        </w:rPr>
        <w:t xml:space="preserve"> (</w:t>
      </w:r>
      <w:r w:rsidRPr="1C30FF31">
        <w:rPr>
          <w:rFonts w:eastAsia="Calibri" w:cs="Calibri"/>
          <w:b/>
          <w:bCs/>
          <w:lang w:eastAsia="en-US"/>
        </w:rPr>
        <w:t>IHACS Module)</w:t>
      </w:r>
      <w:r w:rsidRPr="1C30FF31">
        <w:rPr>
          <w:rFonts w:eastAsia="Calibri" w:cs="Calibri"/>
          <w:lang w:eastAsia="en-US"/>
        </w:rPr>
        <w:t>.</w:t>
      </w:r>
    </w:p>
    <w:p w14:paraId="6F0BF177" w14:textId="77777777" w:rsidR="005C667F" w:rsidRDefault="00DD0F24" w:rsidP="005C667F">
      <w:pPr>
        <w:rPr>
          <w:rFonts w:cs="Calibri"/>
          <w:szCs w:val="20"/>
        </w:rPr>
      </w:pPr>
      <w:r w:rsidRPr="002A2BCC">
        <w:rPr>
          <w:rFonts w:eastAsia="Calibri" w:cs="Calibri"/>
          <w:szCs w:val="20"/>
          <w:lang w:eastAsia="en-US"/>
        </w:rPr>
        <w:t xml:space="preserve">The IHACS Module is based on the Aged Care Quality Standards and covers those parts of the Aged Care Quality Standards which </w:t>
      </w:r>
      <w:r w:rsidRPr="0026176D">
        <w:rPr>
          <w:rFonts w:eastAsia="Calibri" w:cs="Calibri"/>
          <w:szCs w:val="20"/>
          <w:lang w:eastAsia="en-US"/>
        </w:rPr>
        <w:t xml:space="preserve">do not overlap with the NSQHS Standards. Further information on the IHACS Module can be found on the AHSSQA </w:t>
      </w:r>
      <w:hyperlink r:id="rId78" w:anchor="frequently-asked-questions" w:history="1">
        <w:r w:rsidRPr="003B3A99">
          <w:rPr>
            <w:rStyle w:val="Hyperlink"/>
            <w:rFonts w:ascii="Calibri" w:eastAsia="Calibri" w:hAnsi="Calibri" w:cs="Calibri"/>
            <w:sz w:val="20"/>
            <w:szCs w:val="20"/>
            <w:lang w:eastAsia="en-US"/>
          </w:rPr>
          <w:t>website</w:t>
        </w:r>
        <w:r w:rsidRPr="003A0120">
          <w:rPr>
            <w:rStyle w:val="Hyperlink"/>
            <w:rFonts w:ascii="Calibri" w:eastAsia="Calibri" w:hAnsi="Calibri" w:cs="Calibri"/>
            <w:sz w:val="20"/>
            <w:szCs w:val="20"/>
            <w:u w:val="none"/>
            <w:lang w:eastAsia="en-US"/>
          </w:rPr>
          <w:t>.</w:t>
        </w:r>
      </w:hyperlink>
      <w:r>
        <w:rPr>
          <w:rFonts w:cs="Calibri"/>
          <w:szCs w:val="20"/>
        </w:rPr>
        <w:t xml:space="preserve"> </w:t>
      </w:r>
    </w:p>
    <w:p w14:paraId="4DBECC12" w14:textId="705103CE" w:rsidR="00DD0F24" w:rsidRDefault="00DD0F24" w:rsidP="009F4C77">
      <w:pPr>
        <w:rPr>
          <w:rFonts w:cs="Calibri"/>
          <w:szCs w:val="20"/>
        </w:rPr>
      </w:pPr>
      <w:r>
        <w:rPr>
          <w:rFonts w:cs="Calibri"/>
          <w:szCs w:val="20"/>
        </w:rPr>
        <w:t xml:space="preserve">Participating providers will be able to provide their AHSSQA assessment reports to the </w:t>
      </w:r>
      <w:r w:rsidR="00A015CE">
        <w:rPr>
          <w:rFonts w:cs="Calibri"/>
          <w:szCs w:val="20"/>
        </w:rPr>
        <w:t>Commission</w:t>
      </w:r>
      <w:r>
        <w:rPr>
          <w:rFonts w:cs="Calibri"/>
          <w:szCs w:val="20"/>
        </w:rPr>
        <w:t xml:space="preserve">, avoiding the need for a separate aged care audit to be completed by the </w:t>
      </w:r>
      <w:r w:rsidR="00A015CE">
        <w:rPr>
          <w:rFonts w:cs="Calibri"/>
          <w:szCs w:val="20"/>
        </w:rPr>
        <w:t>Commission</w:t>
      </w:r>
      <w:r>
        <w:rPr>
          <w:rFonts w:cs="Calibri"/>
          <w:szCs w:val="20"/>
        </w:rPr>
        <w:t xml:space="preserve">. </w:t>
      </w:r>
    </w:p>
    <w:p w14:paraId="2BA7C05B" w14:textId="451FDD7D" w:rsidR="00DD0F24" w:rsidRDefault="00DD0F24" w:rsidP="00DD0F24">
      <w:pPr>
        <w:keepNext/>
        <w:keepLines/>
        <w:spacing w:after="0"/>
        <w:rPr>
          <w:rFonts w:cs="Calibri"/>
          <w:szCs w:val="20"/>
        </w:rPr>
      </w:pPr>
      <w:r w:rsidRPr="0029213B">
        <w:rPr>
          <w:rFonts w:cs="Calibri"/>
          <w:b/>
          <w:bCs/>
          <w:szCs w:val="20"/>
        </w:rPr>
        <w:lastRenderedPageBreak/>
        <w:t>Note:</w:t>
      </w:r>
    </w:p>
    <w:p w14:paraId="5D8B3986" w14:textId="77777777" w:rsidR="00DD0F24" w:rsidRPr="006005DD" w:rsidRDefault="00DD0F24" w:rsidP="003F13B2">
      <w:pPr>
        <w:pStyle w:val="ListBullet"/>
      </w:pPr>
      <w:r w:rsidRPr="003F13B2">
        <w:t>These</w:t>
      </w:r>
      <w:r w:rsidRPr="006005DD">
        <w:t xml:space="preserve"> arrangements do </w:t>
      </w:r>
      <w:r w:rsidRPr="006005DD">
        <w:rPr>
          <w:u w:val="single"/>
        </w:rPr>
        <w:t>not</w:t>
      </w:r>
      <w:r w:rsidRPr="006005DD">
        <w:t xml:space="preserve"> cover TCP providers who:</w:t>
      </w:r>
    </w:p>
    <w:p w14:paraId="412ABB0C" w14:textId="77777777" w:rsidR="00DD0F24" w:rsidRPr="006005DD" w:rsidRDefault="00DD0F24" w:rsidP="003F13B2">
      <w:pPr>
        <w:pStyle w:val="ListBullet2"/>
        <w:rPr>
          <w:rFonts w:eastAsia="Calibri"/>
        </w:rPr>
      </w:pPr>
      <w:r w:rsidRPr="006005DD">
        <w:rPr>
          <w:rFonts w:eastAsia="Calibri"/>
          <w:lang w:eastAsia="en-US"/>
        </w:rPr>
        <w:t>deliver services in a standalone residential aged care home or in a home and community setting (i.e. at or through a location that does not also deliver one or more health services), or</w:t>
      </w:r>
    </w:p>
    <w:p w14:paraId="1F568E62" w14:textId="77777777" w:rsidR="00DD0F24" w:rsidRPr="006005DD" w:rsidRDefault="00DD0F24" w:rsidP="003F13B2">
      <w:pPr>
        <w:pStyle w:val="ListBullet2"/>
        <w:rPr>
          <w:rFonts w:eastAsia="Calibri"/>
        </w:rPr>
      </w:pPr>
      <w:r w:rsidRPr="006005DD">
        <w:rPr>
          <w:rFonts w:eastAsia="Calibri"/>
          <w:lang w:eastAsia="en-US"/>
        </w:rPr>
        <w:t>are not government entities or are located in a metropolitan or regional area (MM 1-2).</w:t>
      </w:r>
    </w:p>
    <w:p w14:paraId="4E178397" w14:textId="22432169" w:rsidR="008C6027" w:rsidRPr="007723D2" w:rsidRDefault="00DD0F24" w:rsidP="003F13B2">
      <w:pPr>
        <w:pStyle w:val="ListBullet"/>
        <w:rPr>
          <w:rFonts w:eastAsia="Calibri"/>
        </w:rPr>
      </w:pPr>
      <w:r w:rsidRPr="006005DD">
        <w:rPr>
          <w:rFonts w:eastAsia="Calibri"/>
        </w:rPr>
        <w:t xml:space="preserve">Accreditation against the NSQHS </w:t>
      </w:r>
      <w:r w:rsidRPr="006005DD">
        <w:t>standards</w:t>
      </w:r>
      <w:r w:rsidRPr="006005DD">
        <w:rPr>
          <w:rFonts w:eastAsia="Calibri"/>
        </w:rPr>
        <w:t xml:space="preserve"> and the IHACS Module also only </w:t>
      </w:r>
      <w:r w:rsidRPr="007723D2">
        <w:rPr>
          <w:rFonts w:eastAsia="Calibri"/>
        </w:rPr>
        <w:t xml:space="preserve">applies to the residential care homes delivering the integrated health and aged care services – if a provider has other residential care homes that don’t deliver integrated health and aged care, or are in MM 1 or 2, these will still need to be audited by the </w:t>
      </w:r>
      <w:r w:rsidR="00175F8D" w:rsidRPr="007723D2">
        <w:rPr>
          <w:rFonts w:eastAsia="Calibri"/>
        </w:rPr>
        <w:t>Commission</w:t>
      </w:r>
      <w:r w:rsidRPr="007723D2">
        <w:rPr>
          <w:rFonts w:eastAsia="Calibri"/>
        </w:rPr>
        <w:t>. </w:t>
      </w:r>
    </w:p>
    <w:p w14:paraId="266E3BBA" w14:textId="2DAF0E57" w:rsidR="00A11168" w:rsidRPr="00FB22FF" w:rsidRDefault="00DD0F24" w:rsidP="003F13B2">
      <w:pPr>
        <w:pStyle w:val="ListBullet"/>
        <w:rPr>
          <w:rFonts w:eastAsia="Calibri"/>
          <w:szCs w:val="20"/>
        </w:rPr>
      </w:pPr>
      <w:r w:rsidRPr="00A80EBA">
        <w:rPr>
          <w:rFonts w:eastAsia="Calibri"/>
        </w:rPr>
        <w:t>A further staged expansion of the IHACS Module arrangements will be considered from 2026 to cover other types of integrated health and aged care providers, including those that operate in the context of the TCP in an effort to further reduce duplication and administrative burden on providers.</w:t>
      </w:r>
      <w:r w:rsidRPr="008C6027">
        <w:rPr>
          <w:rFonts w:eastAsia="Calibri"/>
        </w:rPr>
        <w:t xml:space="preserve"> </w:t>
      </w:r>
    </w:p>
    <w:p w14:paraId="35A2F95A" w14:textId="77777777" w:rsidR="00DB2BA2" w:rsidRPr="00721280" w:rsidRDefault="00DB2BA2" w:rsidP="008974DB">
      <w:pPr>
        <w:pStyle w:val="Style3"/>
      </w:pPr>
      <w:bookmarkStart w:id="2120" w:name="_Toc211942198"/>
      <w:bookmarkStart w:id="2121" w:name="_Toc211853730"/>
      <w:bookmarkStart w:id="2122" w:name="_Toc211942199"/>
      <w:bookmarkStart w:id="2123" w:name="_Toc211853731"/>
      <w:bookmarkStart w:id="2124" w:name="_Toc211942200"/>
      <w:bookmarkStart w:id="2125" w:name="_Toc211853732"/>
      <w:bookmarkStart w:id="2126" w:name="_Toc211942201"/>
      <w:bookmarkStart w:id="2127" w:name="_Toc211454339"/>
      <w:bookmarkStart w:id="2128" w:name="_Toc216865528"/>
      <w:bookmarkEnd w:id="2120"/>
      <w:bookmarkEnd w:id="2121"/>
      <w:bookmarkEnd w:id="2122"/>
      <w:bookmarkEnd w:id="2123"/>
      <w:bookmarkEnd w:id="2124"/>
      <w:bookmarkEnd w:id="2125"/>
      <w:bookmarkEnd w:id="2126"/>
      <w:r w:rsidRPr="00721280">
        <w:t>Approach to regulation in transitioning to the Aged Care Act 2024</w:t>
      </w:r>
      <w:bookmarkEnd w:id="2127"/>
      <w:bookmarkEnd w:id="2128"/>
      <w:r w:rsidRPr="00721280">
        <w:t xml:space="preserve"> </w:t>
      </w:r>
    </w:p>
    <w:p w14:paraId="4844CAC9" w14:textId="352F0FC1" w:rsidR="00DB2BA2" w:rsidRPr="003A173C" w:rsidRDefault="00DB2BA2" w:rsidP="00DB2BA2">
      <w:pPr>
        <w:rPr>
          <w:rFonts w:eastAsia="Calibri" w:cs="Calibri"/>
          <w:lang w:eastAsia="en-US"/>
        </w:rPr>
      </w:pPr>
      <w:r w:rsidRPr="003A173C">
        <w:rPr>
          <w:rFonts w:eastAsia="Calibri" w:cs="Calibri"/>
          <w:lang w:eastAsia="en-US"/>
        </w:rPr>
        <w:t xml:space="preserve">Both the Department and the Commission recognise the substantial undertaking required of States and Territories and all registered providers delivering aged care services, to integrate, embed and ensure full compliance with the requirements of the </w:t>
      </w:r>
      <w:r w:rsidR="00AB109E">
        <w:rPr>
          <w:rFonts w:eastAsia="Calibri" w:cs="Calibri"/>
          <w:lang w:eastAsia="en-US"/>
        </w:rPr>
        <w:t>Act</w:t>
      </w:r>
      <w:r w:rsidR="009F02C0">
        <w:rPr>
          <w:rFonts w:eastAsia="Calibri" w:cs="Calibri"/>
          <w:lang w:eastAsia="en-US"/>
        </w:rPr>
        <w:t xml:space="preserve"> </w:t>
      </w:r>
      <w:r w:rsidR="0032321E">
        <w:rPr>
          <w:rFonts w:eastAsia="Calibri" w:cs="Calibri"/>
          <w:lang w:eastAsia="en-US"/>
        </w:rPr>
        <w:t>by the commence</w:t>
      </w:r>
      <w:r w:rsidR="007A0964">
        <w:rPr>
          <w:rFonts w:eastAsia="Calibri" w:cs="Calibri"/>
          <w:lang w:eastAsia="en-US"/>
        </w:rPr>
        <w:t>ment</w:t>
      </w:r>
      <w:r w:rsidR="0032321E">
        <w:rPr>
          <w:rFonts w:eastAsia="Calibri" w:cs="Calibri"/>
          <w:lang w:eastAsia="en-US"/>
        </w:rPr>
        <w:t xml:space="preserve"> date of</w:t>
      </w:r>
      <w:r w:rsidRPr="003A173C">
        <w:rPr>
          <w:rFonts w:eastAsia="Calibri" w:cs="Calibri"/>
          <w:lang w:eastAsia="en-US"/>
        </w:rPr>
        <w:t xml:space="preserve"> 1 November 2025. </w:t>
      </w:r>
    </w:p>
    <w:p w14:paraId="122459BD" w14:textId="3FEBFFE4" w:rsidR="00DB2BA2" w:rsidRPr="003A173C" w:rsidRDefault="00DB2BA2" w:rsidP="00DB2BA2">
      <w:pPr>
        <w:rPr>
          <w:rFonts w:eastAsia="Calibri" w:cs="Calibri"/>
          <w:lang w:eastAsia="en-US"/>
        </w:rPr>
      </w:pPr>
      <w:r w:rsidRPr="003A173C">
        <w:rPr>
          <w:rFonts w:eastAsia="Calibri" w:cs="Calibri"/>
          <w:lang w:eastAsia="en-US"/>
        </w:rPr>
        <w:t xml:space="preserve">To further confirm the Commonwealth’s and Commission’s intended regulatory approach in this period of transition to the new arrangements, </w:t>
      </w:r>
      <w:r w:rsidR="004E2DC8">
        <w:rPr>
          <w:rFonts w:eastAsia="Calibri" w:cs="Calibri"/>
          <w:lang w:eastAsia="en-US"/>
        </w:rPr>
        <w:t>the Australian Government</w:t>
      </w:r>
      <w:r w:rsidRPr="003A173C">
        <w:rPr>
          <w:rFonts w:eastAsia="Calibri" w:cs="Calibri"/>
          <w:lang w:eastAsia="en-US"/>
        </w:rPr>
        <w:t xml:space="preserve"> released a </w:t>
      </w:r>
      <w:hyperlink r:id="rId79" w:history="1">
        <w:r w:rsidRPr="003A173C">
          <w:rPr>
            <w:rStyle w:val="Hyperlink"/>
            <w:rFonts w:ascii="Calibri" w:eastAsia="Calibri" w:hAnsi="Calibri" w:cs="Calibri"/>
            <w:sz w:val="20"/>
            <w:lang w:eastAsia="en-US"/>
          </w:rPr>
          <w:t>Statement of Expectations in June 2025</w:t>
        </w:r>
      </w:hyperlink>
      <w:r w:rsidRPr="003A173C">
        <w:rPr>
          <w:rFonts w:eastAsia="Calibri" w:cs="Calibri"/>
          <w:lang w:eastAsia="en-US"/>
        </w:rPr>
        <w:t xml:space="preserve"> and the Commission has responded to this statement with its</w:t>
      </w:r>
      <w:r w:rsidR="002E452D">
        <w:rPr>
          <w:rFonts w:eastAsia="Calibri" w:cs="Calibri"/>
          <w:lang w:eastAsia="en-US"/>
        </w:rPr>
        <w:t xml:space="preserve"> </w:t>
      </w:r>
      <w:hyperlink r:id="rId80" w:history="1">
        <w:r w:rsidRPr="003A173C">
          <w:rPr>
            <w:rStyle w:val="Hyperlink"/>
            <w:rFonts w:ascii="Calibri" w:eastAsia="Calibri" w:hAnsi="Calibri" w:cs="Calibri"/>
            <w:sz w:val="20"/>
            <w:lang w:eastAsia="en-US"/>
          </w:rPr>
          <w:t>Statement of Intent</w:t>
        </w:r>
      </w:hyperlink>
      <w:r w:rsidRPr="003A173C">
        <w:rPr>
          <w:rFonts w:eastAsia="Calibri" w:cs="Calibri"/>
          <w:lang w:eastAsia="en-US"/>
        </w:rPr>
        <w:t xml:space="preserve">. These documents set out an approach focused on support, collaboration and education to assist aged care providers (including jurisdictions in their capacity as registered providers for the purposes of TCP) to achieve full compliance, rather than one reliant on immediate recourse to punitive measures for identified non-compliance. </w:t>
      </w:r>
    </w:p>
    <w:p w14:paraId="2B785EC3" w14:textId="77777777" w:rsidR="00DB2BA2" w:rsidRPr="003A173C" w:rsidRDefault="00DB2BA2" w:rsidP="00DB2BA2">
      <w:pPr>
        <w:rPr>
          <w:rFonts w:eastAsia="Calibri" w:cs="Calibri"/>
          <w:lang w:eastAsia="en-US"/>
        </w:rPr>
      </w:pPr>
      <w:r w:rsidRPr="003A173C">
        <w:rPr>
          <w:rFonts w:eastAsia="Calibri" w:cs="Calibri"/>
          <w:lang w:eastAsia="en-US"/>
        </w:rPr>
        <w:t>As outlined in the Commission’s Statement of Intent, the Commission’s regulatory approach will be consistent with its Regulatory Strategy. It will:</w:t>
      </w:r>
    </w:p>
    <w:p w14:paraId="43D823A0" w14:textId="078FF9EC" w:rsidR="00DB2BA2" w:rsidRPr="003A173C" w:rsidRDefault="00DB2BA2" w:rsidP="003F13B2">
      <w:pPr>
        <w:pStyle w:val="ListBullet"/>
        <w:rPr>
          <w:rFonts w:eastAsia="Calibri"/>
        </w:rPr>
      </w:pPr>
      <w:r w:rsidRPr="003A173C">
        <w:rPr>
          <w:rFonts w:eastAsia="Calibri"/>
          <w:lang w:eastAsia="en-US"/>
        </w:rPr>
        <w:t>always prioritise the health, safety, wellbeing and quality of life of older people receiving funded aged care and services, including by upholding their rights under the Statement of Rights.</w:t>
      </w:r>
    </w:p>
    <w:p w14:paraId="55DB8139" w14:textId="77777777" w:rsidR="00DB2BA2" w:rsidRPr="003A173C" w:rsidRDefault="00DB2BA2" w:rsidP="003F13B2">
      <w:pPr>
        <w:pStyle w:val="ListBullet"/>
        <w:rPr>
          <w:rFonts w:eastAsia="Calibri"/>
        </w:rPr>
      </w:pPr>
      <w:r w:rsidRPr="003A173C">
        <w:rPr>
          <w:rFonts w:eastAsia="Calibri"/>
          <w:lang w:eastAsia="en-US"/>
        </w:rPr>
        <w:t xml:space="preserve">promote transparency and accountability by being: </w:t>
      </w:r>
    </w:p>
    <w:p w14:paraId="60F94837" w14:textId="397381F1" w:rsidR="00DB2BA2" w:rsidRPr="003A173C" w:rsidRDefault="00DB2BA2" w:rsidP="003F13B2">
      <w:pPr>
        <w:pStyle w:val="ListBullet2"/>
        <w:rPr>
          <w:rFonts w:eastAsia="Calibri"/>
        </w:rPr>
      </w:pPr>
      <w:r w:rsidRPr="003A173C">
        <w:rPr>
          <w:rFonts w:eastAsia="Calibri"/>
          <w:lang w:eastAsia="en-US"/>
        </w:rPr>
        <w:t>fair – we remain objective and transparent in our decision making as we engage with older people, providers and workers in the collaborative task of upholding older people’s rights.</w:t>
      </w:r>
    </w:p>
    <w:p w14:paraId="56543E05" w14:textId="1F4CBEAA" w:rsidR="00DB2BA2" w:rsidRPr="003A173C" w:rsidRDefault="00DB2BA2" w:rsidP="003F13B2">
      <w:pPr>
        <w:pStyle w:val="ListBullet2"/>
        <w:rPr>
          <w:rFonts w:eastAsia="Calibri"/>
        </w:rPr>
      </w:pPr>
      <w:r w:rsidRPr="003A173C">
        <w:rPr>
          <w:rFonts w:eastAsia="Calibri"/>
          <w:lang w:eastAsia="en-US"/>
        </w:rPr>
        <w:t xml:space="preserve">balanced – our decisions and actions are consistent, based on assessed evidence and expert advice. </w:t>
      </w:r>
    </w:p>
    <w:p w14:paraId="78DC3010" w14:textId="5E3B3781" w:rsidR="00DB2BA2" w:rsidRPr="003A173C" w:rsidRDefault="00DB2BA2" w:rsidP="003F13B2">
      <w:pPr>
        <w:pStyle w:val="ListBullet2"/>
        <w:rPr>
          <w:rFonts w:eastAsia="Calibri"/>
        </w:rPr>
      </w:pPr>
      <w:r w:rsidRPr="003A173C">
        <w:rPr>
          <w:rFonts w:eastAsia="Calibri"/>
          <w:lang w:eastAsia="en-US"/>
        </w:rPr>
        <w:t>effective – we take the right actions to hold providers and workers accountable and everything we do is focused on outcomes to improve care and uphold older people’s rights.</w:t>
      </w:r>
    </w:p>
    <w:p w14:paraId="322CC562" w14:textId="20CD2F19" w:rsidR="00DB2BA2" w:rsidRPr="003A173C" w:rsidRDefault="00DB2BA2" w:rsidP="003F13B2">
      <w:pPr>
        <w:pStyle w:val="ListBullet"/>
        <w:rPr>
          <w:rFonts w:eastAsia="Calibri"/>
        </w:rPr>
      </w:pPr>
      <w:r w:rsidRPr="003A173C">
        <w:rPr>
          <w:rFonts w:eastAsia="Calibri"/>
          <w:lang w:eastAsia="en-US"/>
        </w:rPr>
        <w:t xml:space="preserve">recognise where providers are making efforts to comply with their legislative obligations, and engage these providers with an emphasis on continuous improvement toward the delivery of high-quality care. </w:t>
      </w:r>
    </w:p>
    <w:p w14:paraId="7A9D05E8" w14:textId="7A94A6BF" w:rsidR="00DB2BA2" w:rsidRPr="003A173C" w:rsidRDefault="00DB2BA2" w:rsidP="003F13B2">
      <w:pPr>
        <w:pStyle w:val="ListBullet"/>
        <w:rPr>
          <w:rFonts w:eastAsia="Calibri"/>
        </w:rPr>
      </w:pPr>
      <w:r w:rsidRPr="003A173C">
        <w:rPr>
          <w:rFonts w:eastAsia="Calibri"/>
          <w:lang w:eastAsia="en-US"/>
        </w:rPr>
        <w:t>recognise providers who are getting it right and exceeding expectations in the quality of the care they provide.</w:t>
      </w:r>
    </w:p>
    <w:p w14:paraId="74F89628" w14:textId="77777777" w:rsidR="00DB2BA2" w:rsidRPr="003A173C" w:rsidRDefault="00DB2BA2" w:rsidP="003F13B2">
      <w:pPr>
        <w:pStyle w:val="ListBullet"/>
        <w:rPr>
          <w:rFonts w:eastAsia="Calibri"/>
        </w:rPr>
      </w:pPr>
      <w:r w:rsidRPr="003A173C">
        <w:rPr>
          <w:rFonts w:eastAsia="Calibri"/>
          <w:lang w:eastAsia="en-US"/>
        </w:rPr>
        <w:t>monitor compliance with obligations through supervision, incentivising providers to fix problems quickly and improve their performance.</w:t>
      </w:r>
    </w:p>
    <w:p w14:paraId="229D5DD4" w14:textId="54630B32" w:rsidR="00DD24FF" w:rsidRPr="008202E1" w:rsidRDefault="00DB2BA2" w:rsidP="003F13B2">
      <w:pPr>
        <w:pStyle w:val="ListBullet"/>
        <w:rPr>
          <w:rFonts w:eastAsia="Calibri"/>
        </w:rPr>
      </w:pPr>
      <w:r w:rsidRPr="003A173C">
        <w:rPr>
          <w:rFonts w:eastAsia="Calibri"/>
          <w:lang w:eastAsia="en-US"/>
        </w:rPr>
        <w:t>take swift and effective action, including enforcement actions, where a provider is unwilling to comply with their obligations or is putting older people at risk, to deter the provider from repeating the same behaviour in the future and to put other providers on notice that such conduct will not be tolerated.</w:t>
      </w:r>
    </w:p>
    <w:p w14:paraId="28E4EF68" w14:textId="5B5C6E21" w:rsidR="00605BA0" w:rsidRPr="003A173C" w:rsidRDefault="00605BA0" w:rsidP="00B42C61">
      <w:pPr>
        <w:pStyle w:val="Heading2"/>
        <w:rPr>
          <w:rFonts w:ascii="Calibri" w:hAnsi="Calibri" w:cs="Calibri"/>
        </w:rPr>
      </w:pPr>
      <w:bookmarkStart w:id="2129" w:name="_Complaints"/>
      <w:bookmarkStart w:id="2130" w:name="_Toc216865529"/>
      <w:bookmarkEnd w:id="2129"/>
      <w:r w:rsidRPr="003A173C">
        <w:rPr>
          <w:rFonts w:ascii="Calibri" w:hAnsi="Calibri" w:cs="Calibri"/>
        </w:rPr>
        <w:t>Complaints</w:t>
      </w:r>
      <w:bookmarkEnd w:id="2111"/>
      <w:bookmarkEnd w:id="2112"/>
      <w:bookmarkEnd w:id="2113"/>
      <w:bookmarkEnd w:id="2130"/>
    </w:p>
    <w:p w14:paraId="71C14038" w14:textId="4AB7A34D" w:rsidR="00605BA0" w:rsidRPr="003A173C" w:rsidRDefault="009408B7" w:rsidP="001E340F">
      <w:pPr>
        <w:rPr>
          <w:rFonts w:cs="Calibri"/>
        </w:rPr>
      </w:pPr>
      <w:r w:rsidRPr="003A173C">
        <w:rPr>
          <w:rFonts w:cs="Calibri"/>
        </w:rPr>
        <w:t xml:space="preserve">It is a </w:t>
      </w:r>
      <w:r w:rsidR="009B7DDB" w:rsidRPr="003A173C">
        <w:rPr>
          <w:rFonts w:cs="Calibri"/>
        </w:rPr>
        <w:t>condition</w:t>
      </w:r>
      <w:r w:rsidRPr="003A173C">
        <w:rPr>
          <w:rFonts w:cs="Calibri"/>
        </w:rPr>
        <w:t xml:space="preserve"> of </w:t>
      </w:r>
      <w:r w:rsidR="009B7DDB" w:rsidRPr="003A173C">
        <w:rPr>
          <w:rFonts w:cs="Calibri"/>
        </w:rPr>
        <w:t>registration</w:t>
      </w:r>
      <w:r w:rsidRPr="003A173C">
        <w:rPr>
          <w:rFonts w:cs="Calibri"/>
        </w:rPr>
        <w:t xml:space="preserve"> for </w:t>
      </w:r>
      <w:r w:rsidR="009B7DDB" w:rsidRPr="003A173C">
        <w:rPr>
          <w:rFonts w:cs="Calibri"/>
        </w:rPr>
        <w:t>registered</w:t>
      </w:r>
      <w:r w:rsidRPr="003A173C">
        <w:rPr>
          <w:rFonts w:cs="Calibri"/>
        </w:rPr>
        <w:t xml:space="preserve"> providers that they </w:t>
      </w:r>
      <w:r w:rsidR="009B7DDB" w:rsidRPr="003A173C">
        <w:rPr>
          <w:rFonts w:cs="Calibri"/>
        </w:rPr>
        <w:t>implement</w:t>
      </w:r>
      <w:r w:rsidR="00CB41BA" w:rsidRPr="003A173C">
        <w:rPr>
          <w:rFonts w:cs="Calibri"/>
        </w:rPr>
        <w:t xml:space="preserve"> and maintain a </w:t>
      </w:r>
      <w:r w:rsidR="009B7DDB" w:rsidRPr="003A173C">
        <w:rPr>
          <w:rFonts w:cs="Calibri"/>
        </w:rPr>
        <w:t>complaints</w:t>
      </w:r>
      <w:r w:rsidR="00CB41BA" w:rsidRPr="003A173C">
        <w:rPr>
          <w:rFonts w:cs="Calibri"/>
        </w:rPr>
        <w:t xml:space="preserve"> and feedback management system</w:t>
      </w:r>
      <w:r w:rsidR="002E656C" w:rsidRPr="003A173C">
        <w:rPr>
          <w:rFonts w:cs="Calibri"/>
        </w:rPr>
        <w:t xml:space="preserve"> under section 165 of the Act</w:t>
      </w:r>
      <w:r w:rsidR="004512CA">
        <w:rPr>
          <w:rFonts w:cs="Calibri"/>
        </w:rPr>
        <w:t xml:space="preserve"> and </w:t>
      </w:r>
      <w:r w:rsidR="00BF4939">
        <w:rPr>
          <w:rFonts w:cs="Calibri"/>
        </w:rPr>
        <w:t>associated r</w:t>
      </w:r>
      <w:r w:rsidR="004512CA">
        <w:rPr>
          <w:rFonts w:cs="Calibri"/>
        </w:rPr>
        <w:t>ules</w:t>
      </w:r>
      <w:r w:rsidR="00605BA0" w:rsidRPr="003A173C">
        <w:rPr>
          <w:rFonts w:cs="Calibri"/>
        </w:rPr>
        <w:t xml:space="preserve">. This includes informing </w:t>
      </w:r>
      <w:r w:rsidR="006F1FA5" w:rsidRPr="003A173C">
        <w:rPr>
          <w:rFonts w:cs="Calibri"/>
        </w:rPr>
        <w:t>individuals</w:t>
      </w:r>
      <w:r w:rsidR="00605BA0" w:rsidRPr="003A173C">
        <w:rPr>
          <w:rFonts w:cs="Calibri"/>
        </w:rPr>
        <w:t xml:space="preserve"> (or their </w:t>
      </w:r>
      <w:r w:rsidR="006F1FA5" w:rsidRPr="003A173C">
        <w:rPr>
          <w:rFonts w:cs="Calibri"/>
        </w:rPr>
        <w:t>supporters</w:t>
      </w:r>
      <w:r w:rsidR="00605BA0" w:rsidRPr="003A173C">
        <w:rPr>
          <w:rFonts w:cs="Calibri"/>
        </w:rPr>
        <w:t xml:space="preserve">) in the </w:t>
      </w:r>
      <w:r w:rsidR="006F1FA5" w:rsidRPr="003A173C">
        <w:rPr>
          <w:rFonts w:cs="Calibri"/>
        </w:rPr>
        <w:t xml:space="preserve">service </w:t>
      </w:r>
      <w:r w:rsidR="00605BA0" w:rsidRPr="003A173C">
        <w:rPr>
          <w:rFonts w:cs="Calibri"/>
        </w:rPr>
        <w:t xml:space="preserve">agreement of internal and external mechanisms for addressing complaints made by, or on behalf of, the </w:t>
      </w:r>
      <w:r w:rsidR="006F1FA5" w:rsidRPr="003A173C">
        <w:rPr>
          <w:rFonts w:cs="Calibri"/>
        </w:rPr>
        <w:t>individual</w:t>
      </w:r>
      <w:r w:rsidR="007C0BD0" w:rsidRPr="003A173C">
        <w:rPr>
          <w:rFonts w:cs="Calibri"/>
        </w:rPr>
        <w:t xml:space="preserve">. </w:t>
      </w:r>
    </w:p>
    <w:p w14:paraId="6C5F6E23" w14:textId="69D177DD" w:rsidR="007B0EAD" w:rsidRPr="003A173C" w:rsidRDefault="007B0EAD" w:rsidP="001E340F">
      <w:pPr>
        <w:rPr>
          <w:rFonts w:cs="Calibri"/>
        </w:rPr>
      </w:pPr>
      <w:r>
        <w:rPr>
          <w:rFonts w:cs="Calibri"/>
        </w:rPr>
        <w:t xml:space="preserve">Providers registered in </w:t>
      </w:r>
      <w:r w:rsidRPr="00030EC4">
        <w:rPr>
          <w:rFonts w:eastAsia="Calibri" w:cs="Calibri"/>
        </w:rPr>
        <w:t>registration categories 4, 5 and 6</w:t>
      </w:r>
      <w:r>
        <w:rPr>
          <w:rFonts w:eastAsia="Calibri" w:cs="Calibri"/>
        </w:rPr>
        <w:t xml:space="preserve"> are also required to meet the feedback and complaints requirements under </w:t>
      </w:r>
      <w:r w:rsidR="00AC0A05">
        <w:rPr>
          <w:rFonts w:eastAsia="Calibri" w:cs="Calibri"/>
        </w:rPr>
        <w:t xml:space="preserve">Aged Care Quality </w:t>
      </w:r>
      <w:r>
        <w:rPr>
          <w:rFonts w:eastAsia="Calibri" w:cs="Calibri"/>
        </w:rPr>
        <w:t>Standard 2 (</w:t>
      </w:r>
      <w:r w:rsidRPr="00030EC4">
        <w:rPr>
          <w:rFonts w:eastAsia="Calibri" w:cs="Calibri"/>
          <w:lang w:eastAsia="en-US"/>
        </w:rPr>
        <w:t>Outcome</w:t>
      </w:r>
      <w:r>
        <w:rPr>
          <w:rFonts w:eastAsia="Calibri" w:cs="Calibri"/>
          <w:lang w:eastAsia="en-US"/>
        </w:rPr>
        <w:t>s</w:t>
      </w:r>
      <w:r w:rsidRPr="00030EC4">
        <w:rPr>
          <w:rFonts w:eastAsia="Calibri" w:cs="Calibri"/>
          <w:lang w:eastAsia="en-US"/>
        </w:rPr>
        <w:t xml:space="preserve"> 2.6</w:t>
      </w:r>
      <w:r>
        <w:rPr>
          <w:rFonts w:eastAsia="Calibri" w:cs="Calibri"/>
          <w:lang w:eastAsia="en-US"/>
        </w:rPr>
        <w:t>a and 2.6b</w:t>
      </w:r>
      <w:r>
        <w:rPr>
          <w:rFonts w:eastAsia="Calibri" w:cs="Calibri"/>
        </w:rPr>
        <w:t xml:space="preserve">). </w:t>
      </w:r>
    </w:p>
    <w:p w14:paraId="1DC9A393" w14:textId="7D279EB2" w:rsidR="00605BA0" w:rsidRPr="00721280" w:rsidRDefault="00605BA0" w:rsidP="008974DB">
      <w:pPr>
        <w:pStyle w:val="Style3"/>
      </w:pPr>
      <w:bookmarkStart w:id="2131" w:name="_Toc216865530"/>
      <w:r w:rsidRPr="00721280">
        <w:t>Internal complaints processes</w:t>
      </w:r>
      <w:bookmarkStart w:id="2132" w:name="_Hlk77072794"/>
      <w:bookmarkEnd w:id="2131"/>
    </w:p>
    <w:bookmarkEnd w:id="2132"/>
    <w:p w14:paraId="5B95025C" w14:textId="7F35A478" w:rsidR="00605BA0" w:rsidRPr="003A173C" w:rsidRDefault="00605BA0" w:rsidP="001B4B19">
      <w:pPr>
        <w:rPr>
          <w:rFonts w:cs="Calibri"/>
        </w:rPr>
      </w:pPr>
      <w:r w:rsidRPr="003A173C">
        <w:rPr>
          <w:rFonts w:cs="Calibri"/>
        </w:rPr>
        <w:t xml:space="preserve">If </w:t>
      </w:r>
      <w:r w:rsidR="00E16A2C" w:rsidRPr="003A173C">
        <w:rPr>
          <w:rFonts w:cs="Calibri"/>
        </w:rPr>
        <w:t>individual</w:t>
      </w:r>
      <w:r w:rsidRPr="003A173C">
        <w:rPr>
          <w:rFonts w:cs="Calibri"/>
        </w:rPr>
        <w:t>s have concerns</w:t>
      </w:r>
      <w:r w:rsidR="00C5699F" w:rsidRPr="003A173C">
        <w:rPr>
          <w:rFonts w:cs="Calibri"/>
        </w:rPr>
        <w:t xml:space="preserve"> about the provision of care and services under the TCP</w:t>
      </w:r>
      <w:r w:rsidRPr="003A173C">
        <w:rPr>
          <w:rFonts w:cs="Calibri"/>
        </w:rPr>
        <w:t xml:space="preserve">, they </w:t>
      </w:r>
      <w:r w:rsidR="00A97BBA" w:rsidRPr="003A173C">
        <w:rPr>
          <w:rFonts w:cs="Calibri"/>
        </w:rPr>
        <w:t>are to</w:t>
      </w:r>
      <w:r w:rsidRPr="003A173C">
        <w:rPr>
          <w:rFonts w:cs="Calibri"/>
        </w:rPr>
        <w:t xml:space="preserve"> be encouraged to approach the service provider</w:t>
      </w:r>
      <w:r w:rsidR="0092499F" w:rsidRPr="003A173C">
        <w:rPr>
          <w:rFonts w:cs="Calibri"/>
        </w:rPr>
        <w:t xml:space="preserve"> (this could be the registered provider themselves or an associated provider providing TCP on behalf of the registered provider)</w:t>
      </w:r>
      <w:r w:rsidRPr="003A173C">
        <w:rPr>
          <w:rFonts w:cs="Calibri"/>
        </w:rPr>
        <w:t xml:space="preserve"> in the first instance. In most </w:t>
      </w:r>
      <w:r w:rsidR="00680721" w:rsidRPr="003A173C">
        <w:rPr>
          <w:rFonts w:cs="Calibri"/>
        </w:rPr>
        <w:t>cases,</w:t>
      </w:r>
      <w:r w:rsidRPr="003A173C">
        <w:rPr>
          <w:rFonts w:cs="Calibri"/>
        </w:rPr>
        <w:t xml:space="preserve"> the service provider is best placed to </w:t>
      </w:r>
      <w:r w:rsidRPr="003A173C">
        <w:rPr>
          <w:rFonts w:cs="Calibri"/>
        </w:rPr>
        <w:lastRenderedPageBreak/>
        <w:t xml:space="preserve">resolve complaints and alleviate </w:t>
      </w:r>
      <w:r w:rsidR="00AB242E">
        <w:rPr>
          <w:rFonts w:cs="Calibri"/>
        </w:rPr>
        <w:t>the</w:t>
      </w:r>
      <w:r w:rsidRPr="003A173C">
        <w:rPr>
          <w:rFonts w:cs="Calibri"/>
        </w:rPr>
        <w:t xml:space="preserve"> concerns of </w:t>
      </w:r>
      <w:r w:rsidR="000D5EE9" w:rsidRPr="003A173C">
        <w:rPr>
          <w:rFonts w:cs="Calibri"/>
        </w:rPr>
        <w:t>individuals</w:t>
      </w:r>
      <w:r w:rsidRPr="003A173C">
        <w:rPr>
          <w:rFonts w:cs="Calibri"/>
        </w:rPr>
        <w:t>. Service providers must handle any complaints fairly, promptly, confidentially and without retribution.</w:t>
      </w:r>
    </w:p>
    <w:p w14:paraId="7E8879F4" w14:textId="1653FEA1" w:rsidR="00605BA0" w:rsidRPr="003A173C" w:rsidRDefault="00605BA0" w:rsidP="001B4B19">
      <w:pPr>
        <w:rPr>
          <w:rFonts w:cs="Calibri"/>
        </w:rPr>
      </w:pPr>
      <w:r w:rsidRPr="003A173C">
        <w:rPr>
          <w:rFonts w:cs="Calibri"/>
        </w:rPr>
        <w:t xml:space="preserve">Complaints should be used positively to monitor and improve the quality of services provided. Actively encouraging </w:t>
      </w:r>
      <w:r w:rsidR="000E29D8" w:rsidRPr="003A173C">
        <w:rPr>
          <w:rFonts w:cs="Calibri"/>
        </w:rPr>
        <w:t>individuals</w:t>
      </w:r>
      <w:r w:rsidRPr="003A173C">
        <w:rPr>
          <w:rFonts w:cs="Calibri"/>
        </w:rPr>
        <w:t xml:space="preserve"> to provide feedback, both positive and negative, and duly considering this feedback will improve services and provide </w:t>
      </w:r>
      <w:r w:rsidR="0057433B" w:rsidRPr="003A173C">
        <w:rPr>
          <w:rFonts w:cs="Calibri"/>
        </w:rPr>
        <w:t xml:space="preserve">opportunities for </w:t>
      </w:r>
      <w:r w:rsidRPr="003A173C">
        <w:rPr>
          <w:rFonts w:cs="Calibri"/>
        </w:rPr>
        <w:t>continuous improvement.</w:t>
      </w:r>
    </w:p>
    <w:p w14:paraId="54BB937B" w14:textId="5BEC5790" w:rsidR="00AF4E89" w:rsidRPr="003A173C" w:rsidRDefault="00594018" w:rsidP="001B4B19">
      <w:pPr>
        <w:rPr>
          <w:rFonts w:cs="Calibri"/>
        </w:rPr>
      </w:pPr>
      <w:r w:rsidRPr="003A173C">
        <w:rPr>
          <w:rFonts w:cs="Calibri"/>
        </w:rPr>
        <w:t>TCP</w:t>
      </w:r>
      <w:r w:rsidR="00A137C4" w:rsidRPr="003A173C">
        <w:rPr>
          <w:rFonts w:cs="Calibri"/>
        </w:rPr>
        <w:t xml:space="preserve"> registered providers</w:t>
      </w:r>
      <w:r w:rsidR="00605BA0" w:rsidRPr="003A173C">
        <w:rPr>
          <w:rFonts w:cs="Calibri"/>
        </w:rPr>
        <w:t xml:space="preserve"> </w:t>
      </w:r>
      <w:r w:rsidR="00445C09" w:rsidRPr="003A173C">
        <w:rPr>
          <w:rFonts w:cs="Calibri"/>
        </w:rPr>
        <w:t xml:space="preserve">and </w:t>
      </w:r>
      <w:r w:rsidR="002C3677" w:rsidRPr="003A173C">
        <w:rPr>
          <w:rFonts w:cs="Calibri"/>
        </w:rPr>
        <w:t xml:space="preserve">associated providers </w:t>
      </w:r>
      <w:r w:rsidR="00605BA0" w:rsidRPr="003A173C">
        <w:rPr>
          <w:rFonts w:cs="Calibri"/>
        </w:rPr>
        <w:t xml:space="preserve">must also provide information in </w:t>
      </w:r>
      <w:r w:rsidR="00253E07" w:rsidRPr="003A173C">
        <w:rPr>
          <w:rFonts w:cs="Calibri"/>
        </w:rPr>
        <w:t>service agreements</w:t>
      </w:r>
      <w:r w:rsidR="00605BA0" w:rsidRPr="003A173C">
        <w:rPr>
          <w:rFonts w:cs="Calibri"/>
        </w:rPr>
        <w:t xml:space="preserve"> about external complaint mechanisms and relevant contact information, such as telephone numbers of </w:t>
      </w:r>
      <w:r w:rsidR="00575ED8" w:rsidRPr="003A173C">
        <w:rPr>
          <w:rFonts w:cs="Calibri"/>
        </w:rPr>
        <w:t>S</w:t>
      </w:r>
      <w:r w:rsidR="00605BA0" w:rsidRPr="003A173C">
        <w:rPr>
          <w:rFonts w:cs="Calibri"/>
        </w:rPr>
        <w:t>tate</w:t>
      </w:r>
      <w:r w:rsidR="00C71C4E" w:rsidRPr="003A173C">
        <w:rPr>
          <w:rFonts w:cs="Calibri"/>
        </w:rPr>
        <w:t>/</w:t>
      </w:r>
      <w:r w:rsidR="00575ED8" w:rsidRPr="003A173C">
        <w:rPr>
          <w:rFonts w:cs="Calibri"/>
        </w:rPr>
        <w:t>T</w:t>
      </w:r>
      <w:r w:rsidR="00605BA0" w:rsidRPr="003A173C">
        <w:rPr>
          <w:rFonts w:cs="Calibri"/>
        </w:rPr>
        <w:t xml:space="preserve">erritory </w:t>
      </w:r>
      <w:r w:rsidR="00C71C4E" w:rsidRPr="003A173C">
        <w:rPr>
          <w:rFonts w:cs="Calibri"/>
        </w:rPr>
        <w:t xml:space="preserve">or </w:t>
      </w:r>
      <w:r w:rsidR="00931641" w:rsidRPr="003A173C">
        <w:rPr>
          <w:rFonts w:cs="Calibri"/>
        </w:rPr>
        <w:t xml:space="preserve">Australian </w:t>
      </w:r>
      <w:r w:rsidR="00C71C4E" w:rsidRPr="003A173C">
        <w:rPr>
          <w:rFonts w:cs="Calibri"/>
        </w:rPr>
        <w:t xml:space="preserve">Government </w:t>
      </w:r>
      <w:r w:rsidR="00605BA0" w:rsidRPr="003A173C">
        <w:rPr>
          <w:rFonts w:cs="Calibri"/>
        </w:rPr>
        <w:t>complaints bodies.</w:t>
      </w:r>
    </w:p>
    <w:p w14:paraId="3B15A9AE" w14:textId="60D9607B" w:rsidR="00605BA0" w:rsidRPr="00721280" w:rsidRDefault="00605BA0" w:rsidP="008974DB">
      <w:pPr>
        <w:pStyle w:val="Style3"/>
      </w:pPr>
      <w:bookmarkStart w:id="2133" w:name="_Toc216865531"/>
      <w:r w:rsidRPr="00721280">
        <w:t>External complaints processes</w:t>
      </w:r>
      <w:bookmarkEnd w:id="2133"/>
    </w:p>
    <w:p w14:paraId="491B4370" w14:textId="16B19A4F" w:rsidR="00286CF8" w:rsidRPr="003A173C" w:rsidRDefault="00605BA0" w:rsidP="001E340F">
      <w:pPr>
        <w:rPr>
          <w:rFonts w:cs="Calibri"/>
          <w:snapToGrid w:val="0"/>
        </w:rPr>
      </w:pPr>
      <w:r w:rsidRPr="003A173C">
        <w:rPr>
          <w:rFonts w:cs="Calibri"/>
          <w:snapToGrid w:val="0"/>
        </w:rPr>
        <w:t xml:space="preserve">If </w:t>
      </w:r>
      <w:r w:rsidR="0008682F" w:rsidRPr="003A173C">
        <w:rPr>
          <w:rFonts w:cs="Calibri"/>
          <w:snapToGrid w:val="0"/>
        </w:rPr>
        <w:t>individuals</w:t>
      </w:r>
      <w:r w:rsidRPr="003A173C">
        <w:rPr>
          <w:rFonts w:cs="Calibri"/>
          <w:snapToGrid w:val="0"/>
        </w:rPr>
        <w:t xml:space="preserve"> (or their </w:t>
      </w:r>
      <w:r w:rsidR="00737E69" w:rsidRPr="003A173C">
        <w:rPr>
          <w:rFonts w:cs="Calibri"/>
          <w:snapToGrid w:val="0"/>
        </w:rPr>
        <w:t>supporters</w:t>
      </w:r>
      <w:r w:rsidRPr="003A173C">
        <w:rPr>
          <w:rFonts w:cs="Calibri"/>
          <w:snapToGrid w:val="0"/>
        </w:rPr>
        <w:t>) cannot resolve their dispute with the</w:t>
      </w:r>
      <w:r w:rsidR="00EB2F2F" w:rsidRPr="003A173C">
        <w:rPr>
          <w:rFonts w:cs="Calibri"/>
          <w:snapToGrid w:val="0"/>
        </w:rPr>
        <w:t xml:space="preserve"> transition care</w:t>
      </w:r>
      <w:r w:rsidRPr="003A173C">
        <w:rPr>
          <w:rFonts w:cs="Calibri"/>
          <w:snapToGrid w:val="0"/>
        </w:rPr>
        <w:t xml:space="preserve"> </w:t>
      </w:r>
      <w:r w:rsidR="00BB6970" w:rsidRPr="003A173C">
        <w:rPr>
          <w:rFonts w:cs="Calibri"/>
          <w:snapToGrid w:val="0"/>
        </w:rPr>
        <w:t>registered</w:t>
      </w:r>
      <w:r w:rsidRPr="003A173C">
        <w:rPr>
          <w:rFonts w:cs="Calibri"/>
          <w:snapToGrid w:val="0"/>
        </w:rPr>
        <w:t xml:space="preserve"> provider, </w:t>
      </w:r>
      <w:r w:rsidR="00EB2F2F" w:rsidRPr="003A173C">
        <w:rPr>
          <w:rFonts w:cs="Calibri"/>
          <w:snapToGrid w:val="0"/>
        </w:rPr>
        <w:t xml:space="preserve">they may choose to direct their complaints to </w:t>
      </w:r>
      <w:r w:rsidR="00630421" w:rsidRPr="003A173C">
        <w:rPr>
          <w:rFonts w:cs="Calibri"/>
          <w:snapToGrid w:val="0"/>
        </w:rPr>
        <w:t xml:space="preserve">either </w:t>
      </w:r>
      <w:r w:rsidR="00EB2F2F" w:rsidRPr="003A173C">
        <w:rPr>
          <w:rFonts w:cs="Calibri"/>
          <w:snapToGrid w:val="0"/>
        </w:rPr>
        <w:t xml:space="preserve">the Commission (see </w:t>
      </w:r>
      <w:r w:rsidR="00EB2F2F" w:rsidRPr="003A173C">
        <w:rPr>
          <w:rFonts w:cs="Calibri"/>
          <w:i/>
          <w:iCs/>
          <w:snapToGrid w:val="0"/>
        </w:rPr>
        <w:t>section</w:t>
      </w:r>
      <w:r w:rsidR="00804A6C" w:rsidRPr="003A173C">
        <w:rPr>
          <w:rFonts w:cs="Calibri"/>
          <w:i/>
          <w:iCs/>
          <w:snapToGrid w:val="0"/>
        </w:rPr>
        <w:t> </w:t>
      </w:r>
      <w:r w:rsidR="00A97BBA" w:rsidRPr="003A173C">
        <w:rPr>
          <w:rFonts w:cs="Calibri"/>
          <w:i/>
          <w:iCs/>
          <w:snapToGrid w:val="0"/>
        </w:rPr>
        <w:t>7.</w:t>
      </w:r>
      <w:r w:rsidR="0070069C" w:rsidRPr="003A173C">
        <w:rPr>
          <w:rFonts w:cs="Calibri"/>
          <w:i/>
          <w:iCs/>
          <w:snapToGrid w:val="0"/>
        </w:rPr>
        <w:t>3</w:t>
      </w:r>
      <w:r w:rsidR="00A97BBA" w:rsidRPr="003A173C">
        <w:rPr>
          <w:rFonts w:cs="Calibri"/>
          <w:i/>
          <w:iCs/>
          <w:snapToGrid w:val="0"/>
        </w:rPr>
        <w:t>.3 </w:t>
      </w:r>
      <w:r w:rsidR="00A54D87" w:rsidRPr="003A173C">
        <w:rPr>
          <w:rFonts w:cs="Calibri"/>
          <w:i/>
          <w:iCs/>
          <w:snapToGrid w:val="0"/>
        </w:rPr>
        <w:t xml:space="preserve">The </w:t>
      </w:r>
      <w:r w:rsidR="00A97BBA" w:rsidRPr="003A173C">
        <w:rPr>
          <w:rFonts w:cs="Calibri"/>
          <w:i/>
          <w:iCs/>
          <w:snapToGrid w:val="0"/>
        </w:rPr>
        <w:t>Aged Care Quality and Safety Commission</w:t>
      </w:r>
      <w:r w:rsidR="00EB2F2F" w:rsidRPr="003A173C">
        <w:rPr>
          <w:rFonts w:cs="Calibri"/>
          <w:snapToGrid w:val="0"/>
        </w:rPr>
        <w:t xml:space="preserve">), or alternatively, the relevant </w:t>
      </w:r>
      <w:r w:rsidR="00575ED8" w:rsidRPr="003A173C">
        <w:rPr>
          <w:rFonts w:cs="Calibri"/>
          <w:snapToGrid w:val="0"/>
        </w:rPr>
        <w:t>S</w:t>
      </w:r>
      <w:r w:rsidR="00EB2F2F" w:rsidRPr="003A173C">
        <w:rPr>
          <w:rFonts w:cs="Calibri"/>
          <w:snapToGrid w:val="0"/>
        </w:rPr>
        <w:t>tate/</w:t>
      </w:r>
      <w:r w:rsidR="00575ED8" w:rsidRPr="003A173C">
        <w:rPr>
          <w:rFonts w:cs="Calibri"/>
          <w:snapToGrid w:val="0"/>
        </w:rPr>
        <w:t>T</w:t>
      </w:r>
      <w:r w:rsidR="00EB2F2F" w:rsidRPr="003A173C">
        <w:rPr>
          <w:rFonts w:cs="Calibri"/>
          <w:snapToGrid w:val="0"/>
        </w:rPr>
        <w:t>erritory ‘Health Complaints Agency’ outlined in the table below.</w:t>
      </w:r>
    </w:p>
    <w:tbl>
      <w:tblPr>
        <w:tblStyle w:val="DSSDatatablestyle1"/>
        <w:tblW w:w="9923" w:type="dxa"/>
        <w:tblInd w:w="0" w:type="dxa"/>
        <w:tblLook w:val="04E0" w:firstRow="1" w:lastRow="1" w:firstColumn="1" w:lastColumn="0" w:noHBand="0" w:noVBand="1"/>
        <w:tblDescription w:val="This table is a list of jurisidicition and health complaints agency"/>
      </w:tblPr>
      <w:tblGrid>
        <w:gridCol w:w="6975"/>
        <w:gridCol w:w="2948"/>
      </w:tblGrid>
      <w:tr w:rsidR="00605BA0" w:rsidRPr="003A173C" w14:paraId="5565E650" w14:textId="77777777" w:rsidTr="00187113">
        <w:trPr>
          <w:cnfStyle w:val="100000000000" w:firstRow="1" w:lastRow="0" w:firstColumn="0" w:lastColumn="0" w:oddVBand="0" w:evenVBand="0" w:oddHBand="0" w:evenHBand="0" w:firstRowFirstColumn="0" w:firstRowLastColumn="0" w:lastRowFirstColumn="0" w:lastRowLastColumn="0"/>
          <w:tblHeader/>
        </w:trPr>
        <w:tc>
          <w:tcPr>
            <w:tcW w:w="3369" w:type="dxa"/>
          </w:tcPr>
          <w:p w14:paraId="35F7079D" w14:textId="77777777" w:rsidR="00605BA0" w:rsidRPr="003A173C" w:rsidRDefault="00605BA0" w:rsidP="00187113">
            <w:pPr>
              <w:rPr>
                <w:rFonts w:cs="Calibri"/>
                <w:sz w:val="22"/>
                <w:szCs w:val="22"/>
              </w:rPr>
            </w:pPr>
            <w:r w:rsidRPr="003A173C">
              <w:rPr>
                <w:rFonts w:cs="Calibri"/>
                <w:sz w:val="22"/>
                <w:szCs w:val="22"/>
              </w:rPr>
              <w:t>Jurisdiction</w:t>
            </w:r>
          </w:p>
        </w:tc>
        <w:tc>
          <w:tcPr>
            <w:tcW w:w="0" w:type="dxa"/>
          </w:tcPr>
          <w:p w14:paraId="60EBE966" w14:textId="77777777" w:rsidR="00605BA0" w:rsidRPr="003A173C" w:rsidRDefault="00605BA0" w:rsidP="00187113">
            <w:pPr>
              <w:rPr>
                <w:rFonts w:cs="Calibri"/>
                <w:sz w:val="22"/>
                <w:szCs w:val="22"/>
              </w:rPr>
            </w:pPr>
            <w:r w:rsidRPr="003A173C">
              <w:rPr>
                <w:rFonts w:cs="Calibri"/>
                <w:sz w:val="22"/>
                <w:szCs w:val="22"/>
              </w:rPr>
              <w:t>Health Complaints Agency</w:t>
            </w:r>
          </w:p>
        </w:tc>
      </w:tr>
      <w:tr w:rsidR="00605BA0" w:rsidRPr="003A173C" w14:paraId="3E1B3D65" w14:textId="77777777" w:rsidTr="00187113">
        <w:trPr>
          <w:trHeight w:val="454"/>
        </w:trPr>
        <w:tc>
          <w:tcPr>
            <w:tcW w:w="3369" w:type="dxa"/>
          </w:tcPr>
          <w:p w14:paraId="4141795B" w14:textId="77777777" w:rsidR="00605BA0" w:rsidRPr="003A173C" w:rsidRDefault="00605BA0" w:rsidP="00187113">
            <w:pPr>
              <w:spacing w:before="0" w:after="60"/>
              <w:rPr>
                <w:rFonts w:cs="Calibri"/>
                <w:szCs w:val="20"/>
              </w:rPr>
            </w:pPr>
            <w:r w:rsidRPr="003A173C">
              <w:rPr>
                <w:rFonts w:cs="Calibri"/>
                <w:szCs w:val="20"/>
              </w:rPr>
              <w:t>New South Wales</w:t>
            </w:r>
          </w:p>
        </w:tc>
        <w:tc>
          <w:tcPr>
            <w:tcW w:w="0" w:type="dxa"/>
          </w:tcPr>
          <w:p w14:paraId="07D9804A" w14:textId="77777777" w:rsidR="00605BA0" w:rsidRPr="003A173C" w:rsidRDefault="00605BA0" w:rsidP="00187113">
            <w:pPr>
              <w:spacing w:before="0" w:after="60"/>
              <w:rPr>
                <w:rFonts w:cs="Calibri"/>
                <w:szCs w:val="20"/>
              </w:rPr>
            </w:pPr>
            <w:r w:rsidRPr="003A173C">
              <w:rPr>
                <w:rFonts w:cs="Calibri"/>
                <w:szCs w:val="20"/>
              </w:rPr>
              <w:t>Health Care Complaints Commission</w:t>
            </w:r>
          </w:p>
        </w:tc>
      </w:tr>
      <w:tr w:rsidR="00605BA0" w:rsidRPr="003A173C" w14:paraId="3E0F5C52"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360F3378" w14:textId="77777777" w:rsidR="00605BA0" w:rsidRPr="003A173C" w:rsidRDefault="00605BA0" w:rsidP="00187113">
            <w:pPr>
              <w:spacing w:before="0" w:after="60"/>
              <w:rPr>
                <w:rFonts w:cs="Calibri"/>
                <w:szCs w:val="20"/>
              </w:rPr>
            </w:pPr>
            <w:r w:rsidRPr="003A173C">
              <w:rPr>
                <w:rFonts w:cs="Calibri"/>
                <w:szCs w:val="20"/>
              </w:rPr>
              <w:t>Victoria</w:t>
            </w:r>
          </w:p>
        </w:tc>
        <w:tc>
          <w:tcPr>
            <w:tcW w:w="0" w:type="dxa"/>
          </w:tcPr>
          <w:p w14:paraId="00364C07" w14:textId="77777777" w:rsidR="00605BA0" w:rsidRPr="003A173C" w:rsidRDefault="00605BA0" w:rsidP="00187113">
            <w:pPr>
              <w:spacing w:before="0" w:after="60"/>
              <w:rPr>
                <w:rFonts w:cs="Calibri"/>
                <w:szCs w:val="20"/>
              </w:rPr>
            </w:pPr>
            <w:r w:rsidRPr="003A173C">
              <w:rPr>
                <w:rFonts w:cs="Calibri"/>
                <w:szCs w:val="20"/>
              </w:rPr>
              <w:t xml:space="preserve">Health </w:t>
            </w:r>
            <w:r w:rsidR="00983BDE" w:rsidRPr="003A173C">
              <w:rPr>
                <w:rFonts w:cs="Calibri"/>
                <w:szCs w:val="20"/>
              </w:rPr>
              <w:t>Complaints</w:t>
            </w:r>
            <w:r w:rsidRPr="003A173C">
              <w:rPr>
                <w:rFonts w:cs="Calibri"/>
                <w:szCs w:val="20"/>
              </w:rPr>
              <w:t xml:space="preserve"> Commissioner</w:t>
            </w:r>
          </w:p>
        </w:tc>
      </w:tr>
      <w:tr w:rsidR="00605BA0" w:rsidRPr="003A173C" w14:paraId="2FD617C1" w14:textId="77777777" w:rsidTr="00187113">
        <w:trPr>
          <w:trHeight w:val="454"/>
        </w:trPr>
        <w:tc>
          <w:tcPr>
            <w:tcW w:w="3369" w:type="dxa"/>
          </w:tcPr>
          <w:p w14:paraId="6E557CF8" w14:textId="77777777" w:rsidR="00605BA0" w:rsidRPr="003A173C" w:rsidRDefault="00605BA0" w:rsidP="00187113">
            <w:pPr>
              <w:spacing w:before="0" w:after="60"/>
              <w:rPr>
                <w:rFonts w:cs="Calibri"/>
                <w:szCs w:val="20"/>
              </w:rPr>
            </w:pPr>
            <w:r w:rsidRPr="003A173C">
              <w:rPr>
                <w:rFonts w:cs="Calibri"/>
                <w:szCs w:val="20"/>
              </w:rPr>
              <w:t>Queensland</w:t>
            </w:r>
          </w:p>
        </w:tc>
        <w:tc>
          <w:tcPr>
            <w:tcW w:w="0" w:type="dxa"/>
          </w:tcPr>
          <w:p w14:paraId="60A833BF" w14:textId="77777777" w:rsidR="00605BA0" w:rsidRPr="003A173C" w:rsidRDefault="00605BA0" w:rsidP="00187113">
            <w:pPr>
              <w:spacing w:before="0" w:after="60"/>
              <w:rPr>
                <w:rFonts w:cs="Calibri"/>
                <w:szCs w:val="20"/>
              </w:rPr>
            </w:pPr>
            <w:r w:rsidRPr="003A173C">
              <w:rPr>
                <w:rFonts w:cs="Calibri"/>
                <w:szCs w:val="20"/>
              </w:rPr>
              <w:t>The Office of the Health Ombudsman</w:t>
            </w:r>
          </w:p>
        </w:tc>
      </w:tr>
      <w:tr w:rsidR="00605BA0" w:rsidRPr="003A173C" w14:paraId="68F0EC66"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35A1A22" w14:textId="77777777" w:rsidR="00605BA0" w:rsidRPr="003A173C" w:rsidRDefault="00605BA0" w:rsidP="00187113">
            <w:pPr>
              <w:spacing w:before="0" w:after="60"/>
              <w:rPr>
                <w:rFonts w:cs="Calibri"/>
                <w:szCs w:val="20"/>
              </w:rPr>
            </w:pPr>
            <w:r w:rsidRPr="003A173C">
              <w:rPr>
                <w:rFonts w:cs="Calibri"/>
                <w:szCs w:val="20"/>
              </w:rPr>
              <w:t>South Australia</w:t>
            </w:r>
          </w:p>
        </w:tc>
        <w:tc>
          <w:tcPr>
            <w:tcW w:w="0" w:type="dxa"/>
          </w:tcPr>
          <w:p w14:paraId="72A96E14"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620AB257" w14:textId="77777777" w:rsidTr="00187113">
        <w:trPr>
          <w:trHeight w:val="454"/>
        </w:trPr>
        <w:tc>
          <w:tcPr>
            <w:tcW w:w="3369" w:type="dxa"/>
          </w:tcPr>
          <w:p w14:paraId="7DA9FE0F" w14:textId="77777777" w:rsidR="00605BA0" w:rsidRPr="003A173C" w:rsidRDefault="00605BA0" w:rsidP="00187113">
            <w:pPr>
              <w:spacing w:before="0" w:after="60"/>
              <w:rPr>
                <w:rFonts w:cs="Calibri"/>
                <w:szCs w:val="20"/>
              </w:rPr>
            </w:pPr>
            <w:r w:rsidRPr="003A173C">
              <w:rPr>
                <w:rFonts w:cs="Calibri"/>
                <w:szCs w:val="20"/>
              </w:rPr>
              <w:t>Western Australia</w:t>
            </w:r>
          </w:p>
        </w:tc>
        <w:tc>
          <w:tcPr>
            <w:tcW w:w="0" w:type="dxa"/>
          </w:tcPr>
          <w:p w14:paraId="7D84930F" w14:textId="77777777" w:rsidR="00605BA0" w:rsidRPr="003A173C" w:rsidRDefault="00605BA0" w:rsidP="00187113">
            <w:pPr>
              <w:spacing w:before="0" w:after="60"/>
              <w:rPr>
                <w:rFonts w:cs="Calibri"/>
                <w:szCs w:val="20"/>
              </w:rPr>
            </w:pPr>
            <w:r w:rsidRPr="003A173C">
              <w:rPr>
                <w:rFonts w:cs="Calibri"/>
                <w:szCs w:val="20"/>
              </w:rPr>
              <w:t>Health and Disability Services Complaints Office</w:t>
            </w:r>
          </w:p>
        </w:tc>
      </w:tr>
      <w:tr w:rsidR="00605BA0" w:rsidRPr="003A173C" w14:paraId="33013E63" w14:textId="77777777" w:rsidTr="00187113">
        <w:trPr>
          <w:cnfStyle w:val="000000010000" w:firstRow="0" w:lastRow="0" w:firstColumn="0" w:lastColumn="0" w:oddVBand="0" w:evenVBand="0" w:oddHBand="0" w:evenHBand="1" w:firstRowFirstColumn="0" w:firstRowLastColumn="0" w:lastRowFirstColumn="0" w:lastRowLastColumn="0"/>
          <w:trHeight w:val="454"/>
        </w:trPr>
        <w:tc>
          <w:tcPr>
            <w:tcW w:w="3369" w:type="dxa"/>
          </w:tcPr>
          <w:p w14:paraId="4F68923D" w14:textId="77777777" w:rsidR="00605BA0" w:rsidRPr="003A173C" w:rsidRDefault="00605BA0" w:rsidP="00187113">
            <w:pPr>
              <w:spacing w:before="0" w:after="60"/>
              <w:rPr>
                <w:rFonts w:cs="Calibri"/>
                <w:szCs w:val="20"/>
              </w:rPr>
            </w:pPr>
            <w:r w:rsidRPr="003A173C">
              <w:rPr>
                <w:rFonts w:cs="Calibri"/>
                <w:szCs w:val="20"/>
              </w:rPr>
              <w:t>Tasmania</w:t>
            </w:r>
          </w:p>
        </w:tc>
        <w:tc>
          <w:tcPr>
            <w:tcW w:w="0" w:type="dxa"/>
          </w:tcPr>
          <w:p w14:paraId="79BF17CE" w14:textId="77777777" w:rsidR="00605BA0" w:rsidRPr="003A173C" w:rsidRDefault="00605BA0" w:rsidP="00187113">
            <w:pPr>
              <w:spacing w:before="0" w:after="60"/>
              <w:rPr>
                <w:rFonts w:cs="Calibri"/>
                <w:szCs w:val="20"/>
              </w:rPr>
            </w:pPr>
            <w:r w:rsidRPr="003A173C">
              <w:rPr>
                <w:rFonts w:cs="Calibri"/>
                <w:szCs w:val="20"/>
              </w:rPr>
              <w:t>Health Complaints Commissioner</w:t>
            </w:r>
            <w:r w:rsidR="00A57055" w:rsidRPr="003A173C">
              <w:rPr>
                <w:rFonts w:cs="Calibri"/>
                <w:szCs w:val="20"/>
              </w:rPr>
              <w:t xml:space="preserve"> Tasmania</w:t>
            </w:r>
          </w:p>
        </w:tc>
      </w:tr>
      <w:tr w:rsidR="00605BA0" w:rsidRPr="003A173C" w14:paraId="4659C372" w14:textId="77777777" w:rsidTr="00187113">
        <w:trPr>
          <w:trHeight w:val="454"/>
        </w:trPr>
        <w:tc>
          <w:tcPr>
            <w:tcW w:w="3369" w:type="dxa"/>
          </w:tcPr>
          <w:p w14:paraId="51C31BE1" w14:textId="77777777" w:rsidR="00605BA0" w:rsidRPr="003A173C" w:rsidRDefault="00605BA0" w:rsidP="00187113">
            <w:pPr>
              <w:spacing w:before="0" w:after="60"/>
              <w:rPr>
                <w:rFonts w:cs="Calibri"/>
                <w:szCs w:val="20"/>
              </w:rPr>
            </w:pPr>
            <w:r w:rsidRPr="003A173C">
              <w:rPr>
                <w:rFonts w:cs="Calibri"/>
                <w:szCs w:val="20"/>
              </w:rPr>
              <w:t>Northern Territory</w:t>
            </w:r>
          </w:p>
        </w:tc>
        <w:tc>
          <w:tcPr>
            <w:tcW w:w="0" w:type="dxa"/>
          </w:tcPr>
          <w:p w14:paraId="45115E41" w14:textId="77777777" w:rsidR="00605BA0" w:rsidRPr="003A173C" w:rsidRDefault="00605BA0" w:rsidP="00187113">
            <w:pPr>
              <w:spacing w:before="0" w:after="60"/>
              <w:rPr>
                <w:rFonts w:cs="Calibri"/>
                <w:szCs w:val="20"/>
              </w:rPr>
            </w:pPr>
            <w:r w:rsidRPr="003A173C">
              <w:rPr>
                <w:rFonts w:cs="Calibri"/>
                <w:szCs w:val="20"/>
              </w:rPr>
              <w:t>Health and Community Services Complaints Commissioner</w:t>
            </w:r>
          </w:p>
        </w:tc>
      </w:tr>
      <w:tr w:rsidR="00605BA0" w:rsidRPr="003A173C" w14:paraId="70659F29" w14:textId="77777777" w:rsidTr="00187113">
        <w:trPr>
          <w:cnfStyle w:val="010000000000" w:firstRow="0" w:lastRow="1" w:firstColumn="0" w:lastColumn="0" w:oddVBand="0" w:evenVBand="0" w:oddHBand="0" w:evenHBand="0" w:firstRowFirstColumn="0" w:firstRowLastColumn="0" w:lastRowFirstColumn="0" w:lastRowLastColumn="0"/>
          <w:trHeight w:val="454"/>
        </w:trPr>
        <w:tc>
          <w:tcPr>
            <w:tcW w:w="3369" w:type="dxa"/>
            <w:shd w:val="clear" w:color="auto" w:fill="F5F5F5"/>
          </w:tcPr>
          <w:p w14:paraId="7CABD277" w14:textId="77777777" w:rsidR="00605BA0" w:rsidRPr="003A173C" w:rsidRDefault="00605BA0" w:rsidP="00187113">
            <w:pPr>
              <w:spacing w:before="0" w:after="60"/>
              <w:rPr>
                <w:rFonts w:cs="Calibri"/>
                <w:b w:val="0"/>
                <w:szCs w:val="20"/>
              </w:rPr>
            </w:pPr>
            <w:r w:rsidRPr="003A173C">
              <w:rPr>
                <w:rFonts w:cs="Calibri"/>
                <w:b w:val="0"/>
                <w:szCs w:val="20"/>
              </w:rPr>
              <w:t>Australian Capital Territory</w:t>
            </w:r>
          </w:p>
        </w:tc>
        <w:tc>
          <w:tcPr>
            <w:tcW w:w="0" w:type="dxa"/>
            <w:shd w:val="clear" w:color="auto" w:fill="F5F5F5"/>
          </w:tcPr>
          <w:p w14:paraId="66B60834" w14:textId="77777777" w:rsidR="00605BA0" w:rsidRPr="003A173C" w:rsidRDefault="00E14BA3" w:rsidP="00187113">
            <w:pPr>
              <w:spacing w:before="0" w:after="60"/>
              <w:rPr>
                <w:rFonts w:cs="Calibri"/>
                <w:b w:val="0"/>
                <w:szCs w:val="20"/>
              </w:rPr>
            </w:pPr>
            <w:r w:rsidRPr="003A173C">
              <w:rPr>
                <w:rFonts w:cs="Calibri"/>
                <w:b w:val="0"/>
                <w:szCs w:val="20"/>
              </w:rPr>
              <w:t xml:space="preserve">ACT Human Rights Commission </w:t>
            </w:r>
          </w:p>
        </w:tc>
      </w:tr>
    </w:tbl>
    <w:p w14:paraId="2CA4DBCD" w14:textId="36797C1A" w:rsidR="001D0D88" w:rsidRPr="00721280" w:rsidRDefault="00392ED2" w:rsidP="008974DB">
      <w:pPr>
        <w:pStyle w:val="Style3"/>
      </w:pPr>
      <w:bookmarkStart w:id="2134" w:name="_Toc216865532"/>
      <w:r w:rsidRPr="00721280">
        <w:t>The</w:t>
      </w:r>
      <w:r w:rsidR="001D0D88" w:rsidRPr="00721280">
        <w:t xml:space="preserve"> Aged Care Quality and Safety Commission</w:t>
      </w:r>
      <w:r w:rsidR="005F240A" w:rsidRPr="00721280">
        <w:t xml:space="preserve"> (the Commission)</w:t>
      </w:r>
      <w:bookmarkEnd w:id="2134"/>
      <w:r w:rsidR="001D0D88" w:rsidRPr="00721280">
        <w:t xml:space="preserve"> </w:t>
      </w:r>
    </w:p>
    <w:p w14:paraId="4B912522" w14:textId="1E722A0E" w:rsidR="002D586B" w:rsidRPr="003A173C" w:rsidRDefault="00C71C4E" w:rsidP="001E340F">
      <w:pPr>
        <w:rPr>
          <w:rFonts w:cs="Calibri"/>
        </w:rPr>
      </w:pPr>
      <w:r w:rsidRPr="003A173C">
        <w:rPr>
          <w:rFonts w:cs="Calibri"/>
        </w:rPr>
        <w:t>T</w:t>
      </w:r>
      <w:r w:rsidR="00C8378A" w:rsidRPr="003A173C">
        <w:rPr>
          <w:rFonts w:cs="Calibri"/>
        </w:rPr>
        <w:t xml:space="preserve">he </w:t>
      </w:r>
      <w:r w:rsidR="00DA1336" w:rsidRPr="003A173C">
        <w:rPr>
          <w:rFonts w:cs="Calibri"/>
        </w:rPr>
        <w:t>Aged Care Quality and Safety Commission</w:t>
      </w:r>
      <w:r w:rsidR="00936422" w:rsidRPr="003A173C">
        <w:rPr>
          <w:rFonts w:cs="Calibri"/>
        </w:rPr>
        <w:t xml:space="preserve"> replaced the Australian Aged Care Quality Agency and the Aged Care Complaints Commissioner on 1 January 2019. The Commission’s</w:t>
      </w:r>
      <w:r w:rsidR="00DA1336" w:rsidRPr="003A173C">
        <w:rPr>
          <w:rFonts w:cs="Calibri"/>
        </w:rPr>
        <w:t xml:space="preserve"> role</w:t>
      </w:r>
      <w:r w:rsidR="0064216F" w:rsidRPr="003A173C">
        <w:rPr>
          <w:rFonts w:cs="Calibri"/>
        </w:rPr>
        <w:t xml:space="preserve"> as the </w:t>
      </w:r>
      <w:r w:rsidR="00931641" w:rsidRPr="003A173C">
        <w:rPr>
          <w:rFonts w:cs="Calibri"/>
        </w:rPr>
        <w:t>Australian</w:t>
      </w:r>
      <w:r w:rsidR="00AB2CCE" w:rsidRPr="003A173C">
        <w:rPr>
          <w:rFonts w:cs="Calibri"/>
        </w:rPr>
        <w:t xml:space="preserve"> Government</w:t>
      </w:r>
      <w:r w:rsidR="0064216F" w:rsidRPr="003A173C">
        <w:rPr>
          <w:rFonts w:cs="Calibri"/>
        </w:rPr>
        <w:t xml:space="preserve"> regulator of aged care service provision</w:t>
      </w:r>
      <w:r w:rsidR="00DA1336" w:rsidRPr="003A173C">
        <w:rPr>
          <w:rFonts w:cs="Calibri"/>
        </w:rPr>
        <w:t xml:space="preserve"> is to protect and enhance the safety, health, </w:t>
      </w:r>
      <w:r w:rsidR="00804A6C" w:rsidRPr="003A173C">
        <w:rPr>
          <w:rFonts w:cs="Calibri"/>
        </w:rPr>
        <w:t>well-being,</w:t>
      </w:r>
      <w:r w:rsidR="00DA1336" w:rsidRPr="003A173C">
        <w:rPr>
          <w:rFonts w:cs="Calibri"/>
        </w:rPr>
        <w:t xml:space="preserve"> and quality of life </w:t>
      </w:r>
      <w:r w:rsidR="00E03962" w:rsidRPr="003A173C">
        <w:rPr>
          <w:rFonts w:cs="Calibri"/>
        </w:rPr>
        <w:t>for</w:t>
      </w:r>
      <w:r w:rsidR="00DA1336" w:rsidRPr="003A173C">
        <w:rPr>
          <w:rFonts w:cs="Calibri"/>
        </w:rPr>
        <w:t xml:space="preserve"> people receiving aged care.</w:t>
      </w:r>
      <w:r w:rsidR="00997841" w:rsidRPr="003A173C">
        <w:rPr>
          <w:rFonts w:cs="Calibri"/>
        </w:rPr>
        <w:t xml:space="preserve"> The Commission</w:t>
      </w:r>
      <w:r w:rsidR="004B64A8" w:rsidRPr="003A173C">
        <w:rPr>
          <w:rFonts w:cs="Calibri"/>
        </w:rPr>
        <w:t xml:space="preserve"> </w:t>
      </w:r>
      <w:r w:rsidR="00097713" w:rsidRPr="003A173C">
        <w:rPr>
          <w:rFonts w:cs="Calibri"/>
        </w:rPr>
        <w:t>provides</w:t>
      </w:r>
      <w:r w:rsidR="00CF7430" w:rsidRPr="003A173C">
        <w:rPr>
          <w:rFonts w:cs="Calibri"/>
        </w:rPr>
        <w:t xml:space="preserve"> a free service that handles concerns or complaints</w:t>
      </w:r>
      <w:r w:rsidR="00997841" w:rsidRPr="003A173C">
        <w:rPr>
          <w:rFonts w:cs="Calibri"/>
        </w:rPr>
        <w:t xml:space="preserve"> about service </w:t>
      </w:r>
      <w:r w:rsidR="00804A6C" w:rsidRPr="003A173C">
        <w:rPr>
          <w:rFonts w:cs="Calibri"/>
        </w:rPr>
        <w:t>providers and</w:t>
      </w:r>
      <w:r w:rsidR="00997841" w:rsidRPr="003A173C">
        <w:rPr>
          <w:rFonts w:cs="Calibri"/>
        </w:rPr>
        <w:t xml:space="preserve"> </w:t>
      </w:r>
      <w:r w:rsidR="00CF7430" w:rsidRPr="003A173C">
        <w:rPr>
          <w:rFonts w:cs="Calibri"/>
        </w:rPr>
        <w:t>can</w:t>
      </w:r>
      <w:r w:rsidR="00AB6889" w:rsidRPr="003A173C">
        <w:rPr>
          <w:rFonts w:cs="Calibri"/>
        </w:rPr>
        <w:t xml:space="preserve"> also</w:t>
      </w:r>
      <w:r w:rsidR="00CF7430" w:rsidRPr="003A173C">
        <w:rPr>
          <w:rFonts w:cs="Calibri"/>
        </w:rPr>
        <w:t xml:space="preserve"> provide support with information and options to resolve aged care concerns and complaints.</w:t>
      </w:r>
    </w:p>
    <w:p w14:paraId="1A4A6524" w14:textId="77777777" w:rsidR="00F6109C" w:rsidRPr="003A173C" w:rsidRDefault="001E3F3D" w:rsidP="001E340F">
      <w:pPr>
        <w:rPr>
          <w:rFonts w:cs="Calibri"/>
        </w:rPr>
      </w:pPr>
      <w:r w:rsidRPr="003A173C">
        <w:rPr>
          <w:rFonts w:cs="Calibri"/>
        </w:rPr>
        <w:t>The Commission can be contacted as follows:</w:t>
      </w:r>
    </w:p>
    <w:p w14:paraId="3316DD1C" w14:textId="77777777" w:rsidR="00F6109C" w:rsidRPr="003A173C" w:rsidRDefault="00C8378A" w:rsidP="00EC0AA4">
      <w:pPr>
        <w:spacing w:after="200"/>
        <w:rPr>
          <w:rFonts w:cs="Calibri"/>
        </w:rPr>
      </w:pPr>
      <w:r w:rsidRPr="003A173C">
        <w:rPr>
          <w:rFonts w:cs="Calibri"/>
          <w:b/>
        </w:rPr>
        <w:t>Free Call:</w:t>
      </w:r>
      <w:r w:rsidR="00C07A89" w:rsidRPr="003A173C">
        <w:rPr>
          <w:rFonts w:cs="Calibri"/>
        </w:rPr>
        <w:tab/>
        <w:t xml:space="preserve">1800 </w:t>
      </w:r>
      <w:r w:rsidR="001E3F3D" w:rsidRPr="003A173C">
        <w:rPr>
          <w:rFonts w:cs="Calibri"/>
        </w:rPr>
        <w:t xml:space="preserve">951 822 </w:t>
      </w:r>
      <w:r w:rsidR="00C07A89" w:rsidRPr="003A173C">
        <w:rPr>
          <w:rFonts w:cs="Calibri"/>
        </w:rPr>
        <w:tab/>
      </w:r>
      <w:r w:rsidR="004050C9" w:rsidRPr="003A173C">
        <w:rPr>
          <w:rFonts w:cs="Calibri"/>
        </w:rPr>
        <w:t>9am – 5pm Monday to</w:t>
      </w:r>
      <w:r w:rsidRPr="003A173C">
        <w:rPr>
          <w:rFonts w:cs="Calibri"/>
        </w:rPr>
        <w:t xml:space="preserve"> Friday</w:t>
      </w:r>
    </w:p>
    <w:p w14:paraId="0F2D5C82" w14:textId="42241898" w:rsidR="00F6109C" w:rsidRPr="003A173C" w:rsidRDefault="00C8378A" w:rsidP="00F6109C">
      <w:pPr>
        <w:spacing w:before="0" w:after="0"/>
        <w:rPr>
          <w:rFonts w:cs="Calibri"/>
        </w:rPr>
      </w:pPr>
      <w:r w:rsidRPr="003A173C">
        <w:rPr>
          <w:rFonts w:cs="Calibri"/>
          <w:b/>
        </w:rPr>
        <w:t>Mail:</w:t>
      </w:r>
      <w:r w:rsidRPr="003A173C">
        <w:rPr>
          <w:rFonts w:cs="Calibri"/>
        </w:rPr>
        <w:tab/>
      </w:r>
      <w:r w:rsidRPr="003A173C">
        <w:rPr>
          <w:rFonts w:cs="Calibri"/>
        </w:rPr>
        <w:tab/>
        <w:t xml:space="preserve">Aged Care </w:t>
      </w:r>
      <w:r w:rsidR="001E3F3D" w:rsidRPr="003A173C">
        <w:rPr>
          <w:rFonts w:cs="Calibri"/>
        </w:rPr>
        <w:t>Quality and Safety Commission</w:t>
      </w:r>
    </w:p>
    <w:p w14:paraId="5A4298D4" w14:textId="77777777" w:rsidR="00C8378A" w:rsidRPr="003A173C" w:rsidRDefault="00F6109C" w:rsidP="00F6109C">
      <w:pPr>
        <w:spacing w:before="0" w:after="0"/>
        <w:rPr>
          <w:rFonts w:cs="Calibri"/>
        </w:rPr>
      </w:pPr>
      <w:r w:rsidRPr="003A173C">
        <w:rPr>
          <w:rFonts w:cs="Calibri"/>
        </w:rPr>
        <w:tab/>
      </w:r>
      <w:r w:rsidRPr="003A173C">
        <w:rPr>
          <w:rFonts w:cs="Calibri"/>
        </w:rPr>
        <w:tab/>
      </w:r>
      <w:r w:rsidR="00C8378A" w:rsidRPr="003A173C">
        <w:rPr>
          <w:rFonts w:cs="Calibri"/>
        </w:rPr>
        <w:t xml:space="preserve">GPO Box </w:t>
      </w:r>
      <w:r w:rsidR="001E3F3D" w:rsidRPr="003A173C">
        <w:rPr>
          <w:rFonts w:cs="Calibri"/>
        </w:rPr>
        <w:t>9819</w:t>
      </w:r>
    </w:p>
    <w:p w14:paraId="47EDE04C" w14:textId="2ABCC179" w:rsidR="00F6109C" w:rsidRPr="003A173C" w:rsidRDefault="00C8378A" w:rsidP="00804A6C">
      <w:pPr>
        <w:spacing w:before="0" w:after="200"/>
        <w:rPr>
          <w:rFonts w:cs="Calibri"/>
        </w:rPr>
      </w:pPr>
      <w:r w:rsidRPr="003A173C">
        <w:rPr>
          <w:rFonts w:cs="Calibri"/>
        </w:rPr>
        <w:tab/>
      </w:r>
      <w:r w:rsidRPr="003A173C">
        <w:rPr>
          <w:rFonts w:cs="Calibri"/>
        </w:rPr>
        <w:tab/>
        <w:t xml:space="preserve">In the capital city </w:t>
      </w:r>
      <w:r w:rsidR="00E129C0" w:rsidRPr="003A173C">
        <w:rPr>
          <w:rFonts w:cs="Calibri"/>
        </w:rPr>
        <w:t>and</w:t>
      </w:r>
      <w:r w:rsidRPr="003A173C">
        <w:rPr>
          <w:rFonts w:cs="Calibri"/>
        </w:rPr>
        <w:t xml:space="preserve"> </w:t>
      </w:r>
      <w:r w:rsidR="00575ED8" w:rsidRPr="003A173C">
        <w:rPr>
          <w:rFonts w:cs="Calibri"/>
        </w:rPr>
        <w:t>S</w:t>
      </w:r>
      <w:r w:rsidRPr="003A173C">
        <w:rPr>
          <w:rFonts w:cs="Calibri"/>
        </w:rPr>
        <w:t>tate/</w:t>
      </w:r>
      <w:r w:rsidR="00575ED8" w:rsidRPr="003A173C">
        <w:rPr>
          <w:rFonts w:cs="Calibri"/>
        </w:rPr>
        <w:t>T</w:t>
      </w:r>
      <w:r w:rsidRPr="003A173C">
        <w:rPr>
          <w:rFonts w:cs="Calibri"/>
        </w:rPr>
        <w:t xml:space="preserve">erritory </w:t>
      </w:r>
      <w:r w:rsidR="00E129C0" w:rsidRPr="003A173C">
        <w:rPr>
          <w:rFonts w:cs="Calibri"/>
        </w:rPr>
        <w:t xml:space="preserve">transition </w:t>
      </w:r>
      <w:r w:rsidRPr="003A173C">
        <w:rPr>
          <w:rFonts w:cs="Calibri"/>
        </w:rPr>
        <w:t>care is being provided</w:t>
      </w:r>
    </w:p>
    <w:p w14:paraId="07BDFF6E" w14:textId="63B8407B" w:rsidR="00605BA0" w:rsidRPr="003A173C" w:rsidRDefault="00C8378A" w:rsidP="001E340F">
      <w:pPr>
        <w:spacing w:before="0" w:after="0"/>
        <w:rPr>
          <w:rFonts w:cs="Calibri"/>
        </w:rPr>
      </w:pPr>
      <w:r w:rsidRPr="003A173C">
        <w:rPr>
          <w:rFonts w:cs="Calibri"/>
          <w:b/>
        </w:rPr>
        <w:t>Email:</w:t>
      </w:r>
      <w:r w:rsidR="00E57313" w:rsidRPr="003A173C">
        <w:rPr>
          <w:rFonts w:cs="Calibri"/>
        </w:rPr>
        <w:tab/>
      </w:r>
      <w:r w:rsidR="0045298B" w:rsidRPr="003A173C">
        <w:rPr>
          <w:rFonts w:cs="Calibri"/>
        </w:rPr>
        <w:tab/>
      </w:r>
      <w:hyperlink r:id="rId81" w:history="1">
        <w:r w:rsidR="00B06E49" w:rsidRPr="003A173C">
          <w:rPr>
            <w:rStyle w:val="Hyperlink"/>
            <w:rFonts w:ascii="Calibri" w:hAnsi="Calibri" w:cs="Calibri"/>
            <w:sz w:val="20"/>
          </w:rPr>
          <w:t>info@agedcarequality.gov.au</w:t>
        </w:r>
      </w:hyperlink>
    </w:p>
    <w:p w14:paraId="51D1BDB4" w14:textId="77777777" w:rsidR="00AE1427" w:rsidRPr="003A173C" w:rsidRDefault="00AE1427" w:rsidP="00AE1427">
      <w:pPr>
        <w:pStyle w:val="Heading1"/>
        <w:ind w:left="0" w:firstLine="0"/>
        <w:rPr>
          <w:rFonts w:ascii="Calibri" w:hAnsi="Calibri" w:cs="Calibri"/>
        </w:rPr>
      </w:pPr>
      <w:bookmarkStart w:id="2135" w:name="_Attachment_A"/>
      <w:bookmarkStart w:id="2136" w:name="_Toc211454345"/>
      <w:bookmarkStart w:id="2137" w:name="_Toc216865533"/>
      <w:bookmarkEnd w:id="2135"/>
      <w:r w:rsidRPr="003A173C">
        <w:rPr>
          <w:rFonts w:ascii="Calibri" w:hAnsi="Calibri" w:cs="Calibri"/>
        </w:rPr>
        <w:lastRenderedPageBreak/>
        <w:t>TCP ADMINISTRAITON</w:t>
      </w:r>
      <w:bookmarkEnd w:id="2136"/>
      <w:bookmarkEnd w:id="2137"/>
      <w:r w:rsidRPr="003A173C">
        <w:rPr>
          <w:rFonts w:ascii="Calibri" w:hAnsi="Calibri" w:cs="Calibri"/>
        </w:rPr>
        <w:t xml:space="preserve"> </w:t>
      </w:r>
    </w:p>
    <w:p w14:paraId="766776C2" w14:textId="77777777" w:rsidR="00AE1427" w:rsidRPr="003A173C" w:rsidRDefault="00AE1427" w:rsidP="00AE1427">
      <w:pPr>
        <w:pStyle w:val="Heading2"/>
        <w:rPr>
          <w:rFonts w:ascii="Calibri" w:hAnsi="Calibri" w:cs="Calibri"/>
        </w:rPr>
      </w:pPr>
      <w:bookmarkStart w:id="2138" w:name="_Toc211454326"/>
      <w:bookmarkStart w:id="2139" w:name="_Toc216865534"/>
      <w:r w:rsidRPr="003A173C">
        <w:rPr>
          <w:rFonts w:ascii="Calibri" w:hAnsi="Calibri" w:cs="Calibri"/>
        </w:rPr>
        <w:t>Transition Care Program Agreement</w:t>
      </w:r>
      <w:bookmarkEnd w:id="2138"/>
      <w:bookmarkEnd w:id="2139"/>
    </w:p>
    <w:p w14:paraId="306AB47B" w14:textId="0970B973" w:rsidR="00A01758" w:rsidRDefault="00AE1427" w:rsidP="00AE1427">
      <w:pPr>
        <w:rPr>
          <w:rFonts w:cs="Calibri"/>
        </w:rPr>
      </w:pPr>
      <w:r w:rsidRPr="003A173C">
        <w:rPr>
          <w:rFonts w:cs="Calibri"/>
        </w:rPr>
        <w:t xml:space="preserve">Section 247(1)(b) of the </w:t>
      </w:r>
      <w:r w:rsidRPr="003A173C">
        <w:rPr>
          <w:rFonts w:cs="Calibri"/>
          <w:iCs/>
        </w:rPr>
        <w:t>Act</w:t>
      </w:r>
      <w:r w:rsidRPr="003A173C">
        <w:rPr>
          <w:rFonts w:cs="Calibri"/>
        </w:rPr>
        <w:t xml:space="preserve"> sets out the requirements for a TCP Agreement to be in place between the Australian Government and each State and Territory government. </w:t>
      </w:r>
    </w:p>
    <w:p w14:paraId="7A43DE8B" w14:textId="7EDF59F1" w:rsidR="00AE1427" w:rsidRPr="003A173C" w:rsidRDefault="00AE1427" w:rsidP="00AE1427">
      <w:pPr>
        <w:rPr>
          <w:rFonts w:cs="Calibri"/>
        </w:rPr>
      </w:pPr>
      <w:r w:rsidRPr="003A173C">
        <w:rPr>
          <w:rFonts w:cs="Calibri"/>
        </w:rPr>
        <w:t xml:space="preserve">Adherence to the TCP Agreement forms one of the conditions of allocation of transition care places to States and Territories or their nominated registered providers. The TCP Agreement sets out how the TCP program will be managed nationally and the administrative arrangements and responsibilities of the Australian Government and the States and Territories in relation to the program. </w:t>
      </w:r>
    </w:p>
    <w:p w14:paraId="4DD1714F" w14:textId="21E508FA" w:rsidR="00AE1427" w:rsidRPr="003A173C" w:rsidRDefault="00AE1427" w:rsidP="00AE1427">
      <w:pPr>
        <w:pStyle w:val="Heading2"/>
        <w:rPr>
          <w:rFonts w:ascii="Calibri" w:hAnsi="Calibri" w:cs="Calibri"/>
        </w:rPr>
      </w:pPr>
      <w:bookmarkStart w:id="2140" w:name="_Toc216865535"/>
      <w:r w:rsidRPr="003A173C">
        <w:rPr>
          <w:rFonts w:ascii="Calibri" w:hAnsi="Calibri" w:cs="Calibri"/>
        </w:rPr>
        <w:t>Annual Accountability Reporting by Registered Providers</w:t>
      </w:r>
      <w:bookmarkEnd w:id="2140"/>
      <w:r w:rsidRPr="003A173C">
        <w:rPr>
          <w:rFonts w:ascii="Calibri" w:hAnsi="Calibri" w:cs="Calibri"/>
        </w:rPr>
        <w:t xml:space="preserve"> </w:t>
      </w:r>
    </w:p>
    <w:p w14:paraId="7AE8E32B" w14:textId="35A0D894" w:rsidR="00970505" w:rsidRDefault="564569F1" w:rsidP="00970505">
      <w:pPr>
        <w:rPr>
          <w:rFonts w:cs="Calibri"/>
        </w:rPr>
      </w:pPr>
      <w:r w:rsidRPr="003A173C">
        <w:rPr>
          <w:rFonts w:cs="Calibri"/>
        </w:rPr>
        <w:t>As set out in</w:t>
      </w:r>
      <w:r w:rsidR="71F2B96F" w:rsidRPr="003A173C">
        <w:rPr>
          <w:rFonts w:cs="Calibri"/>
        </w:rPr>
        <w:t xml:space="preserve"> section 166-7</w:t>
      </w:r>
      <w:r w:rsidR="004D1FA9">
        <w:rPr>
          <w:rFonts w:cs="Calibri"/>
        </w:rPr>
        <w:t>45</w:t>
      </w:r>
      <w:r w:rsidR="5E4EB60A" w:rsidRPr="003A173C">
        <w:rPr>
          <w:rFonts w:cs="Calibri"/>
        </w:rPr>
        <w:t xml:space="preserve"> of the </w:t>
      </w:r>
      <w:r w:rsidR="00F43F24">
        <w:rPr>
          <w:rFonts w:cs="Calibri"/>
        </w:rPr>
        <w:t>Rules</w:t>
      </w:r>
      <w:r w:rsidR="5E4EB60A" w:rsidRPr="003A173C">
        <w:rPr>
          <w:rFonts w:cs="Calibri"/>
        </w:rPr>
        <w:t>,</w:t>
      </w:r>
      <w:r w:rsidR="71F2B96F" w:rsidRPr="003A173C">
        <w:rPr>
          <w:rFonts w:cs="Calibri"/>
        </w:rPr>
        <w:t xml:space="preserve"> TCP registered providers </w:t>
      </w:r>
      <w:r w:rsidR="7A8CC16F" w:rsidRPr="003A173C">
        <w:rPr>
          <w:rFonts w:cs="Calibri"/>
        </w:rPr>
        <w:t>are required to provide an Annual Accountability Report</w:t>
      </w:r>
      <w:r w:rsidR="3F1CE743" w:rsidRPr="003A173C">
        <w:rPr>
          <w:rFonts w:cs="Calibri"/>
        </w:rPr>
        <w:t xml:space="preserve"> (AAR)</w:t>
      </w:r>
      <w:r w:rsidR="7A8CC16F" w:rsidRPr="003A173C">
        <w:rPr>
          <w:rFonts w:cs="Calibri"/>
        </w:rPr>
        <w:t xml:space="preserve"> to the System Governor each financial year.</w:t>
      </w:r>
      <w:r w:rsidR="43B072C4" w:rsidRPr="003A173C">
        <w:rPr>
          <w:rFonts w:cs="Calibri"/>
        </w:rPr>
        <w:t xml:space="preserve"> </w:t>
      </w:r>
    </w:p>
    <w:p w14:paraId="47D986FF" w14:textId="14A79200" w:rsidR="00970505" w:rsidRPr="00970505" w:rsidRDefault="00970505" w:rsidP="00970505">
      <w:pPr>
        <w:rPr>
          <w:rFonts w:cs="Calibri"/>
        </w:rPr>
      </w:pPr>
      <w:r w:rsidRPr="00970505">
        <w:rPr>
          <w:rFonts w:cs="Calibri"/>
        </w:rPr>
        <w:t>In accordance with the preference of the State or Territory, Transition Care Annual Accountability Reports must be either:</w:t>
      </w:r>
    </w:p>
    <w:p w14:paraId="1F34AF4D" w14:textId="1B01E3F6" w:rsidR="00CD1500" w:rsidRDefault="00CD1500" w:rsidP="003F13B2">
      <w:pPr>
        <w:pStyle w:val="ListBullet"/>
      </w:pPr>
      <w:r w:rsidRPr="00970505">
        <w:t>collated by the State or Territory</w:t>
      </w:r>
      <w:r>
        <w:t xml:space="preserve"> as </w:t>
      </w:r>
      <w:r w:rsidR="00A44EF4">
        <w:t>r</w:t>
      </w:r>
      <w:r>
        <w:t xml:space="preserve">egistered </w:t>
      </w:r>
      <w:r w:rsidR="00A44EF4">
        <w:t>p</w:t>
      </w:r>
      <w:r>
        <w:t>rovider</w:t>
      </w:r>
      <w:r w:rsidR="00017840">
        <w:t xml:space="preserve"> </w:t>
      </w:r>
      <w:r w:rsidR="00017840" w:rsidRPr="00970505">
        <w:t>and provided to the Department</w:t>
      </w:r>
      <w:r w:rsidR="006E7E01">
        <w:t>; or</w:t>
      </w:r>
    </w:p>
    <w:p w14:paraId="0218B13D" w14:textId="0ECC05B0" w:rsidR="00970505" w:rsidRDefault="00970505" w:rsidP="003F13B2">
      <w:pPr>
        <w:pStyle w:val="ListBullet"/>
      </w:pPr>
      <w:r w:rsidRPr="00970505">
        <w:t xml:space="preserve">collated by the State or Territory on behalf of their </w:t>
      </w:r>
      <w:r w:rsidR="00C02CD0">
        <w:t>n</w:t>
      </w:r>
      <w:r w:rsidRPr="00970505">
        <w:t xml:space="preserve">ominated </w:t>
      </w:r>
      <w:r w:rsidR="00C02CD0">
        <w:t>r</w:t>
      </w:r>
      <w:r w:rsidRPr="00970505">
        <w:t xml:space="preserve">egistered </w:t>
      </w:r>
      <w:r w:rsidR="00C02CD0">
        <w:t>p</w:t>
      </w:r>
      <w:r w:rsidRPr="00970505">
        <w:t>roviders and provided to the Department; or</w:t>
      </w:r>
    </w:p>
    <w:p w14:paraId="4FF820FA" w14:textId="7447C163" w:rsidR="00D12B4D" w:rsidRPr="007206E9" w:rsidRDefault="00970505" w:rsidP="003F13B2">
      <w:pPr>
        <w:pStyle w:val="ListBullet"/>
      </w:pPr>
      <w:r w:rsidRPr="00970505">
        <w:t xml:space="preserve">provided to the Department directly by </w:t>
      </w:r>
      <w:r w:rsidR="00C02CD0">
        <w:t>n</w:t>
      </w:r>
      <w:r w:rsidRPr="00970505">
        <w:t xml:space="preserve">ominated </w:t>
      </w:r>
      <w:r w:rsidR="00C02CD0">
        <w:t>r</w:t>
      </w:r>
      <w:r w:rsidRPr="00970505">
        <w:t xml:space="preserve">egistered </w:t>
      </w:r>
      <w:r w:rsidR="00C02CD0">
        <w:t>p</w:t>
      </w:r>
      <w:r w:rsidRPr="00970505">
        <w:t>roviders, who must ensure the State or Territory is copied into this correspondence.</w:t>
      </w:r>
    </w:p>
    <w:p w14:paraId="4BFE064E" w14:textId="59351C79" w:rsidR="00A44A96" w:rsidRPr="007206E9" w:rsidRDefault="0006787A" w:rsidP="007206E9">
      <w:pPr>
        <w:pStyle w:val="Heading1"/>
        <w:numPr>
          <w:ilvl w:val="0"/>
          <w:numId w:val="0"/>
        </w:numPr>
        <w:rPr>
          <w:rStyle w:val="CharDivNo"/>
          <w:rFonts w:ascii="Calibri" w:hAnsi="Calibri" w:cs="Calibri"/>
        </w:rPr>
      </w:pPr>
      <w:bookmarkStart w:id="2141" w:name="_Attachment_B"/>
      <w:bookmarkStart w:id="2142" w:name="_Attachment_B_SCHEDULE"/>
      <w:bookmarkStart w:id="2143" w:name="_Toc204849545"/>
      <w:bookmarkStart w:id="2144" w:name="_Hlk150856035"/>
      <w:bookmarkStart w:id="2145" w:name="_Hlk201055983"/>
      <w:bookmarkStart w:id="2146" w:name="_Toc216865536"/>
      <w:bookmarkEnd w:id="2141"/>
      <w:bookmarkEnd w:id="2142"/>
      <w:r w:rsidRPr="003A173C">
        <w:rPr>
          <w:rStyle w:val="Attachmentheading"/>
          <w:rFonts w:ascii="Calibri" w:hAnsi="Calibri" w:cs="Calibri"/>
        </w:rPr>
        <w:lastRenderedPageBreak/>
        <w:t xml:space="preserve">ATTACHMENT A – AGED CARE </w:t>
      </w:r>
      <w:r w:rsidR="000D2B6B" w:rsidRPr="003A173C">
        <w:rPr>
          <w:rStyle w:val="Attachmentheading"/>
          <w:rFonts w:ascii="Calibri" w:hAnsi="Calibri" w:cs="Calibri"/>
        </w:rPr>
        <w:t xml:space="preserve">RULES – CHAPTER 1 – CONSOLIDATED TCP </w:t>
      </w:r>
      <w:r w:rsidRPr="003A173C">
        <w:rPr>
          <w:rStyle w:val="Attachmentheading"/>
          <w:rFonts w:ascii="Calibri" w:hAnsi="Calibri" w:cs="Calibri"/>
        </w:rPr>
        <w:t>SERVICE LIST</w:t>
      </w:r>
      <w:bookmarkStart w:id="2147" w:name="_Toc204849546"/>
      <w:bookmarkEnd w:id="2143"/>
      <w:bookmarkEnd w:id="2144"/>
      <w:bookmarkEnd w:id="2145"/>
      <w:bookmarkEnd w:id="2146"/>
    </w:p>
    <w:p w14:paraId="233ED3B1" w14:textId="00FB83DB" w:rsidR="00FC08DA" w:rsidRPr="00D53ED4" w:rsidRDefault="00FC08DA" w:rsidP="00FF3B47">
      <w:pPr>
        <w:rPr>
          <w:b/>
          <w:bCs/>
          <w:color w:val="227ACB"/>
          <w:sz w:val="24"/>
        </w:rPr>
      </w:pPr>
      <w:r w:rsidRPr="00D53ED4">
        <w:rPr>
          <w:b/>
          <w:bCs/>
          <w:color w:val="227ACB"/>
          <w:sz w:val="24"/>
        </w:rPr>
        <w:t>Division 2 – Home support service types</w:t>
      </w:r>
    </w:p>
    <w:p w14:paraId="3C4BFADA" w14:textId="06C20D43" w:rsidR="00FC08DA" w:rsidRPr="00530AD6" w:rsidRDefault="00FC08DA" w:rsidP="00530AD6">
      <w:pPr>
        <w:rPr>
          <w:b/>
          <w:bCs/>
          <w:sz w:val="22"/>
          <w:szCs w:val="22"/>
        </w:rPr>
      </w:pPr>
      <w:r w:rsidRPr="00530AD6">
        <w:rPr>
          <w:b/>
          <w:bCs/>
          <w:sz w:val="22"/>
          <w:szCs w:val="22"/>
        </w:rPr>
        <w:t>8</w:t>
      </w:r>
      <w:r w:rsidRPr="00530AD6">
        <w:rPr>
          <w:b/>
          <w:bCs/>
          <w:sz w:val="22"/>
          <w:szCs w:val="22"/>
        </w:rPr>
        <w:noBreakHyphen/>
        <w:t>15 Allied health and therapy</w:t>
      </w:r>
    </w:p>
    <w:p w14:paraId="49E356F6" w14:textId="655BF8A2"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allied health and therapy.</w:t>
      </w:r>
    </w:p>
    <w:p w14:paraId="318BE612" w14:textId="154DD11D" w:rsidR="00FC08DA" w:rsidRPr="003A0120" w:rsidRDefault="00FC08DA" w:rsidP="00FC08DA">
      <w:pPr>
        <w:pStyle w:val="subsection"/>
        <w:rPr>
          <w:rFonts w:cs="Calibri"/>
          <w:sz w:val="20"/>
        </w:rPr>
      </w:pPr>
      <w:r w:rsidRPr="003A0120">
        <w:rPr>
          <w:rFonts w:cs="Calibri"/>
          <w:sz w:val="20"/>
        </w:rPr>
        <w:t>(2)</w:t>
      </w:r>
      <w:r w:rsidRPr="003A0120">
        <w:rPr>
          <w:rFonts w:cs="Calibri"/>
          <w:sz w:val="20"/>
        </w:rPr>
        <w:tab/>
        <w:t>The service requirements for a service listed and described in an item of the following table are that:</w:t>
      </w:r>
    </w:p>
    <w:p w14:paraId="5F061E0C"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 the service is for the individual to regain or maintain physical, functional or cognitive abilities that support the individual to remain safe and independent at home; and</w:t>
      </w:r>
    </w:p>
    <w:p w14:paraId="08BBA694"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(b) the service is within the parameters specified in subsection (3); and</w:t>
      </w:r>
    </w:p>
    <w:p w14:paraId="21F224AE"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(c) the service is for the management of conditions related to age</w:t>
      </w:r>
      <w:r w:rsidRPr="003A0120">
        <w:rPr>
          <w:rFonts w:ascii="Calibri" w:hAnsi="Calibri" w:cs="Calibri"/>
          <w:sz w:val="20"/>
          <w:szCs w:val="20"/>
        </w:rPr>
        <w:noBreakHyphen/>
        <w:t>related disability or decline.</w:t>
      </w:r>
    </w:p>
    <w:p w14:paraId="6175E16E" w14:textId="1CA083B3" w:rsidR="00FC08DA" w:rsidRPr="003A0120" w:rsidRDefault="00FC08DA" w:rsidP="009D32D6">
      <w:pPr>
        <w:pStyle w:val="subsection"/>
        <w:rPr>
          <w:rFonts w:cs="Calibri"/>
          <w:sz w:val="20"/>
        </w:rPr>
      </w:pPr>
      <w:r w:rsidRPr="003A0120">
        <w:rPr>
          <w:rFonts w:cs="Calibri"/>
          <w:sz w:val="20"/>
        </w:rPr>
        <w:t>(3) For the purposes of paragraph (2)(b), the parameters for a service are the following:</w:t>
      </w:r>
    </w:p>
    <w:p w14:paraId="025617F9"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(a) the service may </w:t>
      </w:r>
      <w:r w:rsidRPr="003A0120">
        <w:rPr>
          <w:rFonts w:ascii="Calibri" w:eastAsia="Calibri" w:hAnsi="Calibri" w:cs="Calibri"/>
          <w:sz w:val="20"/>
          <w:szCs w:val="20"/>
        </w:rPr>
        <w:t>include clinical intervention, expertise, care and treatment, review, education (including techniques for self</w:t>
      </w:r>
      <w:r w:rsidRPr="003A0120">
        <w:rPr>
          <w:rFonts w:ascii="Calibri" w:eastAsia="Calibri" w:hAnsi="Calibri" w:cs="Calibri"/>
          <w:sz w:val="20"/>
          <w:szCs w:val="20"/>
        </w:rPr>
        <w:noBreakHyphen/>
        <w:t>management), and advice and supervision to improve capacity;</w:t>
      </w:r>
    </w:p>
    <w:p w14:paraId="3BE26B39"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(b) the service aims to </w:t>
      </w:r>
      <w:r w:rsidRPr="003A0120">
        <w:rPr>
          <w:rFonts w:ascii="Calibri" w:eastAsia="Calibri" w:hAnsi="Calibri" w:cs="Calibri"/>
          <w:sz w:val="20"/>
          <w:szCs w:val="20"/>
        </w:rPr>
        <w:t>give the individual the skills and knowledge to manage their own condition and promote independent recovery where appropriate;</w:t>
      </w:r>
    </w:p>
    <w:p w14:paraId="78383349" w14:textId="77777777" w:rsidR="00FC08DA" w:rsidRPr="003A0120" w:rsidRDefault="00FC08DA" w:rsidP="00FC08DA">
      <w:pPr>
        <w:pStyle w:val="paragraph"/>
        <w:rPr>
          <w:rFonts w:ascii="Calibri" w:eastAsia="Calibri" w:hAnsi="Calibri" w:cs="Calibri"/>
          <w:sz w:val="20"/>
          <w:szCs w:val="20"/>
        </w:rPr>
      </w:pPr>
      <w:r w:rsidRPr="003A0120">
        <w:rPr>
          <w:rFonts w:ascii="Calibri" w:hAnsi="Calibri" w:cs="Calibri"/>
          <w:sz w:val="20"/>
          <w:szCs w:val="20"/>
        </w:rPr>
        <w:tab/>
        <w:t xml:space="preserve">(c) the service may be </w:t>
      </w:r>
      <w:r w:rsidRPr="003A0120">
        <w:rPr>
          <w:rFonts w:ascii="Calibri" w:eastAsia="Calibri" w:hAnsi="Calibri" w:cs="Calibri"/>
          <w:sz w:val="20"/>
          <w:szCs w:val="20"/>
        </w:rPr>
        <w:t>delivered in person or via telehealth, as appropriate;</w:t>
      </w:r>
    </w:p>
    <w:p w14:paraId="1F14769A"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(d) the service may be delivered individually or in a group</w:t>
      </w:r>
      <w:r w:rsidRPr="003A0120">
        <w:rPr>
          <w:rFonts w:ascii="Calibri" w:eastAsia="Calibri" w:hAnsi="Calibri" w:cs="Calibri"/>
          <w:sz w:val="20"/>
          <w:szCs w:val="20"/>
        </w:rPr>
        <w:noBreakHyphen/>
        <w:t>based format (such as clinically supervised group exercise classes), as appropriate;</w:t>
      </w:r>
    </w:p>
    <w:p w14:paraId="6F16A7D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(e) for a service other than the services listed and described in items 6 and 7 of the following table—the service may be </w:t>
      </w:r>
      <w:r w:rsidRPr="003A0120">
        <w:rPr>
          <w:rFonts w:ascii="Calibri" w:eastAsia="Calibri" w:hAnsi="Calibri" w:cs="Calibri"/>
          <w:sz w:val="20"/>
          <w:szCs w:val="20"/>
        </w:rPr>
        <w:t>delivered:</w:t>
      </w:r>
    </w:p>
    <w:p w14:paraId="5330EDC4"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w:t>
      </w:r>
      <w:r w:rsidRPr="003A0120">
        <w:rPr>
          <w:rFonts w:ascii="Calibri" w:eastAsia="Calibri" w:hAnsi="Calibri" w:cs="Calibri"/>
          <w:sz w:val="20"/>
        </w:rPr>
        <w:tab/>
        <w:t xml:space="preserve">directly by a </w:t>
      </w:r>
      <w:r w:rsidRPr="003A0120">
        <w:rPr>
          <w:rFonts w:ascii="Calibri" w:hAnsi="Calibri" w:cs="Calibri"/>
          <w:sz w:val="20"/>
        </w:rPr>
        <w:t>registered health practitioner or allied health professional (as applicable);</w:t>
      </w:r>
      <w:r w:rsidRPr="003A0120">
        <w:rPr>
          <w:rFonts w:ascii="Calibri" w:eastAsia="Calibri" w:hAnsi="Calibri" w:cs="Calibri"/>
          <w:sz w:val="20"/>
        </w:rPr>
        <w:t xml:space="preserve"> or</w:t>
      </w:r>
    </w:p>
    <w:p w14:paraId="171E6753"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a </w:t>
      </w:r>
      <w:r w:rsidRPr="003A0120">
        <w:rPr>
          <w:rFonts w:ascii="Calibri" w:hAnsi="Calibri" w:cs="Calibri"/>
          <w:sz w:val="20"/>
        </w:rPr>
        <w:t xml:space="preserve">registered health practitioner or allied health professional </w:t>
      </w:r>
      <w:r w:rsidRPr="003A0120">
        <w:rPr>
          <w:rFonts w:ascii="Calibri" w:eastAsia="Calibri" w:hAnsi="Calibri" w:cs="Calibri"/>
          <w:sz w:val="20"/>
        </w:rPr>
        <w:t>where safe and appropriate to do so;</w:t>
      </w:r>
    </w:p>
    <w:p w14:paraId="046E9CF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hAnsi="Calibri" w:cs="Calibri"/>
          <w:sz w:val="20"/>
          <w:szCs w:val="20"/>
        </w:rPr>
        <w:t xml:space="preserve">(f) for the service listed and described in item 6 of the following table—the service may be </w:t>
      </w:r>
      <w:r w:rsidRPr="003A0120">
        <w:rPr>
          <w:rFonts w:ascii="Calibri" w:eastAsia="Calibri" w:hAnsi="Calibri" w:cs="Calibri"/>
          <w:sz w:val="20"/>
          <w:szCs w:val="20"/>
        </w:rPr>
        <w:t>delivered:</w:t>
      </w:r>
    </w:p>
    <w:p w14:paraId="22878F76"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w:t>
      </w:r>
      <w:r w:rsidRPr="003A0120">
        <w:rPr>
          <w:rFonts w:ascii="Calibri" w:eastAsia="Calibri" w:hAnsi="Calibri" w:cs="Calibri"/>
          <w:sz w:val="20"/>
        </w:rPr>
        <w:tab/>
        <w:t xml:space="preserve">directly by an </w:t>
      </w:r>
      <w:r w:rsidRPr="003A0120">
        <w:rPr>
          <w:rFonts w:ascii="Calibri" w:hAnsi="Calibri" w:cs="Calibri"/>
          <w:sz w:val="20"/>
        </w:rPr>
        <w:t>Aboriginal or Torres Strait Islander Health Practitioner;</w:t>
      </w:r>
      <w:r w:rsidRPr="003A0120">
        <w:rPr>
          <w:rFonts w:ascii="Calibri" w:eastAsia="Calibri" w:hAnsi="Calibri" w:cs="Calibri"/>
          <w:sz w:val="20"/>
        </w:rPr>
        <w:t xml:space="preserve"> or</w:t>
      </w:r>
    </w:p>
    <w:p w14:paraId="45976767"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an </w:t>
      </w:r>
      <w:r w:rsidRPr="003A0120">
        <w:rPr>
          <w:rFonts w:ascii="Calibri" w:hAnsi="Calibri" w:cs="Calibri"/>
          <w:sz w:val="20"/>
        </w:rPr>
        <w:t xml:space="preserve">Aboriginal or Torres Strait Islander Health Practitioner, </w:t>
      </w:r>
      <w:r w:rsidRPr="003A0120">
        <w:rPr>
          <w:rFonts w:ascii="Calibri" w:eastAsia="Calibri" w:hAnsi="Calibri" w:cs="Calibri"/>
          <w:sz w:val="20"/>
        </w:rPr>
        <w:t>where safe and appropriate to do so;</w:t>
      </w:r>
    </w:p>
    <w:p w14:paraId="5C66A379" w14:textId="77777777" w:rsidR="00FC08DA" w:rsidRPr="003A0120" w:rsidRDefault="00FC08DA" w:rsidP="003D592C">
      <w:pPr>
        <w:pStyle w:val="paragraph"/>
        <w:ind w:firstLine="720"/>
        <w:rPr>
          <w:rFonts w:ascii="Calibri" w:eastAsia="Calibri" w:hAnsi="Calibri" w:cs="Calibri"/>
          <w:sz w:val="20"/>
          <w:szCs w:val="20"/>
        </w:rPr>
      </w:pPr>
      <w:r w:rsidRPr="003A0120">
        <w:rPr>
          <w:rFonts w:ascii="Calibri" w:hAnsi="Calibri" w:cs="Calibri"/>
          <w:sz w:val="20"/>
          <w:szCs w:val="20"/>
        </w:rPr>
        <w:t xml:space="preserve">(g) for a service listed and described in item 7 of the following table—the service may be </w:t>
      </w:r>
      <w:r w:rsidRPr="003A0120">
        <w:rPr>
          <w:rFonts w:ascii="Calibri" w:eastAsia="Calibri" w:hAnsi="Calibri" w:cs="Calibri"/>
          <w:sz w:val="20"/>
          <w:szCs w:val="20"/>
        </w:rPr>
        <w:t>delivered:</w:t>
      </w:r>
    </w:p>
    <w:p w14:paraId="689A369E" w14:textId="77777777" w:rsidR="00FC08DA" w:rsidRPr="003A0120" w:rsidRDefault="00FC08DA" w:rsidP="00FC08DA">
      <w:pPr>
        <w:pStyle w:val="paragraphsub"/>
        <w:rPr>
          <w:rFonts w:ascii="Calibri" w:eastAsia="Calibri" w:hAnsi="Calibri" w:cs="Calibri"/>
          <w:sz w:val="20"/>
        </w:rPr>
      </w:pPr>
      <w:r w:rsidRPr="003A0120">
        <w:rPr>
          <w:rFonts w:ascii="Calibri" w:eastAsia="Calibri" w:hAnsi="Calibri" w:cs="Calibri"/>
          <w:sz w:val="20"/>
        </w:rPr>
        <w:tab/>
        <w:t>(i)</w:t>
      </w:r>
      <w:r w:rsidRPr="003A0120">
        <w:rPr>
          <w:rFonts w:ascii="Calibri" w:eastAsia="Calibri" w:hAnsi="Calibri" w:cs="Calibri"/>
          <w:sz w:val="20"/>
        </w:rPr>
        <w:tab/>
        <w:t xml:space="preserve">directly by an </w:t>
      </w:r>
      <w:r w:rsidRPr="003A0120">
        <w:rPr>
          <w:rFonts w:ascii="Calibri" w:hAnsi="Calibri" w:cs="Calibri"/>
          <w:sz w:val="20"/>
        </w:rPr>
        <w:t>Aboriginal or Torres Strait Islander Health Worker;</w:t>
      </w:r>
      <w:r w:rsidRPr="003A0120">
        <w:rPr>
          <w:rFonts w:ascii="Calibri" w:eastAsia="Calibri" w:hAnsi="Calibri" w:cs="Calibri"/>
          <w:sz w:val="20"/>
        </w:rPr>
        <w:t xml:space="preserve"> or</w:t>
      </w:r>
    </w:p>
    <w:p w14:paraId="28A22379" w14:textId="648BBE0A" w:rsidR="00EA3AA3" w:rsidRDefault="00FC08DA" w:rsidP="007206E9">
      <w:pPr>
        <w:pStyle w:val="paragraphsub"/>
        <w:rPr>
          <w:rFonts w:ascii="Calibri" w:eastAsia="Calibri" w:hAnsi="Calibri" w:cs="Calibri"/>
          <w:sz w:val="20"/>
        </w:rPr>
      </w:pPr>
      <w:r w:rsidRPr="003A0120">
        <w:rPr>
          <w:rFonts w:ascii="Calibri" w:eastAsia="Calibri" w:hAnsi="Calibri" w:cs="Calibri"/>
          <w:sz w:val="20"/>
        </w:rPr>
        <w:tab/>
        <w:t>(ii)</w:t>
      </w:r>
      <w:r w:rsidRPr="003A0120">
        <w:rPr>
          <w:rFonts w:ascii="Calibri" w:eastAsia="Calibri" w:hAnsi="Calibri" w:cs="Calibri"/>
          <w:sz w:val="20"/>
        </w:rPr>
        <w:tab/>
        <w:t xml:space="preserve">by an allied health assistant or aged care worker, under the supervision of </w:t>
      </w:r>
      <w:r w:rsidRPr="003A0120">
        <w:rPr>
          <w:rFonts w:ascii="Calibri" w:hAnsi="Calibri" w:cs="Calibri"/>
          <w:sz w:val="20"/>
        </w:rPr>
        <w:t xml:space="preserve">Aboriginal or Torres Strait Islander Health Worker, </w:t>
      </w:r>
      <w:r w:rsidRPr="003A0120">
        <w:rPr>
          <w:rFonts w:ascii="Calibri" w:eastAsia="Calibri" w:hAnsi="Calibri" w:cs="Calibri"/>
          <w:sz w:val="20"/>
        </w:rPr>
        <w:t>where safe and appropriate to do so.</w:t>
      </w:r>
      <w:r w:rsidR="00ED75BF">
        <w:rPr>
          <w:rFonts w:ascii="Calibri" w:eastAsia="Calibri" w:hAnsi="Calibri" w:cs="Calibri"/>
          <w:sz w:val="20"/>
        </w:rPr>
        <w:br/>
      </w:r>
    </w:p>
    <w:p w14:paraId="3EE12A32" w14:textId="77777777" w:rsidR="00FC08DA" w:rsidRPr="003A0120" w:rsidRDefault="00EA3AA3" w:rsidP="007206E9">
      <w:pPr>
        <w:pStyle w:val="paragraphsub"/>
        <w:rPr>
          <w:rFonts w:ascii="Calibri" w:eastAsia="Calibri" w:hAnsi="Calibri" w:cs="Calibri"/>
          <w:sz w:val="20"/>
        </w:rPr>
      </w:pPr>
      <w:r>
        <w:rPr>
          <w:rFonts w:ascii="Calibri" w:eastAsia="Calibri" w:hAnsi="Calibri" w:cs="Calibri"/>
          <w:sz w:val="20"/>
        </w:rPr>
        <w:br w:type="column"/>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232C310" w14:textId="77777777" w:rsidTr="00BD3D05">
        <w:trPr>
          <w:tblHeader/>
        </w:trPr>
        <w:tc>
          <w:tcPr>
            <w:tcW w:w="8359" w:type="dxa"/>
            <w:gridSpan w:val="3"/>
            <w:tcBorders>
              <w:top w:val="single" w:sz="12" w:space="0" w:color="auto"/>
              <w:bottom w:val="single" w:sz="6" w:space="0" w:color="auto"/>
            </w:tcBorders>
          </w:tcPr>
          <w:p w14:paraId="6F3793E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allied health and therapy</w:t>
            </w:r>
          </w:p>
        </w:tc>
      </w:tr>
      <w:tr w:rsidR="00FC08DA" w:rsidRPr="004636D4" w14:paraId="7F4105A2" w14:textId="77777777" w:rsidTr="00BD3D05">
        <w:trPr>
          <w:tblHeader/>
        </w:trPr>
        <w:tc>
          <w:tcPr>
            <w:tcW w:w="714" w:type="dxa"/>
            <w:tcBorders>
              <w:top w:val="single" w:sz="6" w:space="0" w:color="auto"/>
              <w:bottom w:val="single" w:sz="12" w:space="0" w:color="auto"/>
            </w:tcBorders>
          </w:tcPr>
          <w:p w14:paraId="3072203E"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254BC5C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6EF92FF"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54" w:type="dxa"/>
            <w:tcBorders>
              <w:top w:val="single" w:sz="6" w:space="0" w:color="auto"/>
              <w:bottom w:val="single" w:sz="12" w:space="0" w:color="auto"/>
            </w:tcBorders>
          </w:tcPr>
          <w:p w14:paraId="0FE73ED2"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3561AD45"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4E312D6" w14:textId="77777777" w:rsidTr="00BD3D05">
        <w:tc>
          <w:tcPr>
            <w:tcW w:w="714" w:type="dxa"/>
            <w:tcBorders>
              <w:top w:val="single" w:sz="12" w:space="0" w:color="auto"/>
            </w:tcBorders>
          </w:tcPr>
          <w:p w14:paraId="7C820252"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22A00857" w14:textId="77777777" w:rsidR="00FC08DA" w:rsidRPr="003A0120" w:rsidRDefault="00FC08DA" w:rsidP="00BD3D05">
            <w:pPr>
              <w:pStyle w:val="Tabletext"/>
              <w:rPr>
                <w:rFonts w:ascii="Calibri" w:hAnsi="Calibri" w:cs="Calibri"/>
              </w:rPr>
            </w:pPr>
            <w:r w:rsidRPr="003A0120">
              <w:rPr>
                <w:rFonts w:ascii="Calibri" w:hAnsi="Calibri" w:cs="Calibri"/>
              </w:rPr>
              <w:t>Allied health assistance</w:t>
            </w:r>
          </w:p>
        </w:tc>
        <w:tc>
          <w:tcPr>
            <w:tcW w:w="5954" w:type="dxa"/>
            <w:tcBorders>
              <w:top w:val="single" w:sz="12" w:space="0" w:color="auto"/>
            </w:tcBorders>
          </w:tcPr>
          <w:p w14:paraId="706CB184" w14:textId="77777777" w:rsidR="00FC08DA" w:rsidRPr="003A0120" w:rsidRDefault="00FC08DA" w:rsidP="00BD3D05">
            <w:pPr>
              <w:pStyle w:val="Tabletext"/>
              <w:rPr>
                <w:rFonts w:ascii="Calibri" w:hAnsi="Calibri" w:cs="Calibri"/>
              </w:rPr>
            </w:pPr>
            <w:r w:rsidRPr="003A0120">
              <w:rPr>
                <w:rFonts w:ascii="Calibri" w:hAnsi="Calibri" w:cs="Calibri"/>
              </w:rPr>
              <w:t>Allied health therapy assistance that meets the service requirements specified in subsection (2)</w:t>
            </w:r>
          </w:p>
        </w:tc>
      </w:tr>
      <w:tr w:rsidR="00FC08DA" w:rsidRPr="004636D4" w14:paraId="36C197EB" w14:textId="77777777" w:rsidTr="00BD3D05">
        <w:tc>
          <w:tcPr>
            <w:tcW w:w="714" w:type="dxa"/>
          </w:tcPr>
          <w:p w14:paraId="66565536"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691" w:type="dxa"/>
          </w:tcPr>
          <w:p w14:paraId="190FDEAC" w14:textId="77777777" w:rsidR="00FC08DA" w:rsidRPr="003A0120" w:rsidRDefault="00FC08DA" w:rsidP="00BD3D05">
            <w:pPr>
              <w:pStyle w:val="Tabletext"/>
              <w:rPr>
                <w:rFonts w:ascii="Calibri" w:hAnsi="Calibri" w:cs="Calibri"/>
              </w:rPr>
            </w:pPr>
            <w:r w:rsidRPr="003A0120">
              <w:rPr>
                <w:rFonts w:ascii="Calibri" w:hAnsi="Calibri" w:cs="Calibri"/>
              </w:rPr>
              <w:t>Podiatry</w:t>
            </w:r>
          </w:p>
        </w:tc>
        <w:tc>
          <w:tcPr>
            <w:tcW w:w="5954" w:type="dxa"/>
          </w:tcPr>
          <w:p w14:paraId="10DE2F19" w14:textId="77777777" w:rsidR="00FC08DA" w:rsidRPr="003A0120" w:rsidRDefault="00FC08DA" w:rsidP="00BD3D05">
            <w:pPr>
              <w:pStyle w:val="Tabletext"/>
              <w:rPr>
                <w:rFonts w:ascii="Calibri" w:hAnsi="Calibri" w:cs="Calibri"/>
              </w:rPr>
            </w:pPr>
            <w:r w:rsidRPr="003A0120">
              <w:rPr>
                <w:rFonts w:ascii="Calibri" w:hAnsi="Calibri" w:cs="Calibri"/>
              </w:rPr>
              <w:t>Podiatry that meets the service requirements specified in subsection (2)</w:t>
            </w:r>
          </w:p>
        </w:tc>
      </w:tr>
      <w:tr w:rsidR="00FC08DA" w:rsidRPr="004636D4" w14:paraId="6A5CFED8" w14:textId="77777777" w:rsidTr="00BD3D05">
        <w:tc>
          <w:tcPr>
            <w:tcW w:w="714" w:type="dxa"/>
          </w:tcPr>
          <w:p w14:paraId="3BEDD0F0"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2D75545D" w14:textId="77777777" w:rsidR="00FC08DA" w:rsidRPr="003A0120" w:rsidRDefault="00FC08DA" w:rsidP="00BD3D05">
            <w:pPr>
              <w:pStyle w:val="Tabletext"/>
              <w:rPr>
                <w:rFonts w:ascii="Calibri" w:hAnsi="Calibri" w:cs="Calibri"/>
              </w:rPr>
            </w:pPr>
            <w:r w:rsidRPr="003A0120">
              <w:rPr>
                <w:rFonts w:ascii="Calibri" w:hAnsi="Calibri" w:cs="Calibri"/>
              </w:rPr>
              <w:t>Social work</w:t>
            </w:r>
          </w:p>
        </w:tc>
        <w:tc>
          <w:tcPr>
            <w:tcW w:w="5954" w:type="dxa"/>
          </w:tcPr>
          <w:p w14:paraId="09325113" w14:textId="77777777" w:rsidR="00FC08DA" w:rsidRPr="003A0120" w:rsidRDefault="00FC08DA" w:rsidP="00BD3D05">
            <w:pPr>
              <w:pStyle w:val="Tabletext"/>
              <w:rPr>
                <w:rFonts w:ascii="Calibri" w:hAnsi="Calibri" w:cs="Calibri"/>
              </w:rPr>
            </w:pPr>
            <w:r w:rsidRPr="003A0120">
              <w:rPr>
                <w:rFonts w:ascii="Calibri" w:hAnsi="Calibri" w:cs="Calibri"/>
              </w:rPr>
              <w:t>Social work activities that meet the service requirements specified in subsection (2)</w:t>
            </w:r>
          </w:p>
        </w:tc>
      </w:tr>
      <w:tr w:rsidR="00FC08DA" w:rsidRPr="004636D4" w14:paraId="370F57D4" w14:textId="77777777" w:rsidTr="00BD3D05">
        <w:tc>
          <w:tcPr>
            <w:tcW w:w="714" w:type="dxa"/>
          </w:tcPr>
          <w:p w14:paraId="0CA9A679"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6364290D" w14:textId="77777777" w:rsidR="00FC08DA" w:rsidRPr="003A0120" w:rsidRDefault="00FC08DA" w:rsidP="00BD3D05">
            <w:pPr>
              <w:pStyle w:val="Tabletext"/>
              <w:rPr>
                <w:rFonts w:ascii="Calibri" w:hAnsi="Calibri" w:cs="Calibri"/>
              </w:rPr>
            </w:pPr>
            <w:r w:rsidRPr="003A0120">
              <w:rPr>
                <w:rFonts w:ascii="Calibri" w:hAnsi="Calibri" w:cs="Calibri"/>
              </w:rPr>
              <w:t>Speech pathology</w:t>
            </w:r>
          </w:p>
        </w:tc>
        <w:tc>
          <w:tcPr>
            <w:tcW w:w="5954" w:type="dxa"/>
          </w:tcPr>
          <w:p w14:paraId="1487C14D" w14:textId="77777777" w:rsidR="00FC08DA" w:rsidRPr="003A0120" w:rsidRDefault="00FC08DA" w:rsidP="00BD3D05">
            <w:pPr>
              <w:pStyle w:val="Tabletext"/>
              <w:rPr>
                <w:rFonts w:ascii="Calibri" w:hAnsi="Calibri" w:cs="Calibri"/>
              </w:rPr>
            </w:pPr>
            <w:r w:rsidRPr="003A0120">
              <w:rPr>
                <w:rFonts w:ascii="Calibri" w:hAnsi="Calibri" w:cs="Calibri"/>
              </w:rPr>
              <w:t>Speech pathology that meets the service requirements specified in subsection (2)</w:t>
            </w:r>
          </w:p>
        </w:tc>
      </w:tr>
      <w:tr w:rsidR="00FC08DA" w:rsidRPr="004636D4" w14:paraId="2923F9AC" w14:textId="77777777" w:rsidTr="00BD3D05">
        <w:tc>
          <w:tcPr>
            <w:tcW w:w="714" w:type="dxa"/>
          </w:tcPr>
          <w:p w14:paraId="62A923F9"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0DD5FDFF" w14:textId="77777777" w:rsidR="00FC08DA" w:rsidRPr="003A0120" w:rsidRDefault="00FC08DA" w:rsidP="00BD3D05">
            <w:pPr>
              <w:pStyle w:val="Tabletext"/>
              <w:rPr>
                <w:rFonts w:ascii="Calibri" w:hAnsi="Calibri" w:cs="Calibri"/>
              </w:rPr>
            </w:pPr>
            <w:r w:rsidRPr="003A0120">
              <w:rPr>
                <w:rFonts w:ascii="Calibri" w:hAnsi="Calibri" w:cs="Calibri"/>
              </w:rPr>
              <w:t>Diet or nutrition</w:t>
            </w:r>
          </w:p>
        </w:tc>
        <w:tc>
          <w:tcPr>
            <w:tcW w:w="5954" w:type="dxa"/>
          </w:tcPr>
          <w:p w14:paraId="657DE0BF" w14:textId="77777777" w:rsidR="00FC08DA" w:rsidRPr="003A0120" w:rsidRDefault="00FC08DA" w:rsidP="00BD3D05">
            <w:pPr>
              <w:pStyle w:val="Tabletext"/>
              <w:rPr>
                <w:rFonts w:ascii="Calibri" w:hAnsi="Calibri" w:cs="Calibri"/>
              </w:rPr>
            </w:pPr>
            <w:r w:rsidRPr="003A0120">
              <w:rPr>
                <w:rFonts w:ascii="Calibri" w:hAnsi="Calibri" w:cs="Calibri"/>
              </w:rPr>
              <w:t>Assistance with diet or nutrition that meets the service requirements specified in subsection (2)</w:t>
            </w:r>
          </w:p>
        </w:tc>
      </w:tr>
      <w:tr w:rsidR="00FC08DA" w:rsidRPr="004636D4" w14:paraId="0D4B43D4" w14:textId="77777777" w:rsidTr="00BD3D05">
        <w:tc>
          <w:tcPr>
            <w:tcW w:w="714" w:type="dxa"/>
          </w:tcPr>
          <w:p w14:paraId="642DFFBE"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53B90812" w14:textId="77777777" w:rsidR="00FC08DA" w:rsidRPr="003A0120" w:rsidRDefault="00FC08DA" w:rsidP="00BD3D05">
            <w:pPr>
              <w:pStyle w:val="Tabletext"/>
              <w:rPr>
                <w:rFonts w:ascii="Calibri" w:hAnsi="Calibri" w:cs="Calibri"/>
              </w:rPr>
            </w:pPr>
            <w:r w:rsidRPr="003A0120">
              <w:rPr>
                <w:rFonts w:ascii="Calibri" w:hAnsi="Calibri" w:cs="Calibri"/>
              </w:rPr>
              <w:t>Aboriginal or Torres Strait Islander Health Practitioner assistance</w:t>
            </w:r>
          </w:p>
        </w:tc>
        <w:tc>
          <w:tcPr>
            <w:tcW w:w="5954" w:type="dxa"/>
          </w:tcPr>
          <w:p w14:paraId="7C777187" w14:textId="77777777" w:rsidR="00FC08DA" w:rsidRPr="003A0120" w:rsidRDefault="00FC08DA" w:rsidP="00BD3D05">
            <w:pPr>
              <w:pStyle w:val="Tabletext"/>
              <w:rPr>
                <w:rFonts w:ascii="Calibri" w:hAnsi="Calibri" w:cs="Calibri"/>
              </w:rPr>
            </w:pPr>
            <w:r w:rsidRPr="003A0120">
              <w:rPr>
                <w:rFonts w:ascii="Calibri" w:hAnsi="Calibri" w:cs="Calibri"/>
              </w:rPr>
              <w:t>Assistance provided by an Aboriginal or Torres Strait Islander Health Practitioner that meets the service requirements specified in subsection (2)</w:t>
            </w:r>
          </w:p>
        </w:tc>
      </w:tr>
      <w:tr w:rsidR="00FC08DA" w:rsidRPr="004636D4" w14:paraId="4D2A005C" w14:textId="77777777" w:rsidTr="00BD3D05">
        <w:tc>
          <w:tcPr>
            <w:tcW w:w="714" w:type="dxa"/>
          </w:tcPr>
          <w:p w14:paraId="1B75D231"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120D61CB" w14:textId="77777777" w:rsidR="00FC08DA" w:rsidRPr="003A0120" w:rsidRDefault="00FC08DA" w:rsidP="00BD3D05">
            <w:pPr>
              <w:pStyle w:val="Tabletext"/>
              <w:rPr>
                <w:rFonts w:ascii="Calibri" w:hAnsi="Calibri" w:cs="Calibri"/>
              </w:rPr>
            </w:pPr>
            <w:r w:rsidRPr="003A0120">
              <w:rPr>
                <w:rFonts w:ascii="Calibri" w:hAnsi="Calibri" w:cs="Calibri"/>
              </w:rPr>
              <w:t>Aboriginal or Torres Strait Islander Health Worker assistance</w:t>
            </w:r>
          </w:p>
        </w:tc>
        <w:tc>
          <w:tcPr>
            <w:tcW w:w="5954" w:type="dxa"/>
          </w:tcPr>
          <w:p w14:paraId="266D60DF" w14:textId="77777777" w:rsidR="00FC08DA" w:rsidRPr="003A0120" w:rsidRDefault="00FC08DA" w:rsidP="00BD3D05">
            <w:pPr>
              <w:pStyle w:val="Tabletext"/>
              <w:rPr>
                <w:rFonts w:ascii="Calibri" w:hAnsi="Calibri" w:cs="Calibri"/>
              </w:rPr>
            </w:pPr>
            <w:r w:rsidRPr="003A0120">
              <w:rPr>
                <w:rFonts w:ascii="Calibri" w:hAnsi="Calibri" w:cs="Calibri"/>
              </w:rPr>
              <w:t>Assistance provided by an Aboriginal or Torres Strait Islander Health Worker that meets the service requirements specified in subsection (2)</w:t>
            </w:r>
          </w:p>
        </w:tc>
      </w:tr>
      <w:tr w:rsidR="00FC08DA" w:rsidRPr="004636D4" w14:paraId="70D665F9" w14:textId="77777777" w:rsidTr="00BD3D05">
        <w:tc>
          <w:tcPr>
            <w:tcW w:w="714" w:type="dxa"/>
          </w:tcPr>
          <w:p w14:paraId="5F5CAFD9"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Pr>
          <w:p w14:paraId="01D2FD4A" w14:textId="77777777" w:rsidR="00FC08DA" w:rsidRPr="003A0120" w:rsidRDefault="00FC08DA" w:rsidP="00BD3D05">
            <w:pPr>
              <w:pStyle w:val="Tabletext"/>
              <w:rPr>
                <w:rFonts w:ascii="Calibri" w:hAnsi="Calibri" w:cs="Calibri"/>
              </w:rPr>
            </w:pPr>
            <w:r w:rsidRPr="003A0120">
              <w:rPr>
                <w:rFonts w:ascii="Calibri" w:hAnsi="Calibri" w:cs="Calibri"/>
              </w:rPr>
              <w:t>Physiotherapy</w:t>
            </w:r>
          </w:p>
        </w:tc>
        <w:tc>
          <w:tcPr>
            <w:tcW w:w="5954" w:type="dxa"/>
          </w:tcPr>
          <w:p w14:paraId="164BB11D" w14:textId="77777777" w:rsidR="00FC08DA" w:rsidRPr="003A0120" w:rsidRDefault="00FC08DA" w:rsidP="00BD3D05">
            <w:pPr>
              <w:pStyle w:val="Tabletext"/>
              <w:rPr>
                <w:rFonts w:ascii="Calibri" w:hAnsi="Calibri" w:cs="Calibri"/>
              </w:rPr>
            </w:pPr>
            <w:r w:rsidRPr="003A0120">
              <w:rPr>
                <w:rFonts w:ascii="Calibri" w:hAnsi="Calibri" w:cs="Calibri"/>
              </w:rPr>
              <w:t>Physiotherapy that meets the service requirements specified in subsection (2)</w:t>
            </w:r>
          </w:p>
        </w:tc>
      </w:tr>
      <w:tr w:rsidR="00FC08DA" w:rsidRPr="004636D4" w14:paraId="32C89BE3" w14:textId="77777777" w:rsidTr="00BD3D05">
        <w:tc>
          <w:tcPr>
            <w:tcW w:w="714" w:type="dxa"/>
          </w:tcPr>
          <w:p w14:paraId="6C12FA64" w14:textId="77777777" w:rsidR="00FC08DA" w:rsidRPr="003A0120" w:rsidRDefault="00FC08DA" w:rsidP="00BD3D05">
            <w:pPr>
              <w:pStyle w:val="Tabletext"/>
              <w:rPr>
                <w:rFonts w:ascii="Calibri" w:hAnsi="Calibri" w:cs="Calibri"/>
              </w:rPr>
            </w:pPr>
            <w:r w:rsidRPr="003A0120">
              <w:rPr>
                <w:rFonts w:ascii="Calibri" w:hAnsi="Calibri" w:cs="Calibri"/>
              </w:rPr>
              <w:t>9</w:t>
            </w:r>
          </w:p>
        </w:tc>
        <w:tc>
          <w:tcPr>
            <w:tcW w:w="1691" w:type="dxa"/>
          </w:tcPr>
          <w:p w14:paraId="2F1CAEC3" w14:textId="77777777" w:rsidR="00FC08DA" w:rsidRPr="003A0120" w:rsidRDefault="00FC08DA" w:rsidP="00BD3D05">
            <w:pPr>
              <w:pStyle w:val="Tabletext"/>
              <w:rPr>
                <w:rFonts w:ascii="Calibri" w:hAnsi="Calibri" w:cs="Calibri"/>
              </w:rPr>
            </w:pPr>
            <w:r w:rsidRPr="003A0120">
              <w:rPr>
                <w:rFonts w:ascii="Calibri" w:hAnsi="Calibri" w:cs="Calibri"/>
              </w:rPr>
              <w:t>Psychology</w:t>
            </w:r>
          </w:p>
        </w:tc>
        <w:tc>
          <w:tcPr>
            <w:tcW w:w="5954" w:type="dxa"/>
          </w:tcPr>
          <w:p w14:paraId="7A693FFC" w14:textId="77777777" w:rsidR="00FC08DA" w:rsidRPr="003A0120" w:rsidRDefault="00FC08DA" w:rsidP="00BD3D05">
            <w:pPr>
              <w:pStyle w:val="Tabletext"/>
              <w:rPr>
                <w:rFonts w:ascii="Calibri" w:hAnsi="Calibri" w:cs="Calibri"/>
              </w:rPr>
            </w:pPr>
            <w:r w:rsidRPr="003A0120">
              <w:rPr>
                <w:rFonts w:ascii="Calibri" w:hAnsi="Calibri" w:cs="Calibri"/>
              </w:rPr>
              <w:t>Psychology that meets the service requirements specified in subsection (2)</w:t>
            </w:r>
          </w:p>
        </w:tc>
      </w:tr>
      <w:tr w:rsidR="00FC08DA" w:rsidRPr="004636D4" w14:paraId="4EBA5559" w14:textId="77777777" w:rsidTr="00BD3D05">
        <w:tc>
          <w:tcPr>
            <w:tcW w:w="714" w:type="dxa"/>
          </w:tcPr>
          <w:p w14:paraId="55111853" w14:textId="77777777" w:rsidR="00FC08DA" w:rsidRPr="003A0120" w:rsidRDefault="00FC08DA" w:rsidP="00BD3D05">
            <w:pPr>
              <w:pStyle w:val="Tabletext"/>
              <w:rPr>
                <w:rFonts w:ascii="Calibri" w:hAnsi="Calibri" w:cs="Calibri"/>
              </w:rPr>
            </w:pPr>
            <w:r w:rsidRPr="003A0120">
              <w:rPr>
                <w:rFonts w:ascii="Calibri" w:hAnsi="Calibri" w:cs="Calibri"/>
              </w:rPr>
              <w:t>10</w:t>
            </w:r>
          </w:p>
        </w:tc>
        <w:tc>
          <w:tcPr>
            <w:tcW w:w="1691" w:type="dxa"/>
          </w:tcPr>
          <w:p w14:paraId="0BDEFF39" w14:textId="77777777" w:rsidR="00FC08DA" w:rsidRPr="003A0120" w:rsidRDefault="00FC08DA" w:rsidP="00BD3D05">
            <w:pPr>
              <w:pStyle w:val="Tabletext"/>
              <w:rPr>
                <w:rFonts w:ascii="Calibri" w:hAnsi="Calibri" w:cs="Calibri"/>
              </w:rPr>
            </w:pPr>
            <w:r w:rsidRPr="003A0120">
              <w:rPr>
                <w:rFonts w:ascii="Calibri" w:hAnsi="Calibri" w:cs="Calibri"/>
              </w:rPr>
              <w:t>Exercise physiology</w:t>
            </w:r>
          </w:p>
        </w:tc>
        <w:tc>
          <w:tcPr>
            <w:tcW w:w="5954" w:type="dxa"/>
          </w:tcPr>
          <w:p w14:paraId="04F1E3BC" w14:textId="77777777" w:rsidR="00FC08DA" w:rsidRPr="003A0120" w:rsidRDefault="00FC08DA" w:rsidP="00BD3D05">
            <w:pPr>
              <w:pStyle w:val="Tabletext"/>
              <w:rPr>
                <w:rFonts w:ascii="Calibri" w:hAnsi="Calibri" w:cs="Calibri"/>
              </w:rPr>
            </w:pPr>
            <w:r w:rsidRPr="003A0120">
              <w:rPr>
                <w:rFonts w:ascii="Calibri" w:hAnsi="Calibri" w:cs="Calibri"/>
              </w:rPr>
              <w:t>Exercise physiology that meets the service requirements specified in subsection (2)</w:t>
            </w:r>
          </w:p>
        </w:tc>
      </w:tr>
      <w:tr w:rsidR="00FC08DA" w:rsidRPr="004636D4" w14:paraId="2D2ED456" w14:textId="77777777" w:rsidTr="00BD3D05">
        <w:tc>
          <w:tcPr>
            <w:tcW w:w="714" w:type="dxa"/>
          </w:tcPr>
          <w:p w14:paraId="5D691E0F" w14:textId="77777777" w:rsidR="00FC08DA" w:rsidRPr="003A0120" w:rsidRDefault="00FC08DA" w:rsidP="00BD3D05">
            <w:pPr>
              <w:pStyle w:val="Tabletext"/>
              <w:rPr>
                <w:rFonts w:ascii="Calibri" w:hAnsi="Calibri" w:cs="Calibri"/>
              </w:rPr>
            </w:pPr>
            <w:r w:rsidRPr="003A0120">
              <w:rPr>
                <w:rFonts w:ascii="Calibri" w:hAnsi="Calibri" w:cs="Calibri"/>
              </w:rPr>
              <w:t>11</w:t>
            </w:r>
          </w:p>
        </w:tc>
        <w:tc>
          <w:tcPr>
            <w:tcW w:w="1691" w:type="dxa"/>
          </w:tcPr>
          <w:p w14:paraId="24B3006A" w14:textId="77777777" w:rsidR="00FC08DA" w:rsidRPr="003A0120" w:rsidRDefault="00FC08DA" w:rsidP="00BD3D05">
            <w:pPr>
              <w:pStyle w:val="Tabletext"/>
              <w:rPr>
                <w:rFonts w:ascii="Calibri" w:hAnsi="Calibri" w:cs="Calibri"/>
              </w:rPr>
            </w:pPr>
            <w:r w:rsidRPr="003A0120">
              <w:rPr>
                <w:rFonts w:ascii="Calibri" w:hAnsi="Calibri" w:cs="Calibri"/>
              </w:rPr>
              <w:t>Occupational therapy</w:t>
            </w:r>
          </w:p>
        </w:tc>
        <w:tc>
          <w:tcPr>
            <w:tcW w:w="5954" w:type="dxa"/>
          </w:tcPr>
          <w:p w14:paraId="0223A99E" w14:textId="77777777" w:rsidR="00FC08DA" w:rsidRPr="003A0120" w:rsidRDefault="00FC08DA" w:rsidP="00BD3D05">
            <w:pPr>
              <w:pStyle w:val="Tabletext"/>
              <w:rPr>
                <w:rFonts w:ascii="Calibri" w:hAnsi="Calibri" w:cs="Calibri"/>
              </w:rPr>
            </w:pPr>
            <w:r w:rsidRPr="003A0120">
              <w:rPr>
                <w:rFonts w:ascii="Calibri" w:hAnsi="Calibri" w:cs="Calibri"/>
              </w:rPr>
              <w:t>Occupational therapy that meets the service requirements specified in subsection (2)</w:t>
            </w:r>
          </w:p>
        </w:tc>
      </w:tr>
      <w:tr w:rsidR="00FC08DA" w:rsidRPr="004636D4" w14:paraId="3ED7352B" w14:textId="77777777" w:rsidTr="00BD3D05">
        <w:tc>
          <w:tcPr>
            <w:tcW w:w="714" w:type="dxa"/>
            <w:tcBorders>
              <w:bottom w:val="single" w:sz="2" w:space="0" w:color="auto"/>
            </w:tcBorders>
          </w:tcPr>
          <w:p w14:paraId="7894BB16" w14:textId="77777777" w:rsidR="00FC08DA" w:rsidRPr="003A0120" w:rsidRDefault="00FC08DA" w:rsidP="00BD3D05">
            <w:pPr>
              <w:pStyle w:val="Tabletext"/>
              <w:rPr>
                <w:rFonts w:ascii="Calibri" w:hAnsi="Calibri" w:cs="Calibri"/>
              </w:rPr>
            </w:pPr>
            <w:r w:rsidRPr="003A0120">
              <w:rPr>
                <w:rFonts w:ascii="Calibri" w:hAnsi="Calibri" w:cs="Calibri"/>
              </w:rPr>
              <w:t>12</w:t>
            </w:r>
          </w:p>
        </w:tc>
        <w:tc>
          <w:tcPr>
            <w:tcW w:w="1691" w:type="dxa"/>
            <w:tcBorders>
              <w:bottom w:val="single" w:sz="2" w:space="0" w:color="auto"/>
            </w:tcBorders>
          </w:tcPr>
          <w:p w14:paraId="7CDA35A5" w14:textId="77777777" w:rsidR="00FC08DA" w:rsidRPr="003A0120" w:rsidRDefault="00FC08DA" w:rsidP="00BD3D05">
            <w:pPr>
              <w:pStyle w:val="Tabletext"/>
              <w:rPr>
                <w:rFonts w:ascii="Calibri" w:hAnsi="Calibri" w:cs="Calibri"/>
              </w:rPr>
            </w:pPr>
            <w:r w:rsidRPr="003A0120">
              <w:rPr>
                <w:rFonts w:ascii="Calibri" w:hAnsi="Calibri" w:cs="Calibri"/>
              </w:rPr>
              <w:t>Counselling or psychotherapy</w:t>
            </w:r>
          </w:p>
        </w:tc>
        <w:tc>
          <w:tcPr>
            <w:tcW w:w="5954" w:type="dxa"/>
            <w:tcBorders>
              <w:bottom w:val="single" w:sz="2" w:space="0" w:color="auto"/>
            </w:tcBorders>
          </w:tcPr>
          <w:p w14:paraId="5A49087B" w14:textId="77777777" w:rsidR="00FC08DA" w:rsidRPr="003A0120" w:rsidRDefault="00FC08DA" w:rsidP="00BD3D05">
            <w:pPr>
              <w:pStyle w:val="Tabletext"/>
              <w:rPr>
                <w:rFonts w:ascii="Calibri" w:hAnsi="Calibri" w:cs="Calibri"/>
              </w:rPr>
            </w:pPr>
            <w:r w:rsidRPr="003A0120">
              <w:rPr>
                <w:rFonts w:ascii="Calibri" w:hAnsi="Calibri" w:cs="Calibri"/>
              </w:rPr>
              <w:t>Counselling or psychotherapy that meets the service requirements specified in subsection (2)</w:t>
            </w:r>
          </w:p>
        </w:tc>
      </w:tr>
      <w:tr w:rsidR="00FC08DA" w:rsidRPr="004636D4" w14:paraId="013CFEFA" w14:textId="77777777" w:rsidTr="00BD3D05">
        <w:tc>
          <w:tcPr>
            <w:tcW w:w="714" w:type="dxa"/>
            <w:tcBorders>
              <w:top w:val="single" w:sz="2" w:space="0" w:color="auto"/>
              <w:bottom w:val="single" w:sz="12" w:space="0" w:color="auto"/>
            </w:tcBorders>
          </w:tcPr>
          <w:p w14:paraId="611F8E55" w14:textId="77777777" w:rsidR="00FC08DA" w:rsidRPr="003A0120" w:rsidRDefault="00FC08DA" w:rsidP="00BD3D05">
            <w:pPr>
              <w:pStyle w:val="Tabletext"/>
              <w:rPr>
                <w:rFonts w:ascii="Calibri" w:hAnsi="Calibri" w:cs="Calibri"/>
              </w:rPr>
            </w:pPr>
            <w:r w:rsidRPr="003A0120">
              <w:rPr>
                <w:rFonts w:ascii="Calibri" w:hAnsi="Calibri" w:cs="Calibri"/>
              </w:rPr>
              <w:t>13</w:t>
            </w:r>
          </w:p>
        </w:tc>
        <w:tc>
          <w:tcPr>
            <w:tcW w:w="1691" w:type="dxa"/>
            <w:tcBorders>
              <w:top w:val="single" w:sz="2" w:space="0" w:color="auto"/>
              <w:bottom w:val="single" w:sz="12" w:space="0" w:color="auto"/>
            </w:tcBorders>
          </w:tcPr>
          <w:p w14:paraId="12A4394F" w14:textId="77777777" w:rsidR="00FC08DA" w:rsidRPr="003A0120" w:rsidRDefault="00FC08DA" w:rsidP="00BD3D05">
            <w:pPr>
              <w:pStyle w:val="Tabletext"/>
              <w:rPr>
                <w:rFonts w:ascii="Calibri" w:hAnsi="Calibri" w:cs="Calibri"/>
              </w:rPr>
            </w:pPr>
            <w:r w:rsidRPr="003A0120">
              <w:rPr>
                <w:rFonts w:ascii="Calibri" w:hAnsi="Calibri" w:cs="Calibri"/>
              </w:rPr>
              <w:t>Music therapy</w:t>
            </w:r>
          </w:p>
        </w:tc>
        <w:tc>
          <w:tcPr>
            <w:tcW w:w="5954" w:type="dxa"/>
            <w:tcBorders>
              <w:top w:val="single" w:sz="2" w:space="0" w:color="auto"/>
              <w:bottom w:val="single" w:sz="12" w:space="0" w:color="auto"/>
            </w:tcBorders>
          </w:tcPr>
          <w:p w14:paraId="41374ACA" w14:textId="77777777" w:rsidR="00FC08DA" w:rsidRPr="003A0120" w:rsidRDefault="00FC08DA" w:rsidP="00BD3D05">
            <w:pPr>
              <w:pStyle w:val="Tabletext"/>
              <w:rPr>
                <w:rFonts w:ascii="Calibri" w:hAnsi="Calibri" w:cs="Calibri"/>
              </w:rPr>
            </w:pPr>
            <w:r w:rsidRPr="003A0120">
              <w:rPr>
                <w:rFonts w:ascii="Calibri" w:hAnsi="Calibri" w:cs="Calibri"/>
              </w:rPr>
              <w:t>Music therapy that meets the service requirements specified in subsection (2)</w:t>
            </w:r>
          </w:p>
        </w:tc>
      </w:tr>
    </w:tbl>
    <w:p w14:paraId="23831DDD" w14:textId="77777777" w:rsidR="00EA3AA3" w:rsidRDefault="00EA3AA3" w:rsidP="00FC08DA">
      <w:pPr>
        <w:pStyle w:val="ActHead"/>
        <w:rPr>
          <w:rStyle w:val="CharSectno"/>
          <w:rFonts w:ascii="Calibri" w:hAnsi="Calibri" w:cs="Calibri"/>
          <w:sz w:val="20"/>
        </w:rPr>
      </w:pPr>
    </w:p>
    <w:p w14:paraId="1C0E7D43" w14:textId="781D6E17" w:rsidR="00FC08DA" w:rsidRPr="003A0120" w:rsidRDefault="00EA3AA3" w:rsidP="007B7277">
      <w:pPr>
        <w:rPr>
          <w:rFonts w:cs="Calibri"/>
        </w:rPr>
      </w:pPr>
      <w:r>
        <w:rPr>
          <w:rStyle w:val="CharSectno"/>
          <w:rFonts w:cs="Calibri"/>
        </w:rPr>
        <w:br w:type="column"/>
      </w:r>
      <w:r w:rsidR="00FC08DA" w:rsidRPr="007B7277">
        <w:rPr>
          <w:b/>
          <w:bCs/>
          <w:sz w:val="22"/>
          <w:szCs w:val="22"/>
        </w:rPr>
        <w:lastRenderedPageBreak/>
        <w:t>8</w:t>
      </w:r>
      <w:r w:rsidR="00FC08DA" w:rsidRPr="007B7277">
        <w:rPr>
          <w:b/>
          <w:bCs/>
          <w:sz w:val="22"/>
          <w:szCs w:val="22"/>
        </w:rPr>
        <w:noBreakHyphen/>
        <w:t>20 Assistance with transition care</w:t>
      </w:r>
    </w:p>
    <w:p w14:paraId="505C6F22" w14:textId="50810184" w:rsidR="00FC08DA" w:rsidRDefault="00FC08DA" w:rsidP="007206E9">
      <w:pPr>
        <w:pStyle w:val="subsection"/>
        <w:rPr>
          <w:sz w:val="20"/>
        </w:rPr>
      </w:pPr>
      <w:r w:rsidRPr="003A0120">
        <w:rPr>
          <w:sz w:val="20"/>
        </w:rPr>
        <w:t>Each service listed and described the following table is in the service type assistance with transition care.</w:t>
      </w:r>
    </w:p>
    <w:p w14:paraId="0148226D" w14:textId="77777777" w:rsidR="004B3B52" w:rsidRPr="003A0120" w:rsidRDefault="004B3B52" w:rsidP="007206E9">
      <w:pPr>
        <w:pStyle w:val="subsection"/>
        <w:rPr>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549"/>
        <w:gridCol w:w="6096"/>
      </w:tblGrid>
      <w:tr w:rsidR="00FC08DA" w:rsidRPr="004636D4" w14:paraId="40B809BC" w14:textId="77777777" w:rsidTr="00BD3D05">
        <w:trPr>
          <w:tblHeader/>
        </w:trPr>
        <w:tc>
          <w:tcPr>
            <w:tcW w:w="8359" w:type="dxa"/>
            <w:gridSpan w:val="3"/>
            <w:tcBorders>
              <w:top w:val="single" w:sz="12" w:space="0" w:color="auto"/>
              <w:bottom w:val="single" w:sz="6" w:space="0" w:color="auto"/>
            </w:tcBorders>
          </w:tcPr>
          <w:p w14:paraId="05203C5A"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assistance with transition care</w:t>
            </w:r>
          </w:p>
        </w:tc>
      </w:tr>
      <w:tr w:rsidR="00FC08DA" w:rsidRPr="004636D4" w14:paraId="08154ECD" w14:textId="77777777" w:rsidTr="00BD3D05">
        <w:trPr>
          <w:tblHeader/>
        </w:trPr>
        <w:tc>
          <w:tcPr>
            <w:tcW w:w="714" w:type="dxa"/>
            <w:tcBorders>
              <w:top w:val="single" w:sz="6" w:space="0" w:color="auto"/>
              <w:bottom w:val="single" w:sz="12" w:space="0" w:color="auto"/>
            </w:tcBorders>
          </w:tcPr>
          <w:p w14:paraId="6F5A3E3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549" w:type="dxa"/>
            <w:tcBorders>
              <w:top w:val="single" w:sz="6" w:space="0" w:color="auto"/>
              <w:bottom w:val="single" w:sz="12" w:space="0" w:color="auto"/>
            </w:tcBorders>
          </w:tcPr>
          <w:p w14:paraId="7412E5A1"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4003D5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096" w:type="dxa"/>
            <w:tcBorders>
              <w:top w:val="single" w:sz="6" w:space="0" w:color="auto"/>
              <w:bottom w:val="single" w:sz="12" w:space="0" w:color="auto"/>
            </w:tcBorders>
          </w:tcPr>
          <w:p w14:paraId="683CE839"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3A5BB76"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6A263BC5" w14:textId="77777777" w:rsidTr="00BD3D05">
        <w:tc>
          <w:tcPr>
            <w:tcW w:w="714" w:type="dxa"/>
            <w:tcBorders>
              <w:top w:val="single" w:sz="12" w:space="0" w:color="auto"/>
            </w:tcBorders>
          </w:tcPr>
          <w:p w14:paraId="347CB30A"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549" w:type="dxa"/>
            <w:tcBorders>
              <w:top w:val="single" w:sz="12" w:space="0" w:color="auto"/>
            </w:tcBorders>
          </w:tcPr>
          <w:p w14:paraId="2EED52B0" w14:textId="77777777" w:rsidR="00FC08DA" w:rsidRPr="003A0120" w:rsidRDefault="00FC08DA" w:rsidP="00BD3D05">
            <w:pPr>
              <w:pStyle w:val="Tabletext"/>
              <w:rPr>
                <w:rFonts w:ascii="Calibri" w:hAnsi="Calibri" w:cs="Calibri"/>
              </w:rPr>
            </w:pPr>
            <w:r w:rsidRPr="003A0120">
              <w:rPr>
                <w:rFonts w:ascii="Calibri" w:hAnsi="Calibri" w:cs="Calibri"/>
              </w:rPr>
              <w:t>Transition care management</w:t>
            </w:r>
          </w:p>
        </w:tc>
        <w:tc>
          <w:tcPr>
            <w:tcW w:w="6096" w:type="dxa"/>
            <w:tcBorders>
              <w:top w:val="single" w:sz="12" w:space="0" w:color="auto"/>
            </w:tcBorders>
          </w:tcPr>
          <w:p w14:paraId="6189EB6C" w14:textId="77777777" w:rsidR="00FC08DA" w:rsidRPr="003A0120" w:rsidRDefault="00FC08DA" w:rsidP="00BD3D05">
            <w:pPr>
              <w:pStyle w:val="Tabletext"/>
              <w:rPr>
                <w:rFonts w:ascii="Calibri" w:hAnsi="Calibri" w:cs="Calibri"/>
              </w:rPr>
            </w:pPr>
            <w:r w:rsidRPr="003A0120">
              <w:rPr>
                <w:rFonts w:ascii="Calibri" w:hAnsi="Calibri" w:cs="Calibri"/>
              </w:rPr>
              <w:t>Initial and ongoing assessment, planning and management, and coordination and monitoring, of the individual’s movement from hospital, through the TCP and back into the community or into a residential care home, including the following:</w:t>
            </w:r>
          </w:p>
          <w:p w14:paraId="03198500" w14:textId="54E91928" w:rsidR="00FC08DA" w:rsidRPr="003A0120" w:rsidRDefault="00FC08DA" w:rsidP="00497EDC">
            <w:pPr>
              <w:pStyle w:val="Tablea"/>
              <w:rPr>
                <w:sz w:val="20"/>
              </w:rPr>
            </w:pPr>
            <w:r w:rsidRPr="003A0120">
              <w:rPr>
                <w:sz w:val="20"/>
              </w:rPr>
              <w:t>ensuring that:</w:t>
            </w:r>
          </w:p>
          <w:p w14:paraId="051000A9" w14:textId="77777777" w:rsidR="00FC08DA" w:rsidRPr="003A0120" w:rsidRDefault="00FC08DA" w:rsidP="00BD3D05">
            <w:pPr>
              <w:pStyle w:val="Tablei"/>
              <w:rPr>
                <w:rFonts w:ascii="Calibri" w:hAnsi="Calibri" w:cs="Calibri"/>
              </w:rPr>
            </w:pPr>
            <w:r w:rsidRPr="003A0120">
              <w:rPr>
                <w:rFonts w:ascii="Calibri" w:hAnsi="Calibri" w:cs="Calibri"/>
              </w:rPr>
              <w:t>(i) the individual’s care and services plan is carried out; and</w:t>
            </w:r>
          </w:p>
          <w:p w14:paraId="51F5F497" w14:textId="77777777" w:rsidR="00FC08DA" w:rsidRPr="003A0120" w:rsidRDefault="00FC08DA" w:rsidP="00BD3D05">
            <w:pPr>
              <w:pStyle w:val="Tablei"/>
              <w:rPr>
                <w:rFonts w:ascii="Calibri" w:hAnsi="Calibri" w:cs="Calibri"/>
              </w:rPr>
            </w:pPr>
            <w:r w:rsidRPr="003A0120">
              <w:rPr>
                <w:rFonts w:ascii="Calibri" w:hAnsi="Calibri" w:cs="Calibri"/>
              </w:rPr>
              <w:t>(ii) progress against the care and services plan goals is monitored;</w:t>
            </w:r>
          </w:p>
          <w:p w14:paraId="63B5213B" w14:textId="0D76F70A" w:rsidR="00FC08DA" w:rsidRPr="003A0120" w:rsidRDefault="00FC08DA" w:rsidP="00497EDC">
            <w:pPr>
              <w:pStyle w:val="Tablea"/>
              <w:rPr>
                <w:sz w:val="20"/>
              </w:rPr>
            </w:pPr>
            <w:r w:rsidRPr="003A0120">
              <w:rPr>
                <w:sz w:val="20"/>
              </w:rPr>
              <w:t xml:space="preserve"> acting as a central point of contact;</w:t>
            </w:r>
          </w:p>
          <w:p w14:paraId="36C8C3EE" w14:textId="27EFF681" w:rsidR="00FC08DA" w:rsidRPr="003A0120" w:rsidRDefault="00FC08DA" w:rsidP="00497EDC">
            <w:pPr>
              <w:pStyle w:val="Tablea"/>
              <w:rPr>
                <w:sz w:val="20"/>
              </w:rPr>
            </w:pPr>
            <w:r w:rsidRPr="003A0120">
              <w:rPr>
                <w:sz w:val="20"/>
              </w:rPr>
              <w:t>liaising with and organising all care requirements provided by external service providers (including registered health practitioners and allied health professionals);</w:t>
            </w:r>
          </w:p>
          <w:p w14:paraId="4F113FBA" w14:textId="3BD06B5C" w:rsidR="00FC08DA" w:rsidRPr="003A0120" w:rsidRDefault="00FC08DA" w:rsidP="00497EDC">
            <w:pPr>
              <w:pStyle w:val="Tablea"/>
              <w:rPr>
                <w:sz w:val="20"/>
              </w:rPr>
            </w:pPr>
            <w:r w:rsidRPr="003A0120">
              <w:rPr>
                <w:sz w:val="20"/>
              </w:rPr>
              <w:t>administration and operation of the TCP, including documentation relating to the individual;</w:t>
            </w:r>
          </w:p>
          <w:p w14:paraId="63C69A3C" w14:textId="45B3809D" w:rsidR="00FC08DA" w:rsidRPr="003A0120" w:rsidRDefault="00FC08DA" w:rsidP="00497EDC">
            <w:pPr>
              <w:pStyle w:val="Tablea"/>
              <w:rPr>
                <w:sz w:val="20"/>
              </w:rPr>
            </w:pPr>
            <w:r w:rsidRPr="003A0120">
              <w:rPr>
                <w:sz w:val="20"/>
              </w:rPr>
              <w:t>arranging for another aged care assessment if needed prior to the completion of the individual’s transition care episode;</w:t>
            </w:r>
          </w:p>
          <w:p w14:paraId="5517DD91" w14:textId="1BE130E3" w:rsidR="00FC08DA" w:rsidRPr="003A0120" w:rsidRDefault="00FC08DA" w:rsidP="00497EDC">
            <w:pPr>
              <w:pStyle w:val="Tablea"/>
              <w:rPr>
                <w:sz w:val="20"/>
              </w:rPr>
            </w:pPr>
            <w:r w:rsidRPr="003A0120">
              <w:rPr>
                <w:sz w:val="20"/>
              </w:rPr>
              <w:t>managing the individual’s transition into their post transition care arrangements, including a comprehensive written and verbal handover</w:t>
            </w:r>
          </w:p>
          <w:p w14:paraId="0F9BE17D" w14:textId="64165D56"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w:t>
            </w:r>
            <w:r w:rsidRPr="003A0120">
              <w:rPr>
                <w:rFonts w:ascii="Calibri" w:hAnsi="Calibri" w:cs="Calibri"/>
                <w:sz w:val="16"/>
                <w:szCs w:val="16"/>
              </w:rPr>
              <w:tab/>
              <w:t>For requirements for care and services plans, see paragraph 148(e) of the Act and Subdivisions A and D of Division 3 of Part 4 of Chapter 4 of this instrument. For Aged 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5838D23F" w14:textId="77777777" w:rsidTr="00BD3D05">
        <w:tc>
          <w:tcPr>
            <w:tcW w:w="714" w:type="dxa"/>
          </w:tcPr>
          <w:p w14:paraId="57CFD9B8"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549" w:type="dxa"/>
          </w:tcPr>
          <w:p w14:paraId="5BE049EC" w14:textId="77777777" w:rsidR="00FC08DA" w:rsidRPr="003A0120" w:rsidRDefault="00FC08DA" w:rsidP="00BD3D05">
            <w:pPr>
              <w:pStyle w:val="Tabletext"/>
              <w:rPr>
                <w:rFonts w:ascii="Calibri" w:hAnsi="Calibri" w:cs="Calibri"/>
              </w:rPr>
            </w:pPr>
            <w:r w:rsidRPr="003A0120">
              <w:rPr>
                <w:rFonts w:ascii="Calibri" w:hAnsi="Calibri" w:cs="Calibri"/>
              </w:rPr>
              <w:t>Assistance to access medical practitioner</w:t>
            </w:r>
          </w:p>
        </w:tc>
        <w:tc>
          <w:tcPr>
            <w:tcW w:w="6096" w:type="dxa"/>
          </w:tcPr>
          <w:p w14:paraId="4680DA05" w14:textId="77777777" w:rsidR="00FC08DA" w:rsidRPr="003A0120" w:rsidRDefault="00FC08DA" w:rsidP="00BD3D05">
            <w:pPr>
              <w:pStyle w:val="Tabletext"/>
              <w:rPr>
                <w:rFonts w:ascii="Calibri" w:hAnsi="Calibri" w:cs="Calibri"/>
              </w:rPr>
            </w:pPr>
            <w:r w:rsidRPr="003A0120">
              <w:rPr>
                <w:rFonts w:ascii="Calibri" w:hAnsi="Calibri" w:cs="Calibri"/>
              </w:rPr>
              <w:t>Transport for the individual to visit a medical practitioner, or assistance in arranging a home visit by a medical practitioner</w:t>
            </w:r>
          </w:p>
        </w:tc>
      </w:tr>
      <w:tr w:rsidR="00FC08DA" w:rsidRPr="004636D4" w14:paraId="6C41793E" w14:textId="77777777" w:rsidTr="00BD3D05">
        <w:tc>
          <w:tcPr>
            <w:tcW w:w="714" w:type="dxa"/>
          </w:tcPr>
          <w:p w14:paraId="16E6B253"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549" w:type="dxa"/>
          </w:tcPr>
          <w:p w14:paraId="2B53E229" w14:textId="77777777" w:rsidR="00FC08DA" w:rsidRPr="003A0120" w:rsidRDefault="00FC08DA" w:rsidP="00BD3D05">
            <w:pPr>
              <w:pStyle w:val="Tabletext"/>
              <w:rPr>
                <w:rFonts w:ascii="Calibri" w:hAnsi="Calibri" w:cs="Calibri"/>
              </w:rPr>
            </w:pPr>
            <w:r w:rsidRPr="003A0120">
              <w:rPr>
                <w:rFonts w:ascii="Calibri" w:hAnsi="Calibri" w:cs="Calibri"/>
              </w:rPr>
              <w:t>Transition care medication management</w:t>
            </w:r>
          </w:p>
        </w:tc>
        <w:tc>
          <w:tcPr>
            <w:tcW w:w="6096" w:type="dxa"/>
          </w:tcPr>
          <w:p w14:paraId="4C1807B9"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50ED3353" w14:textId="77777777" w:rsidR="00FC08DA" w:rsidRPr="003A0120" w:rsidRDefault="00FC08DA" w:rsidP="003A0120">
            <w:pPr>
              <w:pStyle w:val="Tablea"/>
              <w:numPr>
                <w:ilvl w:val="0"/>
                <w:numId w:val="0"/>
              </w:numPr>
              <w:ind w:left="720"/>
              <w:rPr>
                <w:sz w:val="20"/>
              </w:rPr>
            </w:pPr>
            <w:r w:rsidRPr="003A0120">
              <w:rPr>
                <w:sz w:val="20"/>
              </w:rPr>
              <w:t xml:space="preserve">(a) </w:t>
            </w:r>
            <w:r w:rsidRPr="003A0120">
              <w:rPr>
                <w:rFonts w:eastAsia="Calibri"/>
                <w:sz w:val="20"/>
              </w:rPr>
              <w:t>implementation of a safe and efficient system to manage prescribing, procuring, dispensing, supplying, packaging, storing and administering of both prescription and over</w:t>
            </w:r>
            <w:r w:rsidRPr="003A0120">
              <w:rPr>
                <w:rFonts w:eastAsia="Calibri"/>
                <w:sz w:val="20"/>
              </w:rPr>
              <w:noBreakHyphen/>
              <w:t>the</w:t>
            </w:r>
            <w:r w:rsidRPr="003A0120">
              <w:rPr>
                <w:rFonts w:eastAsia="Calibri"/>
                <w:sz w:val="20"/>
              </w:rPr>
              <w:noBreakHyphen/>
              <w:t>counter medicines;</w:t>
            </w:r>
          </w:p>
          <w:p w14:paraId="36D6DF4E" w14:textId="77777777" w:rsidR="00FC08DA" w:rsidRPr="003A0120" w:rsidRDefault="00FC08DA" w:rsidP="003A0120">
            <w:pPr>
              <w:pStyle w:val="Tablea"/>
              <w:numPr>
                <w:ilvl w:val="0"/>
                <w:numId w:val="0"/>
              </w:numPr>
              <w:ind w:left="720"/>
              <w:rPr>
                <w:sz w:val="20"/>
              </w:rPr>
            </w:pPr>
            <w:r w:rsidRPr="003A0120">
              <w:rPr>
                <w:sz w:val="20"/>
              </w:rPr>
              <w:t xml:space="preserve">(b) </w:t>
            </w:r>
            <w:r w:rsidRPr="003A0120">
              <w:rPr>
                <w:rFonts w:eastAsia="Calibri"/>
                <w:sz w:val="20"/>
              </w:rPr>
              <w:t>administration of, and monitoring the effects of, medication (including injections), including supervision and physical assistance with taking both prescription and over</w:t>
            </w:r>
            <w:r w:rsidRPr="003A0120">
              <w:rPr>
                <w:rFonts w:eastAsia="Calibri"/>
                <w:sz w:val="20"/>
              </w:rPr>
              <w:noBreakHyphen/>
              <w:t>the</w:t>
            </w:r>
            <w:r w:rsidRPr="003A0120">
              <w:rPr>
                <w:rFonts w:eastAsia="Calibri"/>
                <w:sz w:val="20"/>
              </w:rPr>
              <w:noBreakHyphen/>
              <w:t xml:space="preserve">counter medication under the delegation and clinical supervision of a registered nurse or other appropriate </w:t>
            </w:r>
            <w:r w:rsidRPr="003A0120">
              <w:rPr>
                <w:sz w:val="20"/>
              </w:rPr>
              <w:t>registered health practitioner</w:t>
            </w:r>
          </w:p>
        </w:tc>
      </w:tr>
      <w:tr w:rsidR="00FC08DA" w:rsidRPr="004636D4" w14:paraId="72A5E348" w14:textId="77777777" w:rsidTr="00BD3D05">
        <w:tc>
          <w:tcPr>
            <w:tcW w:w="714" w:type="dxa"/>
          </w:tcPr>
          <w:p w14:paraId="26D52B6C"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549" w:type="dxa"/>
          </w:tcPr>
          <w:p w14:paraId="5AEF974A" w14:textId="77777777" w:rsidR="00FC08DA" w:rsidRPr="003A0120" w:rsidRDefault="00FC08DA" w:rsidP="00BD3D05">
            <w:pPr>
              <w:pStyle w:val="Tabletext"/>
              <w:rPr>
                <w:rFonts w:ascii="Calibri" w:hAnsi="Calibri" w:cs="Calibri"/>
              </w:rPr>
            </w:pPr>
            <w:r w:rsidRPr="003A0120">
              <w:rPr>
                <w:rFonts w:ascii="Calibri" w:hAnsi="Calibri" w:cs="Calibri"/>
                <w:bCs/>
              </w:rPr>
              <w:t>Transition care emergency or after hours assistance</w:t>
            </w:r>
          </w:p>
        </w:tc>
        <w:tc>
          <w:tcPr>
            <w:tcW w:w="6096" w:type="dxa"/>
          </w:tcPr>
          <w:p w14:paraId="348BCF8B" w14:textId="77777777" w:rsidR="00FC08DA" w:rsidRPr="003A0120" w:rsidRDefault="00FC08DA" w:rsidP="00BD3D05">
            <w:pPr>
              <w:pStyle w:val="Tabletext"/>
              <w:rPr>
                <w:rFonts w:ascii="Calibri" w:hAnsi="Calibri" w:cs="Calibri"/>
              </w:rPr>
            </w:pPr>
            <w:r w:rsidRPr="003A0120">
              <w:rPr>
                <w:rFonts w:ascii="Calibri" w:hAnsi="Calibri" w:cs="Calibri"/>
              </w:rPr>
              <w:t>Having at least one suitably skilled employee of the registered provider or an appropriate agency and continuously on call to give emergency assistance when needed</w:t>
            </w:r>
          </w:p>
        </w:tc>
      </w:tr>
      <w:tr w:rsidR="00FC08DA" w:rsidRPr="004636D4" w14:paraId="17D87A47" w14:textId="77777777" w:rsidTr="00BD3D05">
        <w:tc>
          <w:tcPr>
            <w:tcW w:w="714" w:type="dxa"/>
            <w:tcBorders>
              <w:bottom w:val="single" w:sz="2" w:space="0" w:color="auto"/>
            </w:tcBorders>
          </w:tcPr>
          <w:p w14:paraId="610D2E8D"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549" w:type="dxa"/>
            <w:tcBorders>
              <w:bottom w:val="single" w:sz="2" w:space="0" w:color="auto"/>
            </w:tcBorders>
          </w:tcPr>
          <w:p w14:paraId="51BFB88E" w14:textId="77777777" w:rsidR="00FC08DA" w:rsidRPr="003A0120" w:rsidRDefault="00FC08DA" w:rsidP="00BD3D05">
            <w:pPr>
              <w:pStyle w:val="Tabletext"/>
              <w:rPr>
                <w:rFonts w:ascii="Calibri" w:hAnsi="Calibri" w:cs="Calibri"/>
              </w:rPr>
            </w:pPr>
            <w:r w:rsidRPr="003A0120">
              <w:rPr>
                <w:rFonts w:ascii="Calibri" w:hAnsi="Calibri" w:cs="Calibri"/>
              </w:rPr>
              <w:t>Transition care continence management</w:t>
            </w:r>
          </w:p>
        </w:tc>
        <w:tc>
          <w:tcPr>
            <w:tcW w:w="6096" w:type="dxa"/>
            <w:tcBorders>
              <w:bottom w:val="single" w:sz="2" w:space="0" w:color="auto"/>
            </w:tcBorders>
          </w:tcPr>
          <w:p w14:paraId="4317F78D"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The following:</w:t>
            </w:r>
          </w:p>
          <w:p w14:paraId="0980BF82" w14:textId="77777777" w:rsidR="00FC08DA" w:rsidRPr="003A0120" w:rsidRDefault="00FC08DA" w:rsidP="00122B0E">
            <w:pPr>
              <w:pStyle w:val="Tablea"/>
              <w:numPr>
                <w:ilvl w:val="0"/>
                <w:numId w:val="0"/>
              </w:numPr>
              <w:ind w:left="345"/>
              <w:rPr>
                <w:rFonts w:eastAsia="Calibri"/>
                <w:sz w:val="20"/>
              </w:rPr>
            </w:pPr>
            <w:r w:rsidRPr="003A0120">
              <w:rPr>
                <w:rFonts w:eastAsia="Calibri"/>
                <w:sz w:val="20"/>
              </w:rPr>
              <w:t>(a) assisting the individual to:</w:t>
            </w:r>
          </w:p>
          <w:p w14:paraId="2B3F853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maintain continence or manage incontinence; and</w:t>
            </w:r>
          </w:p>
          <w:p w14:paraId="3EE56DA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use aids and appliances designed to assist continence management;</w:t>
            </w:r>
          </w:p>
          <w:p w14:paraId="02ACC377" w14:textId="77777777" w:rsidR="00FC08DA" w:rsidRPr="003A0120" w:rsidRDefault="00FC08DA" w:rsidP="003A0120">
            <w:pPr>
              <w:pStyle w:val="Tablea"/>
              <w:numPr>
                <w:ilvl w:val="0"/>
                <w:numId w:val="0"/>
              </w:numPr>
              <w:ind w:left="720"/>
              <w:rPr>
                <w:rFonts w:eastAsia="Calibri"/>
                <w:sz w:val="20"/>
              </w:rPr>
            </w:pPr>
            <w:r w:rsidRPr="003A0120">
              <w:rPr>
                <w:rFonts w:eastAsia="Calibri"/>
                <w:sz w:val="20"/>
              </w:rPr>
              <w:t>(b) the supply of aids and appliances designed to assist continence management to meet the individual’s needs, including the following:</w:t>
            </w:r>
          </w:p>
          <w:p w14:paraId="38D3624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lastRenderedPageBreak/>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206D3009"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(ii) as many continence aids (such as disposable urinal covers, pants, pads, chair pads and enemas) as are needed to meet the individual’s needs</w:t>
            </w:r>
          </w:p>
        </w:tc>
      </w:tr>
      <w:tr w:rsidR="00FC08DA" w:rsidRPr="004636D4" w14:paraId="36E73C88" w14:textId="77777777" w:rsidTr="00BD3D05">
        <w:tc>
          <w:tcPr>
            <w:tcW w:w="714" w:type="dxa"/>
            <w:tcBorders>
              <w:top w:val="single" w:sz="2" w:space="0" w:color="auto"/>
              <w:bottom w:val="single" w:sz="12" w:space="0" w:color="auto"/>
            </w:tcBorders>
          </w:tcPr>
          <w:p w14:paraId="66D7A153" w14:textId="77777777" w:rsidR="00FC08DA" w:rsidRPr="003A0120" w:rsidRDefault="00FC08DA" w:rsidP="00BD3D05">
            <w:pPr>
              <w:pStyle w:val="Tabletext"/>
              <w:rPr>
                <w:rFonts w:ascii="Calibri" w:hAnsi="Calibri" w:cs="Calibri"/>
              </w:rPr>
            </w:pPr>
            <w:r w:rsidRPr="003A0120">
              <w:rPr>
                <w:rFonts w:ascii="Calibri" w:hAnsi="Calibri" w:cs="Calibri"/>
              </w:rPr>
              <w:lastRenderedPageBreak/>
              <w:t>6</w:t>
            </w:r>
          </w:p>
        </w:tc>
        <w:tc>
          <w:tcPr>
            <w:tcW w:w="1549" w:type="dxa"/>
            <w:tcBorders>
              <w:top w:val="single" w:sz="2" w:space="0" w:color="auto"/>
              <w:bottom w:val="single" w:sz="12" w:space="0" w:color="auto"/>
            </w:tcBorders>
          </w:tcPr>
          <w:p w14:paraId="7954DB72" w14:textId="77777777" w:rsidR="00FC08DA" w:rsidRPr="003A0120" w:rsidRDefault="00FC08DA" w:rsidP="00BD3D05">
            <w:pPr>
              <w:pStyle w:val="Tabletext"/>
              <w:rPr>
                <w:rFonts w:ascii="Calibri" w:hAnsi="Calibri" w:cs="Calibri"/>
              </w:rPr>
            </w:pPr>
            <w:r w:rsidRPr="003A0120">
              <w:rPr>
                <w:rFonts w:ascii="Calibri" w:hAnsi="Calibri" w:cs="Calibri"/>
              </w:rPr>
              <w:t>Waste disposal</w:t>
            </w:r>
          </w:p>
        </w:tc>
        <w:tc>
          <w:tcPr>
            <w:tcW w:w="6096" w:type="dxa"/>
            <w:tcBorders>
              <w:top w:val="single" w:sz="2" w:space="0" w:color="auto"/>
              <w:bottom w:val="single" w:sz="12" w:space="0" w:color="auto"/>
            </w:tcBorders>
          </w:tcPr>
          <w:p w14:paraId="47738CA4" w14:textId="77777777" w:rsidR="00FC08DA" w:rsidRPr="003A0120" w:rsidRDefault="00FC08DA" w:rsidP="00BD3D05">
            <w:pPr>
              <w:pStyle w:val="Tabletext"/>
              <w:rPr>
                <w:rFonts w:ascii="Calibri" w:hAnsi="Calibri" w:cs="Calibri"/>
              </w:rPr>
            </w:pPr>
            <w:r w:rsidRPr="003A0120">
              <w:rPr>
                <w:rFonts w:ascii="Calibri" w:hAnsi="Calibri" w:cs="Calibri"/>
              </w:rPr>
              <w:t>Safe disposal of transition care related organic and inorganic waste material</w:t>
            </w:r>
          </w:p>
        </w:tc>
      </w:tr>
    </w:tbl>
    <w:p w14:paraId="6009F5C9" w14:textId="4E7B91A8" w:rsidR="00FC08DA" w:rsidRPr="003A0120" w:rsidRDefault="00FC08DA" w:rsidP="007B7277">
      <w:pPr>
        <w:rPr>
          <w:rFonts w:cs="Calibri"/>
        </w:rPr>
      </w:pPr>
      <w:r w:rsidRPr="007B7277">
        <w:rPr>
          <w:b/>
          <w:bCs/>
          <w:sz w:val="22"/>
          <w:szCs w:val="22"/>
        </w:rPr>
        <w:t>8</w:t>
      </w:r>
      <w:r w:rsidRPr="007B7277">
        <w:rPr>
          <w:b/>
          <w:bCs/>
          <w:sz w:val="22"/>
          <w:szCs w:val="22"/>
        </w:rPr>
        <w:noBreakHyphen/>
        <w:t>35 Domestic assistance</w:t>
      </w:r>
    </w:p>
    <w:p w14:paraId="69F85FD0" w14:textId="6C8892FB" w:rsidR="00FC08DA" w:rsidRDefault="00FC08DA" w:rsidP="007206E9">
      <w:pPr>
        <w:pStyle w:val="subsection"/>
        <w:rPr>
          <w:rFonts w:cs="Calibri"/>
          <w:sz w:val="20"/>
        </w:rPr>
      </w:pPr>
      <w:r w:rsidRPr="003A0120">
        <w:rPr>
          <w:rFonts w:cs="Calibri"/>
          <w:sz w:val="20"/>
        </w:rPr>
        <w:t>A service listed and described in an item of the following table is in the service type domestic assistance.</w:t>
      </w:r>
    </w:p>
    <w:p w14:paraId="648C2320" w14:textId="77777777" w:rsidR="004B3B52" w:rsidRPr="003A0120" w:rsidRDefault="004B3B52" w:rsidP="007206E9">
      <w:pPr>
        <w:pStyle w:val="subsection"/>
        <w:rPr>
          <w:rFonts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300"/>
        <w:gridCol w:w="6345"/>
      </w:tblGrid>
      <w:tr w:rsidR="00FC08DA" w:rsidRPr="004636D4" w14:paraId="786A8D27" w14:textId="77777777" w:rsidTr="00BD3D05">
        <w:trPr>
          <w:tblHeader/>
        </w:trPr>
        <w:tc>
          <w:tcPr>
            <w:tcW w:w="8359" w:type="dxa"/>
            <w:gridSpan w:val="3"/>
            <w:tcBorders>
              <w:top w:val="single" w:sz="12" w:space="0" w:color="auto"/>
              <w:bottom w:val="single" w:sz="6" w:space="0" w:color="auto"/>
            </w:tcBorders>
          </w:tcPr>
          <w:p w14:paraId="78809895"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domestic assistance</w:t>
            </w:r>
          </w:p>
        </w:tc>
      </w:tr>
      <w:tr w:rsidR="00FC08DA" w:rsidRPr="004636D4" w14:paraId="05BA6B6E" w14:textId="77777777" w:rsidTr="00D31B69">
        <w:trPr>
          <w:tblHeader/>
        </w:trPr>
        <w:tc>
          <w:tcPr>
            <w:tcW w:w="714" w:type="dxa"/>
            <w:tcBorders>
              <w:top w:val="single" w:sz="6" w:space="0" w:color="auto"/>
              <w:bottom w:val="single" w:sz="12" w:space="0" w:color="auto"/>
            </w:tcBorders>
          </w:tcPr>
          <w:p w14:paraId="2AB60948"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300" w:type="dxa"/>
            <w:tcBorders>
              <w:top w:val="single" w:sz="6" w:space="0" w:color="auto"/>
              <w:bottom w:val="single" w:sz="12" w:space="0" w:color="auto"/>
            </w:tcBorders>
          </w:tcPr>
          <w:p w14:paraId="248EC93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4CA8725"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345" w:type="dxa"/>
            <w:tcBorders>
              <w:top w:val="single" w:sz="6" w:space="0" w:color="auto"/>
              <w:bottom w:val="single" w:sz="12" w:space="0" w:color="auto"/>
            </w:tcBorders>
          </w:tcPr>
          <w:p w14:paraId="38AF5E73"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3AC72A9C"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2F793894" w14:textId="77777777" w:rsidTr="00D31B69">
        <w:tc>
          <w:tcPr>
            <w:tcW w:w="714" w:type="dxa"/>
            <w:tcBorders>
              <w:top w:val="single" w:sz="12" w:space="0" w:color="auto"/>
            </w:tcBorders>
          </w:tcPr>
          <w:p w14:paraId="5BB81CBF"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300" w:type="dxa"/>
            <w:tcBorders>
              <w:top w:val="single" w:sz="12" w:space="0" w:color="auto"/>
            </w:tcBorders>
          </w:tcPr>
          <w:p w14:paraId="4133B7A9" w14:textId="77777777" w:rsidR="00FC08DA" w:rsidRPr="003A0120" w:rsidRDefault="00FC08DA" w:rsidP="00BD3D05">
            <w:pPr>
              <w:pStyle w:val="Tabletext"/>
              <w:rPr>
                <w:rFonts w:ascii="Calibri" w:hAnsi="Calibri" w:cs="Calibri"/>
              </w:rPr>
            </w:pPr>
            <w:r w:rsidRPr="003A0120">
              <w:rPr>
                <w:rFonts w:ascii="Calibri" w:hAnsi="Calibri" w:cs="Calibri"/>
              </w:rPr>
              <w:t>General house cleaning</w:t>
            </w:r>
          </w:p>
        </w:tc>
        <w:tc>
          <w:tcPr>
            <w:tcW w:w="6345" w:type="dxa"/>
            <w:tcBorders>
              <w:top w:val="single" w:sz="12" w:space="0" w:color="auto"/>
            </w:tcBorders>
          </w:tcPr>
          <w:p w14:paraId="781993ED" w14:textId="77777777" w:rsidR="00FC08DA" w:rsidRPr="003A0120" w:rsidRDefault="00FC08DA" w:rsidP="00497EDC">
            <w:pPr>
              <w:pStyle w:val="TableParagraph"/>
              <w:rPr>
                <w:sz w:val="20"/>
                <w:szCs w:val="20"/>
              </w:rPr>
            </w:pPr>
            <w:r w:rsidRPr="003A0120">
              <w:rPr>
                <w:sz w:val="20"/>
                <w:szCs w:val="20"/>
              </w:rPr>
              <w:t>The following:</w:t>
            </w:r>
          </w:p>
          <w:p w14:paraId="084CDA85" w14:textId="2419DC8D" w:rsidR="00FC08DA" w:rsidRPr="003A0120" w:rsidRDefault="00FC08DA" w:rsidP="0050112F">
            <w:pPr>
              <w:pStyle w:val="Tablea"/>
              <w:numPr>
                <w:ilvl w:val="0"/>
                <w:numId w:val="73"/>
              </w:numPr>
              <w:rPr>
                <w:sz w:val="20"/>
              </w:rPr>
            </w:pPr>
            <w:r w:rsidRPr="003A0120">
              <w:rPr>
                <w:sz w:val="20"/>
              </w:rPr>
              <w:t>the provision of, or assistance with, light household cleaning, including mopping, vacuuming, washing dishes, and general tidying of surface areas, that ensure the individual remains safe at home;</w:t>
            </w:r>
          </w:p>
          <w:p w14:paraId="0767D7B1" w14:textId="1811F1E2" w:rsidR="00FC08DA" w:rsidRPr="003A0120" w:rsidRDefault="00FC08DA" w:rsidP="00497EDC">
            <w:pPr>
              <w:pStyle w:val="Tablea"/>
              <w:rPr>
                <w:sz w:val="20"/>
              </w:rPr>
            </w:pPr>
            <w:r w:rsidRPr="003A0120">
              <w:rPr>
                <w:sz w:val="20"/>
              </w:rPr>
              <w:t>the supply of equipment or consumables required for cleaning mentioned in paragraph (a);</w:t>
            </w:r>
          </w:p>
          <w:p w14:paraId="35CA5DB2" w14:textId="77777777" w:rsidR="00FC08DA" w:rsidRPr="003A0120" w:rsidRDefault="00FC08DA" w:rsidP="00497EDC">
            <w:pPr>
              <w:pStyle w:val="TableParagraph"/>
              <w:rPr>
                <w:sz w:val="20"/>
                <w:szCs w:val="20"/>
              </w:rPr>
            </w:pPr>
            <w:r w:rsidRPr="003A0120">
              <w:rPr>
                <w:sz w:val="20"/>
                <w:szCs w:val="20"/>
              </w:rPr>
              <w:t xml:space="preserve">but not including professional cleaning that would usually be paid for </w:t>
            </w:r>
            <w:r w:rsidRPr="003A0120">
              <w:rPr>
                <w:rFonts w:eastAsia="Calibri"/>
                <w:sz w:val="20"/>
                <w:szCs w:val="20"/>
              </w:rPr>
              <w:t xml:space="preserve">by an individual </w:t>
            </w:r>
            <w:r w:rsidRPr="003A0120">
              <w:rPr>
                <w:sz w:val="20"/>
                <w:szCs w:val="20"/>
              </w:rPr>
              <w:t>(such as carpet cleaning, pest control, dry cleaning or pet care)</w:t>
            </w:r>
          </w:p>
        </w:tc>
      </w:tr>
      <w:tr w:rsidR="00FC08DA" w:rsidRPr="004636D4" w14:paraId="5F2FCF84" w14:textId="77777777" w:rsidTr="00D31B69">
        <w:tc>
          <w:tcPr>
            <w:tcW w:w="714" w:type="dxa"/>
            <w:tcBorders>
              <w:bottom w:val="single" w:sz="2" w:space="0" w:color="auto"/>
            </w:tcBorders>
          </w:tcPr>
          <w:p w14:paraId="587C411C"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300" w:type="dxa"/>
            <w:tcBorders>
              <w:bottom w:val="single" w:sz="2" w:space="0" w:color="auto"/>
            </w:tcBorders>
          </w:tcPr>
          <w:p w14:paraId="31DAA39E" w14:textId="77777777" w:rsidR="00FC08DA" w:rsidRPr="003A0120" w:rsidRDefault="00FC08DA" w:rsidP="00BD3D05">
            <w:pPr>
              <w:pStyle w:val="Tabletext"/>
              <w:rPr>
                <w:rFonts w:ascii="Calibri" w:hAnsi="Calibri" w:cs="Calibri"/>
              </w:rPr>
            </w:pPr>
            <w:r w:rsidRPr="003A0120">
              <w:rPr>
                <w:rFonts w:ascii="Calibri" w:hAnsi="Calibri" w:cs="Calibri"/>
              </w:rPr>
              <w:t>Laundry services</w:t>
            </w:r>
          </w:p>
        </w:tc>
        <w:tc>
          <w:tcPr>
            <w:tcW w:w="6345" w:type="dxa"/>
            <w:tcBorders>
              <w:bottom w:val="single" w:sz="2" w:space="0" w:color="auto"/>
            </w:tcBorders>
          </w:tcPr>
          <w:p w14:paraId="2BC3B313" w14:textId="77777777" w:rsidR="00FC08DA" w:rsidRPr="003A0120" w:rsidRDefault="00FC08DA" w:rsidP="00497EDC">
            <w:pPr>
              <w:pStyle w:val="TableParagraph"/>
              <w:rPr>
                <w:sz w:val="20"/>
                <w:szCs w:val="20"/>
              </w:rPr>
            </w:pPr>
            <w:r w:rsidRPr="003A0120">
              <w:rPr>
                <w:sz w:val="20"/>
                <w:szCs w:val="20"/>
              </w:rPr>
              <w:t>The following:</w:t>
            </w:r>
          </w:p>
          <w:p w14:paraId="0DB9AF1B" w14:textId="4AAEC4CE" w:rsidR="00FC08DA" w:rsidRPr="003A0120" w:rsidRDefault="00FC08DA" w:rsidP="0050112F">
            <w:pPr>
              <w:pStyle w:val="Tablea"/>
              <w:numPr>
                <w:ilvl w:val="0"/>
                <w:numId w:val="74"/>
              </w:numPr>
              <w:rPr>
                <w:sz w:val="20"/>
              </w:rPr>
            </w:pPr>
            <w:r w:rsidRPr="003A0120">
              <w:rPr>
                <w:sz w:val="20"/>
              </w:rPr>
              <w:t>provision of, or assistance with, laundry activities including but not limited to the laundering of clothing and bedding and the ironing of clothing;</w:t>
            </w:r>
          </w:p>
          <w:p w14:paraId="277F5210" w14:textId="208F5B42" w:rsidR="00FC08DA" w:rsidRPr="003A0120" w:rsidRDefault="00FC08DA" w:rsidP="00497EDC">
            <w:pPr>
              <w:pStyle w:val="Tablea"/>
              <w:rPr>
                <w:sz w:val="20"/>
              </w:rPr>
            </w:pPr>
            <w:r w:rsidRPr="003A0120">
              <w:rPr>
                <w:sz w:val="20"/>
              </w:rPr>
              <w:t>the supply of consumables required for laundry activities mentioned in paragraph (a);</w:t>
            </w:r>
          </w:p>
          <w:p w14:paraId="5A7BEC94" w14:textId="77777777" w:rsidR="00FC08DA" w:rsidRPr="003A0120" w:rsidRDefault="00FC08DA" w:rsidP="00497EDC">
            <w:pPr>
              <w:pStyle w:val="TableParagraph"/>
              <w:rPr>
                <w:sz w:val="20"/>
                <w:szCs w:val="20"/>
              </w:rPr>
            </w:pPr>
            <w:r w:rsidRPr="003A0120">
              <w:rPr>
                <w:sz w:val="20"/>
                <w:szCs w:val="20"/>
              </w:rPr>
              <w:t>but not including dry cleaning</w:t>
            </w:r>
          </w:p>
        </w:tc>
      </w:tr>
      <w:tr w:rsidR="00FC08DA" w:rsidRPr="004636D4" w14:paraId="74CC20E8" w14:textId="77777777" w:rsidTr="00D31B69">
        <w:tc>
          <w:tcPr>
            <w:tcW w:w="714" w:type="dxa"/>
            <w:tcBorders>
              <w:top w:val="single" w:sz="2" w:space="0" w:color="auto"/>
              <w:bottom w:val="single" w:sz="12" w:space="0" w:color="auto"/>
            </w:tcBorders>
          </w:tcPr>
          <w:p w14:paraId="4838EE6B"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300" w:type="dxa"/>
            <w:tcBorders>
              <w:top w:val="single" w:sz="2" w:space="0" w:color="auto"/>
              <w:bottom w:val="single" w:sz="12" w:space="0" w:color="auto"/>
            </w:tcBorders>
          </w:tcPr>
          <w:p w14:paraId="4B1F5530" w14:textId="77777777" w:rsidR="00FC08DA" w:rsidRPr="003A0120" w:rsidRDefault="00FC08DA" w:rsidP="00BD3D05">
            <w:pPr>
              <w:pStyle w:val="Tabletext"/>
              <w:rPr>
                <w:rFonts w:ascii="Calibri" w:hAnsi="Calibri" w:cs="Calibri"/>
              </w:rPr>
            </w:pPr>
            <w:r w:rsidRPr="003A0120">
              <w:rPr>
                <w:rFonts w:ascii="Calibri" w:hAnsi="Calibri" w:cs="Calibri"/>
              </w:rPr>
              <w:t>Shopping assistance</w:t>
            </w:r>
          </w:p>
        </w:tc>
        <w:tc>
          <w:tcPr>
            <w:tcW w:w="6345" w:type="dxa"/>
            <w:tcBorders>
              <w:top w:val="single" w:sz="2" w:space="0" w:color="auto"/>
              <w:bottom w:val="single" w:sz="12" w:space="0" w:color="auto"/>
            </w:tcBorders>
          </w:tcPr>
          <w:p w14:paraId="0C13F5DF" w14:textId="77777777" w:rsidR="00FC08DA" w:rsidRPr="003A0120" w:rsidRDefault="00FC08DA" w:rsidP="00497EDC">
            <w:pPr>
              <w:pStyle w:val="TableParagraph"/>
              <w:rPr>
                <w:sz w:val="20"/>
                <w:szCs w:val="20"/>
              </w:rPr>
            </w:pPr>
            <w:r w:rsidRPr="003A0120">
              <w:rPr>
                <w:sz w:val="20"/>
                <w:szCs w:val="20"/>
              </w:rPr>
              <w:t>The provision of shopping, or assistance with shopping activities, including developing a shopping list, online shopping, driving to a shop and assisting with the collection of shopping, but not including the cost of the shopping</w:t>
            </w:r>
          </w:p>
        </w:tc>
      </w:tr>
    </w:tbl>
    <w:p w14:paraId="56176DA0" w14:textId="758FB837" w:rsidR="00FC08DA" w:rsidRPr="007B7277" w:rsidRDefault="00FC08DA" w:rsidP="007B7277">
      <w:pPr>
        <w:rPr>
          <w:b/>
          <w:bCs/>
          <w:sz w:val="22"/>
          <w:szCs w:val="22"/>
        </w:rPr>
      </w:pPr>
      <w:r w:rsidRPr="007B7277">
        <w:rPr>
          <w:b/>
          <w:bCs/>
          <w:sz w:val="22"/>
          <w:szCs w:val="22"/>
        </w:rPr>
        <w:t>8</w:t>
      </w:r>
      <w:r w:rsidRPr="007B7277">
        <w:rPr>
          <w:b/>
          <w:bCs/>
          <w:sz w:val="22"/>
          <w:szCs w:val="22"/>
        </w:rPr>
        <w:noBreakHyphen/>
        <w:t>45 Home maintenance and repairs</w:t>
      </w:r>
    </w:p>
    <w:p w14:paraId="257754C4" w14:textId="45C9679F" w:rsidR="00FC08DA" w:rsidRDefault="00FC08DA" w:rsidP="007206E9">
      <w:pPr>
        <w:pStyle w:val="subsection"/>
        <w:rPr>
          <w:rFonts w:cs="Calibri"/>
          <w:sz w:val="20"/>
        </w:rPr>
      </w:pPr>
      <w:r w:rsidRPr="003A0120">
        <w:rPr>
          <w:rFonts w:cs="Calibri"/>
          <w:sz w:val="20"/>
        </w:rPr>
        <w:t>A service listed and described in an item of the following table is in the service type home maintenance and repairs.</w:t>
      </w:r>
    </w:p>
    <w:p w14:paraId="17340CC1" w14:textId="77777777" w:rsidR="004B3B52" w:rsidRPr="003A0120" w:rsidRDefault="004B3B52" w:rsidP="007206E9">
      <w:pPr>
        <w:pStyle w:val="subsection"/>
        <w:rPr>
          <w:rFonts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6C4E2F26" w14:textId="77777777" w:rsidTr="00BD3D05">
        <w:trPr>
          <w:tblHeader/>
        </w:trPr>
        <w:tc>
          <w:tcPr>
            <w:tcW w:w="8359" w:type="dxa"/>
            <w:gridSpan w:val="3"/>
            <w:tcBorders>
              <w:top w:val="single" w:sz="12" w:space="0" w:color="auto"/>
              <w:bottom w:val="single" w:sz="6" w:space="0" w:color="auto"/>
            </w:tcBorders>
          </w:tcPr>
          <w:p w14:paraId="6DFBB4A6"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home maintenance and repairs</w:t>
            </w:r>
          </w:p>
        </w:tc>
      </w:tr>
      <w:tr w:rsidR="00FC08DA" w:rsidRPr="004636D4" w14:paraId="17FECA1B" w14:textId="77777777" w:rsidTr="00BD3D05">
        <w:trPr>
          <w:tblHeader/>
        </w:trPr>
        <w:tc>
          <w:tcPr>
            <w:tcW w:w="714" w:type="dxa"/>
            <w:tcBorders>
              <w:top w:val="single" w:sz="6" w:space="0" w:color="auto"/>
              <w:bottom w:val="single" w:sz="12" w:space="0" w:color="auto"/>
            </w:tcBorders>
          </w:tcPr>
          <w:p w14:paraId="0E73C5E9"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0A7C2DED"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58FA8C0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237" w:type="dxa"/>
            <w:tcBorders>
              <w:top w:val="single" w:sz="6" w:space="0" w:color="auto"/>
              <w:bottom w:val="single" w:sz="12" w:space="0" w:color="auto"/>
            </w:tcBorders>
          </w:tcPr>
          <w:p w14:paraId="1ED9D0F7"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25325BF7"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7B5AA7F" w14:textId="77777777" w:rsidTr="00BD3D05">
        <w:tc>
          <w:tcPr>
            <w:tcW w:w="714" w:type="dxa"/>
            <w:tcBorders>
              <w:top w:val="single" w:sz="12" w:space="0" w:color="auto"/>
            </w:tcBorders>
          </w:tcPr>
          <w:p w14:paraId="249C2A34"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160BCFCE" w14:textId="77777777" w:rsidR="00FC08DA" w:rsidRPr="003A0120" w:rsidRDefault="00FC08DA" w:rsidP="00BD3D05">
            <w:pPr>
              <w:pStyle w:val="Tabletext"/>
              <w:rPr>
                <w:rFonts w:ascii="Calibri" w:hAnsi="Calibri" w:cs="Calibri"/>
              </w:rPr>
            </w:pPr>
            <w:r w:rsidRPr="003A0120">
              <w:rPr>
                <w:rFonts w:ascii="Calibri" w:hAnsi="Calibri" w:cs="Calibri"/>
              </w:rPr>
              <w:t>Gardening</w:t>
            </w:r>
          </w:p>
        </w:tc>
        <w:tc>
          <w:tcPr>
            <w:tcW w:w="6237" w:type="dxa"/>
            <w:tcBorders>
              <w:top w:val="single" w:sz="12" w:space="0" w:color="auto"/>
            </w:tcBorders>
          </w:tcPr>
          <w:p w14:paraId="5E2FCD2D" w14:textId="77777777" w:rsidR="00FC08DA" w:rsidRPr="003A0120" w:rsidRDefault="00FC08DA" w:rsidP="00BD3D05">
            <w:pPr>
              <w:pStyle w:val="Tabletext"/>
              <w:rPr>
                <w:rFonts w:ascii="Calibri" w:hAnsi="Calibri" w:cs="Calibri"/>
              </w:rPr>
            </w:pPr>
            <w:r w:rsidRPr="003A0120">
              <w:rPr>
                <w:rFonts w:ascii="Calibri" w:hAnsi="Calibri" w:cs="Calibri"/>
              </w:rPr>
              <w:t>The provision of, or assistance with, maintenance of a residential garden, including essential light gardening such as mowing lawns, pruning shrubs and clearing yards that contribute to maintaining the individual’s home in a safe and habitable condition, but not including the following:</w:t>
            </w:r>
          </w:p>
          <w:p w14:paraId="6ADF3227" w14:textId="4EED21A1" w:rsidR="00FC08DA" w:rsidRPr="003A0120" w:rsidRDefault="00FC08DA" w:rsidP="0050112F">
            <w:pPr>
              <w:pStyle w:val="Tablea"/>
              <w:numPr>
                <w:ilvl w:val="0"/>
                <w:numId w:val="75"/>
              </w:numPr>
              <w:rPr>
                <w:sz w:val="20"/>
              </w:rPr>
            </w:pPr>
            <w:r w:rsidRPr="003A0120">
              <w:rPr>
                <w:sz w:val="20"/>
              </w:rPr>
              <w:t xml:space="preserve">professional gardening services that would usually be paid for </w:t>
            </w:r>
            <w:r w:rsidRPr="003A0120">
              <w:rPr>
                <w:rFonts w:eastAsia="Calibri"/>
                <w:sz w:val="20"/>
              </w:rPr>
              <w:t xml:space="preserve">by an individual </w:t>
            </w:r>
            <w:r w:rsidRPr="003A0120">
              <w:rPr>
                <w:sz w:val="20"/>
              </w:rPr>
              <w:t>(such as tree removal, landscaping or farm or water</w:t>
            </w:r>
            <w:r w:rsidRPr="003A0120">
              <w:rPr>
                <w:sz w:val="20"/>
              </w:rPr>
              <w:noBreakHyphen/>
              <w:t>feature maintenance);</w:t>
            </w:r>
          </w:p>
          <w:p w14:paraId="0F93F736" w14:textId="29536A9A" w:rsidR="00FC08DA" w:rsidRPr="003A0120" w:rsidRDefault="00FC08DA" w:rsidP="00497EDC">
            <w:pPr>
              <w:pStyle w:val="Tablea"/>
              <w:rPr>
                <w:sz w:val="20"/>
              </w:rPr>
            </w:pPr>
            <w:r w:rsidRPr="003A0120">
              <w:rPr>
                <w:sz w:val="20"/>
              </w:rPr>
              <w:lastRenderedPageBreak/>
              <w:t>gardening services that relate to visual appeal rather than safety or accessibility (such as installing and maintaining plants, garden beds and compost);</w:t>
            </w:r>
          </w:p>
          <w:p w14:paraId="3A7F7B9B" w14:textId="692841AF" w:rsidR="00FC08DA" w:rsidRPr="003A0120" w:rsidRDefault="00FC08DA" w:rsidP="00497EDC">
            <w:pPr>
              <w:pStyle w:val="Tablea"/>
              <w:rPr>
                <w:sz w:val="20"/>
              </w:rPr>
            </w:pPr>
            <w:r w:rsidRPr="003A0120">
              <w:rPr>
                <w:sz w:val="20"/>
              </w:rPr>
              <w:t>services that are the responsibility of other parties (such as landlords or government housing authorities)</w:t>
            </w:r>
          </w:p>
        </w:tc>
      </w:tr>
      <w:tr w:rsidR="00FC08DA" w:rsidRPr="004636D4" w14:paraId="7412129D" w14:textId="77777777" w:rsidTr="00BD3D05">
        <w:tc>
          <w:tcPr>
            <w:tcW w:w="714" w:type="dxa"/>
          </w:tcPr>
          <w:p w14:paraId="1F5AA507" w14:textId="77777777" w:rsidR="00FC08DA" w:rsidRPr="003A0120" w:rsidRDefault="00FC08DA" w:rsidP="00BD3D05">
            <w:pPr>
              <w:pStyle w:val="Tabletext"/>
              <w:rPr>
                <w:rFonts w:ascii="Calibri" w:hAnsi="Calibri" w:cs="Calibri"/>
              </w:rPr>
            </w:pPr>
            <w:r w:rsidRPr="003A0120">
              <w:rPr>
                <w:rFonts w:ascii="Calibri" w:hAnsi="Calibri" w:cs="Calibri"/>
              </w:rPr>
              <w:lastRenderedPageBreak/>
              <w:t>2</w:t>
            </w:r>
          </w:p>
        </w:tc>
        <w:tc>
          <w:tcPr>
            <w:tcW w:w="1408" w:type="dxa"/>
          </w:tcPr>
          <w:p w14:paraId="7379BDAE" w14:textId="77777777" w:rsidR="00FC08DA" w:rsidRPr="003A0120" w:rsidRDefault="00FC08DA" w:rsidP="00BD3D05">
            <w:pPr>
              <w:pStyle w:val="Tabletext"/>
              <w:rPr>
                <w:rFonts w:ascii="Calibri" w:hAnsi="Calibri" w:cs="Calibri"/>
              </w:rPr>
            </w:pPr>
            <w:r w:rsidRPr="003A0120">
              <w:rPr>
                <w:rFonts w:ascii="Calibri" w:hAnsi="Calibri" w:cs="Calibri"/>
              </w:rPr>
              <w:t>Assistance with home maintenance and repairs</w:t>
            </w:r>
          </w:p>
        </w:tc>
        <w:tc>
          <w:tcPr>
            <w:tcW w:w="6237" w:type="dxa"/>
          </w:tcPr>
          <w:p w14:paraId="206EA8A2"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Essential minor repairs and maintenance:</w:t>
            </w:r>
          </w:p>
          <w:p w14:paraId="50482265" w14:textId="126E3A87" w:rsidR="00FC08DA" w:rsidRPr="003A0120" w:rsidRDefault="00FC08DA" w:rsidP="0050112F">
            <w:pPr>
              <w:pStyle w:val="Tablea"/>
              <w:numPr>
                <w:ilvl w:val="0"/>
                <w:numId w:val="76"/>
              </w:numPr>
              <w:rPr>
                <w:rFonts w:eastAsia="Calibri"/>
                <w:sz w:val="20"/>
              </w:rPr>
            </w:pPr>
            <w:r w:rsidRPr="003A0120">
              <w:rPr>
                <w:rFonts w:eastAsia="Calibri"/>
                <w:sz w:val="20"/>
              </w:rPr>
              <w:t>that the individual used to be able to do themselves, or that are required to maintain safety (such as cleaning gutters, replacing lightbulbs and repairing broken door handles); or</w:t>
            </w:r>
          </w:p>
          <w:p w14:paraId="7A5C6AD5" w14:textId="171DD83D" w:rsidR="00FC08DA" w:rsidRPr="003A0120" w:rsidRDefault="00FC08DA" w:rsidP="00497EDC">
            <w:pPr>
              <w:pStyle w:val="Tablea"/>
              <w:rPr>
                <w:rFonts w:eastAsia="Calibri"/>
                <w:sz w:val="20"/>
              </w:rPr>
            </w:pPr>
            <w:r w:rsidRPr="003A0120">
              <w:rPr>
                <w:rFonts w:eastAsia="Calibri"/>
                <w:sz w:val="20"/>
              </w:rPr>
              <w:t>that are required to address an imminent age</w:t>
            </w:r>
            <w:r w:rsidRPr="003A0120">
              <w:rPr>
                <w:rFonts w:eastAsia="Calibri"/>
                <w:sz w:val="20"/>
              </w:rPr>
              <w:noBreakHyphen/>
              <w:t>related safety risk (such as repairing uneven flooring that poses a falls risk or a section of carpet damaged by a wheelchair);</w:t>
            </w:r>
          </w:p>
          <w:p w14:paraId="467B6E08" w14:textId="77777777" w:rsidR="00FC08DA" w:rsidRPr="003A0120" w:rsidRDefault="00FC08DA" w:rsidP="00540316">
            <w:pPr>
              <w:pStyle w:val="Tablea"/>
              <w:numPr>
                <w:ilvl w:val="0"/>
                <w:numId w:val="0"/>
              </w:numPr>
              <w:ind w:left="720"/>
              <w:rPr>
                <w:rFonts w:eastAsia="Calibri"/>
                <w:sz w:val="20"/>
              </w:rPr>
            </w:pPr>
            <w:r w:rsidRPr="003A0120">
              <w:rPr>
                <w:rFonts w:eastAsia="Calibri"/>
                <w:sz w:val="20"/>
              </w:rPr>
              <w:t>but not including the following:</w:t>
            </w:r>
          </w:p>
          <w:p w14:paraId="0838FE1A" w14:textId="6EC89DFC" w:rsidR="00FC08DA" w:rsidRPr="003A0120" w:rsidRDefault="00FC08DA" w:rsidP="00497EDC">
            <w:pPr>
              <w:pStyle w:val="Tablea"/>
              <w:rPr>
                <w:rFonts w:eastAsia="Calibri"/>
                <w:sz w:val="20"/>
              </w:rPr>
            </w:pPr>
            <w:r w:rsidRPr="003A0120">
              <w:rPr>
                <w:rFonts w:eastAsia="Calibri"/>
                <w:sz w:val="20"/>
              </w:rPr>
              <w:t>professional maintenance and repair services that would usually be paid for by an individual (such as professional pest extermination, installing cabinetry or replacing carpets due to usual wear and tear);</w:t>
            </w:r>
          </w:p>
          <w:p w14:paraId="0D78F315" w14:textId="52872A08" w:rsidR="00FC08DA" w:rsidRPr="003A0120" w:rsidRDefault="00FC08DA" w:rsidP="00497EDC">
            <w:pPr>
              <w:pStyle w:val="Tablea"/>
              <w:rPr>
                <w:rFonts w:eastAsia="Calibri"/>
                <w:sz w:val="20"/>
              </w:rPr>
            </w:pPr>
            <w:r w:rsidRPr="003A0120">
              <w:rPr>
                <w:rFonts w:eastAsia="Calibri"/>
                <w:sz w:val="20"/>
              </w:rPr>
              <w:t>services that are the responsibility of other parties (such as landlords or government housing authorities)</w:t>
            </w:r>
          </w:p>
        </w:tc>
      </w:tr>
      <w:tr w:rsidR="00FC08DA" w:rsidRPr="004636D4" w14:paraId="5C098123" w14:textId="77777777" w:rsidTr="00BD3D05">
        <w:tc>
          <w:tcPr>
            <w:tcW w:w="714" w:type="dxa"/>
            <w:tcBorders>
              <w:bottom w:val="single" w:sz="2" w:space="0" w:color="auto"/>
            </w:tcBorders>
          </w:tcPr>
          <w:p w14:paraId="746114C2"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408" w:type="dxa"/>
            <w:tcBorders>
              <w:bottom w:val="single" w:sz="2" w:space="0" w:color="auto"/>
            </w:tcBorders>
          </w:tcPr>
          <w:p w14:paraId="4B663CE7" w14:textId="77777777" w:rsidR="00FC08DA" w:rsidRPr="003A0120" w:rsidRDefault="00FC08DA" w:rsidP="00BD3D05">
            <w:pPr>
              <w:pStyle w:val="Tabletext"/>
              <w:rPr>
                <w:rFonts w:ascii="Calibri" w:hAnsi="Calibri" w:cs="Calibri"/>
              </w:rPr>
            </w:pPr>
            <w:r w:rsidRPr="003A0120">
              <w:rPr>
                <w:rFonts w:ascii="Calibri" w:hAnsi="Calibri" w:cs="Calibri"/>
              </w:rPr>
              <w:t>Expenses for home maintenance and repairs</w:t>
            </w:r>
          </w:p>
        </w:tc>
        <w:tc>
          <w:tcPr>
            <w:tcW w:w="6237" w:type="dxa"/>
            <w:tcBorders>
              <w:bottom w:val="single" w:sz="2" w:space="0" w:color="auto"/>
            </w:tcBorders>
          </w:tcPr>
          <w:p w14:paraId="2C3B4F73" w14:textId="77777777" w:rsidR="00FC08DA" w:rsidRPr="003A0120" w:rsidRDefault="00FC08DA" w:rsidP="0050112F">
            <w:pPr>
              <w:pStyle w:val="Tablea"/>
              <w:numPr>
                <w:ilvl w:val="0"/>
                <w:numId w:val="77"/>
              </w:numPr>
              <w:rPr>
                <w:rFonts w:eastAsia="Calibri"/>
                <w:sz w:val="20"/>
              </w:rPr>
            </w:pPr>
            <w:r w:rsidRPr="003A0120">
              <w:rPr>
                <w:sz w:val="20"/>
              </w:rPr>
              <w:t>The supply of equipment or consumables required for that service</w:t>
            </w:r>
          </w:p>
          <w:p w14:paraId="7A63A6F8" w14:textId="77777777" w:rsidR="00FC08DA" w:rsidRPr="003A0120" w:rsidRDefault="00FC08DA" w:rsidP="00BD3D05">
            <w:pPr>
              <w:pStyle w:val="Tabletext"/>
              <w:rPr>
                <w:rFonts w:ascii="Calibri" w:eastAsia="Calibri" w:hAnsi="Calibri" w:cs="Calibri"/>
              </w:rPr>
            </w:pPr>
          </w:p>
        </w:tc>
      </w:tr>
    </w:tbl>
    <w:p w14:paraId="73ABFE18" w14:textId="033A6708" w:rsidR="00FC08DA" w:rsidRPr="007B7277" w:rsidRDefault="00FC08DA" w:rsidP="007B7277">
      <w:pPr>
        <w:rPr>
          <w:b/>
          <w:bCs/>
          <w:sz w:val="22"/>
          <w:szCs w:val="22"/>
        </w:rPr>
      </w:pPr>
      <w:r w:rsidRPr="007B7277">
        <w:rPr>
          <w:b/>
          <w:bCs/>
          <w:sz w:val="22"/>
          <w:szCs w:val="22"/>
        </w:rPr>
        <w:t>8</w:t>
      </w:r>
      <w:r w:rsidRPr="007B7277">
        <w:rPr>
          <w:b/>
          <w:bCs/>
          <w:sz w:val="22"/>
          <w:szCs w:val="22"/>
        </w:rPr>
        <w:noBreakHyphen/>
        <w:t>55 Meals</w:t>
      </w:r>
    </w:p>
    <w:p w14:paraId="326F56E7" w14:textId="3FD5AC29" w:rsidR="00FC08DA" w:rsidRDefault="00FC08DA" w:rsidP="007206E9">
      <w:pPr>
        <w:pStyle w:val="subsection"/>
        <w:rPr>
          <w:rFonts w:cs="Calibri"/>
          <w:sz w:val="20"/>
        </w:rPr>
      </w:pPr>
      <w:r w:rsidRPr="003A0120">
        <w:rPr>
          <w:rFonts w:cs="Calibri"/>
          <w:sz w:val="20"/>
        </w:rPr>
        <w:t>A service listed and described in an item of the following table is in the service type meals.</w:t>
      </w:r>
    </w:p>
    <w:p w14:paraId="41504D9D" w14:textId="77777777" w:rsidR="004B3B52" w:rsidRPr="003A0120" w:rsidRDefault="004B3B52" w:rsidP="007206E9">
      <w:pPr>
        <w:pStyle w:val="subsection"/>
        <w:rPr>
          <w:rFonts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266"/>
        <w:gridCol w:w="6379"/>
      </w:tblGrid>
      <w:tr w:rsidR="00FC08DA" w:rsidRPr="004636D4" w14:paraId="7BE3D1B1" w14:textId="77777777" w:rsidTr="00BD3D05">
        <w:trPr>
          <w:tblHeader/>
        </w:trPr>
        <w:tc>
          <w:tcPr>
            <w:tcW w:w="8359" w:type="dxa"/>
            <w:gridSpan w:val="3"/>
            <w:tcBorders>
              <w:top w:val="single" w:sz="12" w:space="0" w:color="auto"/>
              <w:bottom w:val="single" w:sz="6" w:space="0" w:color="auto"/>
            </w:tcBorders>
          </w:tcPr>
          <w:p w14:paraId="7465AE7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meals</w:t>
            </w:r>
          </w:p>
        </w:tc>
      </w:tr>
      <w:tr w:rsidR="00FC08DA" w:rsidRPr="004636D4" w14:paraId="1DC1D942" w14:textId="77777777" w:rsidTr="00BD3D05">
        <w:trPr>
          <w:tblHeader/>
        </w:trPr>
        <w:tc>
          <w:tcPr>
            <w:tcW w:w="714" w:type="dxa"/>
            <w:tcBorders>
              <w:top w:val="single" w:sz="6" w:space="0" w:color="auto"/>
              <w:bottom w:val="single" w:sz="12" w:space="0" w:color="auto"/>
            </w:tcBorders>
          </w:tcPr>
          <w:p w14:paraId="6DF05CD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266" w:type="dxa"/>
            <w:tcBorders>
              <w:top w:val="single" w:sz="6" w:space="0" w:color="auto"/>
              <w:bottom w:val="single" w:sz="12" w:space="0" w:color="auto"/>
            </w:tcBorders>
          </w:tcPr>
          <w:p w14:paraId="3927D4A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48166F2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379" w:type="dxa"/>
            <w:tcBorders>
              <w:top w:val="single" w:sz="6" w:space="0" w:color="auto"/>
              <w:bottom w:val="single" w:sz="12" w:space="0" w:color="auto"/>
            </w:tcBorders>
          </w:tcPr>
          <w:p w14:paraId="1FB1F1A6"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8902AAD"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9C69F86" w14:textId="77777777" w:rsidTr="00BD3D05">
        <w:tc>
          <w:tcPr>
            <w:tcW w:w="714" w:type="dxa"/>
            <w:tcBorders>
              <w:top w:val="single" w:sz="12" w:space="0" w:color="auto"/>
              <w:bottom w:val="single" w:sz="2" w:space="0" w:color="auto"/>
            </w:tcBorders>
          </w:tcPr>
          <w:p w14:paraId="30B88B79"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266" w:type="dxa"/>
            <w:tcBorders>
              <w:top w:val="single" w:sz="12" w:space="0" w:color="auto"/>
              <w:bottom w:val="single" w:sz="2" w:space="0" w:color="auto"/>
            </w:tcBorders>
          </w:tcPr>
          <w:p w14:paraId="32CB7A46" w14:textId="77777777" w:rsidR="00FC08DA" w:rsidRPr="003A0120" w:rsidRDefault="00FC08DA" w:rsidP="00BD3D05">
            <w:pPr>
              <w:pStyle w:val="Tabletext"/>
              <w:rPr>
                <w:rFonts w:ascii="Calibri" w:hAnsi="Calibri" w:cs="Calibri"/>
              </w:rPr>
            </w:pPr>
            <w:r w:rsidRPr="003A0120">
              <w:rPr>
                <w:rFonts w:ascii="Calibri" w:hAnsi="Calibri" w:cs="Calibri"/>
              </w:rPr>
              <w:t>Meal delivery</w:t>
            </w:r>
          </w:p>
        </w:tc>
        <w:tc>
          <w:tcPr>
            <w:tcW w:w="6379" w:type="dxa"/>
            <w:tcBorders>
              <w:top w:val="single" w:sz="12" w:space="0" w:color="auto"/>
              <w:bottom w:val="single" w:sz="2" w:space="0" w:color="auto"/>
            </w:tcBorders>
          </w:tcPr>
          <w:p w14:paraId="431E96B0"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Preparation, packaging and delivery of pre</w:t>
            </w:r>
            <w:r w:rsidRPr="003A0120">
              <w:rPr>
                <w:rFonts w:ascii="Calibri" w:eastAsia="Calibri" w:hAnsi="Calibri" w:cs="Calibri"/>
              </w:rPr>
              <w:noBreakHyphen/>
              <w:t>prepared meals, but not including the following:</w:t>
            </w:r>
          </w:p>
          <w:p w14:paraId="0787ADD1" w14:textId="36B6A034" w:rsidR="00FC08DA" w:rsidRPr="003A0120" w:rsidRDefault="00FC08DA" w:rsidP="0050112F">
            <w:pPr>
              <w:pStyle w:val="Tablea"/>
              <w:numPr>
                <w:ilvl w:val="0"/>
                <w:numId w:val="78"/>
              </w:numPr>
              <w:rPr>
                <w:rFonts w:eastAsia="Calibri"/>
                <w:sz w:val="20"/>
              </w:rPr>
            </w:pPr>
            <w:r w:rsidRPr="003A0120">
              <w:rPr>
                <w:rFonts w:eastAsia="Calibri"/>
                <w:sz w:val="20"/>
              </w:rPr>
              <w:t>the cost of ingredients;</w:t>
            </w:r>
          </w:p>
          <w:p w14:paraId="7B23D029" w14:textId="6B49AF49" w:rsidR="00FC08DA" w:rsidRPr="003A0120" w:rsidRDefault="00FC08DA" w:rsidP="00497EDC">
            <w:pPr>
              <w:pStyle w:val="Tablea"/>
              <w:rPr>
                <w:rFonts w:eastAsia="Calibri"/>
                <w:sz w:val="20"/>
              </w:rPr>
            </w:pPr>
            <w:r w:rsidRPr="003A0120">
              <w:rPr>
                <w:rFonts w:eastAsia="Calibri"/>
                <w:sz w:val="20"/>
              </w:rPr>
              <w:t>takeaway food delivery;</w:t>
            </w:r>
          </w:p>
          <w:p w14:paraId="27F5BFAA" w14:textId="15352B49" w:rsidR="00FC08DA" w:rsidRPr="003A0120" w:rsidRDefault="00FC08DA" w:rsidP="00497EDC">
            <w:pPr>
              <w:pStyle w:val="Tablea"/>
              <w:rPr>
                <w:rFonts w:eastAsia="Calibri"/>
                <w:sz w:val="20"/>
              </w:rPr>
            </w:pPr>
            <w:r w:rsidRPr="003A0120">
              <w:rPr>
                <w:rFonts w:eastAsia="Calibri"/>
                <w:sz w:val="20"/>
              </w:rPr>
              <w:t>meal delivery for other members of the household</w:t>
            </w:r>
          </w:p>
        </w:tc>
      </w:tr>
      <w:tr w:rsidR="00FC08DA" w:rsidRPr="004636D4" w14:paraId="1D26B2D5" w14:textId="77777777" w:rsidTr="00BD3D05">
        <w:tc>
          <w:tcPr>
            <w:tcW w:w="714" w:type="dxa"/>
            <w:tcBorders>
              <w:top w:val="single" w:sz="2" w:space="0" w:color="auto"/>
              <w:bottom w:val="single" w:sz="12" w:space="0" w:color="auto"/>
            </w:tcBorders>
          </w:tcPr>
          <w:p w14:paraId="73E28515"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266" w:type="dxa"/>
            <w:tcBorders>
              <w:top w:val="single" w:sz="2" w:space="0" w:color="auto"/>
              <w:bottom w:val="single" w:sz="12" w:space="0" w:color="auto"/>
            </w:tcBorders>
          </w:tcPr>
          <w:p w14:paraId="541879AD" w14:textId="77777777" w:rsidR="00FC08DA" w:rsidRPr="003A0120" w:rsidRDefault="00FC08DA" w:rsidP="00BD3D05">
            <w:pPr>
              <w:pStyle w:val="Tabletext"/>
              <w:rPr>
                <w:rFonts w:ascii="Calibri" w:hAnsi="Calibri" w:cs="Calibri"/>
              </w:rPr>
            </w:pPr>
            <w:r w:rsidRPr="003A0120">
              <w:rPr>
                <w:rFonts w:ascii="Calibri" w:hAnsi="Calibri" w:cs="Calibri"/>
              </w:rPr>
              <w:t>Meal preparation</w:t>
            </w:r>
          </w:p>
        </w:tc>
        <w:tc>
          <w:tcPr>
            <w:tcW w:w="6379" w:type="dxa"/>
            <w:tcBorders>
              <w:top w:val="single" w:sz="2" w:space="0" w:color="auto"/>
              <w:bottom w:val="single" w:sz="12" w:space="0" w:color="auto"/>
            </w:tcBorders>
          </w:tcPr>
          <w:p w14:paraId="4A00D636" w14:textId="77777777" w:rsidR="00FC08DA" w:rsidRPr="003A0120" w:rsidRDefault="00FC08DA" w:rsidP="00BD3D05">
            <w:pPr>
              <w:pStyle w:val="Tabletext"/>
              <w:rPr>
                <w:rFonts w:ascii="Calibri" w:hAnsi="Calibri" w:cs="Calibri"/>
              </w:rPr>
            </w:pPr>
            <w:r w:rsidRPr="003A0120">
              <w:rPr>
                <w:rFonts w:ascii="Calibri" w:eastAsia="Calibri" w:hAnsi="Calibri" w:cs="Calibri"/>
              </w:rPr>
              <w:t>Support to prepare meals in the home or community, but not including the cost of ingredients</w:t>
            </w:r>
          </w:p>
        </w:tc>
      </w:tr>
    </w:tbl>
    <w:p w14:paraId="70A7475A" w14:textId="728F51FB" w:rsidR="00FC08DA" w:rsidRPr="007B7277" w:rsidRDefault="00FC08DA" w:rsidP="007B7277">
      <w:pPr>
        <w:rPr>
          <w:b/>
          <w:bCs/>
          <w:sz w:val="22"/>
          <w:szCs w:val="22"/>
        </w:rPr>
      </w:pPr>
      <w:r w:rsidRPr="007B7277">
        <w:rPr>
          <w:b/>
          <w:bCs/>
          <w:sz w:val="22"/>
          <w:szCs w:val="22"/>
        </w:rPr>
        <w:t>8</w:t>
      </w:r>
      <w:r w:rsidRPr="007B7277">
        <w:rPr>
          <w:b/>
          <w:bCs/>
          <w:sz w:val="22"/>
          <w:szCs w:val="22"/>
        </w:rPr>
        <w:noBreakHyphen/>
        <w:t>60 Nursing care</w:t>
      </w:r>
    </w:p>
    <w:p w14:paraId="5C694DD1" w14:textId="07B34454"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nursing care.</w:t>
      </w:r>
    </w:p>
    <w:p w14:paraId="4EDB2A29" w14:textId="77777777" w:rsidR="00FC08DA" w:rsidRPr="003A0120" w:rsidRDefault="00FC08DA" w:rsidP="00FC08DA">
      <w:pPr>
        <w:pStyle w:val="SubsectionHead"/>
        <w:rPr>
          <w:rFonts w:ascii="Calibri" w:eastAsia="Calibri" w:hAnsi="Calibri" w:cs="Calibri"/>
          <w:sz w:val="20"/>
        </w:rPr>
      </w:pPr>
      <w:r w:rsidRPr="003A0120">
        <w:rPr>
          <w:rFonts w:ascii="Calibri" w:eastAsia="Calibri" w:hAnsi="Calibri" w:cs="Calibri"/>
          <w:sz w:val="20"/>
        </w:rPr>
        <w:t>Clinical care matters</w:t>
      </w:r>
    </w:p>
    <w:p w14:paraId="48ED3B90" w14:textId="035109E9" w:rsidR="00FC08DA" w:rsidRPr="003A0120" w:rsidRDefault="00FC08DA" w:rsidP="00FC08DA">
      <w:pPr>
        <w:pStyle w:val="subsection"/>
        <w:rPr>
          <w:rFonts w:cs="Calibri"/>
          <w:sz w:val="20"/>
        </w:rPr>
      </w:pPr>
      <w:r w:rsidRPr="003A0120">
        <w:rPr>
          <w:rFonts w:cs="Calibri"/>
          <w:sz w:val="20"/>
        </w:rPr>
        <w:t>(2)</w:t>
      </w:r>
      <w:r w:rsidRPr="003A0120">
        <w:rPr>
          <w:rFonts w:cs="Calibri"/>
          <w:sz w:val="20"/>
        </w:rPr>
        <w:tab/>
        <w:t>For items 1 to 3 of the following table, the clinical care matters are the following:</w:t>
      </w:r>
    </w:p>
    <w:p w14:paraId="5012E6E4"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b/>
        <w:t>(a) the assessment, treatment and monitoring of clinical conditions;</w:t>
      </w:r>
    </w:p>
    <w:p w14:paraId="0030A208"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(b) administration of medications;</w:t>
      </w:r>
    </w:p>
    <w:p w14:paraId="64C4C147"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(c) wound care;</w:t>
      </w:r>
    </w:p>
    <w:p w14:paraId="6B37BFB8"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lastRenderedPageBreak/>
        <w:tab/>
        <w:t>(d) clinical continence management;</w:t>
      </w:r>
    </w:p>
    <w:p w14:paraId="54C2F8E4"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(e) management of skin integrity;</w:t>
      </w:r>
    </w:p>
    <w:p w14:paraId="56D33731" w14:textId="77777777" w:rsidR="00FC08DA" w:rsidRPr="003A0120" w:rsidRDefault="00FC08DA" w:rsidP="00FC08DA">
      <w:pPr>
        <w:pStyle w:val="paragraph"/>
        <w:ind w:left="720"/>
        <w:rPr>
          <w:rFonts w:ascii="Calibri" w:eastAsia="Calibri" w:hAnsi="Calibri" w:cs="Calibri"/>
          <w:sz w:val="20"/>
          <w:szCs w:val="20"/>
        </w:rPr>
      </w:pPr>
      <w:r w:rsidRPr="003A0120">
        <w:rPr>
          <w:rFonts w:ascii="Calibri" w:eastAsia="Calibri" w:hAnsi="Calibri" w:cs="Calibri"/>
          <w:sz w:val="20"/>
          <w:szCs w:val="20"/>
        </w:rPr>
        <w:tab/>
        <w:t>(f) education;</w:t>
      </w:r>
    </w:p>
    <w:p w14:paraId="15B3BB6F" w14:textId="4E1C881C" w:rsidR="00FC08DA" w:rsidRPr="003A0120" w:rsidRDefault="00FC08DA" w:rsidP="0035039C">
      <w:pPr>
        <w:pStyle w:val="paragraph"/>
        <w:ind w:left="720"/>
        <w:rPr>
          <w:rFonts w:ascii="Calibri" w:hAnsi="Calibri" w:cs="Calibri"/>
          <w:sz w:val="20"/>
          <w:szCs w:val="20"/>
        </w:rPr>
      </w:pPr>
      <w:r w:rsidRPr="003A0120">
        <w:rPr>
          <w:rFonts w:ascii="Calibri" w:eastAsia="Calibri" w:hAnsi="Calibri" w:cs="Calibri"/>
          <w:sz w:val="20"/>
          <w:szCs w:val="20"/>
        </w:rPr>
        <w:tab/>
        <w:t>(g) specialist service linkage.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237"/>
      </w:tblGrid>
      <w:tr w:rsidR="00FC08DA" w:rsidRPr="004636D4" w14:paraId="108433CD" w14:textId="77777777" w:rsidTr="00BD3D05">
        <w:trPr>
          <w:tblHeader/>
        </w:trPr>
        <w:tc>
          <w:tcPr>
            <w:tcW w:w="8359" w:type="dxa"/>
            <w:gridSpan w:val="3"/>
            <w:tcBorders>
              <w:top w:val="single" w:sz="12" w:space="0" w:color="auto"/>
              <w:bottom w:val="single" w:sz="6" w:space="0" w:color="auto"/>
            </w:tcBorders>
          </w:tcPr>
          <w:p w14:paraId="2B2A4AC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nursing care</w:t>
            </w:r>
          </w:p>
        </w:tc>
      </w:tr>
      <w:tr w:rsidR="00FC08DA" w:rsidRPr="004636D4" w14:paraId="20091F13" w14:textId="77777777" w:rsidTr="00BD3D05">
        <w:trPr>
          <w:tblHeader/>
        </w:trPr>
        <w:tc>
          <w:tcPr>
            <w:tcW w:w="714" w:type="dxa"/>
            <w:tcBorders>
              <w:top w:val="single" w:sz="6" w:space="0" w:color="auto"/>
              <w:bottom w:val="single" w:sz="12" w:space="0" w:color="auto"/>
            </w:tcBorders>
          </w:tcPr>
          <w:p w14:paraId="3AC4021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0C90CBD4"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9E84295"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237" w:type="dxa"/>
            <w:tcBorders>
              <w:top w:val="single" w:sz="6" w:space="0" w:color="auto"/>
              <w:bottom w:val="single" w:sz="12" w:space="0" w:color="auto"/>
            </w:tcBorders>
          </w:tcPr>
          <w:p w14:paraId="4E4F1B4E"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BD75C9F"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52C955C" w14:textId="77777777" w:rsidTr="00BD3D05">
        <w:tc>
          <w:tcPr>
            <w:tcW w:w="714" w:type="dxa"/>
            <w:tcBorders>
              <w:top w:val="single" w:sz="12" w:space="0" w:color="auto"/>
            </w:tcBorders>
          </w:tcPr>
          <w:p w14:paraId="18F9D12E"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42DA8ACE" w14:textId="77777777" w:rsidR="00FC08DA" w:rsidRPr="003A0120" w:rsidRDefault="00FC08DA" w:rsidP="00540316">
            <w:pPr>
              <w:pStyle w:val="TableParagraph"/>
              <w:rPr>
                <w:sz w:val="20"/>
                <w:szCs w:val="20"/>
              </w:rPr>
            </w:pPr>
            <w:r w:rsidRPr="003A0120">
              <w:rPr>
                <w:sz w:val="20"/>
                <w:szCs w:val="20"/>
              </w:rPr>
              <w:t>Registered nurse clinical care</w:t>
            </w:r>
          </w:p>
        </w:tc>
        <w:tc>
          <w:tcPr>
            <w:tcW w:w="6237" w:type="dxa"/>
            <w:tcBorders>
              <w:top w:val="single" w:sz="12" w:space="0" w:color="auto"/>
            </w:tcBorders>
          </w:tcPr>
          <w:p w14:paraId="550BEA69" w14:textId="77777777" w:rsidR="00FC08DA" w:rsidRPr="003A0120" w:rsidRDefault="00FC08DA" w:rsidP="00540316">
            <w:pPr>
              <w:pStyle w:val="TableParagraph"/>
              <w:rPr>
                <w:sz w:val="20"/>
                <w:szCs w:val="20"/>
              </w:rPr>
            </w:pPr>
            <w:r w:rsidRPr="003A0120">
              <w:rPr>
                <w:sz w:val="20"/>
                <w:szCs w:val="20"/>
              </w:rPr>
              <w:t>Clinical care provided by a registered nurse, including but not limited to the clinical care matters specified in subsection (2)</w:t>
            </w:r>
          </w:p>
        </w:tc>
      </w:tr>
      <w:tr w:rsidR="00FC08DA" w:rsidRPr="004636D4" w14:paraId="40655585" w14:textId="77777777" w:rsidTr="00BD3D05">
        <w:tc>
          <w:tcPr>
            <w:tcW w:w="714" w:type="dxa"/>
          </w:tcPr>
          <w:p w14:paraId="5A6AD4BE"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408" w:type="dxa"/>
          </w:tcPr>
          <w:p w14:paraId="4F70738F" w14:textId="77777777" w:rsidR="00FC08DA" w:rsidRPr="003A0120" w:rsidRDefault="00FC08DA" w:rsidP="00540316">
            <w:pPr>
              <w:pStyle w:val="TableParagraph"/>
              <w:rPr>
                <w:sz w:val="20"/>
                <w:szCs w:val="20"/>
              </w:rPr>
            </w:pPr>
            <w:r w:rsidRPr="003A0120">
              <w:rPr>
                <w:sz w:val="20"/>
                <w:szCs w:val="20"/>
              </w:rPr>
              <w:t>Enrolled nurse clinical care</w:t>
            </w:r>
          </w:p>
        </w:tc>
        <w:tc>
          <w:tcPr>
            <w:tcW w:w="6237" w:type="dxa"/>
          </w:tcPr>
          <w:p w14:paraId="280E1C6D" w14:textId="77777777" w:rsidR="00FC08DA" w:rsidRPr="003A0120" w:rsidRDefault="00FC08DA" w:rsidP="00540316">
            <w:pPr>
              <w:pStyle w:val="TableParagraph"/>
              <w:rPr>
                <w:sz w:val="20"/>
                <w:szCs w:val="20"/>
              </w:rPr>
            </w:pPr>
            <w:r w:rsidRPr="003A0120">
              <w:rPr>
                <w:sz w:val="20"/>
                <w:szCs w:val="20"/>
              </w:rPr>
              <w:t>Clinical care provided by an enrolled nurse, including but not limited to the clinical care matters specified in subsection (2)</w:t>
            </w:r>
          </w:p>
        </w:tc>
      </w:tr>
      <w:tr w:rsidR="00FC08DA" w:rsidRPr="004636D4" w14:paraId="153B8EFD" w14:textId="77777777" w:rsidTr="00BD3D05">
        <w:tc>
          <w:tcPr>
            <w:tcW w:w="714" w:type="dxa"/>
            <w:tcBorders>
              <w:bottom w:val="single" w:sz="2" w:space="0" w:color="auto"/>
            </w:tcBorders>
          </w:tcPr>
          <w:p w14:paraId="0A8E9394"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408" w:type="dxa"/>
            <w:tcBorders>
              <w:bottom w:val="single" w:sz="2" w:space="0" w:color="auto"/>
            </w:tcBorders>
          </w:tcPr>
          <w:p w14:paraId="1AC05A74" w14:textId="77777777" w:rsidR="00FC08DA" w:rsidRPr="003A0120" w:rsidRDefault="00FC08DA" w:rsidP="00540316">
            <w:pPr>
              <w:pStyle w:val="TableParagraph"/>
              <w:rPr>
                <w:sz w:val="20"/>
                <w:szCs w:val="20"/>
              </w:rPr>
            </w:pPr>
            <w:r w:rsidRPr="003A0120">
              <w:rPr>
                <w:sz w:val="20"/>
                <w:szCs w:val="20"/>
              </w:rPr>
              <w:t>Nursing assistant clinical care</w:t>
            </w:r>
          </w:p>
        </w:tc>
        <w:tc>
          <w:tcPr>
            <w:tcW w:w="6237" w:type="dxa"/>
            <w:tcBorders>
              <w:bottom w:val="single" w:sz="2" w:space="0" w:color="auto"/>
            </w:tcBorders>
          </w:tcPr>
          <w:p w14:paraId="605AC4C4" w14:textId="77777777" w:rsidR="00FC08DA" w:rsidRPr="003A0120" w:rsidRDefault="00FC08DA" w:rsidP="00540316">
            <w:pPr>
              <w:pStyle w:val="TableParagraph"/>
              <w:rPr>
                <w:sz w:val="20"/>
                <w:szCs w:val="20"/>
              </w:rPr>
            </w:pPr>
            <w:r w:rsidRPr="003A0120">
              <w:rPr>
                <w:sz w:val="20"/>
                <w:szCs w:val="20"/>
              </w:rPr>
              <w:t>Clinical care provided by a nursing assistant, including but not limited to the clinical care matters specified in subsection (2)</w:t>
            </w:r>
          </w:p>
        </w:tc>
      </w:tr>
      <w:tr w:rsidR="00FC08DA" w:rsidRPr="004636D4" w14:paraId="4834DBD5" w14:textId="77777777" w:rsidTr="00BD3D05">
        <w:tc>
          <w:tcPr>
            <w:tcW w:w="714" w:type="dxa"/>
            <w:tcBorders>
              <w:top w:val="single" w:sz="2" w:space="0" w:color="auto"/>
              <w:bottom w:val="single" w:sz="12" w:space="0" w:color="auto"/>
            </w:tcBorders>
          </w:tcPr>
          <w:p w14:paraId="28E93616"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408" w:type="dxa"/>
            <w:tcBorders>
              <w:top w:val="single" w:sz="2" w:space="0" w:color="auto"/>
              <w:bottom w:val="single" w:sz="12" w:space="0" w:color="auto"/>
            </w:tcBorders>
          </w:tcPr>
          <w:p w14:paraId="15CCA9FC" w14:textId="77777777" w:rsidR="00FC08DA" w:rsidRPr="003A0120" w:rsidRDefault="00FC08DA" w:rsidP="00540316">
            <w:pPr>
              <w:pStyle w:val="TableParagraph"/>
              <w:rPr>
                <w:sz w:val="20"/>
                <w:szCs w:val="20"/>
              </w:rPr>
            </w:pPr>
            <w:r w:rsidRPr="003A0120">
              <w:rPr>
                <w:sz w:val="20"/>
                <w:szCs w:val="20"/>
              </w:rPr>
              <w:t>Nursing care consumables</w:t>
            </w:r>
          </w:p>
        </w:tc>
        <w:tc>
          <w:tcPr>
            <w:tcW w:w="6237" w:type="dxa"/>
            <w:tcBorders>
              <w:top w:val="single" w:sz="2" w:space="0" w:color="auto"/>
              <w:bottom w:val="single" w:sz="12" w:space="0" w:color="auto"/>
            </w:tcBorders>
          </w:tcPr>
          <w:p w14:paraId="67A1E0AB" w14:textId="77777777" w:rsidR="00FC08DA" w:rsidRPr="003A0120" w:rsidRDefault="00FC08DA" w:rsidP="00540316">
            <w:pPr>
              <w:pStyle w:val="TableParagraph"/>
              <w:rPr>
                <w:sz w:val="20"/>
                <w:szCs w:val="20"/>
              </w:rPr>
            </w:pPr>
            <w:r w:rsidRPr="003A0120">
              <w:rPr>
                <w:rFonts w:eastAsia="Calibri"/>
                <w:sz w:val="20"/>
                <w:szCs w:val="20"/>
              </w:rPr>
              <w:t>The supply of consumables used in delivering the clinical care mentioned in items 1 to 3, including oxygen and specialised products for wound care, continence management and skin integrity</w:t>
            </w:r>
          </w:p>
        </w:tc>
      </w:tr>
    </w:tbl>
    <w:p w14:paraId="2EE260CF" w14:textId="79F088CD" w:rsidR="00FC08DA" w:rsidRPr="007B7277" w:rsidRDefault="00FC08DA" w:rsidP="007B7277">
      <w:pPr>
        <w:rPr>
          <w:b/>
          <w:bCs/>
          <w:sz w:val="22"/>
          <w:szCs w:val="22"/>
        </w:rPr>
      </w:pPr>
      <w:r w:rsidRPr="007B7277">
        <w:rPr>
          <w:b/>
          <w:bCs/>
          <w:sz w:val="22"/>
          <w:szCs w:val="22"/>
        </w:rPr>
        <w:t>8</w:t>
      </w:r>
      <w:r w:rsidRPr="007B7277">
        <w:rPr>
          <w:b/>
          <w:bCs/>
          <w:sz w:val="22"/>
          <w:szCs w:val="22"/>
        </w:rPr>
        <w:noBreakHyphen/>
        <w:t>65 Nutrition</w:t>
      </w:r>
    </w:p>
    <w:p w14:paraId="09B3827A" w14:textId="302E43EC" w:rsidR="00FC08DA" w:rsidRPr="003A0120" w:rsidRDefault="00FC08DA" w:rsidP="007206E9">
      <w:pPr>
        <w:pStyle w:val="subsection"/>
        <w:rPr>
          <w:rFonts w:cs="Calibri"/>
          <w:sz w:val="20"/>
        </w:rPr>
      </w:pPr>
      <w:r w:rsidRPr="003A0120">
        <w:rPr>
          <w:rFonts w:cs="Calibri"/>
          <w:sz w:val="20"/>
        </w:rPr>
        <w:t>A service listed and described in an item of the following table is in the service type nutrition.</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124"/>
        <w:gridCol w:w="6521"/>
      </w:tblGrid>
      <w:tr w:rsidR="00FC08DA" w:rsidRPr="004636D4" w14:paraId="338AEE69" w14:textId="77777777" w:rsidTr="00BD3D05">
        <w:trPr>
          <w:tblHeader/>
        </w:trPr>
        <w:tc>
          <w:tcPr>
            <w:tcW w:w="8359" w:type="dxa"/>
            <w:gridSpan w:val="3"/>
            <w:tcBorders>
              <w:top w:val="single" w:sz="12" w:space="0" w:color="auto"/>
              <w:bottom w:val="single" w:sz="6" w:space="0" w:color="auto"/>
            </w:tcBorders>
          </w:tcPr>
          <w:p w14:paraId="46A142C2"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nutrition</w:t>
            </w:r>
          </w:p>
        </w:tc>
      </w:tr>
      <w:tr w:rsidR="00FC08DA" w:rsidRPr="004636D4" w14:paraId="33A7B71E" w14:textId="77777777" w:rsidTr="00BD3D05">
        <w:trPr>
          <w:tblHeader/>
        </w:trPr>
        <w:tc>
          <w:tcPr>
            <w:tcW w:w="714" w:type="dxa"/>
            <w:tcBorders>
              <w:top w:val="single" w:sz="6" w:space="0" w:color="auto"/>
              <w:bottom w:val="single" w:sz="12" w:space="0" w:color="auto"/>
            </w:tcBorders>
          </w:tcPr>
          <w:p w14:paraId="73E8F521"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124" w:type="dxa"/>
            <w:tcBorders>
              <w:top w:val="single" w:sz="6" w:space="0" w:color="auto"/>
              <w:bottom w:val="single" w:sz="12" w:space="0" w:color="auto"/>
            </w:tcBorders>
          </w:tcPr>
          <w:p w14:paraId="4B10DBAA"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0C7D927"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521" w:type="dxa"/>
            <w:tcBorders>
              <w:top w:val="single" w:sz="6" w:space="0" w:color="auto"/>
              <w:bottom w:val="single" w:sz="12" w:space="0" w:color="auto"/>
            </w:tcBorders>
          </w:tcPr>
          <w:p w14:paraId="6DE2A98C"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2B8F4DC8"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30BD861" w14:textId="77777777" w:rsidTr="00BD3D05">
        <w:tc>
          <w:tcPr>
            <w:tcW w:w="714" w:type="dxa"/>
            <w:tcBorders>
              <w:top w:val="single" w:sz="12" w:space="0" w:color="auto"/>
              <w:bottom w:val="single" w:sz="12" w:space="0" w:color="auto"/>
            </w:tcBorders>
          </w:tcPr>
          <w:p w14:paraId="4428BBFC"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124" w:type="dxa"/>
            <w:tcBorders>
              <w:top w:val="single" w:sz="12" w:space="0" w:color="auto"/>
              <w:bottom w:val="single" w:sz="12" w:space="0" w:color="auto"/>
            </w:tcBorders>
          </w:tcPr>
          <w:p w14:paraId="69C09453" w14:textId="77777777" w:rsidR="00FC08DA" w:rsidRPr="003A0120" w:rsidRDefault="00FC08DA" w:rsidP="00BD3D05">
            <w:pPr>
              <w:pStyle w:val="Tabletext"/>
              <w:rPr>
                <w:rFonts w:ascii="Calibri" w:hAnsi="Calibri" w:cs="Calibri"/>
              </w:rPr>
            </w:pPr>
            <w:r w:rsidRPr="003A0120">
              <w:rPr>
                <w:rFonts w:ascii="Calibri" w:hAnsi="Calibri" w:cs="Calibri"/>
              </w:rPr>
              <w:t>Nutrition supports</w:t>
            </w:r>
          </w:p>
        </w:tc>
        <w:tc>
          <w:tcPr>
            <w:tcW w:w="6521" w:type="dxa"/>
            <w:tcBorders>
              <w:top w:val="single" w:sz="12" w:space="0" w:color="auto"/>
              <w:bottom w:val="single" w:sz="12" w:space="0" w:color="auto"/>
            </w:tcBorders>
          </w:tcPr>
          <w:p w14:paraId="1C0735EE" w14:textId="77777777" w:rsidR="00FC08DA" w:rsidRPr="003A0120" w:rsidRDefault="00FC08DA" w:rsidP="00BD3D05">
            <w:pPr>
              <w:pStyle w:val="Tabletext"/>
              <w:rPr>
                <w:rFonts w:ascii="Calibri" w:hAnsi="Calibri" w:cs="Calibri"/>
              </w:rPr>
            </w:pPr>
            <w:r w:rsidRPr="003A0120">
              <w:rPr>
                <w:rFonts w:ascii="Calibri" w:hAnsi="Calibri" w:cs="Calibri"/>
              </w:rPr>
              <w:t>The supply of:</w:t>
            </w:r>
          </w:p>
          <w:p w14:paraId="5BACB603" w14:textId="53C67ECF" w:rsidR="00FC08DA" w:rsidRPr="003A0120" w:rsidRDefault="00FC08DA" w:rsidP="0050112F">
            <w:pPr>
              <w:pStyle w:val="Tablea"/>
              <w:numPr>
                <w:ilvl w:val="0"/>
                <w:numId w:val="79"/>
              </w:numPr>
              <w:rPr>
                <w:rFonts w:eastAsia="Calibri"/>
                <w:sz w:val="20"/>
              </w:rPr>
            </w:pPr>
            <w:r w:rsidRPr="003A0120">
              <w:rPr>
                <w:rFonts w:eastAsia="Calibri"/>
                <w:sz w:val="20"/>
              </w:rPr>
              <w:t>supplementary dietary products (enteral and oral); and</w:t>
            </w:r>
          </w:p>
          <w:p w14:paraId="0BCF8708" w14:textId="7C3397A1" w:rsidR="00FC08DA" w:rsidRPr="003A0120" w:rsidRDefault="00FC08DA" w:rsidP="00497EDC">
            <w:pPr>
              <w:pStyle w:val="Tablea"/>
              <w:rPr>
                <w:rFonts w:eastAsia="Calibri"/>
                <w:sz w:val="20"/>
              </w:rPr>
            </w:pPr>
            <w:r w:rsidRPr="003A0120">
              <w:rPr>
                <w:rFonts w:eastAsia="Calibri"/>
                <w:sz w:val="20"/>
              </w:rPr>
              <w:t>aids;</w:t>
            </w:r>
          </w:p>
          <w:p w14:paraId="337BEDA3" w14:textId="77777777" w:rsidR="00FC08DA" w:rsidRPr="003A0120" w:rsidRDefault="00FC08DA" w:rsidP="00540316">
            <w:pPr>
              <w:pStyle w:val="Tablea"/>
              <w:numPr>
                <w:ilvl w:val="0"/>
                <w:numId w:val="0"/>
              </w:numPr>
              <w:ind w:left="360"/>
              <w:rPr>
                <w:rFonts w:eastAsia="Calibri"/>
                <w:sz w:val="20"/>
              </w:rPr>
            </w:pPr>
            <w:r w:rsidRPr="003A0120">
              <w:rPr>
                <w:rFonts w:eastAsia="Calibri"/>
                <w:sz w:val="20"/>
              </w:rPr>
              <w:t>that are:</w:t>
            </w:r>
          </w:p>
          <w:p w14:paraId="345854BE" w14:textId="73A65AC8" w:rsidR="00FC08DA" w:rsidRPr="003A0120" w:rsidRDefault="00FC08DA" w:rsidP="00497EDC">
            <w:pPr>
              <w:pStyle w:val="Tablea"/>
              <w:rPr>
                <w:rFonts w:eastAsia="Calibri"/>
                <w:sz w:val="20"/>
              </w:rPr>
            </w:pPr>
            <w:r w:rsidRPr="003A0120">
              <w:rPr>
                <w:rFonts w:eastAsia="Calibri"/>
                <w:sz w:val="20"/>
              </w:rPr>
              <w:t>required for conditions related to age</w:t>
            </w:r>
            <w:r w:rsidRPr="003A0120">
              <w:rPr>
                <w:rFonts w:eastAsia="Calibri"/>
                <w:sz w:val="20"/>
              </w:rPr>
              <w:noBreakHyphen/>
              <w:t>related functional decline or impairment; and</w:t>
            </w:r>
          </w:p>
          <w:p w14:paraId="3BB7BE49" w14:textId="5FE2E3DC" w:rsidR="00FC08DA" w:rsidRPr="003A0120" w:rsidRDefault="00FC08DA" w:rsidP="00497EDC">
            <w:pPr>
              <w:pStyle w:val="Tablea"/>
              <w:rPr>
                <w:rFonts w:eastAsia="Calibri"/>
                <w:sz w:val="20"/>
              </w:rPr>
            </w:pPr>
            <w:r w:rsidRPr="003A0120">
              <w:rPr>
                <w:rFonts w:eastAsia="Calibri"/>
                <w:sz w:val="20"/>
              </w:rPr>
              <w:t xml:space="preserve">prescribed by a dietitian or </w:t>
            </w:r>
            <w:r w:rsidRPr="003A0120">
              <w:rPr>
                <w:sz w:val="20"/>
              </w:rPr>
              <w:t>registered health practitioner</w:t>
            </w:r>
          </w:p>
        </w:tc>
      </w:tr>
    </w:tbl>
    <w:p w14:paraId="4878BD41" w14:textId="107A9CBB" w:rsidR="00FC08DA" w:rsidRPr="003A0120" w:rsidRDefault="00FC08DA" w:rsidP="007B7277">
      <w:pPr>
        <w:rPr>
          <w:rFonts w:cs="Calibri"/>
        </w:rPr>
      </w:pPr>
      <w:r w:rsidRPr="007B7277">
        <w:rPr>
          <w:b/>
          <w:bCs/>
          <w:sz w:val="22"/>
          <w:szCs w:val="22"/>
        </w:rPr>
        <w:t>8</w:t>
      </w:r>
      <w:r w:rsidRPr="007B7277">
        <w:rPr>
          <w:b/>
          <w:bCs/>
          <w:sz w:val="22"/>
          <w:szCs w:val="22"/>
        </w:rPr>
        <w:noBreakHyphen/>
        <w:t>70 Personal care</w:t>
      </w:r>
    </w:p>
    <w:p w14:paraId="5CE9B317" w14:textId="40762BC9" w:rsidR="00FC08DA" w:rsidRPr="003A0120" w:rsidRDefault="00FC08DA" w:rsidP="007206E9">
      <w:pPr>
        <w:pStyle w:val="subsection"/>
        <w:rPr>
          <w:rFonts w:cs="Calibri"/>
          <w:sz w:val="20"/>
        </w:rPr>
      </w:pPr>
      <w:r w:rsidRPr="003A0120">
        <w:rPr>
          <w:rFonts w:cs="Calibri"/>
          <w:sz w:val="20"/>
        </w:rPr>
        <w:t>A service listed and described in an item of the following table is in the service type personal care.</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773"/>
        <w:gridCol w:w="5872"/>
      </w:tblGrid>
      <w:tr w:rsidR="00FC08DA" w:rsidRPr="004636D4" w14:paraId="6995612A" w14:textId="77777777" w:rsidTr="00BD3D05">
        <w:trPr>
          <w:tblHeader/>
        </w:trPr>
        <w:tc>
          <w:tcPr>
            <w:tcW w:w="8359" w:type="dxa"/>
            <w:gridSpan w:val="3"/>
            <w:tcBorders>
              <w:top w:val="single" w:sz="12" w:space="0" w:color="auto"/>
              <w:bottom w:val="single" w:sz="6" w:space="0" w:color="auto"/>
            </w:tcBorders>
          </w:tcPr>
          <w:p w14:paraId="0C88724B"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personal care</w:t>
            </w:r>
          </w:p>
        </w:tc>
      </w:tr>
      <w:tr w:rsidR="00FC08DA" w:rsidRPr="004636D4" w14:paraId="3C34C199" w14:textId="77777777" w:rsidTr="00BD3D05">
        <w:trPr>
          <w:tblHeader/>
        </w:trPr>
        <w:tc>
          <w:tcPr>
            <w:tcW w:w="714" w:type="dxa"/>
            <w:tcBorders>
              <w:top w:val="single" w:sz="6" w:space="0" w:color="auto"/>
              <w:bottom w:val="single" w:sz="12" w:space="0" w:color="auto"/>
            </w:tcBorders>
          </w:tcPr>
          <w:p w14:paraId="22BD71C2"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773" w:type="dxa"/>
            <w:tcBorders>
              <w:top w:val="single" w:sz="6" w:space="0" w:color="auto"/>
              <w:bottom w:val="single" w:sz="12" w:space="0" w:color="auto"/>
            </w:tcBorders>
          </w:tcPr>
          <w:p w14:paraId="58C1EFB9"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3167AA7"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872" w:type="dxa"/>
            <w:tcBorders>
              <w:top w:val="single" w:sz="6" w:space="0" w:color="auto"/>
              <w:bottom w:val="single" w:sz="12" w:space="0" w:color="auto"/>
            </w:tcBorders>
          </w:tcPr>
          <w:p w14:paraId="306C2878"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059483A"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381B023F" w14:textId="77777777" w:rsidTr="00BD3D05">
        <w:tc>
          <w:tcPr>
            <w:tcW w:w="714" w:type="dxa"/>
            <w:tcBorders>
              <w:top w:val="single" w:sz="12" w:space="0" w:color="auto"/>
              <w:bottom w:val="single" w:sz="2" w:space="0" w:color="auto"/>
            </w:tcBorders>
          </w:tcPr>
          <w:p w14:paraId="4EF3CCF8"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773" w:type="dxa"/>
            <w:tcBorders>
              <w:top w:val="single" w:sz="12" w:space="0" w:color="auto"/>
              <w:bottom w:val="single" w:sz="2" w:space="0" w:color="auto"/>
            </w:tcBorders>
          </w:tcPr>
          <w:p w14:paraId="7A0B1D62"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care and activities of daily living</w:t>
            </w:r>
          </w:p>
        </w:tc>
        <w:tc>
          <w:tcPr>
            <w:tcW w:w="5872" w:type="dxa"/>
            <w:tcBorders>
              <w:top w:val="single" w:sz="12" w:space="0" w:color="auto"/>
              <w:bottom w:val="single" w:sz="2" w:space="0" w:color="auto"/>
            </w:tcBorders>
          </w:tcPr>
          <w:p w14:paraId="177329E5" w14:textId="77777777" w:rsidR="00FC08DA" w:rsidRPr="003A0120" w:rsidRDefault="00FC08DA" w:rsidP="00540316">
            <w:pPr>
              <w:pStyle w:val="TableParagraph"/>
              <w:rPr>
                <w:sz w:val="20"/>
                <w:szCs w:val="20"/>
              </w:rPr>
            </w:pPr>
            <w:r w:rsidRPr="003A0120">
              <w:rPr>
                <w:sz w:val="20"/>
                <w:szCs w:val="20"/>
              </w:rPr>
              <w:t>Attendant care to meet essential and ongoing needs (such as mobility, eating and hygiene), but not including professional services that would usually be paid for by an individual (such as waxing or hairdressing)</w:t>
            </w:r>
          </w:p>
        </w:tc>
      </w:tr>
      <w:tr w:rsidR="00FC08DA" w:rsidRPr="004636D4" w14:paraId="5347B134" w14:textId="77777777" w:rsidTr="00BD3D05">
        <w:tc>
          <w:tcPr>
            <w:tcW w:w="714" w:type="dxa"/>
            <w:tcBorders>
              <w:top w:val="single" w:sz="2" w:space="0" w:color="auto"/>
              <w:bottom w:val="single" w:sz="2" w:space="0" w:color="auto"/>
            </w:tcBorders>
          </w:tcPr>
          <w:p w14:paraId="7F31EC5F"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773" w:type="dxa"/>
            <w:tcBorders>
              <w:top w:val="single" w:sz="2" w:space="0" w:color="auto"/>
              <w:bottom w:val="single" w:sz="2" w:space="0" w:color="auto"/>
            </w:tcBorders>
          </w:tcPr>
          <w:p w14:paraId="3945EF4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w:t>
            </w:r>
          </w:p>
        </w:tc>
        <w:tc>
          <w:tcPr>
            <w:tcW w:w="5872" w:type="dxa"/>
            <w:tcBorders>
              <w:top w:val="single" w:sz="2" w:space="0" w:color="auto"/>
              <w:bottom w:val="single" w:sz="2" w:space="0" w:color="auto"/>
            </w:tcBorders>
          </w:tcPr>
          <w:p w14:paraId="4AF92686" w14:textId="77777777" w:rsidR="00FC08DA" w:rsidRPr="003A0120" w:rsidRDefault="00FC08DA" w:rsidP="00540316">
            <w:pPr>
              <w:pStyle w:val="TableParagraph"/>
              <w:rPr>
                <w:sz w:val="20"/>
                <w:szCs w:val="20"/>
              </w:rPr>
            </w:pPr>
            <w:r w:rsidRPr="003A0120">
              <w:rPr>
                <w:sz w:val="20"/>
                <w:szCs w:val="20"/>
              </w:rPr>
              <w:t>Assistance with self</w:t>
            </w:r>
            <w:r w:rsidRPr="003A0120">
              <w:rPr>
                <w:sz w:val="20"/>
                <w:szCs w:val="20"/>
              </w:rPr>
              <w:noBreakHyphen/>
              <w:t>administration of medications, including arranging for medications to be dispensed by a pharmacist, but not including prescribing or administering medications</w:t>
            </w:r>
          </w:p>
        </w:tc>
      </w:tr>
      <w:tr w:rsidR="00FC08DA" w:rsidRPr="004636D4" w14:paraId="5CFFBFF2" w14:textId="77777777" w:rsidTr="00BD3D05">
        <w:tc>
          <w:tcPr>
            <w:tcW w:w="714" w:type="dxa"/>
            <w:tcBorders>
              <w:top w:val="single" w:sz="2" w:space="0" w:color="auto"/>
              <w:bottom w:val="single" w:sz="12" w:space="0" w:color="auto"/>
            </w:tcBorders>
          </w:tcPr>
          <w:p w14:paraId="0065FF85"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773" w:type="dxa"/>
            <w:tcBorders>
              <w:top w:val="single" w:sz="2" w:space="0" w:color="auto"/>
              <w:bottom w:val="single" w:sz="12" w:space="0" w:color="auto"/>
            </w:tcBorders>
          </w:tcPr>
          <w:p w14:paraId="64084CCF" w14:textId="77777777" w:rsidR="00FC08DA" w:rsidRPr="003A0120" w:rsidRDefault="00FC08DA" w:rsidP="00540316">
            <w:pPr>
              <w:pStyle w:val="TableParagraph"/>
              <w:rPr>
                <w:sz w:val="20"/>
                <w:szCs w:val="20"/>
              </w:rPr>
            </w:pPr>
            <w:r w:rsidRPr="003A0120">
              <w:rPr>
                <w:sz w:val="20"/>
                <w:szCs w:val="20"/>
              </w:rPr>
              <w:t>Continence management (non</w:t>
            </w:r>
            <w:r w:rsidRPr="003A0120">
              <w:rPr>
                <w:sz w:val="20"/>
                <w:szCs w:val="20"/>
              </w:rPr>
              <w:noBreakHyphen/>
              <w:t>clinical)</w:t>
            </w:r>
          </w:p>
        </w:tc>
        <w:tc>
          <w:tcPr>
            <w:tcW w:w="5872" w:type="dxa"/>
            <w:tcBorders>
              <w:top w:val="single" w:sz="2" w:space="0" w:color="auto"/>
              <w:bottom w:val="single" w:sz="12" w:space="0" w:color="auto"/>
            </w:tcBorders>
          </w:tcPr>
          <w:p w14:paraId="2D778395" w14:textId="77777777" w:rsidR="00FC08DA" w:rsidRPr="003A0120" w:rsidRDefault="00FC08DA" w:rsidP="00540316">
            <w:pPr>
              <w:pStyle w:val="TableParagraph"/>
              <w:rPr>
                <w:sz w:val="20"/>
                <w:szCs w:val="20"/>
              </w:rPr>
            </w:pPr>
            <w:r w:rsidRPr="003A0120">
              <w:rPr>
                <w:rFonts w:eastAsia="Calibri"/>
                <w:sz w:val="20"/>
                <w:szCs w:val="20"/>
              </w:rPr>
              <w:t>Attendant non</w:t>
            </w:r>
            <w:r w:rsidRPr="003A0120">
              <w:rPr>
                <w:rFonts w:eastAsia="Calibri"/>
                <w:sz w:val="20"/>
                <w:szCs w:val="20"/>
              </w:rPr>
              <w:noBreakHyphen/>
              <w:t>clinical care to manage continence needs (such as support to access advice or funding, or assistance changing aids)</w:t>
            </w:r>
          </w:p>
        </w:tc>
      </w:tr>
    </w:tbl>
    <w:p w14:paraId="5A73986E" w14:textId="6D8066B2" w:rsidR="00FC08DA" w:rsidRDefault="002151B8" w:rsidP="00D53ED4">
      <w:pPr>
        <w:rPr>
          <w:b/>
          <w:bCs/>
          <w:color w:val="227ACB"/>
          <w:sz w:val="24"/>
        </w:rPr>
      </w:pPr>
      <w:r>
        <w:rPr>
          <w:szCs w:val="20"/>
        </w:rPr>
        <w:br w:type="column"/>
      </w:r>
      <w:r w:rsidR="00FC08DA" w:rsidRPr="00D53ED4">
        <w:rPr>
          <w:b/>
          <w:bCs/>
          <w:color w:val="227ACB"/>
          <w:sz w:val="24"/>
        </w:rPr>
        <w:lastRenderedPageBreak/>
        <w:t>Division 3</w:t>
      </w:r>
      <w:r w:rsidR="000173E4" w:rsidRPr="00D53ED4">
        <w:rPr>
          <w:b/>
          <w:bCs/>
          <w:color w:val="227ACB"/>
          <w:sz w:val="24"/>
        </w:rPr>
        <w:t xml:space="preserve"> – </w:t>
      </w:r>
      <w:r w:rsidR="00FC08DA" w:rsidRPr="00D53ED4">
        <w:rPr>
          <w:b/>
          <w:bCs/>
          <w:color w:val="227ACB"/>
          <w:sz w:val="24"/>
        </w:rPr>
        <w:t>Other</w:t>
      </w:r>
      <w:r w:rsidR="000173E4" w:rsidRPr="00D53ED4">
        <w:rPr>
          <w:b/>
          <w:bCs/>
          <w:color w:val="227ACB"/>
          <w:sz w:val="24"/>
        </w:rPr>
        <w:t xml:space="preserve"> </w:t>
      </w:r>
      <w:r w:rsidR="00FC08DA" w:rsidRPr="00D53ED4">
        <w:rPr>
          <w:b/>
          <w:bCs/>
          <w:color w:val="227ACB"/>
          <w:sz w:val="24"/>
        </w:rPr>
        <w:t>specified matters for home support service types</w:t>
      </w:r>
    </w:p>
    <w:p w14:paraId="7C6F6876" w14:textId="77777777" w:rsidR="00557E7B" w:rsidRPr="003A0120" w:rsidRDefault="00557E7B" w:rsidP="00D53ED4">
      <w:pPr>
        <w:rPr>
          <w:szCs w:val="20"/>
        </w:rPr>
      </w:pPr>
    </w:p>
    <w:p w14:paraId="1FAB94EC" w14:textId="390AC9E8" w:rsidR="00FC08DA" w:rsidRPr="003A0120" w:rsidRDefault="00FC08DA" w:rsidP="007B7277">
      <w:pPr>
        <w:rPr>
          <w:rFonts w:cs="Calibri"/>
        </w:rPr>
      </w:pPr>
      <w:r w:rsidRPr="007B7277">
        <w:rPr>
          <w:b/>
          <w:bCs/>
          <w:sz w:val="22"/>
          <w:szCs w:val="22"/>
        </w:rPr>
        <w:t>8</w:t>
      </w:r>
      <w:r w:rsidRPr="007B7277">
        <w:rPr>
          <w:b/>
          <w:bCs/>
          <w:sz w:val="22"/>
          <w:szCs w:val="22"/>
        </w:rPr>
        <w:noBreakHyphen/>
        <w:t>95 All service types must be delivered in a home or community setting</w:t>
      </w:r>
    </w:p>
    <w:p w14:paraId="147CD6DD" w14:textId="6DF08CA4" w:rsidR="00FC08DA" w:rsidRDefault="00FC08DA" w:rsidP="00FC08DA">
      <w:pPr>
        <w:pStyle w:val="subsection"/>
        <w:rPr>
          <w:rFonts w:cs="Calibri"/>
          <w:sz w:val="20"/>
        </w:rPr>
      </w:pPr>
      <w:r w:rsidRPr="003A0120">
        <w:rPr>
          <w:rFonts w:cs="Calibri"/>
          <w:sz w:val="20"/>
        </w:rPr>
        <w:t>All service types in the service group home support must be delivered in a home or community setting.</w:t>
      </w:r>
    </w:p>
    <w:p w14:paraId="6B99E318" w14:textId="77777777" w:rsidR="007B7277" w:rsidRPr="003A0120" w:rsidRDefault="007B7277" w:rsidP="00FC08DA">
      <w:pPr>
        <w:pStyle w:val="subsection"/>
        <w:rPr>
          <w:rFonts w:cs="Calibri"/>
          <w:sz w:val="20"/>
        </w:rPr>
      </w:pPr>
    </w:p>
    <w:p w14:paraId="144B8772" w14:textId="0475661F" w:rsidR="00FC08DA" w:rsidRPr="007B7277" w:rsidRDefault="00FC08DA" w:rsidP="007B7277">
      <w:pPr>
        <w:rPr>
          <w:b/>
          <w:bCs/>
          <w:sz w:val="22"/>
          <w:szCs w:val="22"/>
        </w:rPr>
      </w:pPr>
      <w:r w:rsidRPr="007B7277">
        <w:rPr>
          <w:b/>
          <w:bCs/>
          <w:sz w:val="22"/>
          <w:szCs w:val="22"/>
        </w:rPr>
        <w:t>8</w:t>
      </w:r>
      <w:r w:rsidRPr="007B7277">
        <w:rPr>
          <w:b/>
          <w:bCs/>
          <w:sz w:val="22"/>
          <w:szCs w:val="22"/>
        </w:rPr>
        <w:noBreakHyphen/>
        <w:t>100 Other specified matters—service types that can only be delivered under specialist aged care programs</w:t>
      </w:r>
    </w:p>
    <w:p w14:paraId="3097EBDE" w14:textId="64CF6C2A" w:rsidR="00FC08DA" w:rsidRPr="003A0120" w:rsidRDefault="00FC08DA" w:rsidP="00FC08DA">
      <w:pPr>
        <w:pStyle w:val="subsection"/>
        <w:rPr>
          <w:rFonts w:cs="Calibri"/>
          <w:sz w:val="20"/>
        </w:rPr>
      </w:pPr>
      <w:r w:rsidRPr="003A0120">
        <w:rPr>
          <w:rFonts w:cs="Calibri"/>
          <w:sz w:val="20"/>
        </w:rPr>
        <w:t>A service type mentioned in column 1 of an item of the following table:</w:t>
      </w:r>
    </w:p>
    <w:p w14:paraId="4F407A1D"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(a) is in the service group home support; and</w:t>
      </w:r>
    </w:p>
    <w:p w14:paraId="77999BE6"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(b) can only be delivered under a specialist aged care program mentioned in column 2 of the item; and</w:t>
      </w:r>
    </w:p>
    <w:p w14:paraId="7A163DEA" w14:textId="405054BB" w:rsidR="00FC08DA" w:rsidRPr="003A0120" w:rsidRDefault="00FC08DA" w:rsidP="007206E9">
      <w:pPr>
        <w:pStyle w:val="paragraph"/>
        <w:ind w:left="720"/>
        <w:rPr>
          <w:rFonts w:ascii="Calibri" w:hAnsi="Calibri" w:cs="Calibri"/>
          <w:sz w:val="20"/>
          <w:szCs w:val="20"/>
        </w:rPr>
      </w:pPr>
      <w:r w:rsidRPr="003A0120">
        <w:rPr>
          <w:rFonts w:ascii="Calibri" w:hAnsi="Calibri" w:cs="Calibri"/>
          <w:sz w:val="20"/>
          <w:szCs w:val="20"/>
        </w:rPr>
        <w:t>(c) can be delivered under a provider registration category mentioned in column 3 of the item.</w:t>
      </w: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2977"/>
        <w:gridCol w:w="2977"/>
      </w:tblGrid>
      <w:tr w:rsidR="00FC08DA" w:rsidRPr="004636D4" w14:paraId="66342B16" w14:textId="77777777" w:rsidTr="00BD3D05">
        <w:trPr>
          <w:tblHeader/>
        </w:trPr>
        <w:tc>
          <w:tcPr>
            <w:tcW w:w="8359" w:type="dxa"/>
            <w:gridSpan w:val="4"/>
            <w:tcBorders>
              <w:top w:val="single" w:sz="12" w:space="0" w:color="auto"/>
              <w:bottom w:val="single" w:sz="6" w:space="0" w:color="auto"/>
            </w:tcBorders>
          </w:tcPr>
          <w:p w14:paraId="42523125" w14:textId="77777777" w:rsidR="00FC08DA" w:rsidRPr="003A0120" w:rsidRDefault="00FC08DA" w:rsidP="00BD3D05">
            <w:pPr>
              <w:pStyle w:val="TableHeading"/>
              <w:rPr>
                <w:rFonts w:ascii="Calibri" w:hAnsi="Calibri" w:cs="Calibri"/>
              </w:rPr>
            </w:pPr>
            <w:r w:rsidRPr="003A0120">
              <w:rPr>
                <w:rFonts w:ascii="Calibri" w:hAnsi="Calibri" w:cs="Calibri"/>
              </w:rPr>
              <w:t>Other specified matters</w:t>
            </w:r>
          </w:p>
        </w:tc>
      </w:tr>
      <w:tr w:rsidR="00FC08DA" w:rsidRPr="004636D4" w14:paraId="17E33A06" w14:textId="77777777" w:rsidTr="00BD3D05">
        <w:trPr>
          <w:tblHeader/>
        </w:trPr>
        <w:tc>
          <w:tcPr>
            <w:tcW w:w="714" w:type="dxa"/>
            <w:tcBorders>
              <w:top w:val="single" w:sz="6" w:space="0" w:color="auto"/>
              <w:bottom w:val="single" w:sz="12" w:space="0" w:color="auto"/>
            </w:tcBorders>
          </w:tcPr>
          <w:p w14:paraId="7A65D23D"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2F3F79E7"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3134639E" w14:textId="77777777" w:rsidR="00FC08DA" w:rsidRPr="003A0120" w:rsidRDefault="00FC08DA" w:rsidP="00BD3D05">
            <w:pPr>
              <w:pStyle w:val="TableHeading"/>
              <w:rPr>
                <w:rFonts w:ascii="Calibri" w:hAnsi="Calibri" w:cs="Calibri"/>
              </w:rPr>
            </w:pPr>
            <w:r w:rsidRPr="003A0120">
              <w:rPr>
                <w:rFonts w:ascii="Calibri" w:hAnsi="Calibri" w:cs="Calibri"/>
              </w:rPr>
              <w:t>Service type</w:t>
            </w:r>
          </w:p>
        </w:tc>
        <w:tc>
          <w:tcPr>
            <w:tcW w:w="2977" w:type="dxa"/>
            <w:tcBorders>
              <w:top w:val="single" w:sz="6" w:space="0" w:color="auto"/>
              <w:bottom w:val="single" w:sz="12" w:space="0" w:color="auto"/>
            </w:tcBorders>
          </w:tcPr>
          <w:p w14:paraId="41DE6FED"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D78B489" w14:textId="77777777" w:rsidR="00FC08DA" w:rsidRPr="003A0120" w:rsidRDefault="00FC08DA" w:rsidP="00BD3D05">
            <w:pPr>
              <w:pStyle w:val="TableHeading"/>
              <w:rPr>
                <w:rFonts w:ascii="Calibri" w:hAnsi="Calibri" w:cs="Calibri"/>
              </w:rPr>
            </w:pPr>
            <w:r w:rsidRPr="003A0120">
              <w:rPr>
                <w:rFonts w:ascii="Calibri" w:hAnsi="Calibri" w:cs="Calibri"/>
              </w:rPr>
              <w:t>Specialist aged care programs</w:t>
            </w:r>
          </w:p>
        </w:tc>
        <w:tc>
          <w:tcPr>
            <w:tcW w:w="2977" w:type="dxa"/>
            <w:tcBorders>
              <w:top w:val="single" w:sz="6" w:space="0" w:color="auto"/>
              <w:bottom w:val="single" w:sz="12" w:space="0" w:color="auto"/>
            </w:tcBorders>
          </w:tcPr>
          <w:p w14:paraId="6AB2B2A6" w14:textId="77777777" w:rsidR="00FC08DA" w:rsidRPr="003A0120" w:rsidRDefault="00FC08DA" w:rsidP="00BD3D05">
            <w:pPr>
              <w:pStyle w:val="TableHeading"/>
              <w:rPr>
                <w:rFonts w:ascii="Calibri" w:hAnsi="Calibri" w:cs="Calibri"/>
              </w:rPr>
            </w:pPr>
            <w:r w:rsidRPr="003A0120">
              <w:rPr>
                <w:rFonts w:ascii="Calibri" w:hAnsi="Calibri" w:cs="Calibri"/>
              </w:rPr>
              <w:t>Column 3</w:t>
            </w:r>
          </w:p>
          <w:p w14:paraId="647C8410" w14:textId="77777777" w:rsidR="00FC08DA" w:rsidRPr="003A0120" w:rsidRDefault="00FC08DA" w:rsidP="00BD3D05">
            <w:pPr>
              <w:pStyle w:val="TableHeading"/>
              <w:rPr>
                <w:rFonts w:ascii="Calibri" w:hAnsi="Calibri" w:cs="Calibri"/>
              </w:rPr>
            </w:pPr>
            <w:r w:rsidRPr="003A0120">
              <w:rPr>
                <w:rFonts w:ascii="Calibri" w:hAnsi="Calibri" w:cs="Calibri"/>
              </w:rPr>
              <w:t>Provider registration categories</w:t>
            </w:r>
          </w:p>
        </w:tc>
      </w:tr>
      <w:tr w:rsidR="00FC08DA" w:rsidRPr="004636D4" w14:paraId="648A19F4" w14:textId="77777777" w:rsidTr="00BD3D05">
        <w:tc>
          <w:tcPr>
            <w:tcW w:w="714" w:type="dxa"/>
            <w:tcBorders>
              <w:top w:val="single" w:sz="12" w:space="0" w:color="auto"/>
            </w:tcBorders>
          </w:tcPr>
          <w:p w14:paraId="0335B45A"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3E548EB4" w14:textId="77777777" w:rsidR="00FC08DA" w:rsidRPr="003A0120" w:rsidRDefault="00FC08DA" w:rsidP="00540316">
            <w:pPr>
              <w:pStyle w:val="TableParagraph"/>
              <w:rPr>
                <w:sz w:val="20"/>
                <w:szCs w:val="20"/>
              </w:rPr>
            </w:pPr>
            <w:r w:rsidRPr="003A0120">
              <w:rPr>
                <w:sz w:val="20"/>
                <w:szCs w:val="20"/>
              </w:rPr>
              <w:t>Assistance with transition care</w:t>
            </w:r>
          </w:p>
        </w:tc>
        <w:tc>
          <w:tcPr>
            <w:tcW w:w="2977" w:type="dxa"/>
            <w:tcBorders>
              <w:top w:val="single" w:sz="12" w:space="0" w:color="auto"/>
            </w:tcBorders>
          </w:tcPr>
          <w:p w14:paraId="4CF35719" w14:textId="77777777" w:rsidR="00FC08DA" w:rsidRPr="003A0120" w:rsidRDefault="00FC08DA" w:rsidP="00540316">
            <w:pPr>
              <w:pStyle w:val="TableParagraph"/>
              <w:rPr>
                <w:sz w:val="20"/>
                <w:szCs w:val="20"/>
              </w:rPr>
            </w:pPr>
            <w:r w:rsidRPr="003A0120">
              <w:rPr>
                <w:sz w:val="20"/>
                <w:szCs w:val="20"/>
              </w:rPr>
              <w:t>TCP</w:t>
            </w:r>
          </w:p>
        </w:tc>
        <w:tc>
          <w:tcPr>
            <w:tcW w:w="2977" w:type="dxa"/>
            <w:tcBorders>
              <w:top w:val="single" w:sz="12" w:space="0" w:color="auto"/>
            </w:tcBorders>
          </w:tcPr>
          <w:p w14:paraId="2E614468" w14:textId="77777777" w:rsidR="00FC08DA" w:rsidRPr="003A0120" w:rsidRDefault="00FC08DA" w:rsidP="00540316">
            <w:pPr>
              <w:pStyle w:val="TableParagraph"/>
              <w:rPr>
                <w:sz w:val="20"/>
                <w:szCs w:val="20"/>
              </w:rPr>
            </w:pPr>
            <w:r w:rsidRPr="003A0120">
              <w:rPr>
                <w:sz w:val="20"/>
                <w:szCs w:val="20"/>
              </w:rPr>
              <w:t>Nursing and transition care</w:t>
            </w:r>
          </w:p>
        </w:tc>
      </w:tr>
    </w:tbl>
    <w:p w14:paraId="21128D1E" w14:textId="26DB6517" w:rsidR="00FC08DA" w:rsidRPr="007B7277" w:rsidRDefault="00FC08DA" w:rsidP="007B7277">
      <w:pPr>
        <w:rPr>
          <w:b/>
          <w:bCs/>
          <w:sz w:val="22"/>
          <w:szCs w:val="22"/>
        </w:rPr>
      </w:pPr>
      <w:r w:rsidRPr="007B7277">
        <w:rPr>
          <w:b/>
          <w:bCs/>
          <w:sz w:val="22"/>
          <w:szCs w:val="22"/>
        </w:rPr>
        <w:t>8</w:t>
      </w:r>
      <w:r w:rsidRPr="007B7277">
        <w:rPr>
          <w:b/>
          <w:bCs/>
          <w:sz w:val="22"/>
          <w:szCs w:val="22"/>
        </w:rPr>
        <w:noBreakHyphen/>
        <w:t>105 Other specified matters—other service types</w:t>
      </w:r>
    </w:p>
    <w:p w14:paraId="5FBC8BD1" w14:textId="77777777" w:rsidR="00FC08DA" w:rsidRPr="003A0120" w:rsidRDefault="00FC08DA" w:rsidP="00FC08DA">
      <w:pPr>
        <w:pStyle w:val="SubsectionHead"/>
        <w:rPr>
          <w:rFonts w:ascii="Calibri" w:hAnsi="Calibri" w:cs="Calibri"/>
          <w:sz w:val="20"/>
        </w:rPr>
      </w:pPr>
      <w:r w:rsidRPr="003A0120">
        <w:rPr>
          <w:rFonts w:ascii="Calibri" w:hAnsi="Calibri" w:cs="Calibri"/>
          <w:sz w:val="20"/>
        </w:rPr>
        <w:t>Service group, specialist aged care programs and provider registration categories</w:t>
      </w:r>
    </w:p>
    <w:p w14:paraId="5F4CBB8C" w14:textId="77777777" w:rsidR="00FC08DA" w:rsidRPr="003A0120" w:rsidRDefault="00FC08DA" w:rsidP="00FC08DA">
      <w:pPr>
        <w:pStyle w:val="subsection"/>
        <w:rPr>
          <w:rFonts w:cs="Calibri"/>
          <w:sz w:val="20"/>
        </w:rPr>
      </w:pPr>
      <w:r w:rsidRPr="003A0120">
        <w:rPr>
          <w:rFonts w:cs="Calibri"/>
          <w:sz w:val="20"/>
        </w:rPr>
        <w:tab/>
        <w:t>(1)</w:t>
      </w:r>
      <w:r w:rsidRPr="003A0120">
        <w:rPr>
          <w:rFonts w:cs="Calibri"/>
          <w:sz w:val="20"/>
        </w:rPr>
        <w:tab/>
        <w:t>A service type mentioned in column 1 of an item of the following table:</w:t>
      </w:r>
    </w:p>
    <w:p w14:paraId="1DC3D5E9" w14:textId="77777777" w:rsidR="00FC08DA" w:rsidRPr="003A0120" w:rsidRDefault="00FC08DA" w:rsidP="00FC08DA">
      <w:pPr>
        <w:pStyle w:val="paragraph"/>
        <w:ind w:left="720"/>
        <w:rPr>
          <w:rFonts w:ascii="Calibri" w:hAnsi="Calibri" w:cs="Calibri"/>
          <w:sz w:val="20"/>
          <w:szCs w:val="20"/>
        </w:rPr>
      </w:pPr>
      <w:r w:rsidRPr="003A0120">
        <w:rPr>
          <w:rFonts w:ascii="Calibri" w:hAnsi="Calibri" w:cs="Calibri"/>
          <w:sz w:val="20"/>
          <w:szCs w:val="20"/>
        </w:rPr>
        <w:tab/>
        <w:t>(a) is in the service group home support; and</w:t>
      </w:r>
    </w:p>
    <w:p w14:paraId="7CF1FC45" w14:textId="77777777" w:rsidR="00FC08DA" w:rsidRPr="003A0120" w:rsidRDefault="00FC08DA" w:rsidP="00FC08DA">
      <w:pPr>
        <w:pStyle w:val="paragraph"/>
        <w:ind w:left="1440"/>
        <w:rPr>
          <w:rFonts w:ascii="Calibri" w:hAnsi="Calibri" w:cs="Calibri"/>
          <w:sz w:val="20"/>
          <w:szCs w:val="20"/>
        </w:rPr>
      </w:pPr>
      <w:r w:rsidRPr="003A0120">
        <w:rPr>
          <w:rFonts w:ascii="Calibri" w:hAnsi="Calibri" w:cs="Calibri"/>
          <w:sz w:val="20"/>
          <w:szCs w:val="20"/>
        </w:rPr>
        <w:t>(b) can be delivered under a specialist aged care program mentioned in column 2 of the item; and</w:t>
      </w:r>
    </w:p>
    <w:p w14:paraId="6A67DED8" w14:textId="77777777" w:rsidR="00FC08DA" w:rsidRPr="003A0120" w:rsidRDefault="00FC08DA" w:rsidP="00FC08DA">
      <w:pPr>
        <w:pStyle w:val="paragraph"/>
        <w:ind w:left="1440"/>
        <w:rPr>
          <w:rFonts w:ascii="Calibri" w:hAnsi="Calibri" w:cs="Calibri"/>
          <w:sz w:val="20"/>
          <w:szCs w:val="20"/>
        </w:rPr>
      </w:pPr>
      <w:r w:rsidRPr="003A0120">
        <w:rPr>
          <w:rFonts w:ascii="Calibri" w:hAnsi="Calibri" w:cs="Calibri"/>
          <w:sz w:val="20"/>
          <w:szCs w:val="20"/>
        </w:rPr>
        <w:t>(c) can be delivered under a provider registration category mentioned in column 3 of the item.</w:t>
      </w:r>
    </w:p>
    <w:p w14:paraId="2DDD075F" w14:textId="77777777" w:rsidR="00FC08DA" w:rsidRPr="003A0120" w:rsidRDefault="00FC08DA" w:rsidP="00FC08DA">
      <w:pPr>
        <w:pStyle w:val="SubsectionHead"/>
        <w:rPr>
          <w:rFonts w:ascii="Calibri" w:hAnsi="Calibri" w:cs="Calibri"/>
          <w:strike/>
          <w:sz w:val="20"/>
        </w:rPr>
      </w:pPr>
      <w:r w:rsidRPr="003A0120">
        <w:rPr>
          <w:rFonts w:ascii="Calibri" w:hAnsi="Calibri" w:cs="Calibri"/>
          <w:strike/>
          <w:sz w:val="20"/>
        </w:rPr>
        <w:t>Means testing categories</w:t>
      </w:r>
    </w:p>
    <w:p w14:paraId="5F0B17FC" w14:textId="3666B2D7" w:rsidR="00FC08DA" w:rsidRDefault="00FC08DA" w:rsidP="00297A79">
      <w:pPr>
        <w:pStyle w:val="subsection"/>
        <w:rPr>
          <w:rFonts w:cs="Calibri"/>
          <w:strike/>
          <w:sz w:val="20"/>
        </w:rPr>
      </w:pPr>
      <w:r w:rsidRPr="003A0120">
        <w:rPr>
          <w:rFonts w:cs="Calibri"/>
          <w:strike/>
          <w:sz w:val="20"/>
        </w:rPr>
        <w:tab/>
        <w:t>(2)</w:t>
      </w:r>
      <w:r w:rsidRPr="003A0120">
        <w:rPr>
          <w:rFonts w:cs="Calibri"/>
          <w:strike/>
          <w:sz w:val="20"/>
        </w:rPr>
        <w:tab/>
        <w:t>The means testing category for a service in a service type mentioned in column 1 of an item of the following table is the means testing category mentioned in column 4 of the item.</w:t>
      </w:r>
    </w:p>
    <w:p w14:paraId="0CD1D1EA" w14:textId="77777777" w:rsidR="00557E7B" w:rsidRPr="003A0120" w:rsidRDefault="00557E7B" w:rsidP="00297A79">
      <w:pPr>
        <w:pStyle w:val="subsection"/>
        <w:rPr>
          <w:rFonts w:cs="Calibri"/>
          <w:strike/>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1985"/>
        <w:gridCol w:w="2409"/>
        <w:gridCol w:w="1560"/>
      </w:tblGrid>
      <w:tr w:rsidR="00FC08DA" w:rsidRPr="004636D4" w14:paraId="78C49C67" w14:textId="77777777" w:rsidTr="00BD3D05">
        <w:trPr>
          <w:tblHeader/>
        </w:trPr>
        <w:tc>
          <w:tcPr>
            <w:tcW w:w="8359" w:type="dxa"/>
            <w:gridSpan w:val="5"/>
            <w:tcBorders>
              <w:top w:val="single" w:sz="12" w:space="0" w:color="auto"/>
              <w:bottom w:val="single" w:sz="6" w:space="0" w:color="auto"/>
            </w:tcBorders>
          </w:tcPr>
          <w:p w14:paraId="47A3FA42" w14:textId="77777777" w:rsidR="00FC08DA" w:rsidRPr="003A0120" w:rsidRDefault="00FC08DA" w:rsidP="00BD3D05">
            <w:pPr>
              <w:pStyle w:val="TableHeading"/>
              <w:rPr>
                <w:rFonts w:ascii="Calibri" w:hAnsi="Calibri" w:cs="Calibri"/>
              </w:rPr>
            </w:pPr>
            <w:r w:rsidRPr="003A0120">
              <w:rPr>
                <w:rFonts w:ascii="Calibri" w:hAnsi="Calibri" w:cs="Calibri"/>
              </w:rPr>
              <w:t>Other specified matters</w:t>
            </w:r>
          </w:p>
        </w:tc>
      </w:tr>
      <w:tr w:rsidR="00FC08DA" w:rsidRPr="004636D4" w14:paraId="2F49DF30" w14:textId="77777777" w:rsidTr="00BD3D05">
        <w:trPr>
          <w:tblHeader/>
        </w:trPr>
        <w:tc>
          <w:tcPr>
            <w:tcW w:w="714" w:type="dxa"/>
            <w:tcBorders>
              <w:top w:val="single" w:sz="6" w:space="0" w:color="auto"/>
              <w:bottom w:val="single" w:sz="12" w:space="0" w:color="auto"/>
            </w:tcBorders>
          </w:tcPr>
          <w:p w14:paraId="29B100DF"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067B42C2"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41BCB47D" w14:textId="77777777" w:rsidR="00FC08DA" w:rsidRPr="003A0120" w:rsidRDefault="00FC08DA" w:rsidP="00BD3D05">
            <w:pPr>
              <w:pStyle w:val="TableHeading"/>
              <w:rPr>
                <w:rFonts w:ascii="Calibri" w:hAnsi="Calibri" w:cs="Calibri"/>
              </w:rPr>
            </w:pPr>
            <w:r w:rsidRPr="003A0120">
              <w:rPr>
                <w:rFonts w:ascii="Calibri" w:hAnsi="Calibri" w:cs="Calibri"/>
              </w:rPr>
              <w:t>Service type</w:t>
            </w:r>
          </w:p>
        </w:tc>
        <w:tc>
          <w:tcPr>
            <w:tcW w:w="1985" w:type="dxa"/>
            <w:tcBorders>
              <w:top w:val="single" w:sz="6" w:space="0" w:color="auto"/>
              <w:bottom w:val="single" w:sz="12" w:space="0" w:color="auto"/>
            </w:tcBorders>
          </w:tcPr>
          <w:p w14:paraId="7F64F919"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5FB51E2E" w14:textId="77777777" w:rsidR="00FC08DA" w:rsidRPr="003A0120" w:rsidRDefault="00FC08DA" w:rsidP="00BD3D05">
            <w:pPr>
              <w:pStyle w:val="TableHeading"/>
              <w:rPr>
                <w:rFonts w:ascii="Calibri" w:hAnsi="Calibri" w:cs="Calibri"/>
              </w:rPr>
            </w:pPr>
            <w:r w:rsidRPr="003A0120">
              <w:rPr>
                <w:rFonts w:ascii="Calibri" w:hAnsi="Calibri" w:cs="Calibri"/>
              </w:rPr>
              <w:t>Specialist aged care programs</w:t>
            </w:r>
          </w:p>
        </w:tc>
        <w:tc>
          <w:tcPr>
            <w:tcW w:w="2409" w:type="dxa"/>
            <w:tcBorders>
              <w:top w:val="single" w:sz="6" w:space="0" w:color="auto"/>
              <w:bottom w:val="single" w:sz="12" w:space="0" w:color="auto"/>
            </w:tcBorders>
          </w:tcPr>
          <w:p w14:paraId="4253AC58" w14:textId="77777777" w:rsidR="00FC08DA" w:rsidRPr="003A0120" w:rsidRDefault="00FC08DA" w:rsidP="00BD3D05">
            <w:pPr>
              <w:pStyle w:val="TableHeading"/>
              <w:rPr>
                <w:rFonts w:ascii="Calibri" w:hAnsi="Calibri" w:cs="Calibri"/>
              </w:rPr>
            </w:pPr>
            <w:r w:rsidRPr="003A0120">
              <w:rPr>
                <w:rFonts w:ascii="Calibri" w:hAnsi="Calibri" w:cs="Calibri"/>
              </w:rPr>
              <w:t>Column 3</w:t>
            </w:r>
          </w:p>
          <w:p w14:paraId="1F077972" w14:textId="77777777" w:rsidR="00FC08DA" w:rsidRPr="003A0120" w:rsidRDefault="00FC08DA" w:rsidP="00BD3D05">
            <w:pPr>
              <w:pStyle w:val="TableHeading"/>
              <w:rPr>
                <w:rFonts w:ascii="Calibri" w:hAnsi="Calibri" w:cs="Calibri"/>
              </w:rPr>
            </w:pPr>
            <w:r w:rsidRPr="003A0120">
              <w:rPr>
                <w:rFonts w:ascii="Calibri" w:hAnsi="Calibri" w:cs="Calibri"/>
              </w:rPr>
              <w:t>Provider registration categories</w:t>
            </w:r>
          </w:p>
        </w:tc>
        <w:tc>
          <w:tcPr>
            <w:tcW w:w="1560" w:type="dxa"/>
            <w:tcBorders>
              <w:top w:val="single" w:sz="6" w:space="0" w:color="auto"/>
              <w:bottom w:val="single" w:sz="12" w:space="0" w:color="auto"/>
            </w:tcBorders>
          </w:tcPr>
          <w:p w14:paraId="7CCADD35" w14:textId="77777777" w:rsidR="00FC08DA" w:rsidRPr="003A0120" w:rsidRDefault="00FC08DA" w:rsidP="00BD3D05">
            <w:pPr>
              <w:pStyle w:val="TableHeading"/>
              <w:rPr>
                <w:rFonts w:ascii="Calibri" w:hAnsi="Calibri" w:cs="Calibri"/>
              </w:rPr>
            </w:pPr>
            <w:r w:rsidRPr="003A0120">
              <w:rPr>
                <w:rFonts w:ascii="Calibri" w:hAnsi="Calibri" w:cs="Calibri"/>
              </w:rPr>
              <w:t>Column 4</w:t>
            </w:r>
          </w:p>
          <w:p w14:paraId="0D952F72" w14:textId="77777777" w:rsidR="00FC08DA" w:rsidRPr="003A0120" w:rsidRDefault="00FC08DA" w:rsidP="00BD3D05">
            <w:pPr>
              <w:pStyle w:val="TableHeading"/>
              <w:rPr>
                <w:rFonts w:ascii="Calibri" w:hAnsi="Calibri" w:cs="Calibri"/>
              </w:rPr>
            </w:pPr>
            <w:r w:rsidRPr="003A0120">
              <w:rPr>
                <w:rFonts w:ascii="Calibri" w:hAnsi="Calibri" w:cs="Calibri"/>
              </w:rPr>
              <w:t>Means testing category</w:t>
            </w:r>
          </w:p>
        </w:tc>
      </w:tr>
      <w:tr w:rsidR="00FC08DA" w:rsidRPr="004636D4" w14:paraId="71F20F4A" w14:textId="77777777" w:rsidTr="00BD3D05">
        <w:tc>
          <w:tcPr>
            <w:tcW w:w="714" w:type="dxa"/>
            <w:tcBorders>
              <w:top w:val="single" w:sz="12" w:space="0" w:color="auto"/>
            </w:tcBorders>
          </w:tcPr>
          <w:p w14:paraId="400405CF"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755FBA13" w14:textId="77777777" w:rsidR="00FC08DA" w:rsidRPr="003A0120" w:rsidRDefault="00FC08DA" w:rsidP="00540316">
            <w:pPr>
              <w:pStyle w:val="TableParagraph"/>
              <w:rPr>
                <w:sz w:val="20"/>
                <w:szCs w:val="20"/>
              </w:rPr>
            </w:pPr>
            <w:r w:rsidRPr="003A0120">
              <w:rPr>
                <w:sz w:val="20"/>
                <w:szCs w:val="20"/>
              </w:rPr>
              <w:t>Allied health and therapy</w:t>
            </w:r>
          </w:p>
        </w:tc>
        <w:tc>
          <w:tcPr>
            <w:tcW w:w="1985" w:type="dxa"/>
            <w:tcBorders>
              <w:top w:val="single" w:sz="12" w:space="0" w:color="auto"/>
            </w:tcBorders>
          </w:tcPr>
          <w:p w14:paraId="74726FF9" w14:textId="3247B8DB" w:rsidR="00FC08DA" w:rsidRPr="003A0120" w:rsidRDefault="00FC08DA" w:rsidP="0050112F">
            <w:pPr>
              <w:pStyle w:val="Tablea"/>
              <w:numPr>
                <w:ilvl w:val="0"/>
                <w:numId w:val="80"/>
              </w:numPr>
              <w:rPr>
                <w:sz w:val="20"/>
              </w:rPr>
            </w:pPr>
            <w:r w:rsidRPr="003A0120">
              <w:rPr>
                <w:sz w:val="20"/>
              </w:rPr>
              <w:t>CHSP;</w:t>
            </w:r>
          </w:p>
          <w:p w14:paraId="653E9413" w14:textId="7D7F6533" w:rsidR="00FC08DA" w:rsidRPr="003A0120" w:rsidRDefault="00FC08DA" w:rsidP="00497EDC">
            <w:pPr>
              <w:pStyle w:val="Tablea"/>
              <w:rPr>
                <w:sz w:val="20"/>
              </w:rPr>
            </w:pPr>
            <w:r w:rsidRPr="003A0120">
              <w:rPr>
                <w:sz w:val="20"/>
              </w:rPr>
              <w:t>MPSP;</w:t>
            </w:r>
          </w:p>
          <w:p w14:paraId="2CC3770B" w14:textId="184FB37B" w:rsidR="00FC08DA" w:rsidRPr="003A0120" w:rsidRDefault="00FC08DA" w:rsidP="00497EDC">
            <w:pPr>
              <w:pStyle w:val="Tablea"/>
              <w:rPr>
                <w:sz w:val="20"/>
              </w:rPr>
            </w:pPr>
            <w:r w:rsidRPr="003A0120">
              <w:rPr>
                <w:sz w:val="20"/>
              </w:rPr>
              <w:t>NATSIFACP</w:t>
            </w:r>
          </w:p>
          <w:p w14:paraId="61BAA82D" w14:textId="0F6F488F" w:rsidR="00FC08DA" w:rsidRPr="003A0120" w:rsidRDefault="00FC08DA" w:rsidP="00497EDC">
            <w:pPr>
              <w:pStyle w:val="Tablea"/>
              <w:rPr>
                <w:sz w:val="20"/>
              </w:rPr>
            </w:pPr>
            <w:r w:rsidRPr="003A0120">
              <w:rPr>
                <w:sz w:val="20"/>
              </w:rPr>
              <w:t>TCP</w:t>
            </w:r>
          </w:p>
        </w:tc>
        <w:tc>
          <w:tcPr>
            <w:tcW w:w="2409" w:type="dxa"/>
            <w:tcBorders>
              <w:top w:val="single" w:sz="12" w:space="0" w:color="auto"/>
            </w:tcBorders>
          </w:tcPr>
          <w:p w14:paraId="50D2B59E" w14:textId="77777777" w:rsidR="00FC08DA" w:rsidRPr="003A0120" w:rsidRDefault="00FC08DA" w:rsidP="00540316">
            <w:pPr>
              <w:pStyle w:val="TableParagraph"/>
              <w:rPr>
                <w:sz w:val="20"/>
                <w:szCs w:val="20"/>
              </w:rPr>
            </w:pPr>
            <w:r w:rsidRPr="003A0120">
              <w:rPr>
                <w:sz w:val="20"/>
                <w:szCs w:val="20"/>
              </w:rPr>
              <w:t>Personal and care support in the home or community</w:t>
            </w:r>
          </w:p>
        </w:tc>
        <w:tc>
          <w:tcPr>
            <w:tcW w:w="1560" w:type="dxa"/>
            <w:tcBorders>
              <w:top w:val="single" w:sz="12" w:space="0" w:color="auto"/>
            </w:tcBorders>
          </w:tcPr>
          <w:p w14:paraId="3E8E3E1F" w14:textId="77777777" w:rsidR="00FC08DA" w:rsidRPr="003A0120" w:rsidRDefault="00FC08DA" w:rsidP="00540316">
            <w:pPr>
              <w:pStyle w:val="TableParagraph"/>
              <w:rPr>
                <w:sz w:val="20"/>
                <w:szCs w:val="20"/>
              </w:rPr>
            </w:pPr>
            <w:r w:rsidRPr="003A0120">
              <w:rPr>
                <w:sz w:val="20"/>
                <w:szCs w:val="20"/>
              </w:rPr>
              <w:t>Clinical supports</w:t>
            </w:r>
          </w:p>
        </w:tc>
      </w:tr>
      <w:tr w:rsidR="0035039C" w:rsidRPr="004636D4" w14:paraId="42B0BBBB" w14:textId="77777777">
        <w:tc>
          <w:tcPr>
            <w:tcW w:w="8359" w:type="dxa"/>
            <w:gridSpan w:val="5"/>
          </w:tcPr>
          <w:p w14:paraId="13085BA6" w14:textId="77777777" w:rsidR="0035039C" w:rsidRPr="003A0120" w:rsidRDefault="0035039C" w:rsidP="00BD3D05">
            <w:pPr>
              <w:pStyle w:val="Tabletext"/>
              <w:rPr>
                <w:rFonts w:ascii="Calibri" w:hAnsi="Calibri" w:cs="Calibri"/>
              </w:rPr>
            </w:pPr>
          </w:p>
        </w:tc>
      </w:tr>
      <w:tr w:rsidR="00FC08DA" w:rsidRPr="004636D4" w14:paraId="3D125E6D" w14:textId="77777777" w:rsidTr="00BD3D05">
        <w:tc>
          <w:tcPr>
            <w:tcW w:w="714" w:type="dxa"/>
          </w:tcPr>
          <w:p w14:paraId="111ED944"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6781C17E" w14:textId="77777777" w:rsidR="00FC08DA" w:rsidRPr="003A0120" w:rsidRDefault="00FC08DA" w:rsidP="00BD3D05">
            <w:pPr>
              <w:pStyle w:val="Tabletext"/>
              <w:rPr>
                <w:rFonts w:ascii="Calibri" w:hAnsi="Calibri" w:cs="Calibri"/>
              </w:rPr>
            </w:pPr>
            <w:r w:rsidRPr="003A0120">
              <w:rPr>
                <w:rFonts w:ascii="Calibri" w:hAnsi="Calibri" w:cs="Calibri"/>
              </w:rPr>
              <w:t>Domestic assistance</w:t>
            </w:r>
          </w:p>
        </w:tc>
        <w:tc>
          <w:tcPr>
            <w:tcW w:w="1985" w:type="dxa"/>
          </w:tcPr>
          <w:p w14:paraId="77E8FD06" w14:textId="5957EFDA" w:rsidR="00FC08DA" w:rsidRPr="003A0120" w:rsidRDefault="00FC08DA" w:rsidP="0050112F">
            <w:pPr>
              <w:pStyle w:val="Tablea"/>
              <w:numPr>
                <w:ilvl w:val="0"/>
                <w:numId w:val="81"/>
              </w:numPr>
              <w:rPr>
                <w:sz w:val="20"/>
              </w:rPr>
            </w:pPr>
            <w:r w:rsidRPr="003A0120">
              <w:rPr>
                <w:sz w:val="20"/>
              </w:rPr>
              <w:t>CHSP;</w:t>
            </w:r>
          </w:p>
          <w:p w14:paraId="403FD1DB" w14:textId="3DFB5FAA" w:rsidR="00FC08DA" w:rsidRPr="003A0120" w:rsidRDefault="00FC08DA" w:rsidP="00497EDC">
            <w:pPr>
              <w:pStyle w:val="Tablea"/>
              <w:rPr>
                <w:sz w:val="20"/>
              </w:rPr>
            </w:pPr>
            <w:r w:rsidRPr="003A0120">
              <w:rPr>
                <w:sz w:val="20"/>
              </w:rPr>
              <w:t>MPSP;</w:t>
            </w:r>
          </w:p>
          <w:p w14:paraId="6B629001" w14:textId="5DB89B68" w:rsidR="00FC08DA" w:rsidRPr="003A0120" w:rsidRDefault="00FC08DA" w:rsidP="00497EDC">
            <w:pPr>
              <w:pStyle w:val="Tablea"/>
              <w:rPr>
                <w:sz w:val="20"/>
              </w:rPr>
            </w:pPr>
            <w:r w:rsidRPr="003A0120">
              <w:rPr>
                <w:sz w:val="20"/>
              </w:rPr>
              <w:t>NATSIFACP;</w:t>
            </w:r>
          </w:p>
          <w:p w14:paraId="3F3B6136" w14:textId="205B82A5" w:rsidR="00FC08DA" w:rsidRPr="003A0120" w:rsidRDefault="00FC08DA" w:rsidP="00497EDC">
            <w:pPr>
              <w:pStyle w:val="Tablea"/>
              <w:rPr>
                <w:sz w:val="20"/>
              </w:rPr>
            </w:pPr>
            <w:r w:rsidRPr="003A0120">
              <w:rPr>
                <w:sz w:val="20"/>
              </w:rPr>
              <w:lastRenderedPageBreak/>
              <w:t>TCP</w:t>
            </w:r>
          </w:p>
        </w:tc>
        <w:tc>
          <w:tcPr>
            <w:tcW w:w="2409" w:type="dxa"/>
          </w:tcPr>
          <w:p w14:paraId="640D2F5A" w14:textId="77777777" w:rsidR="00FC08DA" w:rsidRPr="003A0120" w:rsidRDefault="00FC08DA" w:rsidP="00BD3D05">
            <w:pPr>
              <w:pStyle w:val="Tabletext"/>
              <w:rPr>
                <w:rFonts w:ascii="Calibri" w:hAnsi="Calibri" w:cs="Calibri"/>
              </w:rPr>
            </w:pPr>
            <w:r w:rsidRPr="003A0120">
              <w:rPr>
                <w:rFonts w:ascii="Calibri" w:hAnsi="Calibri" w:cs="Calibri"/>
              </w:rPr>
              <w:lastRenderedPageBreak/>
              <w:t>Home and community services</w:t>
            </w:r>
          </w:p>
        </w:tc>
        <w:tc>
          <w:tcPr>
            <w:tcW w:w="1560" w:type="dxa"/>
          </w:tcPr>
          <w:p w14:paraId="68DE8E9F"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FC08DA" w:rsidRPr="004636D4" w14:paraId="73773EF4" w14:textId="77777777" w:rsidTr="00BD3D05">
        <w:tc>
          <w:tcPr>
            <w:tcW w:w="714" w:type="dxa"/>
          </w:tcPr>
          <w:p w14:paraId="04BD4E53"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6D7267A5" w14:textId="77777777" w:rsidR="00FC08DA" w:rsidRPr="003A0120" w:rsidRDefault="00FC08DA" w:rsidP="00BD3D05">
            <w:pPr>
              <w:pStyle w:val="Tabletext"/>
              <w:rPr>
                <w:rFonts w:ascii="Calibri" w:hAnsi="Calibri" w:cs="Calibri"/>
              </w:rPr>
            </w:pPr>
            <w:r w:rsidRPr="003A0120">
              <w:rPr>
                <w:rFonts w:ascii="Calibri" w:hAnsi="Calibri" w:cs="Calibri"/>
              </w:rPr>
              <w:t>Home maintenance and repairs</w:t>
            </w:r>
          </w:p>
        </w:tc>
        <w:tc>
          <w:tcPr>
            <w:tcW w:w="1985" w:type="dxa"/>
          </w:tcPr>
          <w:p w14:paraId="58FF0632" w14:textId="5FDB7766" w:rsidR="00FC08DA" w:rsidRPr="003A0120" w:rsidRDefault="00FC08DA" w:rsidP="0050112F">
            <w:pPr>
              <w:pStyle w:val="Tablea"/>
              <w:numPr>
                <w:ilvl w:val="0"/>
                <w:numId w:val="82"/>
              </w:numPr>
              <w:rPr>
                <w:sz w:val="20"/>
              </w:rPr>
            </w:pPr>
            <w:r w:rsidRPr="003A0120">
              <w:rPr>
                <w:sz w:val="20"/>
              </w:rPr>
              <w:t>CHSP;</w:t>
            </w:r>
          </w:p>
          <w:p w14:paraId="4A9DA3AD" w14:textId="42B143C3" w:rsidR="00FC08DA" w:rsidRPr="003A0120" w:rsidRDefault="00FC08DA" w:rsidP="00497EDC">
            <w:pPr>
              <w:pStyle w:val="Tablea"/>
              <w:rPr>
                <w:sz w:val="20"/>
              </w:rPr>
            </w:pPr>
            <w:r w:rsidRPr="003A0120">
              <w:rPr>
                <w:sz w:val="20"/>
              </w:rPr>
              <w:t>MPSP;</w:t>
            </w:r>
          </w:p>
          <w:p w14:paraId="1C9CF2D3" w14:textId="538049CE" w:rsidR="00FC08DA" w:rsidRPr="003A0120" w:rsidRDefault="00FC08DA" w:rsidP="00497EDC">
            <w:pPr>
              <w:pStyle w:val="Tablea"/>
              <w:rPr>
                <w:sz w:val="20"/>
              </w:rPr>
            </w:pPr>
            <w:r w:rsidRPr="003A0120">
              <w:rPr>
                <w:sz w:val="20"/>
              </w:rPr>
              <w:t>NATSIFACP;</w:t>
            </w:r>
          </w:p>
          <w:p w14:paraId="4C1C4D5C" w14:textId="2C2DB63F" w:rsidR="00FC08DA" w:rsidRPr="003A0120" w:rsidRDefault="00FC08DA" w:rsidP="00497EDC">
            <w:pPr>
              <w:pStyle w:val="Tablea"/>
              <w:rPr>
                <w:sz w:val="20"/>
              </w:rPr>
            </w:pPr>
            <w:r w:rsidRPr="003A0120">
              <w:rPr>
                <w:sz w:val="20"/>
              </w:rPr>
              <w:t>TCP</w:t>
            </w:r>
          </w:p>
        </w:tc>
        <w:tc>
          <w:tcPr>
            <w:tcW w:w="2409" w:type="dxa"/>
          </w:tcPr>
          <w:p w14:paraId="74D0B1EA" w14:textId="77777777" w:rsidR="00FC08DA" w:rsidRPr="003A0120" w:rsidRDefault="00FC08DA" w:rsidP="00BD3D05">
            <w:pPr>
              <w:pStyle w:val="Tabletext"/>
              <w:rPr>
                <w:rFonts w:ascii="Calibri" w:hAnsi="Calibri" w:cs="Calibri"/>
              </w:rPr>
            </w:pPr>
            <w:r w:rsidRPr="003A0120">
              <w:rPr>
                <w:rFonts w:ascii="Calibri" w:hAnsi="Calibri" w:cs="Calibri"/>
              </w:rPr>
              <w:t>Home and community services</w:t>
            </w:r>
          </w:p>
        </w:tc>
        <w:tc>
          <w:tcPr>
            <w:tcW w:w="1560" w:type="dxa"/>
          </w:tcPr>
          <w:p w14:paraId="054642A4"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35039C" w:rsidRPr="004636D4" w14:paraId="62966D06" w14:textId="77777777">
        <w:tc>
          <w:tcPr>
            <w:tcW w:w="8359" w:type="dxa"/>
            <w:gridSpan w:val="5"/>
          </w:tcPr>
          <w:p w14:paraId="3776C5FE" w14:textId="77777777" w:rsidR="0035039C" w:rsidRPr="003A0120" w:rsidRDefault="0035039C" w:rsidP="00BD3D05">
            <w:pPr>
              <w:pStyle w:val="Tabletext"/>
              <w:rPr>
                <w:rFonts w:ascii="Calibri" w:hAnsi="Calibri" w:cs="Calibri"/>
              </w:rPr>
            </w:pPr>
          </w:p>
        </w:tc>
      </w:tr>
      <w:tr w:rsidR="00FC08DA" w:rsidRPr="004636D4" w14:paraId="70DF20F0" w14:textId="77777777" w:rsidTr="00BD3D05">
        <w:tc>
          <w:tcPr>
            <w:tcW w:w="714" w:type="dxa"/>
          </w:tcPr>
          <w:p w14:paraId="3FE17185"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46CCDC33" w14:textId="77777777" w:rsidR="00FC08DA" w:rsidRPr="003A0120" w:rsidRDefault="00FC08DA" w:rsidP="00BD3D05">
            <w:pPr>
              <w:pStyle w:val="Tabletext"/>
              <w:rPr>
                <w:rFonts w:ascii="Calibri" w:hAnsi="Calibri" w:cs="Calibri"/>
              </w:rPr>
            </w:pPr>
            <w:r w:rsidRPr="003A0120">
              <w:rPr>
                <w:rFonts w:ascii="Calibri" w:hAnsi="Calibri" w:cs="Calibri"/>
              </w:rPr>
              <w:t>Meals</w:t>
            </w:r>
          </w:p>
        </w:tc>
        <w:tc>
          <w:tcPr>
            <w:tcW w:w="1985" w:type="dxa"/>
          </w:tcPr>
          <w:p w14:paraId="3C28650C" w14:textId="5A0E97DC" w:rsidR="00FC08DA" w:rsidRPr="003A0120" w:rsidRDefault="00FC08DA" w:rsidP="0050112F">
            <w:pPr>
              <w:pStyle w:val="Tablea"/>
              <w:numPr>
                <w:ilvl w:val="0"/>
                <w:numId w:val="83"/>
              </w:numPr>
              <w:rPr>
                <w:sz w:val="20"/>
              </w:rPr>
            </w:pPr>
            <w:r w:rsidRPr="003A0120">
              <w:rPr>
                <w:sz w:val="20"/>
              </w:rPr>
              <w:t>CHSP;</w:t>
            </w:r>
          </w:p>
          <w:p w14:paraId="74B95300" w14:textId="7ED21B7B" w:rsidR="00FC08DA" w:rsidRPr="003A0120" w:rsidRDefault="00FC08DA" w:rsidP="00497EDC">
            <w:pPr>
              <w:pStyle w:val="Tablea"/>
              <w:rPr>
                <w:sz w:val="20"/>
              </w:rPr>
            </w:pPr>
            <w:r w:rsidRPr="003A0120">
              <w:rPr>
                <w:sz w:val="20"/>
              </w:rPr>
              <w:t>MPSP;</w:t>
            </w:r>
          </w:p>
          <w:p w14:paraId="04B21872" w14:textId="79D302AC" w:rsidR="00FC08DA" w:rsidRPr="003A0120" w:rsidRDefault="00FC08DA" w:rsidP="00497EDC">
            <w:pPr>
              <w:pStyle w:val="Tablea"/>
              <w:rPr>
                <w:sz w:val="20"/>
              </w:rPr>
            </w:pPr>
            <w:r w:rsidRPr="003A0120">
              <w:rPr>
                <w:sz w:val="20"/>
              </w:rPr>
              <w:t>NATSIFACP;</w:t>
            </w:r>
          </w:p>
          <w:p w14:paraId="3F608131" w14:textId="5D29D615" w:rsidR="00FC08DA" w:rsidRPr="003A0120" w:rsidRDefault="00FC08DA" w:rsidP="00497EDC">
            <w:pPr>
              <w:pStyle w:val="Tablea"/>
              <w:rPr>
                <w:sz w:val="20"/>
              </w:rPr>
            </w:pPr>
            <w:r w:rsidRPr="003A0120">
              <w:rPr>
                <w:sz w:val="20"/>
              </w:rPr>
              <w:t>TCP</w:t>
            </w:r>
          </w:p>
        </w:tc>
        <w:tc>
          <w:tcPr>
            <w:tcW w:w="2409" w:type="dxa"/>
          </w:tcPr>
          <w:p w14:paraId="7448FBFB" w14:textId="77777777" w:rsidR="00FC08DA" w:rsidRPr="003A0120" w:rsidRDefault="00FC08DA" w:rsidP="00BD3D05">
            <w:pPr>
              <w:pStyle w:val="Tabletext"/>
              <w:rPr>
                <w:rFonts w:ascii="Calibri" w:hAnsi="Calibri" w:cs="Calibri"/>
              </w:rPr>
            </w:pPr>
            <w:r w:rsidRPr="003A0120">
              <w:rPr>
                <w:rFonts w:ascii="Calibri" w:hAnsi="Calibri" w:cs="Calibri"/>
              </w:rPr>
              <w:t>Home and community services</w:t>
            </w:r>
          </w:p>
        </w:tc>
        <w:tc>
          <w:tcPr>
            <w:tcW w:w="1560" w:type="dxa"/>
          </w:tcPr>
          <w:p w14:paraId="2EF7BB74" w14:textId="77777777" w:rsidR="00FC08DA" w:rsidRPr="003A0120" w:rsidRDefault="00FC08DA" w:rsidP="00BD3D05">
            <w:pPr>
              <w:pStyle w:val="Tabletext"/>
              <w:rPr>
                <w:rFonts w:ascii="Calibri" w:hAnsi="Calibri" w:cs="Calibri"/>
              </w:rPr>
            </w:pPr>
            <w:r w:rsidRPr="003A0120">
              <w:rPr>
                <w:rFonts w:ascii="Calibri" w:hAnsi="Calibri" w:cs="Calibri"/>
              </w:rPr>
              <w:t>Everyday living</w:t>
            </w:r>
          </w:p>
        </w:tc>
      </w:tr>
      <w:tr w:rsidR="00FC08DA" w:rsidRPr="004636D4" w14:paraId="16FC77C0" w14:textId="77777777" w:rsidTr="00BD3D05">
        <w:tc>
          <w:tcPr>
            <w:tcW w:w="714" w:type="dxa"/>
          </w:tcPr>
          <w:p w14:paraId="3AFF8230"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77322D99" w14:textId="77777777" w:rsidR="00FC08DA" w:rsidRPr="003A0120" w:rsidRDefault="00FC08DA" w:rsidP="00BD3D05">
            <w:pPr>
              <w:pStyle w:val="Tabletext"/>
              <w:rPr>
                <w:rFonts w:ascii="Calibri" w:hAnsi="Calibri" w:cs="Calibri"/>
              </w:rPr>
            </w:pPr>
            <w:r w:rsidRPr="003A0120">
              <w:rPr>
                <w:rFonts w:ascii="Calibri" w:hAnsi="Calibri" w:cs="Calibri"/>
              </w:rPr>
              <w:t>Nursing care</w:t>
            </w:r>
          </w:p>
        </w:tc>
        <w:tc>
          <w:tcPr>
            <w:tcW w:w="1985" w:type="dxa"/>
          </w:tcPr>
          <w:p w14:paraId="5B0C2F55" w14:textId="3DCDB7DA" w:rsidR="00FC08DA" w:rsidRPr="003A0120" w:rsidRDefault="00FC08DA" w:rsidP="0050112F">
            <w:pPr>
              <w:pStyle w:val="Tablea"/>
              <w:numPr>
                <w:ilvl w:val="0"/>
                <w:numId w:val="84"/>
              </w:numPr>
              <w:rPr>
                <w:sz w:val="20"/>
              </w:rPr>
            </w:pPr>
            <w:r w:rsidRPr="003A0120">
              <w:rPr>
                <w:sz w:val="20"/>
              </w:rPr>
              <w:t>CHSP;</w:t>
            </w:r>
          </w:p>
          <w:p w14:paraId="7D80A751" w14:textId="71554A30" w:rsidR="00FC08DA" w:rsidRPr="003A0120" w:rsidRDefault="00FC08DA" w:rsidP="00497EDC">
            <w:pPr>
              <w:pStyle w:val="Tablea"/>
              <w:rPr>
                <w:sz w:val="20"/>
              </w:rPr>
            </w:pPr>
            <w:r w:rsidRPr="003A0120">
              <w:rPr>
                <w:sz w:val="20"/>
              </w:rPr>
              <w:t>MPSP;</w:t>
            </w:r>
          </w:p>
          <w:p w14:paraId="4B9FCDA7" w14:textId="4EE768BE" w:rsidR="00FC08DA" w:rsidRPr="003A0120" w:rsidRDefault="00FC08DA" w:rsidP="00497EDC">
            <w:pPr>
              <w:pStyle w:val="Tablea"/>
              <w:rPr>
                <w:sz w:val="20"/>
              </w:rPr>
            </w:pPr>
            <w:r w:rsidRPr="003A0120">
              <w:rPr>
                <w:sz w:val="20"/>
              </w:rPr>
              <w:t>NATSIFACP;</w:t>
            </w:r>
          </w:p>
          <w:p w14:paraId="4CA169FE" w14:textId="0D29BC9D" w:rsidR="00FC08DA" w:rsidRPr="003A0120" w:rsidRDefault="00FC08DA" w:rsidP="00497EDC">
            <w:pPr>
              <w:pStyle w:val="Tablea"/>
              <w:rPr>
                <w:sz w:val="20"/>
              </w:rPr>
            </w:pPr>
            <w:r w:rsidRPr="003A0120">
              <w:rPr>
                <w:sz w:val="20"/>
              </w:rPr>
              <w:t>TCP</w:t>
            </w:r>
          </w:p>
        </w:tc>
        <w:tc>
          <w:tcPr>
            <w:tcW w:w="2409" w:type="dxa"/>
          </w:tcPr>
          <w:p w14:paraId="676C0572" w14:textId="77777777" w:rsidR="00FC08DA" w:rsidRPr="003A0120" w:rsidRDefault="00FC08DA" w:rsidP="00BD3D05">
            <w:pPr>
              <w:pStyle w:val="Tabletext"/>
              <w:rPr>
                <w:rFonts w:ascii="Calibri" w:hAnsi="Calibri" w:cs="Calibri"/>
              </w:rPr>
            </w:pPr>
            <w:r w:rsidRPr="003A0120">
              <w:rPr>
                <w:rFonts w:ascii="Calibri" w:hAnsi="Calibri" w:cs="Calibri"/>
              </w:rPr>
              <w:t>Nursing and transition care</w:t>
            </w:r>
          </w:p>
        </w:tc>
        <w:tc>
          <w:tcPr>
            <w:tcW w:w="1560" w:type="dxa"/>
          </w:tcPr>
          <w:p w14:paraId="3619CDE4" w14:textId="77777777" w:rsidR="00FC08DA" w:rsidRPr="003A0120" w:rsidRDefault="00FC08DA" w:rsidP="00BD3D05">
            <w:pPr>
              <w:pStyle w:val="Tabletext"/>
              <w:rPr>
                <w:rFonts w:ascii="Calibri" w:hAnsi="Calibri" w:cs="Calibri"/>
              </w:rPr>
            </w:pPr>
            <w:r w:rsidRPr="003A0120">
              <w:rPr>
                <w:rFonts w:ascii="Calibri" w:hAnsi="Calibri" w:cs="Calibri"/>
              </w:rPr>
              <w:t>Clinical supports</w:t>
            </w:r>
          </w:p>
        </w:tc>
      </w:tr>
      <w:tr w:rsidR="00FC08DA" w:rsidRPr="004636D4" w14:paraId="61E808EB" w14:textId="77777777" w:rsidTr="00BD3D05">
        <w:tc>
          <w:tcPr>
            <w:tcW w:w="714" w:type="dxa"/>
          </w:tcPr>
          <w:p w14:paraId="6E8AC502"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Pr>
          <w:p w14:paraId="5CB4C9C6" w14:textId="77777777" w:rsidR="00FC08DA" w:rsidRPr="003A0120" w:rsidRDefault="00FC08DA" w:rsidP="00BD3D05">
            <w:pPr>
              <w:pStyle w:val="Tabletext"/>
              <w:rPr>
                <w:rFonts w:ascii="Calibri" w:hAnsi="Calibri" w:cs="Calibri"/>
              </w:rPr>
            </w:pPr>
            <w:r w:rsidRPr="003A0120">
              <w:rPr>
                <w:rFonts w:ascii="Calibri" w:hAnsi="Calibri" w:cs="Calibri"/>
              </w:rPr>
              <w:t>Nutrition</w:t>
            </w:r>
          </w:p>
        </w:tc>
        <w:tc>
          <w:tcPr>
            <w:tcW w:w="1985" w:type="dxa"/>
          </w:tcPr>
          <w:p w14:paraId="1EAD8813" w14:textId="63150A53" w:rsidR="00FC08DA" w:rsidRPr="003A0120" w:rsidRDefault="00FC08DA" w:rsidP="0050112F">
            <w:pPr>
              <w:pStyle w:val="Tablea"/>
              <w:numPr>
                <w:ilvl w:val="0"/>
                <w:numId w:val="85"/>
              </w:numPr>
              <w:rPr>
                <w:sz w:val="20"/>
              </w:rPr>
            </w:pPr>
            <w:r w:rsidRPr="003A0120">
              <w:rPr>
                <w:sz w:val="20"/>
              </w:rPr>
              <w:t>MPSP;</w:t>
            </w:r>
          </w:p>
          <w:p w14:paraId="0249FDE6" w14:textId="4CCCACFB" w:rsidR="00FC08DA" w:rsidRPr="003A0120" w:rsidRDefault="00FC08DA" w:rsidP="00497EDC">
            <w:pPr>
              <w:pStyle w:val="Tablea"/>
              <w:rPr>
                <w:sz w:val="20"/>
              </w:rPr>
            </w:pPr>
            <w:r w:rsidRPr="003A0120">
              <w:rPr>
                <w:sz w:val="20"/>
              </w:rPr>
              <w:t>NATSIFACP;</w:t>
            </w:r>
          </w:p>
          <w:p w14:paraId="6B9E0E7C" w14:textId="735BC46D" w:rsidR="00FC08DA" w:rsidRPr="003A0120" w:rsidRDefault="00FC08DA" w:rsidP="00497EDC">
            <w:pPr>
              <w:pStyle w:val="Tablea"/>
              <w:rPr>
                <w:sz w:val="20"/>
              </w:rPr>
            </w:pPr>
            <w:r w:rsidRPr="003A0120">
              <w:rPr>
                <w:sz w:val="20"/>
              </w:rPr>
              <w:t>TCP</w:t>
            </w:r>
          </w:p>
        </w:tc>
        <w:tc>
          <w:tcPr>
            <w:tcW w:w="2409" w:type="dxa"/>
          </w:tcPr>
          <w:p w14:paraId="299E9227" w14:textId="77777777" w:rsidR="00FC08DA" w:rsidRPr="003A0120" w:rsidRDefault="00FC08DA" w:rsidP="00BD3D05">
            <w:pPr>
              <w:pStyle w:val="Tabletext"/>
              <w:rPr>
                <w:rFonts w:ascii="Calibri" w:hAnsi="Calibri" w:cs="Calibri"/>
              </w:rPr>
            </w:pPr>
            <w:r w:rsidRPr="003A0120">
              <w:rPr>
                <w:rFonts w:ascii="Calibri" w:hAnsi="Calibri" w:cs="Calibri"/>
              </w:rPr>
              <w:t>Personal and care support in the home or community</w:t>
            </w:r>
          </w:p>
        </w:tc>
        <w:tc>
          <w:tcPr>
            <w:tcW w:w="1560" w:type="dxa"/>
          </w:tcPr>
          <w:p w14:paraId="4359AA53" w14:textId="77777777" w:rsidR="00FC08DA" w:rsidRPr="003A0120" w:rsidRDefault="00FC08DA" w:rsidP="00BD3D05">
            <w:pPr>
              <w:pStyle w:val="Tabletext"/>
              <w:rPr>
                <w:rFonts w:ascii="Calibri" w:hAnsi="Calibri" w:cs="Calibri"/>
              </w:rPr>
            </w:pPr>
            <w:r w:rsidRPr="003A0120">
              <w:rPr>
                <w:rFonts w:ascii="Calibri" w:hAnsi="Calibri" w:cs="Calibri"/>
              </w:rPr>
              <w:t>Clinical supports</w:t>
            </w:r>
          </w:p>
        </w:tc>
      </w:tr>
      <w:tr w:rsidR="00FC08DA" w:rsidRPr="004636D4" w14:paraId="15C14036" w14:textId="77777777" w:rsidTr="00BD3D05">
        <w:tc>
          <w:tcPr>
            <w:tcW w:w="714" w:type="dxa"/>
          </w:tcPr>
          <w:p w14:paraId="1DAB0640" w14:textId="77777777" w:rsidR="00FC08DA" w:rsidRPr="003A0120" w:rsidRDefault="00FC08DA" w:rsidP="00BD3D05">
            <w:pPr>
              <w:pStyle w:val="Tabletext"/>
              <w:rPr>
                <w:rFonts w:ascii="Calibri" w:hAnsi="Calibri" w:cs="Calibri"/>
              </w:rPr>
            </w:pPr>
            <w:r w:rsidRPr="003A0120">
              <w:rPr>
                <w:rFonts w:ascii="Calibri" w:hAnsi="Calibri" w:cs="Calibri"/>
              </w:rPr>
              <w:t>9</w:t>
            </w:r>
          </w:p>
        </w:tc>
        <w:tc>
          <w:tcPr>
            <w:tcW w:w="1691" w:type="dxa"/>
          </w:tcPr>
          <w:p w14:paraId="451B87C9" w14:textId="77777777" w:rsidR="00FC08DA" w:rsidRPr="003A0120" w:rsidRDefault="00FC08DA" w:rsidP="00BD3D05">
            <w:pPr>
              <w:pStyle w:val="Tabletext"/>
              <w:rPr>
                <w:rFonts w:ascii="Calibri" w:hAnsi="Calibri" w:cs="Calibri"/>
              </w:rPr>
            </w:pPr>
            <w:r w:rsidRPr="003A0120">
              <w:rPr>
                <w:rFonts w:ascii="Calibri" w:hAnsi="Calibri" w:cs="Calibri"/>
              </w:rPr>
              <w:t>Personal care</w:t>
            </w:r>
          </w:p>
        </w:tc>
        <w:tc>
          <w:tcPr>
            <w:tcW w:w="1985" w:type="dxa"/>
          </w:tcPr>
          <w:p w14:paraId="4C350F3F" w14:textId="1E63817A" w:rsidR="00FC08DA" w:rsidRPr="003A0120" w:rsidRDefault="00FC08DA" w:rsidP="0050112F">
            <w:pPr>
              <w:pStyle w:val="Tablea"/>
              <w:numPr>
                <w:ilvl w:val="0"/>
                <w:numId w:val="86"/>
              </w:numPr>
              <w:rPr>
                <w:sz w:val="20"/>
              </w:rPr>
            </w:pPr>
            <w:r w:rsidRPr="003A0120">
              <w:rPr>
                <w:sz w:val="20"/>
              </w:rPr>
              <w:t>CHSP;</w:t>
            </w:r>
          </w:p>
          <w:p w14:paraId="2A96CCF0" w14:textId="4EA6EA38" w:rsidR="00FC08DA" w:rsidRPr="003A0120" w:rsidRDefault="00FC08DA" w:rsidP="00497EDC">
            <w:pPr>
              <w:pStyle w:val="Tablea"/>
              <w:rPr>
                <w:sz w:val="20"/>
              </w:rPr>
            </w:pPr>
            <w:r w:rsidRPr="003A0120">
              <w:rPr>
                <w:sz w:val="20"/>
              </w:rPr>
              <w:t>MPSP;</w:t>
            </w:r>
          </w:p>
          <w:p w14:paraId="7640DFFC" w14:textId="6F699202" w:rsidR="00FC08DA" w:rsidRPr="003A0120" w:rsidRDefault="00FC08DA" w:rsidP="00497EDC">
            <w:pPr>
              <w:pStyle w:val="Tablea"/>
              <w:rPr>
                <w:sz w:val="20"/>
              </w:rPr>
            </w:pPr>
            <w:r w:rsidRPr="003A0120">
              <w:rPr>
                <w:sz w:val="20"/>
              </w:rPr>
              <w:t>NATSIFACP;</w:t>
            </w:r>
          </w:p>
          <w:p w14:paraId="31DDCDB8" w14:textId="153B9AC2" w:rsidR="00FC08DA" w:rsidRPr="003A0120" w:rsidRDefault="00FC08DA" w:rsidP="00497EDC">
            <w:pPr>
              <w:pStyle w:val="Tablea"/>
              <w:rPr>
                <w:sz w:val="20"/>
              </w:rPr>
            </w:pPr>
            <w:r w:rsidRPr="003A0120">
              <w:rPr>
                <w:sz w:val="20"/>
              </w:rPr>
              <w:t>TCP</w:t>
            </w:r>
          </w:p>
        </w:tc>
        <w:tc>
          <w:tcPr>
            <w:tcW w:w="2409" w:type="dxa"/>
          </w:tcPr>
          <w:p w14:paraId="2529D966" w14:textId="77777777" w:rsidR="00FC08DA" w:rsidRPr="003A0120" w:rsidRDefault="00FC08DA" w:rsidP="00BD3D05">
            <w:pPr>
              <w:pStyle w:val="Tabletext"/>
              <w:rPr>
                <w:rFonts w:ascii="Calibri" w:hAnsi="Calibri" w:cs="Calibri"/>
              </w:rPr>
            </w:pPr>
            <w:r w:rsidRPr="003A0120">
              <w:rPr>
                <w:rFonts w:ascii="Calibri" w:hAnsi="Calibri" w:cs="Calibri"/>
              </w:rPr>
              <w:t>Personal and care support in the home or community</w:t>
            </w:r>
          </w:p>
        </w:tc>
        <w:tc>
          <w:tcPr>
            <w:tcW w:w="1560" w:type="dxa"/>
          </w:tcPr>
          <w:p w14:paraId="5185D174" w14:textId="77777777" w:rsidR="00FC08DA" w:rsidRPr="003A0120" w:rsidRDefault="00FC08DA" w:rsidP="00BD3D05">
            <w:pPr>
              <w:pStyle w:val="Tabletext"/>
              <w:rPr>
                <w:rFonts w:ascii="Calibri" w:hAnsi="Calibri" w:cs="Calibri"/>
              </w:rPr>
            </w:pPr>
            <w:r w:rsidRPr="003A0120">
              <w:rPr>
                <w:rFonts w:ascii="Calibri" w:hAnsi="Calibri" w:cs="Calibri"/>
              </w:rPr>
              <w:t>Independence</w:t>
            </w:r>
          </w:p>
        </w:tc>
      </w:tr>
    </w:tbl>
    <w:p w14:paraId="31C90EC4" w14:textId="190CE778" w:rsidR="00FC08DA" w:rsidRPr="00D53ED4" w:rsidRDefault="00FC08DA" w:rsidP="00D53ED4">
      <w:pPr>
        <w:rPr>
          <w:color w:val="227ACB"/>
          <w:sz w:val="24"/>
        </w:rPr>
      </w:pPr>
      <w:r w:rsidRPr="00D53ED4">
        <w:rPr>
          <w:b/>
          <w:bCs/>
          <w:color w:val="227ACB"/>
          <w:sz w:val="24"/>
        </w:rPr>
        <w:t>Division 4</w:t>
      </w:r>
      <w:r w:rsidR="000173E4" w:rsidRPr="00D53ED4">
        <w:rPr>
          <w:b/>
          <w:bCs/>
          <w:color w:val="227ACB"/>
          <w:sz w:val="24"/>
        </w:rPr>
        <w:t xml:space="preserve"> – </w:t>
      </w:r>
      <w:r w:rsidRPr="00D53ED4">
        <w:rPr>
          <w:b/>
          <w:bCs/>
          <w:color w:val="227ACB"/>
          <w:sz w:val="24"/>
        </w:rPr>
        <w:t>Assistive</w:t>
      </w:r>
      <w:r w:rsidR="000173E4" w:rsidRPr="00D53ED4">
        <w:rPr>
          <w:b/>
          <w:bCs/>
          <w:color w:val="227ACB"/>
          <w:sz w:val="24"/>
        </w:rPr>
        <w:t xml:space="preserve"> </w:t>
      </w:r>
      <w:r w:rsidRPr="00D53ED4">
        <w:rPr>
          <w:b/>
          <w:bCs/>
          <w:color w:val="227ACB"/>
          <w:sz w:val="24"/>
        </w:rPr>
        <w:t>technology service types</w:t>
      </w:r>
    </w:p>
    <w:p w14:paraId="0948430F" w14:textId="7A708365" w:rsidR="00FC08DA" w:rsidRPr="007B7277" w:rsidRDefault="00FC08DA" w:rsidP="007B7277">
      <w:pPr>
        <w:rPr>
          <w:b/>
          <w:bCs/>
          <w:sz w:val="22"/>
          <w:szCs w:val="22"/>
        </w:rPr>
      </w:pPr>
      <w:r w:rsidRPr="007B7277">
        <w:rPr>
          <w:b/>
          <w:bCs/>
          <w:sz w:val="22"/>
          <w:szCs w:val="22"/>
        </w:rPr>
        <w:t>8</w:t>
      </w:r>
      <w:r w:rsidRPr="007B7277">
        <w:rPr>
          <w:b/>
          <w:bCs/>
          <w:sz w:val="22"/>
          <w:szCs w:val="22"/>
        </w:rPr>
        <w:noBreakHyphen/>
        <w:t>110 Equipment and products</w:t>
      </w:r>
    </w:p>
    <w:p w14:paraId="34413F5C" w14:textId="291D3A73" w:rsidR="00FC08DA" w:rsidRPr="003A0120" w:rsidRDefault="00FC08DA" w:rsidP="00FC08DA">
      <w:pPr>
        <w:pStyle w:val="subsection"/>
        <w:rPr>
          <w:rFonts w:cs="Calibri"/>
          <w:sz w:val="20"/>
        </w:rPr>
      </w:pPr>
      <w:r w:rsidRPr="003A0120">
        <w:rPr>
          <w:rFonts w:cs="Calibri"/>
          <w:sz w:val="20"/>
        </w:rPr>
        <w:t>(1)</w:t>
      </w:r>
      <w:r w:rsidRPr="003A0120">
        <w:rPr>
          <w:rFonts w:cs="Calibri"/>
          <w:sz w:val="20"/>
        </w:rPr>
        <w:tab/>
        <w:t>A service listed and described in an item of the following table is in the service type equipment and products.</w:t>
      </w:r>
    </w:p>
    <w:p w14:paraId="46288D01" w14:textId="77777777" w:rsidR="00FC08DA" w:rsidRPr="003A0120" w:rsidRDefault="00FC08DA" w:rsidP="00FC08DA">
      <w:pPr>
        <w:pStyle w:val="SubsectionHead"/>
        <w:rPr>
          <w:rFonts w:ascii="Calibri" w:hAnsi="Calibri" w:cs="Calibri"/>
          <w:sz w:val="20"/>
        </w:rPr>
      </w:pPr>
      <w:r w:rsidRPr="003A0120">
        <w:rPr>
          <w:rFonts w:ascii="Calibri" w:hAnsi="Calibri" w:cs="Calibri"/>
          <w:sz w:val="20"/>
        </w:rPr>
        <w:t>Means testing category</w:t>
      </w:r>
    </w:p>
    <w:p w14:paraId="1CB63E60" w14:textId="61581A47" w:rsidR="00FC08DA" w:rsidRPr="003A0120" w:rsidRDefault="00FC08DA" w:rsidP="00FC08DA">
      <w:pPr>
        <w:pStyle w:val="subsection"/>
        <w:rPr>
          <w:rFonts w:cs="Calibri"/>
          <w:sz w:val="20"/>
        </w:rPr>
      </w:pPr>
      <w:r w:rsidRPr="003A0120">
        <w:rPr>
          <w:rFonts w:cs="Calibri"/>
          <w:sz w:val="20"/>
        </w:rPr>
        <w:t>(2)</w:t>
      </w:r>
      <w:r w:rsidRPr="003A0120">
        <w:rPr>
          <w:rFonts w:cs="Calibri"/>
          <w:sz w:val="20"/>
        </w:rPr>
        <w:tab/>
        <w:t xml:space="preserve">For a service listed and described in any of items 1 to 10 of the following table, </w:t>
      </w:r>
      <w:r w:rsidRPr="003A0120">
        <w:rPr>
          <w:rFonts w:eastAsia="Calibri" w:cs="Calibri"/>
          <w:sz w:val="20"/>
        </w:rPr>
        <w:t>the means testing category is independence.</w:t>
      </w:r>
    </w:p>
    <w:p w14:paraId="1683A8A4" w14:textId="0BF50118" w:rsidR="00FC08DA" w:rsidRDefault="00FC08DA" w:rsidP="00FC08DA">
      <w:pPr>
        <w:pStyle w:val="subsection"/>
        <w:rPr>
          <w:rFonts w:eastAsia="Calibri" w:cs="Calibri"/>
          <w:sz w:val="20"/>
        </w:rPr>
      </w:pPr>
      <w:r w:rsidRPr="003A0120">
        <w:rPr>
          <w:rFonts w:cs="Calibri"/>
          <w:sz w:val="20"/>
        </w:rPr>
        <w:t>(3)</w:t>
      </w:r>
      <w:r w:rsidRPr="003A0120">
        <w:rPr>
          <w:rFonts w:cs="Calibri"/>
          <w:sz w:val="20"/>
        </w:rPr>
        <w:tab/>
        <w:t>For the service listed and described in item 11 of the following table, t</w:t>
      </w:r>
      <w:r w:rsidRPr="003A0120">
        <w:rPr>
          <w:rFonts w:eastAsia="Calibri" w:cs="Calibri"/>
          <w:sz w:val="20"/>
        </w:rPr>
        <w:t>he means testing category is clinical supports.</w:t>
      </w:r>
    </w:p>
    <w:p w14:paraId="29CF0BF7" w14:textId="77777777" w:rsidR="0007229E" w:rsidRPr="003A0120" w:rsidRDefault="0007229E" w:rsidP="00FC08DA">
      <w:pPr>
        <w:pStyle w:val="subsection"/>
        <w:rPr>
          <w:rFonts w:eastAsia="Calibri" w:cs="Calibri"/>
          <w:sz w:val="20"/>
        </w:rPr>
      </w:pPr>
    </w:p>
    <w:tbl>
      <w:tblPr>
        <w:tblW w:w="8359"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54"/>
      </w:tblGrid>
      <w:tr w:rsidR="00FC08DA" w:rsidRPr="004636D4" w14:paraId="4BF6FA9C" w14:textId="77777777" w:rsidTr="00BD3D05">
        <w:trPr>
          <w:tblHeader/>
        </w:trPr>
        <w:tc>
          <w:tcPr>
            <w:tcW w:w="8359" w:type="dxa"/>
            <w:gridSpan w:val="3"/>
            <w:tcBorders>
              <w:top w:val="single" w:sz="12" w:space="0" w:color="auto"/>
              <w:bottom w:val="single" w:sz="6" w:space="0" w:color="auto"/>
            </w:tcBorders>
          </w:tcPr>
          <w:p w14:paraId="3BDA979B"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equipment and products</w:t>
            </w:r>
          </w:p>
        </w:tc>
      </w:tr>
      <w:tr w:rsidR="00FC08DA" w:rsidRPr="004636D4" w14:paraId="4F641AAA" w14:textId="77777777" w:rsidTr="00BD3D05">
        <w:trPr>
          <w:tblHeader/>
        </w:trPr>
        <w:tc>
          <w:tcPr>
            <w:tcW w:w="714" w:type="dxa"/>
            <w:tcBorders>
              <w:top w:val="single" w:sz="6" w:space="0" w:color="auto"/>
              <w:bottom w:val="single" w:sz="12" w:space="0" w:color="auto"/>
            </w:tcBorders>
          </w:tcPr>
          <w:p w14:paraId="5CF922B0"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5CB4A8F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9C3865E"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54" w:type="dxa"/>
            <w:tcBorders>
              <w:top w:val="single" w:sz="6" w:space="0" w:color="auto"/>
              <w:bottom w:val="single" w:sz="12" w:space="0" w:color="auto"/>
            </w:tcBorders>
          </w:tcPr>
          <w:p w14:paraId="7D068E2D"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7F893FDE"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63603441" w14:textId="77777777" w:rsidTr="00BD3D05">
        <w:tc>
          <w:tcPr>
            <w:tcW w:w="714" w:type="dxa"/>
          </w:tcPr>
          <w:p w14:paraId="4E5FBEB4"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4A23DC27" w14:textId="77777777" w:rsidR="00FC08DA" w:rsidRPr="003A0120" w:rsidRDefault="00FC08DA" w:rsidP="00BD3D05">
            <w:pPr>
              <w:pStyle w:val="Tabletext"/>
              <w:rPr>
                <w:rFonts w:ascii="Calibri" w:hAnsi="Calibri" w:cs="Calibri"/>
              </w:rPr>
            </w:pPr>
            <w:r w:rsidRPr="003A0120">
              <w:rPr>
                <w:rFonts w:ascii="Calibri" w:hAnsi="Calibri" w:cs="Calibri"/>
              </w:rPr>
              <w:t>Mobility items (non</w:t>
            </w:r>
            <w:r w:rsidRPr="003A0120">
              <w:rPr>
                <w:rFonts w:ascii="Calibri" w:hAnsi="Calibri" w:cs="Calibri"/>
              </w:rPr>
              <w:noBreakHyphen/>
              <w:t>loan)</w:t>
            </w:r>
          </w:p>
        </w:tc>
        <w:tc>
          <w:tcPr>
            <w:tcW w:w="5954" w:type="dxa"/>
          </w:tcPr>
          <w:p w14:paraId="5CC1990F" w14:textId="77777777" w:rsidR="00FC08DA" w:rsidRPr="003A0120" w:rsidRDefault="00FC08DA" w:rsidP="00BD3D05">
            <w:pPr>
              <w:pStyle w:val="Tabletext"/>
              <w:rPr>
                <w:rFonts w:ascii="Calibri" w:hAnsi="Calibri" w:cs="Calibri"/>
              </w:rPr>
            </w:pPr>
            <w:r w:rsidRPr="003A0120">
              <w:rPr>
                <w:rFonts w:ascii="Calibri" w:eastAsia="Calibri" w:hAnsi="Calibri" w:cs="Calibri"/>
              </w:rPr>
              <w:t>A service:</w:t>
            </w:r>
          </w:p>
          <w:p w14:paraId="0A19CCF0" w14:textId="151842B3" w:rsidR="00FC08DA" w:rsidRPr="003A0120" w:rsidRDefault="00FC08DA" w:rsidP="0050112F">
            <w:pPr>
              <w:pStyle w:val="Tablea"/>
              <w:numPr>
                <w:ilvl w:val="0"/>
                <w:numId w:val="87"/>
              </w:numPr>
              <w:rPr>
                <w:sz w:val="20"/>
              </w:rPr>
            </w:pPr>
            <w:r w:rsidRPr="003A0120">
              <w:rPr>
                <w:rFonts w:eastAsia="Calibri"/>
                <w:sz w:val="20"/>
              </w:rPr>
              <w:t xml:space="preserve">that </w:t>
            </w:r>
            <w:r w:rsidRPr="003A0120">
              <w:rPr>
                <w:sz w:val="20"/>
              </w:rPr>
              <w:t>consists of t</w:t>
            </w:r>
            <w:r w:rsidRPr="003A0120">
              <w:rPr>
                <w:rFonts w:eastAsia="Calibri"/>
                <w:sz w:val="20"/>
              </w:rPr>
              <w:t xml:space="preserve">he sourcing, supply and provision to the individual, other than on loan, of </w:t>
            </w:r>
            <w:r w:rsidRPr="003A0120">
              <w:rPr>
                <w:sz w:val="20"/>
              </w:rPr>
              <w:t>included mobility items; and</w:t>
            </w:r>
          </w:p>
          <w:p w14:paraId="1AD7C9AA" w14:textId="30D1A4E1"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6D6AB404" w14:textId="77777777" w:rsidTr="00BD3D05">
        <w:tc>
          <w:tcPr>
            <w:tcW w:w="714" w:type="dxa"/>
          </w:tcPr>
          <w:p w14:paraId="7CC195F9"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691" w:type="dxa"/>
          </w:tcPr>
          <w:p w14:paraId="29A37508" w14:textId="77777777" w:rsidR="00FC08DA" w:rsidRPr="003A0120" w:rsidRDefault="00FC08DA" w:rsidP="00BD3D05">
            <w:pPr>
              <w:pStyle w:val="Tabletext"/>
              <w:rPr>
                <w:rFonts w:ascii="Calibri" w:hAnsi="Calibri" w:cs="Calibri"/>
              </w:rPr>
            </w:pPr>
            <w:r w:rsidRPr="003A0120">
              <w:rPr>
                <w:rFonts w:ascii="Calibri" w:hAnsi="Calibri" w:cs="Calibri"/>
              </w:rPr>
              <w:t>Mobility items (loan)</w:t>
            </w:r>
          </w:p>
        </w:tc>
        <w:tc>
          <w:tcPr>
            <w:tcW w:w="5954" w:type="dxa"/>
          </w:tcPr>
          <w:p w14:paraId="7ECD8C3E" w14:textId="77777777" w:rsidR="00FC08DA" w:rsidRPr="003A0120" w:rsidRDefault="00FC08DA" w:rsidP="00BD3D05">
            <w:pPr>
              <w:pStyle w:val="Tabletext"/>
              <w:rPr>
                <w:rFonts w:ascii="Calibri" w:hAnsi="Calibri" w:cs="Calibri"/>
              </w:rPr>
            </w:pPr>
            <w:r w:rsidRPr="003A0120">
              <w:rPr>
                <w:rFonts w:ascii="Calibri" w:eastAsia="Calibri" w:hAnsi="Calibri" w:cs="Calibri"/>
              </w:rPr>
              <w:t>A service:</w:t>
            </w:r>
          </w:p>
          <w:p w14:paraId="2E8A2CA5" w14:textId="2C2FF89C" w:rsidR="00FC08DA" w:rsidRPr="003A0120" w:rsidRDefault="00540316" w:rsidP="0050112F">
            <w:pPr>
              <w:pStyle w:val="Tablea"/>
              <w:numPr>
                <w:ilvl w:val="0"/>
                <w:numId w:val="88"/>
              </w:numPr>
              <w:rPr>
                <w:sz w:val="20"/>
              </w:rPr>
            </w:pPr>
            <w:r w:rsidRPr="003A0120">
              <w:rPr>
                <w:rFonts w:eastAsia="Calibri"/>
                <w:sz w:val="20"/>
              </w:rPr>
              <w:t>t</w:t>
            </w:r>
            <w:r w:rsidR="00FC08DA" w:rsidRPr="003A0120">
              <w:rPr>
                <w:rFonts w:eastAsia="Calibri"/>
                <w:sz w:val="20"/>
              </w:rPr>
              <w:t xml:space="preserve">hat </w:t>
            </w:r>
            <w:r w:rsidR="00FC08DA" w:rsidRPr="003A0120">
              <w:rPr>
                <w:sz w:val="20"/>
              </w:rPr>
              <w:t>consists of t</w:t>
            </w:r>
            <w:r w:rsidR="00FC08DA" w:rsidRPr="003A0120">
              <w:rPr>
                <w:rFonts w:eastAsia="Calibri"/>
                <w:sz w:val="20"/>
              </w:rPr>
              <w:t>he sourcing, supply and provision to the individual, on loan, of</w:t>
            </w:r>
            <w:r w:rsidR="00FC08DA" w:rsidRPr="003A0120">
              <w:rPr>
                <w:sz w:val="20"/>
              </w:rPr>
              <w:t xml:space="preserve"> included mobility items; and</w:t>
            </w:r>
          </w:p>
          <w:p w14:paraId="05DF952E" w14:textId="56B4CD00" w:rsidR="00FC08DA" w:rsidRPr="003A0120" w:rsidRDefault="00FC08DA" w:rsidP="00497EDC">
            <w:pPr>
              <w:pStyle w:val="Tablea"/>
              <w:rPr>
                <w:sz w:val="20"/>
              </w:rPr>
            </w:pPr>
            <w:r w:rsidRPr="003A0120">
              <w:rPr>
                <w:sz w:val="20"/>
              </w:rPr>
              <w:t xml:space="preserve">to which at least </w:t>
            </w:r>
            <w:r w:rsidRPr="003A0120">
              <w:rPr>
                <w:rFonts w:eastAsia="Calibri"/>
                <w:sz w:val="20"/>
              </w:rPr>
              <w:t>one of the subparagraphs in paragraph 67(1)(b) of the Act applies</w:t>
            </w:r>
          </w:p>
        </w:tc>
      </w:tr>
      <w:tr w:rsidR="00FC08DA" w:rsidRPr="004636D4" w14:paraId="1803D58F" w14:textId="77777777" w:rsidTr="00BD3D05">
        <w:tc>
          <w:tcPr>
            <w:tcW w:w="714" w:type="dxa"/>
          </w:tcPr>
          <w:p w14:paraId="3188E109" w14:textId="77777777" w:rsidR="00FC08DA" w:rsidRPr="003A0120" w:rsidRDefault="00FC08DA" w:rsidP="00BD3D05">
            <w:pPr>
              <w:pStyle w:val="Tabletext"/>
              <w:rPr>
                <w:rFonts w:ascii="Calibri" w:hAnsi="Calibri" w:cs="Calibri"/>
              </w:rPr>
            </w:pPr>
            <w:r w:rsidRPr="003A0120">
              <w:rPr>
                <w:rFonts w:ascii="Calibri" w:hAnsi="Calibri" w:cs="Calibri"/>
              </w:rPr>
              <w:lastRenderedPageBreak/>
              <w:t>11</w:t>
            </w:r>
          </w:p>
        </w:tc>
        <w:tc>
          <w:tcPr>
            <w:tcW w:w="1691" w:type="dxa"/>
          </w:tcPr>
          <w:p w14:paraId="6B2DD92E" w14:textId="77777777" w:rsidR="00FC08DA" w:rsidRPr="003A0120" w:rsidRDefault="00FC08DA" w:rsidP="00BD3D05">
            <w:pPr>
              <w:pStyle w:val="Tabletext"/>
              <w:rPr>
                <w:rFonts w:ascii="Calibri" w:hAnsi="Calibri" w:cs="Calibri"/>
              </w:rPr>
            </w:pPr>
            <w:r w:rsidRPr="003A0120">
              <w:rPr>
                <w:rFonts w:ascii="Calibri" w:eastAsia="Calibri" w:hAnsi="Calibri" w:cs="Calibri"/>
              </w:rPr>
              <w:t>Assistive technology prescription and clinical support</w:t>
            </w:r>
          </w:p>
        </w:tc>
        <w:tc>
          <w:tcPr>
            <w:tcW w:w="5954" w:type="dxa"/>
          </w:tcPr>
          <w:p w14:paraId="58F19B6B" w14:textId="77777777" w:rsidR="00FC08DA" w:rsidRPr="003A0120" w:rsidRDefault="00FC08DA" w:rsidP="00497EDC">
            <w:pPr>
              <w:pStyle w:val="Tablea"/>
              <w:rPr>
                <w:rFonts w:eastAsia="Calibri"/>
                <w:sz w:val="20"/>
              </w:rPr>
            </w:pPr>
            <w:r w:rsidRPr="003A0120">
              <w:rPr>
                <w:rFonts w:eastAsia="Calibri"/>
                <w:sz w:val="20"/>
              </w:rPr>
              <w:t>The following, delivered by a registered health practitioner or an allied health professional:</w:t>
            </w:r>
          </w:p>
          <w:p w14:paraId="47E42C51"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 xml:space="preserve">(i) </w:t>
            </w:r>
            <w:r w:rsidRPr="003A0120">
              <w:rPr>
                <w:rFonts w:ascii="Calibri" w:hAnsi="Calibri" w:cs="Calibri"/>
              </w:rPr>
              <w:t>identifying</w:t>
            </w:r>
            <w:r w:rsidRPr="003A0120">
              <w:rPr>
                <w:rFonts w:ascii="Calibri" w:eastAsia="Calibri" w:hAnsi="Calibri" w:cs="Calibri"/>
              </w:rPr>
              <w:t xml:space="preserve"> an issue or problem that restricts the individual’s physical, functional or cognitive ability;</w:t>
            </w:r>
          </w:p>
          <w:p w14:paraId="1784EE1A" w14:textId="77777777" w:rsidR="00FC08DA" w:rsidRPr="003A0120" w:rsidRDefault="00FC08DA" w:rsidP="00BD3D05">
            <w:pPr>
              <w:pStyle w:val="Tablei"/>
              <w:rPr>
                <w:rFonts w:ascii="Calibri" w:hAnsi="Calibri" w:cs="Calibri"/>
              </w:rPr>
            </w:pPr>
            <w:r w:rsidRPr="003A0120">
              <w:rPr>
                <w:rFonts w:ascii="Calibri" w:eastAsia="Calibri" w:hAnsi="Calibri" w:cs="Calibri"/>
              </w:rPr>
              <w:t>(ii) a</w:t>
            </w:r>
            <w:r w:rsidRPr="003A0120">
              <w:rPr>
                <w:rFonts w:ascii="Calibri" w:hAnsi="Calibri" w:cs="Calibri"/>
              </w:rPr>
              <w:t>ssessing the level of assistive technology needed for the individual to regain or maintain physical, functional or cognitive ability;</w:t>
            </w:r>
          </w:p>
          <w:p w14:paraId="61AF2AA5" w14:textId="77777777" w:rsidR="00FC08DA" w:rsidRPr="003A0120" w:rsidRDefault="00FC08DA" w:rsidP="00BD3D05">
            <w:pPr>
              <w:pStyle w:val="Tablei"/>
              <w:rPr>
                <w:rFonts w:ascii="Calibri" w:eastAsia="Calibri" w:hAnsi="Calibri" w:cs="Calibri"/>
              </w:rPr>
            </w:pPr>
            <w:r w:rsidRPr="003A0120">
              <w:rPr>
                <w:rFonts w:ascii="Calibri" w:hAnsi="Calibri" w:cs="Calibri"/>
              </w:rPr>
              <w:t>(iii) identifying included AT</w:t>
            </w:r>
            <w:r w:rsidRPr="003A0120">
              <w:rPr>
                <w:rFonts w:ascii="Calibri" w:hAnsi="Calibri" w:cs="Calibri"/>
                <w:strike/>
              </w:rPr>
              <w:noBreakHyphen/>
              <w:t>HM</w:t>
            </w:r>
            <w:r w:rsidRPr="003A0120">
              <w:rPr>
                <w:rFonts w:ascii="Calibri" w:hAnsi="Calibri" w:cs="Calibri"/>
              </w:rPr>
              <w:t xml:space="preserve"> items and conditionally included AT</w:t>
            </w:r>
            <w:r w:rsidRPr="003A0120">
              <w:rPr>
                <w:rFonts w:ascii="Calibri" w:hAnsi="Calibri" w:cs="Calibri"/>
                <w:strike/>
              </w:rPr>
              <w:noBreakHyphen/>
              <w:t>HM</w:t>
            </w:r>
            <w:r w:rsidRPr="003A0120">
              <w:rPr>
                <w:rFonts w:ascii="Calibri" w:hAnsi="Calibri" w:cs="Calibri"/>
              </w:rPr>
              <w:t xml:space="preserve"> items</w:t>
            </w:r>
            <w:r w:rsidRPr="003A0120">
              <w:rPr>
                <w:rFonts w:ascii="Calibri" w:eastAsia="Calibri" w:hAnsi="Calibri" w:cs="Calibri"/>
              </w:rPr>
              <w:t xml:space="preserve"> </w:t>
            </w:r>
            <w:r w:rsidRPr="003A0120">
              <w:rPr>
                <w:rFonts w:ascii="Calibri" w:eastAsia="Calibri" w:hAnsi="Calibri" w:cs="Calibri"/>
                <w:strike/>
              </w:rPr>
              <w:t>(other than included home modifications items)</w:t>
            </w:r>
            <w:r w:rsidRPr="003A0120">
              <w:rPr>
                <w:rFonts w:ascii="Calibri" w:eastAsia="Calibri" w:hAnsi="Calibri" w:cs="Calibri"/>
              </w:rPr>
              <w:t xml:space="preserve"> that will assist the individual to regain or maintain physical, functional or cognitive ability;</w:t>
            </w:r>
          </w:p>
        </w:tc>
      </w:tr>
    </w:tbl>
    <w:p w14:paraId="66248BB7" w14:textId="3155A9D3" w:rsidR="00FC08DA" w:rsidRPr="00D53ED4" w:rsidRDefault="00FC08DA" w:rsidP="00D53ED4">
      <w:pPr>
        <w:rPr>
          <w:color w:val="227ACB"/>
          <w:sz w:val="24"/>
        </w:rPr>
      </w:pPr>
      <w:r w:rsidRPr="00D53ED4">
        <w:rPr>
          <w:b/>
          <w:bCs/>
          <w:color w:val="227ACB"/>
          <w:sz w:val="24"/>
        </w:rPr>
        <w:t>Division 5</w:t>
      </w:r>
      <w:r w:rsidR="000173E4" w:rsidRPr="00D53ED4">
        <w:rPr>
          <w:b/>
          <w:bCs/>
          <w:color w:val="227ACB"/>
          <w:sz w:val="24"/>
        </w:rPr>
        <w:t xml:space="preserve"> – </w:t>
      </w:r>
      <w:r w:rsidRPr="00D53ED4">
        <w:rPr>
          <w:b/>
          <w:bCs/>
          <w:color w:val="227ACB"/>
          <w:sz w:val="24"/>
        </w:rPr>
        <w:t>Other</w:t>
      </w:r>
      <w:r w:rsidR="000173E4" w:rsidRPr="00D53ED4">
        <w:rPr>
          <w:b/>
          <w:bCs/>
          <w:color w:val="227ACB"/>
          <w:sz w:val="24"/>
        </w:rPr>
        <w:t xml:space="preserve"> </w:t>
      </w:r>
      <w:r w:rsidRPr="00D53ED4">
        <w:rPr>
          <w:b/>
          <w:bCs/>
          <w:color w:val="227ACB"/>
          <w:sz w:val="24"/>
        </w:rPr>
        <w:t>specified matters for assistive technology service types</w:t>
      </w:r>
    </w:p>
    <w:p w14:paraId="2310D13C" w14:textId="77777777" w:rsidR="00FC08DA" w:rsidRPr="007B7277" w:rsidRDefault="00FC08DA" w:rsidP="007B7277">
      <w:pPr>
        <w:rPr>
          <w:b/>
          <w:bCs/>
          <w:sz w:val="22"/>
          <w:szCs w:val="22"/>
        </w:rPr>
      </w:pPr>
      <w:r w:rsidRPr="007B7277">
        <w:rPr>
          <w:b/>
          <w:bCs/>
          <w:sz w:val="22"/>
          <w:szCs w:val="22"/>
        </w:rPr>
        <w:t>8</w:t>
      </w:r>
      <w:r w:rsidRPr="007B7277">
        <w:rPr>
          <w:b/>
          <w:bCs/>
          <w:sz w:val="22"/>
          <w:szCs w:val="22"/>
        </w:rPr>
        <w:noBreakHyphen/>
        <w:t>115  All service types must be delivered in a home or community setting</w:t>
      </w:r>
    </w:p>
    <w:p w14:paraId="5737B7E6" w14:textId="4AE2656B" w:rsidR="00FC08DA" w:rsidRPr="003A0120" w:rsidRDefault="00FC08DA" w:rsidP="00FC08DA">
      <w:pPr>
        <w:pStyle w:val="subsection"/>
        <w:rPr>
          <w:rFonts w:cs="Calibri"/>
          <w:sz w:val="20"/>
        </w:rPr>
      </w:pPr>
      <w:r w:rsidRPr="003A0120">
        <w:rPr>
          <w:rFonts w:cs="Calibri"/>
          <w:sz w:val="20"/>
        </w:rPr>
        <w:t>All service types in the service group assistive technology must be delivered in a home or community setting.</w:t>
      </w:r>
    </w:p>
    <w:p w14:paraId="0F96C8E0" w14:textId="5EC398EE" w:rsidR="00FC08DA" w:rsidRPr="007B7277" w:rsidRDefault="00FC08DA" w:rsidP="007B7277">
      <w:pPr>
        <w:rPr>
          <w:b/>
          <w:bCs/>
          <w:sz w:val="22"/>
          <w:szCs w:val="22"/>
        </w:rPr>
      </w:pPr>
      <w:r w:rsidRPr="007B7277">
        <w:rPr>
          <w:b/>
          <w:bCs/>
          <w:sz w:val="22"/>
          <w:szCs w:val="22"/>
        </w:rPr>
        <w:t>8</w:t>
      </w:r>
      <w:r w:rsidRPr="007B7277">
        <w:rPr>
          <w:b/>
          <w:bCs/>
          <w:sz w:val="22"/>
          <w:szCs w:val="22"/>
        </w:rPr>
        <w:noBreakHyphen/>
        <w:t>120 Other specified matters for assistive technology service types</w:t>
      </w:r>
    </w:p>
    <w:p w14:paraId="26A4F672" w14:textId="77777777" w:rsidR="00FC08DA" w:rsidRPr="003A0120" w:rsidRDefault="00FC08DA" w:rsidP="00FC08DA">
      <w:pPr>
        <w:pStyle w:val="subsection"/>
        <w:rPr>
          <w:rFonts w:cs="Calibri"/>
          <w:sz w:val="20"/>
        </w:rPr>
      </w:pPr>
      <w:r w:rsidRPr="003A0120">
        <w:rPr>
          <w:rFonts w:cs="Calibri"/>
          <w:sz w:val="20"/>
        </w:rPr>
        <w:tab/>
      </w:r>
      <w:r w:rsidRPr="003A0120">
        <w:rPr>
          <w:rFonts w:cs="Calibri"/>
          <w:sz w:val="20"/>
        </w:rPr>
        <w:tab/>
        <w:t>The service type equipment and products:</w:t>
      </w:r>
    </w:p>
    <w:p w14:paraId="218F2851"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(a) is in the service group assistive technology; and</w:t>
      </w:r>
    </w:p>
    <w:p w14:paraId="0C0A680C" w14:textId="77777777" w:rsidR="00FC08DA" w:rsidRPr="003A0120" w:rsidRDefault="00FC08DA" w:rsidP="00FC08DA">
      <w:pPr>
        <w:pStyle w:val="paragraph"/>
        <w:rPr>
          <w:rFonts w:ascii="Calibri" w:hAnsi="Calibri" w:cs="Calibri"/>
          <w:sz w:val="20"/>
          <w:szCs w:val="20"/>
        </w:rPr>
      </w:pPr>
      <w:r w:rsidRPr="003A0120">
        <w:rPr>
          <w:rFonts w:ascii="Calibri" w:hAnsi="Calibri" w:cs="Calibri"/>
          <w:sz w:val="20"/>
          <w:szCs w:val="20"/>
        </w:rPr>
        <w:tab/>
        <w:t>(b) can be delivered under any of the following specialist aged care programs:</w:t>
      </w:r>
    </w:p>
    <w:p w14:paraId="064645D1"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w:t>
      </w:r>
      <w:r w:rsidRPr="003A0120">
        <w:rPr>
          <w:rFonts w:ascii="Calibri" w:hAnsi="Calibri" w:cs="Calibri"/>
          <w:sz w:val="20"/>
        </w:rPr>
        <w:tab/>
        <w:t>CHSP;</w:t>
      </w:r>
    </w:p>
    <w:p w14:paraId="50F111E8"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(ii)</w:t>
      </w:r>
      <w:r w:rsidRPr="003A0120">
        <w:rPr>
          <w:rFonts w:ascii="Calibri" w:hAnsi="Calibri" w:cs="Calibri"/>
          <w:sz w:val="20"/>
        </w:rPr>
        <w:tab/>
        <w:t>MPSP;</w:t>
      </w:r>
    </w:p>
    <w:p w14:paraId="4B48C6D9"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(iii)</w:t>
      </w:r>
      <w:r w:rsidRPr="003A0120">
        <w:rPr>
          <w:rFonts w:ascii="Calibri" w:hAnsi="Calibri" w:cs="Calibri"/>
          <w:sz w:val="20"/>
        </w:rPr>
        <w:tab/>
        <w:t>NATSIFACP;</w:t>
      </w:r>
    </w:p>
    <w:p w14:paraId="42015D4E" w14:textId="77777777" w:rsidR="00FC08DA" w:rsidRPr="003A0120" w:rsidRDefault="00FC08DA" w:rsidP="00FC08DA">
      <w:pPr>
        <w:pStyle w:val="paragraphsub"/>
        <w:rPr>
          <w:rFonts w:ascii="Calibri" w:hAnsi="Calibri" w:cs="Calibri"/>
          <w:sz w:val="20"/>
        </w:rPr>
      </w:pPr>
      <w:r w:rsidRPr="003A0120">
        <w:rPr>
          <w:rFonts w:ascii="Calibri" w:hAnsi="Calibri" w:cs="Calibri"/>
          <w:sz w:val="20"/>
        </w:rPr>
        <w:tab/>
        <w:t>(iv)</w:t>
      </w:r>
      <w:r w:rsidRPr="003A0120">
        <w:rPr>
          <w:rFonts w:ascii="Calibri" w:hAnsi="Calibri" w:cs="Calibri"/>
          <w:sz w:val="20"/>
        </w:rPr>
        <w:tab/>
        <w:t>TCP; and</w:t>
      </w:r>
    </w:p>
    <w:p w14:paraId="49655772" w14:textId="77777777" w:rsidR="00FC08DA" w:rsidRPr="003A0120" w:rsidRDefault="00FC08DA" w:rsidP="00FC08DA">
      <w:pPr>
        <w:pStyle w:val="paragraph"/>
        <w:ind w:left="720" w:hanging="720"/>
        <w:rPr>
          <w:rFonts w:ascii="Calibri" w:hAnsi="Calibri" w:cs="Calibri"/>
          <w:sz w:val="20"/>
          <w:szCs w:val="20"/>
        </w:rPr>
      </w:pPr>
      <w:r w:rsidRPr="003A0120">
        <w:rPr>
          <w:rFonts w:ascii="Calibri" w:hAnsi="Calibri" w:cs="Calibri"/>
          <w:sz w:val="20"/>
          <w:szCs w:val="20"/>
        </w:rPr>
        <w:tab/>
        <w:t>(c) can be delivered under the provider registration category assistive technology and home modifications.</w:t>
      </w:r>
    </w:p>
    <w:p w14:paraId="4FD88FA6" w14:textId="73CE0A72" w:rsidR="00FC08DA" w:rsidRPr="003A0120" w:rsidRDefault="00FC08DA" w:rsidP="00D53ED4">
      <w:pPr>
        <w:rPr>
          <w:szCs w:val="20"/>
        </w:rPr>
      </w:pPr>
      <w:r w:rsidRPr="00D53ED4">
        <w:rPr>
          <w:b/>
          <w:bCs/>
          <w:color w:val="227ACB"/>
          <w:sz w:val="24"/>
        </w:rPr>
        <w:t>Division 8</w:t>
      </w:r>
      <w:r w:rsidR="000173E4" w:rsidRPr="00D53ED4">
        <w:rPr>
          <w:b/>
          <w:bCs/>
          <w:color w:val="227ACB"/>
          <w:sz w:val="24"/>
        </w:rPr>
        <w:t xml:space="preserve"> </w:t>
      </w:r>
      <w:r w:rsidR="00662B12" w:rsidRPr="00D53ED4">
        <w:rPr>
          <w:b/>
          <w:bCs/>
          <w:color w:val="227ACB"/>
          <w:sz w:val="24"/>
        </w:rPr>
        <w:t xml:space="preserve">– </w:t>
      </w:r>
      <w:r w:rsidRPr="00D53ED4">
        <w:rPr>
          <w:b/>
          <w:bCs/>
          <w:color w:val="227ACB"/>
          <w:sz w:val="24"/>
        </w:rPr>
        <w:t>Residential</w:t>
      </w:r>
      <w:r w:rsidR="00662B12" w:rsidRPr="00D53ED4">
        <w:rPr>
          <w:b/>
          <w:bCs/>
          <w:color w:val="227ACB"/>
          <w:sz w:val="24"/>
        </w:rPr>
        <w:t xml:space="preserve"> </w:t>
      </w:r>
      <w:r w:rsidRPr="00D53ED4">
        <w:rPr>
          <w:b/>
          <w:bCs/>
          <w:color w:val="227ACB"/>
          <w:sz w:val="24"/>
        </w:rPr>
        <w:t>care service types</w:t>
      </w:r>
    </w:p>
    <w:p w14:paraId="420BA7F9" w14:textId="6A598566" w:rsidR="00FC08DA" w:rsidRPr="007B7277" w:rsidRDefault="00FC08DA" w:rsidP="007B7277">
      <w:pPr>
        <w:rPr>
          <w:b/>
          <w:bCs/>
          <w:sz w:val="22"/>
          <w:szCs w:val="22"/>
        </w:rPr>
      </w:pPr>
      <w:r w:rsidRPr="007B7277">
        <w:rPr>
          <w:b/>
          <w:bCs/>
          <w:sz w:val="22"/>
          <w:szCs w:val="22"/>
        </w:rPr>
        <w:t>8</w:t>
      </w:r>
      <w:r w:rsidRPr="007B7277">
        <w:rPr>
          <w:b/>
          <w:bCs/>
          <w:sz w:val="22"/>
          <w:szCs w:val="22"/>
        </w:rPr>
        <w:noBreakHyphen/>
        <w:t>140 Residential accommodation</w:t>
      </w:r>
    </w:p>
    <w:p w14:paraId="7E744577" w14:textId="7477E3A7"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accommodation.</w:t>
      </w:r>
    </w:p>
    <w:p w14:paraId="41D75719" w14:textId="77777777" w:rsidR="0007229E" w:rsidRPr="003A0120" w:rsidRDefault="0007229E"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244C8085" w14:textId="77777777" w:rsidTr="00BD3D05">
        <w:trPr>
          <w:tblHeader/>
        </w:trPr>
        <w:tc>
          <w:tcPr>
            <w:tcW w:w="8312" w:type="dxa"/>
            <w:gridSpan w:val="3"/>
            <w:tcBorders>
              <w:top w:val="single" w:sz="12" w:space="0" w:color="auto"/>
              <w:bottom w:val="single" w:sz="6" w:space="0" w:color="auto"/>
            </w:tcBorders>
          </w:tcPr>
          <w:p w14:paraId="4D99E755"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accommodation</w:t>
            </w:r>
          </w:p>
        </w:tc>
      </w:tr>
      <w:tr w:rsidR="00FC08DA" w:rsidRPr="004636D4" w14:paraId="33FD30E5" w14:textId="77777777" w:rsidTr="00BD3D05">
        <w:trPr>
          <w:tblHeader/>
        </w:trPr>
        <w:tc>
          <w:tcPr>
            <w:tcW w:w="714" w:type="dxa"/>
            <w:tcBorders>
              <w:top w:val="single" w:sz="6" w:space="0" w:color="auto"/>
              <w:bottom w:val="single" w:sz="12" w:space="0" w:color="auto"/>
            </w:tcBorders>
          </w:tcPr>
          <w:p w14:paraId="25EB439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833" w:type="dxa"/>
            <w:tcBorders>
              <w:top w:val="single" w:sz="6" w:space="0" w:color="auto"/>
              <w:bottom w:val="single" w:sz="12" w:space="0" w:color="auto"/>
            </w:tcBorders>
          </w:tcPr>
          <w:p w14:paraId="4D8CA017"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26E680F4"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765" w:type="dxa"/>
            <w:tcBorders>
              <w:top w:val="single" w:sz="6" w:space="0" w:color="auto"/>
              <w:bottom w:val="single" w:sz="12" w:space="0" w:color="auto"/>
            </w:tcBorders>
          </w:tcPr>
          <w:p w14:paraId="73EDC803"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041EFDD9"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28956543" w14:textId="77777777" w:rsidTr="00BD3D05">
        <w:tc>
          <w:tcPr>
            <w:tcW w:w="714" w:type="dxa"/>
            <w:tcBorders>
              <w:top w:val="single" w:sz="2" w:space="0" w:color="auto"/>
              <w:bottom w:val="single" w:sz="2" w:space="0" w:color="auto"/>
            </w:tcBorders>
          </w:tcPr>
          <w:p w14:paraId="13498A79"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833" w:type="dxa"/>
            <w:tcBorders>
              <w:top w:val="single" w:sz="2" w:space="0" w:color="auto"/>
              <w:bottom w:val="single" w:sz="2" w:space="0" w:color="auto"/>
            </w:tcBorders>
          </w:tcPr>
          <w:p w14:paraId="0752102A" w14:textId="77777777" w:rsidR="00FC08DA" w:rsidRPr="003A0120" w:rsidRDefault="00FC08DA" w:rsidP="00BD3D05">
            <w:pPr>
              <w:pStyle w:val="Tabletext"/>
              <w:rPr>
                <w:rFonts w:ascii="Calibri" w:hAnsi="Calibri" w:cs="Calibri"/>
              </w:rPr>
            </w:pPr>
            <w:r w:rsidRPr="003A0120">
              <w:rPr>
                <w:rFonts w:ascii="Calibri" w:hAnsi="Calibri" w:cs="Calibri"/>
              </w:rPr>
              <w:t>Accommodation</w:t>
            </w:r>
          </w:p>
        </w:tc>
        <w:tc>
          <w:tcPr>
            <w:tcW w:w="5765" w:type="dxa"/>
            <w:tcBorders>
              <w:top w:val="single" w:sz="2" w:space="0" w:color="auto"/>
              <w:bottom w:val="single" w:sz="2" w:space="0" w:color="auto"/>
            </w:tcBorders>
          </w:tcPr>
          <w:p w14:paraId="7242C451"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67245F3" w14:textId="45A2CCCF" w:rsidR="00FC08DA" w:rsidRPr="003A0120" w:rsidRDefault="00FC08DA" w:rsidP="0050112F">
            <w:pPr>
              <w:pStyle w:val="Tablea"/>
              <w:numPr>
                <w:ilvl w:val="0"/>
                <w:numId w:val="89"/>
              </w:numPr>
              <w:rPr>
                <w:sz w:val="20"/>
              </w:rPr>
            </w:pPr>
            <w:r w:rsidRPr="003A0120">
              <w:rPr>
                <w:sz w:val="20"/>
              </w:rPr>
              <w:t>capital infrastructure costs and depreciation of buildings and grounds used by individuals;</w:t>
            </w:r>
          </w:p>
          <w:p w14:paraId="68F22BC1" w14:textId="24642F9C" w:rsidR="00FC08DA" w:rsidRPr="003A0120" w:rsidRDefault="00FC08DA" w:rsidP="00540316">
            <w:pPr>
              <w:pStyle w:val="Tablea"/>
              <w:rPr>
                <w:sz w:val="20"/>
              </w:rPr>
            </w:pPr>
            <w:r w:rsidRPr="003A0120">
              <w:rPr>
                <w:sz w:val="20"/>
              </w:rPr>
              <w:t>communal areas for living, dining and recreation, as well as personal accommodation in either individual or shared rooms;</w:t>
            </w:r>
          </w:p>
          <w:p w14:paraId="2D8578F6" w14:textId="1D682362" w:rsidR="00FC08DA" w:rsidRPr="003A0120" w:rsidRDefault="00FC08DA" w:rsidP="00540316">
            <w:pPr>
              <w:pStyle w:val="Tablea"/>
              <w:rPr>
                <w:sz w:val="20"/>
              </w:rPr>
            </w:pPr>
            <w:r w:rsidRPr="003A0120">
              <w:rPr>
                <w:sz w:val="20"/>
              </w:rPr>
              <w:t>refurbishments and replacements of fixtures, fittings and infrastructure;</w:t>
            </w:r>
          </w:p>
          <w:p w14:paraId="747E33C8" w14:textId="13DF5BA7" w:rsidR="00FC08DA" w:rsidRPr="003A0120" w:rsidRDefault="00FC08DA" w:rsidP="00540316">
            <w:pPr>
              <w:pStyle w:val="Tablea"/>
              <w:rPr>
                <w:sz w:val="20"/>
              </w:rPr>
            </w:pPr>
            <w:r w:rsidRPr="003A0120">
              <w:rPr>
                <w:sz w:val="20"/>
              </w:rPr>
              <w:t>maintenance, of buildings and grounds used by individuals, to address normal wear and tear</w:t>
            </w:r>
          </w:p>
        </w:tc>
      </w:tr>
      <w:tr w:rsidR="00FC08DA" w:rsidRPr="004636D4" w14:paraId="41488D50" w14:textId="77777777" w:rsidTr="00BD3D05">
        <w:tc>
          <w:tcPr>
            <w:tcW w:w="714" w:type="dxa"/>
            <w:tcBorders>
              <w:top w:val="single" w:sz="2" w:space="0" w:color="auto"/>
              <w:bottom w:val="single" w:sz="12" w:space="0" w:color="auto"/>
            </w:tcBorders>
          </w:tcPr>
          <w:p w14:paraId="065A7A82" w14:textId="77777777" w:rsidR="00FC08DA" w:rsidRPr="003A0120" w:rsidRDefault="00FC08DA" w:rsidP="00BD3D05">
            <w:pPr>
              <w:pStyle w:val="Tabletext"/>
              <w:rPr>
                <w:rFonts w:ascii="Calibri" w:hAnsi="Calibri" w:cs="Calibri"/>
              </w:rPr>
            </w:pPr>
            <w:r w:rsidRPr="003A0120">
              <w:rPr>
                <w:rFonts w:ascii="Calibri" w:hAnsi="Calibri" w:cs="Calibri"/>
              </w:rPr>
              <w:lastRenderedPageBreak/>
              <w:t>2</w:t>
            </w:r>
          </w:p>
        </w:tc>
        <w:tc>
          <w:tcPr>
            <w:tcW w:w="1833" w:type="dxa"/>
            <w:tcBorders>
              <w:top w:val="single" w:sz="2" w:space="0" w:color="auto"/>
              <w:bottom w:val="single" w:sz="12" w:space="0" w:color="auto"/>
            </w:tcBorders>
          </w:tcPr>
          <w:p w14:paraId="581A856C" w14:textId="77777777" w:rsidR="00FC08DA" w:rsidRPr="003A0120" w:rsidRDefault="00FC08DA" w:rsidP="00BD3D05">
            <w:pPr>
              <w:pStyle w:val="Tabletext"/>
              <w:rPr>
                <w:rFonts w:ascii="Calibri" w:hAnsi="Calibri" w:cs="Calibri"/>
              </w:rPr>
            </w:pPr>
            <w:r w:rsidRPr="003A0120">
              <w:rPr>
                <w:rFonts w:ascii="Calibri" w:hAnsi="Calibri" w:cs="Calibri"/>
              </w:rPr>
              <w:t>Accommodation administration</w:t>
            </w:r>
          </w:p>
        </w:tc>
        <w:tc>
          <w:tcPr>
            <w:tcW w:w="5765" w:type="dxa"/>
            <w:tcBorders>
              <w:top w:val="single" w:sz="2" w:space="0" w:color="auto"/>
              <w:bottom w:val="single" w:sz="12" w:space="0" w:color="auto"/>
            </w:tcBorders>
          </w:tcPr>
          <w:p w14:paraId="0C7D62EB" w14:textId="77777777" w:rsidR="00FC08DA" w:rsidRPr="003A0120" w:rsidRDefault="00FC08DA" w:rsidP="00BD3D05">
            <w:pPr>
              <w:pStyle w:val="Tabletext"/>
              <w:rPr>
                <w:rFonts w:ascii="Calibri" w:hAnsi="Calibri" w:cs="Calibri"/>
              </w:rPr>
            </w:pPr>
            <w:r w:rsidRPr="003A0120">
              <w:rPr>
                <w:rFonts w:ascii="Calibri" w:hAnsi="Calibri" w:cs="Calibri"/>
              </w:rPr>
              <w:t>Administration relating to the general operation of the residential care home, including accommodation agreements, accommodation bond agreements and accommodation charge agreements</w:t>
            </w:r>
          </w:p>
        </w:tc>
      </w:tr>
    </w:tbl>
    <w:p w14:paraId="55D0BB79" w14:textId="77777777" w:rsidR="00483173" w:rsidRDefault="00483173" w:rsidP="007B7277">
      <w:pPr>
        <w:rPr>
          <w:b/>
          <w:bCs/>
          <w:sz w:val="22"/>
          <w:szCs w:val="22"/>
        </w:rPr>
      </w:pPr>
    </w:p>
    <w:p w14:paraId="17621BE5" w14:textId="1E705099" w:rsidR="00FC08DA" w:rsidRPr="007B7277" w:rsidRDefault="00FC08DA" w:rsidP="007B7277">
      <w:pPr>
        <w:rPr>
          <w:b/>
          <w:bCs/>
          <w:sz w:val="22"/>
          <w:szCs w:val="22"/>
        </w:rPr>
      </w:pPr>
      <w:r w:rsidRPr="007B7277">
        <w:rPr>
          <w:b/>
          <w:bCs/>
          <w:sz w:val="22"/>
          <w:szCs w:val="22"/>
        </w:rPr>
        <w:t>8</w:t>
      </w:r>
      <w:r w:rsidRPr="007B7277">
        <w:rPr>
          <w:b/>
          <w:bCs/>
          <w:sz w:val="22"/>
          <w:szCs w:val="22"/>
        </w:rPr>
        <w:noBreakHyphen/>
        <w:t>145 Residential everyday living</w:t>
      </w:r>
    </w:p>
    <w:p w14:paraId="63EBC2C0" w14:textId="6DA370E1"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everyday living.</w:t>
      </w:r>
    </w:p>
    <w:p w14:paraId="0B776D0A" w14:textId="77777777" w:rsidR="0007229E" w:rsidRPr="003A0120" w:rsidRDefault="0007229E"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5907"/>
      </w:tblGrid>
      <w:tr w:rsidR="00FC08DA" w:rsidRPr="004636D4" w14:paraId="68AFD653" w14:textId="77777777" w:rsidTr="00BD3D05">
        <w:trPr>
          <w:tblHeader/>
        </w:trPr>
        <w:tc>
          <w:tcPr>
            <w:tcW w:w="8312" w:type="dxa"/>
            <w:gridSpan w:val="3"/>
            <w:tcBorders>
              <w:top w:val="single" w:sz="12" w:space="0" w:color="auto"/>
              <w:bottom w:val="single" w:sz="6" w:space="0" w:color="auto"/>
            </w:tcBorders>
          </w:tcPr>
          <w:p w14:paraId="669B238D"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everyday living</w:t>
            </w:r>
          </w:p>
        </w:tc>
      </w:tr>
      <w:tr w:rsidR="00FC08DA" w:rsidRPr="004636D4" w14:paraId="1B33B691" w14:textId="77777777" w:rsidTr="00BD3D05">
        <w:trPr>
          <w:tblHeader/>
        </w:trPr>
        <w:tc>
          <w:tcPr>
            <w:tcW w:w="714" w:type="dxa"/>
            <w:tcBorders>
              <w:top w:val="single" w:sz="6" w:space="0" w:color="auto"/>
              <w:bottom w:val="single" w:sz="12" w:space="0" w:color="auto"/>
            </w:tcBorders>
          </w:tcPr>
          <w:p w14:paraId="3CBE22E4"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691" w:type="dxa"/>
            <w:tcBorders>
              <w:top w:val="single" w:sz="6" w:space="0" w:color="auto"/>
              <w:bottom w:val="single" w:sz="12" w:space="0" w:color="auto"/>
            </w:tcBorders>
          </w:tcPr>
          <w:p w14:paraId="654D5E84"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642FD80D"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907" w:type="dxa"/>
            <w:tcBorders>
              <w:top w:val="single" w:sz="6" w:space="0" w:color="auto"/>
              <w:bottom w:val="single" w:sz="12" w:space="0" w:color="auto"/>
            </w:tcBorders>
          </w:tcPr>
          <w:p w14:paraId="1A804C5B"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6FE0C89"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53B9C105" w14:textId="77777777" w:rsidTr="00BD3D05">
        <w:tc>
          <w:tcPr>
            <w:tcW w:w="714" w:type="dxa"/>
            <w:tcBorders>
              <w:top w:val="single" w:sz="12" w:space="0" w:color="auto"/>
            </w:tcBorders>
          </w:tcPr>
          <w:p w14:paraId="29EFA781"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691" w:type="dxa"/>
            <w:tcBorders>
              <w:top w:val="single" w:sz="12" w:space="0" w:color="auto"/>
            </w:tcBorders>
          </w:tcPr>
          <w:p w14:paraId="69F9B6A2" w14:textId="77777777" w:rsidR="00FC08DA" w:rsidRPr="003A0120" w:rsidRDefault="00FC08DA" w:rsidP="00BD3D05">
            <w:pPr>
              <w:pStyle w:val="Tabletext"/>
              <w:rPr>
                <w:rFonts w:ascii="Calibri" w:hAnsi="Calibri" w:cs="Calibri"/>
              </w:rPr>
            </w:pPr>
            <w:r w:rsidRPr="003A0120">
              <w:rPr>
                <w:rFonts w:ascii="Calibri" w:hAnsi="Calibri" w:cs="Calibri"/>
              </w:rPr>
              <w:t>Operational administration and emergency assistance</w:t>
            </w:r>
          </w:p>
        </w:tc>
        <w:tc>
          <w:tcPr>
            <w:tcW w:w="5907" w:type="dxa"/>
            <w:tcBorders>
              <w:top w:val="single" w:sz="12" w:space="0" w:color="auto"/>
            </w:tcBorders>
          </w:tcPr>
          <w:p w14:paraId="2BE05C97"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594CCA5F" w14:textId="183F128B" w:rsidR="00FC08DA" w:rsidRPr="003A0120" w:rsidRDefault="00FC08DA" w:rsidP="0050112F">
            <w:pPr>
              <w:pStyle w:val="Tablea"/>
              <w:numPr>
                <w:ilvl w:val="0"/>
                <w:numId w:val="90"/>
              </w:numPr>
              <w:rPr>
                <w:sz w:val="20"/>
              </w:rPr>
            </w:pPr>
            <w:r w:rsidRPr="003A0120">
              <w:rPr>
                <w:sz w:val="20"/>
              </w:rPr>
              <w:t>administration relating to:</w:t>
            </w:r>
          </w:p>
          <w:p w14:paraId="71FC7D38" w14:textId="77777777" w:rsidR="00FC08DA" w:rsidRPr="003A0120" w:rsidRDefault="00FC08DA" w:rsidP="00BD3D05">
            <w:pPr>
              <w:pStyle w:val="Tablei"/>
              <w:rPr>
                <w:rFonts w:ascii="Calibri" w:hAnsi="Calibri" w:cs="Calibri"/>
              </w:rPr>
            </w:pPr>
            <w:r w:rsidRPr="003A0120">
              <w:rPr>
                <w:rFonts w:ascii="Calibri" w:hAnsi="Calibri" w:cs="Calibri"/>
              </w:rPr>
              <w:t>(i) the delivery of the other services listed and described in this table; and</w:t>
            </w:r>
          </w:p>
          <w:p w14:paraId="7E5CBDF5" w14:textId="77777777" w:rsidR="00FC08DA" w:rsidRPr="003A0120" w:rsidRDefault="00FC08DA" w:rsidP="00BD3D05">
            <w:pPr>
              <w:pStyle w:val="Tablei"/>
              <w:rPr>
                <w:rFonts w:ascii="Calibri" w:hAnsi="Calibri" w:cs="Calibri"/>
              </w:rPr>
            </w:pPr>
            <w:r w:rsidRPr="003A0120">
              <w:rPr>
                <w:rFonts w:ascii="Calibri" w:hAnsi="Calibri" w:cs="Calibri"/>
              </w:rPr>
              <w:t>(ii) service agreements;</w:t>
            </w:r>
          </w:p>
          <w:p w14:paraId="46F06081" w14:textId="5E22572E" w:rsidR="00FC08DA" w:rsidRPr="003A0120" w:rsidRDefault="00FC08DA" w:rsidP="00497EDC">
            <w:pPr>
              <w:pStyle w:val="Tablea"/>
              <w:rPr>
                <w:sz w:val="20"/>
              </w:rPr>
            </w:pPr>
            <w:r w:rsidRPr="003A0120">
              <w:rPr>
                <w:sz w:val="20"/>
              </w:rPr>
              <w:t>emergency assistance, including:</w:t>
            </w:r>
          </w:p>
          <w:p w14:paraId="0EB3227D" w14:textId="77777777" w:rsidR="00FC08DA" w:rsidRPr="003A0120" w:rsidRDefault="00FC08DA" w:rsidP="00BD3D05">
            <w:pPr>
              <w:pStyle w:val="Tablei"/>
              <w:rPr>
                <w:rFonts w:ascii="Calibri" w:hAnsi="Calibri" w:cs="Calibri"/>
              </w:rPr>
            </w:pPr>
            <w:r w:rsidRPr="003A0120">
              <w:rPr>
                <w:rFonts w:ascii="Calibri" w:hAnsi="Calibri" w:cs="Calibri"/>
              </w:rPr>
              <w:t>(i) at all times, having at least one suitable employee of the registered provider onsite and able to take action in an emergency;</w:t>
            </w:r>
          </w:p>
          <w:p w14:paraId="093EBEED" w14:textId="77777777" w:rsidR="00FC08DA" w:rsidRPr="003A0120" w:rsidRDefault="00FC08DA" w:rsidP="00BD3D05">
            <w:pPr>
              <w:pStyle w:val="Tablei"/>
              <w:rPr>
                <w:rFonts w:ascii="Calibri" w:hAnsi="Calibri" w:cs="Calibri"/>
              </w:rPr>
            </w:pPr>
            <w:r w:rsidRPr="003A0120">
              <w:rPr>
                <w:rFonts w:ascii="Calibri" w:hAnsi="Calibri" w:cs="Calibri"/>
              </w:rPr>
              <w:t>(ii) if an individual is in need of urgent medical attention—providing emergency assistance in accordance with the registered provider’s protocol for providing such assistance;</w:t>
            </w:r>
          </w:p>
          <w:p w14:paraId="472F2F56" w14:textId="77777777" w:rsidR="00FC08DA" w:rsidRPr="003A0120" w:rsidRDefault="00FC08DA" w:rsidP="00BD3D05">
            <w:pPr>
              <w:pStyle w:val="Tablei"/>
              <w:rPr>
                <w:rFonts w:ascii="Calibri" w:hAnsi="Calibri" w:cs="Calibri"/>
              </w:rPr>
            </w:pPr>
            <w:r w:rsidRPr="003A0120">
              <w:rPr>
                <w:rFonts w:ascii="Calibri" w:hAnsi="Calibri" w:cs="Calibri"/>
              </w:rPr>
              <w:t>(iii) activation of emergency plans in the case of fire, floods or other emergency;</w:t>
            </w:r>
          </w:p>
          <w:p w14:paraId="7837DAA5" w14:textId="77777777" w:rsidR="00FC08DA" w:rsidRPr="003A0120" w:rsidRDefault="00FC08DA" w:rsidP="00BD3D05">
            <w:pPr>
              <w:pStyle w:val="Tablei"/>
              <w:rPr>
                <w:rFonts w:ascii="Calibri" w:hAnsi="Calibri" w:cs="Calibri"/>
              </w:rPr>
            </w:pPr>
            <w:r w:rsidRPr="003A0120">
              <w:rPr>
                <w:rFonts w:ascii="Calibri" w:hAnsi="Calibri" w:cs="Calibri"/>
              </w:rPr>
              <w:t>(iv) contingency planning for emergencies;</w:t>
            </w:r>
          </w:p>
          <w:p w14:paraId="11CBD512" w14:textId="77777777" w:rsidR="00FC08DA" w:rsidRPr="003A0120" w:rsidRDefault="00FC08DA" w:rsidP="00BD3D05">
            <w:pPr>
              <w:pStyle w:val="Tablei"/>
              <w:rPr>
                <w:rFonts w:ascii="Calibri" w:hAnsi="Calibri" w:cs="Calibri"/>
              </w:rPr>
            </w:pPr>
            <w:r w:rsidRPr="003A0120">
              <w:rPr>
                <w:rFonts w:ascii="Calibri" w:hAnsi="Calibri" w:cs="Calibri"/>
              </w:rPr>
              <w:t>(v) staff training for emergencies</w:t>
            </w:r>
          </w:p>
        </w:tc>
      </w:tr>
      <w:tr w:rsidR="00FC08DA" w:rsidRPr="004636D4" w14:paraId="6A4F1771" w14:textId="77777777" w:rsidTr="00BD3D05">
        <w:tc>
          <w:tcPr>
            <w:tcW w:w="714" w:type="dxa"/>
          </w:tcPr>
          <w:p w14:paraId="182EC079"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691" w:type="dxa"/>
          </w:tcPr>
          <w:p w14:paraId="549AABC3" w14:textId="77777777" w:rsidR="00FC08DA" w:rsidRPr="003A0120" w:rsidRDefault="00FC08DA" w:rsidP="00BD3D05">
            <w:pPr>
              <w:pStyle w:val="Tabletext"/>
              <w:rPr>
                <w:rFonts w:ascii="Calibri" w:hAnsi="Calibri" w:cs="Calibri"/>
              </w:rPr>
            </w:pPr>
            <w:r w:rsidRPr="003A0120">
              <w:rPr>
                <w:rFonts w:ascii="Calibri" w:hAnsi="Calibri" w:cs="Calibri"/>
              </w:rPr>
              <w:t>Communication services</w:t>
            </w:r>
          </w:p>
        </w:tc>
        <w:tc>
          <w:tcPr>
            <w:tcW w:w="5907" w:type="dxa"/>
          </w:tcPr>
          <w:p w14:paraId="4CBC2E75" w14:textId="77777777" w:rsidR="00FC08DA" w:rsidRPr="003A0120" w:rsidRDefault="00FC08DA" w:rsidP="00BD3D05">
            <w:pPr>
              <w:pStyle w:val="Tabletext"/>
              <w:rPr>
                <w:rFonts w:ascii="Calibri" w:hAnsi="Calibri" w:cs="Calibri"/>
              </w:rPr>
            </w:pPr>
            <w:r w:rsidRPr="003A0120">
              <w:rPr>
                <w:rFonts w:ascii="Calibri" w:hAnsi="Calibri" w:cs="Calibri"/>
              </w:rPr>
              <w:t>Access for individuals to an external telecommunications mechanism in the residential care home (and in individual’s rooms if requested), such as telephone, internet or Wi</w:t>
            </w:r>
            <w:r w:rsidRPr="003A0120">
              <w:rPr>
                <w:rFonts w:ascii="Calibri" w:hAnsi="Calibri" w:cs="Calibri"/>
              </w:rPr>
              <w:noBreakHyphen/>
              <w:t>Fi services, but not including any usage charges or device costs</w:t>
            </w:r>
          </w:p>
        </w:tc>
      </w:tr>
      <w:tr w:rsidR="00FC08DA" w:rsidRPr="004636D4" w14:paraId="48F6D11A" w14:textId="77777777" w:rsidTr="00BD3D05">
        <w:tc>
          <w:tcPr>
            <w:tcW w:w="714" w:type="dxa"/>
          </w:tcPr>
          <w:p w14:paraId="77433B30" w14:textId="77777777" w:rsidR="00FC08DA" w:rsidRPr="003A0120" w:rsidRDefault="00FC08DA" w:rsidP="00BD3D05">
            <w:pPr>
              <w:pStyle w:val="Tabletext"/>
              <w:rPr>
                <w:rFonts w:ascii="Calibri" w:hAnsi="Calibri" w:cs="Calibri"/>
              </w:rPr>
            </w:pPr>
            <w:r w:rsidRPr="003A0120">
              <w:rPr>
                <w:rFonts w:ascii="Calibri" w:hAnsi="Calibri" w:cs="Calibri"/>
              </w:rPr>
              <w:t>3</w:t>
            </w:r>
          </w:p>
        </w:tc>
        <w:tc>
          <w:tcPr>
            <w:tcW w:w="1691" w:type="dxa"/>
          </w:tcPr>
          <w:p w14:paraId="6942AB47" w14:textId="77777777" w:rsidR="00FC08DA" w:rsidRPr="003A0120" w:rsidRDefault="00FC08DA" w:rsidP="00BD3D05">
            <w:pPr>
              <w:pStyle w:val="Tabletext"/>
              <w:rPr>
                <w:rFonts w:ascii="Calibri" w:hAnsi="Calibri" w:cs="Calibri"/>
              </w:rPr>
            </w:pPr>
            <w:r w:rsidRPr="003A0120">
              <w:rPr>
                <w:rFonts w:ascii="Calibri" w:hAnsi="Calibri" w:cs="Calibri"/>
              </w:rPr>
              <w:t>Utilities</w:t>
            </w:r>
          </w:p>
        </w:tc>
        <w:tc>
          <w:tcPr>
            <w:tcW w:w="5907" w:type="dxa"/>
          </w:tcPr>
          <w:p w14:paraId="3DB1B2F6"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652B5DFB" w14:textId="39C208D2" w:rsidR="00FC08DA" w:rsidRPr="003A0120" w:rsidRDefault="00FC08DA" w:rsidP="0050112F">
            <w:pPr>
              <w:pStyle w:val="Tablea"/>
              <w:numPr>
                <w:ilvl w:val="0"/>
                <w:numId w:val="91"/>
              </w:numPr>
              <w:rPr>
                <w:sz w:val="20"/>
              </w:rPr>
            </w:pPr>
            <w:r w:rsidRPr="003A0120">
              <w:rPr>
                <w:sz w:val="20"/>
              </w:rPr>
              <w:t>utility running costs for the residential care home (such as electricity, water and gas);</w:t>
            </w:r>
          </w:p>
          <w:p w14:paraId="4BC1657D" w14:textId="59D0DD49" w:rsidR="00FC08DA" w:rsidRPr="003A0120" w:rsidRDefault="00FC08DA" w:rsidP="00497EDC">
            <w:pPr>
              <w:pStyle w:val="Tablea"/>
              <w:rPr>
                <w:sz w:val="20"/>
              </w:rPr>
            </w:pPr>
            <w:r w:rsidRPr="003A0120">
              <w:rPr>
                <w:sz w:val="20"/>
              </w:rPr>
              <w:t>heating and cooling for bedrooms and common areas to a comfortable temperature;</w:t>
            </w:r>
          </w:p>
          <w:p w14:paraId="555F3730" w14:textId="32D3AEA6" w:rsidR="00FC08DA" w:rsidRPr="003A0120" w:rsidRDefault="00FC08DA" w:rsidP="00497EDC">
            <w:pPr>
              <w:pStyle w:val="Tablea"/>
              <w:rPr>
                <w:sz w:val="20"/>
              </w:rPr>
            </w:pPr>
            <w:r w:rsidRPr="003A0120">
              <w:rPr>
                <w:sz w:val="20"/>
              </w:rPr>
              <w:t>testing and tagging of all electrical equipment provided by the registered provider;</w:t>
            </w:r>
          </w:p>
          <w:p w14:paraId="40D510EB" w14:textId="77777777" w:rsidR="00FC08DA" w:rsidRPr="003A0120" w:rsidRDefault="00FC08DA" w:rsidP="00BD3D05">
            <w:pPr>
              <w:pStyle w:val="Tabletext"/>
              <w:rPr>
                <w:rFonts w:ascii="Calibri" w:hAnsi="Calibri" w:cs="Calibri"/>
              </w:rPr>
            </w:pPr>
            <w:r w:rsidRPr="003A0120">
              <w:rPr>
                <w:rFonts w:ascii="Calibri" w:hAnsi="Calibri" w:cs="Calibri"/>
              </w:rPr>
              <w:t>but not including electrical equipment brought into the residential care home by individuals</w:t>
            </w:r>
          </w:p>
        </w:tc>
      </w:tr>
      <w:tr w:rsidR="00FC08DA" w:rsidRPr="004636D4" w14:paraId="0D8B8550" w14:textId="77777777" w:rsidTr="00BD3D05">
        <w:tc>
          <w:tcPr>
            <w:tcW w:w="714" w:type="dxa"/>
          </w:tcPr>
          <w:p w14:paraId="3FC0A218"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691" w:type="dxa"/>
          </w:tcPr>
          <w:p w14:paraId="5C174FC7" w14:textId="77777777" w:rsidR="00FC08DA" w:rsidRPr="003A0120" w:rsidRDefault="00FC08DA" w:rsidP="00BD3D05">
            <w:pPr>
              <w:pStyle w:val="Tabletext"/>
              <w:rPr>
                <w:rFonts w:ascii="Calibri" w:hAnsi="Calibri" w:cs="Calibri"/>
              </w:rPr>
            </w:pPr>
            <w:r w:rsidRPr="003A0120">
              <w:rPr>
                <w:rFonts w:ascii="Calibri" w:hAnsi="Calibri" w:cs="Calibri"/>
              </w:rPr>
              <w:t>Cleaning services and waste disposal</w:t>
            </w:r>
          </w:p>
        </w:tc>
        <w:tc>
          <w:tcPr>
            <w:tcW w:w="5907" w:type="dxa"/>
          </w:tcPr>
          <w:p w14:paraId="055C7610"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72A0573" w14:textId="05EB08E3" w:rsidR="00FC08DA" w:rsidRPr="003A0120" w:rsidRDefault="00FC08DA" w:rsidP="0050112F">
            <w:pPr>
              <w:pStyle w:val="Tablea"/>
              <w:numPr>
                <w:ilvl w:val="0"/>
                <w:numId w:val="92"/>
              </w:numPr>
              <w:rPr>
                <w:sz w:val="20"/>
              </w:rPr>
            </w:pPr>
            <w:r w:rsidRPr="003A0120">
              <w:rPr>
                <w:sz w:val="20"/>
              </w:rPr>
              <w:t>cleanliness and tidiness of the entire residential care home, including the individual’s personal area unless the individual chooses to and is able to maintain their personal area themselves;</w:t>
            </w:r>
          </w:p>
          <w:p w14:paraId="321FEB1D" w14:textId="1E21D312" w:rsidR="00FC08DA" w:rsidRPr="003A0120" w:rsidRDefault="00FC08DA" w:rsidP="00497EDC">
            <w:pPr>
              <w:pStyle w:val="Tablea"/>
              <w:rPr>
                <w:sz w:val="20"/>
              </w:rPr>
            </w:pPr>
            <w:r w:rsidRPr="003A0120">
              <w:rPr>
                <w:sz w:val="20"/>
              </w:rPr>
              <w:t>safe disposal of organic and inorganic waste material</w:t>
            </w:r>
          </w:p>
        </w:tc>
      </w:tr>
      <w:tr w:rsidR="00FC08DA" w:rsidRPr="004636D4" w14:paraId="71ABCBA4" w14:textId="77777777" w:rsidTr="00BD3D05">
        <w:tc>
          <w:tcPr>
            <w:tcW w:w="714" w:type="dxa"/>
          </w:tcPr>
          <w:p w14:paraId="3C86165E"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691" w:type="dxa"/>
          </w:tcPr>
          <w:p w14:paraId="7F14F8D9" w14:textId="77777777" w:rsidR="00FC08DA" w:rsidRPr="003A0120" w:rsidRDefault="00FC08DA" w:rsidP="00BD3D05">
            <w:pPr>
              <w:pStyle w:val="Tabletext"/>
              <w:rPr>
                <w:rFonts w:ascii="Calibri" w:hAnsi="Calibri" w:cs="Calibri"/>
              </w:rPr>
            </w:pPr>
            <w:r w:rsidRPr="003A0120">
              <w:rPr>
                <w:rFonts w:ascii="Calibri" w:hAnsi="Calibri" w:cs="Calibri"/>
              </w:rPr>
              <w:t>Communal furnishings</w:t>
            </w:r>
          </w:p>
        </w:tc>
        <w:tc>
          <w:tcPr>
            <w:tcW w:w="5907" w:type="dxa"/>
          </w:tcPr>
          <w:p w14:paraId="629BA1D4" w14:textId="77777777" w:rsidR="00FC08DA" w:rsidRPr="003A0120" w:rsidRDefault="00FC08DA" w:rsidP="00BD3D05">
            <w:pPr>
              <w:pStyle w:val="Tabletext"/>
              <w:rPr>
                <w:rFonts w:ascii="Calibri" w:hAnsi="Calibri" w:cs="Calibri"/>
              </w:rPr>
            </w:pPr>
            <w:r w:rsidRPr="003A0120">
              <w:rPr>
                <w:rFonts w:ascii="Calibri" w:hAnsi="Calibri" w:cs="Calibri"/>
              </w:rPr>
              <w:t>Fit</w:t>
            </w:r>
            <w:r w:rsidRPr="003A0120">
              <w:rPr>
                <w:rFonts w:ascii="Calibri" w:hAnsi="Calibri" w:cs="Calibri"/>
              </w:rPr>
              <w:noBreakHyphen/>
              <w:t>for</w:t>
            </w:r>
            <w:r w:rsidRPr="003A0120">
              <w:rPr>
                <w:rFonts w:ascii="Calibri" w:hAnsi="Calibri" w:cs="Calibri"/>
              </w:rPr>
              <w:noBreakHyphen/>
              <w:t>purpose communal lounge and dining furniture, including the following:</w:t>
            </w:r>
          </w:p>
          <w:p w14:paraId="079C2BBE" w14:textId="4528949B" w:rsidR="00FC08DA" w:rsidRPr="003A0120" w:rsidRDefault="00FC08DA" w:rsidP="0050112F">
            <w:pPr>
              <w:pStyle w:val="Tablea"/>
              <w:numPr>
                <w:ilvl w:val="0"/>
                <w:numId w:val="93"/>
              </w:numPr>
              <w:rPr>
                <w:sz w:val="20"/>
              </w:rPr>
            </w:pPr>
            <w:r w:rsidRPr="003A0120">
              <w:rPr>
                <w:sz w:val="20"/>
              </w:rPr>
              <w:t>televisions;</w:t>
            </w:r>
          </w:p>
          <w:p w14:paraId="0D46D6D1" w14:textId="6A362FBC" w:rsidR="00FC08DA" w:rsidRPr="003A0120" w:rsidRDefault="00FC08DA" w:rsidP="00497EDC">
            <w:pPr>
              <w:pStyle w:val="Tablea"/>
              <w:rPr>
                <w:sz w:val="20"/>
              </w:rPr>
            </w:pPr>
            <w:r w:rsidRPr="003A0120">
              <w:rPr>
                <w:sz w:val="20"/>
              </w:rPr>
              <w:lastRenderedPageBreak/>
              <w:t>if the residential care home has a communal outdoor space—outdoor furniture</w:t>
            </w:r>
          </w:p>
        </w:tc>
      </w:tr>
      <w:tr w:rsidR="00FC08DA" w:rsidRPr="004636D4" w14:paraId="2BBAA6CA" w14:textId="77777777" w:rsidTr="00BD3D05">
        <w:tc>
          <w:tcPr>
            <w:tcW w:w="714" w:type="dxa"/>
          </w:tcPr>
          <w:p w14:paraId="66B049DD" w14:textId="77777777" w:rsidR="00FC08DA" w:rsidRPr="003A0120" w:rsidRDefault="00FC08DA" w:rsidP="00BD3D05">
            <w:pPr>
              <w:pStyle w:val="Tabletext"/>
              <w:rPr>
                <w:rFonts w:ascii="Calibri" w:hAnsi="Calibri" w:cs="Calibri"/>
              </w:rPr>
            </w:pPr>
            <w:r w:rsidRPr="003A0120">
              <w:rPr>
                <w:rFonts w:ascii="Calibri" w:hAnsi="Calibri" w:cs="Calibri"/>
              </w:rPr>
              <w:lastRenderedPageBreak/>
              <w:t>6</w:t>
            </w:r>
          </w:p>
        </w:tc>
        <w:tc>
          <w:tcPr>
            <w:tcW w:w="1691" w:type="dxa"/>
          </w:tcPr>
          <w:p w14:paraId="140E83B9" w14:textId="77777777" w:rsidR="00FC08DA" w:rsidRPr="003A0120" w:rsidRDefault="00FC08DA" w:rsidP="00BD3D05">
            <w:pPr>
              <w:pStyle w:val="Tabletext"/>
              <w:rPr>
                <w:rFonts w:ascii="Calibri" w:hAnsi="Calibri" w:cs="Calibri"/>
              </w:rPr>
            </w:pPr>
            <w:r w:rsidRPr="003A0120">
              <w:rPr>
                <w:rFonts w:ascii="Calibri" w:hAnsi="Calibri" w:cs="Calibri"/>
              </w:rPr>
              <w:t>Bedroom and bathroom furnishings</w:t>
            </w:r>
          </w:p>
        </w:tc>
        <w:tc>
          <w:tcPr>
            <w:tcW w:w="5907" w:type="dxa"/>
          </w:tcPr>
          <w:p w14:paraId="0BDFFAEB" w14:textId="77777777" w:rsidR="00FC08DA" w:rsidRPr="003A0120" w:rsidRDefault="00FC08DA" w:rsidP="00BD3D05">
            <w:pPr>
              <w:pStyle w:val="Tabletext"/>
              <w:rPr>
                <w:rFonts w:ascii="Calibri" w:hAnsi="Calibri" w:cs="Calibri"/>
              </w:rPr>
            </w:pPr>
            <w:r w:rsidRPr="003A0120">
              <w:rPr>
                <w:rFonts w:ascii="Calibri" w:hAnsi="Calibri" w:cs="Calibri"/>
              </w:rPr>
              <w:t>The following (other than bedroom and bathroom furnishings that are customised or that the individual chooses to provide):</w:t>
            </w:r>
          </w:p>
          <w:p w14:paraId="2AA9D161" w14:textId="2CE493BD" w:rsidR="00FC08DA" w:rsidRPr="003A0120" w:rsidRDefault="00FC08DA" w:rsidP="0050112F">
            <w:pPr>
              <w:pStyle w:val="Tablea"/>
              <w:numPr>
                <w:ilvl w:val="0"/>
                <w:numId w:val="94"/>
              </w:numPr>
              <w:rPr>
                <w:sz w:val="20"/>
              </w:rPr>
            </w:pPr>
            <w:r w:rsidRPr="003A0120">
              <w:rPr>
                <w:sz w:val="20"/>
              </w:rPr>
              <w:t>a bed and a mattress that meet the individual’s care, safety and comfort needs, including, if required, a bed that is adjustable to cater for the individual’s needs and accommodates the</w:t>
            </w:r>
            <w:r w:rsidRPr="003A0120" w:rsidDel="00271D1D">
              <w:rPr>
                <w:sz w:val="20"/>
              </w:rPr>
              <w:t xml:space="preserve"> </w:t>
            </w:r>
            <w:r w:rsidRPr="003A0120">
              <w:rPr>
                <w:sz w:val="20"/>
              </w:rPr>
              <w:t>individual’s height and weight;</w:t>
            </w:r>
          </w:p>
          <w:p w14:paraId="4FD23F11" w14:textId="73008247" w:rsidR="00FC08DA" w:rsidRPr="003A0120" w:rsidRDefault="00FC08DA" w:rsidP="00497EDC">
            <w:pPr>
              <w:pStyle w:val="Tablea"/>
              <w:rPr>
                <w:sz w:val="20"/>
              </w:rPr>
            </w:pPr>
            <w:r w:rsidRPr="003A0120">
              <w:rPr>
                <w:sz w:val="20"/>
              </w:rPr>
              <w:t>equipment or technologies used to ensure the safety of the individual in bed and to avoid injury to the individual and to aged care workers;</w:t>
            </w:r>
          </w:p>
          <w:p w14:paraId="4FCA5E4B" w14:textId="7BD2203E" w:rsidR="00FC08DA" w:rsidRPr="003A0120" w:rsidRDefault="00FC08DA" w:rsidP="00497EDC">
            <w:pPr>
              <w:pStyle w:val="Tablea"/>
              <w:rPr>
                <w:sz w:val="20"/>
              </w:rPr>
            </w:pPr>
            <w:r w:rsidRPr="003A0120">
              <w:rPr>
                <w:sz w:val="20"/>
              </w:rPr>
              <w:t>pillows (including, if required, pressure cushions, tri pillows and wedge pillows);</w:t>
            </w:r>
          </w:p>
          <w:p w14:paraId="21904B66" w14:textId="765148A6" w:rsidR="00FC08DA" w:rsidRPr="003A0120" w:rsidRDefault="00FC08DA" w:rsidP="00497EDC">
            <w:pPr>
              <w:pStyle w:val="Tablea"/>
              <w:rPr>
                <w:sz w:val="20"/>
              </w:rPr>
            </w:pPr>
            <w:r w:rsidRPr="003A0120">
              <w:rPr>
                <w:sz w:val="20"/>
              </w:rPr>
              <w:t>a bedside table, bedside locker or bedside chest of drawers, wardrobe space, draw screens (for shared rooms), a visitor chair (if required) and an over bed table (if required);</w:t>
            </w:r>
          </w:p>
          <w:p w14:paraId="37A94DF7" w14:textId="643293AC" w:rsidR="00FC08DA" w:rsidRPr="003A0120" w:rsidRDefault="00FC08DA" w:rsidP="00497EDC">
            <w:pPr>
              <w:pStyle w:val="Tablea"/>
              <w:rPr>
                <w:sz w:val="20"/>
              </w:rPr>
            </w:pPr>
            <w:r w:rsidRPr="003A0120">
              <w:rPr>
                <w:sz w:val="20"/>
              </w:rPr>
              <w:t>a fixture or item of furniture where the individual can safely lock and store valuables, if this is not provided by the furniture items mentioned in paragraph (d);</w:t>
            </w:r>
          </w:p>
          <w:p w14:paraId="7520C243" w14:textId="1022479E" w:rsidR="00FC08DA" w:rsidRPr="003A0120" w:rsidRDefault="00FC08DA" w:rsidP="00497EDC">
            <w:pPr>
              <w:pStyle w:val="Tablea"/>
              <w:rPr>
                <w:sz w:val="20"/>
              </w:rPr>
            </w:pPr>
            <w:r w:rsidRPr="003A0120">
              <w:rPr>
                <w:sz w:val="20"/>
              </w:rPr>
              <w:t>a chair, with arms, that meets the individual’s care, safety and comfort needs, including, if required, a chair with particular features, such as an air, water or gel chair;</w:t>
            </w:r>
          </w:p>
          <w:p w14:paraId="04C973C3" w14:textId="5DBC5D72" w:rsidR="00FC08DA" w:rsidRPr="003A0120" w:rsidRDefault="00FC08DA" w:rsidP="00497EDC">
            <w:pPr>
              <w:pStyle w:val="Tablea"/>
              <w:rPr>
                <w:sz w:val="20"/>
              </w:rPr>
            </w:pPr>
            <w:r w:rsidRPr="003A0120">
              <w:rPr>
                <w:sz w:val="20"/>
              </w:rPr>
              <w:t>a shower chair (if required), containers for personal laundry, and waste collection containers or bins for bedrooms and bathrooms;</w:t>
            </w:r>
          </w:p>
          <w:p w14:paraId="3F6AB736" w14:textId="1667278C" w:rsidR="00FC08DA" w:rsidRPr="003A0120" w:rsidRDefault="00FC08DA" w:rsidP="00497EDC">
            <w:pPr>
              <w:pStyle w:val="Tablea"/>
              <w:rPr>
                <w:sz w:val="20"/>
              </w:rPr>
            </w:pPr>
            <w:r w:rsidRPr="003A0120">
              <w:rPr>
                <w:sz w:val="20"/>
              </w:rPr>
              <w:t xml:space="preserve">bed linen, blankets or doonas, </w:t>
            </w:r>
            <w:r w:rsidRPr="003A0120">
              <w:rPr>
                <w:rFonts w:eastAsia="Calibri"/>
                <w:sz w:val="20"/>
              </w:rPr>
              <w:t xml:space="preserve">air or ripple mattresses (if required), </w:t>
            </w:r>
            <w:r w:rsidRPr="003A0120">
              <w:rPr>
                <w:sz w:val="20"/>
              </w:rPr>
              <w:t>absorbent or waterproof covers, sheeting and bed pads (if required), bath towels, hand towels and face washers;</w:t>
            </w:r>
          </w:p>
          <w:p w14:paraId="7C03755F" w14:textId="3342CB8E" w:rsidR="00FC08DA" w:rsidRPr="003A0120" w:rsidRDefault="00FC08DA" w:rsidP="00497EDC">
            <w:pPr>
              <w:pStyle w:val="Tablea"/>
              <w:rPr>
                <w:sz w:val="20"/>
              </w:rPr>
            </w:pPr>
            <w:r w:rsidRPr="003A0120">
              <w:rPr>
                <w:sz w:val="20"/>
              </w:rPr>
              <w:t>laundering of all products mentioned in paragraph (h)</w:t>
            </w:r>
          </w:p>
        </w:tc>
      </w:tr>
      <w:tr w:rsidR="00FC08DA" w:rsidRPr="004636D4" w14:paraId="4C78F83B" w14:textId="77777777" w:rsidTr="00BD3D05">
        <w:tc>
          <w:tcPr>
            <w:tcW w:w="714" w:type="dxa"/>
          </w:tcPr>
          <w:p w14:paraId="329D4ECD" w14:textId="77777777" w:rsidR="00FC08DA" w:rsidRPr="003A0120" w:rsidRDefault="00FC08DA" w:rsidP="00BD3D05">
            <w:pPr>
              <w:pStyle w:val="Tabletext"/>
              <w:rPr>
                <w:rFonts w:ascii="Calibri" w:hAnsi="Calibri" w:cs="Calibri"/>
              </w:rPr>
            </w:pPr>
            <w:r w:rsidRPr="003A0120">
              <w:rPr>
                <w:rFonts w:ascii="Calibri" w:hAnsi="Calibri" w:cs="Calibri"/>
              </w:rPr>
              <w:t>7</w:t>
            </w:r>
          </w:p>
        </w:tc>
        <w:tc>
          <w:tcPr>
            <w:tcW w:w="1691" w:type="dxa"/>
          </w:tcPr>
          <w:p w14:paraId="57E4E9E2" w14:textId="77777777" w:rsidR="00FC08DA" w:rsidRPr="003A0120" w:rsidRDefault="00FC08DA" w:rsidP="00BD3D05">
            <w:pPr>
              <w:pStyle w:val="Tabletext"/>
              <w:rPr>
                <w:rFonts w:ascii="Calibri" w:hAnsi="Calibri" w:cs="Calibri"/>
              </w:rPr>
            </w:pPr>
            <w:r w:rsidRPr="003A0120">
              <w:rPr>
                <w:rFonts w:ascii="Calibri" w:hAnsi="Calibri" w:cs="Calibri"/>
              </w:rPr>
              <w:t>Toiletry goods</w:t>
            </w:r>
          </w:p>
        </w:tc>
        <w:tc>
          <w:tcPr>
            <w:tcW w:w="5907" w:type="dxa"/>
          </w:tcPr>
          <w:p w14:paraId="03ED7406" w14:textId="77777777" w:rsidR="00FC08DA" w:rsidRPr="003A0120" w:rsidRDefault="00FC08DA" w:rsidP="00BD3D05">
            <w:pPr>
              <w:pStyle w:val="Tabletext"/>
              <w:rPr>
                <w:rFonts w:ascii="Calibri" w:hAnsi="Calibri" w:cs="Calibri"/>
              </w:rPr>
            </w:pPr>
            <w:r w:rsidRPr="003A0120">
              <w:rPr>
                <w:rFonts w:ascii="Calibri" w:hAnsi="Calibri" w:cs="Calibri"/>
                <w:bCs/>
              </w:rPr>
              <w:t>The supply of the following goods (or substitutes if needed to meet the individual’s medical needs, including specialist products for conditions such as dermatitis) but not including alternative items requested on the basis of the individual’s personal preferences</w:t>
            </w:r>
            <w:r w:rsidRPr="003A0120">
              <w:rPr>
                <w:rFonts w:ascii="Calibri" w:hAnsi="Calibri" w:cs="Calibri"/>
              </w:rPr>
              <w:t>:</w:t>
            </w:r>
          </w:p>
          <w:p w14:paraId="4788B364" w14:textId="3190ABDD" w:rsidR="00FC08DA" w:rsidRPr="003A0120" w:rsidRDefault="00FC08DA" w:rsidP="0050112F">
            <w:pPr>
              <w:pStyle w:val="Tablea"/>
              <w:numPr>
                <w:ilvl w:val="0"/>
                <w:numId w:val="95"/>
              </w:numPr>
              <w:rPr>
                <w:sz w:val="20"/>
              </w:rPr>
            </w:pPr>
            <w:r w:rsidRPr="003A0120">
              <w:rPr>
                <w:sz w:val="20"/>
              </w:rPr>
              <w:t>facial cleanser (or alternatives such as facial wipes), shower gel or soap, shower caps, shampoo and conditioner;</w:t>
            </w:r>
          </w:p>
          <w:p w14:paraId="6256D96B" w14:textId="1DAE5C89" w:rsidR="00FC08DA" w:rsidRPr="003A0120" w:rsidRDefault="00FC08DA" w:rsidP="00497EDC">
            <w:pPr>
              <w:pStyle w:val="Tablea"/>
              <w:rPr>
                <w:sz w:val="20"/>
              </w:rPr>
            </w:pPr>
            <w:r w:rsidRPr="003A0120">
              <w:rPr>
                <w:sz w:val="20"/>
              </w:rPr>
              <w:t>toothpaste, toothbrushes and mouthwash;</w:t>
            </w:r>
          </w:p>
          <w:p w14:paraId="38DFD2C3" w14:textId="563C1441" w:rsidR="00FC08DA" w:rsidRPr="003A0120" w:rsidRDefault="00FC08DA" w:rsidP="00497EDC">
            <w:pPr>
              <w:pStyle w:val="Tablea"/>
              <w:rPr>
                <w:sz w:val="20"/>
              </w:rPr>
            </w:pPr>
            <w:r w:rsidRPr="003A0120">
              <w:rPr>
                <w:sz w:val="20"/>
              </w:rPr>
              <w:t>hairbrush or comb, shaving cream and disposable razors;</w:t>
            </w:r>
          </w:p>
          <w:p w14:paraId="7DA54419" w14:textId="2FF9A1A9" w:rsidR="00FC08DA" w:rsidRPr="003A0120" w:rsidRDefault="00FC08DA" w:rsidP="00497EDC">
            <w:pPr>
              <w:pStyle w:val="Tablea"/>
              <w:rPr>
                <w:sz w:val="20"/>
              </w:rPr>
            </w:pPr>
            <w:r w:rsidRPr="003A0120">
              <w:rPr>
                <w:sz w:val="20"/>
              </w:rPr>
              <w:t>tissues and toilet paper;</w:t>
            </w:r>
          </w:p>
          <w:p w14:paraId="48327B4D" w14:textId="5CE1E500" w:rsidR="00FC08DA" w:rsidRPr="003A0120" w:rsidRDefault="00FC08DA" w:rsidP="00497EDC">
            <w:pPr>
              <w:pStyle w:val="Tablea"/>
              <w:rPr>
                <w:sz w:val="20"/>
              </w:rPr>
            </w:pPr>
            <w:r w:rsidRPr="003A0120">
              <w:rPr>
                <w:sz w:val="20"/>
              </w:rPr>
              <w:t>moisturiser and deodorant;</w:t>
            </w:r>
          </w:p>
          <w:p w14:paraId="53B11B81" w14:textId="7440822A" w:rsidR="00FC08DA" w:rsidRPr="003A0120" w:rsidRDefault="00FC08DA" w:rsidP="00497EDC">
            <w:pPr>
              <w:pStyle w:val="Tablea"/>
              <w:rPr>
                <w:sz w:val="20"/>
              </w:rPr>
            </w:pPr>
            <w:r w:rsidRPr="003A0120">
              <w:rPr>
                <w:sz w:val="20"/>
              </w:rPr>
              <w:t>cleaning products for dentures, hearing aids, glasses and artificial limbs (and their storage containers)</w:t>
            </w:r>
          </w:p>
        </w:tc>
      </w:tr>
      <w:tr w:rsidR="00FC08DA" w:rsidRPr="004636D4" w14:paraId="2FE162CC" w14:textId="77777777" w:rsidTr="00BD3D05">
        <w:tc>
          <w:tcPr>
            <w:tcW w:w="714" w:type="dxa"/>
            <w:tcBorders>
              <w:bottom w:val="single" w:sz="2" w:space="0" w:color="auto"/>
            </w:tcBorders>
          </w:tcPr>
          <w:p w14:paraId="57D7DD81" w14:textId="77777777" w:rsidR="00FC08DA" w:rsidRPr="003A0120" w:rsidRDefault="00FC08DA" w:rsidP="00BD3D05">
            <w:pPr>
              <w:pStyle w:val="Tabletext"/>
              <w:rPr>
                <w:rFonts w:ascii="Calibri" w:hAnsi="Calibri" w:cs="Calibri"/>
              </w:rPr>
            </w:pPr>
            <w:r w:rsidRPr="003A0120">
              <w:rPr>
                <w:rFonts w:ascii="Calibri" w:hAnsi="Calibri" w:cs="Calibri"/>
              </w:rPr>
              <w:t>8</w:t>
            </w:r>
          </w:p>
        </w:tc>
        <w:tc>
          <w:tcPr>
            <w:tcW w:w="1691" w:type="dxa"/>
            <w:tcBorders>
              <w:bottom w:val="single" w:sz="2" w:space="0" w:color="auto"/>
            </w:tcBorders>
          </w:tcPr>
          <w:p w14:paraId="0F597130" w14:textId="77777777" w:rsidR="00FC08DA" w:rsidRPr="003A0120" w:rsidRDefault="00FC08DA" w:rsidP="00BD3D05">
            <w:pPr>
              <w:pStyle w:val="Tabletext"/>
              <w:rPr>
                <w:rFonts w:ascii="Calibri" w:hAnsi="Calibri" w:cs="Calibri"/>
              </w:rPr>
            </w:pPr>
            <w:r w:rsidRPr="003A0120">
              <w:rPr>
                <w:rFonts w:ascii="Calibri" w:hAnsi="Calibri" w:cs="Calibri"/>
              </w:rPr>
              <w:t>Personal laundry</w:t>
            </w:r>
          </w:p>
        </w:tc>
        <w:tc>
          <w:tcPr>
            <w:tcW w:w="5907" w:type="dxa"/>
            <w:tcBorders>
              <w:bottom w:val="single" w:sz="2" w:space="0" w:color="auto"/>
            </w:tcBorders>
          </w:tcPr>
          <w:p w14:paraId="7557F150"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9D170B7" w14:textId="37099F21" w:rsidR="00FC08DA" w:rsidRPr="003A0120" w:rsidRDefault="00FC08DA" w:rsidP="0050112F">
            <w:pPr>
              <w:pStyle w:val="Tablea"/>
              <w:numPr>
                <w:ilvl w:val="0"/>
                <w:numId w:val="96"/>
              </w:numPr>
              <w:rPr>
                <w:sz w:val="20"/>
              </w:rPr>
            </w:pPr>
            <w:r w:rsidRPr="003A0120">
              <w:rPr>
                <w:sz w:val="20"/>
              </w:rPr>
              <w:t>laundering</w:t>
            </w:r>
            <w:r w:rsidRPr="003A0120">
              <w:rPr>
                <w:sz w:val="20"/>
                <w:lang w:eastAsia="en-US"/>
              </w:rPr>
              <w:t xml:space="preserve"> (other than by a special cleaning process such as dry cleaning or hand washing)</w:t>
            </w:r>
            <w:r w:rsidRPr="003A0120">
              <w:rPr>
                <w:sz w:val="20"/>
              </w:rPr>
              <w:t xml:space="preserve"> items that can be machine washed, using laundry detergents that meet the individual’s medical needs, such as skin sensitivities;</w:t>
            </w:r>
          </w:p>
          <w:p w14:paraId="02DDF0A1" w14:textId="78942C05" w:rsidR="00FC08DA" w:rsidRPr="003A0120" w:rsidRDefault="00FC08DA" w:rsidP="00497EDC">
            <w:pPr>
              <w:pStyle w:val="Tablea"/>
              <w:rPr>
                <w:sz w:val="20"/>
              </w:rPr>
            </w:pPr>
            <w:r w:rsidRPr="003A0120">
              <w:rPr>
                <w:sz w:val="20"/>
              </w:rPr>
              <w:t>if requested, ironing of machine washed clothes (other than</w:t>
            </w:r>
            <w:r w:rsidRPr="003A0120">
              <w:rPr>
                <w:sz w:val="20"/>
                <w:lang w:eastAsia="en-US"/>
              </w:rPr>
              <w:t xml:space="preserve"> underwear and socks)</w:t>
            </w:r>
            <w:r w:rsidRPr="003A0120">
              <w:rPr>
                <w:sz w:val="20"/>
              </w:rPr>
              <w:t>;</w:t>
            </w:r>
          </w:p>
          <w:p w14:paraId="1765034B" w14:textId="6769BF3D" w:rsidR="00FC08DA" w:rsidRPr="003A0120" w:rsidRDefault="00FC08DA" w:rsidP="00497EDC">
            <w:pPr>
              <w:pStyle w:val="Tablea"/>
              <w:rPr>
                <w:sz w:val="20"/>
              </w:rPr>
            </w:pPr>
            <w:r w:rsidRPr="003A0120">
              <w:rPr>
                <w:sz w:val="20"/>
              </w:rPr>
              <w:lastRenderedPageBreak/>
              <w:t>a labelling system for the individual’s clothing, but not including alternate labelling systems requested on the basis of the individual’s personal preferences;</w:t>
            </w:r>
          </w:p>
          <w:p w14:paraId="193C0D92" w14:textId="63010A67" w:rsidR="00FC08DA" w:rsidRPr="003A0120" w:rsidRDefault="00FC08DA" w:rsidP="00497EDC">
            <w:pPr>
              <w:pStyle w:val="Tablea"/>
              <w:rPr>
                <w:sz w:val="20"/>
              </w:rPr>
            </w:pPr>
            <w:r w:rsidRPr="003A0120">
              <w:rPr>
                <w:sz w:val="20"/>
              </w:rPr>
              <w:t xml:space="preserve"> r</w:t>
            </w:r>
            <w:r w:rsidRPr="003A0120">
              <w:rPr>
                <w:rFonts w:eastAsia="Calibri"/>
                <w:sz w:val="20"/>
              </w:rPr>
              <w:t>eturn of personal laundry to the individual’s clothing storage space</w:t>
            </w:r>
          </w:p>
        </w:tc>
      </w:tr>
      <w:tr w:rsidR="00FC08DA" w:rsidRPr="004636D4" w14:paraId="754D44EB" w14:textId="77777777" w:rsidTr="00BD3D05">
        <w:tc>
          <w:tcPr>
            <w:tcW w:w="714" w:type="dxa"/>
            <w:tcBorders>
              <w:top w:val="single" w:sz="2" w:space="0" w:color="auto"/>
              <w:bottom w:val="single" w:sz="12" w:space="0" w:color="auto"/>
            </w:tcBorders>
          </w:tcPr>
          <w:p w14:paraId="7497EDE5" w14:textId="77777777" w:rsidR="00FC08DA" w:rsidRPr="003A0120" w:rsidRDefault="00FC08DA" w:rsidP="00BD3D05">
            <w:pPr>
              <w:pStyle w:val="Tabletext"/>
              <w:rPr>
                <w:rFonts w:ascii="Calibri" w:hAnsi="Calibri" w:cs="Calibri"/>
              </w:rPr>
            </w:pPr>
            <w:r w:rsidRPr="003A0120">
              <w:rPr>
                <w:rFonts w:ascii="Calibri" w:hAnsi="Calibri" w:cs="Calibri"/>
              </w:rPr>
              <w:lastRenderedPageBreak/>
              <w:t>9</w:t>
            </w:r>
          </w:p>
        </w:tc>
        <w:tc>
          <w:tcPr>
            <w:tcW w:w="1691" w:type="dxa"/>
            <w:tcBorders>
              <w:top w:val="single" w:sz="2" w:space="0" w:color="auto"/>
              <w:bottom w:val="single" w:sz="12" w:space="0" w:color="auto"/>
            </w:tcBorders>
          </w:tcPr>
          <w:p w14:paraId="038E5678" w14:textId="77777777" w:rsidR="00FC08DA" w:rsidRPr="003A0120" w:rsidRDefault="00FC08DA" w:rsidP="00BD3D05">
            <w:pPr>
              <w:pStyle w:val="Tabletext"/>
              <w:rPr>
                <w:rFonts w:ascii="Calibri" w:hAnsi="Calibri" w:cs="Calibri"/>
              </w:rPr>
            </w:pPr>
            <w:r w:rsidRPr="003A0120">
              <w:rPr>
                <w:rFonts w:ascii="Calibri" w:hAnsi="Calibri" w:cs="Calibri"/>
              </w:rPr>
              <w:t>Meals and refreshments</w:t>
            </w:r>
          </w:p>
        </w:tc>
        <w:tc>
          <w:tcPr>
            <w:tcW w:w="5907" w:type="dxa"/>
            <w:tcBorders>
              <w:top w:val="single" w:sz="2" w:space="0" w:color="auto"/>
              <w:bottom w:val="single" w:sz="12" w:space="0" w:color="auto"/>
            </w:tcBorders>
          </w:tcPr>
          <w:p w14:paraId="0697D8D8"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A668022" w14:textId="5C8464E6" w:rsidR="00FC08DA" w:rsidRPr="003A0120" w:rsidRDefault="00FC08DA" w:rsidP="0050112F">
            <w:pPr>
              <w:pStyle w:val="Tablea"/>
              <w:numPr>
                <w:ilvl w:val="0"/>
                <w:numId w:val="97"/>
              </w:numPr>
              <w:rPr>
                <w:sz w:val="20"/>
              </w:rPr>
            </w:pPr>
            <w:r w:rsidRPr="003A0120">
              <w:rPr>
                <w:sz w:val="20"/>
              </w:rPr>
              <w:t>at least 3 meals served each day (including the option of dessert with either lunch or dinner) plus morning tea, afternoon tea and supper, of adequate variety, quality and quantity to meet the individual’s nutritional and hydration needs;</w:t>
            </w:r>
          </w:p>
          <w:p w14:paraId="4131A37F" w14:textId="77777777" w:rsidR="00FC08DA" w:rsidRPr="003A0120" w:rsidRDefault="00FC08DA" w:rsidP="00497EDC">
            <w:pPr>
              <w:pStyle w:val="Tablea"/>
              <w:rPr>
                <w:sz w:val="20"/>
              </w:rPr>
            </w:pPr>
            <w:r w:rsidRPr="003A0120">
              <w:rPr>
                <w:sz w:val="20"/>
              </w:rPr>
              <w:t>special diets where required to meet the individual’s medical, cultural or religious needs, including but not limited to enteral feeding, nutritional supplements, texture modified meals and thickened fluids, diets to address food allergies and intolerances, and vegetarian, vegan, kosher and halal diets (but not for meeting the individual’s social preferences on food source such as non</w:t>
            </w:r>
            <w:r w:rsidRPr="003A0120">
              <w:rPr>
                <w:sz w:val="20"/>
              </w:rPr>
              <w:noBreakHyphen/>
              <w:t>genetically modified and organic);</w:t>
            </w:r>
          </w:p>
          <w:p w14:paraId="6BB45634" w14:textId="118A2B7C" w:rsidR="00FC08DA" w:rsidRPr="003A0120" w:rsidRDefault="00FC08DA" w:rsidP="00497EDC">
            <w:pPr>
              <w:pStyle w:val="Tablea"/>
              <w:rPr>
                <w:sz w:val="20"/>
              </w:rPr>
            </w:pPr>
            <w:r w:rsidRPr="003A0120">
              <w:rPr>
                <w:sz w:val="20"/>
              </w:rPr>
              <w:t>reasonable flexibility in mealtimes, if requested, so the individual can exercise choice;</w:t>
            </w:r>
          </w:p>
          <w:p w14:paraId="005BF2C5" w14:textId="1C646E02" w:rsidR="00FC08DA" w:rsidRPr="003A0120" w:rsidRDefault="00FC08DA" w:rsidP="00497EDC">
            <w:pPr>
              <w:pStyle w:val="Tablea"/>
              <w:rPr>
                <w:sz w:val="20"/>
              </w:rPr>
            </w:pPr>
            <w:r w:rsidRPr="003A0120">
              <w:rPr>
                <w:sz w:val="20"/>
              </w:rPr>
              <w:t>a variety of non</w:t>
            </w:r>
            <w:r w:rsidRPr="003A0120">
              <w:rPr>
                <w:sz w:val="20"/>
              </w:rPr>
              <w:noBreakHyphen/>
              <w:t>alcoholic beverages available at all times (such as water, milk, fruit juice, tea and coffee);</w:t>
            </w:r>
          </w:p>
          <w:p w14:paraId="627D1601" w14:textId="23DC9BC5" w:rsidR="00FC08DA" w:rsidRPr="003A0120" w:rsidRDefault="00FC08DA" w:rsidP="00497EDC">
            <w:pPr>
              <w:pStyle w:val="Tablea"/>
              <w:rPr>
                <w:sz w:val="20"/>
              </w:rPr>
            </w:pPr>
            <w:r w:rsidRPr="003A0120">
              <w:rPr>
                <w:sz w:val="20"/>
              </w:rPr>
              <w:t>eating and drinking utensils and eating aids if needed;</w:t>
            </w:r>
          </w:p>
          <w:p w14:paraId="73C2052B" w14:textId="6F957D8C" w:rsidR="00FC08DA" w:rsidRPr="003A0120" w:rsidRDefault="00FC08DA" w:rsidP="00497EDC">
            <w:pPr>
              <w:pStyle w:val="Tablea"/>
              <w:rPr>
                <w:sz w:val="20"/>
              </w:rPr>
            </w:pPr>
            <w:r w:rsidRPr="003A0120">
              <w:rPr>
                <w:sz w:val="20"/>
              </w:rPr>
              <w:t>snack foods of adequate variety, including fruit and options suitable for texture modified diets, available at all times in the residential care home</w:t>
            </w:r>
          </w:p>
        </w:tc>
      </w:tr>
    </w:tbl>
    <w:p w14:paraId="03F7406E" w14:textId="5137AD64" w:rsidR="00FC08DA" w:rsidRPr="003A0120" w:rsidRDefault="00FC08DA" w:rsidP="007B7277">
      <w:pPr>
        <w:rPr>
          <w:rFonts w:cs="Calibri"/>
        </w:rPr>
      </w:pPr>
      <w:r w:rsidRPr="007B7277">
        <w:rPr>
          <w:b/>
          <w:bCs/>
          <w:sz w:val="22"/>
          <w:szCs w:val="22"/>
        </w:rPr>
        <w:t>8</w:t>
      </w:r>
      <w:r w:rsidRPr="007B7277">
        <w:rPr>
          <w:b/>
          <w:bCs/>
          <w:sz w:val="22"/>
          <w:szCs w:val="22"/>
        </w:rPr>
        <w:noBreakHyphen/>
        <w:t>150 Residential non</w:t>
      </w:r>
      <w:r w:rsidRPr="007B7277">
        <w:rPr>
          <w:b/>
          <w:bCs/>
          <w:sz w:val="22"/>
          <w:szCs w:val="22"/>
        </w:rPr>
        <w:noBreakHyphen/>
        <w:t>clinical care</w:t>
      </w:r>
    </w:p>
    <w:p w14:paraId="31550A63" w14:textId="22999DDF"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non</w:t>
      </w:r>
      <w:r w:rsidRPr="003A0120">
        <w:rPr>
          <w:rFonts w:cs="Calibri"/>
          <w:sz w:val="20"/>
        </w:rPr>
        <w:noBreakHyphen/>
        <w:t>clinical care.</w:t>
      </w:r>
    </w:p>
    <w:p w14:paraId="0A79492E" w14:textId="77777777" w:rsidR="0007229E" w:rsidRPr="003A0120" w:rsidRDefault="0007229E"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5765"/>
      </w:tblGrid>
      <w:tr w:rsidR="00FC08DA" w:rsidRPr="004636D4" w14:paraId="07951D74" w14:textId="77777777" w:rsidTr="00BD3D05">
        <w:trPr>
          <w:tblHeader/>
        </w:trPr>
        <w:tc>
          <w:tcPr>
            <w:tcW w:w="8312" w:type="dxa"/>
            <w:gridSpan w:val="3"/>
            <w:tcBorders>
              <w:top w:val="single" w:sz="12" w:space="0" w:color="auto"/>
              <w:bottom w:val="single" w:sz="6" w:space="0" w:color="auto"/>
            </w:tcBorders>
          </w:tcPr>
          <w:p w14:paraId="267C3F4C"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non</w:t>
            </w:r>
            <w:r w:rsidRPr="003A0120">
              <w:rPr>
                <w:rFonts w:ascii="Calibri" w:hAnsi="Calibri" w:cs="Calibri"/>
              </w:rPr>
              <w:noBreakHyphen/>
              <w:t>clinical care</w:t>
            </w:r>
          </w:p>
        </w:tc>
      </w:tr>
      <w:tr w:rsidR="00FC08DA" w:rsidRPr="004636D4" w14:paraId="5B8DED80" w14:textId="77777777" w:rsidTr="00BD3D05">
        <w:trPr>
          <w:tblHeader/>
        </w:trPr>
        <w:tc>
          <w:tcPr>
            <w:tcW w:w="714" w:type="dxa"/>
            <w:tcBorders>
              <w:top w:val="single" w:sz="6" w:space="0" w:color="auto"/>
              <w:bottom w:val="single" w:sz="12" w:space="0" w:color="auto"/>
            </w:tcBorders>
          </w:tcPr>
          <w:p w14:paraId="7E97B29E"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833" w:type="dxa"/>
            <w:tcBorders>
              <w:top w:val="single" w:sz="6" w:space="0" w:color="auto"/>
              <w:bottom w:val="single" w:sz="12" w:space="0" w:color="auto"/>
            </w:tcBorders>
          </w:tcPr>
          <w:p w14:paraId="1CAC628B"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1C4D2DD0"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5765" w:type="dxa"/>
            <w:tcBorders>
              <w:top w:val="single" w:sz="6" w:space="0" w:color="auto"/>
              <w:bottom w:val="single" w:sz="12" w:space="0" w:color="auto"/>
            </w:tcBorders>
          </w:tcPr>
          <w:p w14:paraId="57E34AB2"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45B5691A"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4F0EF65F" w14:textId="77777777" w:rsidTr="00BD3D05">
        <w:tc>
          <w:tcPr>
            <w:tcW w:w="714" w:type="dxa"/>
            <w:tcBorders>
              <w:top w:val="single" w:sz="12" w:space="0" w:color="auto"/>
            </w:tcBorders>
          </w:tcPr>
          <w:p w14:paraId="6EDD2648"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833" w:type="dxa"/>
            <w:tcBorders>
              <w:top w:val="single" w:sz="12" w:space="0" w:color="auto"/>
            </w:tcBorders>
          </w:tcPr>
          <w:p w14:paraId="35128FBE" w14:textId="77777777" w:rsidR="00FC08DA" w:rsidRPr="003A0120" w:rsidRDefault="00FC08DA" w:rsidP="00BD3D05">
            <w:pPr>
              <w:pStyle w:val="Tabletext"/>
              <w:rPr>
                <w:rFonts w:ascii="Calibri" w:hAnsi="Calibri" w:cs="Calibri"/>
              </w:rPr>
            </w:pPr>
            <w:r w:rsidRPr="003A0120">
              <w:rPr>
                <w:rFonts w:ascii="Calibri" w:hAnsi="Calibri" w:cs="Calibri"/>
              </w:rPr>
              <w:t>Care and services administration</w:t>
            </w:r>
          </w:p>
        </w:tc>
        <w:tc>
          <w:tcPr>
            <w:tcW w:w="5765" w:type="dxa"/>
            <w:tcBorders>
              <w:top w:val="single" w:sz="12" w:space="0" w:color="auto"/>
            </w:tcBorders>
          </w:tcPr>
          <w:p w14:paraId="242141F8" w14:textId="77777777" w:rsidR="00FC08DA" w:rsidRPr="003A0120" w:rsidRDefault="00FC08DA" w:rsidP="00BD3D05">
            <w:pPr>
              <w:pStyle w:val="Tabletext"/>
              <w:rPr>
                <w:rFonts w:ascii="Calibri" w:hAnsi="Calibri" w:cs="Calibri"/>
              </w:rPr>
            </w:pPr>
            <w:r w:rsidRPr="003A0120">
              <w:rPr>
                <w:rFonts w:ascii="Calibri" w:hAnsi="Calibri" w:cs="Calibri"/>
              </w:rPr>
              <w:t>Administration related to:</w:t>
            </w:r>
          </w:p>
          <w:p w14:paraId="2AEC87AF" w14:textId="075AB853" w:rsidR="00FC08DA" w:rsidRPr="003A0120" w:rsidRDefault="00FC08DA" w:rsidP="0050112F">
            <w:pPr>
              <w:pStyle w:val="Tablea"/>
              <w:numPr>
                <w:ilvl w:val="0"/>
                <w:numId w:val="98"/>
              </w:numPr>
              <w:rPr>
                <w:sz w:val="20"/>
              </w:rPr>
            </w:pPr>
            <w:r w:rsidRPr="003A0120">
              <w:rPr>
                <w:sz w:val="20"/>
              </w:rPr>
              <w:t>the delivery of the other services listed and described in the other items of this table; and</w:t>
            </w:r>
          </w:p>
          <w:p w14:paraId="4F1E0E14" w14:textId="23E841F3" w:rsidR="00FC08DA" w:rsidRPr="003A0120" w:rsidRDefault="00FC08DA" w:rsidP="00497EDC">
            <w:pPr>
              <w:pStyle w:val="Tablea"/>
              <w:rPr>
                <w:sz w:val="20"/>
              </w:rPr>
            </w:pPr>
            <w:r w:rsidRPr="003A0120">
              <w:rPr>
                <w:sz w:val="20"/>
              </w:rPr>
              <w:t>the delivery of the services in the service type residential clinical care</w:t>
            </w:r>
          </w:p>
        </w:tc>
      </w:tr>
      <w:tr w:rsidR="00FC08DA" w:rsidRPr="004636D4" w14:paraId="60C3FECB" w14:textId="77777777" w:rsidTr="00BD3D05">
        <w:tc>
          <w:tcPr>
            <w:tcW w:w="714" w:type="dxa"/>
          </w:tcPr>
          <w:p w14:paraId="0C0E83F0"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833" w:type="dxa"/>
          </w:tcPr>
          <w:p w14:paraId="23E85778" w14:textId="77777777" w:rsidR="00FC08DA" w:rsidRPr="003A0120" w:rsidRDefault="00FC08DA" w:rsidP="00BD3D05">
            <w:pPr>
              <w:pStyle w:val="Tabletext"/>
              <w:rPr>
                <w:rFonts w:ascii="Calibri" w:hAnsi="Calibri" w:cs="Calibri"/>
              </w:rPr>
            </w:pPr>
            <w:r w:rsidRPr="003A0120">
              <w:rPr>
                <w:rFonts w:ascii="Calibri" w:hAnsi="Calibri" w:cs="Calibri"/>
              </w:rPr>
              <w:t>Personal care assistance</w:t>
            </w:r>
          </w:p>
        </w:tc>
        <w:tc>
          <w:tcPr>
            <w:tcW w:w="5765" w:type="dxa"/>
          </w:tcPr>
          <w:p w14:paraId="237062CC" w14:textId="77777777" w:rsidR="00FC08DA" w:rsidRPr="003A0120" w:rsidRDefault="00FC08DA" w:rsidP="00BD3D05">
            <w:pPr>
              <w:pStyle w:val="Tabletext"/>
              <w:rPr>
                <w:rFonts w:ascii="Calibri" w:hAnsi="Calibri" w:cs="Calibri"/>
              </w:rPr>
            </w:pPr>
            <w:r w:rsidRPr="003A0120">
              <w:rPr>
                <w:rFonts w:ascii="Calibri" w:hAnsi="Calibri" w:cs="Calibri"/>
              </w:rPr>
              <w:t>Personal assistance, including individual attention, individual supervision and physical assistance, with the following:</w:t>
            </w:r>
          </w:p>
          <w:p w14:paraId="298AFB89" w14:textId="3C92994C" w:rsidR="00FC08DA" w:rsidRPr="003A0120" w:rsidRDefault="00FC08DA" w:rsidP="0050112F">
            <w:pPr>
              <w:pStyle w:val="Tablea"/>
              <w:numPr>
                <w:ilvl w:val="0"/>
                <w:numId w:val="99"/>
              </w:numPr>
              <w:rPr>
                <w:sz w:val="20"/>
              </w:rPr>
            </w:pPr>
            <w:r w:rsidRPr="003A0120">
              <w:rPr>
                <w:sz w:val="20"/>
              </w:rPr>
              <w:t>bathing, showering, personal hygiene and grooming (other than hairdressing);</w:t>
            </w:r>
          </w:p>
          <w:p w14:paraId="53E07EED" w14:textId="5F0FD837" w:rsidR="00FC08DA" w:rsidRPr="003A0120" w:rsidRDefault="00FC08DA" w:rsidP="00497EDC">
            <w:pPr>
              <w:pStyle w:val="Tablea"/>
              <w:rPr>
                <w:sz w:val="20"/>
              </w:rPr>
            </w:pPr>
            <w:r w:rsidRPr="003A0120">
              <w:rPr>
                <w:sz w:val="20"/>
              </w:rPr>
              <w:t>dressing, undressing and using dressing aids;</w:t>
            </w:r>
          </w:p>
          <w:p w14:paraId="667220DD" w14:textId="7DE6AD7D" w:rsidR="00FC08DA" w:rsidRPr="003A0120" w:rsidRDefault="00FC08DA" w:rsidP="00497EDC">
            <w:pPr>
              <w:pStyle w:val="Tablea"/>
              <w:rPr>
                <w:sz w:val="20"/>
              </w:rPr>
            </w:pPr>
            <w:r w:rsidRPr="003A0120">
              <w:rPr>
                <w:sz w:val="20"/>
              </w:rPr>
              <w:t>eating and drinking, and using utensils and eating aids (including actual feeding if necessary);</w:t>
            </w:r>
          </w:p>
          <w:p w14:paraId="2C228DB3" w14:textId="44A2C7BF" w:rsidR="00FC08DA" w:rsidRDefault="00FC08DA" w:rsidP="00497EDC">
            <w:pPr>
              <w:pStyle w:val="Tablea"/>
              <w:rPr>
                <w:sz w:val="20"/>
              </w:rPr>
            </w:pPr>
            <w:r w:rsidRPr="003A0120">
              <w:rPr>
                <w:sz w:val="20"/>
              </w:rPr>
              <w:t>cleaning of personal items (and their storage containers) needed for daily living, including dentures, hearing aids, glasses, mobility aids and artificial limbs</w:t>
            </w:r>
          </w:p>
          <w:p w14:paraId="4363A529" w14:textId="46016AA6" w:rsidR="007A3796" w:rsidRPr="003A0120" w:rsidRDefault="007A3796" w:rsidP="007A3796">
            <w:pPr>
              <w:pStyle w:val="Tablea"/>
              <w:numPr>
                <w:ilvl w:val="0"/>
                <w:numId w:val="0"/>
              </w:numPr>
              <w:ind w:left="720"/>
              <w:rPr>
                <w:sz w:val="20"/>
              </w:rPr>
            </w:pPr>
          </w:p>
        </w:tc>
      </w:tr>
      <w:tr w:rsidR="00FC08DA" w:rsidRPr="004636D4" w14:paraId="51B510A6" w14:textId="77777777" w:rsidTr="00BD3D05">
        <w:tc>
          <w:tcPr>
            <w:tcW w:w="714" w:type="dxa"/>
          </w:tcPr>
          <w:p w14:paraId="5A1296F9" w14:textId="77777777" w:rsidR="00FC08DA" w:rsidRPr="003A0120" w:rsidRDefault="00FC08DA" w:rsidP="00BD3D05">
            <w:pPr>
              <w:pStyle w:val="Tabletext"/>
              <w:rPr>
                <w:rFonts w:ascii="Calibri" w:hAnsi="Calibri" w:cs="Calibri"/>
              </w:rPr>
            </w:pPr>
            <w:r w:rsidRPr="003A0120">
              <w:rPr>
                <w:rFonts w:ascii="Calibri" w:hAnsi="Calibri" w:cs="Calibri"/>
              </w:rPr>
              <w:lastRenderedPageBreak/>
              <w:t>3</w:t>
            </w:r>
          </w:p>
        </w:tc>
        <w:tc>
          <w:tcPr>
            <w:tcW w:w="1833" w:type="dxa"/>
          </w:tcPr>
          <w:p w14:paraId="1636B782" w14:textId="77777777" w:rsidR="00FC08DA" w:rsidRPr="003A0120" w:rsidRDefault="00FC08DA" w:rsidP="00BD3D05">
            <w:pPr>
              <w:pStyle w:val="Tabletext"/>
              <w:rPr>
                <w:rFonts w:ascii="Calibri" w:hAnsi="Calibri" w:cs="Calibri"/>
              </w:rPr>
            </w:pPr>
            <w:r w:rsidRPr="003A0120">
              <w:rPr>
                <w:rFonts w:ascii="Calibri" w:hAnsi="Calibri" w:cs="Calibri"/>
              </w:rPr>
              <w:t>Communication</w:t>
            </w:r>
          </w:p>
        </w:tc>
        <w:tc>
          <w:tcPr>
            <w:tcW w:w="5765" w:type="dxa"/>
          </w:tcPr>
          <w:p w14:paraId="4C2AC307" w14:textId="77777777" w:rsidR="00FC08DA" w:rsidRPr="003A0120" w:rsidRDefault="00FC08DA" w:rsidP="00BD3D05">
            <w:pPr>
              <w:pStyle w:val="Tabletext"/>
              <w:rPr>
                <w:rFonts w:ascii="Calibri" w:hAnsi="Calibri" w:cs="Calibri"/>
              </w:rPr>
            </w:pPr>
            <w:r w:rsidRPr="003A0120">
              <w:rPr>
                <w:rFonts w:ascii="Calibri" w:hAnsi="Calibri" w:cs="Calibri"/>
              </w:rPr>
              <w:t>Assistance with daily communication, including the following:</w:t>
            </w:r>
          </w:p>
          <w:p w14:paraId="1F88C45A" w14:textId="64A34F9B" w:rsidR="00FC08DA" w:rsidRPr="003A0120" w:rsidRDefault="00FC08DA" w:rsidP="0050112F">
            <w:pPr>
              <w:pStyle w:val="Tablea"/>
              <w:numPr>
                <w:ilvl w:val="0"/>
                <w:numId w:val="101"/>
              </w:numPr>
              <w:rPr>
                <w:sz w:val="20"/>
              </w:rPr>
            </w:pPr>
            <w:r w:rsidRPr="003A0120">
              <w:rPr>
                <w:sz w:val="20"/>
              </w:rPr>
              <w:t>assistance to address difficulties arising from impaired hearing, sight or speech, cognitive impairment, or lack of common language</w:t>
            </w:r>
            <w:r w:rsidRPr="003A0120">
              <w:rPr>
                <w:rFonts w:eastAsia="Calibri"/>
                <w:sz w:val="20"/>
              </w:rPr>
              <w:t xml:space="preserve"> </w:t>
            </w:r>
            <w:r w:rsidRPr="003A0120">
              <w:rPr>
                <w:bCs/>
                <w:sz w:val="20"/>
              </w:rPr>
              <w:t>(for example, visual aids such as cue cards, paper</w:t>
            </w:r>
            <w:r w:rsidRPr="003A0120">
              <w:rPr>
                <w:bCs/>
                <w:sz w:val="20"/>
              </w:rPr>
              <w:noBreakHyphen/>
              <w:t>based photo or alphabet spelling communication boards or books, photo based easy language written information, and menu and activity choice boards or learning of key phrases)</w:t>
            </w:r>
            <w:r w:rsidRPr="003A0120">
              <w:rPr>
                <w:sz w:val="20"/>
              </w:rPr>
              <w:t>;</w:t>
            </w:r>
          </w:p>
          <w:p w14:paraId="5CE17E3F" w14:textId="6831EABD" w:rsidR="00FC08DA" w:rsidRPr="003A0120" w:rsidRDefault="00FC08DA" w:rsidP="00497EDC">
            <w:pPr>
              <w:pStyle w:val="Tablea"/>
              <w:rPr>
                <w:sz w:val="20"/>
              </w:rPr>
            </w:pPr>
            <w:r w:rsidRPr="003A0120">
              <w:rPr>
                <w:sz w:val="20"/>
              </w:rPr>
              <w:t>fitting sensory communication aids and checking hearing aid batteries</w:t>
            </w:r>
          </w:p>
        </w:tc>
      </w:tr>
      <w:tr w:rsidR="00FC08DA" w:rsidRPr="004636D4" w14:paraId="49E445BE" w14:textId="77777777" w:rsidTr="00BD3D05">
        <w:tc>
          <w:tcPr>
            <w:tcW w:w="714" w:type="dxa"/>
          </w:tcPr>
          <w:p w14:paraId="2A4CA160"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833" w:type="dxa"/>
          </w:tcPr>
          <w:p w14:paraId="58D79705" w14:textId="77777777" w:rsidR="00FC08DA" w:rsidRPr="003A0120" w:rsidRDefault="00FC08DA" w:rsidP="00BD3D05">
            <w:pPr>
              <w:pStyle w:val="Tabletext"/>
              <w:rPr>
                <w:rFonts w:ascii="Calibri" w:hAnsi="Calibri" w:cs="Calibri"/>
              </w:rPr>
            </w:pPr>
            <w:r w:rsidRPr="003A0120">
              <w:rPr>
                <w:rFonts w:ascii="Calibri" w:hAnsi="Calibri" w:cs="Calibri"/>
              </w:rPr>
              <w:t>Emotional support</w:t>
            </w:r>
          </w:p>
        </w:tc>
        <w:tc>
          <w:tcPr>
            <w:tcW w:w="5765" w:type="dxa"/>
          </w:tcPr>
          <w:p w14:paraId="61C98F07"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0C80F52F" w14:textId="5E07310C" w:rsidR="00FC08DA" w:rsidRPr="003A0120" w:rsidRDefault="00FC08DA" w:rsidP="0050112F">
            <w:pPr>
              <w:pStyle w:val="Tablea"/>
              <w:numPr>
                <w:ilvl w:val="0"/>
                <w:numId w:val="100"/>
              </w:numPr>
              <w:rPr>
                <w:sz w:val="20"/>
              </w:rPr>
            </w:pPr>
            <w:r w:rsidRPr="003A0120">
              <w:rPr>
                <w:sz w:val="20"/>
              </w:rPr>
              <w:t>if the individual is experiencing social isolation, loneliness or emotional distress—ongoing emotional support to, and supervision of, the individual (including pastoral support);</w:t>
            </w:r>
          </w:p>
          <w:p w14:paraId="4A4AC64B" w14:textId="54F171C6" w:rsidR="00FC08DA" w:rsidRPr="003A0120" w:rsidRDefault="00FC08DA" w:rsidP="00497EDC">
            <w:pPr>
              <w:pStyle w:val="Tablea"/>
              <w:rPr>
                <w:sz w:val="20"/>
              </w:rPr>
            </w:pPr>
            <w:r w:rsidRPr="003A0120">
              <w:rPr>
                <w:sz w:val="20"/>
              </w:rPr>
              <w:t>if the individual is new to the residential care home—assisting the individual to adjust to their new living environment;</w:t>
            </w:r>
          </w:p>
          <w:p w14:paraId="31A60A42" w14:textId="4DA69FA8" w:rsidR="00FC08DA" w:rsidRPr="003A0120" w:rsidRDefault="00FC08DA" w:rsidP="00497EDC">
            <w:pPr>
              <w:pStyle w:val="Tablea"/>
              <w:rPr>
                <w:sz w:val="20"/>
              </w:rPr>
            </w:pPr>
            <w:r w:rsidRPr="003A0120">
              <w:rPr>
                <w:sz w:val="20"/>
              </w:rPr>
              <w:t>provision of culturally safe supports that have been determined in consultation with the individual and their supporters (if required)</w:t>
            </w:r>
          </w:p>
        </w:tc>
      </w:tr>
      <w:tr w:rsidR="00FC08DA" w:rsidRPr="004636D4" w14:paraId="1D2B3264" w14:textId="77777777" w:rsidTr="00BD3D05">
        <w:tc>
          <w:tcPr>
            <w:tcW w:w="714" w:type="dxa"/>
          </w:tcPr>
          <w:p w14:paraId="5554539A" w14:textId="77777777" w:rsidR="00FC08DA" w:rsidRPr="003A0120" w:rsidRDefault="00FC08DA" w:rsidP="00BD3D05">
            <w:pPr>
              <w:pStyle w:val="Tabletext"/>
              <w:rPr>
                <w:rFonts w:ascii="Calibri" w:hAnsi="Calibri" w:cs="Calibri"/>
              </w:rPr>
            </w:pPr>
            <w:r w:rsidRPr="003A0120">
              <w:rPr>
                <w:rFonts w:ascii="Calibri" w:hAnsi="Calibri" w:cs="Calibri"/>
              </w:rPr>
              <w:t>5</w:t>
            </w:r>
          </w:p>
        </w:tc>
        <w:tc>
          <w:tcPr>
            <w:tcW w:w="1833" w:type="dxa"/>
          </w:tcPr>
          <w:p w14:paraId="1F182306" w14:textId="77777777" w:rsidR="00FC08DA" w:rsidRPr="003A0120" w:rsidRDefault="00FC08DA" w:rsidP="00BD3D05">
            <w:pPr>
              <w:pStyle w:val="Tabletext"/>
              <w:rPr>
                <w:rFonts w:ascii="Calibri" w:hAnsi="Calibri" w:cs="Calibri"/>
              </w:rPr>
            </w:pPr>
            <w:r w:rsidRPr="003A0120">
              <w:rPr>
                <w:rFonts w:ascii="Calibri" w:hAnsi="Calibri" w:cs="Calibri"/>
              </w:rPr>
              <w:t>Mobility and movement needs</w:t>
            </w:r>
          </w:p>
        </w:tc>
        <w:tc>
          <w:tcPr>
            <w:tcW w:w="5765" w:type="dxa"/>
          </w:tcPr>
          <w:p w14:paraId="7C045C1E" w14:textId="77777777" w:rsidR="00FC08DA" w:rsidRPr="003A0120" w:rsidRDefault="00FC08DA" w:rsidP="00BD3D05">
            <w:pPr>
              <w:pStyle w:val="Tabletext"/>
              <w:rPr>
                <w:rFonts w:ascii="Calibri" w:hAnsi="Calibri" w:cs="Calibri"/>
              </w:rPr>
            </w:pPr>
            <w:r w:rsidRPr="003A0120">
              <w:rPr>
                <w:rFonts w:ascii="Calibri" w:hAnsi="Calibri" w:cs="Calibri"/>
              </w:rPr>
              <w:t>The following (other than the provision of motorised wheelchairs, electric mobility scooters, customised aids, or mobility aids requested on the basis of the individual’s personal preferences):</w:t>
            </w:r>
          </w:p>
          <w:p w14:paraId="4E4EDAEA" w14:textId="0C47CAFF" w:rsidR="00FC08DA" w:rsidRPr="003A0120" w:rsidRDefault="00FC08DA" w:rsidP="0050112F">
            <w:pPr>
              <w:pStyle w:val="Tablea"/>
              <w:numPr>
                <w:ilvl w:val="0"/>
                <w:numId w:val="102"/>
              </w:numPr>
              <w:rPr>
                <w:sz w:val="20"/>
              </w:rPr>
            </w:pPr>
            <w:r w:rsidRPr="003A0120">
              <w:rPr>
                <w:sz w:val="20"/>
              </w:rPr>
              <w:t>assisting the individual with moving, walking and wheelchair use;</w:t>
            </w:r>
          </w:p>
          <w:p w14:paraId="42313220" w14:textId="39435FBF" w:rsidR="00FC08DA" w:rsidRPr="003A0120" w:rsidRDefault="00FC08DA" w:rsidP="00497EDC">
            <w:pPr>
              <w:pStyle w:val="Tablea"/>
              <w:rPr>
                <w:sz w:val="20"/>
              </w:rPr>
            </w:pPr>
            <w:r w:rsidRPr="003A0120">
              <w:rPr>
                <w:sz w:val="20"/>
              </w:rPr>
              <w:t>assisting the individual with using devices and appliances designed to aid mobility;</w:t>
            </w:r>
          </w:p>
          <w:p w14:paraId="745CDDC6" w14:textId="68BCE452" w:rsidR="00FC08DA" w:rsidRPr="003A0120" w:rsidRDefault="00FC08DA" w:rsidP="00497EDC">
            <w:pPr>
              <w:pStyle w:val="Tablea"/>
              <w:rPr>
                <w:sz w:val="20"/>
              </w:rPr>
            </w:pPr>
            <w:r w:rsidRPr="003A0120">
              <w:rPr>
                <w:sz w:val="20"/>
              </w:rPr>
              <w:t>the fitting of artificial limbs and other personal mobility aids;</w:t>
            </w:r>
          </w:p>
          <w:p w14:paraId="29B4E134" w14:textId="31901800" w:rsidR="00FC08DA" w:rsidRPr="003A0120" w:rsidRDefault="00FC08DA" w:rsidP="00497EDC">
            <w:pPr>
              <w:pStyle w:val="Tablea"/>
              <w:rPr>
                <w:sz w:val="20"/>
              </w:rPr>
            </w:pPr>
            <w:r w:rsidRPr="003A0120">
              <w:rPr>
                <w:sz w:val="20"/>
              </w:rPr>
              <w:t>supply and maintenance of crutches, quadruped walkers, walking frames, wheeled walkers, standing walkers, walking sticks, wheelchairs, and tilt</w:t>
            </w:r>
            <w:r w:rsidRPr="003A0120">
              <w:rPr>
                <w:sz w:val="20"/>
              </w:rPr>
              <w:noBreakHyphen/>
              <w:t>in</w:t>
            </w:r>
            <w:r w:rsidRPr="003A0120">
              <w:rPr>
                <w:sz w:val="20"/>
              </w:rPr>
              <w:noBreakHyphen/>
              <w:t>space chairs;</w:t>
            </w:r>
          </w:p>
          <w:p w14:paraId="1B304D80" w14:textId="7FF5754A" w:rsidR="00FC08DA" w:rsidRPr="003A0120" w:rsidRDefault="00FC08DA" w:rsidP="00497EDC">
            <w:pPr>
              <w:pStyle w:val="Tablea"/>
              <w:rPr>
                <w:sz w:val="20"/>
              </w:rPr>
            </w:pPr>
            <w:r w:rsidRPr="003A0120">
              <w:rPr>
                <w:sz w:val="20"/>
              </w:rPr>
              <w:t>aids and equipment used by aged care workers to move the individual, including for individuals with bariatric needs;</w:t>
            </w:r>
          </w:p>
          <w:p w14:paraId="2719F786" w14:textId="77777777" w:rsidR="00FC08DA" w:rsidRPr="003A0120" w:rsidRDefault="00FC08DA" w:rsidP="00BD3D05">
            <w:pPr>
              <w:pStyle w:val="Tabletext"/>
              <w:rPr>
                <w:rFonts w:ascii="Calibri" w:eastAsia="Calibri" w:hAnsi="Calibri" w:cs="Calibri"/>
              </w:rPr>
            </w:pPr>
            <w:r w:rsidRPr="003A0120">
              <w:rPr>
                <w:rFonts w:ascii="Calibri" w:eastAsia="Calibri" w:hAnsi="Calibri" w:cs="Calibri"/>
              </w:rPr>
              <w:t>taking into account:</w:t>
            </w:r>
          </w:p>
          <w:p w14:paraId="2A39A938" w14:textId="1A8285BC" w:rsidR="00FC08DA" w:rsidRPr="003A0120" w:rsidRDefault="00FC08DA" w:rsidP="00497EDC">
            <w:pPr>
              <w:pStyle w:val="Tablea"/>
              <w:rPr>
                <w:rFonts w:eastAsia="Calibri"/>
                <w:sz w:val="20"/>
              </w:rPr>
            </w:pPr>
            <w:r w:rsidRPr="003A0120">
              <w:rPr>
                <w:rFonts w:eastAsia="Calibri"/>
                <w:sz w:val="20"/>
              </w:rPr>
              <w:t>the individual’s care, safety and comfort needs; and</w:t>
            </w:r>
          </w:p>
          <w:p w14:paraId="011DA582" w14:textId="5900B089" w:rsidR="00FC08DA" w:rsidRPr="003A0120" w:rsidRDefault="00FC08DA" w:rsidP="00497EDC">
            <w:pPr>
              <w:pStyle w:val="Tablea"/>
              <w:rPr>
                <w:rFonts w:eastAsia="Calibri"/>
                <w:sz w:val="20"/>
              </w:rPr>
            </w:pPr>
            <w:r w:rsidRPr="003A0120">
              <w:rPr>
                <w:rFonts w:eastAsia="Calibri"/>
                <w:sz w:val="20"/>
              </w:rPr>
              <w:t>the individual’s ability to use aids, appliances, devices and equipment; and</w:t>
            </w:r>
          </w:p>
          <w:p w14:paraId="69632FBC" w14:textId="27BF22B6" w:rsidR="00FC08DA" w:rsidRPr="003A0120" w:rsidRDefault="00FC08DA" w:rsidP="00497EDC">
            <w:pPr>
              <w:pStyle w:val="Tablea"/>
              <w:rPr>
                <w:rFonts w:eastAsia="Calibri"/>
                <w:sz w:val="20"/>
              </w:rPr>
            </w:pPr>
            <w:r w:rsidRPr="003A0120">
              <w:rPr>
                <w:rFonts w:eastAsia="Calibri"/>
                <w:sz w:val="20"/>
              </w:rPr>
              <w:t>the safety of other individuals and of aged care workers and visitors to the residential care home</w:t>
            </w:r>
          </w:p>
        </w:tc>
      </w:tr>
      <w:tr w:rsidR="00FC08DA" w:rsidRPr="004636D4" w14:paraId="36EA3300" w14:textId="77777777" w:rsidTr="00BD3D05">
        <w:tc>
          <w:tcPr>
            <w:tcW w:w="714" w:type="dxa"/>
          </w:tcPr>
          <w:p w14:paraId="1D38E545"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833" w:type="dxa"/>
          </w:tcPr>
          <w:p w14:paraId="2AC051B9" w14:textId="77777777" w:rsidR="00FC08DA" w:rsidRPr="003A0120" w:rsidRDefault="00FC08DA" w:rsidP="00BD3D05">
            <w:pPr>
              <w:pStyle w:val="Tabletext"/>
              <w:rPr>
                <w:rFonts w:ascii="Calibri" w:hAnsi="Calibri" w:cs="Calibri"/>
              </w:rPr>
            </w:pPr>
            <w:r w:rsidRPr="003A0120">
              <w:rPr>
                <w:rFonts w:ascii="Calibri" w:hAnsi="Calibri" w:cs="Calibri"/>
              </w:rPr>
              <w:t>Continence management</w:t>
            </w:r>
          </w:p>
        </w:tc>
        <w:tc>
          <w:tcPr>
            <w:tcW w:w="5765" w:type="dxa"/>
          </w:tcPr>
          <w:p w14:paraId="2F0BEEE4"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77D85BA5" w14:textId="542E493F" w:rsidR="00FC08DA" w:rsidRPr="003A0120" w:rsidRDefault="00FC08DA" w:rsidP="0050112F">
            <w:pPr>
              <w:pStyle w:val="Tablea"/>
              <w:numPr>
                <w:ilvl w:val="0"/>
                <w:numId w:val="103"/>
              </w:numPr>
              <w:rPr>
                <w:sz w:val="20"/>
              </w:rPr>
            </w:pPr>
            <w:r w:rsidRPr="003A0120">
              <w:rPr>
                <w:sz w:val="20"/>
              </w:rPr>
              <w:t>assisting the individual to:</w:t>
            </w:r>
          </w:p>
          <w:p w14:paraId="4240B956" w14:textId="77777777" w:rsidR="00FC08DA" w:rsidRPr="003A0120" w:rsidRDefault="00FC08DA" w:rsidP="00BD3D05">
            <w:pPr>
              <w:pStyle w:val="Tablei"/>
              <w:rPr>
                <w:rFonts w:ascii="Calibri" w:hAnsi="Calibri" w:cs="Calibri"/>
              </w:rPr>
            </w:pPr>
            <w:r w:rsidRPr="003A0120">
              <w:rPr>
                <w:rFonts w:ascii="Calibri" w:hAnsi="Calibri" w:cs="Calibri"/>
              </w:rPr>
              <w:t>(i) maintain continence or manage incontinence; and</w:t>
            </w:r>
          </w:p>
          <w:p w14:paraId="4812DD67" w14:textId="77777777" w:rsidR="00FC08DA" w:rsidRPr="003A0120" w:rsidRDefault="00FC08DA" w:rsidP="00BD3D05">
            <w:pPr>
              <w:pStyle w:val="Tablei"/>
              <w:rPr>
                <w:rFonts w:ascii="Calibri" w:hAnsi="Calibri" w:cs="Calibri"/>
              </w:rPr>
            </w:pPr>
            <w:r w:rsidRPr="003A0120">
              <w:rPr>
                <w:rFonts w:ascii="Calibri" w:hAnsi="Calibri" w:cs="Calibri"/>
              </w:rPr>
              <w:t>(ii) use aids and appliances designed to assist continence management;</w:t>
            </w:r>
          </w:p>
          <w:p w14:paraId="16C484FF" w14:textId="41ED4D46" w:rsidR="00FC08DA" w:rsidRPr="003A0120" w:rsidRDefault="00FC08DA" w:rsidP="00497EDC">
            <w:pPr>
              <w:pStyle w:val="Tablea"/>
              <w:rPr>
                <w:rFonts w:eastAsia="Calibri"/>
                <w:sz w:val="20"/>
              </w:rPr>
            </w:pPr>
            <w:r w:rsidRPr="003A0120">
              <w:rPr>
                <w:rFonts w:eastAsia="Calibri"/>
                <w:sz w:val="20"/>
              </w:rPr>
              <w:t>the supply of aids and appliances designed to assist continence management to meet the individual’s needs, including the following:</w:t>
            </w:r>
          </w:p>
          <w:p w14:paraId="0C2EF68B"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t>(i) commode chairs, over</w:t>
            </w:r>
            <w:r w:rsidRPr="003A0120">
              <w:rPr>
                <w:rFonts w:ascii="Calibri" w:eastAsia="Calibri" w:hAnsi="Calibri" w:cs="Calibri"/>
              </w:rPr>
              <w:noBreakHyphen/>
              <w:t>toilet chairs, bed</w:t>
            </w:r>
            <w:r w:rsidRPr="003A0120">
              <w:rPr>
                <w:rFonts w:ascii="Calibri" w:eastAsia="Calibri" w:hAnsi="Calibri" w:cs="Calibri"/>
              </w:rPr>
              <w:noBreakHyphen/>
              <w:t>pans, uridomes, and catheter and urinary drainage appliances;</w:t>
            </w:r>
          </w:p>
          <w:p w14:paraId="00B4E60D" w14:textId="77777777" w:rsidR="00FC08DA" w:rsidRPr="003A0120" w:rsidRDefault="00FC08DA" w:rsidP="00BD3D05">
            <w:pPr>
              <w:pStyle w:val="Tablei"/>
              <w:rPr>
                <w:rFonts w:ascii="Calibri" w:eastAsia="Calibri" w:hAnsi="Calibri" w:cs="Calibri"/>
              </w:rPr>
            </w:pPr>
            <w:r w:rsidRPr="003A0120">
              <w:rPr>
                <w:rFonts w:ascii="Calibri" w:eastAsia="Calibri" w:hAnsi="Calibri" w:cs="Calibri"/>
              </w:rPr>
              <w:lastRenderedPageBreak/>
              <w:t>(ii) as many continence aids (such as disposable urinal covers, pants, pads, chair pads and enemas) as are needed to meet the individual’s needs</w:t>
            </w:r>
          </w:p>
        </w:tc>
      </w:tr>
      <w:tr w:rsidR="00FC08DA" w:rsidRPr="004636D4" w14:paraId="5A6F4636" w14:textId="77777777" w:rsidTr="00BD3D05">
        <w:tc>
          <w:tcPr>
            <w:tcW w:w="714" w:type="dxa"/>
            <w:tcBorders>
              <w:top w:val="single" w:sz="2" w:space="0" w:color="auto"/>
              <w:bottom w:val="single" w:sz="12" w:space="0" w:color="auto"/>
            </w:tcBorders>
          </w:tcPr>
          <w:p w14:paraId="51B35C45" w14:textId="77777777" w:rsidR="00FC08DA" w:rsidRPr="003A0120" w:rsidRDefault="00FC08DA" w:rsidP="00BD3D05">
            <w:pPr>
              <w:pStyle w:val="Tabletext"/>
              <w:rPr>
                <w:rFonts w:ascii="Calibri" w:hAnsi="Calibri" w:cs="Calibri"/>
              </w:rPr>
            </w:pPr>
            <w:r w:rsidRPr="003A0120">
              <w:rPr>
                <w:rFonts w:ascii="Calibri" w:hAnsi="Calibri" w:cs="Calibri"/>
              </w:rPr>
              <w:lastRenderedPageBreak/>
              <w:t>7</w:t>
            </w:r>
          </w:p>
        </w:tc>
        <w:tc>
          <w:tcPr>
            <w:tcW w:w="1833" w:type="dxa"/>
            <w:tcBorders>
              <w:top w:val="single" w:sz="2" w:space="0" w:color="auto"/>
              <w:bottom w:val="single" w:sz="12" w:space="0" w:color="auto"/>
            </w:tcBorders>
          </w:tcPr>
          <w:p w14:paraId="68E79D21" w14:textId="77777777" w:rsidR="00FC08DA" w:rsidRPr="003A0120" w:rsidRDefault="00FC08DA" w:rsidP="00BD3D05">
            <w:pPr>
              <w:pStyle w:val="Tabletext"/>
              <w:rPr>
                <w:rFonts w:ascii="Calibri" w:hAnsi="Calibri" w:cs="Calibri"/>
              </w:rPr>
            </w:pPr>
            <w:r w:rsidRPr="003A0120">
              <w:rPr>
                <w:rFonts w:ascii="Calibri" w:hAnsi="Calibri" w:cs="Calibri"/>
              </w:rPr>
              <w:t>Recreational and social activities</w:t>
            </w:r>
          </w:p>
        </w:tc>
        <w:tc>
          <w:tcPr>
            <w:tcW w:w="5765" w:type="dxa"/>
            <w:tcBorders>
              <w:top w:val="single" w:sz="2" w:space="0" w:color="auto"/>
              <w:bottom w:val="single" w:sz="12" w:space="0" w:color="auto"/>
            </w:tcBorders>
          </w:tcPr>
          <w:p w14:paraId="1883E191" w14:textId="77777777" w:rsidR="00FC08DA" w:rsidRPr="003A0120" w:rsidRDefault="00FC08DA" w:rsidP="00BD3D05">
            <w:pPr>
              <w:pStyle w:val="Tabletext"/>
              <w:rPr>
                <w:rFonts w:ascii="Calibri" w:hAnsi="Calibri" w:cs="Calibri"/>
              </w:rPr>
            </w:pPr>
            <w:r w:rsidRPr="003A0120">
              <w:rPr>
                <w:rFonts w:ascii="Calibri" w:hAnsi="Calibri" w:cs="Calibri"/>
              </w:rPr>
              <w:t>Tailored recreational programs and leisure activities (including communal recreational equipment and products) aimed at preventing loneliness and boredom, creating an enjoyable and interesting environment, and maintaining and improving the social interaction of the individual. These programs and activities must include the option of:</w:t>
            </w:r>
          </w:p>
          <w:p w14:paraId="167144B4" w14:textId="214914F8" w:rsidR="00FC08DA" w:rsidRPr="003A0120" w:rsidRDefault="00FC08DA" w:rsidP="0050112F">
            <w:pPr>
              <w:pStyle w:val="Tablea"/>
              <w:numPr>
                <w:ilvl w:val="0"/>
                <w:numId w:val="104"/>
              </w:numPr>
              <w:rPr>
                <w:sz w:val="20"/>
              </w:rPr>
            </w:pPr>
            <w:r w:rsidRPr="003A0120">
              <w:rPr>
                <w:sz w:val="20"/>
              </w:rPr>
              <w:t>at least one recreational or social activity each day that is not screen</w:t>
            </w:r>
            <w:r w:rsidRPr="003A0120">
              <w:rPr>
                <w:sz w:val="20"/>
              </w:rPr>
              <w:noBreakHyphen/>
              <w:t>based, television</w:t>
            </w:r>
            <w:r w:rsidRPr="003A0120">
              <w:rPr>
                <w:sz w:val="20"/>
              </w:rPr>
              <w:noBreakHyphen/>
              <w:t>based or meal</w:t>
            </w:r>
            <w:r w:rsidRPr="003A0120">
              <w:rPr>
                <w:sz w:val="20"/>
              </w:rPr>
              <w:noBreakHyphen/>
              <w:t>based; and</w:t>
            </w:r>
          </w:p>
          <w:p w14:paraId="12657CBE" w14:textId="4B224A25" w:rsidR="00FC08DA" w:rsidRPr="003A0120" w:rsidRDefault="00FC08DA" w:rsidP="00497EDC">
            <w:pPr>
              <w:pStyle w:val="Tablea"/>
              <w:rPr>
                <w:sz w:val="20"/>
              </w:rPr>
            </w:pPr>
            <w:r w:rsidRPr="003A0120">
              <w:rPr>
                <w:sz w:val="20"/>
              </w:rPr>
              <w:t>regular outings into the community (but not including the cost of entry tickets, transport or purchased food and beverages associated with the outings)</w:t>
            </w:r>
          </w:p>
        </w:tc>
      </w:tr>
    </w:tbl>
    <w:p w14:paraId="79E56081" w14:textId="2574900F" w:rsidR="00FC08DA" w:rsidRPr="003A0120" w:rsidRDefault="00FC08DA" w:rsidP="007B7277">
      <w:pPr>
        <w:rPr>
          <w:rFonts w:cs="Calibri"/>
        </w:rPr>
      </w:pPr>
      <w:r w:rsidRPr="007B7277">
        <w:rPr>
          <w:b/>
          <w:bCs/>
          <w:sz w:val="22"/>
          <w:szCs w:val="22"/>
        </w:rPr>
        <w:t>8</w:t>
      </w:r>
      <w:r w:rsidRPr="007B7277">
        <w:rPr>
          <w:b/>
          <w:bCs/>
          <w:sz w:val="22"/>
          <w:szCs w:val="22"/>
        </w:rPr>
        <w:noBreakHyphen/>
        <w:t>155 Residential clinical care</w:t>
      </w:r>
    </w:p>
    <w:p w14:paraId="6B8AAB34" w14:textId="0C6BFA78" w:rsidR="00FC08DA" w:rsidRDefault="00FC08DA" w:rsidP="00297A79">
      <w:pPr>
        <w:pStyle w:val="subsection"/>
        <w:rPr>
          <w:rFonts w:cs="Calibri"/>
          <w:sz w:val="20"/>
        </w:rPr>
      </w:pPr>
      <w:r w:rsidRPr="003A0120">
        <w:rPr>
          <w:rFonts w:cs="Calibri"/>
          <w:sz w:val="20"/>
        </w:rPr>
        <w:t>Each service listed and described in the following table is in the service type residential clinical care.</w:t>
      </w:r>
    </w:p>
    <w:p w14:paraId="297FA622" w14:textId="77777777" w:rsidR="007A3796" w:rsidRPr="003A0120" w:rsidRDefault="007A3796" w:rsidP="00297A79">
      <w:pPr>
        <w:pStyle w:val="subsection"/>
        <w:rPr>
          <w:rFonts w:cs="Calibri"/>
          <w:sz w:val="20"/>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408"/>
        <w:gridCol w:w="6190"/>
      </w:tblGrid>
      <w:tr w:rsidR="00FC08DA" w:rsidRPr="004636D4" w14:paraId="6BEDF754" w14:textId="77777777" w:rsidTr="00BD3D05">
        <w:trPr>
          <w:tblHeader/>
        </w:trPr>
        <w:tc>
          <w:tcPr>
            <w:tcW w:w="8312" w:type="dxa"/>
            <w:gridSpan w:val="3"/>
            <w:tcBorders>
              <w:top w:val="single" w:sz="12" w:space="0" w:color="auto"/>
              <w:bottom w:val="single" w:sz="6" w:space="0" w:color="auto"/>
            </w:tcBorders>
          </w:tcPr>
          <w:p w14:paraId="41D6E3CD" w14:textId="77777777" w:rsidR="00FC08DA" w:rsidRPr="003A0120" w:rsidRDefault="00FC08DA" w:rsidP="00BD3D05">
            <w:pPr>
              <w:pStyle w:val="TableHeading"/>
              <w:rPr>
                <w:rFonts w:ascii="Calibri" w:hAnsi="Calibri" w:cs="Calibri"/>
              </w:rPr>
            </w:pPr>
            <w:r w:rsidRPr="003A0120">
              <w:rPr>
                <w:rFonts w:ascii="Calibri" w:hAnsi="Calibri" w:cs="Calibri"/>
              </w:rPr>
              <w:t>Services in the service type residential clinical care</w:t>
            </w:r>
          </w:p>
        </w:tc>
      </w:tr>
      <w:tr w:rsidR="00FC08DA" w:rsidRPr="004636D4" w14:paraId="3A8D4EA8" w14:textId="77777777" w:rsidTr="00BD3D05">
        <w:trPr>
          <w:tblHeader/>
        </w:trPr>
        <w:tc>
          <w:tcPr>
            <w:tcW w:w="714" w:type="dxa"/>
            <w:tcBorders>
              <w:top w:val="single" w:sz="6" w:space="0" w:color="auto"/>
              <w:bottom w:val="single" w:sz="12" w:space="0" w:color="auto"/>
            </w:tcBorders>
          </w:tcPr>
          <w:p w14:paraId="233632C6" w14:textId="77777777" w:rsidR="00FC08DA" w:rsidRPr="003A0120" w:rsidRDefault="00FC08DA" w:rsidP="00BD3D05">
            <w:pPr>
              <w:pStyle w:val="TableHeading"/>
              <w:rPr>
                <w:rFonts w:ascii="Calibri" w:hAnsi="Calibri" w:cs="Calibri"/>
              </w:rPr>
            </w:pPr>
            <w:r w:rsidRPr="003A0120">
              <w:rPr>
                <w:rFonts w:ascii="Calibri" w:hAnsi="Calibri" w:cs="Calibri"/>
              </w:rPr>
              <w:t>Item</w:t>
            </w:r>
          </w:p>
        </w:tc>
        <w:tc>
          <w:tcPr>
            <w:tcW w:w="1408" w:type="dxa"/>
            <w:tcBorders>
              <w:top w:val="single" w:sz="6" w:space="0" w:color="auto"/>
              <w:bottom w:val="single" w:sz="12" w:space="0" w:color="auto"/>
            </w:tcBorders>
          </w:tcPr>
          <w:p w14:paraId="7146A713" w14:textId="77777777" w:rsidR="00FC08DA" w:rsidRPr="003A0120" w:rsidRDefault="00FC08DA" w:rsidP="00BD3D05">
            <w:pPr>
              <w:pStyle w:val="TableHeading"/>
              <w:rPr>
                <w:rFonts w:ascii="Calibri" w:hAnsi="Calibri" w:cs="Calibri"/>
              </w:rPr>
            </w:pPr>
            <w:r w:rsidRPr="003A0120">
              <w:rPr>
                <w:rFonts w:ascii="Calibri" w:hAnsi="Calibri" w:cs="Calibri"/>
              </w:rPr>
              <w:t>Column 1</w:t>
            </w:r>
          </w:p>
          <w:p w14:paraId="3E84793E" w14:textId="77777777" w:rsidR="00FC08DA" w:rsidRPr="003A0120" w:rsidRDefault="00FC08DA" w:rsidP="00BD3D05">
            <w:pPr>
              <w:pStyle w:val="TableHeading"/>
              <w:rPr>
                <w:rFonts w:ascii="Calibri" w:hAnsi="Calibri" w:cs="Calibri"/>
              </w:rPr>
            </w:pPr>
            <w:r w:rsidRPr="003A0120">
              <w:rPr>
                <w:rFonts w:ascii="Calibri" w:hAnsi="Calibri" w:cs="Calibri"/>
              </w:rPr>
              <w:t>Service</w:t>
            </w:r>
          </w:p>
        </w:tc>
        <w:tc>
          <w:tcPr>
            <w:tcW w:w="6190" w:type="dxa"/>
            <w:tcBorders>
              <w:top w:val="single" w:sz="6" w:space="0" w:color="auto"/>
              <w:bottom w:val="single" w:sz="12" w:space="0" w:color="auto"/>
            </w:tcBorders>
          </w:tcPr>
          <w:p w14:paraId="7B2C0461" w14:textId="77777777" w:rsidR="00FC08DA" w:rsidRPr="003A0120" w:rsidRDefault="00FC08DA" w:rsidP="00BD3D05">
            <w:pPr>
              <w:pStyle w:val="TableHeading"/>
              <w:rPr>
                <w:rFonts w:ascii="Calibri" w:hAnsi="Calibri" w:cs="Calibri"/>
              </w:rPr>
            </w:pPr>
            <w:r w:rsidRPr="003A0120">
              <w:rPr>
                <w:rFonts w:ascii="Calibri" w:hAnsi="Calibri" w:cs="Calibri"/>
              </w:rPr>
              <w:t>Column 2</w:t>
            </w:r>
          </w:p>
          <w:p w14:paraId="62B0FAAB" w14:textId="77777777" w:rsidR="00FC08DA" w:rsidRPr="003A0120" w:rsidRDefault="00FC08DA" w:rsidP="00BD3D05">
            <w:pPr>
              <w:pStyle w:val="TableHeading"/>
              <w:rPr>
                <w:rFonts w:ascii="Calibri" w:hAnsi="Calibri" w:cs="Calibri"/>
              </w:rPr>
            </w:pPr>
            <w:r w:rsidRPr="003A0120">
              <w:rPr>
                <w:rFonts w:ascii="Calibri" w:hAnsi="Calibri" w:cs="Calibri"/>
              </w:rPr>
              <w:t>Description</w:t>
            </w:r>
          </w:p>
        </w:tc>
      </w:tr>
      <w:tr w:rsidR="00FC08DA" w:rsidRPr="004636D4" w14:paraId="1F730DB6" w14:textId="77777777" w:rsidTr="00BD3D05">
        <w:tc>
          <w:tcPr>
            <w:tcW w:w="714" w:type="dxa"/>
            <w:tcBorders>
              <w:top w:val="single" w:sz="12" w:space="0" w:color="auto"/>
            </w:tcBorders>
          </w:tcPr>
          <w:p w14:paraId="5A0F6962" w14:textId="77777777" w:rsidR="00FC08DA" w:rsidRPr="003A0120" w:rsidRDefault="00FC08DA" w:rsidP="00BD3D05">
            <w:pPr>
              <w:pStyle w:val="Tabletext"/>
              <w:rPr>
                <w:rFonts w:ascii="Calibri" w:hAnsi="Calibri" w:cs="Calibri"/>
              </w:rPr>
            </w:pPr>
            <w:r w:rsidRPr="003A0120">
              <w:rPr>
                <w:rFonts w:ascii="Calibri" w:hAnsi="Calibri" w:cs="Calibri"/>
              </w:rPr>
              <w:t>1</w:t>
            </w:r>
          </w:p>
        </w:tc>
        <w:tc>
          <w:tcPr>
            <w:tcW w:w="1408" w:type="dxa"/>
            <w:tcBorders>
              <w:top w:val="single" w:sz="12" w:space="0" w:color="auto"/>
            </w:tcBorders>
          </w:tcPr>
          <w:p w14:paraId="1C4AB317" w14:textId="77777777" w:rsidR="00FC08DA" w:rsidRPr="003A0120" w:rsidRDefault="00FC08DA" w:rsidP="00BD3D05">
            <w:pPr>
              <w:pStyle w:val="Tabletext"/>
              <w:rPr>
                <w:rFonts w:ascii="Calibri" w:hAnsi="Calibri" w:cs="Calibri"/>
                <w:highlight w:val="yellow"/>
              </w:rPr>
            </w:pPr>
            <w:r w:rsidRPr="003A0120">
              <w:rPr>
                <w:rFonts w:ascii="Calibri" w:hAnsi="Calibri" w:cs="Calibri"/>
              </w:rPr>
              <w:t>Care and services plan oversight</w:t>
            </w:r>
          </w:p>
        </w:tc>
        <w:tc>
          <w:tcPr>
            <w:tcW w:w="6190" w:type="dxa"/>
            <w:tcBorders>
              <w:top w:val="single" w:sz="12" w:space="0" w:color="auto"/>
            </w:tcBorders>
          </w:tcPr>
          <w:p w14:paraId="78C52EB4" w14:textId="77777777" w:rsidR="00FC08DA" w:rsidRPr="003A0120" w:rsidRDefault="00FC08DA" w:rsidP="00BD3D05">
            <w:pPr>
              <w:pStyle w:val="Tabletext"/>
              <w:rPr>
                <w:rFonts w:ascii="Calibri" w:hAnsi="Calibri" w:cs="Calibri"/>
              </w:rPr>
            </w:pPr>
            <w:r w:rsidRPr="003A0120">
              <w:rPr>
                <w:rFonts w:ascii="Calibri" w:hAnsi="Calibri" w:cs="Calibri"/>
              </w:rPr>
              <w:t>Ensuring that:</w:t>
            </w:r>
          </w:p>
          <w:p w14:paraId="3F9D95D1" w14:textId="2F040CB2" w:rsidR="00FC08DA" w:rsidRPr="003B7A88" w:rsidRDefault="00FC08DA" w:rsidP="003A0120">
            <w:pPr>
              <w:pStyle w:val="Tabletext"/>
              <w:rPr>
                <w:rFonts w:cs="Calibri"/>
              </w:rPr>
            </w:pPr>
            <w:r w:rsidRPr="003A0120">
              <w:rPr>
                <w:rFonts w:ascii="Calibri" w:hAnsi="Calibri" w:cs="Calibri"/>
              </w:rPr>
              <w:t>the individual’s care and services plan is carried out; and</w:t>
            </w:r>
          </w:p>
          <w:p w14:paraId="1B895875" w14:textId="77777777" w:rsidR="00FC08DA" w:rsidRPr="003A0120" w:rsidRDefault="00FC08DA" w:rsidP="00BD3D05">
            <w:pPr>
              <w:pStyle w:val="Tabletext"/>
              <w:rPr>
                <w:rFonts w:ascii="Calibri" w:hAnsi="Calibri" w:cs="Calibri"/>
              </w:rPr>
            </w:pPr>
            <w:r w:rsidRPr="003A0120">
              <w:rPr>
                <w:rFonts w:ascii="Calibri" w:hAnsi="Calibri" w:cs="Calibri"/>
              </w:rPr>
              <w:t>(b) progress against the care and services plan goals is monitored</w:t>
            </w:r>
          </w:p>
          <w:p w14:paraId="7F1338B2" w14:textId="77777777"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w:t>
            </w:r>
            <w:r w:rsidRPr="003A0120">
              <w:rPr>
                <w:rFonts w:ascii="Calibri" w:hAnsi="Calibri" w:cs="Calibri"/>
                <w:sz w:val="16"/>
                <w:szCs w:val="16"/>
              </w:rPr>
              <w:tab/>
              <w:t>For requirements for care and services plans, see paragraph 148(e) of the Act and Subdivisions A and D of Division 3 of Part 4 of Chapter 4 of this instrument. For Aged 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43EDC213" w14:textId="77777777" w:rsidTr="00BD3D05">
        <w:tc>
          <w:tcPr>
            <w:tcW w:w="714" w:type="dxa"/>
          </w:tcPr>
          <w:p w14:paraId="1BE1BB23" w14:textId="77777777" w:rsidR="00FC08DA" w:rsidRPr="003A0120" w:rsidRDefault="00FC08DA" w:rsidP="00BD3D05">
            <w:pPr>
              <w:pStyle w:val="Tabletext"/>
              <w:rPr>
                <w:rFonts w:ascii="Calibri" w:hAnsi="Calibri" w:cs="Calibri"/>
              </w:rPr>
            </w:pPr>
            <w:r w:rsidRPr="003A0120">
              <w:rPr>
                <w:rFonts w:ascii="Calibri" w:hAnsi="Calibri" w:cs="Calibri"/>
              </w:rPr>
              <w:t>2</w:t>
            </w:r>
          </w:p>
        </w:tc>
        <w:tc>
          <w:tcPr>
            <w:tcW w:w="1408" w:type="dxa"/>
          </w:tcPr>
          <w:p w14:paraId="3DD4F426" w14:textId="77777777" w:rsidR="00FC08DA" w:rsidRPr="003A0120" w:rsidRDefault="00FC08DA" w:rsidP="00BD3D05">
            <w:pPr>
              <w:pStyle w:val="Tabletext"/>
              <w:rPr>
                <w:rFonts w:ascii="Calibri" w:hAnsi="Calibri" w:cs="Calibri"/>
              </w:rPr>
            </w:pPr>
            <w:r w:rsidRPr="003A0120">
              <w:rPr>
                <w:rFonts w:ascii="Calibri" w:hAnsi="Calibri" w:cs="Calibri"/>
              </w:rPr>
              <w:t>Allied health, rehabilitation and therapeutic exercise therapy programs</w:t>
            </w:r>
          </w:p>
        </w:tc>
        <w:tc>
          <w:tcPr>
            <w:tcW w:w="6190" w:type="dxa"/>
          </w:tcPr>
          <w:p w14:paraId="2DA725C1" w14:textId="77777777" w:rsidR="00FC08DA" w:rsidRPr="003A0120" w:rsidRDefault="00FC08DA" w:rsidP="00BD3D05">
            <w:pPr>
              <w:pStyle w:val="Tabletext"/>
              <w:rPr>
                <w:rFonts w:ascii="Calibri" w:hAnsi="Calibri" w:cs="Calibri"/>
              </w:rPr>
            </w:pPr>
            <w:r w:rsidRPr="003A0120">
              <w:rPr>
                <w:rFonts w:ascii="Calibri" w:hAnsi="Calibri" w:cs="Calibri"/>
              </w:rPr>
              <w:t>Allied health, rehabilitation and therapeutic exercise therapy programs that are:</w:t>
            </w:r>
          </w:p>
          <w:p w14:paraId="00602FB0" w14:textId="7A6F5052" w:rsidR="00FC08DA" w:rsidRPr="003A0120" w:rsidRDefault="00FC08DA" w:rsidP="0050112F">
            <w:pPr>
              <w:pStyle w:val="Tablea"/>
              <w:numPr>
                <w:ilvl w:val="0"/>
                <w:numId w:val="106"/>
              </w:numPr>
              <w:rPr>
                <w:sz w:val="20"/>
              </w:rPr>
            </w:pPr>
            <w:r w:rsidRPr="003A0120">
              <w:rPr>
                <w:sz w:val="20"/>
              </w:rPr>
              <w:t>designed by:</w:t>
            </w:r>
          </w:p>
          <w:p w14:paraId="05122CDC" w14:textId="77777777" w:rsidR="00FC08DA" w:rsidRPr="003A0120" w:rsidRDefault="00FC08DA" w:rsidP="00BD3D05">
            <w:pPr>
              <w:pStyle w:val="Tablei"/>
              <w:rPr>
                <w:rFonts w:ascii="Calibri" w:hAnsi="Calibri" w:cs="Calibri"/>
              </w:rPr>
            </w:pPr>
            <w:r w:rsidRPr="003A0120">
              <w:rPr>
                <w:rFonts w:ascii="Calibri" w:hAnsi="Calibri" w:cs="Calibri"/>
              </w:rPr>
              <w:t>(i) appropriate registered health practitioners; or</w:t>
            </w:r>
          </w:p>
          <w:p w14:paraId="254FB710" w14:textId="77777777" w:rsidR="00FC08DA" w:rsidRPr="003A0120" w:rsidRDefault="00FC08DA" w:rsidP="00BD3D05">
            <w:pPr>
              <w:pStyle w:val="Tablei"/>
              <w:rPr>
                <w:rFonts w:ascii="Calibri" w:hAnsi="Calibri" w:cs="Calibri"/>
              </w:rPr>
            </w:pPr>
            <w:r w:rsidRPr="003A0120">
              <w:rPr>
                <w:rFonts w:ascii="Calibri" w:hAnsi="Calibri" w:cs="Calibri"/>
              </w:rPr>
              <w:t>(ii) appropriate allied health professionals; or</w:t>
            </w:r>
          </w:p>
          <w:p w14:paraId="7E2E9911" w14:textId="77777777" w:rsidR="00FC08DA" w:rsidRPr="003A0120" w:rsidRDefault="00FC08DA" w:rsidP="00BD3D05">
            <w:pPr>
              <w:pStyle w:val="Tablei"/>
              <w:rPr>
                <w:rFonts w:ascii="Calibri" w:hAnsi="Calibri" w:cs="Calibri"/>
              </w:rPr>
            </w:pPr>
            <w:r w:rsidRPr="003A0120">
              <w:rPr>
                <w:rFonts w:ascii="Calibri" w:hAnsi="Calibri" w:cs="Calibri"/>
              </w:rPr>
              <w:t>(iii) appropriate registered health practitioners and appropriate allied health professionals; and</w:t>
            </w:r>
          </w:p>
          <w:p w14:paraId="5CB31A4C" w14:textId="2DA9F7D2" w:rsidR="00FC08DA" w:rsidRPr="003A0120" w:rsidRDefault="00FC08DA" w:rsidP="00497EDC">
            <w:pPr>
              <w:pStyle w:val="Tablea"/>
              <w:rPr>
                <w:sz w:val="20"/>
              </w:rPr>
            </w:pPr>
            <w:r w:rsidRPr="003A0120">
              <w:rPr>
                <w:sz w:val="20"/>
              </w:rPr>
              <w:t>designed in consultation with the individual and their supporters (if required); and</w:t>
            </w:r>
          </w:p>
          <w:p w14:paraId="5E04B43E" w14:textId="06E43144" w:rsidR="00FC08DA" w:rsidRPr="003A0120" w:rsidRDefault="00FC08DA" w:rsidP="00497EDC">
            <w:pPr>
              <w:pStyle w:val="Tablea"/>
              <w:rPr>
                <w:sz w:val="20"/>
              </w:rPr>
            </w:pPr>
            <w:r w:rsidRPr="003A0120">
              <w:rPr>
                <w:sz w:val="20"/>
              </w:rPr>
              <w:t>delivered in individual or group settings; and</w:t>
            </w:r>
          </w:p>
          <w:p w14:paraId="7583982B" w14:textId="50F3DD7B" w:rsidR="00FC08DA" w:rsidRPr="003A0120" w:rsidRDefault="00FC08DA" w:rsidP="00497EDC">
            <w:pPr>
              <w:pStyle w:val="Tablea"/>
              <w:rPr>
                <w:sz w:val="20"/>
              </w:rPr>
            </w:pPr>
            <w:r w:rsidRPr="003A0120">
              <w:rPr>
                <w:sz w:val="20"/>
              </w:rPr>
              <w:t>delivered by, or under the supervision, direction or appropriate delegation of:</w:t>
            </w:r>
          </w:p>
          <w:p w14:paraId="5471AE2B" w14:textId="77777777" w:rsidR="00FC08DA" w:rsidRPr="003A0120" w:rsidRDefault="00FC08DA" w:rsidP="00BD3D05">
            <w:pPr>
              <w:pStyle w:val="Tablei"/>
              <w:rPr>
                <w:rFonts w:ascii="Calibri" w:hAnsi="Calibri" w:cs="Calibri"/>
              </w:rPr>
            </w:pPr>
            <w:r w:rsidRPr="003A0120">
              <w:rPr>
                <w:rFonts w:ascii="Calibri" w:hAnsi="Calibri" w:cs="Calibri"/>
              </w:rPr>
              <w:t>(i) registered health practitioners; or</w:t>
            </w:r>
          </w:p>
          <w:p w14:paraId="28338DE6" w14:textId="77777777" w:rsidR="00FC08DA" w:rsidRPr="003A0120" w:rsidRDefault="00FC08DA" w:rsidP="00BD3D05">
            <w:pPr>
              <w:pStyle w:val="Tablei"/>
              <w:rPr>
                <w:rFonts w:ascii="Calibri" w:hAnsi="Calibri" w:cs="Calibri"/>
              </w:rPr>
            </w:pPr>
            <w:r w:rsidRPr="003A0120">
              <w:rPr>
                <w:rFonts w:ascii="Calibri" w:hAnsi="Calibri" w:cs="Calibri"/>
              </w:rPr>
              <w:t>(ii) allied health professionals; or</w:t>
            </w:r>
          </w:p>
          <w:p w14:paraId="5CD78812" w14:textId="77777777" w:rsidR="00FC08DA" w:rsidRPr="003A0120" w:rsidRDefault="00FC08DA" w:rsidP="00BD3D05">
            <w:pPr>
              <w:pStyle w:val="Tablei"/>
              <w:rPr>
                <w:rFonts w:ascii="Calibri" w:hAnsi="Calibri" w:cs="Calibri"/>
              </w:rPr>
            </w:pPr>
            <w:r w:rsidRPr="003A0120">
              <w:rPr>
                <w:rFonts w:ascii="Calibri" w:hAnsi="Calibri" w:cs="Calibri"/>
              </w:rPr>
              <w:t>(iii) registered health practitioners and allied health professionals; and</w:t>
            </w:r>
          </w:p>
          <w:p w14:paraId="538BFA5F" w14:textId="76891F91" w:rsidR="00FC08DA" w:rsidRPr="003A0120" w:rsidRDefault="00FC08DA" w:rsidP="00497EDC">
            <w:pPr>
              <w:pStyle w:val="Tablea"/>
              <w:rPr>
                <w:sz w:val="20"/>
              </w:rPr>
            </w:pPr>
            <w:r w:rsidRPr="003A0120">
              <w:rPr>
                <w:sz w:val="20"/>
              </w:rPr>
              <w:t>aimed at maintaining and restoring the individual’s physical, functional and communication abilities to perform daily tasks for themselves, including through:</w:t>
            </w:r>
          </w:p>
          <w:p w14:paraId="3C10F491" w14:textId="77777777" w:rsidR="00FC08DA" w:rsidRPr="003A0120" w:rsidRDefault="00FC08DA" w:rsidP="00BD3D05">
            <w:pPr>
              <w:pStyle w:val="Tablei"/>
              <w:rPr>
                <w:rFonts w:ascii="Calibri" w:hAnsi="Calibri" w:cs="Calibri"/>
              </w:rPr>
            </w:pPr>
            <w:r w:rsidRPr="003A0120">
              <w:rPr>
                <w:rFonts w:ascii="Calibri" w:hAnsi="Calibri" w:cs="Calibri"/>
              </w:rPr>
              <w:t>(i) maintenance therapy that is designed to provide ongoing therapy services to prevent reasonably avoidable physical and functional decline and maintain and improve levels of independence in everyday living; and</w:t>
            </w:r>
          </w:p>
          <w:p w14:paraId="71832149" w14:textId="77777777" w:rsidR="00FC08DA" w:rsidRPr="003A0120" w:rsidRDefault="00FC08DA" w:rsidP="00BD3D05">
            <w:pPr>
              <w:pStyle w:val="Tablei"/>
              <w:rPr>
                <w:rFonts w:ascii="Calibri" w:hAnsi="Calibri" w:cs="Calibri"/>
              </w:rPr>
            </w:pPr>
            <w:r w:rsidRPr="003A0120">
              <w:rPr>
                <w:rFonts w:ascii="Calibri" w:hAnsi="Calibri" w:cs="Calibri"/>
              </w:rPr>
              <w:lastRenderedPageBreak/>
              <w:t>(ii) if required, more focused restorative care therapy on a time</w:t>
            </w:r>
            <w:r w:rsidRPr="003A0120">
              <w:rPr>
                <w:rFonts w:ascii="Calibri" w:hAnsi="Calibri" w:cs="Calibri"/>
              </w:rPr>
              <w:noBreakHyphen/>
              <w:t>limited basis that is designed to allow the individual to reach a level of independence at which maintenance therapy will meet their needs;</w:t>
            </w:r>
          </w:p>
          <w:p w14:paraId="4EA0D9B7" w14:textId="77777777" w:rsidR="00FC08DA" w:rsidRPr="003A0120" w:rsidRDefault="00FC08DA" w:rsidP="00BD3D05">
            <w:pPr>
              <w:pStyle w:val="Tabletext"/>
              <w:rPr>
                <w:rFonts w:ascii="Calibri" w:hAnsi="Calibri" w:cs="Calibri"/>
              </w:rPr>
            </w:pPr>
            <w:r w:rsidRPr="003A0120">
              <w:rPr>
                <w:rFonts w:ascii="Calibri" w:hAnsi="Calibri" w:cs="Calibri"/>
              </w:rPr>
              <w:t>but not including the following:</w:t>
            </w:r>
          </w:p>
          <w:p w14:paraId="0BCD266A" w14:textId="227D5915" w:rsidR="00FC08DA" w:rsidRPr="003A0120" w:rsidRDefault="00FC08DA" w:rsidP="00497EDC">
            <w:pPr>
              <w:pStyle w:val="Tablea"/>
              <w:rPr>
                <w:sz w:val="20"/>
              </w:rPr>
            </w:pPr>
            <w:r w:rsidRPr="003A0120">
              <w:rPr>
                <w:sz w:val="20"/>
              </w:rPr>
              <w:t>intensive, long</w:t>
            </w:r>
            <w:r w:rsidRPr="003A0120">
              <w:rPr>
                <w:sz w:val="20"/>
              </w:rPr>
              <w:noBreakHyphen/>
              <w:t>term rehabilitation services required following (for example) serious illness or injury, surgery or trauma;</w:t>
            </w:r>
          </w:p>
          <w:p w14:paraId="58475752" w14:textId="0B245003" w:rsidR="00FC08DA" w:rsidRPr="003A0120" w:rsidRDefault="00FC08DA" w:rsidP="00497EDC">
            <w:pPr>
              <w:pStyle w:val="Tablea"/>
              <w:rPr>
                <w:sz w:val="20"/>
              </w:rPr>
            </w:pPr>
            <w:r w:rsidRPr="003A0120">
              <w:rPr>
                <w:rFonts w:eastAsia="Calibri"/>
                <w:sz w:val="20"/>
                <w:lang w:eastAsia="en-US"/>
              </w:rPr>
              <w:t>allied health services and appointments made for or by the individual or their supporters, that are in addition to those required to meet the individual’s care needs under programs covered by paragraphs (a) to (e)</w:t>
            </w:r>
          </w:p>
        </w:tc>
      </w:tr>
      <w:tr w:rsidR="00FC08DA" w:rsidRPr="004636D4" w14:paraId="6511CA87" w14:textId="77777777" w:rsidTr="00BD3D05">
        <w:tc>
          <w:tcPr>
            <w:tcW w:w="714" w:type="dxa"/>
          </w:tcPr>
          <w:p w14:paraId="133B3237" w14:textId="77777777" w:rsidR="00FC08DA" w:rsidRPr="003A0120" w:rsidRDefault="00FC08DA" w:rsidP="00BD3D05">
            <w:pPr>
              <w:pStyle w:val="Tabletext"/>
              <w:rPr>
                <w:rFonts w:ascii="Calibri" w:hAnsi="Calibri" w:cs="Calibri"/>
              </w:rPr>
            </w:pPr>
          </w:p>
        </w:tc>
        <w:tc>
          <w:tcPr>
            <w:tcW w:w="1408" w:type="dxa"/>
          </w:tcPr>
          <w:p w14:paraId="61021D41" w14:textId="77777777" w:rsidR="00FC08DA" w:rsidRPr="003A0120" w:rsidRDefault="00FC08DA" w:rsidP="00BD3D05">
            <w:pPr>
              <w:pStyle w:val="Tabletext"/>
              <w:rPr>
                <w:rFonts w:ascii="Calibri" w:hAnsi="Calibri" w:cs="Calibri"/>
              </w:rPr>
            </w:pPr>
            <w:r w:rsidRPr="003A0120">
              <w:rPr>
                <w:rFonts w:ascii="Calibri" w:hAnsi="Calibri" w:cs="Calibri"/>
              </w:rPr>
              <w:t>Medication management</w:t>
            </w:r>
          </w:p>
        </w:tc>
        <w:tc>
          <w:tcPr>
            <w:tcW w:w="6190" w:type="dxa"/>
          </w:tcPr>
          <w:p w14:paraId="29292613"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2AA66A1D" w14:textId="1B8B196A" w:rsidR="00FC08DA" w:rsidRPr="003A0120" w:rsidRDefault="00FC08DA" w:rsidP="0050112F">
            <w:pPr>
              <w:pStyle w:val="Tablea"/>
              <w:numPr>
                <w:ilvl w:val="0"/>
                <w:numId w:val="107"/>
              </w:numPr>
              <w:rPr>
                <w:sz w:val="20"/>
              </w:rPr>
            </w:pPr>
            <w:r w:rsidRPr="003A0120">
              <w:rPr>
                <w:sz w:val="20"/>
              </w:rPr>
              <w:t>implementation of a safe and efficient system to manage prescribing, procuring, dispensing, supplying, packaging, storing and administering of both prescription and over</w:t>
            </w:r>
            <w:r w:rsidRPr="003A0120">
              <w:rPr>
                <w:sz w:val="20"/>
              </w:rPr>
              <w:noBreakHyphen/>
              <w:t>the</w:t>
            </w:r>
            <w:r w:rsidRPr="003A0120">
              <w:rPr>
                <w:sz w:val="20"/>
              </w:rPr>
              <w:noBreakHyphen/>
              <w:t>counter medicines;</w:t>
            </w:r>
          </w:p>
          <w:p w14:paraId="285A1562" w14:textId="77777777" w:rsidR="00FC08DA" w:rsidRPr="003A0120" w:rsidRDefault="00FC08DA" w:rsidP="00497EDC">
            <w:pPr>
              <w:pStyle w:val="Tablea"/>
              <w:rPr>
                <w:sz w:val="20"/>
              </w:rPr>
            </w:pPr>
            <w:r w:rsidRPr="003A0120">
              <w:rPr>
                <w:sz w:val="20"/>
              </w:rPr>
              <w:t>administration and monitoring of the effects of medication (via all routes (including injections)), including supervision and physical assistance with taking both prescription and over</w:t>
            </w:r>
            <w:r w:rsidRPr="003A0120">
              <w:rPr>
                <w:sz w:val="20"/>
              </w:rPr>
              <w:noBreakHyphen/>
              <w:t>the</w:t>
            </w:r>
            <w:r w:rsidRPr="003A0120">
              <w:rPr>
                <w:sz w:val="20"/>
              </w:rPr>
              <w:noBreakHyphen/>
              <w:t>counter medication, under the delegation and clinical supervision of a registered nurse or other appropriate registered health practitioner;</w:t>
            </w:r>
          </w:p>
          <w:p w14:paraId="6C4CFD12" w14:textId="2FCF0674" w:rsidR="00FC08DA" w:rsidRPr="003A0120" w:rsidRDefault="00FC08DA" w:rsidP="00497EDC">
            <w:pPr>
              <w:pStyle w:val="Tablea"/>
              <w:rPr>
                <w:sz w:val="20"/>
              </w:rPr>
            </w:pPr>
            <w:r w:rsidRPr="003A0120">
              <w:rPr>
                <w:sz w:val="20"/>
              </w:rPr>
              <w:t>reviewing the appropriateness of medications as needed under the delegation and clinical supervision of a registered nurse, or other appropriate registered health practitioner;</w:t>
            </w:r>
          </w:p>
          <w:p w14:paraId="60959213" w14:textId="77777777" w:rsidR="00FC08DA" w:rsidRPr="003A0120" w:rsidRDefault="00FC08DA" w:rsidP="00BD3D05">
            <w:pPr>
              <w:pStyle w:val="Tabletext"/>
              <w:rPr>
                <w:rFonts w:ascii="Calibri" w:hAnsi="Calibri" w:cs="Calibri"/>
              </w:rPr>
            </w:pPr>
            <w:r w:rsidRPr="003A0120">
              <w:rPr>
                <w:rFonts w:ascii="Calibri" w:hAnsi="Calibri" w:cs="Calibri"/>
              </w:rPr>
              <w:t>but not including the cost of prescription and over</w:t>
            </w:r>
            <w:r w:rsidRPr="003A0120">
              <w:rPr>
                <w:rFonts w:ascii="Calibri" w:hAnsi="Calibri" w:cs="Calibri"/>
              </w:rPr>
              <w:noBreakHyphen/>
              <w:t>the</w:t>
            </w:r>
            <w:r w:rsidRPr="003A0120">
              <w:rPr>
                <w:rFonts w:ascii="Calibri" w:hAnsi="Calibri" w:cs="Calibri"/>
              </w:rPr>
              <w:noBreakHyphen/>
              <w:t>counter medications</w:t>
            </w:r>
          </w:p>
        </w:tc>
      </w:tr>
      <w:tr w:rsidR="00FC08DA" w:rsidRPr="004636D4" w14:paraId="5CBCC926" w14:textId="77777777" w:rsidTr="00BD3D05">
        <w:tc>
          <w:tcPr>
            <w:tcW w:w="714" w:type="dxa"/>
          </w:tcPr>
          <w:p w14:paraId="76937EE5" w14:textId="77777777" w:rsidR="00FC08DA" w:rsidRPr="003A0120" w:rsidRDefault="00FC08DA" w:rsidP="00BD3D05">
            <w:pPr>
              <w:pStyle w:val="Tabletext"/>
              <w:rPr>
                <w:rFonts w:ascii="Calibri" w:hAnsi="Calibri" w:cs="Calibri"/>
              </w:rPr>
            </w:pPr>
            <w:r w:rsidRPr="003A0120">
              <w:rPr>
                <w:rFonts w:ascii="Calibri" w:hAnsi="Calibri" w:cs="Calibri"/>
              </w:rPr>
              <w:t>4</w:t>
            </w:r>
          </w:p>
        </w:tc>
        <w:tc>
          <w:tcPr>
            <w:tcW w:w="1408" w:type="dxa"/>
          </w:tcPr>
          <w:p w14:paraId="13781FF0" w14:textId="77777777" w:rsidR="00FC08DA" w:rsidRPr="003A0120" w:rsidRDefault="00FC08DA" w:rsidP="00BD3D05">
            <w:pPr>
              <w:pStyle w:val="Tabletext"/>
              <w:rPr>
                <w:rFonts w:ascii="Calibri" w:hAnsi="Calibri" w:cs="Calibri"/>
              </w:rPr>
            </w:pPr>
            <w:r w:rsidRPr="003A0120">
              <w:rPr>
                <w:rFonts w:ascii="Calibri" w:hAnsi="Calibri" w:cs="Calibri"/>
              </w:rPr>
              <w:t>Nursing</w:t>
            </w:r>
          </w:p>
        </w:tc>
        <w:tc>
          <w:tcPr>
            <w:tcW w:w="6190" w:type="dxa"/>
          </w:tcPr>
          <w:p w14:paraId="026E00B3" w14:textId="77777777" w:rsidR="00FC08DA" w:rsidRPr="003A0120" w:rsidRDefault="00FC08DA" w:rsidP="00BD3D05">
            <w:pPr>
              <w:pStyle w:val="Tabletext"/>
              <w:rPr>
                <w:rFonts w:ascii="Calibri" w:hAnsi="Calibri" w:cs="Calibri"/>
              </w:rPr>
            </w:pPr>
            <w:r w:rsidRPr="003A0120">
              <w:rPr>
                <w:rFonts w:ascii="Calibri" w:hAnsi="Calibri" w:cs="Calibri"/>
              </w:rPr>
              <w:t>Services provided by or under the supervision of a registered nurse, including but not limited to the following:</w:t>
            </w:r>
          </w:p>
          <w:p w14:paraId="511D8395" w14:textId="5D7AB695" w:rsidR="00FC08DA" w:rsidRPr="003A0120" w:rsidRDefault="00FC08DA" w:rsidP="0050112F">
            <w:pPr>
              <w:pStyle w:val="Tablea"/>
              <w:numPr>
                <w:ilvl w:val="0"/>
                <w:numId w:val="108"/>
              </w:numPr>
              <w:rPr>
                <w:sz w:val="20"/>
              </w:rPr>
            </w:pPr>
            <w:r w:rsidRPr="003A0120">
              <w:rPr>
                <w:sz w:val="20"/>
              </w:rPr>
              <w:t>initial comprehensive clinical assessment for input to the care and services plan for the individual, carried out:</w:t>
            </w:r>
          </w:p>
          <w:p w14:paraId="744DB994"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64D55A6D" w14:textId="77777777" w:rsidR="00FC08DA" w:rsidRPr="003A0120" w:rsidRDefault="00FC08DA" w:rsidP="00BD3D05">
            <w:pPr>
              <w:pStyle w:val="Tablei"/>
              <w:rPr>
                <w:rFonts w:ascii="Calibri" w:hAnsi="Calibri" w:cs="Calibri"/>
              </w:rPr>
            </w:pPr>
            <w:r w:rsidRPr="003A0120">
              <w:rPr>
                <w:rFonts w:ascii="Calibri" w:hAnsi="Calibri" w:cs="Calibri"/>
              </w:rPr>
              <w:t>(ii) by a registered nurse; and</w:t>
            </w:r>
          </w:p>
          <w:p w14:paraId="67FAE495"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1F2011EE" w14:textId="44278628" w:rsidR="00FC08DA" w:rsidRPr="003A0120" w:rsidRDefault="00FC08DA" w:rsidP="00497EDC">
            <w:pPr>
              <w:pStyle w:val="Tablea"/>
              <w:rPr>
                <w:sz w:val="20"/>
              </w:rPr>
            </w:pPr>
            <w:r w:rsidRPr="003A0120">
              <w:rPr>
                <w:sz w:val="20"/>
              </w:rPr>
              <w:t>ongoing regular comprehensive clinical assessment of the individual, including identifying and responding appropriately to change or deterioration in function, behaviour, condition or risk, carried out:</w:t>
            </w:r>
          </w:p>
          <w:p w14:paraId="2C5C9D39" w14:textId="77777777" w:rsidR="00FC08DA" w:rsidRPr="003A0120" w:rsidRDefault="00FC08DA" w:rsidP="00BD3D05">
            <w:pPr>
              <w:pStyle w:val="Tablei"/>
              <w:rPr>
                <w:rFonts w:ascii="Calibri" w:hAnsi="Calibri" w:cs="Calibri"/>
              </w:rPr>
            </w:pPr>
            <w:r w:rsidRPr="003A0120">
              <w:rPr>
                <w:rFonts w:ascii="Calibri" w:hAnsi="Calibri" w:cs="Calibri"/>
              </w:rPr>
              <w:t>(i) in line with the individual’s needs, goals and preferences; and</w:t>
            </w:r>
          </w:p>
          <w:p w14:paraId="78084B4D" w14:textId="77777777" w:rsidR="00FC08DA" w:rsidRPr="003A0120" w:rsidRDefault="00FC08DA" w:rsidP="00BD3D05">
            <w:pPr>
              <w:pStyle w:val="Tablei"/>
              <w:rPr>
                <w:rFonts w:ascii="Calibri" w:hAnsi="Calibri" w:cs="Calibri"/>
              </w:rPr>
            </w:pPr>
            <w:r w:rsidRPr="003A0120">
              <w:rPr>
                <w:rFonts w:ascii="Calibri" w:hAnsi="Calibri" w:cs="Calibri"/>
              </w:rPr>
              <w:t>(ii) by a registered nurse, or an enrolled nurse under appropriate delegation by a registered nurse; and</w:t>
            </w:r>
          </w:p>
          <w:p w14:paraId="713DC0A1" w14:textId="77777777" w:rsidR="00FC08DA" w:rsidRPr="003A0120" w:rsidRDefault="00FC08DA" w:rsidP="00BD3D05">
            <w:pPr>
              <w:pStyle w:val="Tablei"/>
              <w:rPr>
                <w:rFonts w:ascii="Calibri" w:hAnsi="Calibri" w:cs="Calibri"/>
              </w:rPr>
            </w:pPr>
            <w:r w:rsidRPr="003A0120">
              <w:rPr>
                <w:rFonts w:ascii="Calibri" w:hAnsi="Calibri" w:cs="Calibri"/>
              </w:rPr>
              <w:t xml:space="preserve">(iii) if required, </w:t>
            </w:r>
            <w:r w:rsidRPr="003A0120">
              <w:rPr>
                <w:rFonts w:ascii="Calibri" w:hAnsi="Calibri" w:cs="Calibri"/>
                <w:bCs/>
              </w:rPr>
              <w:t xml:space="preserve">in consultation with other </w:t>
            </w:r>
            <w:r w:rsidRPr="003A0120">
              <w:rPr>
                <w:rFonts w:ascii="Calibri" w:hAnsi="Calibri" w:cs="Calibri"/>
              </w:rPr>
              <w:t>appropriate registered health practitioners, appropriate allied health professionals, or appropriate registered health practitioners and appropriate allied health professionals;</w:t>
            </w:r>
          </w:p>
          <w:p w14:paraId="6913E3D6" w14:textId="3375246F" w:rsidR="00FC08DA" w:rsidRPr="003A0120" w:rsidRDefault="00FC08DA" w:rsidP="00497EDC">
            <w:pPr>
              <w:pStyle w:val="Tablea"/>
              <w:rPr>
                <w:sz w:val="20"/>
              </w:rPr>
            </w:pPr>
            <w:r w:rsidRPr="003A0120">
              <w:rPr>
                <w:sz w:val="20"/>
              </w:rPr>
              <w:t>all other nursing services, carried out:</w:t>
            </w:r>
          </w:p>
          <w:p w14:paraId="3B18729E" w14:textId="77777777" w:rsidR="00FC08DA" w:rsidRPr="003A0120" w:rsidRDefault="00FC08DA" w:rsidP="00BD3D05">
            <w:pPr>
              <w:pStyle w:val="Tablei"/>
              <w:rPr>
                <w:rFonts w:ascii="Calibri" w:hAnsi="Calibri" w:cs="Calibri"/>
              </w:rPr>
            </w:pPr>
            <w:r w:rsidRPr="003A0120">
              <w:rPr>
                <w:rFonts w:ascii="Calibri" w:hAnsi="Calibri" w:cs="Calibri"/>
              </w:rPr>
              <w:t>(i) by a registered nurse, or an enrolled nurse under appropriate delegation by a registered nurse; and</w:t>
            </w:r>
          </w:p>
          <w:p w14:paraId="33F1E420" w14:textId="77777777" w:rsidR="00FC08DA" w:rsidRPr="003A0120" w:rsidRDefault="00FC08DA" w:rsidP="00BD3D05">
            <w:pPr>
              <w:pStyle w:val="Tablei"/>
              <w:rPr>
                <w:rFonts w:ascii="Calibri" w:hAnsi="Calibri" w:cs="Calibri"/>
              </w:rPr>
            </w:pPr>
            <w:r w:rsidRPr="003A0120">
              <w:rPr>
                <w:rFonts w:ascii="Calibri" w:hAnsi="Calibri" w:cs="Calibri"/>
              </w:rPr>
              <w:t xml:space="preserve">(ii) if required, </w:t>
            </w:r>
            <w:r w:rsidRPr="003A0120">
              <w:rPr>
                <w:rFonts w:ascii="Calibri" w:hAnsi="Calibri" w:cs="Calibri"/>
                <w:bCs/>
              </w:rPr>
              <w:t xml:space="preserve">in consultation with other </w:t>
            </w:r>
            <w:r w:rsidRPr="003A0120">
              <w:rPr>
                <w:rFonts w:ascii="Calibri" w:hAnsi="Calibri" w:cs="Calibri"/>
              </w:rPr>
              <w:t xml:space="preserve">appropriate registered health practitioners, appropriate allied health professionals, or </w:t>
            </w:r>
            <w:r w:rsidRPr="003A0120">
              <w:rPr>
                <w:rFonts w:ascii="Calibri" w:hAnsi="Calibri" w:cs="Calibri"/>
              </w:rPr>
              <w:lastRenderedPageBreak/>
              <w:t>appropriate registered health practitioners and appropriate allied health professionals</w:t>
            </w:r>
          </w:p>
          <w:p w14:paraId="61C97976" w14:textId="77777777" w:rsidR="00FC08DA" w:rsidRPr="003A0120" w:rsidRDefault="00FC08DA" w:rsidP="00BD3D05">
            <w:pPr>
              <w:pStyle w:val="notemargin"/>
              <w:rPr>
                <w:rFonts w:ascii="Calibri" w:hAnsi="Calibri" w:cs="Calibri"/>
                <w:sz w:val="16"/>
                <w:szCs w:val="16"/>
              </w:rPr>
            </w:pPr>
            <w:r w:rsidRPr="003A0120">
              <w:rPr>
                <w:rFonts w:ascii="Calibri" w:hAnsi="Calibri" w:cs="Calibri"/>
                <w:sz w:val="16"/>
                <w:szCs w:val="16"/>
              </w:rPr>
              <w:t>Note 1:</w:t>
            </w:r>
            <w:r w:rsidRPr="003A0120">
              <w:rPr>
                <w:rFonts w:ascii="Calibri" w:hAnsi="Calibri" w:cs="Calibri"/>
                <w:sz w:val="16"/>
                <w:szCs w:val="16"/>
              </w:rPr>
              <w:tab/>
              <w:t>Examples of services include (but are not limited to) the following:</w:t>
            </w:r>
          </w:p>
          <w:p w14:paraId="09459BE8" w14:textId="77777777" w:rsidR="00FC08DA" w:rsidRPr="003A0120" w:rsidRDefault="00FC08DA" w:rsidP="00BD3D05">
            <w:pPr>
              <w:pStyle w:val="notepara"/>
              <w:ind w:left="1026" w:hanging="284"/>
              <w:rPr>
                <w:rFonts w:cs="Calibri"/>
                <w:sz w:val="16"/>
                <w:szCs w:val="16"/>
              </w:rPr>
            </w:pPr>
            <w:r w:rsidRPr="003A0120">
              <w:rPr>
                <w:rFonts w:cs="Calibri"/>
                <w:sz w:val="16"/>
                <w:szCs w:val="16"/>
              </w:rPr>
              <w:t>(a)</w:t>
            </w:r>
            <w:r w:rsidRPr="003A0120">
              <w:rPr>
                <w:rFonts w:cs="Calibri"/>
                <w:sz w:val="16"/>
                <w:szCs w:val="16"/>
              </w:rPr>
              <w:tab/>
              <w:t>ongoing monitoring and evaluation of the individual, and identification where care may need to be escalated or altered due to the changing health or needs of the individual;</w:t>
            </w:r>
          </w:p>
          <w:p w14:paraId="4E7AC64F" w14:textId="77777777" w:rsidR="00FC08DA" w:rsidRPr="003A0120" w:rsidRDefault="00FC08DA" w:rsidP="00BD3D05">
            <w:pPr>
              <w:pStyle w:val="notepara"/>
              <w:ind w:left="1026" w:hanging="284"/>
              <w:rPr>
                <w:rFonts w:cs="Calibri"/>
                <w:sz w:val="16"/>
                <w:szCs w:val="16"/>
              </w:rPr>
            </w:pPr>
            <w:r w:rsidRPr="003A0120">
              <w:rPr>
                <w:rFonts w:cs="Calibri"/>
                <w:sz w:val="16"/>
                <w:szCs w:val="16"/>
              </w:rPr>
              <w:t>(b)</w:t>
            </w:r>
            <w:r w:rsidRPr="003A0120">
              <w:rPr>
                <w:rFonts w:cs="Calibri"/>
                <w:sz w:val="16"/>
                <w:szCs w:val="16"/>
              </w:rPr>
              <w:tab/>
              <w:t>maintaining accurate, comprehensive, and up</w:t>
            </w:r>
            <w:r w:rsidRPr="003A0120">
              <w:rPr>
                <w:rFonts w:cs="Calibri"/>
                <w:sz w:val="16"/>
                <w:szCs w:val="16"/>
              </w:rPr>
              <w:noBreakHyphen/>
              <w:t>to</w:t>
            </w:r>
            <w:r w:rsidRPr="003A0120">
              <w:rPr>
                <w:rFonts w:cs="Calibri"/>
                <w:sz w:val="16"/>
                <w:szCs w:val="16"/>
              </w:rPr>
              <w:noBreakHyphen/>
              <w:t>date clinical documentation of the individual’s care;</w:t>
            </w:r>
          </w:p>
          <w:p w14:paraId="571692EC" w14:textId="77777777" w:rsidR="00FC08DA" w:rsidRPr="003A0120" w:rsidRDefault="00FC08DA" w:rsidP="00BD3D05">
            <w:pPr>
              <w:pStyle w:val="notepara"/>
              <w:ind w:left="1026" w:hanging="284"/>
              <w:rPr>
                <w:rFonts w:cs="Calibri"/>
                <w:sz w:val="16"/>
                <w:szCs w:val="16"/>
              </w:rPr>
            </w:pPr>
            <w:r w:rsidRPr="003A0120">
              <w:rPr>
                <w:rFonts w:cs="Calibri"/>
                <w:sz w:val="16"/>
                <w:szCs w:val="16"/>
              </w:rPr>
              <w:t>(c)</w:t>
            </w:r>
            <w:r w:rsidRPr="003A0120">
              <w:rPr>
                <w:rFonts w:cs="Calibri"/>
                <w:sz w:val="16"/>
                <w:szCs w:val="16"/>
              </w:rPr>
              <w:tab/>
              <w:t>assistance with, or provision of support for, personal hygiene, including oral health management and considerations for bariatric care needs;</w:t>
            </w:r>
          </w:p>
          <w:p w14:paraId="180F59DA" w14:textId="77777777" w:rsidR="00FC08DA" w:rsidRPr="003A0120" w:rsidRDefault="00FC08DA" w:rsidP="00BD3D05">
            <w:pPr>
              <w:pStyle w:val="notepara"/>
              <w:ind w:left="1026" w:hanging="284"/>
              <w:rPr>
                <w:rFonts w:cs="Calibri"/>
                <w:sz w:val="16"/>
                <w:szCs w:val="16"/>
              </w:rPr>
            </w:pPr>
            <w:r w:rsidRPr="003A0120">
              <w:rPr>
                <w:rFonts w:cs="Calibri"/>
                <w:sz w:val="16"/>
                <w:szCs w:val="16"/>
              </w:rPr>
              <w:t>(d)</w:t>
            </w:r>
            <w:r w:rsidRPr="003A0120">
              <w:rPr>
                <w:rFonts w:cs="Calibri"/>
                <w:sz w:val="16"/>
                <w:szCs w:val="16"/>
              </w:rPr>
              <w:tab/>
              <w:t>chronic disease management, including blood glucose monitoring;</w:t>
            </w:r>
          </w:p>
          <w:p w14:paraId="1FF6CC2D" w14:textId="77777777" w:rsidR="00FC08DA" w:rsidRPr="003A0120" w:rsidRDefault="00FC08DA" w:rsidP="00BD3D05">
            <w:pPr>
              <w:pStyle w:val="notepara"/>
              <w:ind w:left="1026" w:hanging="284"/>
              <w:rPr>
                <w:rFonts w:cs="Calibri"/>
                <w:sz w:val="16"/>
                <w:szCs w:val="16"/>
              </w:rPr>
            </w:pPr>
            <w:r w:rsidRPr="003A0120">
              <w:rPr>
                <w:rFonts w:cs="Calibri"/>
                <w:sz w:val="16"/>
                <w:szCs w:val="16"/>
              </w:rPr>
              <w:t>(e)</w:t>
            </w:r>
            <w:r w:rsidRPr="003A0120">
              <w:rPr>
                <w:rFonts w:cs="Calibri"/>
                <w:sz w:val="16"/>
                <w:szCs w:val="16"/>
              </w:rPr>
              <w:tab/>
              <w:t>if the individual is living with cognitive decline—support and supervision of the individual;</w:t>
            </w:r>
          </w:p>
          <w:p w14:paraId="5A0394DE" w14:textId="77777777" w:rsidR="00FC08DA" w:rsidRPr="003A0120" w:rsidRDefault="00FC08DA" w:rsidP="00BD3D05">
            <w:pPr>
              <w:pStyle w:val="notepara"/>
              <w:ind w:left="1026" w:hanging="284"/>
              <w:rPr>
                <w:rFonts w:cs="Calibri"/>
                <w:sz w:val="16"/>
                <w:szCs w:val="16"/>
              </w:rPr>
            </w:pPr>
            <w:r w:rsidRPr="003A0120">
              <w:rPr>
                <w:rFonts w:cs="Calibri"/>
                <w:sz w:val="16"/>
                <w:szCs w:val="16"/>
              </w:rPr>
              <w:t>(f)</w:t>
            </w:r>
            <w:r w:rsidRPr="003A0120">
              <w:rPr>
                <w:rFonts w:cs="Calibri"/>
                <w:sz w:val="16"/>
                <w:szCs w:val="16"/>
              </w:rPr>
              <w:tab/>
              <w:t>if the individual is living with mental health decline—support and supervision of the individual;</w:t>
            </w:r>
          </w:p>
          <w:p w14:paraId="5672DD2B" w14:textId="77777777" w:rsidR="00FC08DA" w:rsidRPr="003A0120" w:rsidRDefault="00FC08DA" w:rsidP="00BD3D05">
            <w:pPr>
              <w:pStyle w:val="notepara"/>
              <w:ind w:left="1026" w:hanging="284"/>
              <w:rPr>
                <w:rFonts w:cs="Calibri"/>
                <w:sz w:val="16"/>
                <w:szCs w:val="16"/>
              </w:rPr>
            </w:pPr>
            <w:r w:rsidRPr="003A0120">
              <w:rPr>
                <w:rFonts w:cs="Calibri"/>
                <w:sz w:val="16"/>
                <w:szCs w:val="16"/>
              </w:rPr>
              <w:t>(g)</w:t>
            </w:r>
            <w:r w:rsidRPr="003A0120">
              <w:rPr>
                <w:rFonts w:cs="Calibri"/>
                <w:sz w:val="16"/>
                <w:szCs w:val="16"/>
              </w:rPr>
              <w:tab/>
              <w:t>establishment and supervision of a pain management plan, including the management and monitoring of chronic pain;</w:t>
            </w:r>
          </w:p>
          <w:p w14:paraId="0F9B9044" w14:textId="77777777" w:rsidR="00FC08DA" w:rsidRPr="003A0120" w:rsidRDefault="00FC08DA" w:rsidP="00BD3D05">
            <w:pPr>
              <w:pStyle w:val="notepara"/>
              <w:ind w:left="1026" w:hanging="284"/>
              <w:rPr>
                <w:rFonts w:cs="Calibri"/>
                <w:sz w:val="16"/>
                <w:szCs w:val="16"/>
              </w:rPr>
            </w:pPr>
            <w:r w:rsidRPr="003A0120">
              <w:rPr>
                <w:rFonts w:cs="Calibri"/>
                <w:sz w:val="16"/>
                <w:szCs w:val="16"/>
              </w:rPr>
              <w:t>(h)</w:t>
            </w:r>
            <w:r w:rsidRPr="003A0120">
              <w:rPr>
                <w:rFonts w:cs="Calibri"/>
                <w:sz w:val="16"/>
                <w:szCs w:val="16"/>
              </w:rPr>
              <w:tab/>
              <w:t>medication management (as listed and described in item 3 of this table);</w:t>
            </w:r>
          </w:p>
          <w:p w14:paraId="5DFA4BC8" w14:textId="77777777" w:rsidR="00FC08DA" w:rsidRPr="003A0120" w:rsidRDefault="00FC08DA" w:rsidP="00BD3D05">
            <w:pPr>
              <w:pStyle w:val="notepara"/>
              <w:ind w:left="1026" w:hanging="284"/>
              <w:rPr>
                <w:rFonts w:cs="Calibri"/>
                <w:sz w:val="16"/>
                <w:szCs w:val="16"/>
              </w:rPr>
            </w:pPr>
            <w:r w:rsidRPr="003A0120">
              <w:rPr>
                <w:rFonts w:cs="Calibri"/>
                <w:sz w:val="16"/>
                <w:szCs w:val="16"/>
              </w:rPr>
              <w:t>(i)</w:t>
            </w:r>
            <w:r w:rsidRPr="003A0120">
              <w:rPr>
                <w:rFonts w:cs="Calibri"/>
                <w:sz w:val="16"/>
                <w:szCs w:val="16"/>
              </w:rPr>
              <w:tab/>
              <w:t>insertion, maintenance, monitoring and removal of devices, including intravenous lines, naso</w:t>
            </w:r>
            <w:r w:rsidRPr="003A0120">
              <w:rPr>
                <w:rFonts w:cs="Calibri"/>
                <w:sz w:val="16"/>
                <w:szCs w:val="16"/>
              </w:rPr>
              <w:noBreakHyphen/>
              <w:t>gastric tubes, catheters and negative pressure devices;</w:t>
            </w:r>
          </w:p>
          <w:p w14:paraId="663A11A5" w14:textId="77777777" w:rsidR="00FC08DA" w:rsidRPr="003A0120" w:rsidRDefault="00FC08DA" w:rsidP="00BD3D05">
            <w:pPr>
              <w:pStyle w:val="notepara"/>
              <w:ind w:left="1026" w:hanging="284"/>
              <w:rPr>
                <w:rFonts w:cs="Calibri"/>
                <w:sz w:val="16"/>
                <w:szCs w:val="16"/>
              </w:rPr>
            </w:pPr>
            <w:r w:rsidRPr="003A0120">
              <w:rPr>
                <w:rFonts w:cs="Calibri"/>
                <w:sz w:val="16"/>
                <w:szCs w:val="16"/>
              </w:rPr>
              <w:t>(j)</w:t>
            </w:r>
            <w:r w:rsidRPr="003A0120">
              <w:rPr>
                <w:rFonts w:cs="Calibri"/>
                <w:sz w:val="16"/>
                <w:szCs w:val="16"/>
              </w:rPr>
              <w:tab/>
              <w:t>if the individual has identified feeding and swallowing needs—support for the individual;</w:t>
            </w:r>
          </w:p>
          <w:p w14:paraId="5CC3C68C" w14:textId="77777777" w:rsidR="00FC08DA" w:rsidRPr="003A0120" w:rsidRDefault="00FC08DA" w:rsidP="00BD3D05">
            <w:pPr>
              <w:pStyle w:val="notepara"/>
              <w:ind w:left="1026" w:hanging="284"/>
              <w:rPr>
                <w:rFonts w:cs="Calibri"/>
                <w:sz w:val="16"/>
                <w:szCs w:val="16"/>
              </w:rPr>
            </w:pPr>
            <w:r w:rsidRPr="003A0120">
              <w:rPr>
                <w:rFonts w:cs="Calibri"/>
                <w:sz w:val="16"/>
                <w:szCs w:val="16"/>
              </w:rPr>
              <w:t>(k)</w:t>
            </w:r>
            <w:r w:rsidRPr="003A0120">
              <w:rPr>
                <w:rFonts w:cs="Calibri"/>
                <w:sz w:val="16"/>
                <w:szCs w:val="16"/>
              </w:rPr>
              <w:tab/>
              <w:t>skin assessment and the prevention and management of pressure injury wounds;</w:t>
            </w:r>
          </w:p>
          <w:p w14:paraId="5DA4E05E" w14:textId="77777777" w:rsidR="00FC08DA" w:rsidRPr="003A0120" w:rsidRDefault="00FC08DA" w:rsidP="00BD3D05">
            <w:pPr>
              <w:pStyle w:val="notepara"/>
              <w:ind w:left="1026" w:hanging="284"/>
              <w:rPr>
                <w:rFonts w:cs="Calibri"/>
                <w:sz w:val="16"/>
                <w:szCs w:val="16"/>
              </w:rPr>
            </w:pPr>
            <w:r w:rsidRPr="003A0120">
              <w:rPr>
                <w:rFonts w:cs="Calibri"/>
                <w:sz w:val="16"/>
                <w:szCs w:val="16"/>
              </w:rPr>
              <w:t>(l)</w:t>
            </w:r>
            <w:r w:rsidRPr="003A0120">
              <w:rPr>
                <w:rFonts w:cs="Calibri"/>
                <w:sz w:val="16"/>
                <w:szCs w:val="16"/>
              </w:rPr>
              <w:tab/>
              <w:t>establishment and supervision of a continence management plan;</w:t>
            </w:r>
          </w:p>
          <w:p w14:paraId="19406B7D" w14:textId="77777777" w:rsidR="00FC08DA" w:rsidRPr="003A0120" w:rsidRDefault="00FC08DA" w:rsidP="00BD3D05">
            <w:pPr>
              <w:pStyle w:val="notepara"/>
              <w:ind w:left="1026" w:hanging="284"/>
              <w:rPr>
                <w:rFonts w:cs="Calibri"/>
                <w:sz w:val="16"/>
                <w:szCs w:val="16"/>
              </w:rPr>
            </w:pPr>
            <w:r w:rsidRPr="003A0120">
              <w:rPr>
                <w:rFonts w:cs="Calibri"/>
                <w:sz w:val="16"/>
                <w:szCs w:val="16"/>
              </w:rPr>
              <w:t>(m)</w:t>
            </w:r>
            <w:r w:rsidRPr="003A0120">
              <w:rPr>
                <w:rFonts w:cs="Calibri"/>
                <w:sz w:val="16"/>
                <w:szCs w:val="16"/>
              </w:rPr>
              <w:tab/>
              <w:t>stoma care;</w:t>
            </w:r>
          </w:p>
          <w:p w14:paraId="57685F1E" w14:textId="77777777" w:rsidR="00FC08DA" w:rsidRPr="003A0120" w:rsidRDefault="00FC08DA" w:rsidP="007E509A">
            <w:pPr>
              <w:pStyle w:val="notepara"/>
              <w:rPr>
                <w:sz w:val="16"/>
                <w:szCs w:val="16"/>
              </w:rPr>
            </w:pPr>
            <w:r w:rsidRPr="003A0120">
              <w:rPr>
                <w:sz w:val="16"/>
                <w:szCs w:val="16"/>
              </w:rPr>
              <w:t>(n)</w:t>
            </w:r>
            <w:r w:rsidRPr="003A0120">
              <w:rPr>
                <w:sz w:val="16"/>
                <w:szCs w:val="16"/>
              </w:rPr>
              <w:tab/>
              <w:t>wound management, including of complex and chronic wounds;</w:t>
            </w:r>
          </w:p>
          <w:p w14:paraId="5A15F164" w14:textId="77777777" w:rsidR="00FC08DA" w:rsidRPr="003A0120" w:rsidRDefault="00FC08DA" w:rsidP="007E509A">
            <w:pPr>
              <w:pStyle w:val="notepara"/>
              <w:rPr>
                <w:rFonts w:cs="Calibri"/>
                <w:sz w:val="16"/>
                <w:szCs w:val="16"/>
              </w:rPr>
            </w:pPr>
            <w:r w:rsidRPr="003A0120">
              <w:rPr>
                <w:rFonts w:cs="Calibri"/>
                <w:sz w:val="16"/>
                <w:szCs w:val="16"/>
              </w:rPr>
              <w:t>(o)</w:t>
            </w:r>
            <w:r w:rsidRPr="003A0120">
              <w:rPr>
                <w:rFonts w:cs="Calibri"/>
                <w:sz w:val="16"/>
                <w:szCs w:val="16"/>
              </w:rPr>
              <w:tab/>
              <w:t xml:space="preserve">provision of </w:t>
            </w:r>
            <w:r w:rsidRPr="003A0120">
              <w:rPr>
                <w:sz w:val="16"/>
                <w:szCs w:val="16"/>
              </w:rPr>
              <w:t>bandages, dressings, swabs, saline, drips, catheters, tubes and other medical items required as a part of nursing services;</w:t>
            </w:r>
          </w:p>
          <w:p w14:paraId="16DA6DF6" w14:textId="77777777" w:rsidR="00FC08DA" w:rsidRPr="003A0120" w:rsidRDefault="00FC08DA" w:rsidP="00BD3D05">
            <w:pPr>
              <w:pStyle w:val="notepara"/>
              <w:ind w:left="1026" w:hanging="284"/>
              <w:rPr>
                <w:rFonts w:cs="Calibri"/>
                <w:sz w:val="16"/>
                <w:szCs w:val="16"/>
              </w:rPr>
            </w:pPr>
            <w:r w:rsidRPr="003A0120">
              <w:rPr>
                <w:rFonts w:cs="Calibri"/>
                <w:sz w:val="16"/>
                <w:szCs w:val="16"/>
              </w:rPr>
              <w:t>(p)</w:t>
            </w:r>
            <w:r w:rsidRPr="003A0120">
              <w:rPr>
                <w:rFonts w:cs="Calibri"/>
                <w:sz w:val="16"/>
                <w:szCs w:val="16"/>
              </w:rPr>
              <w:tab/>
              <w:t>assistance with, and ongoing supervision of, breathing, including oxygen therapy, suctioning of airways and tracheostomy care;</w:t>
            </w:r>
          </w:p>
          <w:p w14:paraId="54B927AB" w14:textId="77777777" w:rsidR="00FC08DA" w:rsidRPr="003A0120" w:rsidRDefault="00FC08DA" w:rsidP="00BD3D05">
            <w:pPr>
              <w:pStyle w:val="notepara"/>
              <w:ind w:left="1026" w:hanging="284"/>
              <w:rPr>
                <w:rFonts w:cs="Calibri"/>
                <w:sz w:val="16"/>
                <w:szCs w:val="16"/>
              </w:rPr>
            </w:pPr>
            <w:r w:rsidRPr="003A0120">
              <w:rPr>
                <w:rFonts w:cs="Calibri"/>
                <w:sz w:val="16"/>
                <w:szCs w:val="16"/>
              </w:rPr>
              <w:t>(q)</w:t>
            </w:r>
            <w:r w:rsidRPr="003A0120">
              <w:rPr>
                <w:rFonts w:cs="Calibri"/>
                <w:sz w:val="16"/>
                <w:szCs w:val="16"/>
              </w:rPr>
              <w:tab/>
              <w:t>required support and observations for peritoneal dialysis treatment;</w:t>
            </w:r>
          </w:p>
          <w:p w14:paraId="5E33B8E4" w14:textId="77777777" w:rsidR="00FC08DA" w:rsidRPr="003A0120" w:rsidRDefault="00FC08DA" w:rsidP="00BD3D05">
            <w:pPr>
              <w:pStyle w:val="notepara"/>
              <w:ind w:left="1026" w:hanging="284"/>
              <w:rPr>
                <w:rFonts w:cs="Calibri"/>
                <w:sz w:val="16"/>
                <w:szCs w:val="16"/>
              </w:rPr>
            </w:pPr>
            <w:r w:rsidRPr="003A0120">
              <w:rPr>
                <w:rFonts w:cs="Calibri"/>
                <w:sz w:val="16"/>
                <w:szCs w:val="16"/>
              </w:rPr>
              <w:t>(r)</w:t>
            </w:r>
            <w:r w:rsidRPr="003A0120">
              <w:rPr>
                <w:rFonts w:cs="Calibri"/>
                <w:sz w:val="16"/>
                <w:szCs w:val="16"/>
              </w:rPr>
              <w:tab/>
              <w:t>assisting or supporting an individual to use appropriate healthcare technology in support of their care, including telehealth;</w:t>
            </w:r>
          </w:p>
          <w:p w14:paraId="0148E0A4" w14:textId="77777777" w:rsidR="00FC08DA" w:rsidRPr="003A0120" w:rsidRDefault="00FC08DA" w:rsidP="00BD3D05">
            <w:pPr>
              <w:pStyle w:val="notepara"/>
              <w:ind w:left="1026" w:hanging="284"/>
              <w:rPr>
                <w:rFonts w:cs="Calibri"/>
                <w:sz w:val="16"/>
                <w:szCs w:val="16"/>
              </w:rPr>
            </w:pPr>
            <w:r w:rsidRPr="003A0120">
              <w:rPr>
                <w:rFonts w:cs="Calibri"/>
                <w:sz w:val="16"/>
                <w:szCs w:val="16"/>
              </w:rPr>
              <w:t>(s)</w:t>
            </w:r>
            <w:r w:rsidRPr="003A0120">
              <w:rPr>
                <w:rFonts w:cs="Calibri"/>
                <w:sz w:val="16"/>
                <w:szCs w:val="16"/>
              </w:rPr>
              <w:tab/>
              <w:t>risk management relating to infection prevention and control;</w:t>
            </w:r>
          </w:p>
          <w:p w14:paraId="63DEB6F0" w14:textId="77777777" w:rsidR="00FC08DA" w:rsidRPr="003A0120" w:rsidRDefault="00FC08DA" w:rsidP="00BD3D05">
            <w:pPr>
              <w:pStyle w:val="notepara"/>
              <w:ind w:left="1026" w:hanging="284"/>
              <w:rPr>
                <w:rFonts w:cs="Calibri"/>
                <w:sz w:val="16"/>
                <w:szCs w:val="16"/>
              </w:rPr>
            </w:pPr>
            <w:r w:rsidRPr="003A0120">
              <w:rPr>
                <w:rFonts w:cs="Calibri"/>
                <w:sz w:val="16"/>
                <w:szCs w:val="16"/>
              </w:rPr>
              <w:t>(t)</w:t>
            </w:r>
            <w:r w:rsidRPr="003A0120">
              <w:rPr>
                <w:rFonts w:cs="Calibri"/>
                <w:sz w:val="16"/>
                <w:szCs w:val="16"/>
              </w:rPr>
              <w:tab/>
              <w:t>advance care planning, palliative care and end</w:t>
            </w:r>
            <w:r w:rsidRPr="003A0120">
              <w:rPr>
                <w:rFonts w:cs="Calibri"/>
                <w:sz w:val="16"/>
                <w:szCs w:val="16"/>
              </w:rPr>
              <w:noBreakHyphen/>
              <w:t>of</w:t>
            </w:r>
            <w:r w:rsidRPr="003A0120">
              <w:rPr>
                <w:rFonts w:cs="Calibri"/>
                <w:sz w:val="16"/>
                <w:szCs w:val="16"/>
              </w:rPr>
              <w:noBreakHyphen/>
              <w:t>life care.</w:t>
            </w:r>
          </w:p>
          <w:p w14:paraId="721CFA57" w14:textId="77777777" w:rsidR="00FC08DA" w:rsidRPr="003A0120" w:rsidRDefault="00FC08DA" w:rsidP="00BD3D05">
            <w:pPr>
              <w:pStyle w:val="notemargin"/>
              <w:rPr>
                <w:rFonts w:ascii="Calibri" w:hAnsi="Calibri" w:cs="Calibri"/>
                <w:sz w:val="20"/>
              </w:rPr>
            </w:pPr>
            <w:r w:rsidRPr="003A0120">
              <w:rPr>
                <w:rFonts w:ascii="Calibri" w:hAnsi="Calibri" w:cs="Calibri"/>
                <w:sz w:val="16"/>
                <w:szCs w:val="16"/>
              </w:rPr>
              <w:t>Note 2:</w:t>
            </w:r>
            <w:r w:rsidRPr="003A0120">
              <w:rPr>
                <w:rFonts w:ascii="Calibri" w:hAnsi="Calibri" w:cs="Calibri"/>
                <w:sz w:val="16"/>
                <w:szCs w:val="16"/>
              </w:rPr>
              <w:tab/>
              <w:t>For requirements for care and services plans, see paragraph 148(e) of the Act and Subdivisions A and D of Division 3 of Part 4 of Chapter 4 of this instrument. For Aged</w:t>
            </w:r>
            <w:r w:rsidRPr="003A0120">
              <w:rPr>
                <w:rFonts w:ascii="Calibri" w:hAnsi="Calibri" w:cs="Calibri"/>
                <w:sz w:val="20"/>
              </w:rPr>
              <w:t xml:space="preserve"> </w:t>
            </w:r>
            <w:r w:rsidRPr="003A0120">
              <w:rPr>
                <w:rFonts w:ascii="Calibri" w:hAnsi="Calibri" w:cs="Calibri"/>
                <w:sz w:val="16"/>
                <w:szCs w:val="16"/>
              </w:rPr>
              <w:t>Care Quality Standards for care and services plans, see subsections 15</w:t>
            </w:r>
            <w:r w:rsidRPr="003A0120">
              <w:rPr>
                <w:rFonts w:ascii="Calibri" w:hAnsi="Calibri" w:cs="Calibri"/>
                <w:sz w:val="16"/>
                <w:szCs w:val="16"/>
              </w:rPr>
              <w:noBreakHyphen/>
              <w:t>20(1) to (3) of this instrument.</w:t>
            </w:r>
          </w:p>
        </w:tc>
      </w:tr>
      <w:tr w:rsidR="00FC08DA" w:rsidRPr="004636D4" w14:paraId="4EA6B614" w14:textId="77777777" w:rsidTr="00BD3D05">
        <w:tc>
          <w:tcPr>
            <w:tcW w:w="714" w:type="dxa"/>
            <w:tcBorders>
              <w:bottom w:val="single" w:sz="2" w:space="0" w:color="auto"/>
            </w:tcBorders>
          </w:tcPr>
          <w:p w14:paraId="517DA639" w14:textId="77777777" w:rsidR="00FC08DA" w:rsidRPr="003A0120" w:rsidRDefault="00FC08DA" w:rsidP="00BD3D05">
            <w:pPr>
              <w:pStyle w:val="Tabletext"/>
              <w:rPr>
                <w:rFonts w:ascii="Calibri" w:hAnsi="Calibri" w:cs="Calibri"/>
              </w:rPr>
            </w:pPr>
            <w:r w:rsidRPr="003A0120">
              <w:rPr>
                <w:rFonts w:ascii="Calibri" w:hAnsi="Calibri" w:cs="Calibri"/>
              </w:rPr>
              <w:lastRenderedPageBreak/>
              <w:t>5</w:t>
            </w:r>
          </w:p>
        </w:tc>
        <w:tc>
          <w:tcPr>
            <w:tcW w:w="1408" w:type="dxa"/>
            <w:tcBorders>
              <w:bottom w:val="single" w:sz="2" w:space="0" w:color="auto"/>
            </w:tcBorders>
          </w:tcPr>
          <w:p w14:paraId="5C5EB65E" w14:textId="77777777" w:rsidR="00FC08DA" w:rsidRPr="003A0120" w:rsidRDefault="00FC08DA" w:rsidP="00BD3D05">
            <w:pPr>
              <w:pStyle w:val="Tabletext"/>
              <w:rPr>
                <w:rFonts w:ascii="Calibri" w:hAnsi="Calibri" w:cs="Calibri"/>
              </w:rPr>
            </w:pPr>
            <w:r w:rsidRPr="003A0120">
              <w:rPr>
                <w:rFonts w:ascii="Calibri" w:hAnsi="Calibri" w:cs="Calibri"/>
              </w:rPr>
              <w:t>Dementia and cognition management</w:t>
            </w:r>
          </w:p>
        </w:tc>
        <w:tc>
          <w:tcPr>
            <w:tcW w:w="6190" w:type="dxa"/>
            <w:tcBorders>
              <w:bottom w:val="single" w:sz="2" w:space="0" w:color="auto"/>
            </w:tcBorders>
          </w:tcPr>
          <w:p w14:paraId="38870FF0" w14:textId="77777777" w:rsidR="00FC08DA" w:rsidRPr="003A0120" w:rsidRDefault="00FC08DA" w:rsidP="00BD3D05">
            <w:pPr>
              <w:pStyle w:val="Tabletext"/>
              <w:rPr>
                <w:rFonts w:ascii="Calibri" w:hAnsi="Calibri" w:cs="Calibri"/>
              </w:rPr>
            </w:pPr>
            <w:r w:rsidRPr="003A0120">
              <w:rPr>
                <w:rFonts w:ascii="Calibri" w:hAnsi="Calibri" w:cs="Calibri"/>
              </w:rPr>
              <w:t>If the individual has dementia or other cognitive impairments:</w:t>
            </w:r>
          </w:p>
          <w:p w14:paraId="307B3139" w14:textId="54E82835" w:rsidR="00FC08DA" w:rsidRPr="003A0120" w:rsidRDefault="00FC08DA" w:rsidP="0050112F">
            <w:pPr>
              <w:pStyle w:val="Tablea"/>
              <w:numPr>
                <w:ilvl w:val="0"/>
                <w:numId w:val="109"/>
              </w:numPr>
              <w:rPr>
                <w:sz w:val="20"/>
              </w:rPr>
            </w:pPr>
            <w:r w:rsidRPr="003A0120">
              <w:rPr>
                <w:sz w:val="20"/>
              </w:rPr>
              <w:t>development of an individual therapy and support program designed and carried out to:</w:t>
            </w:r>
          </w:p>
          <w:p w14:paraId="011C12AE" w14:textId="77777777" w:rsidR="00FC08DA" w:rsidRPr="003A0120" w:rsidRDefault="00FC08DA" w:rsidP="00BD3D05">
            <w:pPr>
              <w:pStyle w:val="Tablei"/>
              <w:rPr>
                <w:rFonts w:ascii="Calibri" w:hAnsi="Calibri" w:cs="Calibri"/>
              </w:rPr>
            </w:pPr>
            <w:r w:rsidRPr="003A0120">
              <w:rPr>
                <w:rFonts w:ascii="Calibri" w:hAnsi="Calibri" w:cs="Calibri"/>
              </w:rPr>
              <w:t>(i) prevent or manage a particular condition or behaviour; and</w:t>
            </w:r>
          </w:p>
          <w:p w14:paraId="2D054ED1" w14:textId="77777777" w:rsidR="00FC08DA" w:rsidRPr="003A0120" w:rsidRDefault="00FC08DA" w:rsidP="00BD3D05">
            <w:pPr>
              <w:pStyle w:val="Tablei"/>
              <w:rPr>
                <w:rFonts w:ascii="Calibri" w:hAnsi="Calibri" w:cs="Calibri"/>
              </w:rPr>
            </w:pPr>
            <w:r w:rsidRPr="003A0120">
              <w:rPr>
                <w:rFonts w:ascii="Calibri" w:hAnsi="Calibri" w:cs="Calibri"/>
              </w:rPr>
              <w:t>(ii) enhance the individual’s quality of life; and</w:t>
            </w:r>
          </w:p>
          <w:p w14:paraId="3FAD64D8" w14:textId="77777777" w:rsidR="00FC08DA" w:rsidRPr="003A0120" w:rsidRDefault="00FC08DA" w:rsidP="00BD3D05">
            <w:pPr>
              <w:pStyle w:val="Tablei"/>
              <w:rPr>
                <w:rFonts w:ascii="Calibri" w:hAnsi="Calibri" w:cs="Calibri"/>
              </w:rPr>
            </w:pPr>
            <w:r w:rsidRPr="003A0120">
              <w:rPr>
                <w:rFonts w:ascii="Calibri" w:hAnsi="Calibri" w:cs="Calibri"/>
              </w:rPr>
              <w:t>(iii) enhance care for the individual; and</w:t>
            </w:r>
          </w:p>
          <w:p w14:paraId="7A028B4B" w14:textId="6642FACF" w:rsidR="00FC08DA" w:rsidRPr="003A0120" w:rsidRDefault="00FC08DA" w:rsidP="00497EDC">
            <w:pPr>
              <w:pStyle w:val="Tablea"/>
              <w:rPr>
                <w:sz w:val="20"/>
              </w:rPr>
            </w:pPr>
            <w:r w:rsidRPr="003A0120">
              <w:rPr>
                <w:sz w:val="20"/>
              </w:rPr>
              <w:t>ongoing support (including specific encouragement) to motivate or enable the individual to take part in general activities of the residential care home (if appropriate)</w:t>
            </w:r>
          </w:p>
        </w:tc>
      </w:tr>
      <w:tr w:rsidR="00FC08DA" w:rsidRPr="004636D4" w14:paraId="26EC4B3B" w14:textId="77777777" w:rsidTr="00BD3D05">
        <w:tc>
          <w:tcPr>
            <w:tcW w:w="714" w:type="dxa"/>
            <w:tcBorders>
              <w:top w:val="single" w:sz="2" w:space="0" w:color="auto"/>
              <w:bottom w:val="single" w:sz="12" w:space="0" w:color="auto"/>
            </w:tcBorders>
          </w:tcPr>
          <w:p w14:paraId="6CA40497" w14:textId="77777777" w:rsidR="00FC08DA" w:rsidRPr="003A0120" w:rsidRDefault="00FC08DA" w:rsidP="00BD3D05">
            <w:pPr>
              <w:pStyle w:val="Tabletext"/>
              <w:rPr>
                <w:rFonts w:ascii="Calibri" w:hAnsi="Calibri" w:cs="Calibri"/>
              </w:rPr>
            </w:pPr>
            <w:r w:rsidRPr="003A0120">
              <w:rPr>
                <w:rFonts w:ascii="Calibri" w:hAnsi="Calibri" w:cs="Calibri"/>
              </w:rPr>
              <w:t>6</w:t>
            </w:r>
          </w:p>
        </w:tc>
        <w:tc>
          <w:tcPr>
            <w:tcW w:w="1408" w:type="dxa"/>
            <w:tcBorders>
              <w:top w:val="single" w:sz="2" w:space="0" w:color="auto"/>
              <w:bottom w:val="single" w:sz="12" w:space="0" w:color="auto"/>
            </w:tcBorders>
          </w:tcPr>
          <w:p w14:paraId="6B510133" w14:textId="77777777" w:rsidR="00FC08DA" w:rsidRPr="003A0120" w:rsidRDefault="00FC08DA" w:rsidP="00BD3D05">
            <w:pPr>
              <w:pStyle w:val="Tabletext"/>
              <w:rPr>
                <w:rFonts w:ascii="Calibri" w:hAnsi="Calibri" w:cs="Calibri"/>
              </w:rPr>
            </w:pPr>
            <w:r w:rsidRPr="003A0120">
              <w:rPr>
                <w:rFonts w:ascii="Calibri" w:hAnsi="Calibri" w:cs="Calibri"/>
              </w:rPr>
              <w:t>General access to medical and allied health services</w:t>
            </w:r>
          </w:p>
        </w:tc>
        <w:tc>
          <w:tcPr>
            <w:tcW w:w="6190" w:type="dxa"/>
            <w:tcBorders>
              <w:top w:val="single" w:sz="2" w:space="0" w:color="auto"/>
              <w:bottom w:val="single" w:sz="12" w:space="0" w:color="auto"/>
            </w:tcBorders>
          </w:tcPr>
          <w:p w14:paraId="1DA7F48B" w14:textId="77777777" w:rsidR="00FC08DA" w:rsidRPr="003A0120" w:rsidRDefault="00FC08DA" w:rsidP="00BD3D05">
            <w:pPr>
              <w:pStyle w:val="Tabletext"/>
              <w:rPr>
                <w:rFonts w:ascii="Calibri" w:hAnsi="Calibri" w:cs="Calibri"/>
              </w:rPr>
            </w:pPr>
            <w:r w:rsidRPr="003A0120">
              <w:rPr>
                <w:rFonts w:ascii="Calibri" w:hAnsi="Calibri" w:cs="Calibri"/>
              </w:rPr>
              <w:t>The following:</w:t>
            </w:r>
          </w:p>
          <w:p w14:paraId="4F5D4B71" w14:textId="6C8C02C3" w:rsidR="00FC08DA" w:rsidRPr="003A0120" w:rsidRDefault="00FC08DA" w:rsidP="0050112F">
            <w:pPr>
              <w:pStyle w:val="Tablea"/>
              <w:numPr>
                <w:ilvl w:val="0"/>
                <w:numId w:val="110"/>
              </w:numPr>
              <w:rPr>
                <w:sz w:val="20"/>
              </w:rPr>
            </w:pPr>
            <w:r w:rsidRPr="003A0120">
              <w:rPr>
                <w:sz w:val="20"/>
              </w:rPr>
              <w:t xml:space="preserve">making arrangements for registered health practitioners to visit the individual for any necessary registered health practitioner appointments </w:t>
            </w:r>
            <w:r w:rsidRPr="003A0120">
              <w:rPr>
                <w:rFonts w:eastAsia="Calibri"/>
                <w:sz w:val="20"/>
              </w:rPr>
              <w:t>(but not the cost of the appointments or any gap payments charged for the appointments)</w:t>
            </w:r>
            <w:r w:rsidRPr="003A0120">
              <w:rPr>
                <w:sz w:val="20"/>
              </w:rPr>
              <w:t>;</w:t>
            </w:r>
          </w:p>
          <w:p w14:paraId="49240AD0" w14:textId="37DF0176" w:rsidR="00FC08DA" w:rsidRPr="003A0120" w:rsidRDefault="00FC08DA" w:rsidP="00497EDC">
            <w:pPr>
              <w:pStyle w:val="Tablea"/>
              <w:rPr>
                <w:sz w:val="20"/>
              </w:rPr>
            </w:pPr>
            <w:r w:rsidRPr="003A0120">
              <w:rPr>
                <w:sz w:val="20"/>
              </w:rPr>
              <w:t xml:space="preserve">making arrangements for the individual to attend any necessary registered health practitioner </w:t>
            </w:r>
            <w:r w:rsidRPr="003A0120">
              <w:rPr>
                <w:rFonts w:eastAsia="Calibri"/>
                <w:sz w:val="20"/>
              </w:rPr>
              <w:t xml:space="preserve">appointments (but not the cost of </w:t>
            </w:r>
            <w:r w:rsidRPr="003A0120">
              <w:rPr>
                <w:rFonts w:eastAsia="Calibri"/>
                <w:sz w:val="20"/>
              </w:rPr>
              <w:lastRenderedPageBreak/>
              <w:t xml:space="preserve">the appointments or any gap payments charged for the appointments, or </w:t>
            </w:r>
            <w:r w:rsidRPr="003A0120">
              <w:rPr>
                <w:bCs/>
                <w:sz w:val="20"/>
              </w:rPr>
              <w:t>transport or escort costs</w:t>
            </w:r>
            <w:r w:rsidRPr="003A0120">
              <w:rPr>
                <w:rFonts w:eastAsia="Calibri"/>
                <w:sz w:val="20"/>
              </w:rPr>
              <w:t>)</w:t>
            </w:r>
            <w:r w:rsidRPr="003A0120">
              <w:rPr>
                <w:sz w:val="20"/>
              </w:rPr>
              <w:t>;</w:t>
            </w:r>
          </w:p>
          <w:p w14:paraId="06BFA276" w14:textId="0911A6BD" w:rsidR="00FC08DA" w:rsidRPr="003A0120" w:rsidRDefault="00FC08DA" w:rsidP="00497EDC">
            <w:pPr>
              <w:pStyle w:val="Tablea"/>
              <w:rPr>
                <w:rFonts w:eastAsia="Calibri"/>
                <w:sz w:val="20"/>
              </w:rPr>
            </w:pPr>
            <w:r w:rsidRPr="003A0120">
              <w:rPr>
                <w:rFonts w:eastAsia="Calibri"/>
                <w:sz w:val="20"/>
              </w:rPr>
              <w:t xml:space="preserve">if required, </w:t>
            </w:r>
            <w:r w:rsidRPr="003A0120">
              <w:rPr>
                <w:sz w:val="20"/>
              </w:rPr>
              <w:t>making arrangements for allied health professionals to visit the individual, or for the individual to visit an allied health professional, for any services or appointments mentioned in paragraph (f) of item 2 of this table (but not the cost of the appointments or any gap payments charged for the appointments, or transport or escort costs);</w:t>
            </w:r>
          </w:p>
          <w:p w14:paraId="00C834A1" w14:textId="0FE7FF57" w:rsidR="00FC08DA" w:rsidRPr="003A0120" w:rsidRDefault="00FC08DA" w:rsidP="00497EDC">
            <w:pPr>
              <w:pStyle w:val="Tablea"/>
              <w:rPr>
                <w:rFonts w:eastAsia="Calibri"/>
                <w:sz w:val="20"/>
              </w:rPr>
            </w:pPr>
            <w:r w:rsidRPr="003A0120">
              <w:rPr>
                <w:rFonts w:eastAsia="Calibri"/>
                <w:sz w:val="20"/>
              </w:rPr>
              <w:t>if required, provision of audio</w:t>
            </w:r>
            <w:r w:rsidRPr="003A0120">
              <w:rPr>
                <w:rFonts w:eastAsia="Calibri"/>
                <w:sz w:val="20"/>
              </w:rPr>
              <w:noBreakHyphen/>
              <w:t>visual equipment for use with telehealth appointments;</w:t>
            </w:r>
          </w:p>
          <w:p w14:paraId="1B97BAF7" w14:textId="182B7D86" w:rsidR="00FC08DA" w:rsidRPr="003A0120" w:rsidRDefault="00FC08DA" w:rsidP="00497EDC">
            <w:pPr>
              <w:pStyle w:val="Tablea"/>
              <w:rPr>
                <w:sz w:val="20"/>
              </w:rPr>
            </w:pPr>
            <w:r w:rsidRPr="003A0120">
              <w:rPr>
                <w:sz w:val="20"/>
              </w:rPr>
              <w:t>arranging for an ambulance in emergency situations</w:t>
            </w:r>
          </w:p>
        </w:tc>
      </w:tr>
    </w:tbl>
    <w:p w14:paraId="5323715B" w14:textId="7BB5C135" w:rsidR="00305404" w:rsidRPr="003A173C" w:rsidRDefault="0054672E" w:rsidP="00297A79">
      <w:pPr>
        <w:pStyle w:val="Heading1"/>
        <w:numPr>
          <w:ilvl w:val="0"/>
          <w:numId w:val="0"/>
        </w:numPr>
        <w:rPr>
          <w:rFonts w:ascii="Calibri" w:hAnsi="Calibri" w:cs="Calibri"/>
        </w:rPr>
      </w:pPr>
      <w:bookmarkStart w:id="2148" w:name="_Attachment_C"/>
      <w:bookmarkStart w:id="2149" w:name="_Toc216865537"/>
      <w:bookmarkStart w:id="2150" w:name="_Toc395537225"/>
      <w:bookmarkStart w:id="2151" w:name="_Toc422732581"/>
      <w:bookmarkStart w:id="2152" w:name="_Toc422752921"/>
      <w:bookmarkEnd w:id="2147"/>
      <w:bookmarkEnd w:id="2148"/>
      <w:r w:rsidRPr="003A173C">
        <w:rPr>
          <w:rStyle w:val="Attachmentheading"/>
          <w:rFonts w:ascii="Calibri" w:hAnsi="Calibri" w:cs="Calibri"/>
        </w:rPr>
        <w:lastRenderedPageBreak/>
        <w:t>ATTACHMENT B – CLIENT SERVICE AGREEMENT TEMP</w:t>
      </w:r>
      <w:r w:rsidR="00C22240" w:rsidRPr="003A173C">
        <w:rPr>
          <w:rStyle w:val="Attachmentheading"/>
          <w:rFonts w:ascii="Calibri" w:hAnsi="Calibri" w:cs="Calibri"/>
        </w:rPr>
        <w:t>LATE</w:t>
      </w:r>
      <w:bookmarkEnd w:id="2149"/>
    </w:p>
    <w:p w14:paraId="4A8948CF" w14:textId="77777777" w:rsidR="00353CEA" w:rsidRPr="00D53ED4" w:rsidRDefault="00353CEA" w:rsidP="00D53ED4">
      <w:pPr>
        <w:jc w:val="center"/>
        <w:rPr>
          <w:color w:val="227ACB"/>
          <w:sz w:val="24"/>
        </w:rPr>
      </w:pPr>
      <w:r w:rsidRPr="00D53ED4">
        <w:rPr>
          <w:b/>
          <w:bCs/>
          <w:color w:val="227ACB"/>
          <w:sz w:val="24"/>
        </w:rPr>
        <w:t>Transition Care Program (TCP) – Client Service Agreement – Template</w:t>
      </w:r>
    </w:p>
    <w:p w14:paraId="0FBAFBBA" w14:textId="77777777" w:rsidR="00353CEA" w:rsidRPr="00185B91" w:rsidRDefault="00353CEA" w:rsidP="00185B91">
      <w:pPr>
        <w:rPr>
          <w:rStyle w:val="Strong"/>
          <w:rFonts w:eastAsia="Arial"/>
        </w:rPr>
      </w:pPr>
      <w:r w:rsidRPr="00185B91">
        <w:rPr>
          <w:rStyle w:val="Strong"/>
          <w:rFonts w:eastAsia="Arial"/>
        </w:rPr>
        <w:t>Overview:</w:t>
      </w:r>
    </w:p>
    <w:p w14:paraId="1357CFD6" w14:textId="77777777" w:rsidR="00353CEA" w:rsidRPr="00FE0BC9" w:rsidRDefault="00353CEA" w:rsidP="00185B91">
      <w:pPr>
        <w:rPr>
          <w:rFonts w:eastAsia="Arial"/>
          <w:lang w:val="en-US"/>
        </w:rPr>
      </w:pPr>
      <w:r w:rsidRPr="00FE0BC9">
        <w:rPr>
          <w:rFonts w:eastAsia="Arial"/>
          <w:lang w:val="en-US"/>
        </w:rPr>
        <w:t xml:space="preserve">Under the </w:t>
      </w:r>
      <w:r w:rsidRPr="00FE0BC9">
        <w:rPr>
          <w:rFonts w:eastAsia="Arial"/>
          <w:i/>
          <w:iCs/>
          <w:lang w:val="en-US"/>
        </w:rPr>
        <w:t>Aged Care Act 2024</w:t>
      </w:r>
      <w:r w:rsidRPr="00FE0BC9">
        <w:rPr>
          <w:rFonts w:eastAsia="Arial"/>
          <w:lang w:val="en-US"/>
        </w:rPr>
        <w:t xml:space="preserve"> (the Act) and the Aged Care Rules 2025 (the Rules), it is a condition of registration that a registered provider delivering services under the TCP must have an agreement with each individual accessing funded aged care services (a </w:t>
      </w:r>
      <w:r w:rsidRPr="00FE0BC9">
        <w:rPr>
          <w:rFonts w:eastAsia="Arial"/>
          <w:b/>
          <w:bCs/>
          <w:i/>
          <w:iCs/>
          <w:lang w:val="en-US"/>
        </w:rPr>
        <w:t>service agreement</w:t>
      </w:r>
      <w:r w:rsidRPr="00FE0BC9">
        <w:rPr>
          <w:rFonts w:eastAsia="Arial"/>
          <w:lang w:val="en-US"/>
        </w:rPr>
        <w:t>). This agreement must comply with any applicable requirements prescribed by the Rules. This is outlined in paragraph 148(c) of the Act, and sections 148-65 and 148-70 of the Rules.</w:t>
      </w:r>
    </w:p>
    <w:p w14:paraId="2ACD003D" w14:textId="77777777" w:rsidR="00353CEA" w:rsidRPr="00FE0BC9" w:rsidRDefault="00353CEA" w:rsidP="00185B91">
      <w:pPr>
        <w:rPr>
          <w:rFonts w:eastAsia="Arial"/>
          <w:lang w:val="en-US"/>
        </w:rPr>
      </w:pPr>
      <w:r w:rsidRPr="00FE0BC9">
        <w:rPr>
          <w:rFonts w:eastAsia="Arial"/>
          <w:lang w:val="en-US"/>
        </w:rPr>
        <w:t>The TCP Client Service Agreement</w:t>
      </w:r>
      <w:r w:rsidRPr="00FE0BC9">
        <w:rPr>
          <w:rFonts w:eastAsia="Arial"/>
          <w:b/>
          <w:bCs/>
          <w:color w:val="000000" w:themeColor="text1"/>
          <w:lang w:val="en-US"/>
        </w:rPr>
        <w:t xml:space="preserve"> </w:t>
      </w:r>
      <w:r w:rsidRPr="00FE0BC9">
        <w:rPr>
          <w:rFonts w:eastAsia="Arial"/>
          <w:lang w:val="en-US"/>
        </w:rPr>
        <w:t>Template (the Template) can be used by providers to enter new service agreements. It is not mandatory to use the Template, and providers may develop their own service agreements in accordance with the requirements of the legislation.</w:t>
      </w:r>
    </w:p>
    <w:p w14:paraId="158EE02E" w14:textId="77777777" w:rsidR="00353CEA" w:rsidRPr="00FE0BC9" w:rsidRDefault="00353CEA" w:rsidP="00185B91">
      <w:pPr>
        <w:rPr>
          <w:rFonts w:eastAsia="Arial"/>
          <w:lang w:val="en-US"/>
        </w:rPr>
      </w:pPr>
      <w:r w:rsidRPr="00FE0BC9">
        <w:rPr>
          <w:rFonts w:eastAsia="Arial"/>
          <w:lang w:val="en-US"/>
        </w:rPr>
        <w:t>Providers are free to include contextual information in service agreements that goes above the minimum requirements in the Template. They are encouraged to do so where it will assist individuals to understand the funded aged care services you will deliver to them and how you will deliver them.</w:t>
      </w:r>
    </w:p>
    <w:p w14:paraId="253B0B25" w14:textId="77777777" w:rsidR="00353CEA" w:rsidRPr="00FE0BC9" w:rsidRDefault="00353CEA" w:rsidP="00185B91">
      <w:pPr>
        <w:rPr>
          <w:rFonts w:eastAsia="Arial"/>
        </w:rPr>
      </w:pPr>
      <w:r w:rsidRPr="00FE0BC9">
        <w:rPr>
          <w:rFonts w:eastAsia="Arial"/>
        </w:rPr>
        <w:t xml:space="preserve">It will be the responsibility of providers to implement required procedures to amend / vary a signed service agreement where detail is subsequently changed – for example, if the identified TCP episode start and end dates require amendment post the service agreement being signed.  </w:t>
      </w:r>
    </w:p>
    <w:p w14:paraId="65275A63" w14:textId="27FA4A88" w:rsidR="00353CEA" w:rsidRPr="00185B91" w:rsidRDefault="00353CEA" w:rsidP="00185B91">
      <w:pPr>
        <w:rPr>
          <w:rStyle w:val="Strong"/>
          <w:rFonts w:eastAsia="Arial"/>
        </w:rPr>
      </w:pPr>
      <w:r w:rsidRPr="00185B91">
        <w:rPr>
          <w:rStyle w:val="Strong"/>
          <w:rFonts w:eastAsia="Arial"/>
        </w:rPr>
        <w:t>Important:</w:t>
      </w:r>
    </w:p>
    <w:p w14:paraId="31C380E6" w14:textId="77777777" w:rsidR="00353CEA" w:rsidRPr="00FE0BC9" w:rsidRDefault="00353CEA" w:rsidP="00185B91">
      <w:pPr>
        <w:pStyle w:val="ListBullet"/>
        <w:rPr>
          <w:rFonts w:eastAsia="Arial"/>
          <w:lang w:val="en-US"/>
        </w:rPr>
      </w:pPr>
      <w:r w:rsidRPr="00FE0BC9">
        <w:rPr>
          <w:rFonts w:eastAsia="Arial"/>
          <w:lang w:val="en-US"/>
        </w:rPr>
        <w:t xml:space="preserve">This Template also includes a checklist of information registered providers are required to give to an individual accessing aged care services under section 155 of the Act, where that information should be provided before, or when, you start delivering services to an individual, or soon after. It does not cover all requirements on providers under this section. </w:t>
      </w:r>
      <w:r w:rsidRPr="00FE0BC9">
        <w:rPr>
          <w:rFonts w:eastAsia="Arial"/>
          <w:b/>
          <w:bCs/>
          <w:lang w:val="en-US"/>
        </w:rPr>
        <w:t xml:space="preserve">Note: </w:t>
      </w:r>
      <w:r w:rsidRPr="00FE0BC9">
        <w:rPr>
          <w:rFonts w:eastAsia="Arial"/>
          <w:lang w:val="en-US"/>
        </w:rPr>
        <w:t>This information</w:t>
      </w:r>
      <w:r w:rsidRPr="00FE0BC9">
        <w:rPr>
          <w:rFonts w:eastAsia="Arial"/>
        </w:rPr>
        <w:t xml:space="preserve"> may also be required to be given to a supporter of an individual (see section 29 of the Act).</w:t>
      </w:r>
    </w:p>
    <w:p w14:paraId="3434D7D7" w14:textId="77777777" w:rsidR="00353CEA" w:rsidRPr="00FE0BC9" w:rsidRDefault="00353CEA" w:rsidP="00185B91">
      <w:pPr>
        <w:pStyle w:val="ListBullet"/>
        <w:rPr>
          <w:rFonts w:eastAsia="Arial"/>
          <w:lang w:val="en-US"/>
        </w:rPr>
      </w:pPr>
      <w:r w:rsidRPr="00FE0BC9">
        <w:rPr>
          <w:rFonts w:eastAsia="Arial"/>
          <w:lang w:val="en-US"/>
        </w:rPr>
        <w:t xml:space="preserve">Where required under section 148(e) of the Act, providers will also need to prepare a </w:t>
      </w:r>
      <w:r w:rsidRPr="00FE0BC9">
        <w:rPr>
          <w:rFonts w:eastAsia="Arial"/>
          <w:i/>
          <w:iCs/>
          <w:lang w:val="en-US"/>
        </w:rPr>
        <w:t xml:space="preserve">Care and Services Plan </w:t>
      </w:r>
      <w:r w:rsidRPr="00FE0BC9">
        <w:rPr>
          <w:rFonts w:eastAsia="Arial"/>
          <w:lang w:val="en-US"/>
        </w:rPr>
        <w:t xml:space="preserve">for a person to whom they are delivering services. This Template, as drafted, does not cover these provider obligations. Providers should create these documents separately where </w:t>
      </w:r>
      <w:bookmarkStart w:id="2153" w:name="_Int_HxK9GmBM"/>
      <w:r w:rsidRPr="00FE0BC9">
        <w:rPr>
          <w:rFonts w:eastAsia="Arial"/>
          <w:lang w:val="en-US"/>
        </w:rPr>
        <w:t>required, or</w:t>
      </w:r>
      <w:bookmarkEnd w:id="2153"/>
      <w:r w:rsidRPr="00FE0BC9">
        <w:rPr>
          <w:rFonts w:eastAsia="Arial"/>
          <w:lang w:val="en-US"/>
        </w:rPr>
        <w:t xml:space="preserve"> combine with this document where considered appropriate.</w:t>
      </w:r>
    </w:p>
    <w:p w14:paraId="6A49163D" w14:textId="77777777" w:rsidR="00353CEA" w:rsidRPr="00FE0BC9" w:rsidRDefault="00353CEA" w:rsidP="00185B91">
      <w:pPr>
        <w:pStyle w:val="ListBullet"/>
        <w:rPr>
          <w:rFonts w:eastAsia="Arial"/>
          <w:lang w:val="en-US"/>
        </w:rPr>
      </w:pPr>
      <w:r w:rsidRPr="00FE0BC9">
        <w:rPr>
          <w:rFonts w:eastAsia="Arial"/>
          <w:lang w:val="en-US"/>
        </w:rPr>
        <w:t xml:space="preserve">If an older person seeks to access your service for the first time </w:t>
      </w:r>
      <w:r w:rsidRPr="00FE0BC9">
        <w:rPr>
          <w:rFonts w:eastAsia="Arial"/>
          <w:b/>
          <w:bCs/>
          <w:lang w:val="en-US"/>
        </w:rPr>
        <w:t>after 1 November 2025</w:t>
      </w:r>
      <w:r w:rsidRPr="00FE0BC9">
        <w:rPr>
          <w:rFonts w:eastAsia="Arial"/>
          <w:lang w:val="en-US"/>
        </w:rPr>
        <w:t xml:space="preserve"> and refuses to enter into a service agreement, you cannot provide Australian Government funded TCP services to them. This agreement should be signed by both parties. </w:t>
      </w:r>
    </w:p>
    <w:p w14:paraId="0CAE2C04" w14:textId="04B03B25" w:rsidR="00353CEA" w:rsidRPr="00185B91" w:rsidRDefault="00353CEA" w:rsidP="00185B91">
      <w:pPr>
        <w:pStyle w:val="ListBullet"/>
        <w:rPr>
          <w:rFonts w:eastAsia="Arial"/>
          <w:lang w:val="en-US"/>
        </w:rPr>
      </w:pPr>
      <w:r w:rsidRPr="00FE0BC9">
        <w:rPr>
          <w:rFonts w:eastAsia="Arial"/>
          <w:lang w:val="en-US"/>
        </w:rPr>
        <w:t xml:space="preserve">If an older person starts accessing your service </w:t>
      </w:r>
      <w:r w:rsidRPr="00FE0BC9">
        <w:rPr>
          <w:rFonts w:eastAsia="Arial"/>
          <w:b/>
          <w:bCs/>
          <w:lang w:val="en-US"/>
        </w:rPr>
        <w:t>before 1 November 2025</w:t>
      </w:r>
      <w:r w:rsidRPr="00FE0BC9">
        <w:rPr>
          <w:rFonts w:eastAsia="Arial"/>
          <w:b/>
          <w:lang w:val="en-US"/>
        </w:rPr>
        <w:t xml:space="preserve"> </w:t>
      </w:r>
      <w:r w:rsidRPr="00FE0BC9">
        <w:rPr>
          <w:rFonts w:eastAsia="Arial"/>
          <w:bCs/>
          <w:lang w:val="en-US"/>
        </w:rPr>
        <w:t xml:space="preserve">this template </w:t>
      </w:r>
      <w:r w:rsidRPr="00FE0BC9">
        <w:rPr>
          <w:rFonts w:eastAsia="Arial"/>
          <w:lang w:val="en-US"/>
        </w:rPr>
        <w:t xml:space="preserve">does not apply to them. </w:t>
      </w:r>
    </w:p>
    <w:p w14:paraId="10DB3EE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rPr>
      </w:pPr>
      <w:r w:rsidRPr="003A0120">
        <w:rPr>
          <w:rFonts w:eastAsia="Arial" w:cs="Calibri"/>
          <w:b/>
          <w:bCs/>
          <w:szCs w:val="20"/>
          <w:lang w:val="en-US"/>
        </w:rPr>
        <w:t>Disclaimer:</w:t>
      </w:r>
    </w:p>
    <w:p w14:paraId="46087576"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Template and the attached information sheet is </w:t>
      </w:r>
      <w:r w:rsidRPr="003A0120">
        <w:rPr>
          <w:rFonts w:eastAsia="Arial" w:cs="Calibri"/>
          <w:b/>
          <w:bCs/>
          <w:szCs w:val="20"/>
          <w:lang w:val="en-US"/>
        </w:rPr>
        <w:t>not</w:t>
      </w:r>
      <w:r w:rsidRPr="003A0120">
        <w:rPr>
          <w:rFonts w:eastAsia="Arial" w:cs="Calibri"/>
          <w:szCs w:val="20"/>
          <w:lang w:val="en-US"/>
        </w:rPr>
        <w:t xml:space="preserve"> a substitute for legal advice. </w:t>
      </w:r>
    </w:p>
    <w:p w14:paraId="4D8F1864"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The Commonwealth of Australia as represented by the Department of Health, Disability and Ageing (the Department) is </w:t>
      </w:r>
      <w:r w:rsidRPr="003A0120">
        <w:rPr>
          <w:rFonts w:eastAsia="Arial" w:cs="Calibri"/>
          <w:b/>
          <w:bCs/>
          <w:szCs w:val="20"/>
          <w:lang w:val="en-US"/>
        </w:rPr>
        <w:t>not</w:t>
      </w:r>
      <w:r w:rsidRPr="003A0120">
        <w:rPr>
          <w:rFonts w:eastAsia="Arial" w:cs="Calibri"/>
          <w:szCs w:val="20"/>
          <w:lang w:val="en-US"/>
        </w:rPr>
        <w:t xml:space="preserve"> providing any legal advice to your organisation when making the Template available to your organisation.</w:t>
      </w:r>
    </w:p>
    <w:p w14:paraId="05A79D15" w14:textId="77777777"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24"/>
        <w:rPr>
          <w:rFonts w:eastAsia="Arial" w:cs="Calibri"/>
          <w:szCs w:val="20"/>
          <w:lang w:val="en-US"/>
        </w:rPr>
      </w:pPr>
      <w:r w:rsidRPr="003A0120">
        <w:rPr>
          <w:rFonts w:eastAsia="Arial" w:cs="Calibri"/>
          <w:szCs w:val="20"/>
          <w:lang w:val="en-US"/>
        </w:rPr>
        <w:t xml:space="preserve">Before any action or decision is taken by your organisation to use this Template, your organisation should obtain, and rely on, appropriate independent legal advice to understand the legal rights and obligations your organisation will have and whether the Template is suitable for use by your organisation. </w:t>
      </w:r>
    </w:p>
    <w:p w14:paraId="1C2A3BE1" w14:textId="4109E9F3" w:rsidR="00353CEA" w:rsidRPr="003A0120" w:rsidRDefault="00353CEA" w:rsidP="00353CEA">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spacing w:after="240"/>
        <w:ind w:right="-24"/>
        <w:rPr>
          <w:rFonts w:eastAsia="Arial" w:cs="Calibri"/>
          <w:szCs w:val="20"/>
          <w:lang w:val="en-US"/>
        </w:rPr>
      </w:pPr>
      <w:r w:rsidRPr="003A0120">
        <w:rPr>
          <w:rFonts w:eastAsia="Arial" w:cs="Calibri"/>
          <w:szCs w:val="20"/>
          <w:lang w:val="en-US"/>
        </w:rPr>
        <w:t xml:space="preserve">Use of the Template is entirely at your own risk. The Template is provided to your organisation as a free resource and is general in nature. It does </w:t>
      </w:r>
      <w:r w:rsidRPr="003A0120">
        <w:rPr>
          <w:rFonts w:eastAsia="Arial" w:cs="Calibri"/>
          <w:b/>
          <w:bCs/>
          <w:szCs w:val="20"/>
          <w:lang w:val="en-US"/>
        </w:rPr>
        <w:t>not</w:t>
      </w:r>
      <w:r w:rsidRPr="003A0120">
        <w:rPr>
          <w:rFonts w:eastAsia="Arial" w:cs="Calibri"/>
          <w:szCs w:val="20"/>
          <w:lang w:val="en-US"/>
        </w:rPr>
        <w:t xml:space="preserve"> take into account your particular circumstances or specific legal requirements. To the maximum extent permitted by law, the Department excludes all liability and accepts no responsibility for any damage or loss arising directly or indirectly from your organisation’s use of the Template.</w:t>
      </w:r>
    </w:p>
    <w:p w14:paraId="07593862" w14:textId="77777777" w:rsidR="007357E6" w:rsidRDefault="007357E6" w:rsidP="007357E6">
      <w:pPr>
        <w:pStyle w:val="Heading2withoutnumbering"/>
        <w:jc w:val="center"/>
      </w:pPr>
    </w:p>
    <w:p w14:paraId="5BCAD3CE" w14:textId="77777777" w:rsidR="007357E6" w:rsidRDefault="007357E6" w:rsidP="007357E6">
      <w:pPr>
        <w:pStyle w:val="Heading2withoutnumbering"/>
        <w:jc w:val="center"/>
      </w:pPr>
    </w:p>
    <w:p w14:paraId="27639E92" w14:textId="77777777" w:rsidR="007357E6" w:rsidRDefault="007357E6" w:rsidP="007357E6">
      <w:pPr>
        <w:pStyle w:val="Heading2withoutnumbering"/>
        <w:jc w:val="center"/>
      </w:pPr>
    </w:p>
    <w:p w14:paraId="42D2269E" w14:textId="77777777" w:rsidR="007357E6" w:rsidRDefault="007357E6" w:rsidP="007357E6">
      <w:pPr>
        <w:pStyle w:val="Heading2withoutnumbering"/>
        <w:jc w:val="center"/>
      </w:pPr>
    </w:p>
    <w:p w14:paraId="52746D86" w14:textId="77777777" w:rsidR="007357E6" w:rsidRDefault="007357E6" w:rsidP="007357E6">
      <w:pPr>
        <w:pStyle w:val="Heading2withoutnumbering"/>
        <w:jc w:val="center"/>
      </w:pPr>
    </w:p>
    <w:p w14:paraId="5B98BD14" w14:textId="77777777" w:rsidR="007357E6" w:rsidRDefault="007357E6" w:rsidP="007357E6">
      <w:pPr>
        <w:pStyle w:val="Heading2withoutnumbering"/>
        <w:jc w:val="center"/>
      </w:pPr>
    </w:p>
    <w:p w14:paraId="323A173C" w14:textId="479288D9" w:rsidR="00353CEA" w:rsidRPr="00D53ED4" w:rsidRDefault="00353CEA" w:rsidP="00D53ED4">
      <w:pPr>
        <w:jc w:val="center"/>
        <w:rPr>
          <w:color w:val="227ACB"/>
          <w:sz w:val="24"/>
        </w:rPr>
      </w:pPr>
      <w:r w:rsidRPr="00D53ED4">
        <w:rPr>
          <w:b/>
          <w:bCs/>
          <w:color w:val="227ACB"/>
          <w:sz w:val="24"/>
        </w:rPr>
        <w:lastRenderedPageBreak/>
        <w:t>Transition Care Program (TCP) – Client Service Agreement</w:t>
      </w:r>
    </w:p>
    <w:p w14:paraId="799A2931" w14:textId="77777777" w:rsidR="00353CEA" w:rsidRPr="00FE0BC9" w:rsidRDefault="00353CEA" w:rsidP="00185B91">
      <w:pPr>
        <w:rPr>
          <w:rFonts w:eastAsia="Arial"/>
          <w:lang w:val="en-US"/>
        </w:rPr>
      </w:pPr>
      <w:r w:rsidRPr="00FE0BC9">
        <w:rPr>
          <w:rFonts w:eastAsia="Arial"/>
          <w:lang w:val="en-US"/>
        </w:rPr>
        <w:t xml:space="preserve">To be able to access funded aged care services, a person must enter into a </w:t>
      </w:r>
      <w:r w:rsidRPr="00FE0BC9">
        <w:rPr>
          <w:rFonts w:eastAsia="Arial"/>
          <w:b/>
          <w:bCs/>
          <w:lang w:val="en-US"/>
        </w:rPr>
        <w:t>Client Service Agreement</w:t>
      </w:r>
      <w:r w:rsidRPr="00FE0BC9">
        <w:rPr>
          <w:rFonts w:eastAsia="Arial"/>
          <w:lang w:val="en-US"/>
        </w:rPr>
        <w:t xml:space="preserve"> with their registered aged care provider.</w:t>
      </w:r>
    </w:p>
    <w:p w14:paraId="2A2B392F" w14:textId="77777777" w:rsidR="00353CEA" w:rsidRPr="00FE0BC9" w:rsidRDefault="00353CEA" w:rsidP="00185B91">
      <w:pPr>
        <w:rPr>
          <w:rFonts w:eastAsia="Arial"/>
          <w:lang w:val="en-US"/>
        </w:rPr>
      </w:pPr>
      <w:r w:rsidRPr="00FE0BC9">
        <w:rPr>
          <w:rFonts w:eastAsia="Arial"/>
          <w:lang w:val="en-US"/>
        </w:rPr>
        <w:t xml:space="preserve">This Client Service Agreement is to be developed and negotiated in partnership with your Transition Care Program (TCP) registered provider, yourself and, if requested, your supporter, family member, carer, advocate or other significant person. </w:t>
      </w:r>
    </w:p>
    <w:p w14:paraId="6E89173C" w14:textId="5A03AC9C" w:rsidR="00353CEA" w:rsidRPr="001D6820" w:rsidRDefault="00353CEA" w:rsidP="00185B91">
      <w:pPr>
        <w:widowControl w:val="0"/>
        <w:spacing w:after="0"/>
        <w:ind w:right="-24"/>
        <w:rPr>
          <w:rFonts w:eastAsia="Arial" w:cs="Calibri"/>
          <w:szCs w:val="20"/>
          <w:lang w:val="en-US"/>
        </w:rPr>
      </w:pPr>
      <w:r w:rsidRPr="001D6820">
        <w:rPr>
          <w:rFonts w:eastAsia="Arial" w:cs="Calibri"/>
          <w:szCs w:val="20"/>
          <w:lang w:val="en-US"/>
        </w:rPr>
        <w:t>It is to be written in plain language that is easy for you to understand. As your Transition Care registered provider, we will also help to explain</w:t>
      </w:r>
      <w:r w:rsidRPr="001D6820" w:rsidDel="003F05E4">
        <w:rPr>
          <w:rFonts w:eastAsia="Arial" w:cs="Calibri"/>
          <w:szCs w:val="20"/>
          <w:lang w:val="en-US"/>
        </w:rPr>
        <w:t xml:space="preserve"> </w:t>
      </w:r>
      <w:r w:rsidRPr="001D6820">
        <w:rPr>
          <w:rFonts w:eastAsia="Arial" w:cs="Calibri"/>
          <w:szCs w:val="20"/>
          <w:lang w:val="en-US"/>
        </w:rPr>
        <w:t>all of the details and any terms outlined in this</w:t>
      </w:r>
      <w:r w:rsidRPr="001D6820" w:rsidDel="00DB2682">
        <w:rPr>
          <w:rFonts w:eastAsia="Arial" w:cs="Calibri"/>
          <w:szCs w:val="20"/>
          <w:lang w:val="en-US"/>
        </w:rPr>
        <w:t xml:space="preserve"> </w:t>
      </w:r>
      <w:r w:rsidRPr="001D6820">
        <w:rPr>
          <w:rFonts w:eastAsia="Arial" w:cs="Calibri"/>
          <w:szCs w:val="20"/>
          <w:lang w:val="en-US"/>
        </w:rPr>
        <w:t xml:space="preserve">agreement. </w:t>
      </w:r>
    </w:p>
    <w:tbl>
      <w:tblPr>
        <w:tblW w:w="9640" w:type="dxa"/>
        <w:tblInd w:w="13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694"/>
        <w:gridCol w:w="1707"/>
        <w:gridCol w:w="2120"/>
        <w:gridCol w:w="3119"/>
      </w:tblGrid>
      <w:tr w:rsidR="004621A1" w:rsidRPr="00FE0BC9" w14:paraId="59C19BC5" w14:textId="77777777" w:rsidTr="00185B91">
        <w:trPr>
          <w:trHeight w:val="236"/>
        </w:trPr>
        <w:tc>
          <w:tcPr>
            <w:tcW w:w="9640" w:type="dxa"/>
            <w:gridSpan w:val="4"/>
            <w:tcBorders>
              <w:top w:val="single" w:sz="6" w:space="0" w:color="2C3440"/>
              <w:left w:val="single" w:sz="6" w:space="0" w:color="2C2F2F"/>
              <w:bottom w:val="single" w:sz="6" w:space="0" w:color="2C3B4B"/>
              <w:right w:val="single" w:sz="6" w:space="0" w:color="2C2F2F"/>
            </w:tcBorders>
            <w:shd w:val="clear" w:color="auto" w:fill="A3DBFF"/>
            <w:tcMar>
              <w:left w:w="105" w:type="dxa"/>
              <w:right w:w="105" w:type="dxa"/>
            </w:tcMar>
          </w:tcPr>
          <w:p w14:paraId="1C4D3A48" w14:textId="11700A19" w:rsidR="00353CEA" w:rsidRPr="003A0120" w:rsidRDefault="00CB4290" w:rsidP="0050112F">
            <w:pPr>
              <w:pStyle w:val="TableParagraph"/>
              <w:numPr>
                <w:ilvl w:val="0"/>
                <w:numId w:val="63"/>
              </w:numPr>
              <w:ind w:left="0" w:right="-24"/>
              <w:rPr>
                <w:rFonts w:eastAsia="Arial" w:cs="Calibri"/>
                <w:color w:val="0E151A"/>
                <w:sz w:val="20"/>
                <w:szCs w:val="20"/>
              </w:rPr>
            </w:pPr>
            <w:r w:rsidRPr="003A0120">
              <w:rPr>
                <w:rFonts w:eastAsia="Arial" w:cs="Calibri"/>
                <w:b/>
                <w:bCs/>
                <w:color w:val="121212"/>
                <w:sz w:val="20"/>
                <w:szCs w:val="20"/>
              </w:rPr>
              <w:t xml:space="preserve">1. </w:t>
            </w:r>
            <w:r w:rsidR="00353CEA" w:rsidRPr="003A0120">
              <w:rPr>
                <w:rFonts w:eastAsia="Arial" w:cs="Calibri"/>
                <w:b/>
                <w:bCs/>
                <w:color w:val="121212"/>
                <w:sz w:val="20"/>
                <w:szCs w:val="20"/>
              </w:rPr>
              <w:t>Your details</w:t>
            </w:r>
          </w:p>
        </w:tc>
      </w:tr>
      <w:tr w:rsidR="00047713" w:rsidRPr="00FE0BC9" w14:paraId="4FBFD580" w14:textId="77777777" w:rsidTr="00185B91">
        <w:trPr>
          <w:trHeight w:val="300"/>
        </w:trPr>
        <w:tc>
          <w:tcPr>
            <w:tcW w:w="2694" w:type="dxa"/>
            <w:tcBorders>
              <w:top w:val="single" w:sz="6" w:space="0" w:color="1C283B"/>
              <w:left w:val="single" w:sz="6" w:space="0" w:color="2C2F2F"/>
              <w:bottom w:val="single" w:sz="6" w:space="0" w:color="202020"/>
              <w:right w:val="single" w:sz="6" w:space="0" w:color="232828"/>
            </w:tcBorders>
            <w:tcMar>
              <w:left w:w="105" w:type="dxa"/>
              <w:right w:w="105" w:type="dxa"/>
            </w:tcMar>
          </w:tcPr>
          <w:p w14:paraId="7381B692" w14:textId="77777777" w:rsidR="00353CEA" w:rsidRPr="003A0120" w:rsidRDefault="00353CEA" w:rsidP="00BD3D05">
            <w:pPr>
              <w:pStyle w:val="TableParagraph"/>
              <w:ind w:right="-24"/>
              <w:rPr>
                <w:rFonts w:eastAsia="Arial" w:cs="Calibri"/>
                <w:color w:val="131313"/>
                <w:sz w:val="20"/>
                <w:szCs w:val="20"/>
              </w:rPr>
            </w:pPr>
            <w:r w:rsidRPr="003A0120">
              <w:rPr>
                <w:rFonts w:eastAsia="Arial" w:cs="Calibri"/>
                <w:color w:val="131313"/>
                <w:sz w:val="20"/>
                <w:szCs w:val="20"/>
              </w:rPr>
              <w:t>Name</w:t>
            </w:r>
          </w:p>
        </w:tc>
        <w:tc>
          <w:tcPr>
            <w:tcW w:w="6946" w:type="dxa"/>
            <w:gridSpan w:val="3"/>
            <w:tcBorders>
              <w:top w:val="single" w:sz="6" w:space="0" w:color="2C3B4B"/>
              <w:left w:val="single" w:sz="6" w:space="0" w:color="232828"/>
              <w:bottom w:val="single" w:sz="6" w:space="0" w:color="202020"/>
              <w:right w:val="single" w:sz="6" w:space="0" w:color="2C2F2F"/>
            </w:tcBorders>
            <w:tcMar>
              <w:left w:w="105" w:type="dxa"/>
              <w:right w:w="105" w:type="dxa"/>
            </w:tcMar>
          </w:tcPr>
          <w:p w14:paraId="5245EF5B" w14:textId="77777777" w:rsidR="00353CEA" w:rsidRPr="003A0120" w:rsidRDefault="00353CEA" w:rsidP="00BD3D05">
            <w:pPr>
              <w:widowControl w:val="0"/>
              <w:spacing w:after="0"/>
              <w:ind w:right="-24"/>
              <w:rPr>
                <w:rFonts w:eastAsia="Arial" w:cs="Calibri"/>
                <w:szCs w:val="20"/>
              </w:rPr>
            </w:pPr>
          </w:p>
        </w:tc>
      </w:tr>
      <w:tr w:rsidR="00047713" w:rsidRPr="00FE0BC9" w14:paraId="2A9DEE19" w14:textId="77777777" w:rsidTr="00185B91">
        <w:trPr>
          <w:trHeight w:val="300"/>
        </w:trPr>
        <w:tc>
          <w:tcPr>
            <w:tcW w:w="2694" w:type="dxa"/>
            <w:tcBorders>
              <w:top w:val="single" w:sz="6" w:space="0" w:color="202020"/>
              <w:left w:val="single" w:sz="6" w:space="0" w:color="2C2F2F"/>
              <w:bottom w:val="single" w:sz="6" w:space="0" w:color="202020"/>
              <w:right w:val="single" w:sz="6" w:space="0" w:color="232828"/>
            </w:tcBorders>
            <w:tcMar>
              <w:left w:w="105" w:type="dxa"/>
              <w:right w:w="105" w:type="dxa"/>
            </w:tcMar>
          </w:tcPr>
          <w:p w14:paraId="6F2FE99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Address</w:t>
            </w:r>
          </w:p>
        </w:tc>
        <w:tc>
          <w:tcPr>
            <w:tcW w:w="6946" w:type="dxa"/>
            <w:gridSpan w:val="3"/>
            <w:tcBorders>
              <w:top w:val="single" w:sz="6" w:space="0" w:color="202020"/>
              <w:left w:val="single" w:sz="6" w:space="0" w:color="232828"/>
              <w:bottom w:val="single" w:sz="6" w:space="0" w:color="202020"/>
              <w:right w:val="single" w:sz="6" w:space="0" w:color="2C2F2F"/>
            </w:tcBorders>
            <w:tcMar>
              <w:left w:w="105" w:type="dxa"/>
              <w:right w:w="105" w:type="dxa"/>
            </w:tcMar>
          </w:tcPr>
          <w:p w14:paraId="1C21A6B8" w14:textId="77777777" w:rsidR="00353CEA" w:rsidRPr="003A0120" w:rsidRDefault="00353CEA" w:rsidP="00BD3D05">
            <w:pPr>
              <w:widowControl w:val="0"/>
              <w:spacing w:after="0"/>
              <w:ind w:right="-24"/>
              <w:rPr>
                <w:rFonts w:eastAsia="Arial" w:cs="Calibri"/>
                <w:szCs w:val="20"/>
              </w:rPr>
            </w:pPr>
          </w:p>
        </w:tc>
      </w:tr>
      <w:tr w:rsidR="00047713" w:rsidRPr="00FE0BC9" w14:paraId="24F627BC" w14:textId="77777777" w:rsidTr="00185B91">
        <w:trPr>
          <w:trHeight w:val="300"/>
        </w:trPr>
        <w:tc>
          <w:tcPr>
            <w:tcW w:w="2694" w:type="dxa"/>
            <w:tcBorders>
              <w:top w:val="single" w:sz="6" w:space="0" w:color="202020"/>
              <w:left w:val="single" w:sz="6" w:space="0" w:color="2C2F2F"/>
              <w:bottom w:val="single" w:sz="6" w:space="0" w:color="232323"/>
              <w:right w:val="single" w:sz="6" w:space="0" w:color="232828"/>
            </w:tcBorders>
            <w:tcMar>
              <w:left w:w="105" w:type="dxa"/>
              <w:right w:w="105" w:type="dxa"/>
            </w:tcMar>
          </w:tcPr>
          <w:p w14:paraId="3BB3187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Phone</w:t>
            </w:r>
          </w:p>
        </w:tc>
        <w:tc>
          <w:tcPr>
            <w:tcW w:w="6946" w:type="dxa"/>
            <w:gridSpan w:val="3"/>
            <w:tcBorders>
              <w:top w:val="single" w:sz="6" w:space="0" w:color="202020"/>
              <w:left w:val="single" w:sz="6" w:space="0" w:color="232828"/>
              <w:bottom w:val="single" w:sz="6" w:space="0" w:color="232323"/>
              <w:right w:val="single" w:sz="6" w:space="0" w:color="2C2F2F"/>
            </w:tcBorders>
            <w:tcMar>
              <w:left w:w="105" w:type="dxa"/>
              <w:right w:w="105" w:type="dxa"/>
            </w:tcMar>
          </w:tcPr>
          <w:p w14:paraId="60BEE15A" w14:textId="77777777" w:rsidR="00353CEA" w:rsidRPr="003A0120" w:rsidRDefault="00353CEA" w:rsidP="00BD3D05">
            <w:pPr>
              <w:widowControl w:val="0"/>
              <w:spacing w:after="0"/>
              <w:ind w:right="-24"/>
              <w:rPr>
                <w:rFonts w:eastAsia="Arial" w:cs="Calibri"/>
                <w:szCs w:val="20"/>
              </w:rPr>
            </w:pPr>
          </w:p>
        </w:tc>
      </w:tr>
      <w:tr w:rsidR="00047713" w:rsidRPr="00FE0BC9" w14:paraId="3AD4211E" w14:textId="77777777" w:rsidTr="00185B91">
        <w:trPr>
          <w:trHeight w:val="300"/>
        </w:trPr>
        <w:tc>
          <w:tcPr>
            <w:tcW w:w="2694" w:type="dxa"/>
            <w:tcBorders>
              <w:top w:val="single" w:sz="6" w:space="0" w:color="232323"/>
              <w:left w:val="single" w:sz="6" w:space="0" w:color="2C2F2F"/>
              <w:bottom w:val="single" w:sz="6" w:space="0" w:color="232323"/>
              <w:right w:val="single" w:sz="6" w:space="0" w:color="232828"/>
            </w:tcBorders>
            <w:tcMar>
              <w:left w:w="105" w:type="dxa"/>
              <w:right w:w="105" w:type="dxa"/>
            </w:tcMar>
          </w:tcPr>
          <w:p w14:paraId="1EBCD192"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Email</w:t>
            </w:r>
          </w:p>
        </w:tc>
        <w:tc>
          <w:tcPr>
            <w:tcW w:w="6946" w:type="dxa"/>
            <w:gridSpan w:val="3"/>
            <w:tcBorders>
              <w:top w:val="single" w:sz="6" w:space="0" w:color="232323"/>
              <w:left w:val="single" w:sz="6" w:space="0" w:color="232828"/>
              <w:bottom w:val="single" w:sz="6" w:space="0" w:color="232323"/>
              <w:right w:val="single" w:sz="6" w:space="0" w:color="2C2F2F"/>
            </w:tcBorders>
            <w:tcMar>
              <w:left w:w="105" w:type="dxa"/>
              <w:right w:w="105" w:type="dxa"/>
            </w:tcMar>
          </w:tcPr>
          <w:p w14:paraId="4CC099DE" w14:textId="77777777" w:rsidR="00353CEA" w:rsidRPr="003A0120" w:rsidRDefault="00353CEA" w:rsidP="00BD3D05">
            <w:pPr>
              <w:widowControl w:val="0"/>
              <w:spacing w:after="0"/>
              <w:ind w:right="-24"/>
              <w:rPr>
                <w:rFonts w:eastAsia="Arial" w:cs="Calibri"/>
                <w:szCs w:val="20"/>
              </w:rPr>
            </w:pPr>
          </w:p>
        </w:tc>
      </w:tr>
      <w:tr w:rsidR="00047713" w:rsidRPr="00FE0BC9" w14:paraId="626EDE09" w14:textId="77777777" w:rsidTr="00185B91">
        <w:trPr>
          <w:trHeight w:val="300"/>
        </w:trPr>
        <w:tc>
          <w:tcPr>
            <w:tcW w:w="2694" w:type="dxa"/>
            <w:tcBorders>
              <w:top w:val="single" w:sz="6" w:space="0" w:color="232323"/>
              <w:left w:val="single" w:sz="6" w:space="0" w:color="2C2F2F"/>
              <w:bottom w:val="single" w:sz="6" w:space="0" w:color="2C3844"/>
              <w:right w:val="single" w:sz="6" w:space="0" w:color="232828"/>
            </w:tcBorders>
            <w:tcMar>
              <w:left w:w="105" w:type="dxa"/>
              <w:right w:w="105" w:type="dxa"/>
            </w:tcMar>
          </w:tcPr>
          <w:p w14:paraId="6D791FFA"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Date of birth</w:t>
            </w:r>
          </w:p>
        </w:tc>
        <w:tc>
          <w:tcPr>
            <w:tcW w:w="6946" w:type="dxa"/>
            <w:gridSpan w:val="3"/>
            <w:tcBorders>
              <w:top w:val="single" w:sz="6" w:space="0" w:color="232323"/>
              <w:left w:val="single" w:sz="6" w:space="0" w:color="232828"/>
              <w:bottom w:val="single" w:sz="6" w:space="0" w:color="2C3844"/>
              <w:right w:val="single" w:sz="6" w:space="0" w:color="2C2F2F"/>
            </w:tcBorders>
            <w:tcMar>
              <w:left w:w="105" w:type="dxa"/>
              <w:right w:w="105" w:type="dxa"/>
            </w:tcMar>
          </w:tcPr>
          <w:p w14:paraId="5ACCB513" w14:textId="77777777" w:rsidR="00353CEA" w:rsidRPr="003A0120" w:rsidRDefault="00353CEA" w:rsidP="00BD3D05">
            <w:pPr>
              <w:widowControl w:val="0"/>
              <w:spacing w:after="0"/>
              <w:ind w:right="-24"/>
              <w:rPr>
                <w:rFonts w:eastAsia="Arial" w:cs="Calibri"/>
                <w:szCs w:val="20"/>
              </w:rPr>
            </w:pPr>
          </w:p>
        </w:tc>
      </w:tr>
      <w:tr w:rsidR="004621A1" w:rsidRPr="00FE0BC9" w14:paraId="3D0D4A3A" w14:textId="77777777" w:rsidTr="00185B91">
        <w:trPr>
          <w:trHeight w:val="300"/>
        </w:trPr>
        <w:tc>
          <w:tcPr>
            <w:tcW w:w="9640" w:type="dxa"/>
            <w:gridSpan w:val="4"/>
            <w:tcBorders>
              <w:top w:val="single" w:sz="6" w:space="0" w:color="232323"/>
              <w:left w:val="single" w:sz="6" w:space="0" w:color="2C2F2F"/>
              <w:bottom w:val="single" w:sz="4" w:space="0" w:color="auto"/>
              <w:right w:val="single" w:sz="6" w:space="0" w:color="2C2F2F"/>
            </w:tcBorders>
            <w:shd w:val="clear" w:color="auto" w:fill="A3DBFF"/>
            <w:tcMar>
              <w:left w:w="105" w:type="dxa"/>
              <w:right w:w="105" w:type="dxa"/>
            </w:tcMar>
          </w:tcPr>
          <w:p w14:paraId="403E9CAC" w14:textId="1F8B82CC" w:rsidR="00353CEA" w:rsidRPr="003A0120" w:rsidRDefault="00CB4290" w:rsidP="0050112F">
            <w:pPr>
              <w:pStyle w:val="TableParagraph"/>
              <w:numPr>
                <w:ilvl w:val="0"/>
                <w:numId w:val="63"/>
              </w:numPr>
              <w:ind w:left="0" w:right="-24"/>
              <w:rPr>
                <w:rFonts w:eastAsia="Arial" w:cs="Calibri"/>
                <w:color w:val="121212"/>
                <w:sz w:val="20"/>
                <w:szCs w:val="20"/>
              </w:rPr>
            </w:pPr>
            <w:r w:rsidRPr="003A0120">
              <w:rPr>
                <w:rFonts w:eastAsia="Arial" w:cs="Calibri"/>
                <w:b/>
                <w:bCs/>
                <w:color w:val="121212"/>
                <w:sz w:val="20"/>
                <w:szCs w:val="20"/>
              </w:rPr>
              <w:t xml:space="preserve">2. </w:t>
            </w:r>
            <w:r w:rsidR="00353CEA" w:rsidRPr="003A0120">
              <w:rPr>
                <w:rFonts w:eastAsia="Arial" w:cs="Calibri"/>
                <w:b/>
                <w:bCs/>
                <w:color w:val="121212"/>
                <w:sz w:val="20"/>
                <w:szCs w:val="20"/>
              </w:rPr>
              <w:t>Our details</w:t>
            </w:r>
          </w:p>
        </w:tc>
      </w:tr>
      <w:tr w:rsidR="00047713" w:rsidRPr="00FE0BC9" w14:paraId="4DA792BB" w14:textId="77777777" w:rsidTr="00185B91">
        <w:trPr>
          <w:trHeight w:val="300"/>
        </w:trPr>
        <w:tc>
          <w:tcPr>
            <w:tcW w:w="2694" w:type="dxa"/>
            <w:tcBorders>
              <w:top w:val="single" w:sz="4" w:space="0" w:color="auto"/>
              <w:left w:val="single" w:sz="4" w:space="0" w:color="auto"/>
              <w:bottom w:val="single" w:sz="4" w:space="0" w:color="auto"/>
              <w:right w:val="single" w:sz="4" w:space="0" w:color="auto"/>
            </w:tcBorders>
            <w:tcMar>
              <w:left w:w="105" w:type="dxa"/>
              <w:right w:w="105" w:type="dxa"/>
            </w:tcMar>
          </w:tcPr>
          <w:p w14:paraId="41E56172" w14:textId="77777777" w:rsidR="00353CEA" w:rsidRPr="003A0120" w:rsidRDefault="00353CEA" w:rsidP="00BD3D05">
            <w:pPr>
              <w:pStyle w:val="TableParagraph"/>
              <w:ind w:right="-24"/>
              <w:rPr>
                <w:rFonts w:eastAsia="Arial" w:cs="Calibri"/>
                <w:b/>
                <w:color w:val="121212"/>
                <w:sz w:val="20"/>
                <w:szCs w:val="20"/>
              </w:rPr>
            </w:pPr>
            <w:r w:rsidRPr="003A0120">
              <w:rPr>
                <w:rFonts w:eastAsia="Arial" w:cs="Calibri"/>
                <w:b/>
                <w:color w:val="121212"/>
                <w:sz w:val="20"/>
                <w:szCs w:val="20"/>
              </w:rPr>
              <w:t xml:space="preserve">Transition Care Registered </w:t>
            </w:r>
            <w:r w:rsidRPr="003A0120">
              <w:rPr>
                <w:rFonts w:eastAsia="Arial" w:cs="Calibri"/>
                <w:b/>
                <w:bCs/>
                <w:color w:val="121212"/>
                <w:sz w:val="20"/>
                <w:szCs w:val="20"/>
              </w:rPr>
              <w:t xml:space="preserve">Provider </w:t>
            </w:r>
          </w:p>
        </w:tc>
        <w:tc>
          <w:tcPr>
            <w:tcW w:w="6946" w:type="dxa"/>
            <w:gridSpan w:val="3"/>
            <w:tcBorders>
              <w:top w:val="single" w:sz="4" w:space="0" w:color="auto"/>
              <w:left w:val="single" w:sz="4" w:space="0" w:color="auto"/>
              <w:bottom w:val="single" w:sz="4" w:space="0" w:color="auto"/>
              <w:right w:val="single" w:sz="4" w:space="0" w:color="auto"/>
            </w:tcBorders>
            <w:tcMar>
              <w:left w:w="105" w:type="dxa"/>
              <w:right w:w="105" w:type="dxa"/>
            </w:tcMar>
          </w:tcPr>
          <w:p w14:paraId="17D82C1B"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4186F954" w14:textId="77777777" w:rsidTr="00185B91">
        <w:trPr>
          <w:trHeight w:val="300"/>
        </w:trPr>
        <w:tc>
          <w:tcPr>
            <w:tcW w:w="2694" w:type="dxa"/>
            <w:tcBorders>
              <w:top w:val="single" w:sz="4" w:space="0" w:color="auto"/>
              <w:left w:val="single" w:sz="6" w:space="0" w:color="2C2F2F"/>
              <w:bottom w:val="single" w:sz="6" w:space="0" w:color="232323"/>
              <w:right w:val="single" w:sz="6" w:space="0" w:color="2F2F2F"/>
            </w:tcBorders>
            <w:tcMar>
              <w:left w:w="105" w:type="dxa"/>
              <w:right w:w="105" w:type="dxa"/>
            </w:tcMar>
          </w:tcPr>
          <w:p w14:paraId="142D7521"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b/>
                <w:bCs/>
                <w:color w:val="121212"/>
                <w:sz w:val="20"/>
                <w:szCs w:val="20"/>
              </w:rPr>
              <w:t>Approved Transition Care service/s</w:t>
            </w:r>
            <w:r w:rsidRPr="003A0120">
              <w:rPr>
                <w:rFonts w:eastAsia="Arial" w:cs="Calibri"/>
                <w:color w:val="121212"/>
                <w:sz w:val="20"/>
                <w:szCs w:val="20"/>
              </w:rPr>
              <w:t xml:space="preserve"> which will be providing your Transition Care services </w:t>
            </w:r>
          </w:p>
        </w:tc>
        <w:tc>
          <w:tcPr>
            <w:tcW w:w="6946" w:type="dxa"/>
            <w:gridSpan w:val="3"/>
            <w:tcBorders>
              <w:top w:val="single" w:sz="4" w:space="0" w:color="auto"/>
              <w:left w:val="single" w:sz="6" w:space="0" w:color="2F2F2F"/>
              <w:bottom w:val="single" w:sz="6" w:space="0" w:color="232323"/>
              <w:right w:val="single" w:sz="6" w:space="0" w:color="2C2F2F"/>
            </w:tcBorders>
            <w:tcMar>
              <w:left w:w="105" w:type="dxa"/>
              <w:right w:w="105" w:type="dxa"/>
            </w:tcMar>
          </w:tcPr>
          <w:p w14:paraId="2EF3407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3C339D57"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355E235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Address</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77FAA48"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65E7BF5B"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334A5DB"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 xml:space="preserve">Service Provider Phone </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75CBAF47" w14:textId="77777777" w:rsidR="00353CEA" w:rsidRPr="003A0120" w:rsidRDefault="00353CEA" w:rsidP="00BD3D05">
            <w:pPr>
              <w:widowControl w:val="0"/>
              <w:spacing w:after="0"/>
              <w:ind w:right="-24" w:firstLine="2"/>
              <w:rPr>
                <w:rFonts w:eastAsia="Arial" w:cs="Calibri"/>
                <w:color w:val="121212"/>
                <w:szCs w:val="20"/>
              </w:rPr>
            </w:pPr>
          </w:p>
        </w:tc>
      </w:tr>
      <w:tr w:rsidR="00047713" w:rsidRPr="00FE0BC9" w14:paraId="70965056" w14:textId="77777777" w:rsidTr="00185B91">
        <w:trPr>
          <w:trHeight w:val="300"/>
        </w:trPr>
        <w:tc>
          <w:tcPr>
            <w:tcW w:w="2694" w:type="dxa"/>
            <w:tcBorders>
              <w:top w:val="single" w:sz="6" w:space="0" w:color="232323"/>
              <w:left w:val="single" w:sz="6" w:space="0" w:color="2C2F2F"/>
              <w:bottom w:val="single" w:sz="6" w:space="0" w:color="232323"/>
              <w:right w:val="single" w:sz="6" w:space="0" w:color="2F2F2F"/>
            </w:tcBorders>
            <w:tcMar>
              <w:left w:w="105" w:type="dxa"/>
              <w:right w:w="105" w:type="dxa"/>
            </w:tcMar>
          </w:tcPr>
          <w:p w14:paraId="6093E38E" w14:textId="77777777" w:rsidR="00353CEA" w:rsidRPr="003A0120" w:rsidRDefault="00353CEA" w:rsidP="00BD3D05">
            <w:pPr>
              <w:pStyle w:val="TableParagraph"/>
              <w:ind w:right="-24"/>
              <w:rPr>
                <w:rFonts w:eastAsia="Arial" w:cs="Calibri"/>
                <w:color w:val="121212"/>
                <w:sz w:val="20"/>
                <w:szCs w:val="20"/>
              </w:rPr>
            </w:pPr>
            <w:r w:rsidRPr="003A0120">
              <w:rPr>
                <w:rFonts w:eastAsia="Arial" w:cs="Calibri"/>
                <w:color w:val="121212"/>
                <w:sz w:val="20"/>
                <w:szCs w:val="20"/>
              </w:rPr>
              <w:t>Service Provider Email</w:t>
            </w:r>
          </w:p>
        </w:tc>
        <w:tc>
          <w:tcPr>
            <w:tcW w:w="6946" w:type="dxa"/>
            <w:gridSpan w:val="3"/>
            <w:tcBorders>
              <w:top w:val="single" w:sz="6" w:space="0" w:color="232323"/>
              <w:left w:val="single" w:sz="6" w:space="0" w:color="2F2F2F"/>
              <w:bottom w:val="single" w:sz="6" w:space="0" w:color="232323"/>
              <w:right w:val="single" w:sz="6" w:space="0" w:color="2C2F2F"/>
            </w:tcBorders>
            <w:tcMar>
              <w:left w:w="105" w:type="dxa"/>
              <w:right w:w="105" w:type="dxa"/>
            </w:tcMar>
          </w:tcPr>
          <w:p w14:paraId="248DAC6F" w14:textId="77777777" w:rsidR="00353CEA" w:rsidRPr="003A0120" w:rsidRDefault="00353CEA" w:rsidP="00BD3D05">
            <w:pPr>
              <w:widowControl w:val="0"/>
              <w:spacing w:after="0"/>
              <w:ind w:right="-24" w:firstLine="2"/>
              <w:rPr>
                <w:rFonts w:eastAsia="Arial" w:cs="Calibri"/>
                <w:color w:val="121212"/>
                <w:szCs w:val="20"/>
              </w:rPr>
            </w:pPr>
          </w:p>
        </w:tc>
      </w:tr>
      <w:tr w:rsidR="004621A1" w:rsidRPr="00FE0BC9" w14:paraId="5A7503DE"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704D2443" w14:textId="7478A05A" w:rsidR="00353CEA" w:rsidRPr="003A0120" w:rsidRDefault="00CB4290" w:rsidP="0050112F">
            <w:pPr>
              <w:pStyle w:val="TableParagraph"/>
              <w:numPr>
                <w:ilvl w:val="0"/>
                <w:numId w:val="63"/>
              </w:numPr>
              <w:ind w:left="0" w:right="-24"/>
              <w:rPr>
                <w:rFonts w:eastAsia="Arial" w:cs="Calibri"/>
                <w:b/>
                <w:sz w:val="20"/>
                <w:szCs w:val="20"/>
              </w:rPr>
            </w:pPr>
            <w:r w:rsidRPr="003A0120">
              <w:rPr>
                <w:rFonts w:eastAsia="Arial" w:cs="Calibri"/>
                <w:b/>
                <w:sz w:val="20"/>
                <w:szCs w:val="20"/>
              </w:rPr>
              <w:t xml:space="preserve">3. </w:t>
            </w:r>
            <w:r w:rsidR="00353CEA" w:rsidRPr="003A0120">
              <w:rPr>
                <w:rFonts w:eastAsia="Arial" w:cs="Calibri"/>
                <w:b/>
                <w:sz w:val="20"/>
                <w:szCs w:val="20"/>
              </w:rPr>
              <w:t xml:space="preserve">Making sure you are involved in decisions about your care </w:t>
            </w:r>
          </w:p>
        </w:tc>
      </w:tr>
      <w:tr w:rsidR="00047713" w:rsidRPr="00FE0BC9" w14:paraId="40728873"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tcPr>
          <w:p w14:paraId="56223A48" w14:textId="77777777" w:rsidR="00353CEA" w:rsidRPr="003A0120" w:rsidRDefault="00353CEA" w:rsidP="00BD3D05">
            <w:pPr>
              <w:pStyle w:val="TableParagraph"/>
              <w:spacing w:before="80" w:after="120"/>
              <w:ind w:right="-24"/>
              <w:rPr>
                <w:rFonts w:eastAsia="Arial" w:cs="Calibri"/>
                <w:i/>
                <w:color w:val="FF0000"/>
                <w:sz w:val="20"/>
                <w:szCs w:val="20"/>
              </w:rPr>
            </w:pPr>
            <w:r w:rsidRPr="003A0120">
              <w:rPr>
                <w:rFonts w:eastAsia="Arial" w:cs="Calibri"/>
                <w:color w:val="121212"/>
                <w:sz w:val="20"/>
                <w:szCs w:val="20"/>
              </w:rPr>
              <w:t>How your Transition Care provider will</w:t>
            </w:r>
            <w:r w:rsidRPr="003A0120" w:rsidDel="006558EF">
              <w:rPr>
                <w:rFonts w:eastAsia="Arial" w:cs="Calibri"/>
                <w:color w:val="121212"/>
                <w:sz w:val="20"/>
                <w:szCs w:val="20"/>
              </w:rPr>
              <w:t xml:space="preserve"> </w:t>
            </w:r>
            <w:r w:rsidRPr="003A0120">
              <w:rPr>
                <w:rFonts w:eastAsia="Arial" w:cs="Calibri"/>
                <w:color w:val="121212"/>
                <w:sz w:val="20"/>
                <w:szCs w:val="20"/>
              </w:rPr>
              <w:t xml:space="preserve">involve you, and if you request it, your supporter, a family member or carer, in decisions about how, when and by whom your transition care services are delivered: </w:t>
            </w:r>
            <w:r w:rsidRPr="003A0120">
              <w:rPr>
                <w:rFonts w:eastAsia="Arial" w:cs="Calibri"/>
                <w:i/>
                <w:iCs/>
                <w:color w:val="FF0000"/>
                <w:sz w:val="20"/>
                <w:szCs w:val="20"/>
              </w:rPr>
              <w:t xml:space="preserve">[Provider to </w:t>
            </w:r>
            <w:r w:rsidRPr="003A0120">
              <w:rPr>
                <w:rFonts w:eastAsia="Arial" w:cs="Calibri"/>
                <w:i/>
                <w:color w:val="FF0000"/>
                <w:sz w:val="20"/>
                <w:szCs w:val="20"/>
              </w:rPr>
              <w:t xml:space="preserve">outline </w:t>
            </w:r>
            <w:r w:rsidRPr="003A0120">
              <w:rPr>
                <w:rFonts w:eastAsia="Arial" w:cs="Calibri"/>
                <w:i/>
                <w:iCs/>
                <w:color w:val="FF0000"/>
                <w:sz w:val="20"/>
                <w:szCs w:val="20"/>
              </w:rPr>
              <w:t>details]</w:t>
            </w:r>
          </w:p>
        </w:tc>
      </w:tr>
      <w:tr w:rsidR="004621A1" w:rsidRPr="00FE0BC9" w14:paraId="03BCFC19" w14:textId="77777777" w:rsidTr="00185B91">
        <w:trPr>
          <w:trHeight w:val="235"/>
        </w:trPr>
        <w:tc>
          <w:tcPr>
            <w:tcW w:w="9640" w:type="dxa"/>
            <w:gridSpan w:val="4"/>
            <w:tcBorders>
              <w:top w:val="single" w:sz="6" w:space="0" w:color="232F3B"/>
              <w:left w:val="single" w:sz="6" w:space="0" w:color="2C2F2F"/>
              <w:bottom w:val="single" w:sz="6" w:space="0" w:color="2C3847"/>
              <w:right w:val="single" w:sz="6" w:space="0" w:color="2C2F2F"/>
            </w:tcBorders>
            <w:shd w:val="clear" w:color="auto" w:fill="A3DBFF"/>
            <w:tcMar>
              <w:left w:w="105" w:type="dxa"/>
              <w:right w:w="105" w:type="dxa"/>
            </w:tcMar>
          </w:tcPr>
          <w:p w14:paraId="230B4E06" w14:textId="227E848C" w:rsidR="00353CEA" w:rsidRPr="003A0120" w:rsidRDefault="00CB4290" w:rsidP="0050112F">
            <w:pPr>
              <w:pStyle w:val="TableParagraph"/>
              <w:numPr>
                <w:ilvl w:val="0"/>
                <w:numId w:val="63"/>
              </w:numPr>
              <w:ind w:left="0" w:right="-24"/>
              <w:rPr>
                <w:rFonts w:eastAsia="Arial" w:cs="Calibri"/>
                <w:b/>
                <w:bCs/>
                <w:color w:val="0B1217"/>
                <w:sz w:val="20"/>
                <w:szCs w:val="20"/>
              </w:rPr>
            </w:pPr>
            <w:r w:rsidRPr="003A0120">
              <w:rPr>
                <w:rFonts w:eastAsia="Arial" w:cs="Calibri"/>
                <w:b/>
                <w:bCs/>
                <w:color w:val="0B1217"/>
                <w:sz w:val="20"/>
                <w:szCs w:val="20"/>
              </w:rPr>
              <w:t xml:space="preserve">4. </w:t>
            </w:r>
            <w:r w:rsidR="00353CEA" w:rsidRPr="003A0120">
              <w:rPr>
                <w:rFonts w:eastAsia="Arial" w:cs="Calibri"/>
                <w:b/>
                <w:bCs/>
                <w:color w:val="0B1217"/>
                <w:sz w:val="20"/>
                <w:szCs w:val="20"/>
              </w:rPr>
              <w:t xml:space="preserve">Services to be delivered </w:t>
            </w:r>
          </w:p>
        </w:tc>
      </w:tr>
      <w:tr w:rsidR="00CB4290" w:rsidRPr="00FE0BC9" w14:paraId="3B634DCF" w14:textId="77777777" w:rsidTr="00185B91">
        <w:trPr>
          <w:trHeight w:val="980"/>
        </w:trPr>
        <w:tc>
          <w:tcPr>
            <w:tcW w:w="2694" w:type="dxa"/>
            <w:tcBorders>
              <w:top w:val="single" w:sz="6" w:space="0" w:color="232F3B"/>
              <w:left w:val="single" w:sz="6" w:space="0" w:color="2C2F2F"/>
              <w:bottom w:val="single" w:sz="6" w:space="0" w:color="2C3847"/>
              <w:right w:val="single" w:sz="6" w:space="0" w:color="2C2F2F"/>
            </w:tcBorders>
            <w:shd w:val="clear" w:color="auto" w:fill="FFFFFF" w:themeFill="background1"/>
            <w:tcMar>
              <w:left w:w="105" w:type="dxa"/>
              <w:right w:w="105" w:type="dxa"/>
            </w:tcMar>
            <w:vAlign w:val="center"/>
          </w:tcPr>
          <w:p w14:paraId="041FFC3D" w14:textId="77777777" w:rsidR="00353CEA" w:rsidRPr="003A0120" w:rsidRDefault="00353CEA" w:rsidP="00BD3D05">
            <w:pPr>
              <w:pStyle w:val="TableParagraph"/>
              <w:ind w:right="-24"/>
              <w:rPr>
                <w:rFonts w:eastAsia="Arial" w:cs="Calibri"/>
                <w:b/>
                <w:bCs/>
                <w:color w:val="0B1217"/>
                <w:sz w:val="20"/>
                <w:szCs w:val="20"/>
              </w:rPr>
            </w:pPr>
            <w:r w:rsidRPr="003A0120">
              <w:rPr>
                <w:rFonts w:eastAsia="Arial" w:cs="Calibri"/>
                <w:b/>
                <w:bCs/>
                <w:color w:val="0B1217"/>
                <w:sz w:val="20"/>
                <w:szCs w:val="20"/>
              </w:rPr>
              <w:t>Transition Care Access Approval</w:t>
            </w:r>
          </w:p>
        </w:tc>
        <w:tc>
          <w:tcPr>
            <w:tcW w:w="3827" w:type="dxa"/>
            <w:gridSpan w:val="2"/>
            <w:tcBorders>
              <w:top w:val="single" w:sz="6" w:space="0" w:color="232F3B"/>
              <w:left w:val="single" w:sz="6" w:space="0" w:color="2C2F2F"/>
              <w:bottom w:val="single" w:sz="6" w:space="0" w:color="2C3847"/>
              <w:right w:val="single" w:sz="6" w:space="0" w:color="2C2F2F"/>
            </w:tcBorders>
            <w:shd w:val="clear" w:color="auto" w:fill="FFFFFF" w:themeFill="background1"/>
            <w:vAlign w:val="center"/>
          </w:tcPr>
          <w:p w14:paraId="0F0D2B8B" w14:textId="4EEDBA3D"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Date Transition Care Access Approval received: [</w:t>
            </w:r>
            <w:r w:rsidRPr="003A0120">
              <w:rPr>
                <w:rFonts w:eastAsia="Arial" w:cs="Calibri"/>
                <w:sz w:val="20"/>
                <w:szCs w:val="20"/>
                <w:highlight w:val="yellow"/>
              </w:rPr>
              <w:t>enter date</w:t>
            </w:r>
            <w:r w:rsidRPr="003A0120">
              <w:rPr>
                <w:rFonts w:eastAsia="Arial" w:cs="Calibri"/>
                <w:sz w:val="20"/>
                <w:szCs w:val="20"/>
              </w:rPr>
              <w:t>]</w:t>
            </w:r>
          </w:p>
          <w:p w14:paraId="11C49602" w14:textId="27039166" w:rsidR="00353CEA" w:rsidRPr="003A0120" w:rsidRDefault="00353CEA" w:rsidP="0050112F">
            <w:pPr>
              <w:pStyle w:val="TableParagraph"/>
              <w:numPr>
                <w:ilvl w:val="0"/>
                <w:numId w:val="66"/>
              </w:numPr>
              <w:tabs>
                <w:tab w:val="left" w:pos="1497"/>
              </w:tabs>
              <w:ind w:left="314" w:right="-24" w:hanging="284"/>
              <w:rPr>
                <w:rFonts w:eastAsia="Arial" w:cs="Calibri"/>
                <w:b/>
                <w:sz w:val="20"/>
                <w:szCs w:val="20"/>
              </w:rPr>
            </w:pPr>
            <w:r w:rsidRPr="003A0120">
              <w:rPr>
                <w:rFonts w:eastAsia="Arial" w:cs="Calibri"/>
                <w:b/>
                <w:bCs/>
                <w:sz w:val="20"/>
                <w:szCs w:val="20"/>
              </w:rPr>
              <w:t>Copy</w:t>
            </w:r>
            <w:r w:rsidRPr="003A0120">
              <w:rPr>
                <w:rFonts w:eastAsia="Arial" w:cs="Calibri"/>
                <w:b/>
                <w:sz w:val="20"/>
                <w:szCs w:val="20"/>
              </w:rPr>
              <w:t xml:space="preserve"> of Transition Care </w:t>
            </w:r>
            <w:r w:rsidRPr="003A0120">
              <w:rPr>
                <w:rFonts w:eastAsia="Arial" w:cs="Calibri"/>
                <w:b/>
                <w:bCs/>
                <w:sz w:val="20"/>
                <w:szCs w:val="20"/>
              </w:rPr>
              <w:t>Access Approval</w:t>
            </w:r>
            <w:r w:rsidRPr="003A0120">
              <w:rPr>
                <w:rFonts w:eastAsia="Arial" w:cs="Calibri"/>
                <w:b/>
                <w:sz w:val="20"/>
                <w:szCs w:val="20"/>
              </w:rPr>
              <w:t xml:space="preserve"> attached</w:t>
            </w:r>
          </w:p>
          <w:p w14:paraId="3DBB894B" w14:textId="77777777" w:rsidR="00353CEA" w:rsidRPr="003A0120" w:rsidRDefault="00353CEA" w:rsidP="00BD3D05">
            <w:pPr>
              <w:pStyle w:val="TableParagraph"/>
              <w:tabs>
                <w:tab w:val="left" w:pos="1497"/>
              </w:tabs>
              <w:spacing w:after="120"/>
              <w:ind w:right="-24"/>
              <w:rPr>
                <w:rFonts w:eastAsia="Arial" w:cs="Calibri"/>
                <w:color w:val="0B1217"/>
                <w:sz w:val="20"/>
                <w:szCs w:val="20"/>
              </w:rPr>
            </w:pPr>
            <w:r w:rsidRPr="003A0120">
              <w:rPr>
                <w:rFonts w:eastAsia="Arial" w:cs="Calibri"/>
                <w:sz w:val="20"/>
                <w:szCs w:val="20"/>
              </w:rPr>
              <w:t>Your Transition Care Access Approval is provided as part of your approved aged care assessment.</w:t>
            </w:r>
            <w:r w:rsidRPr="003A0120">
              <w:rPr>
                <w:rFonts w:eastAsia="Arial" w:cs="Calibri"/>
                <w:color w:val="0B1217"/>
                <w:sz w:val="20"/>
                <w:szCs w:val="20"/>
              </w:rPr>
              <w:t xml:space="preserve"> </w:t>
            </w:r>
          </w:p>
        </w:tc>
        <w:tc>
          <w:tcPr>
            <w:tcW w:w="3119" w:type="dxa"/>
            <w:tcBorders>
              <w:top w:val="single" w:sz="6" w:space="0" w:color="232F3B"/>
              <w:left w:val="single" w:sz="6" w:space="0" w:color="2C2F2F"/>
              <w:bottom w:val="single" w:sz="6" w:space="0" w:color="2C3847"/>
              <w:right w:val="single" w:sz="6" w:space="0" w:color="2C2F2F"/>
            </w:tcBorders>
            <w:shd w:val="clear" w:color="auto" w:fill="FFFFFF" w:themeFill="background1"/>
          </w:tcPr>
          <w:p w14:paraId="5E8ECF6C" w14:textId="60AD29E0" w:rsidR="00353CEA" w:rsidRPr="003A0120" w:rsidRDefault="00353CEA" w:rsidP="0050112F">
            <w:pPr>
              <w:pStyle w:val="TableParagraph"/>
              <w:numPr>
                <w:ilvl w:val="0"/>
                <w:numId w:val="66"/>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w:t>
            </w:r>
            <w:r w:rsidRPr="003A0120">
              <w:rPr>
                <w:rFonts w:eastAsia="Arial" w:cs="Calibri"/>
                <w:b/>
                <w:bCs/>
                <w:sz w:val="20"/>
                <w:szCs w:val="20"/>
              </w:rPr>
              <w:t>provided a copy of my Transition Care Access Approval</w:t>
            </w:r>
            <w:r w:rsidRPr="003A0120">
              <w:rPr>
                <w:rFonts w:eastAsia="Arial" w:cs="Calibri"/>
                <w:b/>
                <w:sz w:val="20"/>
                <w:szCs w:val="20"/>
              </w:rPr>
              <w:t xml:space="preserve"> to my provider</w:t>
            </w:r>
          </w:p>
        </w:tc>
      </w:tr>
      <w:tr w:rsidR="00CB4290" w:rsidRPr="00FE0BC9" w14:paraId="4C0803C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0A0" w14:textId="77777777" w:rsidR="00353CEA" w:rsidRPr="003A0120" w:rsidRDefault="00353CEA" w:rsidP="00BD3D05">
            <w:pPr>
              <w:spacing w:after="0"/>
              <w:ind w:right="-24"/>
              <w:rPr>
                <w:rFonts w:cs="Calibri"/>
                <w:szCs w:val="20"/>
              </w:rPr>
            </w:pPr>
            <w:r w:rsidRPr="003A0120">
              <w:rPr>
                <w:rFonts w:cs="Calibri"/>
                <w:b/>
                <w:bCs/>
                <w:szCs w:val="20"/>
              </w:rPr>
              <w:t>Services to be Delivered</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0B14A94D" w14:textId="110E9B3E"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 Provide a brief summary of the types of care and services to be delivered as per the client’s access approval. Suggested</w:t>
            </w:r>
            <w:r w:rsidRPr="003A0120" w:rsidDel="007D6793">
              <w:rPr>
                <w:rFonts w:eastAsia="Arial" w:cs="Calibri"/>
                <w:i/>
                <w:iCs/>
                <w:color w:val="FF0000"/>
                <w:sz w:val="20"/>
                <w:szCs w:val="20"/>
              </w:rPr>
              <w:t xml:space="preserve"> </w:t>
            </w:r>
            <w:r w:rsidRPr="003A0120">
              <w:rPr>
                <w:rFonts w:eastAsia="Arial" w:cs="Calibri"/>
                <w:i/>
                <w:iCs/>
                <w:color w:val="FF0000"/>
                <w:sz w:val="20"/>
                <w:szCs w:val="20"/>
              </w:rPr>
              <w:t>general text for inclusion in this section is outlined below. A summary of the full list of approved TCP Service Types is available as an attachment and should be provided to all clients along with their Service Agreement]</w:t>
            </w:r>
            <w:r w:rsidR="009C053E" w:rsidRPr="003A0120">
              <w:rPr>
                <w:rFonts w:eastAsia="Arial" w:cs="Calibri"/>
                <w:i/>
                <w:iCs/>
                <w:color w:val="FF0000"/>
                <w:sz w:val="20"/>
                <w:szCs w:val="20"/>
              </w:rPr>
              <w:t>.</w:t>
            </w:r>
          </w:p>
          <w:p w14:paraId="19538C4B" w14:textId="07D5A87A"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 have been approved for care through the TCP. Transition Care is a short-term program of no more than 12-weeks, which is designed to improve your health following a </w:t>
            </w:r>
            <w:r w:rsidRPr="003A0120">
              <w:rPr>
                <w:rFonts w:eastAsia="Arial" w:cs="Calibri"/>
                <w:sz w:val="20"/>
                <w:szCs w:val="20"/>
              </w:rPr>
              <w:lastRenderedPageBreak/>
              <w:t xml:space="preserve">hospital episode. The package of care and services you will receive will be a mixture of </w:t>
            </w:r>
            <w:r w:rsidRPr="003A0120">
              <w:rPr>
                <w:rFonts w:eastAsia="Arial" w:cs="Calibri"/>
                <w:b/>
                <w:bCs/>
                <w:sz w:val="20"/>
                <w:szCs w:val="20"/>
              </w:rPr>
              <w:t>low intensity</w:t>
            </w:r>
            <w:r w:rsidRPr="003A0120">
              <w:rPr>
                <w:rFonts w:eastAsia="Arial" w:cs="Calibri"/>
                <w:sz w:val="20"/>
                <w:szCs w:val="20"/>
              </w:rPr>
              <w:t xml:space="preserve"> </w:t>
            </w:r>
            <w:r w:rsidRPr="003A0120">
              <w:rPr>
                <w:rFonts w:eastAsia="Arial" w:cs="Calibri"/>
                <w:b/>
                <w:bCs/>
                <w:sz w:val="20"/>
                <w:szCs w:val="20"/>
              </w:rPr>
              <w:t>therapy services, nursing support, and personal care supports</w:t>
            </w:r>
            <w:r w:rsidRPr="003A0120">
              <w:rPr>
                <w:rFonts w:eastAsia="Arial" w:cs="Calibri"/>
                <w:sz w:val="20"/>
                <w:szCs w:val="20"/>
              </w:rPr>
              <w:t xml:space="preserve">, tailored to meet the restorative care goals identified in your Access Approval. </w:t>
            </w:r>
          </w:p>
          <w:p w14:paraId="07E80A6E" w14:textId="78664E45"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will explain to you in detail</w:t>
            </w:r>
            <w:r w:rsidRPr="003A0120">
              <w:rPr>
                <w:rFonts w:eastAsia="Arial" w:cs="Calibri"/>
                <w:b/>
                <w:bCs/>
                <w:sz w:val="20"/>
                <w:szCs w:val="20"/>
              </w:rPr>
              <w:t xml:space="preserve"> the identified services and supports that will be delivered to you</w:t>
            </w:r>
            <w:r w:rsidRPr="003A0120">
              <w:rPr>
                <w:rFonts w:eastAsia="Arial" w:cs="Calibri"/>
                <w:sz w:val="20"/>
                <w:szCs w:val="20"/>
              </w:rPr>
              <w:t xml:space="preserve">. These are to be based on your assessed restorative goals and needs, and also what care setting you are to receive Transition Care in. </w:t>
            </w:r>
          </w:p>
          <w:p w14:paraId="464EAFD2" w14:textId="2AAD0A17"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The specific types and levels of services you are to receive will be outlined in your individual detailed client </w:t>
            </w:r>
            <w:r w:rsidRPr="003A0120">
              <w:rPr>
                <w:rFonts w:eastAsia="Arial" w:cs="Calibri"/>
                <w:b/>
                <w:bCs/>
                <w:sz w:val="20"/>
                <w:szCs w:val="20"/>
              </w:rPr>
              <w:t>Care and Services Plan</w:t>
            </w:r>
            <w:r w:rsidRPr="003A0120">
              <w:rPr>
                <w:rFonts w:eastAsia="Arial" w:cs="Calibri"/>
                <w:sz w:val="20"/>
                <w:szCs w:val="20"/>
              </w:rPr>
              <w:t xml:space="preserve"> (see below for more information) which we will develop in consultation with yourself. </w:t>
            </w:r>
          </w:p>
          <w:p w14:paraId="53BBF5E9"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Your supports and services may vary over the course of your Transition Care episode, depending on what is best suited to meet your needs.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CD5D7B0" w14:textId="37052905" w:rsidR="00353CEA" w:rsidRPr="003A0120" w:rsidRDefault="00353CEA" w:rsidP="0050112F">
            <w:pPr>
              <w:pStyle w:val="TableParagraph"/>
              <w:numPr>
                <w:ilvl w:val="0"/>
                <w:numId w:val="66"/>
              </w:numPr>
              <w:tabs>
                <w:tab w:val="left" w:pos="1497"/>
              </w:tabs>
              <w:spacing w:before="80"/>
              <w:ind w:left="312" w:right="-23" w:hanging="284"/>
              <w:rPr>
                <w:rFonts w:eastAsia="Arial" w:cs="Calibri"/>
                <w:sz w:val="20"/>
                <w:szCs w:val="20"/>
              </w:rPr>
            </w:pPr>
            <w:r w:rsidRPr="003A0120" w:rsidDel="001A6F68">
              <w:rPr>
                <w:rFonts w:eastAsia="Arial" w:cs="Calibri"/>
                <w:b/>
                <w:bCs/>
                <w:sz w:val="20"/>
                <w:szCs w:val="20"/>
              </w:rPr>
              <w:lastRenderedPageBreak/>
              <w:t xml:space="preserve">I </w:t>
            </w:r>
            <w:r w:rsidRPr="003A0120">
              <w:rPr>
                <w:rFonts w:eastAsia="Arial" w:cs="Calibri"/>
                <w:b/>
                <w:bCs/>
                <w:sz w:val="20"/>
                <w:szCs w:val="20"/>
              </w:rPr>
              <w:t>understand the types of care and services I am to receive</w:t>
            </w:r>
          </w:p>
        </w:tc>
      </w:tr>
      <w:tr w:rsidR="00CB4290" w:rsidRPr="00FE0BC9" w14:paraId="7665FE92"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AABE" w14:textId="77777777" w:rsidR="00353CEA" w:rsidRPr="003A0120" w:rsidRDefault="00353CEA" w:rsidP="00B81A51">
            <w:pPr>
              <w:spacing w:after="0"/>
              <w:ind w:right="-24"/>
              <w:rPr>
                <w:rFonts w:cs="Calibri"/>
                <w:b/>
                <w:bCs/>
                <w:szCs w:val="20"/>
              </w:rPr>
            </w:pPr>
            <w:r w:rsidRPr="003A0120">
              <w:rPr>
                <w:rFonts w:cs="Calibri"/>
                <w:b/>
                <w:bCs/>
                <w:szCs w:val="20"/>
              </w:rPr>
              <w:t>Client Care and Services Plan</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43C2457D" w14:textId="4B68EFEB" w:rsidR="00353CEA" w:rsidRPr="003A0120" w:rsidRDefault="00353CEA" w:rsidP="00185B91">
            <w:pPr>
              <w:pStyle w:val="TableParagraph"/>
              <w:tabs>
                <w:tab w:val="left" w:pos="1497"/>
              </w:tabs>
              <w:spacing w:before="80"/>
              <w:ind w:right="-24"/>
              <w:rPr>
                <w:rFonts w:eastAsia="Arial" w:cs="Calibri"/>
                <w:sz w:val="20"/>
                <w:szCs w:val="20"/>
              </w:rPr>
            </w:pPr>
            <w:r w:rsidRPr="003A0120">
              <w:rPr>
                <w:rFonts w:eastAsia="Arial" w:cs="Calibri"/>
                <w:sz w:val="20"/>
                <w:szCs w:val="20"/>
              </w:rPr>
              <w:t>An initial client</w:t>
            </w:r>
            <w:r w:rsidRPr="003A0120">
              <w:rPr>
                <w:rFonts w:eastAsia="Arial" w:cs="Calibri"/>
                <w:b/>
                <w:bCs/>
                <w:sz w:val="20"/>
                <w:szCs w:val="20"/>
              </w:rPr>
              <w:t xml:space="preserve"> Care and Services Plan</w:t>
            </w:r>
            <w:r w:rsidRPr="003A0120">
              <w:rPr>
                <w:rFonts w:eastAsia="Arial" w:cs="Calibri"/>
                <w:sz w:val="20"/>
                <w:szCs w:val="20"/>
              </w:rPr>
              <w:t xml:space="preserve"> is to be developed by your care team in consultation with you, on or before the start date of your Transition Care episode. </w:t>
            </w:r>
          </w:p>
          <w:p w14:paraId="41E74E42" w14:textId="066DF4D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Your initial client Care and Services Plan is attached to this Service Agreement. </w:t>
            </w:r>
          </w:p>
          <w:p w14:paraId="067B7870" w14:textId="4355E498" w:rsidR="00353CEA" w:rsidRPr="003A0120" w:rsidRDefault="00353CEA" w:rsidP="00185B91">
            <w:pPr>
              <w:pStyle w:val="TableParagraph"/>
              <w:rPr>
                <w:sz w:val="20"/>
                <w:szCs w:val="20"/>
              </w:rPr>
            </w:pPr>
            <w:r w:rsidRPr="003A0120">
              <w:rPr>
                <w:sz w:val="20"/>
                <w:szCs w:val="20"/>
              </w:rPr>
              <w:t>It will detail the specific services and therapeutic supports you will receive to help you achieve the goals outlined in your Access Approval.</w:t>
            </w:r>
          </w:p>
          <w:p w14:paraId="1E8060FD" w14:textId="0D816CF0"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Your initial client Care and Services Plan will</w:t>
            </w:r>
            <w:r w:rsidRPr="003A0120">
              <w:rPr>
                <w:rFonts w:eastAsia="Arial" w:cs="Calibri"/>
                <w:b/>
                <w:bCs/>
                <w:sz w:val="20"/>
                <w:szCs w:val="20"/>
              </w:rPr>
              <w:t xml:space="preserve"> continue to be developed and finalised </w:t>
            </w:r>
            <w:r w:rsidRPr="003A0120">
              <w:rPr>
                <w:rFonts w:eastAsia="Arial" w:cs="Calibri"/>
                <w:sz w:val="20"/>
                <w:szCs w:val="20"/>
              </w:rPr>
              <w:t>by our care team in consultation with you, when we have further assessed how to best meet your needs once you have commenced your care episode.</w:t>
            </w:r>
          </w:p>
          <w:p w14:paraId="5C15D281" w14:textId="393CEFE1"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 xml:space="preserve">It will also be subject to review as you progress through your time in Transition Care. An amended copy will be made available to you whenever it is updated. </w:t>
            </w:r>
          </w:p>
          <w:p w14:paraId="4C397721"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Importantly, your client Care and Services Plan will also include information about your ongoing care needs and options, once your Transition Care episode concludes.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23968680" w14:textId="0459DC88" w:rsidR="00353CEA" w:rsidRPr="003A0120" w:rsidDel="001A6F68" w:rsidRDefault="00353CEA" w:rsidP="0050112F">
            <w:pPr>
              <w:pStyle w:val="TableParagraph"/>
              <w:numPr>
                <w:ilvl w:val="0"/>
                <w:numId w:val="66"/>
              </w:numPr>
              <w:tabs>
                <w:tab w:val="left" w:pos="1497"/>
              </w:tabs>
              <w:spacing w:before="80"/>
              <w:ind w:left="312" w:right="-23" w:hanging="284"/>
              <w:rPr>
                <w:rFonts w:eastAsia="Arial" w:cs="Calibri"/>
                <w:b/>
                <w:bCs/>
                <w:sz w:val="20"/>
                <w:szCs w:val="20"/>
              </w:rPr>
            </w:pPr>
            <w:r w:rsidRPr="003A0120">
              <w:rPr>
                <w:rFonts w:eastAsia="Arial" w:cs="Calibri"/>
                <w:b/>
                <w:bCs/>
                <w:sz w:val="20"/>
                <w:szCs w:val="20"/>
              </w:rPr>
              <w:t>I confirm my client Care and Services Plan</w:t>
            </w:r>
            <w:r w:rsidRPr="003A0120" w:rsidDel="00D45BB7">
              <w:rPr>
                <w:rFonts w:eastAsia="Arial" w:cs="Calibri"/>
                <w:b/>
                <w:bCs/>
                <w:sz w:val="20"/>
                <w:szCs w:val="20"/>
              </w:rPr>
              <w:t xml:space="preserve"> </w:t>
            </w:r>
            <w:r w:rsidRPr="003A0120">
              <w:rPr>
                <w:rFonts w:eastAsia="Arial" w:cs="Calibri"/>
                <w:b/>
                <w:bCs/>
                <w:sz w:val="20"/>
                <w:szCs w:val="20"/>
              </w:rPr>
              <w:t xml:space="preserve">is attached to this Service Agreement. </w:t>
            </w:r>
          </w:p>
        </w:tc>
      </w:tr>
      <w:tr w:rsidR="00CB4290" w:rsidRPr="00FE0BC9" w14:paraId="1A6AB654" w14:textId="77777777" w:rsidTr="00185B91">
        <w:trPr>
          <w:trHeight w:val="596"/>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E9AE7" w14:textId="77777777" w:rsidR="00353CEA" w:rsidRPr="003A0120" w:rsidRDefault="00353CEA" w:rsidP="00B81A51">
            <w:pPr>
              <w:spacing w:after="0"/>
              <w:ind w:right="-24"/>
              <w:rPr>
                <w:rFonts w:cs="Calibri"/>
                <w:b/>
                <w:bCs/>
                <w:szCs w:val="20"/>
              </w:rPr>
            </w:pPr>
            <w:r w:rsidRPr="003A0120">
              <w:rPr>
                <w:rFonts w:cs="Calibri"/>
                <w:b/>
                <w:bCs/>
                <w:szCs w:val="20"/>
              </w:rPr>
              <w:t xml:space="preserve">Care Delivery Setting </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5C524E94" w14:textId="1531CDBB" w:rsidR="00353CEA" w:rsidRPr="003A0120" w:rsidRDefault="00353CEA" w:rsidP="00185B91">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Include specific details about the care setting here – whether residential or home/community or a combination of both during the transition care episode, as per the goals listed on the access approval – suggested general text below]</w:t>
            </w:r>
            <w:r w:rsidR="00D525D6" w:rsidRPr="003A0120">
              <w:rPr>
                <w:rFonts w:eastAsia="Arial" w:cs="Calibri"/>
                <w:i/>
                <w:iCs/>
                <w:color w:val="FF0000"/>
                <w:sz w:val="20"/>
                <w:szCs w:val="20"/>
              </w:rPr>
              <w:t>.</w:t>
            </w:r>
          </w:p>
          <w:p w14:paraId="5C9D70C9"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To begin with, your Transition Care episode will commence and you will receive services and supports in the following care delivery </w:t>
            </w:r>
            <w:r w:rsidRPr="003A0120">
              <w:rPr>
                <w:rFonts w:eastAsia="Arial" w:cs="Calibri"/>
                <w:sz w:val="20"/>
                <w:szCs w:val="20"/>
              </w:rPr>
              <w:lastRenderedPageBreak/>
              <w:t>setting:</w:t>
            </w:r>
          </w:p>
          <w:p w14:paraId="1EFCB3E0" w14:textId="77777777" w:rsidR="00353CEA" w:rsidRPr="003A0120" w:rsidRDefault="00353CEA" w:rsidP="00BD3D05">
            <w:pPr>
              <w:pStyle w:val="TableParagraph"/>
              <w:tabs>
                <w:tab w:val="left" w:pos="1497"/>
              </w:tabs>
              <w:spacing w:before="120" w:after="120"/>
              <w:ind w:right="-24"/>
              <w:rPr>
                <w:rFonts w:eastAsia="Arial" w:cs="Calibri"/>
                <w:i/>
                <w:iCs/>
                <w:color w:val="FF0000"/>
                <w:sz w:val="20"/>
                <w:szCs w:val="20"/>
              </w:rPr>
            </w:pPr>
            <w:r w:rsidRPr="003A0120">
              <w:rPr>
                <w:rFonts w:eastAsia="Arial" w:cs="Calibri"/>
                <w:i/>
                <w:iCs/>
                <w:color w:val="FF0000"/>
                <w:sz w:val="20"/>
                <w:szCs w:val="20"/>
              </w:rPr>
              <w:t>[Provider to</w:t>
            </w:r>
            <w:r w:rsidRPr="003A0120" w:rsidDel="001A6F68">
              <w:rPr>
                <w:rFonts w:eastAsia="Arial" w:cs="Calibri"/>
                <w:i/>
                <w:iCs/>
                <w:color w:val="FF0000"/>
                <w:sz w:val="20"/>
                <w:szCs w:val="20"/>
              </w:rPr>
              <w:t xml:space="preserve"> tick </w:t>
            </w:r>
            <w:r w:rsidRPr="003A0120">
              <w:rPr>
                <w:rFonts w:eastAsia="Arial" w:cs="Calibri"/>
                <w:i/>
                <w:iCs/>
                <w:color w:val="FF0000"/>
                <w:sz w:val="20"/>
                <w:szCs w:val="20"/>
              </w:rPr>
              <w:t>relevant</w:t>
            </w:r>
            <w:r w:rsidRPr="003A0120" w:rsidDel="001A6F68">
              <w:rPr>
                <w:rFonts w:eastAsia="Arial" w:cs="Calibri"/>
                <w:i/>
                <w:iCs/>
                <w:color w:val="FF0000"/>
                <w:sz w:val="20"/>
                <w:szCs w:val="20"/>
              </w:rPr>
              <w:t xml:space="preserve"> box</w:t>
            </w:r>
            <w:r w:rsidRPr="003A0120">
              <w:rPr>
                <w:rFonts w:eastAsia="Arial" w:cs="Calibri"/>
                <w:i/>
                <w:iCs/>
                <w:color w:val="FF0000"/>
                <w:sz w:val="20"/>
                <w:szCs w:val="20"/>
              </w:rPr>
              <w:t>]</w:t>
            </w:r>
          </w:p>
          <w:p w14:paraId="5F8D5E95" w14:textId="165B5DE7"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residential aged care setting</w:t>
            </w:r>
          </w:p>
          <w:p w14:paraId="372E75B4" w14:textId="0034EDA4"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Transition Care to be delivered in a home or community setting</w:t>
            </w:r>
          </w:p>
          <w:p w14:paraId="4D8643EC" w14:textId="098D69F3" w:rsidR="00353CEA" w:rsidRPr="003A0120" w:rsidRDefault="00353CEA" w:rsidP="00185B91">
            <w:pPr>
              <w:pStyle w:val="TableParagraph"/>
              <w:tabs>
                <w:tab w:val="left" w:pos="1497"/>
              </w:tabs>
              <w:ind w:right="-24"/>
              <w:rPr>
                <w:rFonts w:eastAsia="Arial" w:cs="Calibri"/>
                <w:sz w:val="20"/>
                <w:szCs w:val="20"/>
              </w:rPr>
            </w:pPr>
            <w:r w:rsidRPr="003A0120">
              <w:rPr>
                <w:rFonts w:eastAsia="Arial" w:cs="Calibri"/>
                <w:sz w:val="20"/>
                <w:szCs w:val="20"/>
              </w:rPr>
              <w:t>We may deliver Transition Care services to you using a combination of both home/community and residential aged care settings, as needed.</w:t>
            </w:r>
          </w:p>
          <w:p w14:paraId="32E89C70" w14:textId="77777777" w:rsidR="00353CEA" w:rsidRPr="003A0120" w:rsidRDefault="00353CEA" w:rsidP="00BD3D05">
            <w:pPr>
              <w:pStyle w:val="TableParagraph"/>
              <w:tabs>
                <w:tab w:val="left" w:pos="1497"/>
              </w:tabs>
              <w:spacing w:after="120"/>
              <w:ind w:right="-24"/>
              <w:rPr>
                <w:rFonts w:eastAsia="Arial" w:cs="Calibri"/>
                <w:sz w:val="20"/>
                <w:szCs w:val="20"/>
              </w:rPr>
            </w:pPr>
            <w:r w:rsidRPr="003A0120">
              <w:rPr>
                <w:rFonts w:eastAsia="Arial" w:cs="Calibri"/>
                <w:sz w:val="20"/>
                <w:szCs w:val="20"/>
              </w:rPr>
              <w:t xml:space="preserve">Further details about your care delivery setting arrangements will be outlined in your Care and Services Plan. </w:t>
            </w:r>
          </w:p>
        </w:tc>
        <w:tc>
          <w:tcPr>
            <w:tcW w:w="3119" w:type="dxa"/>
            <w:tcBorders>
              <w:top w:val="single" w:sz="4" w:space="0" w:color="auto"/>
              <w:left w:val="single" w:sz="4" w:space="0" w:color="auto"/>
              <w:bottom w:val="single" w:sz="6" w:space="0" w:color="auto"/>
              <w:right w:val="single" w:sz="4" w:space="0" w:color="auto"/>
            </w:tcBorders>
            <w:shd w:val="clear" w:color="auto" w:fill="FFFFFF" w:themeFill="background1"/>
          </w:tcPr>
          <w:p w14:paraId="6F3E8B10" w14:textId="7632C80F" w:rsidR="00353CEA" w:rsidRPr="003A0120" w:rsidDel="001A6F68" w:rsidRDefault="00353CEA" w:rsidP="0050112F">
            <w:pPr>
              <w:pStyle w:val="TableParagraph"/>
              <w:numPr>
                <w:ilvl w:val="0"/>
                <w:numId w:val="66"/>
              </w:numPr>
              <w:tabs>
                <w:tab w:val="left" w:pos="1497"/>
              </w:tabs>
              <w:spacing w:before="80"/>
              <w:ind w:left="312" w:right="-23" w:hanging="284"/>
              <w:rPr>
                <w:rFonts w:eastAsia="Arial" w:cs="Calibri"/>
                <w:b/>
                <w:bCs/>
                <w:sz w:val="20"/>
                <w:szCs w:val="20"/>
              </w:rPr>
            </w:pPr>
            <w:r w:rsidRPr="003A0120" w:rsidDel="001A6F68">
              <w:rPr>
                <w:rFonts w:eastAsia="Arial" w:cs="Calibri"/>
                <w:b/>
                <w:bCs/>
                <w:sz w:val="20"/>
                <w:szCs w:val="20"/>
              </w:rPr>
              <w:lastRenderedPageBreak/>
              <w:t xml:space="preserve">I </w:t>
            </w:r>
            <w:r w:rsidRPr="003A0120">
              <w:rPr>
                <w:rFonts w:eastAsia="Arial" w:cs="Calibri"/>
                <w:b/>
                <w:bCs/>
                <w:sz w:val="20"/>
                <w:szCs w:val="20"/>
              </w:rPr>
              <w:t xml:space="preserve">understand what care setting/s I am to receive Transition Care services in. </w:t>
            </w:r>
          </w:p>
        </w:tc>
      </w:tr>
      <w:tr w:rsidR="004621A1" w:rsidRPr="00FE0BC9" w14:paraId="542F20A8" w14:textId="77777777" w:rsidTr="00185B91">
        <w:trPr>
          <w:trHeight w:val="192"/>
        </w:trPr>
        <w:tc>
          <w:tcPr>
            <w:tcW w:w="9640" w:type="dxa"/>
            <w:gridSpan w:val="4"/>
            <w:tcBorders>
              <w:top w:val="single" w:sz="6" w:space="0" w:color="202020"/>
              <w:left w:val="single" w:sz="6" w:space="0" w:color="2C2F2F"/>
              <w:bottom w:val="single" w:sz="6" w:space="0" w:color="2C3440"/>
              <w:right w:val="single" w:sz="6" w:space="0" w:color="2C2F2F"/>
            </w:tcBorders>
            <w:shd w:val="clear" w:color="auto" w:fill="A3DBFF"/>
            <w:tcMar>
              <w:left w:w="105" w:type="dxa"/>
              <w:right w:w="105" w:type="dxa"/>
            </w:tcMar>
          </w:tcPr>
          <w:p w14:paraId="6FA97D0C" w14:textId="2F2F687C" w:rsidR="00353CEA" w:rsidRPr="003A0120" w:rsidRDefault="00570583" w:rsidP="0050112F">
            <w:pPr>
              <w:pStyle w:val="TableParagraph"/>
              <w:numPr>
                <w:ilvl w:val="0"/>
                <w:numId w:val="63"/>
              </w:numPr>
              <w:ind w:left="0" w:right="-24"/>
              <w:rPr>
                <w:rFonts w:eastAsia="Arial" w:cs="Calibri"/>
                <w:sz w:val="20"/>
                <w:szCs w:val="20"/>
              </w:rPr>
            </w:pPr>
            <w:r w:rsidRPr="003A0120">
              <w:rPr>
                <w:rFonts w:eastAsia="Arial" w:cs="Calibri"/>
                <w:b/>
                <w:bCs/>
                <w:sz w:val="20"/>
                <w:szCs w:val="20"/>
              </w:rPr>
              <w:t xml:space="preserve">5. </w:t>
            </w:r>
            <w:r w:rsidR="00353CEA" w:rsidRPr="003A0120">
              <w:rPr>
                <w:rFonts w:eastAsia="Arial" w:cs="Calibri"/>
                <w:b/>
                <w:bCs/>
                <w:sz w:val="20"/>
                <w:szCs w:val="20"/>
              </w:rPr>
              <w:t>When Transition Care services will start and end</w:t>
            </w:r>
          </w:p>
        </w:tc>
      </w:tr>
      <w:tr w:rsidR="00047713" w:rsidRPr="00FE0BC9" w14:paraId="3D1CBACC"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F04AB11"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Start date of Transition Care episode</w:t>
            </w:r>
          </w:p>
        </w:tc>
        <w:tc>
          <w:tcPr>
            <w:tcW w:w="6946" w:type="dxa"/>
            <w:gridSpan w:val="3"/>
            <w:tcBorders>
              <w:top w:val="single" w:sz="6" w:space="0" w:color="202020"/>
              <w:left w:val="single" w:sz="6" w:space="0" w:color="2C2F2F"/>
              <w:bottom w:val="single" w:sz="6" w:space="0" w:color="2C3440"/>
              <w:right w:val="single" w:sz="6" w:space="0" w:color="2C2F2F"/>
            </w:tcBorders>
          </w:tcPr>
          <w:p w14:paraId="2A765ED8" w14:textId="112639B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szCs w:val="20"/>
                <w:lang w:val="en-US"/>
              </w:rPr>
              <w:t xml:space="preserve"> </w:t>
            </w:r>
            <w:r w:rsidRPr="003A0120">
              <w:rPr>
                <w:rFonts w:eastAsia="Arial" w:cs="Calibri"/>
                <w:i/>
                <w:iCs/>
                <w:color w:val="FF0000"/>
                <w:szCs w:val="20"/>
                <w:lang w:val="en-US"/>
              </w:rPr>
              <w:t>[Provider to complete]</w:t>
            </w:r>
          </w:p>
          <w:p w14:paraId="1A214150" w14:textId="71D3E9F9" w:rsidR="00353CEA" w:rsidRPr="003A0120" w:rsidRDefault="00353CEA" w:rsidP="00BD3D05">
            <w:pPr>
              <w:widowControl w:val="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iCs/>
                <w:color w:val="FF0000"/>
                <w:szCs w:val="20"/>
                <w:lang w:val="en-US"/>
              </w:rPr>
              <w:t xml:space="preserve"> Registered</w:t>
            </w:r>
            <w:r w:rsidRPr="003A0120">
              <w:rPr>
                <w:rFonts w:eastAsia="Arial" w:cs="Calibri"/>
                <w:i/>
                <w:iCs/>
                <w:color w:val="FF0000"/>
                <w:szCs w:val="20"/>
                <w:lang w:val="en-US"/>
              </w:rPr>
              <w:t xml:space="preserve"> Provider: A reminder this is the TCP episode commencement date, which can be different from the commencement date of this Service Agreement which is the date it is signed and executed by both parties]</w:t>
            </w:r>
            <w:r w:rsidR="0000017C" w:rsidRPr="003A0120">
              <w:rPr>
                <w:rFonts w:eastAsia="Arial" w:cs="Calibri"/>
                <w:i/>
                <w:iCs/>
                <w:color w:val="FF0000"/>
                <w:szCs w:val="20"/>
                <w:lang w:val="en-US"/>
              </w:rPr>
              <w:t>.</w:t>
            </w:r>
          </w:p>
        </w:tc>
      </w:tr>
      <w:tr w:rsidR="00047713" w:rsidRPr="00FE0BC9" w14:paraId="2E6AB255" w14:textId="77777777" w:rsidTr="00185B91">
        <w:trPr>
          <w:trHeight w:val="192"/>
        </w:trPr>
        <w:tc>
          <w:tcPr>
            <w:tcW w:w="2694" w:type="dxa"/>
            <w:tcBorders>
              <w:top w:val="single" w:sz="6" w:space="0" w:color="202020"/>
              <w:left w:val="single" w:sz="6" w:space="0" w:color="2C2F2F"/>
              <w:bottom w:val="single" w:sz="6" w:space="0" w:color="202020"/>
              <w:right w:val="single" w:sz="6" w:space="0" w:color="2C2F2F"/>
            </w:tcBorders>
            <w:tcMar>
              <w:left w:w="105" w:type="dxa"/>
              <w:right w:w="105" w:type="dxa"/>
            </w:tcMar>
          </w:tcPr>
          <w:p w14:paraId="3026D837" w14:textId="77777777" w:rsidR="00353CEA" w:rsidRPr="003A0120" w:rsidRDefault="00353CEA" w:rsidP="00BD3D05">
            <w:pPr>
              <w:pStyle w:val="TableParagraph"/>
              <w:spacing w:before="80" w:after="80"/>
              <w:ind w:right="-24"/>
              <w:rPr>
                <w:rFonts w:eastAsia="Arial" w:cs="Calibri"/>
                <w:b/>
                <w:sz w:val="20"/>
                <w:szCs w:val="20"/>
              </w:rPr>
            </w:pPr>
            <w:r w:rsidRPr="003A0120">
              <w:rPr>
                <w:rFonts w:eastAsia="Arial" w:cs="Calibri"/>
                <w:b/>
                <w:sz w:val="20"/>
                <w:szCs w:val="20"/>
              </w:rPr>
              <w:t xml:space="preserve">Expected end date of Transition Care Episode </w:t>
            </w:r>
            <w:r w:rsidRPr="003A0120">
              <w:rPr>
                <w:rFonts w:eastAsia="Arial" w:cs="Calibri"/>
                <w:bCs/>
                <w:sz w:val="20"/>
                <w:szCs w:val="20"/>
              </w:rPr>
              <w:t>(noting this may vary depending on your recovery)</w:t>
            </w:r>
          </w:p>
        </w:tc>
        <w:tc>
          <w:tcPr>
            <w:tcW w:w="6946" w:type="dxa"/>
            <w:gridSpan w:val="3"/>
            <w:tcBorders>
              <w:top w:val="single" w:sz="6" w:space="0" w:color="202020"/>
              <w:left w:val="single" w:sz="6" w:space="0" w:color="2C2F2F"/>
              <w:bottom w:val="single" w:sz="6" w:space="0" w:color="202020"/>
              <w:right w:val="single" w:sz="6" w:space="0" w:color="2C2F2F"/>
            </w:tcBorders>
          </w:tcPr>
          <w:p w14:paraId="36BE8265" w14:textId="027FF5D1" w:rsidR="00353CEA" w:rsidRPr="003A0120" w:rsidRDefault="00353CEA" w:rsidP="00185B91">
            <w:pPr>
              <w:widowControl w:val="0"/>
              <w:spacing w:before="80" w:after="0"/>
              <w:ind w:right="-24"/>
              <w:rPr>
                <w:rFonts w:eastAsia="Arial" w:cs="Calibri"/>
                <w:i/>
                <w:iCs/>
                <w:color w:val="FF0000"/>
                <w:szCs w:val="20"/>
                <w:lang w:val="en-US"/>
              </w:rPr>
            </w:pPr>
            <w:r w:rsidRPr="003A0120">
              <w:rPr>
                <w:rFonts w:eastAsia="Arial" w:cs="Calibri"/>
                <w:szCs w:val="20"/>
              </w:rPr>
              <w:t>[</w:t>
            </w:r>
            <w:r w:rsidRPr="003A0120">
              <w:rPr>
                <w:rFonts w:eastAsia="Arial" w:cs="Calibri"/>
                <w:szCs w:val="20"/>
                <w:highlight w:val="yellow"/>
              </w:rPr>
              <w:t>enter date</w:t>
            </w:r>
            <w:r w:rsidRPr="003A0120">
              <w:rPr>
                <w:rFonts w:eastAsia="Arial" w:cs="Calibri"/>
                <w:szCs w:val="20"/>
              </w:rPr>
              <w:t>]</w:t>
            </w:r>
            <w:r w:rsidRPr="003A0120">
              <w:rPr>
                <w:rFonts w:eastAsia="Arial" w:cs="Calibri"/>
                <w:i/>
                <w:iCs/>
                <w:color w:val="FF0000"/>
                <w:szCs w:val="20"/>
                <w:lang w:val="en-US"/>
              </w:rPr>
              <w:t xml:space="preserve"> [Provider to complete]</w:t>
            </w:r>
          </w:p>
          <w:p w14:paraId="459D2359" w14:textId="77777777" w:rsidR="00353CEA" w:rsidRPr="003A0120" w:rsidRDefault="00353CEA" w:rsidP="00BD3D05">
            <w:pPr>
              <w:widowControl w:val="0"/>
              <w:spacing w:after="0"/>
              <w:ind w:right="-24"/>
              <w:rPr>
                <w:rFonts w:eastAsia="Arial" w:cs="Calibri"/>
                <w:i/>
                <w:iCs/>
                <w:color w:val="FF0000"/>
                <w:szCs w:val="20"/>
                <w:lang w:val="en-US"/>
              </w:rPr>
            </w:pPr>
            <w:r w:rsidRPr="003A0120">
              <w:rPr>
                <w:rFonts w:eastAsia="Arial" w:cs="Calibri"/>
                <w:i/>
                <w:iCs/>
                <w:color w:val="FF0000"/>
                <w:szCs w:val="20"/>
                <w:lang w:val="en-US"/>
              </w:rPr>
              <w:t>[Note to</w:t>
            </w:r>
            <w:r w:rsidRPr="003A0120" w:rsidDel="00BF1AE9">
              <w:rPr>
                <w:rFonts w:eastAsia="Arial" w:cs="Calibri"/>
                <w:i/>
                <w:color w:val="FF0000"/>
                <w:szCs w:val="20"/>
                <w:lang w:val="en-US"/>
              </w:rPr>
              <w:t xml:space="preserve"> Registered</w:t>
            </w:r>
            <w:r w:rsidRPr="003A0120">
              <w:rPr>
                <w:rFonts w:eastAsia="Arial" w:cs="Calibri"/>
                <w:i/>
                <w:color w:val="FF0000"/>
                <w:szCs w:val="20"/>
                <w:lang w:val="en-US"/>
              </w:rPr>
              <w:t xml:space="preserve"> </w:t>
            </w:r>
            <w:r w:rsidRPr="003A0120">
              <w:rPr>
                <w:rFonts w:eastAsia="Arial" w:cs="Calibri"/>
                <w:i/>
                <w:iCs/>
                <w:color w:val="FF0000"/>
                <w:szCs w:val="20"/>
                <w:lang w:val="en-US"/>
              </w:rPr>
              <w:t>Provider: should be up to 12 weeks from start date].</w:t>
            </w:r>
          </w:p>
        </w:tc>
      </w:tr>
      <w:tr w:rsidR="00047713" w:rsidRPr="00FE0BC9" w14:paraId="5B642E86" w14:textId="77777777" w:rsidTr="00185B91">
        <w:trPr>
          <w:trHeight w:val="192"/>
        </w:trPr>
        <w:tc>
          <w:tcPr>
            <w:tcW w:w="2694" w:type="dxa"/>
            <w:tcBorders>
              <w:top w:val="single" w:sz="6" w:space="0" w:color="202020"/>
              <w:left w:val="single" w:sz="6" w:space="0" w:color="2C2F2F"/>
              <w:bottom w:val="single" w:sz="6" w:space="0" w:color="2C3440"/>
              <w:right w:val="single" w:sz="6" w:space="0" w:color="2C2F2F"/>
            </w:tcBorders>
            <w:tcMar>
              <w:left w:w="105" w:type="dxa"/>
              <w:right w:w="105" w:type="dxa"/>
            </w:tcMar>
          </w:tcPr>
          <w:p w14:paraId="2094E1A6"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Extensions to Transition Care episode</w:t>
            </w:r>
          </w:p>
          <w:p w14:paraId="0AA1585A" w14:textId="77777777" w:rsidR="00353CEA" w:rsidRPr="003A0120" w:rsidRDefault="00353CEA" w:rsidP="00BD3D05">
            <w:pPr>
              <w:pStyle w:val="TableParagraph"/>
              <w:ind w:right="-24"/>
              <w:rPr>
                <w:rFonts w:eastAsia="Arial" w:cs="Calibri"/>
                <w:bCs/>
                <w:sz w:val="20"/>
                <w:szCs w:val="20"/>
              </w:rPr>
            </w:pPr>
            <w:r w:rsidRPr="003A0120">
              <w:rPr>
                <w:rFonts w:eastAsia="Arial" w:cs="Calibri"/>
                <w:bCs/>
                <w:sz w:val="20"/>
                <w:szCs w:val="20"/>
              </w:rPr>
              <w:t xml:space="preserve">(where agreement to be updated if any extensions are subsequently applied for and approved) </w:t>
            </w:r>
          </w:p>
        </w:tc>
        <w:tc>
          <w:tcPr>
            <w:tcW w:w="6946" w:type="dxa"/>
            <w:gridSpan w:val="3"/>
            <w:tcBorders>
              <w:top w:val="single" w:sz="6" w:space="0" w:color="202020"/>
              <w:left w:val="single" w:sz="6" w:space="0" w:color="2C2F2F"/>
              <w:bottom w:val="single" w:sz="6" w:space="0" w:color="2C3440"/>
              <w:right w:val="single" w:sz="6" w:space="0" w:color="2C2F2F"/>
            </w:tcBorders>
          </w:tcPr>
          <w:p w14:paraId="762068DC" w14:textId="0205F1D6" w:rsidR="00353CEA" w:rsidRPr="003A0120" w:rsidRDefault="00353CEA" w:rsidP="00185B91">
            <w:pPr>
              <w:widowControl w:val="0"/>
              <w:spacing w:before="80" w:after="0"/>
              <w:ind w:right="-24"/>
              <w:rPr>
                <w:rFonts w:eastAsia="Arial" w:cs="Calibri"/>
                <w:i/>
                <w:color w:val="FF0000"/>
                <w:szCs w:val="20"/>
                <w:lang w:val="en-US"/>
              </w:rPr>
            </w:pPr>
            <w:r w:rsidRPr="003A0120">
              <w:rPr>
                <w:rFonts w:eastAsia="Arial" w:cs="Calibri"/>
                <w:szCs w:val="20"/>
                <w:highlight w:val="yellow"/>
              </w:rPr>
              <w:t>[add extension details]</w:t>
            </w:r>
            <w:r w:rsidRPr="003A0120">
              <w:rPr>
                <w:rFonts w:eastAsia="Arial" w:cs="Calibri"/>
                <w:i/>
                <w:iCs/>
                <w:color w:val="FF0000"/>
                <w:szCs w:val="20"/>
                <w:lang w:val="en-US"/>
              </w:rPr>
              <w:t xml:space="preserve"> [</w:t>
            </w:r>
            <w:r w:rsidRPr="003A0120">
              <w:rPr>
                <w:rFonts w:eastAsia="Arial" w:cs="Calibri"/>
                <w:i/>
                <w:color w:val="FF0000"/>
                <w:szCs w:val="20"/>
                <w:lang w:val="en-US"/>
              </w:rPr>
              <w:t>Provider</w:t>
            </w:r>
            <w:r w:rsidRPr="003A0120">
              <w:rPr>
                <w:rFonts w:eastAsia="Arial" w:cs="Calibri"/>
                <w:i/>
                <w:iCs/>
                <w:color w:val="FF0000"/>
                <w:szCs w:val="20"/>
                <w:lang w:val="en-US"/>
              </w:rPr>
              <w:t xml:space="preserve"> to </w:t>
            </w:r>
            <w:r w:rsidRPr="003A0120">
              <w:rPr>
                <w:rFonts w:eastAsia="Arial" w:cs="Calibri"/>
                <w:i/>
                <w:color w:val="FF0000"/>
                <w:szCs w:val="20"/>
                <w:lang w:val="en-US"/>
              </w:rPr>
              <w:t>record details of any extension application made to an Assessment Organisation and outcomes of those applications.</w:t>
            </w:r>
          </w:p>
          <w:p w14:paraId="5463B422" w14:textId="7283149C" w:rsidR="00353CEA" w:rsidRPr="003A0120" w:rsidRDefault="00353CEA" w:rsidP="00BD3D05">
            <w:pPr>
              <w:widowControl w:val="0"/>
              <w:ind w:right="-24"/>
              <w:rPr>
                <w:rFonts w:eastAsia="Arial" w:cs="Calibri"/>
                <w:i/>
                <w:color w:val="FF0000"/>
                <w:szCs w:val="20"/>
                <w:lang w:val="en-US"/>
              </w:rPr>
            </w:pPr>
            <w:r w:rsidRPr="003A0120">
              <w:rPr>
                <w:rFonts w:eastAsia="Arial" w:cs="Calibri"/>
                <w:i/>
                <w:iCs/>
                <w:color w:val="FF0000"/>
                <w:szCs w:val="20"/>
                <w:lang w:val="en-US"/>
              </w:rPr>
              <w:t>[Note to Registered Provider: Any extensions granted will require a variation to this Client Service Agreement – that is to vary this section to include details of the extension(s) granted. More than one extension can be granted for a maximum of up to 6 weeks in addition to the initial 12 weeks TCP episode timeframe]</w:t>
            </w:r>
            <w:r w:rsidR="00F24F35" w:rsidRPr="003A0120">
              <w:rPr>
                <w:rFonts w:eastAsia="Arial" w:cs="Calibri"/>
                <w:i/>
                <w:iCs/>
                <w:color w:val="FF0000"/>
                <w:szCs w:val="20"/>
                <w:lang w:val="en-US"/>
              </w:rPr>
              <w:t>.</w:t>
            </w:r>
          </w:p>
        </w:tc>
      </w:tr>
      <w:tr w:rsidR="007F7F3B" w:rsidRPr="00FE0BC9" w14:paraId="232D45AD" w14:textId="77777777" w:rsidTr="00185B91">
        <w:trPr>
          <w:cantSplit/>
          <w:trHeight w:val="306"/>
        </w:trPr>
        <w:tc>
          <w:tcPr>
            <w:tcW w:w="9640" w:type="dxa"/>
            <w:gridSpan w:val="4"/>
            <w:tcBorders>
              <w:top w:val="single" w:sz="6" w:space="0" w:color="2C3847"/>
              <w:left w:val="single" w:sz="6" w:space="0" w:color="2C2F2F"/>
              <w:bottom w:val="single" w:sz="6" w:space="0" w:color="232F3B"/>
              <w:right w:val="single" w:sz="6" w:space="0" w:color="2C2F2F"/>
            </w:tcBorders>
            <w:shd w:val="clear" w:color="auto" w:fill="A3DBFF"/>
            <w:tcMar>
              <w:left w:w="105" w:type="dxa"/>
              <w:right w:w="105" w:type="dxa"/>
            </w:tcMar>
          </w:tcPr>
          <w:p w14:paraId="48DEB75D" w14:textId="04ACD76D" w:rsidR="00353CEA" w:rsidRPr="003A0120" w:rsidRDefault="007F7F3B" w:rsidP="0050112F">
            <w:pPr>
              <w:pStyle w:val="TableParagraph"/>
              <w:keepNext/>
              <w:numPr>
                <w:ilvl w:val="0"/>
                <w:numId w:val="63"/>
              </w:numPr>
              <w:ind w:left="0" w:right="-23" w:hanging="357"/>
              <w:rPr>
                <w:rFonts w:eastAsia="Arial" w:cs="Calibri"/>
                <w:sz w:val="20"/>
                <w:szCs w:val="20"/>
              </w:rPr>
            </w:pPr>
            <w:r w:rsidRPr="003A0120">
              <w:rPr>
                <w:rFonts w:eastAsia="Arial" w:cs="Calibri"/>
                <w:b/>
                <w:bCs/>
                <w:sz w:val="20"/>
                <w:szCs w:val="20"/>
              </w:rPr>
              <w:lastRenderedPageBreak/>
              <w:t xml:space="preserve">6. </w:t>
            </w:r>
            <w:r w:rsidR="00353CEA" w:rsidRPr="003A0120">
              <w:rPr>
                <w:rFonts w:eastAsia="Arial" w:cs="Calibri"/>
                <w:b/>
                <w:bCs/>
                <w:sz w:val="20"/>
                <w:szCs w:val="20"/>
              </w:rPr>
              <w:t>What you must pay – applicable client program fees</w:t>
            </w:r>
          </w:p>
        </w:tc>
      </w:tr>
      <w:tr w:rsidR="00CB4290" w:rsidRPr="00FE0BC9" w14:paraId="6B15BFFA" w14:textId="77777777" w:rsidTr="00185B91">
        <w:trPr>
          <w:cantSplit/>
          <w:trHeight w:val="2613"/>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1AD6BDFD" w14:textId="77777777" w:rsidR="00353CEA" w:rsidRPr="003A0120" w:rsidRDefault="00353CEA" w:rsidP="00BD3D05">
            <w:pPr>
              <w:pStyle w:val="TableParagraph"/>
              <w:spacing w:before="80"/>
              <w:ind w:right="-24"/>
              <w:rPr>
                <w:rFonts w:eastAsia="Arial" w:cs="Calibri"/>
                <w:b/>
                <w:sz w:val="20"/>
                <w:szCs w:val="20"/>
              </w:rPr>
            </w:pPr>
            <w:r w:rsidRPr="003A0120">
              <w:rPr>
                <w:rFonts w:eastAsia="Arial" w:cs="Calibri"/>
                <w:b/>
                <w:sz w:val="20"/>
                <w:szCs w:val="20"/>
              </w:rPr>
              <w:t>Client fees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5" w:type="dxa"/>
              <w:right w:w="105" w:type="dxa"/>
            </w:tcMar>
          </w:tcPr>
          <w:p w14:paraId="3B4358F8" w14:textId="5A1FDE4F"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[Note to Registered Providers: registered provider should have a fees policy if they will be charging a program fee and the fees policy should be explained to the client before they sign this Agreement. Providers are also required to have a financial hardship policy in place]</w:t>
            </w:r>
            <w:r w:rsidR="00F0057A" w:rsidRPr="003A0120">
              <w:rPr>
                <w:rFonts w:eastAsia="Arial" w:cs="Calibri"/>
                <w:i/>
                <w:iCs/>
                <w:color w:val="FF0000"/>
                <w:sz w:val="20"/>
                <w:szCs w:val="20"/>
              </w:rPr>
              <w:t>.</w:t>
            </w:r>
          </w:p>
          <w:p w14:paraId="21B8F591" w14:textId="77777777" w:rsidR="00353CEA" w:rsidRPr="003A0120" w:rsidRDefault="00353CEA" w:rsidP="00BD3D05">
            <w:pPr>
              <w:pStyle w:val="TableParagraph"/>
              <w:tabs>
                <w:tab w:val="left" w:pos="1497"/>
              </w:tabs>
              <w:spacing w:before="80"/>
              <w:ind w:right="-24"/>
              <w:rPr>
                <w:rFonts w:eastAsia="Arial" w:cs="Calibri"/>
                <w:i/>
                <w:iCs/>
                <w:color w:val="FF0000"/>
                <w:sz w:val="20"/>
                <w:szCs w:val="20"/>
              </w:rPr>
            </w:pPr>
            <w:r w:rsidRPr="003A0120">
              <w:rPr>
                <w:rFonts w:eastAsia="Arial" w:cs="Calibri"/>
                <w:i/>
                <w:iCs/>
                <w:color w:val="FF0000"/>
                <w:sz w:val="20"/>
                <w:szCs w:val="20"/>
              </w:rPr>
              <w:t xml:space="preserve">[Provider, please tick relevant box] </w:t>
            </w:r>
          </w:p>
          <w:p w14:paraId="4FB17C7D" w14:textId="7FD2B859"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No client Transition Care fees to be charged</w:t>
            </w:r>
          </w:p>
          <w:p w14:paraId="45433E08" w14:textId="1C714A22" w:rsidR="00353CEA" w:rsidRPr="003A0120" w:rsidRDefault="00353CEA" w:rsidP="0050112F">
            <w:pPr>
              <w:pStyle w:val="TableParagraph"/>
              <w:numPr>
                <w:ilvl w:val="0"/>
                <w:numId w:val="66"/>
              </w:numPr>
              <w:tabs>
                <w:tab w:val="left" w:pos="1497"/>
              </w:tabs>
              <w:ind w:left="312" w:right="-23" w:hanging="284"/>
              <w:rPr>
                <w:rFonts w:eastAsia="Arial" w:cs="Calibri"/>
                <w:b/>
                <w:bCs/>
                <w:sz w:val="20"/>
                <w:szCs w:val="20"/>
              </w:rPr>
            </w:pPr>
            <w:r w:rsidRPr="003A0120">
              <w:rPr>
                <w:rFonts w:eastAsia="Arial" w:cs="Calibri"/>
                <w:b/>
                <w:bCs/>
                <w:sz w:val="20"/>
                <w:szCs w:val="20"/>
              </w:rPr>
              <w:t>Client Transition Care fees to be charged</w:t>
            </w:r>
          </w:p>
          <w:p w14:paraId="3FAFA374" w14:textId="53B41812" w:rsidR="00353CEA" w:rsidRPr="003A0120" w:rsidRDefault="00353CEA" w:rsidP="00BD3D05">
            <w:pPr>
              <w:pStyle w:val="TableParagraph"/>
              <w:ind w:right="-24"/>
              <w:rPr>
                <w:rFonts w:eastAsia="Arial" w:cs="Calibri"/>
                <w:b/>
                <w:bCs/>
                <w:sz w:val="20"/>
                <w:szCs w:val="20"/>
              </w:rPr>
            </w:pPr>
            <w:r w:rsidRPr="003A0120">
              <w:rPr>
                <w:rFonts w:eastAsia="Arial" w:cs="Calibri"/>
                <w:i/>
                <w:iCs/>
                <w:color w:val="FF0000"/>
                <w:sz w:val="20"/>
                <w:szCs w:val="20"/>
              </w:rPr>
              <w:t>[Provider, if charging fees, add in amount in relevant setting box or delete if not applicable]</w:t>
            </w:r>
            <w:r w:rsidR="002B6A2F" w:rsidRPr="003A0120">
              <w:rPr>
                <w:rFonts w:eastAsia="Arial" w:cs="Calibri"/>
                <w:i/>
                <w:iCs/>
                <w:color w:val="FF0000"/>
                <w:sz w:val="20"/>
                <w:szCs w:val="20"/>
              </w:rPr>
              <w:t>.</w:t>
            </w:r>
          </w:p>
          <w:p w14:paraId="501E7E38" w14:textId="77777777" w:rsidR="00353CEA" w:rsidRPr="003A0120" w:rsidDel="0091621D"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 xml:space="preserve">Client fee rate: </w:t>
            </w:r>
            <w:r w:rsidRPr="003A0120">
              <w:rPr>
                <w:rFonts w:eastAsia="Arial" w:cs="Calibri"/>
                <w:sz w:val="20"/>
                <w:szCs w:val="20"/>
              </w:rPr>
              <w:t>Transition Care in a residential care setting</w:t>
            </w:r>
          </w:p>
          <w:tbl>
            <w:tblPr>
              <w:tblStyle w:val="TableGrid"/>
              <w:tblW w:w="0" w:type="auto"/>
              <w:tblInd w:w="339" w:type="dxa"/>
              <w:tblLayout w:type="fixed"/>
              <w:tblLook w:val="04A0" w:firstRow="1" w:lastRow="0" w:firstColumn="1" w:lastColumn="0" w:noHBand="0" w:noVBand="1"/>
            </w:tblPr>
            <w:tblGrid>
              <w:gridCol w:w="3260"/>
            </w:tblGrid>
            <w:tr w:rsidR="00353CEA" w:rsidRPr="00EB6CF0" w14:paraId="06272E8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3CDD057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283190EB"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b/>
                <w:bCs/>
                <w:sz w:val="20"/>
                <w:szCs w:val="20"/>
              </w:rPr>
              <w:t>Client fee rate:</w:t>
            </w:r>
            <w:r w:rsidRPr="003A0120">
              <w:rPr>
                <w:rFonts w:eastAsia="Arial" w:cs="Calibri"/>
                <w:sz w:val="20"/>
                <w:szCs w:val="20"/>
              </w:rPr>
              <w:t xml:space="preserve"> Transition Care in a home/community setting</w:t>
            </w:r>
          </w:p>
          <w:tbl>
            <w:tblPr>
              <w:tblStyle w:val="TableGrid"/>
              <w:tblW w:w="0" w:type="auto"/>
              <w:tblInd w:w="339" w:type="dxa"/>
              <w:tblLayout w:type="fixed"/>
              <w:tblLook w:val="04A0" w:firstRow="1" w:lastRow="0" w:firstColumn="1" w:lastColumn="0" w:noHBand="0" w:noVBand="1"/>
            </w:tblPr>
            <w:tblGrid>
              <w:gridCol w:w="3260"/>
            </w:tblGrid>
            <w:tr w:rsidR="00D355C4" w:rsidRPr="00EB6CF0" w14:paraId="555B700D" w14:textId="77777777" w:rsidTr="004316C2">
              <w:trPr>
                <w:cnfStyle w:val="100000000000" w:firstRow="1" w:lastRow="0" w:firstColumn="0" w:lastColumn="0" w:oddVBand="0" w:evenVBand="0" w:oddHBand="0" w:evenHBand="0" w:firstRowFirstColumn="0" w:firstRowLastColumn="0" w:lastRowFirstColumn="0" w:lastRowLastColumn="0"/>
              </w:trPr>
              <w:tc>
                <w:tcPr>
                  <w:tcW w:w="3260" w:type="dxa"/>
                </w:tcPr>
                <w:p w14:paraId="10915BF8" w14:textId="77777777" w:rsidR="00353CEA" w:rsidRPr="003A0120" w:rsidRDefault="00353CEA" w:rsidP="00BD3D05">
                  <w:pPr>
                    <w:pStyle w:val="TableParagraph"/>
                    <w:ind w:right="-24"/>
                    <w:rPr>
                      <w:rFonts w:eastAsia="Arial" w:cs="Calibri"/>
                      <w:color w:val="auto"/>
                      <w:sz w:val="20"/>
                      <w:szCs w:val="20"/>
                    </w:rPr>
                  </w:pPr>
                  <w:r w:rsidRPr="003A0120">
                    <w:rPr>
                      <w:rFonts w:eastAsia="Arial" w:cs="Calibri"/>
                      <w:sz w:val="20"/>
                      <w:szCs w:val="20"/>
                    </w:rPr>
                    <w:t xml:space="preserve">$ </w:t>
                  </w:r>
                  <w:r w:rsidRPr="003A0120">
                    <w:rPr>
                      <w:rFonts w:eastAsia="Arial" w:cs="Calibri"/>
                      <w:sz w:val="20"/>
                      <w:szCs w:val="20"/>
                      <w:highlight w:val="yellow"/>
                    </w:rPr>
                    <w:t>[enter amount]</w:t>
                  </w:r>
                  <w:r w:rsidRPr="003A0120">
                    <w:rPr>
                      <w:rFonts w:eastAsia="Arial" w:cs="Calibri"/>
                      <w:sz w:val="20"/>
                      <w:szCs w:val="20"/>
                    </w:rPr>
                    <w:t xml:space="preserve"> per day</w:t>
                  </w:r>
                </w:p>
              </w:tc>
            </w:tr>
          </w:tbl>
          <w:p w14:paraId="5414F21D" w14:textId="13403DA0" w:rsidR="00692A16"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 xml:space="preserve">The maximum client fee amount that can be charged for the provision of Transition Care under the </w:t>
            </w:r>
            <w:r w:rsidRPr="003A0120">
              <w:rPr>
                <w:rFonts w:eastAsia="Arial" w:cs="Calibri"/>
                <w:i/>
                <w:sz w:val="20"/>
                <w:szCs w:val="20"/>
              </w:rPr>
              <w:t>Aged Care Act 2024</w:t>
            </w:r>
            <w:r w:rsidRPr="003A0120">
              <w:rPr>
                <w:rFonts w:eastAsia="Arial" w:cs="Calibri"/>
                <w:sz w:val="20"/>
                <w:szCs w:val="20"/>
              </w:rPr>
              <w:t xml:space="preserve"> is:</w:t>
            </w:r>
          </w:p>
          <w:p w14:paraId="59050E78" w14:textId="354A8F33" w:rsidR="00692A16" w:rsidRPr="003A0120" w:rsidRDefault="00353CEA" w:rsidP="0050112F">
            <w:pPr>
              <w:pStyle w:val="TableParagraph"/>
              <w:numPr>
                <w:ilvl w:val="0"/>
                <w:numId w:val="68"/>
              </w:numPr>
              <w:tabs>
                <w:tab w:val="left" w:pos="1497"/>
              </w:tabs>
              <w:ind w:right="-24"/>
              <w:rPr>
                <w:rFonts w:eastAsia="Arial" w:cs="Calibri"/>
                <w:sz w:val="20"/>
                <w:szCs w:val="20"/>
              </w:rPr>
            </w:pPr>
            <w:r w:rsidRPr="003A0120">
              <w:rPr>
                <w:rFonts w:eastAsia="Arial" w:cs="Calibri"/>
                <w:sz w:val="20"/>
                <w:szCs w:val="20"/>
              </w:rPr>
              <w:t>in a residential care setting = 85% of the basic age pension amount (worked out on a per day basis); or</w:t>
            </w:r>
          </w:p>
          <w:p w14:paraId="7414509E" w14:textId="77777777" w:rsidR="00353CEA" w:rsidRPr="003A0120" w:rsidRDefault="00353CEA" w:rsidP="0050112F">
            <w:pPr>
              <w:pStyle w:val="TableParagraph"/>
              <w:numPr>
                <w:ilvl w:val="0"/>
                <w:numId w:val="68"/>
              </w:numPr>
              <w:tabs>
                <w:tab w:val="left" w:pos="1497"/>
              </w:tabs>
              <w:ind w:right="-24"/>
              <w:rPr>
                <w:rFonts w:eastAsia="Arial" w:cs="Calibri"/>
                <w:sz w:val="20"/>
                <w:szCs w:val="20"/>
              </w:rPr>
            </w:pPr>
            <w:r w:rsidRPr="003A0120">
              <w:rPr>
                <w:rFonts w:eastAsia="Arial" w:cs="Calibri"/>
                <w:sz w:val="20"/>
                <w:szCs w:val="20"/>
              </w:rPr>
              <w:t>in a community/home care setting = 17.5% of the basic age pension amount (worked out on a per day basis).</w:t>
            </w:r>
          </w:p>
          <w:p w14:paraId="3BD9F21C" w14:textId="77777777" w:rsidR="00353CEA" w:rsidRPr="003A0120" w:rsidRDefault="00353CEA" w:rsidP="00BD3D05">
            <w:pPr>
              <w:pStyle w:val="TableParagraph"/>
              <w:tabs>
                <w:tab w:val="left" w:pos="1497"/>
              </w:tabs>
              <w:ind w:right="-24"/>
              <w:rPr>
                <w:rFonts w:eastAsia="Arial" w:cs="Calibri"/>
                <w:sz w:val="20"/>
                <w:szCs w:val="20"/>
              </w:rPr>
            </w:pPr>
            <w:r w:rsidRPr="003A0120">
              <w:rPr>
                <w:rFonts w:eastAsia="Arial" w:cs="Calibri"/>
                <w:sz w:val="20"/>
                <w:szCs w:val="20"/>
              </w:rPr>
              <w:t>Transition Care fees may increase every year in line with changes to the basic aged care pension.</w:t>
            </w:r>
          </w:p>
          <w:p w14:paraId="6B2BCA22" w14:textId="77777777" w:rsidR="00353CEA" w:rsidRPr="003A0120" w:rsidRDefault="00353CEA" w:rsidP="00BD3D05">
            <w:pPr>
              <w:pStyle w:val="TableParagraph"/>
              <w:tabs>
                <w:tab w:val="left" w:pos="1497"/>
              </w:tabs>
              <w:spacing w:after="120"/>
              <w:ind w:right="-24"/>
              <w:rPr>
                <w:rFonts w:eastAsia="Arial" w:cs="Calibri"/>
                <w:b/>
                <w:sz w:val="20"/>
                <w:szCs w:val="20"/>
              </w:rPr>
            </w:pPr>
            <w:r w:rsidRPr="003A0120">
              <w:rPr>
                <w:rFonts w:eastAsia="Arial" w:cs="Calibri"/>
                <w:b/>
                <w:bCs/>
                <w:sz w:val="20"/>
                <w:szCs w:val="20"/>
              </w:rPr>
              <w:t>By signing this Client Service Agreement, you agree to pay the above contributions for the Transition Care funded aged care services we deliver to you.</w:t>
            </w:r>
          </w:p>
        </w:tc>
        <w:tc>
          <w:tcPr>
            <w:tcW w:w="3119" w:type="dxa"/>
            <w:tcBorders>
              <w:top w:val="single" w:sz="6" w:space="0" w:color="232F3B"/>
              <w:left w:val="single" w:sz="4" w:space="0" w:color="auto"/>
              <w:bottom w:val="single" w:sz="6" w:space="0" w:color="auto"/>
              <w:right w:val="single" w:sz="6" w:space="0" w:color="2C2F2F"/>
            </w:tcBorders>
            <w:shd w:val="clear" w:color="auto" w:fill="FFFFFF" w:themeFill="background1"/>
          </w:tcPr>
          <w:p w14:paraId="57A1681D" w14:textId="474D16A8" w:rsidR="00353CEA" w:rsidRPr="003A0120" w:rsidRDefault="00353CEA" w:rsidP="0050112F">
            <w:pPr>
              <w:pStyle w:val="TableParagraph"/>
              <w:numPr>
                <w:ilvl w:val="0"/>
                <w:numId w:val="66"/>
              </w:numPr>
              <w:tabs>
                <w:tab w:val="left" w:pos="1497"/>
              </w:tabs>
              <w:spacing w:before="80"/>
              <w:ind w:left="312" w:right="-23" w:hanging="284"/>
              <w:rPr>
                <w:rFonts w:eastAsia="Arial" w:cs="Calibri"/>
                <w:b/>
                <w:sz w:val="20"/>
                <w:szCs w:val="20"/>
              </w:rPr>
            </w:pPr>
            <w:r w:rsidRPr="003A0120" w:rsidDel="001A6F68">
              <w:rPr>
                <w:rFonts w:eastAsia="Arial" w:cs="Calibri"/>
                <w:b/>
                <w:bCs/>
                <w:sz w:val="20"/>
                <w:szCs w:val="20"/>
              </w:rPr>
              <w:t xml:space="preserve">I have read and agreed to the information </w:t>
            </w:r>
            <w:r w:rsidRPr="003A0120">
              <w:rPr>
                <w:rFonts w:eastAsia="Arial" w:cs="Calibri"/>
                <w:b/>
                <w:bCs/>
                <w:sz w:val="20"/>
                <w:szCs w:val="20"/>
              </w:rPr>
              <w:t>about client fees</w:t>
            </w:r>
          </w:p>
        </w:tc>
      </w:tr>
      <w:tr w:rsidR="007F7F3B" w:rsidRPr="00FE0BC9" w14:paraId="454EC809" w14:textId="77777777" w:rsidTr="00185B91">
        <w:trPr>
          <w:trHeight w:val="302"/>
        </w:trPr>
        <w:tc>
          <w:tcPr>
            <w:tcW w:w="9640" w:type="dxa"/>
            <w:gridSpan w:val="4"/>
            <w:tcBorders>
              <w:top w:val="single" w:sz="4" w:space="0" w:color="auto"/>
              <w:left w:val="single" w:sz="6" w:space="0" w:color="2C2F2F"/>
              <w:bottom w:val="single" w:sz="6" w:space="0" w:color="202020"/>
              <w:right w:val="single" w:sz="6" w:space="0" w:color="2C2F2F"/>
            </w:tcBorders>
            <w:shd w:val="clear" w:color="auto" w:fill="A3DBFF"/>
            <w:tcMar>
              <w:left w:w="105" w:type="dxa"/>
              <w:right w:w="105" w:type="dxa"/>
            </w:tcMar>
          </w:tcPr>
          <w:p w14:paraId="0EBEB5BD" w14:textId="063452E3" w:rsidR="00353CEA" w:rsidRPr="003A0120" w:rsidRDefault="00F75C02" w:rsidP="0050112F">
            <w:pPr>
              <w:pStyle w:val="TableParagraph"/>
              <w:numPr>
                <w:ilvl w:val="0"/>
                <w:numId w:val="63"/>
              </w:numPr>
              <w:ind w:left="0" w:right="-24"/>
              <w:rPr>
                <w:rFonts w:eastAsia="Arial" w:cs="Calibri"/>
                <w:b/>
                <w:bCs/>
                <w:sz w:val="20"/>
                <w:szCs w:val="20"/>
              </w:rPr>
            </w:pPr>
            <w:r w:rsidRPr="003A0120">
              <w:rPr>
                <w:rFonts w:eastAsia="Arial" w:cs="Calibri"/>
                <w:b/>
                <w:bCs/>
                <w:color w:val="121212"/>
                <w:sz w:val="20"/>
                <w:szCs w:val="20"/>
              </w:rPr>
              <w:t xml:space="preserve">7. </w:t>
            </w:r>
            <w:r w:rsidR="00353CEA" w:rsidRPr="003A0120">
              <w:rPr>
                <w:rFonts w:eastAsia="Arial" w:cs="Calibri"/>
                <w:b/>
                <w:bCs/>
                <w:color w:val="121212"/>
                <w:sz w:val="20"/>
                <w:szCs w:val="20"/>
              </w:rPr>
              <w:t>Cooling off period</w:t>
            </w:r>
          </w:p>
        </w:tc>
      </w:tr>
      <w:tr w:rsidR="00047713" w:rsidRPr="00FE0BC9" w14:paraId="32AF4B85" w14:textId="77777777" w:rsidTr="00185B91">
        <w:trPr>
          <w:trHeight w:val="398"/>
        </w:trPr>
        <w:tc>
          <w:tcPr>
            <w:tcW w:w="9640" w:type="dxa"/>
            <w:gridSpan w:val="4"/>
            <w:tcBorders>
              <w:top w:val="single" w:sz="4" w:space="0" w:color="auto"/>
              <w:left w:val="single" w:sz="6" w:space="0" w:color="2C2F2F"/>
              <w:bottom w:val="single" w:sz="6" w:space="0" w:color="202020"/>
              <w:right w:val="single" w:sz="6" w:space="0" w:color="2C2F2F"/>
            </w:tcBorders>
            <w:shd w:val="clear" w:color="auto" w:fill="FFFFFF" w:themeFill="background1"/>
            <w:tcMar>
              <w:left w:w="105" w:type="dxa"/>
              <w:right w:w="105" w:type="dxa"/>
            </w:tcMar>
            <w:vAlign w:val="center"/>
          </w:tcPr>
          <w:p w14:paraId="7A5CD9D5"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There is a cooling off period where you may withdraw from this agreement by notifying us verbally or in writing </w:t>
            </w:r>
            <w:r w:rsidRPr="003A0120">
              <w:rPr>
                <w:rFonts w:eastAsia="Arial" w:cs="Calibri"/>
                <w:b/>
                <w:bCs/>
                <w:sz w:val="20"/>
                <w:szCs w:val="20"/>
              </w:rPr>
              <w:t>within 14 days of signing</w:t>
            </w:r>
            <w:r w:rsidRPr="003A0120">
              <w:rPr>
                <w:rFonts w:eastAsia="Arial" w:cs="Calibri"/>
                <w:sz w:val="20"/>
                <w:szCs w:val="20"/>
              </w:rPr>
              <w:t xml:space="preserve">. You can withdraw as long as we have not started delivering Transition Care services to you. </w:t>
            </w:r>
          </w:p>
          <w:p w14:paraId="571DB50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If you decide to withdraw from this agreement during the cooling off period, the Client Service Agreement will have no effect.</w:t>
            </w:r>
          </w:p>
          <w:p w14:paraId="29B739CB"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(See detail under ‘Terminating Your Service Agreement’ below if you decide you want to end this agreement once your Transition Care episode has already commenced).</w:t>
            </w:r>
          </w:p>
        </w:tc>
      </w:tr>
      <w:tr w:rsidR="00F75C02" w:rsidRPr="00FE0BC9" w14:paraId="13C53CCC"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7163912C" w14:textId="14FA1F1F" w:rsidR="00353CEA" w:rsidRPr="003A0120" w:rsidRDefault="00F75C02" w:rsidP="0050112F">
            <w:pPr>
              <w:pStyle w:val="TableParagraph"/>
              <w:numPr>
                <w:ilvl w:val="0"/>
                <w:numId w:val="63"/>
              </w:numPr>
              <w:ind w:left="0" w:right="-24"/>
              <w:rPr>
                <w:rFonts w:eastAsia="Arial" w:cs="Calibri"/>
                <w:b/>
                <w:bCs/>
                <w:sz w:val="20"/>
                <w:szCs w:val="20"/>
              </w:rPr>
            </w:pPr>
            <w:r w:rsidRPr="003A0120">
              <w:rPr>
                <w:rFonts w:eastAsia="Arial" w:cs="Calibri"/>
                <w:b/>
                <w:bCs/>
                <w:sz w:val="20"/>
                <w:szCs w:val="20"/>
              </w:rPr>
              <w:t xml:space="preserve">8. </w:t>
            </w:r>
            <w:r w:rsidR="00353CEA" w:rsidRPr="003A0120">
              <w:rPr>
                <w:rFonts w:eastAsia="Arial" w:cs="Calibri"/>
                <w:b/>
                <w:bCs/>
                <w:sz w:val="20"/>
                <w:szCs w:val="20"/>
              </w:rPr>
              <w:t>Varying your agreement</w:t>
            </w:r>
          </w:p>
        </w:tc>
      </w:tr>
      <w:tr w:rsidR="00047713" w:rsidRPr="00FE0BC9" w14:paraId="5010973B"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10BA22AC" w14:textId="77777777" w:rsidR="00353CEA" w:rsidRPr="003A0120" w:rsidRDefault="00353CEA" w:rsidP="00BD3D05">
            <w:pPr>
              <w:pStyle w:val="TableParagraph"/>
              <w:spacing w:before="80" w:after="120"/>
              <w:ind w:right="-24"/>
              <w:rPr>
                <w:rFonts w:eastAsia="Arial" w:cs="Calibri"/>
                <w:sz w:val="20"/>
                <w:szCs w:val="20"/>
              </w:rPr>
            </w:pPr>
            <w:r w:rsidRPr="003A0120">
              <w:rPr>
                <w:rFonts w:eastAsia="Arial" w:cs="Calibri"/>
                <w:sz w:val="20"/>
                <w:szCs w:val="20"/>
              </w:rPr>
              <w:t xml:space="preserve">You can approach us to vary this agreement at any time. There may also be times when we request a variation. We will only vary the agreement </w:t>
            </w:r>
            <w:r w:rsidRPr="003A0120">
              <w:rPr>
                <w:rFonts w:eastAsia="Arial" w:cs="Calibri"/>
                <w:color w:val="121212"/>
                <w:sz w:val="20"/>
                <w:szCs w:val="20"/>
              </w:rPr>
              <w:t>if we both agree</w:t>
            </w:r>
            <w:r w:rsidRPr="003A0120">
              <w:rPr>
                <w:rFonts w:eastAsia="Arial" w:cs="Calibri"/>
                <w:sz w:val="20"/>
                <w:szCs w:val="20"/>
              </w:rPr>
              <w:t xml:space="preserve">. </w:t>
            </w:r>
          </w:p>
          <w:p w14:paraId="4FD0DBAD" w14:textId="77777777" w:rsidR="00353CEA" w:rsidRPr="003A0120" w:rsidRDefault="00353CEA" w:rsidP="00BD3D05">
            <w:pPr>
              <w:pStyle w:val="TableParagraph"/>
              <w:ind w:right="-24"/>
              <w:rPr>
                <w:rFonts w:eastAsia="Arial" w:cs="Calibri"/>
                <w:i/>
                <w:sz w:val="20"/>
                <w:szCs w:val="20"/>
              </w:rPr>
            </w:pPr>
            <w:r w:rsidRPr="003A0120">
              <w:rPr>
                <w:rFonts w:eastAsia="Arial" w:cs="Calibri"/>
                <w:sz w:val="20"/>
                <w:szCs w:val="20"/>
              </w:rPr>
              <w:lastRenderedPageBreak/>
              <w:t xml:space="preserve">Any variations must comply with the </w:t>
            </w:r>
            <w:r w:rsidRPr="003A0120">
              <w:rPr>
                <w:rFonts w:eastAsia="Arial" w:cs="Calibri"/>
                <w:i/>
                <w:iCs/>
                <w:sz w:val="20"/>
                <w:szCs w:val="20"/>
              </w:rPr>
              <w:t xml:space="preserve">Aged Care Act 2024 </w:t>
            </w:r>
            <w:r w:rsidRPr="003A0120">
              <w:rPr>
                <w:rFonts w:eastAsia="Arial" w:cs="Calibri"/>
                <w:sz w:val="20"/>
                <w:szCs w:val="20"/>
              </w:rPr>
              <w:t xml:space="preserve">and </w:t>
            </w:r>
            <w:r w:rsidRPr="003A0120">
              <w:rPr>
                <w:rFonts w:eastAsia="Arial" w:cs="Calibri"/>
                <w:i/>
                <w:iCs/>
                <w:sz w:val="20"/>
                <w:szCs w:val="20"/>
              </w:rPr>
              <w:t xml:space="preserve">A New Tax System (Goods and Services Tax) Act 1999. </w:t>
            </w:r>
          </w:p>
          <w:p w14:paraId="1A8868B9" w14:textId="77777777" w:rsidR="00353CEA" w:rsidRPr="003A0120" w:rsidRDefault="00353CEA" w:rsidP="00BD3D05">
            <w:pPr>
              <w:pStyle w:val="TableParagraph"/>
              <w:spacing w:before="120" w:after="120"/>
              <w:ind w:right="-24"/>
              <w:rPr>
                <w:rFonts w:eastAsia="Arial" w:cs="Calibri"/>
                <w:sz w:val="20"/>
                <w:szCs w:val="20"/>
              </w:rPr>
            </w:pPr>
            <w:r w:rsidRPr="003A0120">
              <w:rPr>
                <w:rFonts w:eastAsia="Arial" w:cs="Calibri"/>
                <w:sz w:val="20"/>
                <w:szCs w:val="20"/>
              </w:rPr>
              <w:t xml:space="preserve">We may also vary this agreement where this is necessary so that it complies with the </w:t>
            </w:r>
            <w:r w:rsidRPr="003A0120">
              <w:rPr>
                <w:rFonts w:eastAsia="Arial" w:cs="Calibri"/>
                <w:i/>
                <w:iCs/>
                <w:sz w:val="20"/>
                <w:szCs w:val="20"/>
              </w:rPr>
              <w:t xml:space="preserve">A New Tax System (Goods and Services Tax) Act 1999. </w:t>
            </w:r>
            <w:r w:rsidRPr="003A0120">
              <w:rPr>
                <w:rFonts w:eastAsia="Arial" w:cs="Calibri"/>
                <w:sz w:val="20"/>
                <w:szCs w:val="20"/>
              </w:rPr>
              <w:t>When this occurs, we will provide you with reasonable notice in writing.</w:t>
            </w:r>
          </w:p>
        </w:tc>
      </w:tr>
      <w:tr w:rsidR="00F75C02" w:rsidRPr="00FE0BC9" w14:paraId="038FFB9F"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1A4FD44B" w14:textId="75D5C45D" w:rsidR="00353CEA" w:rsidRPr="003A0120" w:rsidRDefault="00F75C02" w:rsidP="0050112F">
            <w:pPr>
              <w:pStyle w:val="TableParagraph"/>
              <w:numPr>
                <w:ilvl w:val="0"/>
                <w:numId w:val="63"/>
              </w:numPr>
              <w:ind w:left="0" w:right="-24"/>
              <w:rPr>
                <w:rFonts w:eastAsia="Arial" w:cs="Calibri"/>
                <w:color w:val="121212"/>
                <w:sz w:val="20"/>
                <w:szCs w:val="20"/>
              </w:rPr>
            </w:pPr>
            <w:r w:rsidRPr="003A0120">
              <w:rPr>
                <w:rFonts w:eastAsia="Arial" w:cs="Calibri"/>
                <w:b/>
                <w:bCs/>
                <w:color w:val="121212"/>
                <w:sz w:val="20"/>
                <w:szCs w:val="20"/>
              </w:rPr>
              <w:lastRenderedPageBreak/>
              <w:t xml:space="preserve">9. </w:t>
            </w:r>
            <w:r w:rsidR="00353CEA" w:rsidRPr="003A0120">
              <w:rPr>
                <w:rFonts w:eastAsia="Arial" w:cs="Calibri"/>
                <w:b/>
                <w:bCs/>
                <w:color w:val="121212"/>
                <w:sz w:val="20"/>
                <w:szCs w:val="20"/>
              </w:rPr>
              <w:t>Terminating this</w:t>
            </w:r>
            <w:r w:rsidR="00353CEA" w:rsidRPr="003A0120" w:rsidDel="00940C94">
              <w:rPr>
                <w:rFonts w:eastAsia="Arial" w:cs="Calibri"/>
                <w:b/>
                <w:bCs/>
                <w:color w:val="121212"/>
                <w:sz w:val="20"/>
                <w:szCs w:val="20"/>
              </w:rPr>
              <w:t xml:space="preserve"> </w:t>
            </w:r>
            <w:r w:rsidR="00353CEA" w:rsidRPr="003A0120">
              <w:rPr>
                <w:rFonts w:eastAsia="Arial" w:cs="Calibri"/>
                <w:b/>
                <w:bCs/>
                <w:color w:val="121212"/>
                <w:sz w:val="20"/>
                <w:szCs w:val="20"/>
              </w:rPr>
              <w:t>agreement</w:t>
            </w:r>
          </w:p>
        </w:tc>
      </w:tr>
      <w:tr w:rsidR="00047713" w:rsidRPr="00FE0BC9" w14:paraId="29035522"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tcMar>
              <w:left w:w="105" w:type="dxa"/>
              <w:right w:w="105" w:type="dxa"/>
            </w:tcMar>
          </w:tcPr>
          <w:p w14:paraId="45B4A2FB" w14:textId="77777777" w:rsidR="00353CEA" w:rsidRPr="003A0120" w:rsidRDefault="00353CEA" w:rsidP="00BD3D05">
            <w:pPr>
              <w:pStyle w:val="TableParagraph"/>
              <w:spacing w:before="80" w:after="120"/>
              <w:ind w:right="-24"/>
              <w:rPr>
                <w:rFonts w:eastAsia="Arial" w:cs="Calibri"/>
                <w:i/>
                <w:iCs/>
                <w:color w:val="FF0000"/>
                <w:sz w:val="20"/>
                <w:szCs w:val="20"/>
                <w:lang w:val="en-GB"/>
              </w:rPr>
            </w:pPr>
            <w:r w:rsidRPr="003A0120">
              <w:rPr>
                <w:rFonts w:eastAsia="Arial" w:cs="Calibri"/>
                <w:b/>
                <w:bCs/>
                <w:sz w:val="20"/>
                <w:szCs w:val="20"/>
                <w:lang w:val="en-GB"/>
              </w:rPr>
              <w:t>You</w:t>
            </w:r>
            <w:r w:rsidRPr="003A0120">
              <w:rPr>
                <w:rFonts w:eastAsia="Arial" w:cs="Calibri"/>
                <w:sz w:val="20"/>
                <w:szCs w:val="20"/>
                <w:lang w:val="en-GB"/>
              </w:rPr>
              <w:t xml:space="preserve"> can </w:t>
            </w:r>
            <w:r w:rsidRPr="003A0120">
              <w:rPr>
                <w:rFonts w:eastAsia="Arial" w:cs="Calibri"/>
                <w:sz w:val="20"/>
                <w:szCs w:val="20"/>
              </w:rPr>
              <w:t>terminate</w:t>
            </w:r>
            <w:r w:rsidRPr="003A0120">
              <w:rPr>
                <w:rFonts w:eastAsia="Arial" w:cs="Calibri"/>
                <w:sz w:val="20"/>
                <w:szCs w:val="20"/>
                <w:lang w:val="en-GB"/>
              </w:rPr>
              <w:t xml:space="preserve"> this agreement if you notify us in writing that: </w:t>
            </w:r>
            <w:r w:rsidRPr="003A0120">
              <w:rPr>
                <w:rFonts w:eastAsia="Arial" w:cs="Calibri"/>
                <w:i/>
                <w:iCs/>
                <w:color w:val="FF0000"/>
                <w:sz w:val="20"/>
                <w:szCs w:val="20"/>
                <w:lang w:val="en-GB"/>
              </w:rPr>
              <w:t>[Provider to include detail of process]</w:t>
            </w:r>
          </w:p>
          <w:p w14:paraId="3DDD5512" w14:textId="77777777" w:rsidR="00353CEA" w:rsidRPr="003A0120" w:rsidRDefault="00353CEA" w:rsidP="00BD3D05">
            <w:pPr>
              <w:pStyle w:val="TableParagraph"/>
              <w:spacing w:after="120"/>
              <w:ind w:right="-24"/>
              <w:rPr>
                <w:rFonts w:eastAsia="Arial" w:cs="Calibri"/>
                <w:i/>
                <w:color w:val="FF0000"/>
                <w:sz w:val="20"/>
                <w:szCs w:val="20"/>
                <w:lang w:val="en-GB"/>
              </w:rPr>
            </w:pPr>
            <w:r w:rsidRPr="003A0120">
              <w:rPr>
                <w:rFonts w:eastAsia="Arial" w:cs="Calibri"/>
                <w:b/>
                <w:bCs/>
                <w:sz w:val="20"/>
                <w:szCs w:val="20"/>
                <w:lang w:val="en-GB"/>
              </w:rPr>
              <w:t>We</w:t>
            </w:r>
            <w:r w:rsidRPr="003A0120">
              <w:rPr>
                <w:rFonts w:eastAsia="Arial" w:cs="Calibri"/>
                <w:sz w:val="20"/>
                <w:szCs w:val="20"/>
                <w:lang w:val="en-GB"/>
              </w:rPr>
              <w:t xml:space="preserve"> can terminate this agreement if we notify you in writing that: </w:t>
            </w:r>
            <w:r w:rsidRPr="003A0120">
              <w:rPr>
                <w:rFonts w:eastAsia="Arial" w:cs="Calibri"/>
                <w:i/>
                <w:iCs/>
                <w:color w:val="FF0000"/>
                <w:sz w:val="20"/>
                <w:szCs w:val="20"/>
                <w:lang w:val="en-GB"/>
              </w:rPr>
              <w:t>[Provider</w:t>
            </w:r>
            <w:r w:rsidRPr="003A0120">
              <w:rPr>
                <w:rFonts w:eastAsia="Arial" w:cs="Calibri"/>
                <w:i/>
                <w:color w:val="FF0000"/>
                <w:sz w:val="20"/>
                <w:szCs w:val="20"/>
                <w:lang w:val="en-GB"/>
              </w:rPr>
              <w:t xml:space="preserve"> to include detail of process</w:t>
            </w:r>
            <w:r w:rsidRPr="003A0120">
              <w:rPr>
                <w:rFonts w:eastAsia="Arial" w:cs="Calibri"/>
                <w:i/>
                <w:iCs/>
                <w:color w:val="FF0000"/>
                <w:sz w:val="20"/>
                <w:szCs w:val="20"/>
                <w:lang w:val="en-GB"/>
              </w:rPr>
              <w:t>]</w:t>
            </w:r>
          </w:p>
        </w:tc>
      </w:tr>
      <w:tr w:rsidR="00F75C02" w:rsidRPr="00FE0BC9" w14:paraId="34D76BBE" w14:textId="77777777" w:rsidTr="00185B91">
        <w:trPr>
          <w:trHeight w:val="300"/>
        </w:trPr>
        <w:tc>
          <w:tcPr>
            <w:tcW w:w="9640" w:type="dxa"/>
            <w:gridSpan w:val="4"/>
            <w:tcBorders>
              <w:top w:val="single" w:sz="6" w:space="0" w:color="232323"/>
              <w:left w:val="single" w:sz="6" w:space="0" w:color="2C2F2F"/>
              <w:bottom w:val="single" w:sz="6" w:space="0" w:color="282828"/>
              <w:right w:val="single" w:sz="6" w:space="0" w:color="2C2F2F"/>
            </w:tcBorders>
            <w:shd w:val="clear" w:color="auto" w:fill="A3DBFF"/>
            <w:tcMar>
              <w:left w:w="105" w:type="dxa"/>
              <w:right w:w="105" w:type="dxa"/>
            </w:tcMar>
          </w:tcPr>
          <w:p w14:paraId="21BEEEAF" w14:textId="14BFB34D" w:rsidR="00353CEA" w:rsidRPr="003A0120" w:rsidRDefault="00F75C02" w:rsidP="0050112F">
            <w:pPr>
              <w:pStyle w:val="TableParagraph"/>
              <w:numPr>
                <w:ilvl w:val="0"/>
                <w:numId w:val="63"/>
              </w:numPr>
              <w:ind w:left="0" w:right="-24"/>
              <w:rPr>
                <w:rFonts w:eastAsia="Arial" w:cs="Calibri"/>
                <w:sz w:val="20"/>
                <w:szCs w:val="20"/>
              </w:rPr>
            </w:pPr>
            <w:r w:rsidRPr="003A0120">
              <w:rPr>
                <w:rFonts w:eastAsia="Arial" w:cs="Calibri"/>
                <w:b/>
                <w:bCs/>
                <w:sz w:val="20"/>
                <w:szCs w:val="20"/>
              </w:rPr>
              <w:t xml:space="preserve">10. </w:t>
            </w:r>
            <w:r w:rsidR="00353CEA" w:rsidRPr="003A0120">
              <w:rPr>
                <w:rFonts w:eastAsia="Arial" w:cs="Calibri"/>
                <w:b/>
                <w:bCs/>
                <w:sz w:val="20"/>
                <w:szCs w:val="20"/>
              </w:rPr>
              <w:t>Third Party Authority: People we can contact about your Client Service Agreement</w:t>
            </w:r>
          </w:p>
        </w:tc>
      </w:tr>
      <w:tr w:rsidR="00047713" w:rsidRPr="00FE0BC9" w14:paraId="67DB6A02"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474D2C64"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Contact person/registered supporter/guardian #1</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76ACE665"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620FAA60" w14:textId="77777777" w:rsidR="00353CEA" w:rsidRPr="003A0120" w:rsidRDefault="00353CEA" w:rsidP="00BD3D05">
            <w:pPr>
              <w:widowControl w:val="0"/>
              <w:spacing w:after="0"/>
              <w:ind w:right="-24"/>
              <w:rPr>
                <w:rFonts w:eastAsia="Arial" w:cs="Calibri"/>
                <w:szCs w:val="20"/>
              </w:rPr>
            </w:pPr>
          </w:p>
        </w:tc>
      </w:tr>
      <w:tr w:rsidR="00047713" w:rsidRPr="00FE0BC9" w14:paraId="3CF3B962" w14:textId="77777777" w:rsidTr="00185B91">
        <w:trPr>
          <w:trHeight w:val="300"/>
        </w:trPr>
        <w:tc>
          <w:tcPr>
            <w:tcW w:w="2694" w:type="dxa"/>
            <w:vMerge/>
            <w:vAlign w:val="center"/>
          </w:tcPr>
          <w:p w14:paraId="63AC852F"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C7E566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5C6AB8D" w14:textId="77777777" w:rsidR="00353CEA" w:rsidRPr="003A0120" w:rsidRDefault="00353CEA" w:rsidP="00BD3D05">
            <w:pPr>
              <w:widowControl w:val="0"/>
              <w:spacing w:after="0"/>
              <w:ind w:right="-24"/>
              <w:rPr>
                <w:rFonts w:eastAsia="Arial" w:cs="Calibri"/>
                <w:szCs w:val="20"/>
              </w:rPr>
            </w:pPr>
          </w:p>
        </w:tc>
      </w:tr>
      <w:tr w:rsidR="00047713" w:rsidRPr="00FE0BC9" w14:paraId="3BF7B89A" w14:textId="77777777" w:rsidTr="00185B91">
        <w:trPr>
          <w:trHeight w:val="300"/>
        </w:trPr>
        <w:tc>
          <w:tcPr>
            <w:tcW w:w="2694" w:type="dxa"/>
            <w:vMerge/>
            <w:vAlign w:val="center"/>
          </w:tcPr>
          <w:p w14:paraId="0E01112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59FC9708"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A3AE3C6" w14:textId="77777777" w:rsidR="00353CEA" w:rsidRPr="003A0120" w:rsidRDefault="00353CEA" w:rsidP="00BD3D05">
            <w:pPr>
              <w:widowControl w:val="0"/>
              <w:spacing w:after="0"/>
              <w:ind w:right="-24"/>
              <w:rPr>
                <w:rFonts w:eastAsia="Arial" w:cs="Calibri"/>
                <w:szCs w:val="20"/>
              </w:rPr>
            </w:pPr>
          </w:p>
        </w:tc>
      </w:tr>
      <w:tr w:rsidR="00047713" w:rsidRPr="00FE0BC9" w14:paraId="57C63729" w14:textId="77777777" w:rsidTr="00185B91">
        <w:trPr>
          <w:trHeight w:val="300"/>
        </w:trPr>
        <w:tc>
          <w:tcPr>
            <w:tcW w:w="2694" w:type="dxa"/>
            <w:vMerge/>
            <w:vAlign w:val="center"/>
          </w:tcPr>
          <w:p w14:paraId="691998A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6015F96"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4DBCC413" w14:textId="77777777" w:rsidR="00353CEA" w:rsidRPr="003A0120" w:rsidRDefault="00353CEA" w:rsidP="00BD3D05">
            <w:pPr>
              <w:widowControl w:val="0"/>
              <w:spacing w:after="0"/>
              <w:ind w:right="-24"/>
              <w:rPr>
                <w:rFonts w:eastAsia="Arial" w:cs="Calibri"/>
                <w:szCs w:val="20"/>
              </w:rPr>
            </w:pPr>
          </w:p>
        </w:tc>
      </w:tr>
      <w:tr w:rsidR="00047713" w:rsidRPr="00FE0BC9" w14:paraId="2150A195" w14:textId="77777777" w:rsidTr="00185B91">
        <w:trPr>
          <w:trHeight w:val="300"/>
        </w:trPr>
        <w:tc>
          <w:tcPr>
            <w:tcW w:w="2694" w:type="dxa"/>
            <w:vMerge/>
            <w:vAlign w:val="center"/>
          </w:tcPr>
          <w:p w14:paraId="66CE11B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0A8A542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77CB1842" w14:textId="77777777" w:rsidR="00353CEA" w:rsidRPr="003A0120" w:rsidRDefault="00353CEA" w:rsidP="00BD3D05">
            <w:pPr>
              <w:widowControl w:val="0"/>
              <w:spacing w:after="0"/>
              <w:ind w:right="-24"/>
              <w:rPr>
                <w:rFonts w:eastAsia="Arial" w:cs="Calibri"/>
                <w:szCs w:val="20"/>
              </w:rPr>
            </w:pPr>
          </w:p>
        </w:tc>
      </w:tr>
      <w:tr w:rsidR="00047713" w:rsidRPr="00FE0BC9" w14:paraId="3C0F9EED" w14:textId="77777777" w:rsidTr="00185B91">
        <w:trPr>
          <w:trHeight w:val="952"/>
        </w:trPr>
        <w:tc>
          <w:tcPr>
            <w:tcW w:w="2694" w:type="dxa"/>
            <w:vMerge/>
            <w:vAlign w:val="center"/>
          </w:tcPr>
          <w:p w14:paraId="3D8D37ED"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6" w:space="0" w:color="auto"/>
              <w:right w:val="single" w:sz="6" w:space="0" w:color="auto"/>
            </w:tcBorders>
            <w:tcMar>
              <w:left w:w="105" w:type="dxa"/>
              <w:right w:w="105" w:type="dxa"/>
            </w:tcMar>
          </w:tcPr>
          <w:p w14:paraId="480EA0BB" w14:textId="1C64D3A0"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w:t>
            </w:r>
            <w:r w:rsidR="00185B91" w:rsidRPr="003A0120">
              <w:rPr>
                <w:rFonts w:eastAsia="Arial" w:cs="Calibri"/>
                <w:sz w:val="20"/>
                <w:szCs w:val="20"/>
              </w:rPr>
              <w:t>l</w:t>
            </w:r>
          </w:p>
        </w:tc>
        <w:tc>
          <w:tcPr>
            <w:tcW w:w="5239" w:type="dxa"/>
            <w:gridSpan w:val="2"/>
            <w:tcBorders>
              <w:top w:val="single" w:sz="4" w:space="0" w:color="auto"/>
              <w:left w:val="single" w:sz="4" w:space="0" w:color="auto"/>
              <w:bottom w:val="single" w:sz="6" w:space="0" w:color="auto"/>
              <w:right w:val="single" w:sz="6" w:space="0" w:color="auto"/>
            </w:tcBorders>
          </w:tcPr>
          <w:p w14:paraId="7438FB46"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490CA8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047713" w:rsidRPr="00FE0BC9" w14:paraId="1F218B37" w14:textId="77777777" w:rsidTr="00185B91">
        <w:trPr>
          <w:trHeight w:val="300"/>
        </w:trPr>
        <w:tc>
          <w:tcPr>
            <w:tcW w:w="2694" w:type="dxa"/>
            <w:vMerge w:val="restart"/>
            <w:tcBorders>
              <w:top w:val="single" w:sz="4" w:space="0" w:color="auto"/>
              <w:left w:val="single" w:sz="4" w:space="0" w:color="auto"/>
              <w:bottom w:val="single" w:sz="4" w:space="0" w:color="auto"/>
              <w:right w:val="single" w:sz="4" w:space="0" w:color="auto"/>
            </w:tcBorders>
            <w:tcMar>
              <w:left w:w="105" w:type="dxa"/>
              <w:right w:w="105" w:type="dxa"/>
            </w:tcMar>
          </w:tcPr>
          <w:p w14:paraId="7571DE0A"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Contact person/registered supporter/guardian #2 (where applicable)</w:t>
            </w: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2C6022FD"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Name</w:t>
            </w:r>
          </w:p>
        </w:tc>
        <w:tc>
          <w:tcPr>
            <w:tcW w:w="5239" w:type="dxa"/>
            <w:gridSpan w:val="2"/>
            <w:tcBorders>
              <w:top w:val="single" w:sz="6" w:space="0" w:color="232323"/>
              <w:left w:val="single" w:sz="4" w:space="0" w:color="auto"/>
              <w:bottom w:val="single" w:sz="6" w:space="0" w:color="282828"/>
              <w:right w:val="single" w:sz="6" w:space="0" w:color="auto"/>
            </w:tcBorders>
            <w:tcMar>
              <w:left w:w="105" w:type="dxa"/>
              <w:right w:w="105" w:type="dxa"/>
            </w:tcMar>
          </w:tcPr>
          <w:p w14:paraId="7F2B1966" w14:textId="77777777" w:rsidR="00353CEA" w:rsidRPr="003A0120" w:rsidRDefault="00353CEA" w:rsidP="00BD3D05">
            <w:pPr>
              <w:widowControl w:val="0"/>
              <w:spacing w:after="0"/>
              <w:ind w:right="-24"/>
              <w:rPr>
                <w:rFonts w:eastAsia="Arial" w:cs="Calibri"/>
                <w:szCs w:val="20"/>
              </w:rPr>
            </w:pPr>
          </w:p>
        </w:tc>
      </w:tr>
      <w:tr w:rsidR="00047713" w:rsidRPr="00FE0BC9" w14:paraId="40C71D8C" w14:textId="77777777" w:rsidTr="00185B91">
        <w:trPr>
          <w:trHeight w:val="300"/>
        </w:trPr>
        <w:tc>
          <w:tcPr>
            <w:tcW w:w="2694" w:type="dxa"/>
            <w:vMerge/>
            <w:vAlign w:val="center"/>
          </w:tcPr>
          <w:p w14:paraId="79F1AAF6"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4738A497"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Address</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30F0D32" w14:textId="77777777" w:rsidR="00353CEA" w:rsidRPr="003A0120" w:rsidRDefault="00353CEA" w:rsidP="00BD3D05">
            <w:pPr>
              <w:widowControl w:val="0"/>
              <w:spacing w:after="0"/>
              <w:ind w:right="-24"/>
              <w:rPr>
                <w:rFonts w:eastAsia="Arial" w:cs="Calibri"/>
                <w:szCs w:val="20"/>
              </w:rPr>
            </w:pPr>
          </w:p>
        </w:tc>
      </w:tr>
      <w:tr w:rsidR="00047713" w:rsidRPr="00FE0BC9" w14:paraId="6DEC6D09" w14:textId="77777777" w:rsidTr="00185B91">
        <w:trPr>
          <w:trHeight w:val="300"/>
        </w:trPr>
        <w:tc>
          <w:tcPr>
            <w:tcW w:w="2694" w:type="dxa"/>
            <w:vMerge/>
            <w:vAlign w:val="center"/>
          </w:tcPr>
          <w:p w14:paraId="0DCE3AD2"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3BB35106"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Phone</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693818A3" w14:textId="77777777" w:rsidR="00353CEA" w:rsidRPr="003A0120" w:rsidRDefault="00353CEA" w:rsidP="00BD3D05">
            <w:pPr>
              <w:widowControl w:val="0"/>
              <w:spacing w:after="0"/>
              <w:ind w:right="-24"/>
              <w:rPr>
                <w:rFonts w:eastAsia="Arial" w:cs="Calibri"/>
                <w:szCs w:val="20"/>
              </w:rPr>
            </w:pPr>
          </w:p>
        </w:tc>
      </w:tr>
      <w:tr w:rsidR="00047713" w:rsidRPr="00FE0BC9" w14:paraId="6BA4279C" w14:textId="77777777" w:rsidTr="00185B91">
        <w:trPr>
          <w:trHeight w:val="300"/>
        </w:trPr>
        <w:tc>
          <w:tcPr>
            <w:tcW w:w="2694" w:type="dxa"/>
            <w:vMerge/>
            <w:vAlign w:val="center"/>
          </w:tcPr>
          <w:p w14:paraId="7117148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1D7BCD8C" w14:textId="77777777" w:rsidR="00353CEA" w:rsidRPr="003A0120" w:rsidRDefault="00353CEA" w:rsidP="00BD3D05">
            <w:pPr>
              <w:pStyle w:val="TableParagraph"/>
              <w:ind w:right="-24"/>
              <w:rPr>
                <w:rFonts w:eastAsia="Arial" w:cs="Calibri"/>
                <w:color w:val="0D0D0D" w:themeColor="text1" w:themeTint="F2"/>
                <w:sz w:val="20"/>
                <w:szCs w:val="20"/>
              </w:rPr>
            </w:pPr>
            <w:r w:rsidRPr="003A0120">
              <w:rPr>
                <w:rFonts w:eastAsia="Arial" w:cs="Calibri"/>
                <w:sz w:val="20"/>
                <w:szCs w:val="20"/>
              </w:rPr>
              <w:t>Email</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31893E6A" w14:textId="77777777" w:rsidR="00353CEA" w:rsidRPr="003A0120" w:rsidRDefault="00353CEA" w:rsidP="00BD3D05">
            <w:pPr>
              <w:widowControl w:val="0"/>
              <w:spacing w:after="0"/>
              <w:ind w:right="-24"/>
              <w:rPr>
                <w:rFonts w:eastAsia="Arial" w:cs="Calibri"/>
                <w:szCs w:val="20"/>
              </w:rPr>
            </w:pPr>
          </w:p>
        </w:tc>
      </w:tr>
      <w:tr w:rsidR="00047713" w:rsidRPr="00FE0BC9" w14:paraId="46B2FCA2" w14:textId="77777777" w:rsidTr="00185B91">
        <w:trPr>
          <w:trHeight w:val="300"/>
        </w:trPr>
        <w:tc>
          <w:tcPr>
            <w:tcW w:w="2694" w:type="dxa"/>
            <w:vMerge/>
            <w:vAlign w:val="center"/>
          </w:tcPr>
          <w:p w14:paraId="307053B9"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4" w:space="0" w:color="auto"/>
            </w:tcBorders>
            <w:tcMar>
              <w:left w:w="105" w:type="dxa"/>
              <w:right w:w="105" w:type="dxa"/>
            </w:tcMar>
          </w:tcPr>
          <w:p w14:paraId="6048AECE"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Relationship</w:t>
            </w:r>
          </w:p>
        </w:tc>
        <w:tc>
          <w:tcPr>
            <w:tcW w:w="5239" w:type="dxa"/>
            <w:gridSpan w:val="2"/>
            <w:tcBorders>
              <w:top w:val="single" w:sz="6" w:space="0" w:color="auto"/>
              <w:left w:val="single" w:sz="4" w:space="0" w:color="auto"/>
              <w:bottom w:val="single" w:sz="6" w:space="0" w:color="auto"/>
              <w:right w:val="single" w:sz="6" w:space="0" w:color="auto"/>
            </w:tcBorders>
            <w:tcMar>
              <w:left w:w="105" w:type="dxa"/>
              <w:right w:w="105" w:type="dxa"/>
            </w:tcMar>
          </w:tcPr>
          <w:p w14:paraId="5F67036E" w14:textId="77777777" w:rsidR="00353CEA" w:rsidRPr="003A0120" w:rsidRDefault="00353CEA" w:rsidP="00BD3D05">
            <w:pPr>
              <w:widowControl w:val="0"/>
              <w:spacing w:after="0"/>
              <w:ind w:right="-24"/>
              <w:rPr>
                <w:rFonts w:eastAsia="Arial" w:cs="Calibri"/>
                <w:szCs w:val="20"/>
              </w:rPr>
            </w:pPr>
          </w:p>
        </w:tc>
      </w:tr>
      <w:tr w:rsidR="00047713" w:rsidRPr="00FE0BC9" w14:paraId="652C1B48" w14:textId="77777777" w:rsidTr="00185B91">
        <w:trPr>
          <w:trHeight w:val="1289"/>
        </w:trPr>
        <w:tc>
          <w:tcPr>
            <w:tcW w:w="2694" w:type="dxa"/>
            <w:vMerge/>
            <w:vAlign w:val="center"/>
          </w:tcPr>
          <w:p w14:paraId="021F3F6C" w14:textId="77777777" w:rsidR="00353CEA" w:rsidRPr="003A0120" w:rsidRDefault="00353CEA" w:rsidP="00BD3D05">
            <w:pPr>
              <w:spacing w:after="0"/>
              <w:ind w:right="-24"/>
              <w:rPr>
                <w:rFonts w:cs="Calibri"/>
                <w:szCs w:val="20"/>
              </w:rPr>
            </w:pPr>
          </w:p>
        </w:tc>
        <w:tc>
          <w:tcPr>
            <w:tcW w:w="1707" w:type="dxa"/>
            <w:tcBorders>
              <w:top w:val="single" w:sz="4" w:space="0" w:color="auto"/>
              <w:left w:val="single" w:sz="4" w:space="0" w:color="auto"/>
              <w:bottom w:val="single" w:sz="4" w:space="0" w:color="auto"/>
              <w:right w:val="single" w:sz="6" w:space="0" w:color="auto"/>
            </w:tcBorders>
            <w:tcMar>
              <w:left w:w="105" w:type="dxa"/>
              <w:right w:w="105" w:type="dxa"/>
            </w:tcMar>
          </w:tcPr>
          <w:p w14:paraId="7D8DCE26" w14:textId="60364CEF" w:rsidR="00353CEA" w:rsidRPr="003A0120" w:rsidRDefault="00353CEA" w:rsidP="00185B91">
            <w:pPr>
              <w:pStyle w:val="TableParagraph"/>
              <w:ind w:right="-24"/>
              <w:rPr>
                <w:rFonts w:eastAsia="Arial" w:cs="Calibri"/>
                <w:sz w:val="20"/>
                <w:szCs w:val="20"/>
              </w:rPr>
            </w:pPr>
            <w:r w:rsidRPr="003A0120">
              <w:rPr>
                <w:rFonts w:eastAsia="Arial" w:cs="Calibri"/>
                <w:sz w:val="20"/>
                <w:szCs w:val="20"/>
              </w:rPr>
              <w:t>Authority Detail</w:t>
            </w:r>
          </w:p>
        </w:tc>
        <w:tc>
          <w:tcPr>
            <w:tcW w:w="5239" w:type="dxa"/>
            <w:gridSpan w:val="2"/>
            <w:tcBorders>
              <w:top w:val="single" w:sz="4" w:space="0" w:color="auto"/>
              <w:left w:val="single" w:sz="4" w:space="0" w:color="auto"/>
              <w:bottom w:val="single" w:sz="4" w:space="0" w:color="auto"/>
              <w:right w:val="single" w:sz="6" w:space="0" w:color="auto"/>
            </w:tcBorders>
          </w:tcPr>
          <w:p w14:paraId="442A733E"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Date authority to commence: [</w:t>
            </w:r>
            <w:r w:rsidRPr="003A0120">
              <w:rPr>
                <w:rFonts w:eastAsia="Arial" w:cs="Calibri"/>
                <w:sz w:val="20"/>
                <w:szCs w:val="20"/>
                <w:highlight w:val="yellow"/>
              </w:rPr>
              <w:t>enter date</w:t>
            </w:r>
            <w:r w:rsidRPr="003A0120">
              <w:rPr>
                <w:rFonts w:eastAsia="Arial" w:cs="Calibri"/>
                <w:sz w:val="20"/>
                <w:szCs w:val="20"/>
              </w:rPr>
              <w:t>]</w:t>
            </w:r>
          </w:p>
          <w:p w14:paraId="2B93EE5C"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 xml:space="preserve">What matters they can be contacted for: </w:t>
            </w:r>
            <w:r w:rsidRPr="003A0120">
              <w:rPr>
                <w:rFonts w:eastAsia="Arial" w:cs="Calibri"/>
                <w:sz w:val="20"/>
                <w:szCs w:val="20"/>
                <w:highlight w:val="yellow"/>
              </w:rPr>
              <w:t>[enter information]</w:t>
            </w:r>
          </w:p>
        </w:tc>
      </w:tr>
      <w:tr w:rsidR="00F75C02" w:rsidRPr="00FE0BC9" w14:paraId="1D850488" w14:textId="77777777" w:rsidTr="00185B91">
        <w:trPr>
          <w:trHeight w:val="117"/>
        </w:trPr>
        <w:tc>
          <w:tcPr>
            <w:tcW w:w="9640" w:type="dxa"/>
            <w:gridSpan w:val="4"/>
            <w:tcBorders>
              <w:top w:val="single" w:sz="4" w:space="0" w:color="auto"/>
              <w:left w:val="single" w:sz="4" w:space="0" w:color="auto"/>
              <w:bottom w:val="single" w:sz="4" w:space="0" w:color="auto"/>
              <w:right w:val="single" w:sz="4" w:space="0" w:color="auto"/>
            </w:tcBorders>
            <w:shd w:val="clear" w:color="auto" w:fill="A3DBFF"/>
            <w:vAlign w:val="center"/>
          </w:tcPr>
          <w:p w14:paraId="681F8D85" w14:textId="60C5B154" w:rsidR="00353CEA" w:rsidRPr="003A0120" w:rsidRDefault="00353CEA" w:rsidP="0050112F">
            <w:pPr>
              <w:pStyle w:val="TableParagraph"/>
              <w:numPr>
                <w:ilvl w:val="0"/>
                <w:numId w:val="63"/>
              </w:numPr>
              <w:ind w:left="323" w:right="-24"/>
              <w:rPr>
                <w:rFonts w:eastAsia="Arial" w:cs="Calibri"/>
                <w:b/>
                <w:bCs/>
                <w:color w:val="121212"/>
                <w:sz w:val="20"/>
                <w:szCs w:val="20"/>
              </w:rPr>
            </w:pPr>
            <w:r w:rsidRPr="003A0120">
              <w:rPr>
                <w:rFonts w:eastAsia="Arial" w:cs="Calibri"/>
                <w:b/>
                <w:bCs/>
                <w:color w:val="121212"/>
                <w:sz w:val="20"/>
                <w:szCs w:val="20"/>
              </w:rPr>
              <w:t xml:space="preserve">Further information and support / Complaints </w:t>
            </w:r>
          </w:p>
        </w:tc>
      </w:tr>
      <w:tr w:rsidR="00047713" w:rsidRPr="00FE0BC9" w14:paraId="60A733F5"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8763"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Further information and Support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59A5C"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You can ask for assistance from a registered supporter or an unregistered friend or family member.</w:t>
            </w:r>
          </w:p>
          <w:p w14:paraId="3B0F9A82" w14:textId="77777777" w:rsidR="00353CEA" w:rsidRPr="003A0120" w:rsidRDefault="00353CEA" w:rsidP="00BD3D05">
            <w:pPr>
              <w:pStyle w:val="TableParagraph"/>
              <w:spacing w:after="120"/>
              <w:ind w:right="-24"/>
              <w:rPr>
                <w:rFonts w:eastAsia="Arial" w:cs="Calibri"/>
                <w:sz w:val="20"/>
                <w:szCs w:val="20"/>
                <w:lang w:val="en-GB"/>
              </w:rPr>
            </w:pPr>
            <w:r w:rsidRPr="003A0120">
              <w:rPr>
                <w:rFonts w:eastAsia="Arial" w:cs="Calibri"/>
                <w:sz w:val="20"/>
                <w:szCs w:val="20"/>
                <w:lang w:val="en-GB"/>
              </w:rPr>
              <w:t xml:space="preserve">In addition, you can seek legal and financial advice or seek the services of the Older Persons Advocacy Network on 1800 700 600 or by visiting </w:t>
            </w:r>
            <w:hyperlink r:id="rId82" w:history="1">
              <w:r w:rsidRPr="003A0120">
                <w:rPr>
                  <w:rStyle w:val="Hyperlink"/>
                  <w:rFonts w:ascii="Calibri" w:eastAsia="Arial" w:hAnsi="Calibri" w:cs="Calibri"/>
                  <w:sz w:val="20"/>
                  <w:szCs w:val="20"/>
                  <w:lang w:val="en-GB"/>
                </w:rPr>
                <w:t>www.opan.org.au</w:t>
              </w:r>
            </w:hyperlink>
            <w:r w:rsidRPr="003A0120">
              <w:rPr>
                <w:rFonts w:eastAsia="Arial" w:cs="Calibri"/>
                <w:sz w:val="20"/>
                <w:szCs w:val="20"/>
                <w:lang w:val="en-GB"/>
              </w:rPr>
              <w:t xml:space="preserve">. </w:t>
            </w:r>
          </w:p>
        </w:tc>
      </w:tr>
      <w:tr w:rsidR="00047713" w:rsidRPr="00FE0BC9" w14:paraId="64106184" w14:textId="77777777" w:rsidTr="00185B91">
        <w:trPr>
          <w:trHeight w:val="117"/>
        </w:trPr>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129D4"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Complaints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E6C1A" w14:textId="77777777" w:rsidR="00353CEA" w:rsidRPr="003A0120" w:rsidRDefault="00353CEA" w:rsidP="00BD3D05">
            <w:pPr>
              <w:pStyle w:val="TableParagraph"/>
              <w:spacing w:before="80" w:after="120"/>
              <w:ind w:right="-24"/>
              <w:rPr>
                <w:rFonts w:eastAsia="Arial" w:cs="Calibri"/>
                <w:sz w:val="20"/>
                <w:szCs w:val="20"/>
                <w:lang w:val="en-GB"/>
              </w:rPr>
            </w:pPr>
            <w:r w:rsidRPr="003A0120">
              <w:rPr>
                <w:rFonts w:eastAsia="Arial" w:cs="Calibri"/>
                <w:sz w:val="20"/>
                <w:szCs w:val="20"/>
                <w:lang w:val="en-GB"/>
              </w:rPr>
              <w:t>If you have a complaint that you have not been able to work through with your Transition Care provider, you are able to raise it with:</w:t>
            </w:r>
          </w:p>
          <w:p w14:paraId="7EF60339" w14:textId="77777777" w:rsidR="00353CEA" w:rsidRPr="003A0120" w:rsidRDefault="00353CEA" w:rsidP="0050112F">
            <w:pPr>
              <w:pStyle w:val="TableParagraph"/>
              <w:numPr>
                <w:ilvl w:val="0"/>
                <w:numId w:val="64"/>
              </w:numPr>
              <w:ind w:left="0" w:right="-24"/>
              <w:rPr>
                <w:rFonts w:eastAsia="Arial" w:cs="Calibri"/>
                <w:sz w:val="20"/>
                <w:szCs w:val="20"/>
                <w:lang w:val="en-GB"/>
              </w:rPr>
            </w:pPr>
            <w:r w:rsidRPr="003A0120">
              <w:rPr>
                <w:rFonts w:eastAsia="Arial" w:cs="Calibri"/>
                <w:sz w:val="20"/>
                <w:szCs w:val="20"/>
                <w:lang w:val="en-GB"/>
              </w:rPr>
              <w:t xml:space="preserve">The </w:t>
            </w:r>
            <w:r w:rsidRPr="003A0120">
              <w:rPr>
                <w:rFonts w:eastAsia="Arial" w:cs="Calibri"/>
                <w:b/>
                <w:bCs/>
                <w:sz w:val="20"/>
                <w:szCs w:val="20"/>
                <w:lang w:val="en-GB"/>
              </w:rPr>
              <w:t>Aged Care Quality and Safety Commission</w:t>
            </w:r>
            <w:r w:rsidRPr="003A0120">
              <w:rPr>
                <w:rFonts w:eastAsia="Arial" w:cs="Calibri"/>
                <w:sz w:val="20"/>
                <w:szCs w:val="20"/>
                <w:lang w:val="en-GB"/>
              </w:rPr>
              <w:t xml:space="preserve"> phone: </w:t>
            </w:r>
            <w:hyperlink r:id="rId83" w:history="1">
              <w:r w:rsidRPr="003A0120">
                <w:rPr>
                  <w:rStyle w:val="Hyperlink"/>
                  <w:rFonts w:ascii="Calibri" w:eastAsia="Arial" w:hAnsi="Calibri" w:cs="Calibri"/>
                  <w:sz w:val="20"/>
                  <w:szCs w:val="20"/>
                  <w:lang w:val="en-GB"/>
                </w:rPr>
                <w:t>1800 951 822</w:t>
              </w:r>
            </w:hyperlink>
            <w:r w:rsidRPr="003A0120">
              <w:rPr>
                <w:rFonts w:eastAsia="Arial" w:cs="Calibri"/>
                <w:sz w:val="20"/>
                <w:szCs w:val="20"/>
                <w:lang w:val="en-GB"/>
              </w:rPr>
              <w:t xml:space="preserve"> or via their website at </w:t>
            </w:r>
            <w:hyperlink r:id="rId84" w:history="1">
              <w:r w:rsidRPr="003A0120">
                <w:rPr>
                  <w:rStyle w:val="Hyperlink"/>
                  <w:rFonts w:ascii="Calibri" w:eastAsia="Arial" w:hAnsi="Calibri" w:cs="Calibri"/>
                  <w:sz w:val="20"/>
                  <w:szCs w:val="20"/>
                  <w:lang w:val="en-GB"/>
                </w:rPr>
                <w:t>What to do if you have a complaint | Aged Care Quality and Safety Commission</w:t>
              </w:r>
            </w:hyperlink>
          </w:p>
          <w:p w14:paraId="3EE6A37C" w14:textId="77777777" w:rsidR="00353CEA" w:rsidRPr="003A0120" w:rsidRDefault="00353CEA" w:rsidP="00BD3D05">
            <w:pPr>
              <w:pStyle w:val="TableParagraph"/>
              <w:ind w:right="-24"/>
              <w:rPr>
                <w:rFonts w:eastAsia="Arial" w:cs="Calibri"/>
                <w:sz w:val="20"/>
                <w:szCs w:val="20"/>
                <w:lang w:val="en-GB"/>
              </w:rPr>
            </w:pPr>
            <w:r w:rsidRPr="003A0120">
              <w:rPr>
                <w:rFonts w:eastAsia="Arial" w:cs="Calibri"/>
                <w:sz w:val="20"/>
                <w:szCs w:val="20"/>
                <w:lang w:val="en-GB"/>
              </w:rPr>
              <w:t xml:space="preserve">Or </w:t>
            </w:r>
          </w:p>
          <w:p w14:paraId="311A969A" w14:textId="77777777" w:rsidR="00353CEA" w:rsidRPr="003A0120" w:rsidRDefault="00353CEA" w:rsidP="0050112F">
            <w:pPr>
              <w:pStyle w:val="TableParagraph"/>
              <w:numPr>
                <w:ilvl w:val="0"/>
                <w:numId w:val="64"/>
              </w:numPr>
              <w:spacing w:after="120"/>
              <w:ind w:left="0" w:right="-24" w:hanging="357"/>
              <w:rPr>
                <w:rFonts w:eastAsia="Arial" w:cs="Calibri"/>
                <w:sz w:val="20"/>
                <w:szCs w:val="20"/>
                <w:lang w:val="en-GB"/>
              </w:rPr>
            </w:pPr>
            <w:r w:rsidRPr="003A0120">
              <w:rPr>
                <w:rFonts w:eastAsia="Arial" w:cs="Calibri"/>
                <w:sz w:val="20"/>
                <w:szCs w:val="20"/>
                <w:highlight w:val="yellow"/>
                <w:lang w:val="en-GB"/>
              </w:rPr>
              <w:t>[insert relevant state or territory health body]</w:t>
            </w:r>
          </w:p>
        </w:tc>
      </w:tr>
      <w:tr w:rsidR="00473B15" w:rsidRPr="00FE0BC9" w14:paraId="5A94E7AB"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637A0168" w14:textId="77777777" w:rsidR="00353CEA" w:rsidRPr="003A0120" w:rsidDel="001A6F68" w:rsidRDefault="00353CEA" w:rsidP="0050112F">
            <w:pPr>
              <w:pStyle w:val="TableParagraph"/>
              <w:numPr>
                <w:ilvl w:val="0"/>
                <w:numId w:val="63"/>
              </w:numPr>
              <w:ind w:left="323" w:right="-24"/>
              <w:rPr>
                <w:rFonts w:eastAsia="Arial" w:cs="Calibri"/>
                <w:i/>
                <w:iCs/>
                <w:sz w:val="20"/>
                <w:szCs w:val="20"/>
              </w:rPr>
            </w:pPr>
            <w:r w:rsidRPr="003A0120">
              <w:rPr>
                <w:rFonts w:eastAsia="Arial" w:cs="Calibri"/>
                <w:b/>
                <w:bCs/>
                <w:color w:val="121212"/>
                <w:sz w:val="20"/>
                <w:szCs w:val="20"/>
              </w:rPr>
              <w:t>Important</w:t>
            </w:r>
            <w:r w:rsidRPr="003A0120">
              <w:rPr>
                <w:rFonts w:cs="Calibri"/>
                <w:b/>
                <w:bCs/>
                <w:sz w:val="20"/>
                <w:szCs w:val="20"/>
              </w:rPr>
              <w:t xml:space="preserve"> </w:t>
            </w:r>
            <w:r w:rsidRPr="003A0120">
              <w:rPr>
                <w:rFonts w:eastAsia="Arial" w:cs="Calibri"/>
                <w:b/>
                <w:bCs/>
                <w:color w:val="121212"/>
                <w:sz w:val="20"/>
                <w:szCs w:val="20"/>
              </w:rPr>
              <w:t>information</w:t>
            </w:r>
            <w:r w:rsidRPr="003A0120">
              <w:rPr>
                <w:rFonts w:cs="Calibri"/>
                <w:b/>
                <w:bCs/>
                <w:sz w:val="20"/>
                <w:szCs w:val="20"/>
              </w:rPr>
              <w:t xml:space="preserve"> you need to understand about your care</w:t>
            </w:r>
          </w:p>
        </w:tc>
      </w:tr>
      <w:tr w:rsidR="00047713" w:rsidRPr="00FE0BC9" w14:paraId="318CA98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1D8872C0" w14:textId="5A18DF90" w:rsidR="00353CEA" w:rsidRPr="003A0120" w:rsidRDefault="00353CEA" w:rsidP="00BD3D05">
            <w:pPr>
              <w:spacing w:before="80"/>
              <w:ind w:right="-24"/>
              <w:rPr>
                <w:rFonts w:eastAsia="Arial" w:cs="Calibri"/>
                <w:b/>
                <w:bCs/>
                <w:szCs w:val="20"/>
              </w:rPr>
            </w:pPr>
            <w:r w:rsidRPr="003A0120">
              <w:rPr>
                <w:rFonts w:eastAsia="Arial" w:cs="Calibri"/>
                <w:b/>
                <w:bCs/>
                <w:szCs w:val="20"/>
                <w:lang w:val="en-US"/>
              </w:rPr>
              <w:lastRenderedPageBreak/>
              <w:t>I have been provided a copy of key documents that relate to my care and I understand what my rights are</w:t>
            </w:r>
            <w:r w:rsidR="004725F8" w:rsidRPr="003A0120">
              <w:rPr>
                <w:rFonts w:eastAsia="Arial" w:cs="Calibri"/>
                <w:b/>
                <w:bCs/>
                <w:szCs w:val="20"/>
                <w:lang w:val="en-US"/>
              </w:rPr>
              <w:t>.</w:t>
            </w:r>
          </w:p>
          <w:p w14:paraId="16A6EB3F" w14:textId="051F50C4" w:rsidR="00353CEA" w:rsidRPr="003A0120" w:rsidRDefault="00353CEA" w:rsidP="0050112F">
            <w:pPr>
              <w:pStyle w:val="TableParagraph"/>
              <w:numPr>
                <w:ilvl w:val="0"/>
                <w:numId w:val="67"/>
              </w:numPr>
              <w:ind w:left="594" w:right="-24"/>
              <w:rPr>
                <w:rFonts w:eastAsia="Wingdings" w:cs="Calibri"/>
                <w:sz w:val="20"/>
                <w:szCs w:val="20"/>
              </w:rPr>
            </w:pPr>
            <w:r w:rsidRPr="003A0120">
              <w:rPr>
                <w:rFonts w:eastAsia="Wingdings" w:cs="Calibri"/>
                <w:sz w:val="20"/>
                <w:szCs w:val="20"/>
              </w:rPr>
              <w:t>a copy of the Statement of Rights and information about my rights</w:t>
            </w:r>
          </w:p>
          <w:p w14:paraId="1C9B8BE8" w14:textId="1D6A139F" w:rsidR="00353CEA" w:rsidRPr="003A0120" w:rsidRDefault="00353CEA" w:rsidP="0050112F">
            <w:pPr>
              <w:pStyle w:val="TableParagraph"/>
              <w:numPr>
                <w:ilvl w:val="0"/>
                <w:numId w:val="67"/>
              </w:numPr>
              <w:ind w:left="594" w:right="-24"/>
              <w:rPr>
                <w:rFonts w:eastAsia="Wingdings" w:cs="Calibri"/>
                <w:sz w:val="20"/>
                <w:szCs w:val="20"/>
              </w:rPr>
            </w:pPr>
            <w:r w:rsidRPr="003A0120">
              <w:rPr>
                <w:rFonts w:eastAsia="Wingdings" w:cs="Calibri"/>
                <w:sz w:val="20"/>
                <w:szCs w:val="20"/>
              </w:rPr>
              <w:t>a copy of the Aged Care Code of Conduct</w:t>
            </w:r>
          </w:p>
          <w:p w14:paraId="165309B7" w14:textId="097F78E2" w:rsidR="00353CEA" w:rsidRPr="003A0120" w:rsidRDefault="00353CEA" w:rsidP="0050112F">
            <w:pPr>
              <w:pStyle w:val="TableParagraph"/>
              <w:numPr>
                <w:ilvl w:val="0"/>
                <w:numId w:val="67"/>
              </w:numPr>
              <w:ind w:left="594" w:right="-24"/>
              <w:rPr>
                <w:rFonts w:eastAsia="Wingdings" w:cs="Calibri"/>
                <w:sz w:val="20"/>
                <w:szCs w:val="20"/>
              </w:rPr>
            </w:pPr>
            <w:r w:rsidRPr="003A0120">
              <w:rPr>
                <w:rFonts w:eastAsia="Wingdings" w:cs="Calibri"/>
                <w:sz w:val="20"/>
                <w:szCs w:val="20"/>
              </w:rPr>
              <w:t xml:space="preserve">information about how I can make a complaint or provide feedback </w:t>
            </w:r>
          </w:p>
          <w:p w14:paraId="0AA8816F" w14:textId="7A4D1977" w:rsidR="00353CEA" w:rsidRPr="003A0120" w:rsidRDefault="00353CEA" w:rsidP="0050112F">
            <w:pPr>
              <w:pStyle w:val="TableParagraph"/>
              <w:numPr>
                <w:ilvl w:val="0"/>
                <w:numId w:val="67"/>
              </w:numPr>
              <w:ind w:left="594" w:right="-24"/>
              <w:rPr>
                <w:rFonts w:eastAsia="Arial" w:cs="Calibri"/>
                <w:sz w:val="20"/>
                <w:szCs w:val="20"/>
              </w:rPr>
            </w:pPr>
            <w:r w:rsidRPr="003A0120">
              <w:rPr>
                <w:rFonts w:eastAsia="Wingdings" w:cs="Calibri"/>
                <w:sz w:val="20"/>
                <w:szCs w:val="20"/>
              </w:rPr>
              <w:t>information about how my personal information will be protected</w:t>
            </w:r>
          </w:p>
          <w:p w14:paraId="7D7A2B87" w14:textId="7AD6E03D" w:rsidR="00353CEA" w:rsidRPr="003A0120" w:rsidRDefault="00353CEA" w:rsidP="0050112F">
            <w:pPr>
              <w:pStyle w:val="TableParagraph"/>
              <w:numPr>
                <w:ilvl w:val="0"/>
                <w:numId w:val="67"/>
              </w:numPr>
              <w:ind w:left="594" w:right="-24"/>
              <w:rPr>
                <w:rFonts w:eastAsia="Wingdings" w:cs="Calibri"/>
                <w:sz w:val="20"/>
                <w:szCs w:val="20"/>
              </w:rPr>
            </w:pPr>
            <w:r w:rsidRPr="003A0120">
              <w:rPr>
                <w:rFonts w:eastAsia="Wingdings" w:cs="Calibri"/>
                <w:sz w:val="20"/>
                <w:szCs w:val="20"/>
                <w:lang w:val="en-GB"/>
              </w:rPr>
              <w:t xml:space="preserve">information about any ‘policies or protocols’ that are relevant to the individual </w:t>
            </w:r>
            <w:r w:rsidRPr="003A0120">
              <w:rPr>
                <w:rFonts w:eastAsia="Wingdings" w:cs="Calibri"/>
                <w:i/>
                <w:iCs/>
                <w:color w:val="FF0000"/>
                <w:sz w:val="20"/>
                <w:szCs w:val="20"/>
              </w:rPr>
              <w:t>[Provider, delete if not applicable]</w:t>
            </w:r>
          </w:p>
          <w:p w14:paraId="52E4E0B0" w14:textId="6AC6E8B7" w:rsidR="00353CEA" w:rsidRPr="003A0120" w:rsidRDefault="00353CEA" w:rsidP="0050112F">
            <w:pPr>
              <w:pStyle w:val="TableParagraph"/>
              <w:numPr>
                <w:ilvl w:val="0"/>
                <w:numId w:val="67"/>
              </w:numPr>
              <w:spacing w:after="120"/>
              <w:ind w:left="594" w:right="-24"/>
              <w:rPr>
                <w:rFonts w:eastAsia="Arial" w:cs="Calibri"/>
                <w:sz w:val="20"/>
                <w:szCs w:val="20"/>
              </w:rPr>
            </w:pPr>
            <w:r w:rsidRPr="003A0120">
              <w:rPr>
                <w:rFonts w:eastAsia="Wingdings" w:cs="Calibri"/>
                <w:sz w:val="20"/>
                <w:szCs w:val="20"/>
              </w:rPr>
              <w:t xml:space="preserve">information relating to client fees and financial hardship policies. </w:t>
            </w:r>
          </w:p>
        </w:tc>
      </w:tr>
      <w:tr w:rsidR="00473B15" w:rsidRPr="00FE0BC9" w14:paraId="1EFD1229" w14:textId="77777777" w:rsidTr="00185B91">
        <w:trPr>
          <w:trHeight w:val="326"/>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7C4FDDCE" w14:textId="77777777" w:rsidR="00353CEA" w:rsidRPr="003A0120" w:rsidDel="001A6F68" w:rsidRDefault="00353CEA" w:rsidP="0050112F">
            <w:pPr>
              <w:pStyle w:val="TableParagraph"/>
              <w:numPr>
                <w:ilvl w:val="0"/>
                <w:numId w:val="63"/>
              </w:numPr>
              <w:ind w:left="323" w:right="-24"/>
              <w:rPr>
                <w:rFonts w:eastAsia="Arial" w:cs="Calibri"/>
                <w:b/>
                <w:bCs/>
                <w:sz w:val="20"/>
                <w:szCs w:val="20"/>
              </w:rPr>
            </w:pPr>
            <w:r w:rsidRPr="003A0120">
              <w:rPr>
                <w:rFonts w:eastAsia="Arial" w:cs="Calibri"/>
                <w:b/>
                <w:bCs/>
                <w:color w:val="121212"/>
                <w:sz w:val="20"/>
                <w:szCs w:val="20"/>
              </w:rPr>
              <w:t>Development</w:t>
            </w:r>
            <w:r w:rsidRPr="003A0120">
              <w:rPr>
                <w:rFonts w:eastAsia="Arial" w:cs="Calibri"/>
                <w:b/>
                <w:bCs/>
                <w:sz w:val="20"/>
                <w:szCs w:val="20"/>
              </w:rPr>
              <w:t xml:space="preserve"> of this agreement </w:t>
            </w:r>
          </w:p>
        </w:tc>
      </w:tr>
      <w:tr w:rsidR="00047713" w:rsidRPr="00FE0BC9" w14:paraId="5BDFC2A0" w14:textId="77777777" w:rsidTr="00185B91">
        <w:trPr>
          <w:trHeight w:val="987"/>
        </w:trPr>
        <w:tc>
          <w:tcPr>
            <w:tcW w:w="9640" w:type="dxa"/>
            <w:gridSpan w:val="4"/>
            <w:tcBorders>
              <w:top w:val="single" w:sz="4" w:space="0" w:color="auto"/>
              <w:left w:val="single" w:sz="4" w:space="0" w:color="auto"/>
              <w:bottom w:val="single" w:sz="4" w:space="0" w:color="auto"/>
              <w:right w:val="single" w:sz="6" w:space="0" w:color="auto"/>
            </w:tcBorders>
            <w:shd w:val="clear" w:color="auto" w:fill="FFFFFF" w:themeFill="background1"/>
            <w:vAlign w:val="center"/>
          </w:tcPr>
          <w:p w14:paraId="6DAE7F24" w14:textId="4B9D37A4"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This agreement has been developed in partnership with me, and I understand all parts of the agreement</w:t>
            </w:r>
            <w:r w:rsidR="008F2BB7" w:rsidRPr="003A0120">
              <w:rPr>
                <w:rFonts w:eastAsia="Arial" w:cs="Calibri"/>
                <w:sz w:val="20"/>
                <w:szCs w:val="20"/>
              </w:rPr>
              <w:t>.</w:t>
            </w:r>
          </w:p>
          <w:p w14:paraId="5A507685" w14:textId="5B943766" w:rsidR="00353CEA" w:rsidRPr="003A0120" w:rsidDel="001A6F68" w:rsidRDefault="00DF0204" w:rsidP="00020AC2">
            <w:pPr>
              <w:rPr>
                <w:rStyle w:val="Strong"/>
                <w:rFonts w:eastAsia="Arial"/>
                <w:sz w:val="20"/>
                <w:szCs w:val="20"/>
              </w:rPr>
            </w:pPr>
            <w:sdt>
              <w:sdtPr>
                <w:rPr>
                  <w:rStyle w:val="Strong"/>
                  <w:rFonts w:eastAsia="Arial"/>
                  <w:sz w:val="20"/>
                  <w:szCs w:val="20"/>
                </w:rPr>
                <w:id w:val="-2034180506"/>
                <w14:checkbox>
                  <w14:checked w14:val="0"/>
                  <w14:checkedState w14:val="2612" w14:font="MS Gothic"/>
                  <w14:uncheckedState w14:val="2610" w14:font="MS Gothic"/>
                </w14:checkbox>
              </w:sdtPr>
              <w:sdtEndPr>
                <w:rPr>
                  <w:rStyle w:val="Strong"/>
                </w:rPr>
              </w:sdtEndPr>
              <w:sdtContent>
                <w:r w:rsidR="00020AC2" w:rsidRPr="00EB6CF0">
                  <w:rPr>
                    <w:rStyle w:val="Strong"/>
                    <w:rFonts w:ascii="MS Gothic" w:eastAsia="MS Gothic" w:hAnsi="MS Gothic" w:hint="eastAsia"/>
                    <w:sz w:val="20"/>
                    <w:szCs w:val="20"/>
                  </w:rPr>
                  <w:t>☐</w:t>
                </w:r>
              </w:sdtContent>
            </w:sdt>
            <w:r w:rsidR="00020AC2" w:rsidRPr="003A0120">
              <w:rPr>
                <w:rStyle w:val="Strong"/>
                <w:rFonts w:eastAsia="Arial"/>
                <w:sz w:val="20"/>
                <w:szCs w:val="20"/>
              </w:rPr>
              <w:t xml:space="preserve"> </w:t>
            </w:r>
            <w:r w:rsidR="00353CEA" w:rsidRPr="003A0120">
              <w:rPr>
                <w:rStyle w:val="Strong"/>
                <w:rFonts w:eastAsia="Arial"/>
                <w:sz w:val="20"/>
                <w:szCs w:val="20"/>
              </w:rPr>
              <w:t>I agree that this Client Service Agreement has been developed following discussion and in partnership</w:t>
            </w:r>
            <w:r w:rsidR="002E7260" w:rsidRPr="003A0120">
              <w:rPr>
                <w:rStyle w:val="Strong"/>
                <w:rFonts w:eastAsia="Arial"/>
                <w:sz w:val="20"/>
                <w:szCs w:val="20"/>
              </w:rPr>
              <w:t xml:space="preserve"> with me</w:t>
            </w:r>
            <w:r w:rsidR="00353CEA" w:rsidRPr="003A0120">
              <w:rPr>
                <w:rStyle w:val="Strong"/>
                <w:rFonts w:eastAsia="Arial"/>
                <w:sz w:val="20"/>
                <w:szCs w:val="20"/>
              </w:rPr>
              <w:t>. I have had opportunity to ask questions, and I understand what I am agreeing to</w:t>
            </w:r>
            <w:r w:rsidR="00353CEA" w:rsidRPr="003A0120" w:rsidDel="007049D0">
              <w:rPr>
                <w:rStyle w:val="Strong"/>
                <w:rFonts w:eastAsia="Arial"/>
                <w:sz w:val="20"/>
                <w:szCs w:val="20"/>
              </w:rPr>
              <w:t>.</w:t>
            </w:r>
          </w:p>
        </w:tc>
      </w:tr>
      <w:tr w:rsidR="00473B15" w:rsidRPr="00FE0BC9" w:rsidDel="001A6F68" w14:paraId="58311FD7" w14:textId="77777777" w:rsidTr="00185B91">
        <w:trPr>
          <w:trHeight w:val="380"/>
        </w:trPr>
        <w:tc>
          <w:tcPr>
            <w:tcW w:w="9640" w:type="dxa"/>
            <w:gridSpan w:val="4"/>
            <w:tcBorders>
              <w:top w:val="single" w:sz="4" w:space="0" w:color="auto"/>
              <w:left w:val="single" w:sz="4" w:space="0" w:color="auto"/>
              <w:bottom w:val="single" w:sz="4" w:space="0" w:color="auto"/>
              <w:right w:val="single" w:sz="6" w:space="0" w:color="auto"/>
            </w:tcBorders>
            <w:shd w:val="clear" w:color="auto" w:fill="A3DBFF"/>
            <w:vAlign w:val="center"/>
          </w:tcPr>
          <w:p w14:paraId="1399C770" w14:textId="22C3D29E" w:rsidR="00353CEA" w:rsidRPr="003A0120" w:rsidDel="001A6F68" w:rsidRDefault="00353CEA" w:rsidP="00BD3D05">
            <w:pPr>
              <w:pStyle w:val="TableParagraph"/>
              <w:ind w:right="-24"/>
              <w:rPr>
                <w:rFonts w:eastAsia="Arial" w:cs="Calibri"/>
                <w:i/>
                <w:iCs/>
                <w:sz w:val="20"/>
                <w:szCs w:val="20"/>
              </w:rPr>
            </w:pPr>
            <w:r w:rsidRPr="003A0120">
              <w:rPr>
                <w:rFonts w:cs="Calibri"/>
                <w:b/>
                <w:bCs/>
                <w:sz w:val="20"/>
                <w:szCs w:val="20"/>
                <w:shd w:val="clear" w:color="auto" w:fill="A3DBFF"/>
              </w:rPr>
              <w:t xml:space="preserve">Signing </w:t>
            </w:r>
            <w:r w:rsidR="00473B15" w:rsidRPr="003A0120">
              <w:rPr>
                <w:rFonts w:cs="Calibri"/>
                <w:b/>
                <w:bCs/>
                <w:sz w:val="20"/>
                <w:szCs w:val="20"/>
                <w:shd w:val="clear" w:color="auto" w:fill="A3DBFF"/>
              </w:rPr>
              <w:t>S</w:t>
            </w:r>
            <w:r w:rsidRPr="003A0120">
              <w:rPr>
                <w:rFonts w:cs="Calibri"/>
                <w:b/>
                <w:bCs/>
                <w:sz w:val="20"/>
                <w:szCs w:val="20"/>
                <w:shd w:val="clear" w:color="auto" w:fill="A3DBFF"/>
              </w:rPr>
              <w:t>ection</w:t>
            </w:r>
            <w:r w:rsidRPr="003A0120">
              <w:rPr>
                <w:rFonts w:cs="Calibri"/>
                <w:b/>
                <w:bCs/>
                <w:sz w:val="20"/>
                <w:szCs w:val="20"/>
              </w:rPr>
              <w:t xml:space="preserve"> </w:t>
            </w:r>
          </w:p>
        </w:tc>
      </w:tr>
      <w:tr w:rsidR="00353CEA" w:rsidRPr="00FE0BC9" w14:paraId="23FAE833" w14:textId="77777777" w:rsidTr="00185B91">
        <w:trPr>
          <w:trHeight w:val="2320"/>
        </w:trPr>
        <w:tc>
          <w:tcPr>
            <w:tcW w:w="9640" w:type="dxa"/>
            <w:gridSpan w:val="4"/>
            <w:tcBorders>
              <w:top w:val="single" w:sz="4" w:space="0" w:color="auto"/>
              <w:left w:val="single" w:sz="4" w:space="0" w:color="auto"/>
              <w:bottom w:val="single" w:sz="4" w:space="0" w:color="auto"/>
              <w:right w:val="single" w:sz="6" w:space="0" w:color="auto"/>
            </w:tcBorders>
            <w:vAlign w:val="center"/>
          </w:tcPr>
          <w:p w14:paraId="3869787C" w14:textId="77777777" w:rsidR="00353CEA" w:rsidRPr="003A0120" w:rsidRDefault="00353CEA" w:rsidP="00BD3D05">
            <w:pPr>
              <w:pStyle w:val="TableParagraph"/>
              <w:spacing w:before="80" w:after="80"/>
              <w:ind w:right="-24"/>
              <w:rPr>
                <w:rFonts w:eastAsia="Arial" w:cs="Calibri"/>
                <w:sz w:val="20"/>
                <w:szCs w:val="20"/>
              </w:rPr>
            </w:pPr>
            <w:r w:rsidRPr="003A0120">
              <w:rPr>
                <w:rFonts w:eastAsia="Arial" w:cs="Calibri"/>
                <w:sz w:val="20"/>
                <w:szCs w:val="20"/>
              </w:rPr>
              <w:t>Please sign below if:</w:t>
            </w:r>
          </w:p>
          <w:p w14:paraId="413FFCD9" w14:textId="77777777" w:rsidR="00353CEA" w:rsidRPr="003A0120" w:rsidRDefault="00353CEA" w:rsidP="00624415">
            <w:pPr>
              <w:pStyle w:val="TLPTableBullet"/>
              <w:rPr>
                <w:rFonts w:eastAsia="Arial"/>
                <w:sz w:val="20"/>
                <w:lang w:val="en-US"/>
              </w:rPr>
            </w:pPr>
            <w:r w:rsidRPr="003A0120">
              <w:rPr>
                <w:rFonts w:eastAsia="Arial"/>
                <w:sz w:val="20"/>
                <w:lang w:val="en-US"/>
              </w:rPr>
              <w:t>you would like to access the Transition Care Program services as outlined;</w:t>
            </w:r>
          </w:p>
          <w:p w14:paraId="4ED3D577" w14:textId="77777777" w:rsidR="00353CEA" w:rsidRPr="003A0120" w:rsidRDefault="00353CEA" w:rsidP="00624415">
            <w:pPr>
              <w:pStyle w:val="TLPTableBullet"/>
              <w:rPr>
                <w:rFonts w:eastAsia="Arial"/>
                <w:sz w:val="20"/>
                <w:lang w:val="en-US"/>
              </w:rPr>
            </w:pPr>
            <w:r w:rsidRPr="003A0120">
              <w:rPr>
                <w:rFonts w:eastAsia="Arial"/>
                <w:sz w:val="20"/>
                <w:lang w:val="en-US"/>
              </w:rPr>
              <w:t>you agree, to the best of your knowledge, that the above information is accurate; and</w:t>
            </w:r>
          </w:p>
          <w:p w14:paraId="2FB11EC2" w14:textId="77777777" w:rsidR="00353CEA" w:rsidRPr="003A0120" w:rsidRDefault="00353CEA" w:rsidP="00624415">
            <w:pPr>
              <w:pStyle w:val="TLPTableBullet"/>
              <w:rPr>
                <w:rFonts w:eastAsia="Arial"/>
                <w:sz w:val="20"/>
                <w:lang w:val="en-US"/>
              </w:rPr>
            </w:pPr>
            <w:r w:rsidRPr="003A0120">
              <w:rPr>
                <w:rFonts w:eastAsia="Arial"/>
                <w:sz w:val="20"/>
                <w:lang w:val="en-US"/>
              </w:rPr>
              <w:t xml:space="preserve">you agree to the conditions in this document. </w:t>
            </w:r>
          </w:p>
          <w:p w14:paraId="38F5BADD" w14:textId="77777777" w:rsidR="00353CEA" w:rsidRPr="003A0120" w:rsidRDefault="00353CEA" w:rsidP="00BD3D05">
            <w:pPr>
              <w:ind w:right="-24"/>
              <w:rPr>
                <w:rFonts w:eastAsia="Arial" w:cs="Calibri"/>
                <w:szCs w:val="20"/>
              </w:rPr>
            </w:pPr>
            <w:r w:rsidRPr="003A0120">
              <w:rPr>
                <w:rFonts w:eastAsia="Arial" w:cs="Calibri"/>
                <w:szCs w:val="20"/>
                <w:lang w:val="en-US"/>
              </w:rPr>
              <w:t xml:space="preserve">As your Transition Care provider, we will also sign this agreement. </w:t>
            </w:r>
          </w:p>
          <w:p w14:paraId="460E8794" w14:textId="77777777" w:rsidR="00353CEA" w:rsidRPr="003A0120" w:rsidRDefault="00353CEA" w:rsidP="00BD3D05">
            <w:pPr>
              <w:pStyle w:val="TableParagraph"/>
              <w:spacing w:after="80"/>
              <w:ind w:right="-24"/>
              <w:rPr>
                <w:rFonts w:eastAsia="Arial" w:cs="Calibri"/>
                <w:sz w:val="20"/>
                <w:szCs w:val="20"/>
              </w:rPr>
            </w:pPr>
            <w:r w:rsidRPr="003A0120">
              <w:rPr>
                <w:rFonts w:eastAsia="Arial" w:cs="Calibri"/>
                <w:sz w:val="20"/>
                <w:szCs w:val="20"/>
              </w:rPr>
              <w:t>You may wish to obtain independent legal or financial advice before signing. You can also seek assistance from:</w:t>
            </w:r>
          </w:p>
          <w:p w14:paraId="367403B2" w14:textId="77777777" w:rsidR="00353CEA" w:rsidRPr="003A0120" w:rsidRDefault="00353CEA" w:rsidP="00624415">
            <w:pPr>
              <w:pStyle w:val="TLPTableBullet"/>
              <w:rPr>
                <w:rFonts w:eastAsia="Arial"/>
                <w:sz w:val="20"/>
              </w:rPr>
            </w:pPr>
            <w:r w:rsidRPr="003A0120">
              <w:rPr>
                <w:rFonts w:eastAsia="Arial"/>
                <w:sz w:val="20"/>
              </w:rPr>
              <w:t>a supporter, family member, carer, advocate, or other significant person; and/or</w:t>
            </w:r>
          </w:p>
          <w:p w14:paraId="1BBE8FB8" w14:textId="77777777" w:rsidR="00353CEA" w:rsidRPr="003A0120" w:rsidRDefault="00353CEA" w:rsidP="00624415">
            <w:pPr>
              <w:pStyle w:val="TLPTableBullet"/>
              <w:rPr>
                <w:rFonts w:eastAsia="Arial"/>
                <w:sz w:val="20"/>
              </w:rPr>
            </w:pPr>
            <w:r w:rsidRPr="003A0120">
              <w:rPr>
                <w:rFonts w:eastAsia="Arial"/>
                <w:sz w:val="20"/>
              </w:rPr>
              <w:t xml:space="preserve">a translation service if needed (the </w:t>
            </w:r>
            <w:r w:rsidRPr="003A0120">
              <w:rPr>
                <w:rFonts w:eastAsia="Arial"/>
                <w:sz w:val="20"/>
                <w:lang w:val="en-GB"/>
              </w:rPr>
              <w:t>Translating and Interpreting Service (TIS) National is a free service provided by the Australian Government for immediate phone interpreting relating to Australian Government funded aged care programs, available 24 hours a day, and can be contacted on 1300 655 820 for general enquiries, or 131 450 for immediate phone interpreting).</w:t>
            </w:r>
          </w:p>
          <w:p w14:paraId="1E695848"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b/>
                <w:bCs/>
                <w:sz w:val="20"/>
                <w:szCs w:val="20"/>
              </w:rPr>
              <w:t xml:space="preserve">Transition Care Program Client Service Agreement for </w:t>
            </w:r>
            <w:r w:rsidRPr="003A0120">
              <w:rPr>
                <w:rFonts w:eastAsia="Arial" w:cs="Calibri"/>
                <w:b/>
                <w:bCs/>
                <w:sz w:val="20"/>
                <w:szCs w:val="20"/>
                <w:highlight w:val="yellow"/>
              </w:rPr>
              <w:t>[insert client name]</w:t>
            </w:r>
          </w:p>
          <w:p w14:paraId="4A6C71E3" w14:textId="77777777" w:rsidR="00353CEA" w:rsidRPr="003A0120" w:rsidRDefault="00353CEA" w:rsidP="00BD3D05">
            <w:pPr>
              <w:pStyle w:val="TableParagraph"/>
              <w:spacing w:after="120"/>
              <w:ind w:right="-24"/>
              <w:rPr>
                <w:rFonts w:eastAsia="Arial" w:cs="Calibri"/>
                <w:sz w:val="20"/>
                <w:szCs w:val="20"/>
              </w:rPr>
            </w:pPr>
            <w:r w:rsidRPr="003A0120">
              <w:rPr>
                <w:rFonts w:eastAsia="Arial" w:cs="Calibri"/>
                <w:sz w:val="20"/>
                <w:szCs w:val="20"/>
              </w:rPr>
              <w:t xml:space="preserve">Date this Client Service Agreement will commence: </w:t>
            </w:r>
            <w:r w:rsidRPr="003A0120">
              <w:rPr>
                <w:rFonts w:eastAsia="Arial" w:cs="Calibri"/>
                <w:b/>
                <w:bCs/>
                <w:sz w:val="20"/>
                <w:szCs w:val="20"/>
              </w:rPr>
              <w:t>[</w:t>
            </w:r>
            <w:r w:rsidRPr="003A0120">
              <w:rPr>
                <w:rFonts w:eastAsia="Arial" w:cs="Calibri"/>
                <w:b/>
                <w:bCs/>
                <w:sz w:val="20"/>
                <w:szCs w:val="20"/>
                <w:highlight w:val="yellow"/>
              </w:rPr>
              <w:t>enter date</w:t>
            </w:r>
            <w:r w:rsidRPr="003A0120">
              <w:rPr>
                <w:rFonts w:eastAsia="Arial" w:cs="Calibri"/>
                <w:b/>
                <w:bCs/>
                <w:sz w:val="20"/>
                <w:szCs w:val="20"/>
              </w:rPr>
              <w:t>]</w:t>
            </w:r>
          </w:p>
          <w:p w14:paraId="3D59DFFD" w14:textId="77777777" w:rsidR="00353CEA" w:rsidRPr="003A0120" w:rsidRDefault="00353CEA" w:rsidP="00BD3D05">
            <w:pPr>
              <w:pStyle w:val="TableParagraph"/>
              <w:spacing w:after="120"/>
              <w:ind w:right="-24"/>
              <w:rPr>
                <w:rFonts w:eastAsia="Arial" w:cs="Calibri"/>
                <w:b/>
                <w:bCs/>
                <w:sz w:val="20"/>
                <w:szCs w:val="20"/>
              </w:rPr>
            </w:pPr>
            <w:r w:rsidRPr="003A0120">
              <w:rPr>
                <w:rFonts w:eastAsia="Arial" w:cs="Calibri"/>
                <w:sz w:val="20"/>
                <w:szCs w:val="20"/>
              </w:rPr>
              <w:t>Date first service will be delivered:</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p>
          <w:p w14:paraId="3BF2D489" w14:textId="77777777" w:rsidR="00353CEA" w:rsidRPr="003A0120" w:rsidRDefault="00353CEA" w:rsidP="00BD3D05">
            <w:pPr>
              <w:pStyle w:val="TableParagraph"/>
              <w:ind w:right="-24"/>
              <w:rPr>
                <w:rFonts w:eastAsia="Arial" w:cs="Calibri"/>
                <w:sz w:val="20"/>
                <w:szCs w:val="20"/>
              </w:rPr>
            </w:pPr>
            <w:r w:rsidRPr="003A0120">
              <w:rPr>
                <w:rFonts w:eastAsia="Arial" w:cs="Calibri"/>
                <w:sz w:val="20"/>
                <w:szCs w:val="20"/>
              </w:rPr>
              <w:t>Cessation date:</w:t>
            </w:r>
            <w:r w:rsidRPr="003A0120">
              <w:rPr>
                <w:rFonts w:eastAsia="Arial" w:cs="Calibri"/>
                <w:b/>
                <w:bCs/>
                <w:sz w:val="20"/>
                <w:szCs w:val="20"/>
              </w:rPr>
              <w:t xml:space="preserve"> [</w:t>
            </w:r>
            <w:r w:rsidRPr="003A0120">
              <w:rPr>
                <w:rFonts w:eastAsia="Arial" w:cs="Calibri"/>
                <w:b/>
                <w:bCs/>
                <w:sz w:val="20"/>
                <w:szCs w:val="20"/>
                <w:highlight w:val="yellow"/>
              </w:rPr>
              <w:t>enter date</w:t>
            </w:r>
            <w:r w:rsidRPr="003A0120">
              <w:rPr>
                <w:rFonts w:eastAsia="Arial" w:cs="Calibri"/>
                <w:b/>
                <w:bCs/>
                <w:sz w:val="20"/>
                <w:szCs w:val="20"/>
              </w:rPr>
              <w:t>]</w:t>
            </w:r>
            <w:r w:rsidRPr="003A0120">
              <w:rPr>
                <w:rFonts w:eastAsia="Arial" w:cs="Calibri"/>
                <w:sz w:val="20"/>
                <w:szCs w:val="20"/>
              </w:rPr>
              <w:t xml:space="preserve"> </w:t>
            </w:r>
            <w:r w:rsidRPr="003A0120">
              <w:rPr>
                <w:rFonts w:eastAsia="Arial" w:cs="Calibri"/>
                <w:i/>
                <w:iCs/>
                <w:color w:val="FF0000"/>
                <w:sz w:val="20"/>
                <w:szCs w:val="20"/>
              </w:rPr>
              <w:t>[Note to Registered Provider - add only if needed]</w:t>
            </w:r>
          </w:p>
          <w:p w14:paraId="700A7581" w14:textId="77777777" w:rsidR="00353CEA" w:rsidRPr="003A0120" w:rsidRDefault="00353CEA" w:rsidP="00BD3D05">
            <w:pPr>
              <w:pStyle w:val="TableParagraph"/>
              <w:spacing w:after="120"/>
              <w:ind w:right="-24"/>
              <w:rPr>
                <w:rFonts w:eastAsia="Arial" w:cs="Calibri"/>
                <w:i/>
                <w:iCs/>
                <w:color w:val="FF0000"/>
                <w:sz w:val="20"/>
                <w:szCs w:val="20"/>
              </w:rPr>
            </w:pPr>
            <w:r w:rsidRPr="003A0120">
              <w:rPr>
                <w:rFonts w:eastAsia="Arial" w:cs="Calibri"/>
                <w:b/>
                <w:i/>
                <w:iCs/>
                <w:color w:val="FF0000"/>
                <w:sz w:val="20"/>
                <w:szCs w:val="20"/>
              </w:rPr>
              <w:t>[Provider, insert your PROVIDER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color w:val="FF0000"/>
                <w:sz w:val="20"/>
                <w:szCs w:val="20"/>
              </w:rPr>
              <w:t xml:space="preserve"> </w:t>
            </w:r>
            <w:r w:rsidRPr="003A0120">
              <w:rPr>
                <w:rFonts w:eastAsia="Arial" w:cs="Calibri"/>
                <w:i/>
                <w:iCs/>
                <w:color w:val="FF0000"/>
                <w:sz w:val="20"/>
                <w:szCs w:val="20"/>
              </w:rPr>
              <w:t xml:space="preserve"> </w:t>
            </w:r>
          </w:p>
          <w:p w14:paraId="5C4AC2BC" w14:textId="5E206219" w:rsidR="00353CEA" w:rsidRPr="003A0120" w:rsidRDefault="00353CEA" w:rsidP="00BD3D05">
            <w:pPr>
              <w:pStyle w:val="TableParagraph"/>
              <w:spacing w:after="120"/>
              <w:ind w:right="-24"/>
              <w:rPr>
                <w:rFonts w:eastAsia="Arial" w:cs="Calibri"/>
                <w:i/>
                <w:iCs/>
                <w:sz w:val="20"/>
                <w:szCs w:val="20"/>
                <w:lang w:val="en-GB"/>
              </w:rPr>
            </w:pPr>
            <w:r w:rsidRPr="003A0120">
              <w:rPr>
                <w:rFonts w:eastAsia="Arial" w:cs="Calibri"/>
                <w:i/>
                <w:iCs/>
                <w:color w:val="FF0000"/>
                <w:sz w:val="20"/>
                <w:szCs w:val="20"/>
              </w:rPr>
              <w:t xml:space="preserve">[Note </w:t>
            </w:r>
            <w:r w:rsidRPr="003A0120">
              <w:rPr>
                <w:rFonts w:eastAsia="Arial" w:cs="Calibri"/>
                <w:i/>
                <w:iCs/>
                <w:color w:val="FF0000"/>
                <w:sz w:val="20"/>
                <w:szCs w:val="20"/>
                <w:lang w:val="en-GB"/>
              </w:rPr>
              <w:t>to Registered Provider: an Associated Provider of a Registered Provider may sign the client service agreement on behalf of the Registered Provider, if the Registered Provider chooses to delegate this responsibility to its Associated Providers. If so, this is a matter relating to the commercial practices of Registered Providers and is subject to an agreement or commercial arrangements to do so between the Registered Provider and Associated Provider]</w:t>
            </w:r>
            <w:r w:rsidR="00DD18DC" w:rsidRPr="003A0120">
              <w:rPr>
                <w:rFonts w:eastAsia="Arial" w:cs="Calibri"/>
                <w:i/>
                <w:iCs/>
                <w:color w:val="FF0000"/>
                <w:sz w:val="20"/>
                <w:szCs w:val="20"/>
                <w:lang w:val="en-GB"/>
              </w:rPr>
              <w:t>.</w:t>
            </w:r>
          </w:p>
          <w:p w14:paraId="3B1D7D4A" w14:textId="77777777" w:rsidR="00353CEA" w:rsidRPr="003A0120" w:rsidRDefault="00353CEA" w:rsidP="00BD3D05">
            <w:pPr>
              <w:pStyle w:val="TableParagraph"/>
              <w:ind w:right="-24"/>
              <w:rPr>
                <w:rFonts w:eastAsia="Arial" w:cs="Calibri"/>
                <w:b/>
                <w:i/>
                <w:iCs/>
                <w:color w:val="FF0000"/>
                <w:sz w:val="20"/>
                <w:szCs w:val="20"/>
              </w:rPr>
            </w:pPr>
            <w:r w:rsidRPr="003A0120">
              <w:rPr>
                <w:rFonts w:eastAsia="Arial" w:cs="Calibri"/>
                <w:b/>
                <w:i/>
                <w:iCs/>
                <w:color w:val="FF0000"/>
                <w:sz w:val="20"/>
                <w:szCs w:val="20"/>
              </w:rPr>
              <w:t>[Provider, insert the CLIENT SIGNATURE BLOCK</w:t>
            </w:r>
            <w:r w:rsidRPr="003A0120">
              <w:rPr>
                <w:rFonts w:eastAsia="Arial" w:cs="Calibri"/>
                <w:i/>
                <w:iCs/>
                <w:color w:val="FF0000"/>
                <w:sz w:val="20"/>
                <w:szCs w:val="20"/>
              </w:rPr>
              <w:t xml:space="preserve"> </w:t>
            </w:r>
            <w:r w:rsidRPr="003A0120">
              <w:rPr>
                <w:rFonts w:eastAsia="Arial" w:cs="Calibri"/>
                <w:b/>
                <w:bCs/>
                <w:i/>
                <w:iCs/>
                <w:color w:val="FF0000"/>
                <w:sz w:val="20"/>
                <w:szCs w:val="20"/>
              </w:rPr>
              <w:t>here</w:t>
            </w:r>
            <w:r w:rsidRPr="003A0120">
              <w:rPr>
                <w:rFonts w:eastAsia="Arial" w:cs="Calibri"/>
                <w:i/>
                <w:iCs/>
                <w:color w:val="FF0000"/>
                <w:sz w:val="20"/>
                <w:szCs w:val="20"/>
              </w:rPr>
              <w:t>]</w:t>
            </w:r>
            <w:r w:rsidRPr="003A0120">
              <w:rPr>
                <w:rFonts w:eastAsia="Arial" w:cs="Calibri"/>
                <w:b/>
                <w:i/>
                <w:iCs/>
                <w:color w:val="FF0000"/>
                <w:sz w:val="20"/>
                <w:szCs w:val="20"/>
              </w:rPr>
              <w:t xml:space="preserve"> </w:t>
            </w:r>
          </w:p>
          <w:p w14:paraId="4D612CA7" w14:textId="50CA0DA6" w:rsidR="00353CEA" w:rsidRPr="003A0120" w:rsidRDefault="00353CEA" w:rsidP="00185B91">
            <w:pPr>
              <w:pStyle w:val="TableParagraph"/>
              <w:ind w:right="-24"/>
              <w:rPr>
                <w:rFonts w:eastAsia="Arial" w:cs="Calibri"/>
                <w:i/>
                <w:iCs/>
                <w:color w:val="FF0000"/>
                <w:sz w:val="20"/>
                <w:szCs w:val="20"/>
              </w:rPr>
            </w:pPr>
            <w:r w:rsidRPr="003A0120">
              <w:rPr>
                <w:rFonts w:eastAsia="Arial" w:cs="Calibri"/>
                <w:i/>
                <w:iCs/>
                <w:color w:val="FF0000"/>
                <w:sz w:val="20"/>
                <w:szCs w:val="20"/>
              </w:rPr>
              <w:t xml:space="preserve">[Note to Registered Provider: If signed by an authorised representative, please specify their name and authority to enter into this agreement on behalf of the participant (e.g. power of attorney/guardian or </w:t>
            </w:r>
            <w:r w:rsidR="009D1C96" w:rsidRPr="003A0120">
              <w:rPr>
                <w:rFonts w:eastAsia="Arial" w:cs="Calibri"/>
                <w:i/>
                <w:iCs/>
                <w:color w:val="FF0000"/>
                <w:sz w:val="20"/>
                <w:szCs w:val="20"/>
              </w:rPr>
              <w:t xml:space="preserve">your </w:t>
            </w:r>
            <w:r w:rsidRPr="003A0120">
              <w:rPr>
                <w:rFonts w:eastAsia="Arial" w:cs="Calibri"/>
                <w:i/>
                <w:iCs/>
                <w:color w:val="FF0000"/>
                <w:sz w:val="20"/>
                <w:szCs w:val="20"/>
              </w:rPr>
              <w:t>authorised guardian), and the date the authority has been enacted]</w:t>
            </w:r>
            <w:r w:rsidR="004B7044" w:rsidRPr="003A0120">
              <w:rPr>
                <w:rFonts w:eastAsia="Arial" w:cs="Calibri"/>
                <w:i/>
                <w:iCs/>
                <w:color w:val="FF0000"/>
                <w:sz w:val="20"/>
                <w:szCs w:val="20"/>
              </w:rPr>
              <w:t>.</w:t>
            </w:r>
          </w:p>
        </w:tc>
      </w:tr>
    </w:tbl>
    <w:p w14:paraId="74BE74D9" w14:textId="77777777" w:rsidR="006C5FB0" w:rsidRDefault="006C5FB0" w:rsidP="00185B91">
      <w:pPr>
        <w:pStyle w:val="Heading2withoutnumbering"/>
        <w:rPr>
          <w:sz w:val="20"/>
          <w:szCs w:val="20"/>
        </w:rPr>
      </w:pPr>
    </w:p>
    <w:p w14:paraId="10D47361" w14:textId="77777777" w:rsidR="006C5FB0" w:rsidRDefault="006C5FB0" w:rsidP="00185B91">
      <w:pPr>
        <w:pStyle w:val="Heading2withoutnumbering"/>
        <w:rPr>
          <w:sz w:val="20"/>
          <w:szCs w:val="20"/>
        </w:rPr>
      </w:pPr>
    </w:p>
    <w:p w14:paraId="5DED2794" w14:textId="77777777" w:rsidR="006C5FB0" w:rsidRDefault="006C5FB0" w:rsidP="00185B91">
      <w:pPr>
        <w:pStyle w:val="Heading2withoutnumbering"/>
        <w:rPr>
          <w:sz w:val="20"/>
          <w:szCs w:val="20"/>
        </w:rPr>
      </w:pPr>
    </w:p>
    <w:p w14:paraId="09E6DB4C" w14:textId="77777777" w:rsidR="006C5FB0" w:rsidRDefault="006C5FB0" w:rsidP="00185B91">
      <w:pPr>
        <w:pStyle w:val="Heading2withoutnumbering"/>
        <w:rPr>
          <w:sz w:val="20"/>
          <w:szCs w:val="20"/>
        </w:rPr>
      </w:pPr>
    </w:p>
    <w:p w14:paraId="52663909" w14:textId="77777777" w:rsidR="006C5FB0" w:rsidRDefault="006C5FB0" w:rsidP="00185B91">
      <w:pPr>
        <w:pStyle w:val="Heading2withoutnumbering"/>
        <w:rPr>
          <w:sz w:val="20"/>
          <w:szCs w:val="20"/>
        </w:rPr>
      </w:pPr>
    </w:p>
    <w:p w14:paraId="306A6207" w14:textId="77777777" w:rsidR="006C5FB0" w:rsidRDefault="006C5FB0" w:rsidP="00185B91">
      <w:pPr>
        <w:pStyle w:val="Heading2withoutnumbering"/>
        <w:rPr>
          <w:sz w:val="20"/>
          <w:szCs w:val="20"/>
        </w:rPr>
      </w:pPr>
    </w:p>
    <w:p w14:paraId="0615CD47" w14:textId="77777777" w:rsidR="006C5FB0" w:rsidRDefault="006C5FB0" w:rsidP="00185B91">
      <w:pPr>
        <w:pStyle w:val="Heading2withoutnumbering"/>
        <w:rPr>
          <w:sz w:val="20"/>
          <w:szCs w:val="20"/>
        </w:rPr>
      </w:pPr>
    </w:p>
    <w:p w14:paraId="23D4D089" w14:textId="77777777" w:rsidR="006C5FB0" w:rsidRDefault="006C5FB0" w:rsidP="00185B91">
      <w:pPr>
        <w:pStyle w:val="Heading2withoutnumbering"/>
        <w:rPr>
          <w:sz w:val="20"/>
          <w:szCs w:val="20"/>
        </w:rPr>
      </w:pPr>
    </w:p>
    <w:p w14:paraId="0201DEB5" w14:textId="2394F056" w:rsidR="00561085" w:rsidRPr="00D53ED4" w:rsidRDefault="00561085" w:rsidP="00D53ED4">
      <w:pPr>
        <w:jc w:val="center"/>
        <w:rPr>
          <w:color w:val="227ACB"/>
          <w:sz w:val="24"/>
        </w:rPr>
      </w:pPr>
      <w:r w:rsidRPr="00D53ED4">
        <w:rPr>
          <w:b/>
          <w:bCs/>
          <w:color w:val="227ACB"/>
          <w:sz w:val="24"/>
        </w:rPr>
        <w:lastRenderedPageBreak/>
        <w:t>Transition Care Program: Full List of Approved Service Types</w:t>
      </w:r>
    </w:p>
    <w:p w14:paraId="1CC96AB2" w14:textId="5F0B7DB8" w:rsidR="00561085" w:rsidRPr="003A0120" w:rsidRDefault="00561085" w:rsidP="00561085">
      <w:pPr>
        <w:rPr>
          <w:rFonts w:cs="Calibri"/>
          <w:szCs w:val="20"/>
        </w:rPr>
      </w:pPr>
      <w:r w:rsidRPr="003A0120">
        <w:rPr>
          <w:rFonts w:cs="Calibri"/>
          <w:szCs w:val="20"/>
        </w:rPr>
        <w:t xml:space="preserve">The new </w:t>
      </w:r>
      <w:r w:rsidRPr="003A0120">
        <w:rPr>
          <w:rFonts w:cs="Calibri"/>
          <w:i/>
          <w:iCs/>
          <w:szCs w:val="20"/>
          <w:u w:val="single"/>
        </w:rPr>
        <w:t>Aged Care Act 2024</w:t>
      </w:r>
      <w:r w:rsidRPr="003A0120">
        <w:rPr>
          <w:rFonts w:cs="Calibri"/>
          <w:szCs w:val="20"/>
        </w:rPr>
        <w:t xml:space="preserve"> and its subordinate legislation (the </w:t>
      </w:r>
      <w:r w:rsidRPr="003A0120">
        <w:rPr>
          <w:rFonts w:cs="Calibri"/>
          <w:i/>
          <w:iCs/>
          <w:szCs w:val="20"/>
          <w:u w:val="single"/>
        </w:rPr>
        <w:t>Aged Care Rules</w:t>
      </w:r>
      <w:r w:rsidR="00703875" w:rsidRPr="003A0120">
        <w:rPr>
          <w:rFonts w:cs="Calibri"/>
          <w:i/>
          <w:iCs/>
          <w:szCs w:val="20"/>
          <w:u w:val="single"/>
        </w:rPr>
        <w:t xml:space="preserve"> 2005</w:t>
      </w:r>
      <w:r w:rsidRPr="003A0120">
        <w:rPr>
          <w:rFonts w:cs="Calibri"/>
          <w:szCs w:val="20"/>
        </w:rPr>
        <w:t xml:space="preserve">) include a consolidated list of </w:t>
      </w:r>
      <w:r w:rsidRPr="003A0120">
        <w:rPr>
          <w:rFonts w:cs="Calibri"/>
          <w:b/>
          <w:bCs/>
          <w:szCs w:val="20"/>
        </w:rPr>
        <w:t>approved service types</w:t>
      </w:r>
      <w:r w:rsidRPr="003A0120">
        <w:rPr>
          <w:rFonts w:cs="Calibri"/>
          <w:szCs w:val="20"/>
        </w:rPr>
        <w:t xml:space="preserve">, including specific approved care and service items, able to be delivered under all funded Commonwealth Aged Care Programs. The full list of service types approved for delivery under the Transition Care Program (TCP) are listed below. Detailed information on the service items and supports that sit under each service type can be viewed in the Rules. </w:t>
      </w:r>
    </w:p>
    <w:p w14:paraId="760EF732" w14:textId="77777777" w:rsidR="00561085" w:rsidRPr="003A0120" w:rsidRDefault="00561085" w:rsidP="00561085">
      <w:pPr>
        <w:rPr>
          <w:rFonts w:cs="Calibri"/>
          <w:b/>
          <w:bCs/>
          <w:szCs w:val="20"/>
          <w:u w:val="single"/>
        </w:rPr>
      </w:pPr>
      <w:r w:rsidRPr="003A0120">
        <w:rPr>
          <w:rFonts w:cs="Calibri"/>
          <w:b/>
          <w:bCs/>
          <w:szCs w:val="20"/>
        </w:rPr>
        <w:t>The specific type and level of approved TCP services and supports a TCP client is to receive will be determined by what is required to meet the client’s individual assessed goals and needs.</w:t>
      </w:r>
      <w:r w:rsidRPr="003A0120">
        <w:rPr>
          <w:rFonts w:cs="Calibri"/>
          <w:b/>
          <w:bCs/>
          <w:szCs w:val="20"/>
          <w:u w:val="single"/>
        </w:rPr>
        <w:t xml:space="preserve"> </w:t>
      </w:r>
    </w:p>
    <w:p w14:paraId="3288116D" w14:textId="716AC00B" w:rsidR="00391F80" w:rsidRPr="003A0120" w:rsidRDefault="00561085" w:rsidP="00561085">
      <w:pPr>
        <w:pStyle w:val="TableParagraph"/>
        <w:tabs>
          <w:tab w:val="left" w:pos="1497"/>
        </w:tabs>
        <w:rPr>
          <w:rFonts w:cs="Calibri"/>
          <w:kern w:val="2"/>
          <w:sz w:val="20"/>
          <w:szCs w:val="20"/>
          <w:lang w:eastAsia="en-US"/>
          <w14:ligatures w14:val="standardContextual"/>
        </w:rPr>
      </w:pPr>
      <w:r w:rsidRPr="003A0120">
        <w:rPr>
          <w:rFonts w:cs="Calibri"/>
          <w:kern w:val="2"/>
          <w:sz w:val="20"/>
          <w:szCs w:val="20"/>
          <w:lang w:eastAsia="en-US"/>
          <w14:ligatures w14:val="standardContextual"/>
        </w:rPr>
        <w:t xml:space="preserve">The exact package of approved services and supports to be received throughout a client’s TCP episode will be outlined in the client’s detailed Care and Services Plan.  </w:t>
      </w:r>
    </w:p>
    <w:tbl>
      <w:tblPr>
        <w:tblStyle w:val="TableGrid"/>
        <w:tblW w:w="10627" w:type="dxa"/>
        <w:tblLook w:val="04A0" w:firstRow="1" w:lastRow="0" w:firstColumn="1" w:lastColumn="0" w:noHBand="0" w:noVBand="1"/>
      </w:tblPr>
      <w:tblGrid>
        <w:gridCol w:w="2547"/>
        <w:gridCol w:w="8080"/>
      </w:tblGrid>
      <w:tr w:rsidR="00561085" w:rsidRPr="00FE0BC9" w14:paraId="6168255D" w14:textId="77777777" w:rsidTr="00185B9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0070C0"/>
          </w:tcPr>
          <w:p w14:paraId="360A8B75" w14:textId="77777777" w:rsidR="00561085" w:rsidRPr="003A0120" w:rsidRDefault="00561085" w:rsidP="00BD3D05">
            <w:pPr>
              <w:pStyle w:val="TableParagraph"/>
              <w:jc w:val="center"/>
              <w:rPr>
                <w:rFonts w:eastAsia="Arial" w:cs="Calibri"/>
                <w:b w:val="0"/>
                <w:bCs/>
                <w:sz w:val="20"/>
                <w:szCs w:val="20"/>
              </w:rPr>
            </w:pPr>
            <w:r w:rsidRPr="003A0120">
              <w:rPr>
                <w:rFonts w:eastAsia="Arial" w:cs="Calibri"/>
                <w:bCs/>
                <w:sz w:val="20"/>
                <w:szCs w:val="20"/>
              </w:rPr>
              <w:t xml:space="preserve">TCP Delivery Setting </w:t>
            </w:r>
          </w:p>
        </w:tc>
        <w:tc>
          <w:tcPr>
            <w:tcW w:w="8080" w:type="dxa"/>
            <w:shd w:val="clear" w:color="auto" w:fill="0070C0"/>
          </w:tcPr>
          <w:p w14:paraId="4D94D2CF" w14:textId="77777777" w:rsidR="00561085" w:rsidRPr="003A0120" w:rsidRDefault="00561085" w:rsidP="00BD3D05">
            <w:pPr>
              <w:pStyle w:val="TableParagraph"/>
              <w:tabs>
                <w:tab w:val="left" w:pos="1497"/>
              </w:tabs>
              <w:jc w:val="center"/>
              <w:rPr>
                <w:rFonts w:eastAsia="Arial" w:cs="Calibri"/>
                <w:b w:val="0"/>
                <w:bCs/>
                <w:sz w:val="20"/>
                <w:szCs w:val="20"/>
              </w:rPr>
            </w:pPr>
            <w:r w:rsidRPr="003A0120">
              <w:rPr>
                <w:rFonts w:eastAsia="Arial" w:cs="Calibri"/>
                <w:bCs/>
                <w:sz w:val="20"/>
                <w:szCs w:val="20"/>
              </w:rPr>
              <w:t>TCP Service Types</w:t>
            </w:r>
          </w:p>
        </w:tc>
      </w:tr>
      <w:tr w:rsidR="00561085" w:rsidRPr="00FE0BC9" w14:paraId="559EBC2C" w14:textId="77777777" w:rsidTr="00BD3D05">
        <w:tc>
          <w:tcPr>
            <w:tcW w:w="2547" w:type="dxa"/>
          </w:tcPr>
          <w:p w14:paraId="6BE4E315" w14:textId="645812EF"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 xml:space="preserve">For </w:t>
            </w:r>
            <w:r w:rsidRPr="003A0120">
              <w:rPr>
                <w:rFonts w:eastAsia="Arial" w:cs="Calibri"/>
                <w:b/>
                <w:bCs/>
                <w:sz w:val="20"/>
                <w:szCs w:val="20"/>
                <w:u w:val="single"/>
              </w:rPr>
              <w:t>All</w:t>
            </w:r>
            <w:r w:rsidRPr="003A0120">
              <w:rPr>
                <w:rFonts w:eastAsia="Arial" w:cs="Calibri"/>
                <w:b/>
                <w:bCs/>
                <w:sz w:val="20"/>
                <w:szCs w:val="20"/>
              </w:rPr>
              <w:t xml:space="preserve"> TCP Clients regardless of setting</w:t>
            </w:r>
          </w:p>
        </w:tc>
        <w:tc>
          <w:tcPr>
            <w:tcW w:w="8080" w:type="dxa"/>
          </w:tcPr>
          <w:p w14:paraId="46E87EDC" w14:textId="77777777" w:rsidR="00561085" w:rsidRPr="003A0120" w:rsidRDefault="00561085" w:rsidP="00624415">
            <w:pPr>
              <w:pStyle w:val="TLPTableBullet"/>
              <w:rPr>
                <w:rFonts w:eastAsia="Arial"/>
                <w:sz w:val="20"/>
              </w:rPr>
            </w:pPr>
            <w:r w:rsidRPr="003A0120">
              <w:rPr>
                <w:rFonts w:eastAsia="Arial"/>
                <w:sz w:val="20"/>
              </w:rPr>
              <w:t>Assistance with transition care</w:t>
            </w:r>
          </w:p>
          <w:p w14:paraId="60579CDB" w14:textId="77777777" w:rsidR="00561085" w:rsidRPr="003A0120" w:rsidRDefault="00561085" w:rsidP="00624415">
            <w:pPr>
              <w:pStyle w:val="TLPNotebullet"/>
              <w:rPr>
                <w:rFonts w:eastAsia="Arial"/>
                <w:sz w:val="20"/>
              </w:rPr>
            </w:pPr>
            <w:r w:rsidRPr="003A0120">
              <w:rPr>
                <w:rFonts w:eastAsia="Arial"/>
                <w:sz w:val="20"/>
              </w:rPr>
              <w:t>Item 1 – Transition care management</w:t>
            </w:r>
          </w:p>
          <w:p w14:paraId="79D6CC8B" w14:textId="5480981A" w:rsidR="00561085" w:rsidRPr="003A0120" w:rsidRDefault="00561085" w:rsidP="00624415">
            <w:pPr>
              <w:pStyle w:val="TLPNotebullet"/>
              <w:rPr>
                <w:rFonts w:eastAsia="Arial"/>
                <w:sz w:val="20"/>
              </w:rPr>
            </w:pPr>
            <w:r w:rsidRPr="003A0120">
              <w:rPr>
                <w:rFonts w:eastAsia="Arial"/>
                <w:sz w:val="20"/>
              </w:rPr>
              <w:t xml:space="preserve">Item 2 – Assistance to access medical practitioner </w:t>
            </w:r>
          </w:p>
          <w:p w14:paraId="4071D832" w14:textId="2494A49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1-2 must be provided to all TCP clients regardless of their care setting</w:t>
            </w:r>
            <w:r w:rsidR="00C67371" w:rsidRPr="003A0120">
              <w:rPr>
                <w:rFonts w:eastAsia="Arial" w:cs="Calibri"/>
                <w:sz w:val="20"/>
                <w:szCs w:val="20"/>
              </w:rPr>
              <w:t>.</w:t>
            </w:r>
          </w:p>
          <w:p w14:paraId="6A7FDEFD" w14:textId="38F37964" w:rsidR="00561085" w:rsidRPr="003A0120" w:rsidRDefault="00561085" w:rsidP="0050112F">
            <w:pPr>
              <w:pStyle w:val="TableParagraph"/>
              <w:numPr>
                <w:ilvl w:val="0"/>
                <w:numId w:val="65"/>
              </w:numPr>
              <w:tabs>
                <w:tab w:val="left" w:pos="1497"/>
              </w:tabs>
              <w:rPr>
                <w:rFonts w:eastAsia="Arial" w:cs="Calibri"/>
                <w:sz w:val="20"/>
                <w:szCs w:val="20"/>
              </w:rPr>
            </w:pPr>
            <w:r w:rsidRPr="003A0120">
              <w:rPr>
                <w:rFonts w:eastAsia="Arial" w:cs="Calibri"/>
                <w:sz w:val="20"/>
                <w:szCs w:val="20"/>
              </w:rPr>
              <w:t>Item 1 must be delivered to all TCP clients</w:t>
            </w:r>
            <w:r w:rsidR="00C67371" w:rsidRPr="003A0120">
              <w:rPr>
                <w:rFonts w:eastAsia="Arial" w:cs="Calibri"/>
                <w:sz w:val="20"/>
                <w:szCs w:val="20"/>
              </w:rPr>
              <w:t>.</w:t>
            </w:r>
          </w:p>
          <w:p w14:paraId="2D8154CB" w14:textId="6C8E65A0" w:rsidR="00561085" w:rsidRPr="003A0120" w:rsidRDefault="00561085" w:rsidP="0050112F">
            <w:pPr>
              <w:pStyle w:val="TableParagraph"/>
              <w:numPr>
                <w:ilvl w:val="0"/>
                <w:numId w:val="65"/>
              </w:numPr>
              <w:tabs>
                <w:tab w:val="left" w:pos="1497"/>
              </w:tabs>
              <w:rPr>
                <w:rFonts w:eastAsia="Arial" w:cs="Calibri"/>
                <w:sz w:val="20"/>
                <w:szCs w:val="20"/>
              </w:rPr>
            </w:pPr>
            <w:r w:rsidRPr="003A0120">
              <w:rPr>
                <w:rFonts w:eastAsia="Arial" w:cs="Calibri"/>
                <w:sz w:val="20"/>
                <w:szCs w:val="20"/>
              </w:rPr>
              <w:t>Item 2 must be delivered to TCP clients on an as-needs basis</w:t>
            </w:r>
            <w:r w:rsidR="00C67371" w:rsidRPr="003A0120">
              <w:rPr>
                <w:rFonts w:eastAsia="Arial" w:cs="Calibri"/>
                <w:sz w:val="20"/>
                <w:szCs w:val="20"/>
              </w:rPr>
              <w:t>.</w:t>
            </w:r>
          </w:p>
        </w:tc>
      </w:tr>
      <w:tr w:rsidR="00561085" w:rsidRPr="00FE0BC9" w14:paraId="2597B205" w14:textId="77777777" w:rsidTr="00BD3D05">
        <w:tc>
          <w:tcPr>
            <w:tcW w:w="2547" w:type="dxa"/>
          </w:tcPr>
          <w:p w14:paraId="04028739" w14:textId="156DF17B" w:rsidR="00561085" w:rsidRPr="003A0120" w:rsidRDefault="00561085" w:rsidP="0035039C">
            <w:pPr>
              <w:pStyle w:val="TableParagraph"/>
              <w:tabs>
                <w:tab w:val="left" w:pos="1497"/>
              </w:tabs>
              <w:rPr>
                <w:rFonts w:eastAsia="Arial" w:cs="Calibri"/>
                <w:b/>
                <w:bCs/>
                <w:sz w:val="20"/>
                <w:szCs w:val="20"/>
              </w:rPr>
            </w:pPr>
            <w:r w:rsidRPr="003A0120">
              <w:rPr>
                <w:rFonts w:eastAsia="Arial" w:cs="Calibri"/>
                <w:b/>
                <w:bCs/>
                <w:sz w:val="20"/>
                <w:szCs w:val="20"/>
              </w:rPr>
              <w:t>For TCP Delivered in a Home/Community Setting</w:t>
            </w:r>
          </w:p>
        </w:tc>
        <w:tc>
          <w:tcPr>
            <w:tcW w:w="8080" w:type="dxa"/>
          </w:tcPr>
          <w:p w14:paraId="555BA51C" w14:textId="7A94BD82" w:rsidR="00561085" w:rsidRPr="003A0120" w:rsidRDefault="00561085" w:rsidP="0035039C">
            <w:pPr>
              <w:pStyle w:val="TLPTableBullet"/>
              <w:rPr>
                <w:rFonts w:eastAsia="Arial"/>
                <w:sz w:val="20"/>
              </w:rPr>
            </w:pPr>
            <w:r w:rsidRPr="003A0120">
              <w:rPr>
                <w:rFonts w:eastAsia="Arial"/>
                <w:sz w:val="20"/>
              </w:rPr>
              <w:t>Allied Health and Therapy</w:t>
            </w:r>
          </w:p>
          <w:p w14:paraId="3F8A3C3F" w14:textId="668B9F5F" w:rsidR="00561085" w:rsidRPr="003A0120" w:rsidRDefault="00561085" w:rsidP="00497EDC">
            <w:pPr>
              <w:pStyle w:val="TableParagraph"/>
              <w:rPr>
                <w:sz w:val="20"/>
                <w:szCs w:val="20"/>
              </w:rPr>
            </w:pPr>
            <w:r w:rsidRPr="003A0120">
              <w:rPr>
                <w:sz w:val="20"/>
                <w:szCs w:val="20"/>
              </w:rPr>
              <w:t>This Item must be delivered to TCP clients in a home or community care setting.</w:t>
            </w:r>
          </w:p>
          <w:p w14:paraId="772F6DF2" w14:textId="75D42490" w:rsidR="00561085" w:rsidRPr="003A0120" w:rsidRDefault="00561085" w:rsidP="0035039C">
            <w:pPr>
              <w:pStyle w:val="TLPTableBullet"/>
              <w:rPr>
                <w:rFonts w:eastAsia="Arial"/>
                <w:sz w:val="20"/>
              </w:rPr>
            </w:pPr>
            <w:r w:rsidRPr="003A0120">
              <w:rPr>
                <w:rFonts w:eastAsia="Arial"/>
                <w:sz w:val="20"/>
              </w:rPr>
              <w:t>Assistance with transition care</w:t>
            </w:r>
          </w:p>
          <w:p w14:paraId="7199D9D1" w14:textId="77777777" w:rsidR="00561085" w:rsidRPr="003A0120" w:rsidRDefault="00561085" w:rsidP="00BD3D05">
            <w:pPr>
              <w:pStyle w:val="TableParagraph"/>
              <w:tabs>
                <w:tab w:val="left" w:pos="1497"/>
              </w:tabs>
              <w:rPr>
                <w:rFonts w:eastAsia="Arial" w:cs="Calibri"/>
                <w:sz w:val="20"/>
                <w:szCs w:val="20"/>
              </w:rPr>
            </w:pPr>
            <w:r w:rsidRPr="003A0120">
              <w:rPr>
                <w:rFonts w:eastAsia="Arial" w:cs="Calibri"/>
                <w:sz w:val="20"/>
                <w:szCs w:val="20"/>
              </w:rPr>
              <w:t>Items 3-6 under this service type must be provided to all TCP clients receiving care in a home or community setting who need them:</w:t>
            </w:r>
          </w:p>
          <w:p w14:paraId="36461F56" w14:textId="77777777" w:rsidR="00561085" w:rsidRPr="003A0120" w:rsidRDefault="00561085" w:rsidP="0035039C">
            <w:pPr>
              <w:pStyle w:val="TLPNotebullet"/>
              <w:rPr>
                <w:rFonts w:eastAsia="Arial"/>
                <w:sz w:val="20"/>
              </w:rPr>
            </w:pPr>
            <w:r w:rsidRPr="003A0120">
              <w:rPr>
                <w:rFonts w:eastAsia="Arial"/>
                <w:sz w:val="20"/>
              </w:rPr>
              <w:t xml:space="preserve">Item 3 – Transition care medication management </w:t>
            </w:r>
          </w:p>
          <w:p w14:paraId="3B2CFC30" w14:textId="77777777" w:rsidR="00561085" w:rsidRPr="003A0120" w:rsidRDefault="00561085" w:rsidP="0035039C">
            <w:pPr>
              <w:pStyle w:val="TLPNotebullet"/>
              <w:rPr>
                <w:rFonts w:eastAsia="Arial"/>
                <w:sz w:val="20"/>
              </w:rPr>
            </w:pPr>
            <w:r w:rsidRPr="003A0120">
              <w:rPr>
                <w:rFonts w:eastAsia="Arial"/>
                <w:sz w:val="20"/>
              </w:rPr>
              <w:t xml:space="preserve">Item 4 – Transition care emergency or after-hours assistance </w:t>
            </w:r>
          </w:p>
          <w:p w14:paraId="47D37E07" w14:textId="77777777" w:rsidR="00561085" w:rsidRPr="003A0120" w:rsidRDefault="00561085" w:rsidP="0035039C">
            <w:pPr>
              <w:pStyle w:val="TLPNotebullet"/>
              <w:rPr>
                <w:rFonts w:eastAsia="Arial"/>
                <w:sz w:val="20"/>
              </w:rPr>
            </w:pPr>
            <w:r w:rsidRPr="003A0120">
              <w:rPr>
                <w:rFonts w:eastAsia="Arial"/>
                <w:sz w:val="20"/>
              </w:rPr>
              <w:t xml:space="preserve">Item 5 – Transition care continence management </w:t>
            </w:r>
          </w:p>
          <w:p w14:paraId="07ED5978" w14:textId="593844E4" w:rsidR="00561085" w:rsidRPr="003A0120" w:rsidRDefault="00561085" w:rsidP="0035039C">
            <w:pPr>
              <w:pStyle w:val="TLPNotebullet"/>
              <w:rPr>
                <w:rFonts w:eastAsia="Arial"/>
                <w:sz w:val="20"/>
              </w:rPr>
            </w:pPr>
            <w:r w:rsidRPr="003A0120">
              <w:rPr>
                <w:rFonts w:eastAsia="Arial"/>
                <w:sz w:val="20"/>
              </w:rPr>
              <w:t xml:space="preserve">Item 6 – Waste disposal </w:t>
            </w:r>
          </w:p>
          <w:p w14:paraId="378E13A8" w14:textId="77777777" w:rsidR="00561085" w:rsidRPr="003A0120" w:rsidRDefault="00561085" w:rsidP="00185B91">
            <w:pPr>
              <w:pStyle w:val="TableParagraph"/>
              <w:rPr>
                <w:sz w:val="20"/>
                <w:szCs w:val="20"/>
              </w:rPr>
            </w:pPr>
            <w:r w:rsidRPr="003A0120">
              <w:rPr>
                <w:sz w:val="20"/>
                <w:szCs w:val="20"/>
              </w:rPr>
              <w:t>The following Service Types must be provided to TCP clients in a home or community setting if required to address their specified goals and needs:</w:t>
            </w:r>
          </w:p>
          <w:p w14:paraId="6094DD4F" w14:textId="77777777" w:rsidR="00561085" w:rsidRPr="003A0120" w:rsidRDefault="00561085" w:rsidP="0035039C">
            <w:pPr>
              <w:pStyle w:val="TLPTableBullet"/>
              <w:rPr>
                <w:rFonts w:eastAsia="Arial"/>
                <w:sz w:val="20"/>
              </w:rPr>
            </w:pPr>
            <w:r w:rsidRPr="003A0120">
              <w:rPr>
                <w:rFonts w:eastAsia="Arial"/>
                <w:sz w:val="20"/>
              </w:rPr>
              <w:t>Domestic Assistance</w:t>
            </w:r>
          </w:p>
          <w:p w14:paraId="49FB1244" w14:textId="77777777" w:rsidR="00561085" w:rsidRPr="003A0120" w:rsidRDefault="00561085" w:rsidP="0035039C">
            <w:pPr>
              <w:pStyle w:val="TLPTableBullet"/>
              <w:rPr>
                <w:rFonts w:eastAsia="Arial"/>
                <w:sz w:val="20"/>
              </w:rPr>
            </w:pPr>
            <w:r w:rsidRPr="003A0120">
              <w:rPr>
                <w:rFonts w:eastAsia="Arial"/>
                <w:sz w:val="20"/>
              </w:rPr>
              <w:t>Home Maintenance and Repairs</w:t>
            </w:r>
          </w:p>
          <w:p w14:paraId="3FF88A21" w14:textId="77777777" w:rsidR="00561085" w:rsidRPr="003A0120" w:rsidRDefault="00561085" w:rsidP="0035039C">
            <w:pPr>
              <w:pStyle w:val="TLPTableBullet"/>
              <w:rPr>
                <w:rFonts w:eastAsia="Arial"/>
                <w:sz w:val="20"/>
              </w:rPr>
            </w:pPr>
            <w:r w:rsidRPr="003A0120">
              <w:rPr>
                <w:rFonts w:eastAsia="Arial"/>
                <w:sz w:val="20"/>
              </w:rPr>
              <w:t>Meals</w:t>
            </w:r>
          </w:p>
          <w:p w14:paraId="3CD7DC25" w14:textId="77777777" w:rsidR="00561085" w:rsidRPr="003A0120" w:rsidRDefault="00561085" w:rsidP="0035039C">
            <w:pPr>
              <w:pStyle w:val="TLPTableBullet"/>
              <w:rPr>
                <w:rFonts w:eastAsia="Arial"/>
                <w:sz w:val="20"/>
              </w:rPr>
            </w:pPr>
            <w:r w:rsidRPr="003A0120">
              <w:rPr>
                <w:rFonts w:eastAsia="Arial"/>
                <w:sz w:val="20"/>
              </w:rPr>
              <w:t>Nursing Care</w:t>
            </w:r>
          </w:p>
          <w:p w14:paraId="40254E35" w14:textId="77777777" w:rsidR="00561085" w:rsidRPr="003A0120" w:rsidRDefault="00561085" w:rsidP="0035039C">
            <w:pPr>
              <w:pStyle w:val="TLPTableBullet"/>
              <w:rPr>
                <w:rFonts w:eastAsia="Arial"/>
                <w:sz w:val="20"/>
              </w:rPr>
            </w:pPr>
            <w:r w:rsidRPr="003A0120">
              <w:rPr>
                <w:rFonts w:eastAsia="Arial"/>
                <w:sz w:val="20"/>
              </w:rPr>
              <w:t>Nutrition</w:t>
            </w:r>
          </w:p>
          <w:p w14:paraId="72362E21" w14:textId="77777777" w:rsidR="00561085" w:rsidRPr="003A0120" w:rsidRDefault="00561085" w:rsidP="0035039C">
            <w:pPr>
              <w:pStyle w:val="TLPTableBullet"/>
              <w:rPr>
                <w:rFonts w:eastAsia="Arial"/>
                <w:sz w:val="20"/>
              </w:rPr>
            </w:pPr>
            <w:r w:rsidRPr="003A0120">
              <w:rPr>
                <w:rFonts w:eastAsia="Arial"/>
                <w:sz w:val="20"/>
              </w:rPr>
              <w:t>Personal care</w:t>
            </w:r>
          </w:p>
          <w:p w14:paraId="239490E4" w14:textId="77777777" w:rsidR="00561085" w:rsidRPr="003A0120" w:rsidRDefault="00561085" w:rsidP="00185B91">
            <w:pPr>
              <w:pStyle w:val="TLPTableBullet"/>
              <w:rPr>
                <w:rFonts w:eastAsia="Arial"/>
                <w:sz w:val="20"/>
              </w:rPr>
            </w:pPr>
            <w:r w:rsidRPr="003A0120">
              <w:rPr>
                <w:rFonts w:eastAsia="Arial"/>
                <w:sz w:val="20"/>
              </w:rPr>
              <w:t>Equipment and products</w:t>
            </w:r>
          </w:p>
          <w:p w14:paraId="158739B2" w14:textId="77777777" w:rsidR="00561085" w:rsidRPr="003A0120" w:rsidRDefault="00561085" w:rsidP="0035039C">
            <w:pPr>
              <w:pStyle w:val="TLPNotebullet"/>
              <w:rPr>
                <w:rFonts w:eastAsia="Arial"/>
                <w:sz w:val="20"/>
              </w:rPr>
            </w:pPr>
            <w:r w:rsidRPr="003A0120">
              <w:rPr>
                <w:rFonts w:eastAsia="Arial"/>
                <w:sz w:val="20"/>
              </w:rPr>
              <w:t xml:space="preserve">Mobility items </w:t>
            </w:r>
          </w:p>
          <w:p w14:paraId="16285D80" w14:textId="51B317D6" w:rsidR="00561085" w:rsidRPr="003A0120" w:rsidRDefault="00561085" w:rsidP="0035039C">
            <w:pPr>
              <w:pStyle w:val="TLPNotebullet"/>
              <w:rPr>
                <w:rFonts w:eastAsia="Arial"/>
                <w:sz w:val="20"/>
              </w:rPr>
            </w:pPr>
            <w:r w:rsidRPr="003A0120">
              <w:rPr>
                <w:rFonts w:eastAsia="Arial"/>
                <w:sz w:val="20"/>
              </w:rPr>
              <w:t xml:space="preserve">Assistive technology prescription and clinical support </w:t>
            </w:r>
          </w:p>
        </w:tc>
      </w:tr>
      <w:tr w:rsidR="00561085" w:rsidRPr="00FE0BC9" w14:paraId="33B69CA6" w14:textId="77777777" w:rsidTr="00BD3D05">
        <w:tc>
          <w:tcPr>
            <w:tcW w:w="2547" w:type="dxa"/>
          </w:tcPr>
          <w:p w14:paraId="47953E56" w14:textId="77777777" w:rsidR="00561085" w:rsidRPr="003A0120" w:rsidRDefault="00561085" w:rsidP="00BD3D05">
            <w:pPr>
              <w:pStyle w:val="TableParagraph"/>
              <w:tabs>
                <w:tab w:val="left" w:pos="1497"/>
              </w:tabs>
              <w:rPr>
                <w:rFonts w:eastAsia="Arial" w:cs="Calibri"/>
                <w:b/>
                <w:bCs/>
                <w:sz w:val="20"/>
                <w:szCs w:val="20"/>
              </w:rPr>
            </w:pPr>
            <w:r w:rsidRPr="003A0120">
              <w:rPr>
                <w:rFonts w:eastAsia="Arial" w:cs="Calibri"/>
                <w:b/>
                <w:bCs/>
                <w:sz w:val="20"/>
                <w:szCs w:val="20"/>
              </w:rPr>
              <w:t>For TCP Delivered in a Residential Aged Care Setting</w:t>
            </w:r>
          </w:p>
        </w:tc>
        <w:tc>
          <w:tcPr>
            <w:tcW w:w="8080" w:type="dxa"/>
          </w:tcPr>
          <w:p w14:paraId="43853EE3" w14:textId="77777777" w:rsidR="00561085" w:rsidRPr="003A0120" w:rsidRDefault="00561085" w:rsidP="00BD3D05">
            <w:pPr>
              <w:rPr>
                <w:rFonts w:cs="Calibri"/>
                <w:szCs w:val="20"/>
              </w:rPr>
            </w:pPr>
            <w:r w:rsidRPr="003A0120">
              <w:rPr>
                <w:rFonts w:cs="Calibri"/>
                <w:szCs w:val="20"/>
              </w:rPr>
              <w:t>The following Service Types must be provided to all TCP clients receiving care in a residential aged care setting who need them:</w:t>
            </w:r>
          </w:p>
          <w:p w14:paraId="69CA558A" w14:textId="77777777" w:rsidR="00561085" w:rsidRPr="003A0120" w:rsidRDefault="00561085" w:rsidP="00FA34AC">
            <w:pPr>
              <w:pStyle w:val="TLPTableBullet"/>
              <w:rPr>
                <w:rFonts w:eastAsia="Arial"/>
                <w:sz w:val="20"/>
              </w:rPr>
            </w:pPr>
            <w:r w:rsidRPr="003A0120">
              <w:rPr>
                <w:rFonts w:eastAsia="Arial"/>
                <w:sz w:val="20"/>
              </w:rPr>
              <w:t>Residential accommodation</w:t>
            </w:r>
          </w:p>
          <w:p w14:paraId="12408F7D" w14:textId="77777777" w:rsidR="00561085" w:rsidRPr="003A0120" w:rsidRDefault="00561085" w:rsidP="00FA34AC">
            <w:pPr>
              <w:pStyle w:val="TLPTableBullet"/>
              <w:rPr>
                <w:rFonts w:eastAsia="Arial"/>
                <w:sz w:val="20"/>
              </w:rPr>
            </w:pPr>
            <w:r w:rsidRPr="003A0120">
              <w:rPr>
                <w:rFonts w:eastAsia="Arial"/>
                <w:sz w:val="20"/>
              </w:rPr>
              <w:t>Residential everyday living</w:t>
            </w:r>
          </w:p>
          <w:p w14:paraId="51CD67A8" w14:textId="77777777" w:rsidR="00561085" w:rsidRPr="003A0120" w:rsidRDefault="00561085" w:rsidP="00FA34AC">
            <w:pPr>
              <w:pStyle w:val="TLPTableBullet"/>
              <w:rPr>
                <w:rFonts w:eastAsia="Arial"/>
                <w:sz w:val="20"/>
              </w:rPr>
            </w:pPr>
            <w:r w:rsidRPr="003A0120">
              <w:rPr>
                <w:rFonts w:eastAsia="Arial"/>
                <w:sz w:val="20"/>
              </w:rPr>
              <w:t>Residential non-clinical care</w:t>
            </w:r>
          </w:p>
          <w:p w14:paraId="53E5D8AF" w14:textId="29E820B9" w:rsidR="00561085" w:rsidRPr="003A0120" w:rsidRDefault="00561085" w:rsidP="00FA34AC">
            <w:pPr>
              <w:pStyle w:val="TLPTableBullet"/>
              <w:rPr>
                <w:rFonts w:eastAsia="Arial"/>
                <w:sz w:val="20"/>
              </w:rPr>
            </w:pPr>
            <w:r w:rsidRPr="003A0120">
              <w:rPr>
                <w:rFonts w:eastAsia="Arial"/>
                <w:sz w:val="20"/>
              </w:rPr>
              <w:t>Residential clinical care</w:t>
            </w:r>
          </w:p>
        </w:tc>
      </w:tr>
    </w:tbl>
    <w:p w14:paraId="6634A284" w14:textId="71E85D4A" w:rsidR="00C81A22" w:rsidRPr="003A173C" w:rsidRDefault="00305404" w:rsidP="00C81A22">
      <w:pPr>
        <w:pStyle w:val="Heading1"/>
        <w:numPr>
          <w:ilvl w:val="0"/>
          <w:numId w:val="0"/>
        </w:numPr>
        <w:rPr>
          <w:rStyle w:val="Attachmentheading"/>
          <w:rFonts w:ascii="Calibri" w:hAnsi="Calibri" w:cs="Calibri"/>
        </w:rPr>
      </w:pPr>
      <w:bookmarkStart w:id="2154" w:name="_Toc216865538"/>
      <w:r w:rsidRPr="003A173C">
        <w:rPr>
          <w:rStyle w:val="Attachmentheading"/>
          <w:rFonts w:ascii="Calibri" w:hAnsi="Calibri" w:cs="Calibri"/>
        </w:rPr>
        <w:lastRenderedPageBreak/>
        <w:t xml:space="preserve">ATTACHMENT C – </w:t>
      </w:r>
      <w:r w:rsidR="0033053F" w:rsidRPr="003A173C">
        <w:rPr>
          <w:rStyle w:val="Attachmentheading"/>
          <w:rFonts w:ascii="Calibri" w:hAnsi="Calibri" w:cs="Calibri"/>
        </w:rPr>
        <w:t>RESPONSIBLE PERSONS FOR GOVERNMENT ENTITIES</w:t>
      </w:r>
      <w:bookmarkEnd w:id="2154"/>
    </w:p>
    <w:p w14:paraId="4CB04850" w14:textId="77777777" w:rsidR="009D0CE5" w:rsidRDefault="009D0CE5" w:rsidP="00FA34AC">
      <w:pPr>
        <w:rPr>
          <w:rStyle w:val="Strong"/>
          <w:sz w:val="20"/>
          <w:szCs w:val="20"/>
        </w:rPr>
      </w:pPr>
      <w:r w:rsidRPr="003A0120">
        <w:rPr>
          <w:rStyle w:val="Strong"/>
          <w:sz w:val="20"/>
          <w:szCs w:val="20"/>
        </w:rPr>
        <w:t>Who is a responsible person?</w:t>
      </w:r>
    </w:p>
    <w:p w14:paraId="32E87757" w14:textId="316B52B2" w:rsidR="005F391B" w:rsidRPr="005F391B" w:rsidRDefault="005F391B" w:rsidP="00FA34AC">
      <w:pPr>
        <w:rPr>
          <w:rStyle w:val="Strong"/>
          <w:b w:val="0"/>
          <w:bCs w:val="0"/>
          <w:sz w:val="20"/>
          <w:szCs w:val="20"/>
        </w:rPr>
      </w:pPr>
      <w:hyperlink r:id="rId85" w:anchor="_Toc184211445" w:history="1">
        <w:r w:rsidRPr="000B63B3">
          <w:rPr>
            <w:rStyle w:val="Hyperlink"/>
            <w:rFonts w:ascii="Calibri" w:hAnsi="Calibri"/>
            <w:sz w:val="20"/>
            <w:szCs w:val="20"/>
          </w:rPr>
          <w:t>Section 12</w:t>
        </w:r>
      </w:hyperlink>
      <w:r>
        <w:rPr>
          <w:szCs w:val="20"/>
        </w:rPr>
        <w:t xml:space="preserve"> of the </w:t>
      </w:r>
      <w:r w:rsidRPr="005F391B">
        <w:rPr>
          <w:i/>
          <w:iCs/>
          <w:szCs w:val="20"/>
        </w:rPr>
        <w:t>Aged Care Act 2024</w:t>
      </w:r>
      <w:r w:rsidR="003E20D5">
        <w:rPr>
          <w:szCs w:val="20"/>
        </w:rPr>
        <w:t xml:space="preserve"> </w:t>
      </w:r>
      <w:r>
        <w:rPr>
          <w:szCs w:val="20"/>
        </w:rPr>
        <w:t>defines ‘responsible persons’</w:t>
      </w:r>
      <w:r w:rsidR="00A5640E">
        <w:rPr>
          <w:szCs w:val="20"/>
        </w:rPr>
        <w:t xml:space="preserve"> as</w:t>
      </w:r>
      <w:r w:rsidR="00085832">
        <w:rPr>
          <w:szCs w:val="20"/>
        </w:rPr>
        <w:t xml:space="preserve"> follows</w:t>
      </w:r>
      <w:r w:rsidR="00A5640E">
        <w:rPr>
          <w:szCs w:val="20"/>
        </w:rPr>
        <w:t>:</w:t>
      </w:r>
    </w:p>
    <w:p w14:paraId="39FC2DE3" w14:textId="2C6D9EF4" w:rsidR="009D0CE5" w:rsidRPr="00A5640E" w:rsidRDefault="009D0CE5" w:rsidP="009D0CE5">
      <w:pPr>
        <w:rPr>
          <w:rFonts w:cs="Calibri"/>
          <w:i/>
          <w:iCs/>
          <w:szCs w:val="20"/>
        </w:rPr>
      </w:pPr>
      <w:r w:rsidRPr="00A5640E">
        <w:rPr>
          <w:rFonts w:cs="Calibri"/>
          <w:i/>
          <w:iCs/>
          <w:szCs w:val="20"/>
        </w:rPr>
        <w:t>(1) Each of the following is a responsible person of a registered provider:</w:t>
      </w:r>
    </w:p>
    <w:p w14:paraId="1A7937AE" w14:textId="7769AF0E" w:rsidR="009D0CE5" w:rsidRPr="00A5640E" w:rsidRDefault="009D0CE5" w:rsidP="009D0CE5">
      <w:pPr>
        <w:ind w:left="720"/>
        <w:rPr>
          <w:rFonts w:cs="Calibri"/>
          <w:i/>
          <w:iCs/>
          <w:szCs w:val="20"/>
        </w:rPr>
      </w:pPr>
      <w:r w:rsidRPr="00A5640E">
        <w:rPr>
          <w:rFonts w:cs="Calibri"/>
          <w:i/>
          <w:iCs/>
          <w:szCs w:val="20"/>
        </w:rPr>
        <w:t>(a) if the registered provider is not a government entity—any person who is responsible for the executive decisions of the registered provider;</w:t>
      </w:r>
    </w:p>
    <w:p w14:paraId="3759DC5D" w14:textId="1CD3762F" w:rsidR="009D0CE5" w:rsidRPr="00A5640E" w:rsidRDefault="009D0CE5" w:rsidP="009D0CE5">
      <w:pPr>
        <w:ind w:left="720"/>
        <w:rPr>
          <w:rFonts w:cs="Calibri"/>
          <w:i/>
          <w:iCs/>
          <w:szCs w:val="20"/>
        </w:rPr>
      </w:pPr>
      <w:r w:rsidRPr="00A5640E">
        <w:rPr>
          <w:rFonts w:cs="Calibri"/>
          <w:i/>
          <w:iCs/>
          <w:szCs w:val="20"/>
        </w:rPr>
        <w:t>(b) if the registered provider is not a government entity—any other person who has authority or responsibility for (or significant influence over) planning, directing or controlling the activities of the registered provider;</w:t>
      </w:r>
    </w:p>
    <w:p w14:paraId="0D67A093" w14:textId="2BD4C698" w:rsidR="009D0CE5" w:rsidRPr="00A5640E" w:rsidRDefault="009D0CE5" w:rsidP="009D0CE5">
      <w:pPr>
        <w:ind w:left="720"/>
        <w:rPr>
          <w:rFonts w:cs="Calibri"/>
          <w:i/>
          <w:iCs/>
          <w:szCs w:val="20"/>
        </w:rPr>
      </w:pPr>
      <w:r w:rsidRPr="00A5640E">
        <w:rPr>
          <w:rFonts w:cs="Calibri"/>
          <w:i/>
          <w:iCs/>
          <w:szCs w:val="20"/>
        </w:rPr>
        <w:t>(c) for any registered provider (including a government entity)—if the registered provider delivers, or proposes to deliver, a funded aged care service:</w:t>
      </w:r>
    </w:p>
    <w:p w14:paraId="5B87D123" w14:textId="2DD05189" w:rsidR="009D0CE5" w:rsidRPr="00A5640E" w:rsidRDefault="009D0CE5" w:rsidP="009D0CE5">
      <w:pPr>
        <w:ind w:left="1440"/>
        <w:rPr>
          <w:rFonts w:cs="Calibri"/>
          <w:i/>
          <w:iCs/>
          <w:szCs w:val="20"/>
        </w:rPr>
      </w:pPr>
      <w:r w:rsidRPr="00A5640E">
        <w:rPr>
          <w:rFonts w:cs="Calibri"/>
          <w:i/>
          <w:iCs/>
          <w:szCs w:val="20"/>
        </w:rPr>
        <w:t>(i) any person who has responsibility for overall management of the nursing services delivered by the registered provider, or overall management of the nursing services delivered at an approved residential care home of the registered provider, and who is a registered nurse; and</w:t>
      </w:r>
    </w:p>
    <w:p w14:paraId="046F0C3A" w14:textId="632C1937" w:rsidR="009D0CE5" w:rsidRPr="00A5640E" w:rsidRDefault="009D0CE5" w:rsidP="009D0CE5">
      <w:pPr>
        <w:ind w:left="1440"/>
        <w:rPr>
          <w:rFonts w:cs="Calibri"/>
          <w:i/>
          <w:iCs/>
          <w:szCs w:val="20"/>
        </w:rPr>
      </w:pPr>
      <w:r w:rsidRPr="00A5640E">
        <w:rPr>
          <w:rFonts w:cs="Calibri"/>
          <w:i/>
          <w:iCs/>
          <w:szCs w:val="20"/>
        </w:rPr>
        <w:t>(ii) any person who is responsible for the day</w:t>
      </w:r>
      <w:r w:rsidRPr="00A5640E">
        <w:rPr>
          <w:rFonts w:cs="Calibri"/>
          <w:i/>
          <w:iCs/>
          <w:szCs w:val="20"/>
        </w:rPr>
        <w:noBreakHyphen/>
        <w:t>to</w:t>
      </w:r>
      <w:r w:rsidRPr="00A5640E">
        <w:rPr>
          <w:rFonts w:cs="Calibri"/>
          <w:i/>
          <w:iCs/>
          <w:szCs w:val="20"/>
        </w:rPr>
        <w:noBreakHyphen/>
        <w:t>day operations of an approved residential care home or service delivery branch of the registered provider.</w:t>
      </w:r>
    </w:p>
    <w:p w14:paraId="3334BEC0" w14:textId="76F6551C" w:rsidR="009D0CE5" w:rsidRPr="00A5640E" w:rsidRDefault="009D0CE5" w:rsidP="009D0CE5">
      <w:pPr>
        <w:ind w:left="720"/>
        <w:rPr>
          <w:rFonts w:cs="Calibri"/>
          <w:i/>
          <w:iCs/>
          <w:szCs w:val="20"/>
        </w:rPr>
      </w:pPr>
      <w:r w:rsidRPr="00A5640E">
        <w:rPr>
          <w:rFonts w:cs="Calibri"/>
          <w:i/>
          <w:iCs/>
          <w:szCs w:val="20"/>
        </w:rPr>
        <w:t>(2) Without limiting paragraph (1)(a), a person who is responsible for the executive decisions of a registered provider includes a member of the governing body of the provider.</w:t>
      </w:r>
    </w:p>
    <w:p w14:paraId="21EB7D59" w14:textId="77777777" w:rsidR="00B75877" w:rsidRDefault="00B75877" w:rsidP="009D0CE5">
      <w:pPr>
        <w:rPr>
          <w:rFonts w:cs="Calibri"/>
          <w:szCs w:val="20"/>
        </w:rPr>
      </w:pPr>
    </w:p>
    <w:p w14:paraId="09868FA4" w14:textId="57458AD2" w:rsidR="009D0CE5" w:rsidRPr="003A0120" w:rsidRDefault="002C302B" w:rsidP="009D0CE5">
      <w:pPr>
        <w:rPr>
          <w:rFonts w:cs="Calibri"/>
          <w:szCs w:val="20"/>
        </w:rPr>
      </w:pPr>
      <w:r>
        <w:rPr>
          <w:rFonts w:cs="Calibri"/>
          <w:szCs w:val="20"/>
        </w:rPr>
        <w:t xml:space="preserve">Sub-sections </w:t>
      </w:r>
      <w:r w:rsidR="009D0CE5" w:rsidRPr="003A0120">
        <w:rPr>
          <w:rFonts w:cs="Calibri"/>
          <w:szCs w:val="20"/>
        </w:rPr>
        <w:t>12(c)(i) and 12(c)(ii) are meant to be read separately as a registered provider can have multiple responsible persons. We want to capture both persons who are in charge of nursing and those in charge of day-to-day operations.</w:t>
      </w:r>
    </w:p>
    <w:p w14:paraId="0A41296C" w14:textId="517313C1" w:rsidR="009D0CE5" w:rsidRPr="003A0120" w:rsidRDefault="009D0CE5" w:rsidP="009D0CE5">
      <w:pPr>
        <w:rPr>
          <w:rFonts w:cs="Calibri"/>
          <w:szCs w:val="20"/>
        </w:rPr>
      </w:pPr>
      <w:r w:rsidRPr="003A0120">
        <w:rPr>
          <w:rFonts w:cs="Calibri"/>
          <w:szCs w:val="20"/>
        </w:rPr>
        <w:t xml:space="preserve">The </w:t>
      </w:r>
      <w:r w:rsidRPr="003A0120">
        <w:rPr>
          <w:rFonts w:cs="Calibri"/>
          <w:i/>
          <w:iCs/>
          <w:szCs w:val="20"/>
        </w:rPr>
        <w:t>Aged Care Act 2024</w:t>
      </w:r>
      <w:r w:rsidRPr="003A0120">
        <w:rPr>
          <w:rFonts w:cs="Calibri"/>
          <w:szCs w:val="20"/>
        </w:rPr>
        <w:t xml:space="preserve"> </w:t>
      </w:r>
      <w:hyperlink r:id="rId86" w:history="1">
        <w:r w:rsidRPr="003A0120">
          <w:rPr>
            <w:rStyle w:val="Hyperlink"/>
            <w:rFonts w:ascii="Calibri" w:hAnsi="Calibri" w:cs="Calibri"/>
            <w:sz w:val="20"/>
            <w:szCs w:val="20"/>
          </w:rPr>
          <w:t>explanatory memorandum</w:t>
        </w:r>
      </w:hyperlink>
      <w:r w:rsidRPr="003A0120">
        <w:rPr>
          <w:rFonts w:cs="Calibri"/>
          <w:szCs w:val="20"/>
        </w:rPr>
        <w:t xml:space="preserve"> (lodged before the amendment carving ou</w:t>
      </w:r>
      <w:r w:rsidR="00837AA0" w:rsidRPr="003A0120">
        <w:rPr>
          <w:rFonts w:cs="Calibri"/>
          <w:szCs w:val="20"/>
        </w:rPr>
        <w:t>t</w:t>
      </w:r>
      <w:r w:rsidRPr="003A0120">
        <w:rPr>
          <w:rFonts w:cs="Calibri"/>
          <w:szCs w:val="20"/>
        </w:rPr>
        <w:t xml:space="preserve"> government entities from 12(1)(a) and (b)) goes to the definition of responsible persons on page numbers 66 and 67. There is also a </w:t>
      </w:r>
      <w:hyperlink r:id="rId87" w:anchor="search=%22legislation/ems/r7238_ems_039e71de-7333-4c91-a254-31370f3bca1b%22" w:history="1">
        <w:r w:rsidRPr="003A0120">
          <w:rPr>
            <w:rStyle w:val="Hyperlink"/>
            <w:rFonts w:ascii="Calibri" w:hAnsi="Calibri" w:cs="Calibri"/>
            <w:sz w:val="20"/>
            <w:szCs w:val="20"/>
          </w:rPr>
          <w:t>supplementary explanatory memorandum</w:t>
        </w:r>
      </w:hyperlink>
      <w:r w:rsidR="00193685" w:rsidRPr="003A0120">
        <w:rPr>
          <w:rFonts w:cs="Calibri"/>
          <w:szCs w:val="20"/>
        </w:rPr>
        <w:t xml:space="preserve"> which</w:t>
      </w:r>
      <w:r w:rsidRPr="003A0120">
        <w:rPr>
          <w:rFonts w:cs="Calibri"/>
          <w:szCs w:val="20"/>
        </w:rPr>
        <w:t xml:space="preserve"> on page numbers 6 and 7 goes </w:t>
      </w:r>
      <w:r w:rsidR="00D02E42" w:rsidRPr="003A0120">
        <w:rPr>
          <w:rFonts w:cs="Calibri"/>
          <w:szCs w:val="20"/>
        </w:rPr>
        <w:t>in</w:t>
      </w:r>
      <w:r w:rsidRPr="003A0120">
        <w:rPr>
          <w:rFonts w:cs="Calibri"/>
          <w:szCs w:val="20"/>
        </w:rPr>
        <w:t xml:space="preserve">to the amendment to the Act around government entities. These documents are intended to aid with the interpretation of the Act and provide further context for this guidance on responsible persons. </w:t>
      </w:r>
    </w:p>
    <w:p w14:paraId="22F306B4" w14:textId="77777777" w:rsidR="009D0CE5" w:rsidRPr="003A0120" w:rsidRDefault="009D0CE5" w:rsidP="009D0CE5">
      <w:pPr>
        <w:rPr>
          <w:rFonts w:cs="Calibri"/>
          <w:szCs w:val="20"/>
        </w:rPr>
      </w:pPr>
      <w:r w:rsidRPr="003A0120">
        <w:rPr>
          <w:rFonts w:cs="Calibri"/>
          <w:szCs w:val="20"/>
        </w:rPr>
        <w:t>Amendments (6) and (7) amend the definition of responsible person in clause 12 by inserting into 12(1)(a) and 12(1)(b), “if the registered provider is not a government entity —” before “any”. These amendments address concerns raised by stakeholders that there may be difficulty in applying paragraphs 12(1)(a) and 12(1)(b) to government providers due to their different structures and governance arrangements, and the ability to identify with precision which individuals would meet the definition of responsible person under paragraphs 12(1)(a) and 12(1)(b). These amendments remove any possible ambiguity which may have arisen across provisions in the Bill regarding application of certain provisions to responsible persons of a government provider. Amendment (8) amends paragraph 12(1)(c) and inserts “for any registered provider (including a government entity) —” before “if” to make clear that this paragraph includes government entities.</w:t>
      </w:r>
    </w:p>
    <w:p w14:paraId="6054E069" w14:textId="77777777" w:rsidR="009D0CE5" w:rsidRPr="003A0120" w:rsidRDefault="009D0CE5" w:rsidP="009D0CE5">
      <w:pPr>
        <w:rPr>
          <w:rFonts w:cs="Calibri"/>
          <w:szCs w:val="20"/>
        </w:rPr>
      </w:pPr>
      <w:r w:rsidRPr="003A0120">
        <w:rPr>
          <w:rFonts w:cs="Calibri"/>
          <w:szCs w:val="20"/>
        </w:rPr>
        <w:t xml:space="preserve">Further, amendment (9) amends subparagraph 12(1)(c)(ii) to limit the scope of the definition of responsible person in relation </w:t>
      </w:r>
      <w:r w:rsidR="00E506E3" w:rsidRPr="003A0120">
        <w:rPr>
          <w:rFonts w:cs="Calibri"/>
          <w:szCs w:val="20"/>
        </w:rPr>
        <w:t>to</w:t>
      </w:r>
      <w:r w:rsidRPr="003A0120">
        <w:rPr>
          <w:rFonts w:cs="Calibri"/>
          <w:szCs w:val="20"/>
        </w:rPr>
        <w:t xml:space="preserve"> any persons who are responsible for the day-to-day operations of a registered provider, by inserting “of an approved residential care home or service delivery branch” after “operations”. This clarifies that subparagraph 12(1)(c)(ii) is intended to cover any persons who are responsible for the day-to-day operations of an approved residential care home or service delivery branch, rather than of the registered provider more generally. This also helps to remove ambiguity across a number of provisions and ensures that government entities will still have at least one responsible person.</w:t>
      </w:r>
    </w:p>
    <w:p w14:paraId="242AC0DD" w14:textId="77777777" w:rsidR="009D0CE5" w:rsidRDefault="009D0CE5" w:rsidP="009D0CE5">
      <w:pPr>
        <w:rPr>
          <w:rFonts w:cs="Calibri"/>
          <w:szCs w:val="20"/>
        </w:rPr>
      </w:pPr>
      <w:r w:rsidRPr="003A0120">
        <w:rPr>
          <w:rFonts w:cs="Calibri"/>
          <w:szCs w:val="20"/>
        </w:rPr>
        <w:t xml:space="preserve">People engaged or employed by an </w:t>
      </w:r>
      <w:hyperlink r:id="rId88" w:history="1">
        <w:r w:rsidRPr="003A0120">
          <w:rPr>
            <w:rStyle w:val="Hyperlink"/>
            <w:rFonts w:ascii="Calibri" w:hAnsi="Calibri" w:cs="Calibri"/>
            <w:b/>
            <w:bCs/>
            <w:sz w:val="20"/>
            <w:szCs w:val="20"/>
          </w:rPr>
          <w:t>associated provider</w:t>
        </w:r>
      </w:hyperlink>
      <w:r w:rsidRPr="003A0120">
        <w:rPr>
          <w:rFonts w:cs="Calibri"/>
          <w:szCs w:val="20"/>
        </w:rPr>
        <w:t xml:space="preserve"> may also meet the definition of a responsible person under the Act (for example, directors of nursing or facility managers) and be subject to additional obligations as a result.</w:t>
      </w:r>
    </w:p>
    <w:p w14:paraId="2FA53BBD" w14:textId="77777777" w:rsidR="00B2299E" w:rsidRDefault="009D0CE5" w:rsidP="00FA34AC">
      <w:pPr>
        <w:rPr>
          <w:rStyle w:val="Strong"/>
          <w:sz w:val="20"/>
          <w:szCs w:val="20"/>
        </w:rPr>
      </w:pPr>
      <w:r w:rsidRPr="003A0120">
        <w:rPr>
          <w:rStyle w:val="Strong"/>
          <w:sz w:val="20"/>
          <w:szCs w:val="20"/>
        </w:rPr>
        <w:t xml:space="preserve">What requirements are related to responsible persons? </w:t>
      </w:r>
    </w:p>
    <w:p w14:paraId="17359DB6" w14:textId="5B0C22DC" w:rsidR="009D0CE5" w:rsidRPr="008853B0" w:rsidRDefault="009D0CE5" w:rsidP="00FA34AC">
      <w:pPr>
        <w:rPr>
          <w:rStyle w:val="Strong"/>
          <w:b w:val="0"/>
          <w:bCs w:val="0"/>
          <w:sz w:val="20"/>
          <w:szCs w:val="20"/>
        </w:rPr>
      </w:pPr>
      <w:r w:rsidRPr="008853B0">
        <w:rPr>
          <w:rStyle w:val="Strong"/>
          <w:b w:val="0"/>
          <w:bCs w:val="0"/>
          <w:sz w:val="20"/>
          <w:szCs w:val="20"/>
        </w:rPr>
        <w:t>Some key items are summarised below</w:t>
      </w:r>
      <w:r w:rsidR="00B2299E" w:rsidRPr="008853B0">
        <w:rPr>
          <w:rStyle w:val="Strong"/>
          <w:b w:val="0"/>
          <w:bCs w:val="0"/>
          <w:sz w:val="20"/>
          <w:szCs w:val="20"/>
        </w:rPr>
        <w:t>:</w:t>
      </w:r>
    </w:p>
    <w:p w14:paraId="7EF01EC3" w14:textId="77777777" w:rsidR="009D0CE5" w:rsidRPr="003A0120" w:rsidRDefault="009D0CE5" w:rsidP="003F13B2">
      <w:pPr>
        <w:pStyle w:val="ListBullet"/>
        <w:rPr>
          <w:rFonts w:cs="Calibri"/>
          <w:szCs w:val="20"/>
        </w:rPr>
      </w:pPr>
      <w:r w:rsidRPr="003A0120">
        <w:rPr>
          <w:rFonts w:cs="Calibri"/>
          <w:szCs w:val="20"/>
        </w:rPr>
        <w:t xml:space="preserve">The Commissioner will consider suitability matter (outlined in </w:t>
      </w:r>
      <w:hyperlink r:id="rId89" w:anchor="_Toc184211446" w:history="1">
        <w:r w:rsidRPr="003A0120">
          <w:rPr>
            <w:rStyle w:val="Hyperlink"/>
            <w:rFonts w:ascii="Calibri" w:hAnsi="Calibri" w:cs="Calibri"/>
            <w:sz w:val="20"/>
            <w:szCs w:val="20"/>
          </w:rPr>
          <w:t>section 13</w:t>
        </w:r>
      </w:hyperlink>
      <w:r w:rsidRPr="003A0120">
        <w:rPr>
          <w:rFonts w:cs="Calibri"/>
          <w:szCs w:val="20"/>
        </w:rPr>
        <w:t>)</w:t>
      </w:r>
      <w:r w:rsidRPr="003A0120">
        <w:rPr>
          <w:rFonts w:cs="Calibri"/>
          <w:i/>
          <w:iCs/>
          <w:szCs w:val="20"/>
        </w:rPr>
        <w:t xml:space="preserve"> </w:t>
      </w:r>
      <w:r w:rsidRPr="003A0120">
        <w:rPr>
          <w:rFonts w:cs="Calibri"/>
          <w:szCs w:val="20"/>
        </w:rPr>
        <w:t>as part of registration and renewal (</w:t>
      </w:r>
      <w:hyperlink r:id="rId90" w:anchor="_Toc184211566" w:history="1">
        <w:r w:rsidRPr="003A0120">
          <w:rPr>
            <w:rStyle w:val="Hyperlink"/>
            <w:rFonts w:ascii="Calibri" w:hAnsi="Calibri" w:cs="Calibri"/>
            <w:sz w:val="20"/>
            <w:szCs w:val="20"/>
          </w:rPr>
          <w:t>subsection 109(1)(d)</w:t>
        </w:r>
      </w:hyperlink>
      <w:r w:rsidRPr="003A0120">
        <w:rPr>
          <w:rFonts w:cs="Calibri"/>
          <w:szCs w:val="20"/>
        </w:rPr>
        <w:t xml:space="preserve">). </w:t>
      </w:r>
    </w:p>
    <w:p w14:paraId="5CD92243" w14:textId="77777777" w:rsidR="009D0CE5" w:rsidRPr="003A0120" w:rsidRDefault="009D0CE5" w:rsidP="003F13B2">
      <w:pPr>
        <w:pStyle w:val="ListBullet"/>
        <w:rPr>
          <w:rFonts w:cs="Calibri"/>
          <w:szCs w:val="20"/>
        </w:rPr>
      </w:pPr>
      <w:r w:rsidRPr="003A0120">
        <w:rPr>
          <w:rFonts w:cs="Calibri"/>
          <w:szCs w:val="20"/>
        </w:rPr>
        <w:lastRenderedPageBreak/>
        <w:t xml:space="preserve">A registered provider must notify changes in responsible persons or changes in the responsible person suitability (outlined in </w:t>
      </w:r>
      <w:hyperlink r:id="rId91" w:anchor="_Toc184211648" w:history="1">
        <w:r w:rsidRPr="003A0120">
          <w:rPr>
            <w:rStyle w:val="Hyperlink"/>
            <w:rFonts w:ascii="Calibri" w:hAnsi="Calibri" w:cs="Calibri"/>
            <w:sz w:val="20"/>
            <w:szCs w:val="20"/>
          </w:rPr>
          <w:t>subsection 167(3)(b)</w:t>
        </w:r>
      </w:hyperlink>
      <w:r w:rsidRPr="003A0120">
        <w:rPr>
          <w:rFonts w:cs="Calibri"/>
          <w:szCs w:val="20"/>
        </w:rPr>
        <w:t xml:space="preserve"> and(c) and the associated </w:t>
      </w:r>
      <w:hyperlink r:id="rId92" w:anchor="_Toc208948218" w:history="1">
        <w:r w:rsidRPr="003A0120">
          <w:rPr>
            <w:rStyle w:val="Hyperlink"/>
            <w:rFonts w:ascii="Calibri" w:hAnsi="Calibri" w:cs="Calibri"/>
            <w:sz w:val="20"/>
            <w:szCs w:val="20"/>
          </w:rPr>
          <w:t>rules including 167-25</w:t>
        </w:r>
      </w:hyperlink>
      <w:r w:rsidRPr="003A0120">
        <w:rPr>
          <w:rFonts w:cs="Calibri"/>
          <w:szCs w:val="20"/>
        </w:rPr>
        <w:t xml:space="preserve"> and </w:t>
      </w:r>
      <w:hyperlink r:id="rId93" w:anchor="_Toc208948219" w:history="1">
        <w:r w:rsidRPr="003A0120">
          <w:rPr>
            <w:rStyle w:val="Hyperlink"/>
            <w:rFonts w:ascii="Calibri" w:hAnsi="Calibri" w:cs="Calibri"/>
            <w:sz w:val="20"/>
            <w:szCs w:val="20"/>
          </w:rPr>
          <w:t>167-30</w:t>
        </w:r>
      </w:hyperlink>
      <w:r w:rsidRPr="003A0120">
        <w:rPr>
          <w:rFonts w:cs="Calibri"/>
          <w:szCs w:val="20"/>
        </w:rPr>
        <w:t>).</w:t>
      </w:r>
    </w:p>
    <w:p w14:paraId="11045543" w14:textId="77777777" w:rsidR="009D0CE5" w:rsidRPr="003A0120" w:rsidRDefault="009D0CE5" w:rsidP="003F13B2">
      <w:pPr>
        <w:pStyle w:val="ListBullet"/>
        <w:rPr>
          <w:rFonts w:cs="Calibri"/>
          <w:szCs w:val="20"/>
        </w:rPr>
      </w:pPr>
      <w:r w:rsidRPr="003A0120">
        <w:rPr>
          <w:rFonts w:cs="Calibri"/>
          <w:szCs w:val="20"/>
        </w:rPr>
        <w:t>The registered provider must consider suitability every 12 months (</w:t>
      </w:r>
      <w:hyperlink r:id="rId94" w:anchor="_Toc184211654" w:history="1">
        <w:r w:rsidRPr="003A0120">
          <w:rPr>
            <w:rStyle w:val="Hyperlink"/>
            <w:rFonts w:ascii="Calibri" w:hAnsi="Calibri" w:cs="Calibri"/>
            <w:sz w:val="20"/>
            <w:szCs w:val="20"/>
          </w:rPr>
          <w:t>section 172</w:t>
        </w:r>
      </w:hyperlink>
      <w:r w:rsidRPr="003A0120">
        <w:rPr>
          <w:rFonts w:cs="Calibri"/>
          <w:szCs w:val="20"/>
        </w:rPr>
        <w:t>).</w:t>
      </w:r>
    </w:p>
    <w:p w14:paraId="6E47948C" w14:textId="77777777" w:rsidR="009D0CE5" w:rsidRPr="003A0120" w:rsidRDefault="009D0CE5" w:rsidP="003F13B2">
      <w:pPr>
        <w:pStyle w:val="ListBullet"/>
        <w:rPr>
          <w:rFonts w:cs="Calibri"/>
          <w:szCs w:val="20"/>
        </w:rPr>
      </w:pPr>
      <w:r w:rsidRPr="003A0120">
        <w:rPr>
          <w:rFonts w:cs="Calibri"/>
          <w:szCs w:val="20"/>
        </w:rPr>
        <w:t>The responsible person must notify the registered provider of a change in circumstances relating to suitability (</w:t>
      </w:r>
      <w:hyperlink r:id="rId95" w:anchor="_Toc184211651" w:history="1">
        <w:r w:rsidRPr="003A0120">
          <w:rPr>
            <w:rStyle w:val="Hyperlink"/>
            <w:rFonts w:ascii="Calibri" w:hAnsi="Calibri" w:cs="Calibri"/>
            <w:sz w:val="20"/>
            <w:szCs w:val="20"/>
          </w:rPr>
          <w:t>section 169</w:t>
        </w:r>
      </w:hyperlink>
      <w:r w:rsidRPr="003A0120">
        <w:rPr>
          <w:rFonts w:cs="Calibri"/>
          <w:szCs w:val="20"/>
        </w:rPr>
        <w:t>).</w:t>
      </w:r>
    </w:p>
    <w:p w14:paraId="4B1ABB51" w14:textId="236D7BC2" w:rsidR="009D0CE5" w:rsidRPr="003A0120" w:rsidRDefault="009D0CE5" w:rsidP="003F13B2">
      <w:pPr>
        <w:pStyle w:val="ListBullet"/>
        <w:rPr>
          <w:rFonts w:cs="Calibri"/>
          <w:szCs w:val="20"/>
        </w:rPr>
      </w:pPr>
      <w:r w:rsidRPr="003A0120">
        <w:rPr>
          <w:rFonts w:cs="Calibri"/>
          <w:szCs w:val="20"/>
        </w:rPr>
        <w:t>The Commissioner may</w:t>
      </w:r>
      <w:r w:rsidR="00880831" w:rsidRPr="003A0120">
        <w:rPr>
          <w:rFonts w:cs="Calibri"/>
          <w:szCs w:val="20"/>
        </w:rPr>
        <w:t xml:space="preserve"> make a</w:t>
      </w:r>
      <w:r w:rsidRPr="003A0120">
        <w:rPr>
          <w:rFonts w:cs="Calibri"/>
          <w:szCs w:val="20"/>
        </w:rPr>
        <w:t xml:space="preserve"> determination about</w:t>
      </w:r>
      <w:r w:rsidR="00880831" w:rsidRPr="003A0120">
        <w:rPr>
          <w:rFonts w:cs="Calibri"/>
          <w:szCs w:val="20"/>
        </w:rPr>
        <w:t xml:space="preserve"> a</w:t>
      </w:r>
      <w:r w:rsidRPr="003A0120">
        <w:rPr>
          <w:rFonts w:cs="Calibri"/>
          <w:szCs w:val="20"/>
        </w:rPr>
        <w:t xml:space="preserve"> responsible person’s suitability and the registered provider must comply (sections </w:t>
      </w:r>
      <w:hyperlink r:id="rId96" w:anchor="_Toc184211652" w:history="1">
        <w:r w:rsidRPr="003A0120">
          <w:rPr>
            <w:rStyle w:val="Hyperlink"/>
            <w:rFonts w:ascii="Calibri" w:hAnsi="Calibri" w:cs="Calibri"/>
            <w:sz w:val="20"/>
            <w:szCs w:val="20"/>
          </w:rPr>
          <w:t>170</w:t>
        </w:r>
      </w:hyperlink>
      <w:r w:rsidRPr="003A0120">
        <w:rPr>
          <w:rFonts w:cs="Calibri"/>
          <w:szCs w:val="20"/>
        </w:rPr>
        <w:t xml:space="preserve"> and </w:t>
      </w:r>
      <w:hyperlink r:id="rId97" w:anchor="_Toc184211653" w:history="1">
        <w:r w:rsidRPr="003A0120">
          <w:rPr>
            <w:rStyle w:val="Hyperlink"/>
            <w:rFonts w:ascii="Calibri" w:hAnsi="Calibri" w:cs="Calibri"/>
            <w:sz w:val="20"/>
            <w:szCs w:val="20"/>
          </w:rPr>
          <w:t>171</w:t>
        </w:r>
      </w:hyperlink>
      <w:r w:rsidRPr="003A0120">
        <w:rPr>
          <w:rFonts w:cs="Calibri"/>
          <w:szCs w:val="20"/>
        </w:rPr>
        <w:t>).</w:t>
      </w:r>
    </w:p>
    <w:p w14:paraId="5B90E106" w14:textId="77777777" w:rsidR="009D0CE5" w:rsidRPr="003A0120" w:rsidRDefault="009D0CE5" w:rsidP="003F13B2">
      <w:pPr>
        <w:pStyle w:val="ListBullet"/>
        <w:rPr>
          <w:rFonts w:cs="Calibri"/>
          <w:szCs w:val="20"/>
        </w:rPr>
      </w:pPr>
      <w:r w:rsidRPr="003A0120">
        <w:rPr>
          <w:rFonts w:cs="Calibri"/>
          <w:szCs w:val="20"/>
        </w:rPr>
        <w:t>Responsible persons must meet worker screening requirements (</w:t>
      </w:r>
      <w:hyperlink r:id="rId98" w:anchor="_Toc184211627" w:history="1">
        <w:r w:rsidRPr="003A0120">
          <w:rPr>
            <w:rStyle w:val="Hyperlink"/>
            <w:rFonts w:ascii="Calibri" w:hAnsi="Calibri" w:cs="Calibri"/>
            <w:sz w:val="20"/>
            <w:szCs w:val="20"/>
          </w:rPr>
          <w:t>section 152</w:t>
        </w:r>
      </w:hyperlink>
      <w:r w:rsidRPr="003A0120">
        <w:rPr>
          <w:rFonts w:cs="Calibri"/>
          <w:szCs w:val="20"/>
        </w:rPr>
        <w:t xml:space="preserve"> and </w:t>
      </w:r>
      <w:hyperlink r:id="rId99" w:anchor="_Toc208947946" w:history="1">
        <w:r w:rsidRPr="003A0120">
          <w:rPr>
            <w:rStyle w:val="Hyperlink"/>
            <w:rFonts w:ascii="Calibri" w:hAnsi="Calibri" w:cs="Calibri"/>
            <w:sz w:val="20"/>
            <w:szCs w:val="20"/>
          </w:rPr>
          <w:t>associated rules</w:t>
        </w:r>
      </w:hyperlink>
      <w:r w:rsidRPr="003A0120">
        <w:rPr>
          <w:rFonts w:cs="Calibri"/>
          <w:szCs w:val="20"/>
        </w:rPr>
        <w:t>) and the Aged Care Code of Conduct (</w:t>
      </w:r>
      <w:hyperlink r:id="rId100" w:anchor="_Toc184211657" w:history="1">
        <w:r w:rsidRPr="003A0120">
          <w:rPr>
            <w:rStyle w:val="Hyperlink"/>
            <w:rFonts w:ascii="Calibri" w:hAnsi="Calibri" w:cs="Calibri"/>
            <w:sz w:val="20"/>
            <w:szCs w:val="20"/>
          </w:rPr>
          <w:t>section 174</w:t>
        </w:r>
      </w:hyperlink>
      <w:r w:rsidRPr="003A0120">
        <w:rPr>
          <w:rFonts w:cs="Calibri"/>
          <w:szCs w:val="20"/>
        </w:rPr>
        <w:t>).</w:t>
      </w:r>
    </w:p>
    <w:p w14:paraId="601591C6" w14:textId="77777777" w:rsidR="009D0CE5" w:rsidRPr="003A0120" w:rsidRDefault="009D0CE5" w:rsidP="003F13B2">
      <w:pPr>
        <w:pStyle w:val="ListBullet"/>
        <w:rPr>
          <w:rFonts w:cs="Calibri"/>
          <w:szCs w:val="20"/>
        </w:rPr>
      </w:pPr>
      <w:r w:rsidRPr="003A0120">
        <w:rPr>
          <w:rFonts w:cs="Calibri"/>
          <w:szCs w:val="20"/>
        </w:rPr>
        <w:t>There is a statutory duty for certain responsible persons (</w:t>
      </w:r>
      <w:hyperlink r:id="rId101" w:anchor="_Toc184211666" w:history="1">
        <w:r w:rsidRPr="003A0120">
          <w:rPr>
            <w:rStyle w:val="Hyperlink"/>
            <w:rFonts w:ascii="Calibri" w:hAnsi="Calibri" w:cs="Calibri"/>
            <w:sz w:val="20"/>
            <w:szCs w:val="20"/>
          </w:rPr>
          <w:t>section 180</w:t>
        </w:r>
      </w:hyperlink>
      <w:r w:rsidRPr="003A0120">
        <w:rPr>
          <w:rFonts w:cs="Calibri"/>
          <w:szCs w:val="20"/>
        </w:rPr>
        <w:t xml:space="preserve">) – those who meet 12(1)(a) or 12(1)(b) – government entities don’t have to comply with these requirements as they do not have responsible persons under these subsections of the definition. </w:t>
      </w:r>
    </w:p>
    <w:p w14:paraId="082C6317" w14:textId="12F64270" w:rsidR="009D0CE5" w:rsidRPr="003A0120" w:rsidRDefault="009D0CE5" w:rsidP="003F13B2">
      <w:pPr>
        <w:pStyle w:val="ListBullet"/>
        <w:rPr>
          <w:rFonts w:cs="Calibri"/>
          <w:szCs w:val="20"/>
        </w:rPr>
      </w:pPr>
      <w:r w:rsidRPr="003A0120">
        <w:rPr>
          <w:rFonts w:cs="Calibri"/>
          <w:szCs w:val="20"/>
        </w:rPr>
        <w:t xml:space="preserve">Responsible persons may be subject to banning orders from the Commission. </w:t>
      </w:r>
    </w:p>
    <w:p w14:paraId="59A15218" w14:textId="1F2A7C63" w:rsidR="00605BA0" w:rsidRPr="003A173C" w:rsidRDefault="00605BA0" w:rsidP="00D0331A">
      <w:pPr>
        <w:pStyle w:val="Heading1"/>
        <w:numPr>
          <w:ilvl w:val="0"/>
          <w:numId w:val="0"/>
        </w:numPr>
        <w:spacing w:before="120"/>
        <w:ind w:left="432" w:hanging="432"/>
        <w:rPr>
          <w:rFonts w:ascii="Calibri" w:hAnsi="Calibri" w:cs="Calibri"/>
        </w:rPr>
      </w:pPr>
      <w:bookmarkStart w:id="2155" w:name="_Toc216865539"/>
      <w:r w:rsidRPr="003A173C">
        <w:rPr>
          <w:rFonts w:ascii="Calibri" w:hAnsi="Calibri" w:cs="Calibri"/>
        </w:rPr>
        <w:lastRenderedPageBreak/>
        <w:t>GLOSSARY</w:t>
      </w:r>
      <w:bookmarkEnd w:id="2150"/>
      <w:bookmarkEnd w:id="2151"/>
      <w:bookmarkEnd w:id="2152"/>
      <w:bookmarkEnd w:id="2155"/>
    </w:p>
    <w:tbl>
      <w:tblPr>
        <w:tblStyle w:val="TableGrid"/>
        <w:tblW w:w="9811" w:type="dxa"/>
        <w:tblLayout w:type="fixed"/>
        <w:tblLook w:val="04A0" w:firstRow="1" w:lastRow="0" w:firstColumn="1" w:lastColumn="0" w:noHBand="0" w:noVBand="1"/>
        <w:tblDescription w:val="This table is the glossary terms and meanings."/>
      </w:tblPr>
      <w:tblGrid>
        <w:gridCol w:w="2547"/>
        <w:gridCol w:w="7264"/>
      </w:tblGrid>
      <w:tr w:rsidR="00605BA0" w:rsidRPr="003A173C" w14:paraId="5034C23C" w14:textId="77777777" w:rsidTr="1C30FF31">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500778"/>
          </w:tcPr>
          <w:p w14:paraId="1CD744BA" w14:textId="77777777" w:rsidR="00605BA0" w:rsidRPr="003A173C" w:rsidRDefault="00605BA0" w:rsidP="00070A87">
            <w:pPr>
              <w:spacing w:before="0" w:after="60"/>
              <w:rPr>
                <w:rFonts w:cs="Calibri"/>
                <w:b w:val="0"/>
                <w:bCs/>
                <w:szCs w:val="20"/>
              </w:rPr>
            </w:pPr>
            <w:r w:rsidRPr="003A173C">
              <w:rPr>
                <w:rFonts w:cs="Calibri"/>
                <w:bCs/>
                <w:szCs w:val="20"/>
              </w:rPr>
              <w:t>Term</w:t>
            </w:r>
          </w:p>
        </w:tc>
        <w:tc>
          <w:tcPr>
            <w:tcW w:w="7264" w:type="dxa"/>
            <w:shd w:val="clear" w:color="auto" w:fill="500778"/>
          </w:tcPr>
          <w:p w14:paraId="09745D87" w14:textId="77777777" w:rsidR="00605BA0" w:rsidRPr="003A173C" w:rsidRDefault="00605BA0" w:rsidP="00070A87">
            <w:pPr>
              <w:spacing w:before="0" w:after="60"/>
              <w:rPr>
                <w:rFonts w:cs="Calibri"/>
                <w:b w:val="0"/>
                <w:bCs/>
                <w:szCs w:val="20"/>
              </w:rPr>
            </w:pPr>
            <w:r w:rsidRPr="003A173C">
              <w:rPr>
                <w:rFonts w:cs="Calibri"/>
                <w:bCs/>
                <w:szCs w:val="20"/>
              </w:rPr>
              <w:t>Meaning</w:t>
            </w:r>
          </w:p>
        </w:tc>
      </w:tr>
      <w:tr w:rsidR="00ED3F4A" w:rsidRPr="0040564F" w14:paraId="7835CA73" w14:textId="77777777" w:rsidTr="1C30FF31">
        <w:trPr>
          <w:trHeight w:val="300"/>
        </w:trPr>
        <w:tc>
          <w:tcPr>
            <w:tcW w:w="2547" w:type="dxa"/>
            <w:shd w:val="clear" w:color="auto" w:fill="FFFFFF" w:themeFill="background1"/>
          </w:tcPr>
          <w:p w14:paraId="45C1E6B7" w14:textId="77777777" w:rsidR="00ED3F4A" w:rsidRPr="0040564F" w:rsidRDefault="00ED3F4A" w:rsidP="00C656E7">
            <w:pPr>
              <w:rPr>
                <w:rFonts w:eastAsia="Arial" w:cs="Calibri"/>
                <w:b/>
                <w:bCs/>
                <w:szCs w:val="20"/>
              </w:rPr>
            </w:pPr>
            <w:r w:rsidRPr="0040564F">
              <w:rPr>
                <w:rFonts w:eastAsia="Arial" w:cs="Calibri"/>
                <w:b/>
                <w:bCs/>
                <w:szCs w:val="20"/>
              </w:rPr>
              <w:t>Act</w:t>
            </w:r>
          </w:p>
        </w:tc>
        <w:tc>
          <w:tcPr>
            <w:tcW w:w="7264" w:type="dxa"/>
            <w:shd w:val="clear" w:color="auto" w:fill="FFFFFF" w:themeFill="background1"/>
          </w:tcPr>
          <w:p w14:paraId="3ABCCDF4" w14:textId="57FDA9F5" w:rsidR="00ED3F4A" w:rsidRPr="003A0120" w:rsidRDefault="00ED3F4A" w:rsidP="00624415">
            <w:pPr>
              <w:pStyle w:val="TableParagraph"/>
              <w:rPr>
                <w:sz w:val="20"/>
                <w:szCs w:val="20"/>
              </w:rPr>
            </w:pPr>
            <w:r w:rsidRPr="003A0120">
              <w:rPr>
                <w:sz w:val="20"/>
                <w:szCs w:val="20"/>
              </w:rPr>
              <w:t xml:space="preserve">The </w:t>
            </w:r>
            <w:r w:rsidRPr="003A0120">
              <w:rPr>
                <w:i/>
                <w:iCs/>
                <w:sz w:val="20"/>
                <w:szCs w:val="20"/>
              </w:rPr>
              <w:t>Aged Care Act 2024</w:t>
            </w:r>
            <w:r w:rsidR="00751DC8" w:rsidRPr="003A0120">
              <w:rPr>
                <w:sz w:val="20"/>
                <w:szCs w:val="20"/>
              </w:rPr>
              <w:t xml:space="preserve"> (Cth)</w:t>
            </w:r>
            <w:r w:rsidRPr="003A0120">
              <w:rPr>
                <w:sz w:val="20"/>
                <w:szCs w:val="20"/>
              </w:rPr>
              <w:t>.</w:t>
            </w:r>
          </w:p>
        </w:tc>
      </w:tr>
      <w:tr w:rsidR="00ED3F4A" w:rsidRPr="0040564F" w14:paraId="1AB4A562" w14:textId="77777777" w:rsidTr="1C30FF31">
        <w:tc>
          <w:tcPr>
            <w:tcW w:w="2547" w:type="dxa"/>
          </w:tcPr>
          <w:p w14:paraId="42A4A28D" w14:textId="77777777" w:rsidR="00ED3F4A" w:rsidRPr="0040564F" w:rsidRDefault="00ED3F4A" w:rsidP="00C656E7">
            <w:pPr>
              <w:spacing w:before="0" w:after="60"/>
              <w:rPr>
                <w:rFonts w:cs="Calibri"/>
                <w:b/>
                <w:bCs/>
                <w:szCs w:val="20"/>
              </w:rPr>
            </w:pPr>
            <w:r w:rsidRPr="0040564F">
              <w:rPr>
                <w:rFonts w:cs="Calibri"/>
                <w:b/>
                <w:bCs/>
                <w:szCs w:val="20"/>
              </w:rPr>
              <w:t>Acute Care</w:t>
            </w:r>
          </w:p>
        </w:tc>
        <w:tc>
          <w:tcPr>
            <w:tcW w:w="7264" w:type="dxa"/>
          </w:tcPr>
          <w:p w14:paraId="40FCCFF8" w14:textId="77777777" w:rsidR="00ED3F4A" w:rsidRPr="003A0120" w:rsidRDefault="00ED3F4A" w:rsidP="00624415">
            <w:pPr>
              <w:pStyle w:val="TableParagraph"/>
              <w:rPr>
                <w:sz w:val="20"/>
                <w:szCs w:val="20"/>
              </w:rPr>
            </w:pPr>
            <w:r w:rsidRPr="003A0120">
              <w:rPr>
                <w:sz w:val="20"/>
                <w:szCs w:val="20"/>
              </w:rPr>
              <w:t>Acute care in the context of transition care is care provided to hospital in</w:t>
            </w:r>
            <w:r w:rsidRPr="003A0120">
              <w:rPr>
                <w:sz w:val="20"/>
                <w:szCs w:val="20"/>
              </w:rPr>
              <w:noBreakHyphen/>
              <w:t>patients where the clinical intent or treatment goal is to:</w:t>
            </w:r>
          </w:p>
          <w:p w14:paraId="3DC32147" w14:textId="77777777" w:rsidR="00ED3F4A" w:rsidRPr="003A0120" w:rsidRDefault="00ED3F4A" w:rsidP="00624415">
            <w:pPr>
              <w:pStyle w:val="TLPTableBullet"/>
              <w:rPr>
                <w:sz w:val="20"/>
              </w:rPr>
            </w:pPr>
            <w:r w:rsidRPr="003A0120">
              <w:rPr>
                <w:sz w:val="20"/>
              </w:rPr>
              <w:t>cure illness or provide definitive treatment of injury;</w:t>
            </w:r>
          </w:p>
          <w:p w14:paraId="01E085E0" w14:textId="77777777" w:rsidR="00ED3F4A" w:rsidRPr="003A0120" w:rsidRDefault="00ED3F4A" w:rsidP="00624415">
            <w:pPr>
              <w:pStyle w:val="TLPTableBullet"/>
              <w:rPr>
                <w:sz w:val="20"/>
              </w:rPr>
            </w:pPr>
            <w:r w:rsidRPr="003A0120">
              <w:rPr>
                <w:sz w:val="20"/>
              </w:rPr>
              <w:t>perform surgery;</w:t>
            </w:r>
          </w:p>
          <w:p w14:paraId="1D7C9721" w14:textId="77777777" w:rsidR="00ED3F4A" w:rsidRPr="003A0120" w:rsidRDefault="00ED3F4A" w:rsidP="00624415">
            <w:pPr>
              <w:pStyle w:val="TLPTableBullet"/>
              <w:rPr>
                <w:sz w:val="20"/>
              </w:rPr>
            </w:pPr>
            <w:r w:rsidRPr="003A0120">
              <w:rPr>
                <w:sz w:val="20"/>
              </w:rPr>
              <w:t>relieve symptoms of illness or injury (excluding palliative care);</w:t>
            </w:r>
          </w:p>
          <w:p w14:paraId="4FBE7BAC" w14:textId="77777777" w:rsidR="00ED3F4A" w:rsidRPr="003A0120" w:rsidRDefault="00ED3F4A" w:rsidP="00624415">
            <w:pPr>
              <w:pStyle w:val="TLPTableBullet"/>
              <w:rPr>
                <w:sz w:val="20"/>
              </w:rPr>
            </w:pPr>
            <w:r w:rsidRPr="003A0120">
              <w:rPr>
                <w:sz w:val="20"/>
              </w:rPr>
              <w:t>reduce severity of an illness or injury;</w:t>
            </w:r>
          </w:p>
          <w:p w14:paraId="599B462E" w14:textId="77777777" w:rsidR="00ED3F4A" w:rsidRPr="003A0120" w:rsidRDefault="00ED3F4A" w:rsidP="00624415">
            <w:pPr>
              <w:pStyle w:val="TLPTableBullet"/>
              <w:rPr>
                <w:sz w:val="20"/>
              </w:rPr>
            </w:pPr>
            <w:r w:rsidRPr="003A0120">
              <w:rPr>
                <w:sz w:val="20"/>
              </w:rPr>
              <w:t>protect against exacerbation and/or complication of an illness and/or injury which could threaten life or normal function; or</w:t>
            </w:r>
          </w:p>
          <w:p w14:paraId="34E0449A" w14:textId="77777777" w:rsidR="00ED3F4A" w:rsidRPr="003A0120" w:rsidRDefault="00ED3F4A" w:rsidP="00624415">
            <w:pPr>
              <w:pStyle w:val="TLPTableBullet"/>
              <w:rPr>
                <w:sz w:val="20"/>
              </w:rPr>
            </w:pPr>
            <w:r w:rsidRPr="003A0120">
              <w:rPr>
                <w:sz w:val="20"/>
              </w:rPr>
              <w:t>perform diagnostic or therapeutic procedures.</w:t>
            </w:r>
          </w:p>
        </w:tc>
      </w:tr>
      <w:tr w:rsidR="00ED3F4A" w:rsidRPr="0040564F" w14:paraId="4EACA482" w14:textId="77777777" w:rsidTr="1C30FF31">
        <w:tc>
          <w:tcPr>
            <w:tcW w:w="2547" w:type="dxa"/>
          </w:tcPr>
          <w:p w14:paraId="1F39677C" w14:textId="77777777" w:rsidR="00ED3F4A" w:rsidRPr="0040564F" w:rsidRDefault="00ED3F4A" w:rsidP="00C656E7">
            <w:pPr>
              <w:spacing w:before="0" w:after="60"/>
              <w:rPr>
                <w:rFonts w:cs="Calibri"/>
                <w:b/>
                <w:szCs w:val="20"/>
              </w:rPr>
            </w:pPr>
            <w:r w:rsidRPr="0040564F">
              <w:rPr>
                <w:rFonts w:cs="Calibri"/>
                <w:b/>
                <w:szCs w:val="20"/>
              </w:rPr>
              <w:t>Advocacy Service</w:t>
            </w:r>
          </w:p>
        </w:tc>
        <w:tc>
          <w:tcPr>
            <w:tcW w:w="7264" w:type="dxa"/>
          </w:tcPr>
          <w:p w14:paraId="5D137642" w14:textId="34C61FD3" w:rsidR="00ED3F4A" w:rsidRPr="003A0120" w:rsidRDefault="00ED3F4A" w:rsidP="00624415">
            <w:pPr>
              <w:pStyle w:val="TableParagraph"/>
              <w:rPr>
                <w:sz w:val="20"/>
                <w:szCs w:val="20"/>
              </w:rPr>
            </w:pPr>
            <w:r w:rsidRPr="003A0120">
              <w:rPr>
                <w:sz w:val="20"/>
                <w:szCs w:val="20"/>
              </w:rPr>
              <w:t xml:space="preserve">An advocacy service is an independent, confidential service provided free of charge in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If a person receives </w:t>
            </w:r>
            <w:r w:rsidR="00931641" w:rsidRPr="003A0120">
              <w:rPr>
                <w:sz w:val="20"/>
                <w:szCs w:val="20"/>
              </w:rPr>
              <w:t xml:space="preserve">Australian </w:t>
            </w:r>
            <w:r w:rsidRPr="003A0120">
              <w:rPr>
                <w:sz w:val="20"/>
                <w:szCs w:val="20"/>
              </w:rPr>
              <w:t>Government subsidised aged care services, advocacy services can help them exercise their rights by representing them, and providing information, advice and support to them, their carer, family or friends.</w:t>
            </w:r>
            <w:r w:rsidR="0060481B">
              <w:rPr>
                <w:sz w:val="20"/>
                <w:szCs w:val="20"/>
              </w:rPr>
              <w:t xml:space="preserve"> </w:t>
            </w:r>
            <w:r w:rsidRPr="003A0120">
              <w:rPr>
                <w:sz w:val="20"/>
                <w:szCs w:val="20"/>
              </w:rPr>
              <w:t>See the Older Persons Advocacy Network (OPAN</w:t>
            </w:r>
            <w:r w:rsidR="0072617B" w:rsidRPr="003A0120">
              <w:rPr>
                <w:sz w:val="20"/>
                <w:szCs w:val="20"/>
              </w:rPr>
              <w:t xml:space="preserve">) website. </w:t>
            </w:r>
          </w:p>
        </w:tc>
      </w:tr>
      <w:tr w:rsidR="00ED3F4A" w:rsidRPr="0040564F" w14:paraId="711EE633" w14:textId="77777777" w:rsidTr="1C30FF31">
        <w:tc>
          <w:tcPr>
            <w:tcW w:w="2547" w:type="dxa"/>
            <w:shd w:val="clear" w:color="auto" w:fill="FFFFFF" w:themeFill="background1"/>
          </w:tcPr>
          <w:p w14:paraId="502FE398" w14:textId="77777777" w:rsidR="00ED3F4A" w:rsidRPr="0040564F" w:rsidRDefault="00ED3F4A" w:rsidP="00C656E7">
            <w:pPr>
              <w:spacing w:before="0" w:after="60"/>
              <w:rPr>
                <w:rFonts w:cs="Calibri"/>
                <w:b/>
                <w:szCs w:val="20"/>
              </w:rPr>
            </w:pPr>
            <w:r w:rsidRPr="0040564F">
              <w:rPr>
                <w:rFonts w:cs="Calibri"/>
                <w:b/>
                <w:szCs w:val="20"/>
              </w:rPr>
              <w:t>Advocate</w:t>
            </w:r>
          </w:p>
        </w:tc>
        <w:tc>
          <w:tcPr>
            <w:tcW w:w="7264" w:type="dxa"/>
            <w:shd w:val="clear" w:color="auto" w:fill="FFFFFF" w:themeFill="background1"/>
          </w:tcPr>
          <w:p w14:paraId="583B2C4A" w14:textId="5EBFF182" w:rsidR="00ED3F4A" w:rsidRPr="003A0120" w:rsidRDefault="00ED3F4A" w:rsidP="00624415">
            <w:pPr>
              <w:pStyle w:val="TableParagraph"/>
              <w:rPr>
                <w:sz w:val="20"/>
                <w:szCs w:val="20"/>
              </w:rPr>
            </w:pPr>
            <w:r w:rsidRPr="003A0120">
              <w:rPr>
                <w:sz w:val="20"/>
                <w:szCs w:val="20"/>
              </w:rPr>
              <w:t xml:space="preserve">A person who acts on behalf of another party. In the absence of a carer, an independent advocate could be a general practitioner, legal representative, person appointed by </w:t>
            </w:r>
            <w:r w:rsidR="0072617B" w:rsidRPr="003A0120">
              <w:rPr>
                <w:sz w:val="20"/>
                <w:szCs w:val="20"/>
              </w:rPr>
              <w:t>a</w:t>
            </w:r>
            <w:r w:rsidRPr="003A0120">
              <w:rPr>
                <w:sz w:val="20"/>
                <w:szCs w:val="20"/>
              </w:rPr>
              <w:t xml:space="preserve"> guardianship board or another person who can represent the interests of the individual adequately.</w:t>
            </w:r>
          </w:p>
        </w:tc>
      </w:tr>
      <w:tr w:rsidR="00ED3F4A" w:rsidRPr="0040564F" w14:paraId="5E470171" w14:textId="77777777" w:rsidTr="1C30FF31">
        <w:tc>
          <w:tcPr>
            <w:tcW w:w="2547" w:type="dxa"/>
          </w:tcPr>
          <w:p w14:paraId="49723221" w14:textId="77777777" w:rsidR="00ED3F4A" w:rsidRPr="0040564F" w:rsidRDefault="00ED3F4A" w:rsidP="00C656E7">
            <w:pPr>
              <w:spacing w:before="0"/>
              <w:rPr>
                <w:rFonts w:cs="Calibri"/>
                <w:b/>
                <w:i/>
                <w:szCs w:val="20"/>
              </w:rPr>
            </w:pPr>
            <w:r w:rsidRPr="0040564F">
              <w:rPr>
                <w:rFonts w:cs="Calibri"/>
                <w:b/>
                <w:i/>
                <w:iCs/>
                <w:szCs w:val="20"/>
              </w:rPr>
              <w:t>Aged Care (Consequential and Transitional Provisions) Act 2024</w:t>
            </w:r>
          </w:p>
        </w:tc>
        <w:tc>
          <w:tcPr>
            <w:tcW w:w="7264" w:type="dxa"/>
          </w:tcPr>
          <w:p w14:paraId="3CFA02B7" w14:textId="2FBFAEFB" w:rsidR="00ED3F4A" w:rsidRPr="003A0120" w:rsidRDefault="00ED3F4A" w:rsidP="00624415">
            <w:pPr>
              <w:pStyle w:val="TableParagraph"/>
              <w:rPr>
                <w:sz w:val="20"/>
                <w:szCs w:val="20"/>
              </w:rPr>
            </w:pPr>
            <w:r w:rsidRPr="003A0120">
              <w:rPr>
                <w:sz w:val="20"/>
                <w:szCs w:val="20"/>
              </w:rPr>
              <w:t xml:space="preserve">The </w:t>
            </w:r>
            <w:r w:rsidR="00931641" w:rsidRPr="003A0120">
              <w:rPr>
                <w:sz w:val="20"/>
                <w:szCs w:val="20"/>
              </w:rPr>
              <w:t xml:space="preserve">Australian </w:t>
            </w:r>
            <w:r w:rsidRPr="003A0120">
              <w:rPr>
                <w:sz w:val="20"/>
                <w:szCs w:val="20"/>
              </w:rPr>
              <w:t>Government legislation that applies to individual</w:t>
            </w:r>
            <w:r w:rsidR="00D53D7A" w:rsidRPr="003A0120">
              <w:rPr>
                <w:sz w:val="20"/>
                <w:szCs w:val="20"/>
              </w:rPr>
              <w:t>s</w:t>
            </w:r>
            <w:r w:rsidRPr="003A0120">
              <w:rPr>
                <w:sz w:val="20"/>
                <w:szCs w:val="20"/>
              </w:rPr>
              <w:t xml:space="preserve"> who have entered an episode of transition before the commencement of </w:t>
            </w:r>
            <w:r w:rsidRPr="003A0120">
              <w:rPr>
                <w:i/>
                <w:sz w:val="20"/>
                <w:szCs w:val="20"/>
              </w:rPr>
              <w:t>the Aged Care Act 2024</w:t>
            </w:r>
            <w:r w:rsidR="00D53D7A" w:rsidRPr="003A0120">
              <w:rPr>
                <w:sz w:val="20"/>
                <w:szCs w:val="20"/>
              </w:rPr>
              <w:t xml:space="preserve"> </w:t>
            </w:r>
            <w:r w:rsidRPr="003A0120">
              <w:rPr>
                <w:sz w:val="20"/>
                <w:szCs w:val="20"/>
              </w:rPr>
              <w:t>on 1</w:t>
            </w:r>
            <w:r w:rsidR="00482DDE">
              <w:rPr>
                <w:sz w:val="20"/>
                <w:szCs w:val="20"/>
              </w:rPr>
              <w:t> </w:t>
            </w:r>
            <w:r w:rsidRPr="003A0120">
              <w:rPr>
                <w:sz w:val="20"/>
                <w:szCs w:val="20"/>
              </w:rPr>
              <w:t>November 2025</w:t>
            </w:r>
            <w:r w:rsidR="00D53D7A" w:rsidRPr="003A0120">
              <w:rPr>
                <w:sz w:val="20"/>
                <w:szCs w:val="20"/>
              </w:rPr>
              <w:t>.</w:t>
            </w:r>
          </w:p>
        </w:tc>
      </w:tr>
      <w:tr w:rsidR="00ED3F4A" w:rsidRPr="0040564F" w14:paraId="72DF003E" w14:textId="77777777" w:rsidTr="1C30FF31">
        <w:tc>
          <w:tcPr>
            <w:tcW w:w="2547" w:type="dxa"/>
          </w:tcPr>
          <w:p w14:paraId="650F3985" w14:textId="77777777" w:rsidR="00ED3F4A" w:rsidRPr="0040564F" w:rsidRDefault="00ED3F4A" w:rsidP="00C656E7">
            <w:pPr>
              <w:spacing w:before="0" w:after="60"/>
              <w:rPr>
                <w:rFonts w:cs="Calibri"/>
                <w:b/>
                <w:szCs w:val="20"/>
              </w:rPr>
            </w:pPr>
            <w:r w:rsidRPr="0040564F">
              <w:rPr>
                <w:rFonts w:cs="Calibri"/>
                <w:b/>
                <w:szCs w:val="20"/>
              </w:rPr>
              <w:t>Aged Care Quality and Safety Commission (the Commission)</w:t>
            </w:r>
          </w:p>
        </w:tc>
        <w:tc>
          <w:tcPr>
            <w:tcW w:w="7264" w:type="dxa"/>
          </w:tcPr>
          <w:p w14:paraId="141E8B9F" w14:textId="51ADCE10" w:rsidR="00ED3F4A" w:rsidRPr="003A0120" w:rsidRDefault="00ED3F4A" w:rsidP="00624415">
            <w:pPr>
              <w:pStyle w:val="TableParagraph"/>
              <w:rPr>
                <w:sz w:val="20"/>
                <w:szCs w:val="20"/>
              </w:rPr>
            </w:pPr>
            <w:r w:rsidRPr="003A0120">
              <w:rPr>
                <w:sz w:val="20"/>
                <w:szCs w:val="20"/>
              </w:rPr>
              <w:t>The Commission is the national regulator of the provision of aged care services. The Commission’s role is to protect and enhance the safety, health, well</w:t>
            </w:r>
            <w:r w:rsidRPr="003A0120">
              <w:rPr>
                <w:sz w:val="20"/>
                <w:szCs w:val="20"/>
              </w:rPr>
              <w:noBreakHyphen/>
              <w:t xml:space="preserve">being and quality of life of people receiving aged care. In fulfilling this role, the Commission provides a free service that handles concerns or complaints that have not been resolved by talking to the registered providers of </w:t>
            </w:r>
            <w:r w:rsidR="00931641" w:rsidRPr="003A0120">
              <w:rPr>
                <w:sz w:val="20"/>
                <w:szCs w:val="20"/>
              </w:rPr>
              <w:t>Australian</w:t>
            </w:r>
            <w:r w:rsidR="00FE1A7C" w:rsidRPr="003A0120">
              <w:rPr>
                <w:sz w:val="20"/>
                <w:szCs w:val="20"/>
              </w:rPr>
              <w:t xml:space="preserve"> Government</w:t>
            </w:r>
            <w:r w:rsidR="00931641" w:rsidRPr="003A0120">
              <w:rPr>
                <w:sz w:val="20"/>
                <w:szCs w:val="20"/>
              </w:rPr>
              <w:t xml:space="preserve"> </w:t>
            </w:r>
            <w:r w:rsidRPr="003A0120">
              <w:rPr>
                <w:sz w:val="20"/>
                <w:szCs w:val="20"/>
              </w:rPr>
              <w:t xml:space="preserve">funded aged care services. The Commission can provide support, with information and options, to resolve aged care concerns with </w:t>
            </w:r>
            <w:r w:rsidR="00D53D7A" w:rsidRPr="003A0120">
              <w:rPr>
                <w:sz w:val="20"/>
                <w:szCs w:val="20"/>
              </w:rPr>
              <w:t xml:space="preserve">service </w:t>
            </w:r>
            <w:r w:rsidRPr="003A0120">
              <w:rPr>
                <w:sz w:val="20"/>
                <w:szCs w:val="20"/>
              </w:rPr>
              <w:t>providers.</w:t>
            </w:r>
          </w:p>
        </w:tc>
      </w:tr>
      <w:tr w:rsidR="00ED3F4A" w:rsidRPr="0040564F" w14:paraId="0C5757A2" w14:textId="77777777" w:rsidTr="1C30FF31">
        <w:tc>
          <w:tcPr>
            <w:tcW w:w="2547" w:type="dxa"/>
            <w:shd w:val="clear" w:color="auto" w:fill="FFFFFF" w:themeFill="background1"/>
          </w:tcPr>
          <w:p w14:paraId="70192E2D" w14:textId="77777777" w:rsidR="00ED3F4A" w:rsidRPr="0040564F" w:rsidRDefault="00ED3F4A" w:rsidP="00C656E7">
            <w:pPr>
              <w:spacing w:before="0" w:after="60"/>
              <w:rPr>
                <w:rFonts w:cs="Calibri"/>
                <w:b/>
                <w:bCs/>
                <w:szCs w:val="20"/>
              </w:rPr>
            </w:pPr>
            <w:r w:rsidRPr="0040564F">
              <w:rPr>
                <w:rFonts w:cs="Calibri"/>
                <w:b/>
                <w:bCs/>
                <w:szCs w:val="20"/>
              </w:rPr>
              <w:t>Aged Care Service</w:t>
            </w:r>
          </w:p>
        </w:tc>
        <w:tc>
          <w:tcPr>
            <w:tcW w:w="7264" w:type="dxa"/>
            <w:shd w:val="clear" w:color="auto" w:fill="FFFFFF" w:themeFill="background1"/>
          </w:tcPr>
          <w:p w14:paraId="49DBB263" w14:textId="67A8980A" w:rsidR="00ED3F4A" w:rsidRPr="003A0120" w:rsidRDefault="00497550" w:rsidP="00624415">
            <w:pPr>
              <w:pStyle w:val="TableParagraph"/>
              <w:rPr>
                <w:sz w:val="20"/>
                <w:szCs w:val="20"/>
              </w:rPr>
            </w:pPr>
            <w:r w:rsidRPr="003A0120">
              <w:rPr>
                <w:sz w:val="20"/>
                <w:szCs w:val="20"/>
              </w:rPr>
              <w:t>M</w:t>
            </w:r>
            <w:r w:rsidR="00ED3F4A" w:rsidRPr="003A0120">
              <w:rPr>
                <w:sz w:val="20"/>
                <w:szCs w:val="20"/>
              </w:rPr>
              <w:t>eans a</w:t>
            </w:r>
            <w:r w:rsidR="00FE1A7C" w:rsidRPr="003A0120">
              <w:rPr>
                <w:sz w:val="20"/>
                <w:szCs w:val="20"/>
              </w:rPr>
              <w:t>n</w:t>
            </w:r>
            <w:r w:rsidR="00ED3F4A" w:rsidRPr="003A0120">
              <w:rPr>
                <w:sz w:val="20"/>
                <w:szCs w:val="20"/>
              </w:rPr>
              <w:t xml:space="preserve"> </w:t>
            </w:r>
            <w:r w:rsidR="00931641" w:rsidRPr="003A0120">
              <w:rPr>
                <w:sz w:val="20"/>
                <w:szCs w:val="20"/>
              </w:rPr>
              <w:t xml:space="preserve">Australian </w:t>
            </w:r>
            <w:r w:rsidR="00FE1A7C" w:rsidRPr="003A0120">
              <w:rPr>
                <w:sz w:val="20"/>
                <w:szCs w:val="20"/>
              </w:rPr>
              <w:t>Government</w:t>
            </w:r>
            <w:r w:rsidR="00ED3F4A" w:rsidRPr="003A0120">
              <w:rPr>
                <w:sz w:val="20"/>
                <w:szCs w:val="20"/>
              </w:rPr>
              <w:t xml:space="preserve"> </w:t>
            </w:r>
            <w:r w:rsidR="00ED3F4A" w:rsidRPr="003A0120">
              <w:rPr>
                <w:i/>
                <w:sz w:val="20"/>
                <w:szCs w:val="20"/>
              </w:rPr>
              <w:t>funded aged care service</w:t>
            </w:r>
            <w:r w:rsidR="00ED3F4A" w:rsidRPr="003A0120">
              <w:rPr>
                <w:sz w:val="20"/>
                <w:szCs w:val="20"/>
              </w:rPr>
              <w:t xml:space="preserve"> as defined in subsection 9(1) of the Act,</w:t>
            </w:r>
            <w:r w:rsidR="00243D8A" w:rsidRPr="003A0120">
              <w:rPr>
                <w:sz w:val="20"/>
                <w:szCs w:val="20"/>
              </w:rPr>
              <w:t xml:space="preserve"> </w:t>
            </w:r>
            <w:r w:rsidR="00ED3F4A" w:rsidRPr="003A0120">
              <w:rPr>
                <w:sz w:val="20"/>
                <w:szCs w:val="20"/>
              </w:rPr>
              <w:t xml:space="preserve">and included in the Aged Care Service List </w:t>
            </w:r>
            <w:r w:rsidRPr="003A0120">
              <w:rPr>
                <w:sz w:val="20"/>
                <w:szCs w:val="20"/>
              </w:rPr>
              <w:t>as contained within Chapter</w:t>
            </w:r>
            <w:r w:rsidR="000D7790">
              <w:rPr>
                <w:sz w:val="20"/>
                <w:szCs w:val="20"/>
              </w:rPr>
              <w:t> </w:t>
            </w:r>
            <w:r w:rsidRPr="003A0120">
              <w:rPr>
                <w:sz w:val="20"/>
                <w:szCs w:val="20"/>
              </w:rPr>
              <w:t xml:space="preserve">1 of the Aged Care Rules 2025. </w:t>
            </w:r>
          </w:p>
        </w:tc>
      </w:tr>
      <w:tr w:rsidR="00ED3F4A" w:rsidRPr="0040564F" w14:paraId="7E886321" w14:textId="77777777" w:rsidTr="1C30FF31">
        <w:tc>
          <w:tcPr>
            <w:tcW w:w="2547" w:type="dxa"/>
            <w:shd w:val="clear" w:color="auto" w:fill="FFFFFF" w:themeFill="background1"/>
          </w:tcPr>
          <w:p w14:paraId="539CE167" w14:textId="77777777" w:rsidR="00ED3F4A" w:rsidRPr="0040564F" w:rsidRDefault="00ED3F4A" w:rsidP="00C656E7">
            <w:pPr>
              <w:spacing w:before="0" w:after="60"/>
              <w:rPr>
                <w:rFonts w:cs="Calibri"/>
                <w:b/>
                <w:bCs/>
                <w:szCs w:val="20"/>
              </w:rPr>
            </w:pPr>
            <w:r w:rsidRPr="0040564F">
              <w:rPr>
                <w:rFonts w:cs="Calibri"/>
                <w:b/>
                <w:bCs/>
                <w:szCs w:val="20"/>
              </w:rPr>
              <w:t>Assessment Organisation</w:t>
            </w:r>
          </w:p>
        </w:tc>
        <w:tc>
          <w:tcPr>
            <w:tcW w:w="7264" w:type="dxa"/>
            <w:shd w:val="clear" w:color="auto" w:fill="FFFFFF" w:themeFill="background1"/>
          </w:tcPr>
          <w:p w14:paraId="4480068F" w14:textId="38F9CADF" w:rsidR="00ED3F4A" w:rsidRPr="003A0120" w:rsidRDefault="00ED3F4A" w:rsidP="00624415">
            <w:pPr>
              <w:pStyle w:val="TableParagraph"/>
              <w:rPr>
                <w:sz w:val="20"/>
                <w:szCs w:val="20"/>
              </w:rPr>
            </w:pPr>
            <w:r w:rsidRPr="003A0120">
              <w:rPr>
                <w:bCs/>
                <w:iCs/>
                <w:color w:val="000000" w:themeColor="text1"/>
                <w:sz w:val="20"/>
                <w:szCs w:val="20"/>
                <w:lang w:eastAsia="ko-KR"/>
              </w:rPr>
              <w:t xml:space="preserve">An entity engaged by the Department to provide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ged </w:t>
            </w:r>
            <w:r w:rsidR="002C5417" w:rsidRPr="003A0120">
              <w:rPr>
                <w:bCs/>
                <w:iCs/>
                <w:color w:val="000000" w:themeColor="text1"/>
                <w:sz w:val="20"/>
                <w:szCs w:val="20"/>
                <w:lang w:eastAsia="ko-KR"/>
              </w:rPr>
              <w:t>c</w:t>
            </w:r>
            <w:r w:rsidRPr="003A0120">
              <w:rPr>
                <w:bCs/>
                <w:iCs/>
                <w:color w:val="000000" w:themeColor="text1"/>
                <w:sz w:val="20"/>
                <w:szCs w:val="20"/>
                <w:lang w:eastAsia="ko-KR"/>
              </w:rPr>
              <w:t xml:space="preserve">are </w:t>
            </w:r>
            <w:r w:rsidR="002C5417" w:rsidRPr="003A0120">
              <w:rPr>
                <w:bCs/>
                <w:iCs/>
                <w:color w:val="000000" w:themeColor="text1"/>
                <w:sz w:val="20"/>
                <w:szCs w:val="20"/>
                <w:lang w:eastAsia="ko-KR"/>
              </w:rPr>
              <w:t>n</w:t>
            </w:r>
            <w:r w:rsidRPr="003A0120">
              <w:rPr>
                <w:bCs/>
                <w:iCs/>
                <w:color w:val="000000" w:themeColor="text1"/>
                <w:sz w:val="20"/>
                <w:szCs w:val="20"/>
                <w:lang w:eastAsia="ko-KR"/>
              </w:rPr>
              <w:t xml:space="preserve">eeds </w:t>
            </w:r>
            <w:r w:rsidR="002C5417" w:rsidRPr="003A0120">
              <w:rPr>
                <w:bCs/>
                <w:iCs/>
                <w:color w:val="000000" w:themeColor="text1"/>
                <w:sz w:val="20"/>
                <w:szCs w:val="20"/>
                <w:lang w:eastAsia="ko-KR"/>
              </w:rPr>
              <w:t>a</w:t>
            </w:r>
            <w:r w:rsidRPr="003A0120">
              <w:rPr>
                <w:bCs/>
                <w:iCs/>
                <w:color w:val="000000" w:themeColor="text1"/>
                <w:sz w:val="20"/>
                <w:szCs w:val="20"/>
                <w:lang w:eastAsia="ko-KR"/>
              </w:rPr>
              <w:t xml:space="preserve">ssessment </w:t>
            </w:r>
            <w:r w:rsidR="002C5417" w:rsidRPr="003A0120">
              <w:rPr>
                <w:bCs/>
                <w:iCs/>
                <w:color w:val="000000" w:themeColor="text1"/>
                <w:sz w:val="20"/>
                <w:szCs w:val="20"/>
                <w:lang w:eastAsia="ko-KR"/>
              </w:rPr>
              <w:t>s</w:t>
            </w:r>
            <w:r w:rsidRPr="003A0120">
              <w:rPr>
                <w:bCs/>
                <w:iCs/>
                <w:color w:val="000000" w:themeColor="text1"/>
                <w:sz w:val="20"/>
                <w:szCs w:val="20"/>
                <w:lang w:eastAsia="ko-KR"/>
              </w:rPr>
              <w:t xml:space="preserve">ervices and/or residential aged care funding assessment services. </w:t>
            </w:r>
          </w:p>
        </w:tc>
      </w:tr>
      <w:tr w:rsidR="00ED3F4A" w:rsidRPr="0040564F" w14:paraId="432435ED" w14:textId="77777777" w:rsidTr="1C30FF31">
        <w:tc>
          <w:tcPr>
            <w:tcW w:w="2547" w:type="dxa"/>
            <w:shd w:val="clear" w:color="auto" w:fill="FFFFFF" w:themeFill="background1"/>
          </w:tcPr>
          <w:p w14:paraId="514FD842" w14:textId="77777777" w:rsidR="00ED3F4A" w:rsidRPr="0040564F" w:rsidRDefault="00ED3F4A" w:rsidP="000C292E">
            <w:pPr>
              <w:spacing w:before="0" w:after="60"/>
              <w:rPr>
                <w:rFonts w:cs="Calibri"/>
                <w:b/>
                <w:bCs/>
                <w:szCs w:val="20"/>
              </w:rPr>
            </w:pPr>
            <w:r w:rsidRPr="0040564F">
              <w:rPr>
                <w:rFonts w:cs="Calibri"/>
                <w:b/>
                <w:bCs/>
                <w:szCs w:val="20"/>
              </w:rPr>
              <w:t>Associate Provider</w:t>
            </w:r>
          </w:p>
        </w:tc>
        <w:tc>
          <w:tcPr>
            <w:tcW w:w="7264" w:type="dxa"/>
            <w:shd w:val="clear" w:color="auto" w:fill="FFFFFF" w:themeFill="background1"/>
          </w:tcPr>
          <w:p w14:paraId="7F282BC6" w14:textId="68BE0AE5" w:rsidR="00ED3F4A" w:rsidRPr="003A0120" w:rsidRDefault="00ED3F4A" w:rsidP="00624415">
            <w:pPr>
              <w:pStyle w:val="TableParagraph"/>
              <w:rPr>
                <w:sz w:val="20"/>
                <w:szCs w:val="20"/>
              </w:rPr>
            </w:pPr>
            <w:r w:rsidRPr="003A0120">
              <w:rPr>
                <w:sz w:val="20"/>
                <w:szCs w:val="20"/>
              </w:rPr>
              <w:t>Is defined in subsection 11(6) of the Act. They deliver funded aged care services on behalf of</w:t>
            </w:r>
            <w:r w:rsidR="002C5417" w:rsidRPr="003A0120">
              <w:rPr>
                <w:sz w:val="20"/>
                <w:szCs w:val="20"/>
              </w:rPr>
              <w:t xml:space="preserve"> the</w:t>
            </w:r>
            <w:r w:rsidRPr="003A0120">
              <w:rPr>
                <w:sz w:val="20"/>
                <w:szCs w:val="20"/>
              </w:rPr>
              <w:t xml:space="preserve"> registered providers and are sub-contracting organisation</w:t>
            </w:r>
            <w:r w:rsidR="008A5725" w:rsidRPr="003A0120">
              <w:rPr>
                <w:sz w:val="20"/>
                <w:szCs w:val="20"/>
              </w:rPr>
              <w:t>s</w:t>
            </w:r>
            <w:r w:rsidRPr="003A0120">
              <w:rPr>
                <w:sz w:val="20"/>
                <w:szCs w:val="20"/>
              </w:rPr>
              <w:t xml:space="preserve"> to registered providers. </w:t>
            </w:r>
          </w:p>
        </w:tc>
      </w:tr>
      <w:tr w:rsidR="00ED3F4A" w:rsidRPr="0040564F" w14:paraId="1562AC06" w14:textId="77777777" w:rsidTr="1C30FF31">
        <w:tc>
          <w:tcPr>
            <w:tcW w:w="2547" w:type="dxa"/>
            <w:shd w:val="clear" w:color="auto" w:fill="FFFFFF" w:themeFill="background1"/>
          </w:tcPr>
          <w:p w14:paraId="5F35AD9F" w14:textId="77777777" w:rsidR="00ED3F4A" w:rsidRPr="0040564F" w:rsidRDefault="00ED3F4A" w:rsidP="000C292E">
            <w:pPr>
              <w:spacing w:before="0" w:after="60"/>
              <w:rPr>
                <w:rFonts w:cs="Calibri"/>
                <w:b/>
                <w:bCs/>
                <w:szCs w:val="20"/>
              </w:rPr>
            </w:pPr>
            <w:r w:rsidRPr="0040564F">
              <w:rPr>
                <w:rFonts w:cs="Calibri"/>
                <w:b/>
                <w:bCs/>
                <w:szCs w:val="20"/>
              </w:rPr>
              <w:t>Australian Commission on Safety and Quality in Health Care (ACSQHC)</w:t>
            </w:r>
          </w:p>
        </w:tc>
        <w:tc>
          <w:tcPr>
            <w:tcW w:w="7264" w:type="dxa"/>
            <w:shd w:val="clear" w:color="auto" w:fill="FFFFFF" w:themeFill="background1"/>
          </w:tcPr>
          <w:p w14:paraId="29529583" w14:textId="2A55764D" w:rsidR="00ED3F4A" w:rsidRPr="003A0120" w:rsidRDefault="00ED3F4A" w:rsidP="00624415">
            <w:pPr>
              <w:pStyle w:val="TableParagraph"/>
              <w:rPr>
                <w:sz w:val="20"/>
                <w:szCs w:val="20"/>
              </w:rPr>
            </w:pPr>
            <w:r w:rsidRPr="003A0120">
              <w:rPr>
                <w:sz w:val="20"/>
                <w:szCs w:val="20"/>
              </w:rPr>
              <w:t xml:space="preserve">The ACSQHC leads and coordinates key improvements in safety and quality in health care across Australia in partnership with patients, clinicians, the </w:t>
            </w:r>
            <w:r w:rsidR="00931641" w:rsidRPr="003A0120">
              <w:rPr>
                <w:sz w:val="20"/>
                <w:szCs w:val="20"/>
              </w:rPr>
              <w:t xml:space="preserve">Australian </w:t>
            </w:r>
            <w:r w:rsidR="0087339C" w:rsidRPr="003A0120">
              <w:rPr>
                <w:sz w:val="20"/>
                <w:szCs w:val="20"/>
              </w:rPr>
              <w:t>Government</w:t>
            </w:r>
            <w:r w:rsidRPr="003A0120">
              <w:rPr>
                <w:sz w:val="20"/>
                <w:szCs w:val="20"/>
              </w:rPr>
              <w:t xml:space="preserve">,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the private sector, and health care organisations.</w:t>
            </w:r>
          </w:p>
          <w:p w14:paraId="603E99E1" w14:textId="77777777" w:rsidR="00ED3F4A" w:rsidRPr="003A0120" w:rsidRDefault="00ED3F4A" w:rsidP="00624415">
            <w:pPr>
              <w:pStyle w:val="TableParagraph"/>
              <w:rPr>
                <w:bCs/>
                <w:sz w:val="20"/>
                <w:szCs w:val="20"/>
              </w:rPr>
            </w:pPr>
            <w:r w:rsidRPr="003A0120">
              <w:rPr>
                <w:bCs/>
                <w:sz w:val="20"/>
                <w:szCs w:val="20"/>
              </w:rPr>
              <w:t>The ACSQHC’s functions include:</w:t>
            </w:r>
          </w:p>
          <w:p w14:paraId="5CA23E07" w14:textId="77777777" w:rsidR="00ED3F4A" w:rsidRPr="003A0120" w:rsidRDefault="00ED3F4A" w:rsidP="005242AC">
            <w:pPr>
              <w:pStyle w:val="TLPTableBullet"/>
              <w:rPr>
                <w:sz w:val="20"/>
              </w:rPr>
            </w:pPr>
            <w:r w:rsidRPr="003A0120">
              <w:rPr>
                <w:sz w:val="20"/>
              </w:rPr>
              <w:t>developing national safety and quality standards;</w:t>
            </w:r>
          </w:p>
          <w:p w14:paraId="573284F5" w14:textId="77777777" w:rsidR="00ED3F4A" w:rsidRPr="003A0120" w:rsidRDefault="00ED3F4A" w:rsidP="005242AC">
            <w:pPr>
              <w:pStyle w:val="TLPTableBullet"/>
              <w:rPr>
                <w:sz w:val="20"/>
              </w:rPr>
            </w:pPr>
            <w:r w:rsidRPr="003A0120">
              <w:rPr>
                <w:sz w:val="20"/>
              </w:rPr>
              <w:t>developing clinical care standards;</w:t>
            </w:r>
          </w:p>
          <w:p w14:paraId="0EB86F09" w14:textId="77777777" w:rsidR="0040467D" w:rsidRPr="003A0120" w:rsidRDefault="00ED3F4A" w:rsidP="005242AC">
            <w:pPr>
              <w:pStyle w:val="TLPTableBullet"/>
              <w:rPr>
                <w:sz w:val="20"/>
              </w:rPr>
            </w:pPr>
            <w:r w:rsidRPr="003A0120">
              <w:rPr>
                <w:sz w:val="20"/>
              </w:rPr>
              <w:t>coordinating work in specific areas to improve outcomes for patients; and</w:t>
            </w:r>
          </w:p>
          <w:p w14:paraId="17C5ABF6" w14:textId="66CAD774" w:rsidR="00ED3F4A" w:rsidRPr="003A0120" w:rsidRDefault="00ED3F4A" w:rsidP="005242AC">
            <w:pPr>
              <w:pStyle w:val="TLPTableBullet"/>
              <w:rPr>
                <w:sz w:val="20"/>
              </w:rPr>
            </w:pPr>
            <w:r w:rsidRPr="003A0120">
              <w:rPr>
                <w:sz w:val="20"/>
              </w:rPr>
              <w:t>providing information, publications and resources about safety and quality.</w:t>
            </w:r>
          </w:p>
        </w:tc>
      </w:tr>
      <w:tr w:rsidR="00ED3F4A" w:rsidRPr="0040564F" w14:paraId="414F707A" w14:textId="77777777" w:rsidTr="1C30FF31">
        <w:tc>
          <w:tcPr>
            <w:tcW w:w="2547" w:type="dxa"/>
          </w:tcPr>
          <w:p w14:paraId="056E29BD" w14:textId="77777777" w:rsidR="00ED3F4A" w:rsidRPr="0040564F" w:rsidRDefault="00ED3F4A" w:rsidP="00C656E7">
            <w:pPr>
              <w:spacing w:before="0" w:after="60"/>
              <w:rPr>
                <w:rFonts w:cs="Calibri"/>
                <w:b/>
                <w:szCs w:val="20"/>
              </w:rPr>
            </w:pPr>
            <w:r w:rsidRPr="0040564F">
              <w:rPr>
                <w:rFonts w:cs="Calibri"/>
                <w:b/>
                <w:szCs w:val="20"/>
              </w:rPr>
              <w:t>Australian National Aged Care Classification (AN-ACC)</w:t>
            </w:r>
          </w:p>
        </w:tc>
        <w:tc>
          <w:tcPr>
            <w:tcW w:w="7264" w:type="dxa"/>
          </w:tcPr>
          <w:p w14:paraId="6E43FD0B" w14:textId="49DDB510" w:rsidR="00ED3F4A" w:rsidRPr="003A0120" w:rsidRDefault="00ED3F4A" w:rsidP="00624415">
            <w:pPr>
              <w:pStyle w:val="TableParagraph"/>
              <w:rPr>
                <w:sz w:val="20"/>
                <w:szCs w:val="20"/>
              </w:rPr>
            </w:pPr>
            <w:r w:rsidRPr="003A0120">
              <w:rPr>
                <w:sz w:val="20"/>
                <w:szCs w:val="20"/>
              </w:rPr>
              <w:t xml:space="preserve">AN-ACC is the funding model underpinning the payment of subsidies to </w:t>
            </w:r>
            <w:r w:rsidR="00931641" w:rsidRPr="003A0120">
              <w:rPr>
                <w:sz w:val="20"/>
                <w:szCs w:val="20"/>
              </w:rPr>
              <w:t xml:space="preserve">Australian </w:t>
            </w:r>
            <w:r w:rsidRPr="003A0120">
              <w:rPr>
                <w:sz w:val="20"/>
                <w:szCs w:val="20"/>
              </w:rPr>
              <w:t>Government funded residential aged care services. The A</w:t>
            </w:r>
            <w:r w:rsidR="00262094" w:rsidRPr="003A0120">
              <w:rPr>
                <w:sz w:val="20"/>
                <w:szCs w:val="20"/>
              </w:rPr>
              <w:t>N</w:t>
            </w:r>
            <w:r w:rsidR="0087339C" w:rsidRPr="003A0120">
              <w:rPr>
                <w:sz w:val="20"/>
                <w:szCs w:val="20"/>
              </w:rPr>
              <w:t>-</w:t>
            </w:r>
            <w:r w:rsidRPr="003A0120">
              <w:rPr>
                <w:sz w:val="20"/>
                <w:szCs w:val="20"/>
              </w:rPr>
              <w:t>ACC is used to assess core care needs as a basis for allocating funding.</w:t>
            </w:r>
          </w:p>
        </w:tc>
      </w:tr>
      <w:tr w:rsidR="00ED3F4A" w:rsidRPr="0040564F" w14:paraId="639AF7CE" w14:textId="77777777" w:rsidTr="1C30FF31">
        <w:tc>
          <w:tcPr>
            <w:tcW w:w="2547" w:type="dxa"/>
            <w:shd w:val="clear" w:color="auto" w:fill="FFFFFF" w:themeFill="background1"/>
          </w:tcPr>
          <w:p w14:paraId="1F9ADE4D" w14:textId="77777777" w:rsidR="00ED3F4A" w:rsidRPr="0040564F" w:rsidRDefault="00ED3F4A" w:rsidP="000C292E">
            <w:pPr>
              <w:spacing w:before="0" w:after="60"/>
              <w:rPr>
                <w:rFonts w:cs="Calibri"/>
                <w:b/>
                <w:bCs/>
                <w:szCs w:val="20"/>
              </w:rPr>
            </w:pPr>
            <w:r w:rsidRPr="0040564F">
              <w:rPr>
                <w:rFonts w:cs="Calibri"/>
                <w:b/>
                <w:bCs/>
                <w:szCs w:val="20"/>
              </w:rPr>
              <w:lastRenderedPageBreak/>
              <w:t>Australian Privacy Principles (APPs)</w:t>
            </w:r>
          </w:p>
        </w:tc>
        <w:tc>
          <w:tcPr>
            <w:tcW w:w="7264" w:type="dxa"/>
            <w:shd w:val="clear" w:color="auto" w:fill="FFFFFF" w:themeFill="background1"/>
          </w:tcPr>
          <w:p w14:paraId="55B1D65A" w14:textId="622C0E3A" w:rsidR="00ED3F4A" w:rsidRPr="003A0120" w:rsidRDefault="00ED3F4A" w:rsidP="00624415">
            <w:pPr>
              <w:pStyle w:val="TableParagraph"/>
              <w:rPr>
                <w:sz w:val="20"/>
                <w:szCs w:val="20"/>
              </w:rPr>
            </w:pPr>
            <w:r w:rsidRPr="003A0120">
              <w:rPr>
                <w:sz w:val="20"/>
                <w:szCs w:val="20"/>
              </w:rPr>
              <w:t xml:space="preserve">The APPs took effect from 12 March 2014 as a result of changes to the </w:t>
            </w:r>
            <w:r w:rsidRPr="003A0120">
              <w:rPr>
                <w:i/>
                <w:sz w:val="20"/>
                <w:szCs w:val="20"/>
              </w:rPr>
              <w:t>Privacy Act 1988</w:t>
            </w:r>
            <w:r w:rsidRPr="003A0120">
              <w:rPr>
                <w:sz w:val="20"/>
                <w:szCs w:val="20"/>
              </w:rPr>
              <w:t xml:space="preserve"> (Cth).</w:t>
            </w:r>
            <w:r w:rsidR="00473C81" w:rsidRPr="003A0120">
              <w:rPr>
                <w:sz w:val="20"/>
                <w:szCs w:val="20"/>
              </w:rPr>
              <w:t xml:space="preserve"> </w:t>
            </w:r>
            <w:r w:rsidRPr="003A0120">
              <w:rPr>
                <w:sz w:val="20"/>
                <w:szCs w:val="20"/>
              </w:rPr>
              <w:t>These principles relate to the National Privacy Principles and the Information Privacy Principles (IPPs) (except for ACT agencies who continue to be covered by the IPPs). The APPs:</w:t>
            </w:r>
          </w:p>
          <w:p w14:paraId="2E5E33E2" w14:textId="302A95A2" w:rsidR="000E6821" w:rsidRPr="003A0120" w:rsidRDefault="00ED3F4A" w:rsidP="005242AC">
            <w:pPr>
              <w:pStyle w:val="TLPTableBullet"/>
              <w:rPr>
                <w:sz w:val="20"/>
              </w:rPr>
            </w:pPr>
            <w:r w:rsidRPr="003A0120">
              <w:rPr>
                <w:sz w:val="20"/>
              </w:rPr>
              <w:t>deal with all stages of the processing of personal information, setting out standards for the collection, use</w:t>
            </w:r>
            <w:r w:rsidR="008C3934" w:rsidRPr="003A0120">
              <w:rPr>
                <w:sz w:val="20"/>
              </w:rPr>
              <w:t>,</w:t>
            </w:r>
            <w:r w:rsidRPr="003A0120">
              <w:rPr>
                <w:sz w:val="20"/>
              </w:rPr>
              <w:t xml:space="preserve"> disclosure, quality and security of personal information; and</w:t>
            </w:r>
          </w:p>
          <w:p w14:paraId="1BB0AAF3" w14:textId="4F2AC014" w:rsidR="00ED3F4A" w:rsidRPr="003A0120" w:rsidRDefault="00ED3F4A" w:rsidP="005242AC">
            <w:pPr>
              <w:pStyle w:val="TLPTableBullet"/>
              <w:rPr>
                <w:sz w:val="20"/>
              </w:rPr>
            </w:pPr>
            <w:r w:rsidRPr="003A0120">
              <w:rPr>
                <w:sz w:val="20"/>
              </w:rPr>
              <w:t>p</w:t>
            </w:r>
            <w:r w:rsidR="005A2843" w:rsidRPr="003A0120">
              <w:rPr>
                <w:sz w:val="20"/>
              </w:rPr>
              <w:t>lace</w:t>
            </w:r>
            <w:r w:rsidRPr="003A0120">
              <w:rPr>
                <w:sz w:val="20"/>
              </w:rPr>
              <w:t xml:space="preserve"> obligations on agencies and organisations subject to the </w:t>
            </w:r>
            <w:r w:rsidRPr="003A0120">
              <w:rPr>
                <w:i/>
                <w:iCs/>
                <w:sz w:val="20"/>
              </w:rPr>
              <w:t>Privacy Act 1988</w:t>
            </w:r>
            <w:r w:rsidRPr="003A0120">
              <w:rPr>
                <w:sz w:val="20"/>
              </w:rPr>
              <w:t xml:space="preserve"> concerning access to, and correction of, an individuals’ own personal information.</w:t>
            </w:r>
          </w:p>
        </w:tc>
      </w:tr>
      <w:tr w:rsidR="00ED3F4A" w:rsidRPr="0040564F" w14:paraId="61C5F375" w14:textId="77777777" w:rsidTr="1C30FF31">
        <w:tc>
          <w:tcPr>
            <w:tcW w:w="2547" w:type="dxa"/>
            <w:shd w:val="clear" w:color="auto" w:fill="FFFFFF" w:themeFill="background1"/>
          </w:tcPr>
          <w:p w14:paraId="4B217745" w14:textId="67C8247A" w:rsidR="00ED3F4A" w:rsidRPr="0040564F" w:rsidRDefault="00ED3F4A" w:rsidP="000C292E">
            <w:pPr>
              <w:spacing w:before="0" w:after="60"/>
              <w:rPr>
                <w:rFonts w:cs="Calibri"/>
                <w:b/>
                <w:bCs/>
                <w:szCs w:val="20"/>
              </w:rPr>
            </w:pPr>
            <w:r w:rsidRPr="0040564F">
              <w:rPr>
                <w:rFonts w:cs="Calibri"/>
                <w:b/>
                <w:bCs/>
                <w:szCs w:val="20"/>
              </w:rPr>
              <w:t xml:space="preserve">Care </w:t>
            </w:r>
            <w:r w:rsidR="0003158B" w:rsidRPr="0040564F">
              <w:rPr>
                <w:rFonts w:cs="Calibri"/>
                <w:b/>
                <w:bCs/>
                <w:szCs w:val="20"/>
              </w:rPr>
              <w:t>a</w:t>
            </w:r>
            <w:r w:rsidRPr="0040564F">
              <w:rPr>
                <w:rFonts w:cs="Calibri"/>
                <w:b/>
                <w:bCs/>
                <w:szCs w:val="20"/>
              </w:rPr>
              <w:t>nd Services Plan</w:t>
            </w:r>
          </w:p>
        </w:tc>
        <w:tc>
          <w:tcPr>
            <w:tcW w:w="7264" w:type="dxa"/>
            <w:shd w:val="clear" w:color="auto" w:fill="FFFFFF" w:themeFill="background1"/>
          </w:tcPr>
          <w:p w14:paraId="5DE97F4F" w14:textId="127B6B48" w:rsidR="00ED3F4A" w:rsidRPr="003A0120" w:rsidRDefault="00ED3F4A" w:rsidP="00624415">
            <w:pPr>
              <w:pStyle w:val="TableParagraph"/>
              <w:rPr>
                <w:sz w:val="20"/>
                <w:szCs w:val="20"/>
              </w:rPr>
            </w:pPr>
            <w:r w:rsidRPr="003A0120">
              <w:rPr>
                <w:sz w:val="20"/>
                <w:szCs w:val="20"/>
              </w:rPr>
              <w:t>A plan developed by the transition care service provider in consultation with the individual as required under section 148 of the Act and section 148-75 to 148-85</w:t>
            </w:r>
            <w:r w:rsidR="008B5653" w:rsidRPr="003A0120">
              <w:rPr>
                <w:sz w:val="20"/>
                <w:szCs w:val="20"/>
              </w:rPr>
              <w:t xml:space="preserve"> of the Rules</w:t>
            </w:r>
            <w:r w:rsidRPr="003A0120">
              <w:rPr>
                <w:sz w:val="20"/>
                <w:szCs w:val="20"/>
              </w:rPr>
              <w:t>. The plan describes the goals of transition care agreed with the individual, the type of services to be provided, the frequency and hours of actual service provision, the location at which the service will be provided and the respective responsibilities of the service provider (registered providers/associated providers), its staff and the individuals in care. The care and services plan for transition care should be informed by the hospital geriatric rehabilitation service and the clinical aged care needs assessor.</w:t>
            </w:r>
          </w:p>
        </w:tc>
      </w:tr>
      <w:tr w:rsidR="00ED3F4A" w:rsidRPr="0040564F" w14:paraId="1E42E396" w14:textId="77777777" w:rsidTr="1C30FF31">
        <w:tc>
          <w:tcPr>
            <w:tcW w:w="2547" w:type="dxa"/>
            <w:shd w:val="clear" w:color="auto" w:fill="FFFFFF" w:themeFill="background1"/>
          </w:tcPr>
          <w:p w14:paraId="0219AFB7" w14:textId="77777777" w:rsidR="00ED3F4A" w:rsidRPr="0040564F" w:rsidRDefault="00ED3F4A" w:rsidP="000C292E">
            <w:pPr>
              <w:spacing w:before="0" w:after="60"/>
              <w:rPr>
                <w:rFonts w:cs="Calibri"/>
                <w:b/>
                <w:bCs/>
                <w:szCs w:val="20"/>
              </w:rPr>
            </w:pPr>
            <w:r w:rsidRPr="0040564F">
              <w:rPr>
                <w:rFonts w:cs="Calibri"/>
                <w:b/>
                <w:bCs/>
                <w:szCs w:val="20"/>
              </w:rPr>
              <w:t>Carer</w:t>
            </w:r>
          </w:p>
        </w:tc>
        <w:tc>
          <w:tcPr>
            <w:tcW w:w="7264" w:type="dxa"/>
            <w:shd w:val="clear" w:color="auto" w:fill="FFFFFF" w:themeFill="background1"/>
          </w:tcPr>
          <w:p w14:paraId="5A7038E1" w14:textId="03E44C1B" w:rsidR="00ED3F4A" w:rsidRPr="003A0120" w:rsidRDefault="00ED3F4A" w:rsidP="00624415">
            <w:pPr>
              <w:pStyle w:val="TableParagraph"/>
              <w:rPr>
                <w:sz w:val="20"/>
                <w:szCs w:val="20"/>
              </w:rPr>
            </w:pPr>
            <w:r w:rsidRPr="003A0120">
              <w:rPr>
                <w:sz w:val="20"/>
                <w:szCs w:val="20"/>
              </w:rPr>
              <w:t>Is defined in section 7 of the Act and</w:t>
            </w:r>
            <w:r w:rsidR="00582413" w:rsidRPr="003A0120">
              <w:rPr>
                <w:sz w:val="20"/>
                <w:szCs w:val="20"/>
              </w:rPr>
              <w:t xml:space="preserve"> refers to a</w:t>
            </w:r>
            <w:r w:rsidRPr="003A0120">
              <w:rPr>
                <w:sz w:val="20"/>
                <w:szCs w:val="20"/>
              </w:rPr>
              <w:t xml:space="preserve"> person who</w:t>
            </w:r>
            <w:r w:rsidR="00476149" w:rsidRPr="003A0120">
              <w:rPr>
                <w:sz w:val="20"/>
                <w:szCs w:val="20"/>
              </w:rPr>
              <w:t xml:space="preserve"> </w:t>
            </w:r>
            <w:r w:rsidRPr="003A0120">
              <w:rPr>
                <w:sz w:val="20"/>
                <w:szCs w:val="20"/>
              </w:rPr>
              <w:t>provides personal care, support and assistance to an</w:t>
            </w:r>
            <w:r w:rsidR="00476149" w:rsidRPr="003A0120">
              <w:rPr>
                <w:sz w:val="20"/>
                <w:szCs w:val="20"/>
              </w:rPr>
              <w:t xml:space="preserve"> </w:t>
            </w:r>
            <w:r w:rsidRPr="003A0120">
              <w:rPr>
                <w:sz w:val="20"/>
                <w:szCs w:val="20"/>
              </w:rPr>
              <w:t>older individual</w:t>
            </w:r>
            <w:r w:rsidR="00DD1B6A" w:rsidRPr="003A0120">
              <w:rPr>
                <w:sz w:val="20"/>
                <w:szCs w:val="20"/>
              </w:rPr>
              <w:t>,</w:t>
            </w:r>
            <w:r w:rsidR="00476149" w:rsidRPr="003A0120">
              <w:rPr>
                <w:sz w:val="20"/>
                <w:szCs w:val="20"/>
              </w:rPr>
              <w:t xml:space="preserve"> </w:t>
            </w:r>
            <w:r w:rsidRPr="003A0120">
              <w:rPr>
                <w:sz w:val="20"/>
                <w:szCs w:val="20"/>
              </w:rPr>
              <w:t>and</w:t>
            </w:r>
            <w:r w:rsidR="00476149" w:rsidRPr="003A0120">
              <w:rPr>
                <w:sz w:val="20"/>
                <w:szCs w:val="20"/>
              </w:rPr>
              <w:t xml:space="preserve"> that person does not do so as </w:t>
            </w:r>
            <w:r w:rsidRPr="003A0120">
              <w:rPr>
                <w:sz w:val="20"/>
                <w:szCs w:val="20"/>
              </w:rPr>
              <w:t>an aged care worker</w:t>
            </w:r>
            <w:r w:rsidR="00476149" w:rsidRPr="003A0120">
              <w:rPr>
                <w:sz w:val="20"/>
                <w:szCs w:val="20"/>
              </w:rPr>
              <w:t>, volunteer or student.</w:t>
            </w:r>
          </w:p>
        </w:tc>
      </w:tr>
      <w:tr w:rsidR="00ED3F4A" w:rsidRPr="0040564F" w14:paraId="0B2C3F03" w14:textId="77777777" w:rsidTr="1C30FF31">
        <w:tc>
          <w:tcPr>
            <w:tcW w:w="2547" w:type="dxa"/>
            <w:shd w:val="clear" w:color="auto" w:fill="FFFFFF" w:themeFill="background1"/>
          </w:tcPr>
          <w:p w14:paraId="0721AECA" w14:textId="77777777" w:rsidR="00ED3F4A" w:rsidRPr="0040564F" w:rsidRDefault="00ED3F4A" w:rsidP="000C292E">
            <w:pPr>
              <w:spacing w:before="0" w:after="60"/>
              <w:rPr>
                <w:rFonts w:cs="Calibri"/>
                <w:b/>
                <w:bCs/>
                <w:szCs w:val="20"/>
              </w:rPr>
            </w:pPr>
            <w:r w:rsidRPr="0040564F">
              <w:rPr>
                <w:rFonts w:cs="Calibri"/>
                <w:b/>
                <w:bCs/>
                <w:szCs w:val="20"/>
              </w:rPr>
              <w:t xml:space="preserve">Clinical Aged Care Needs Assessor </w:t>
            </w:r>
          </w:p>
        </w:tc>
        <w:tc>
          <w:tcPr>
            <w:tcW w:w="7264" w:type="dxa"/>
            <w:shd w:val="clear" w:color="auto" w:fill="FFFFFF" w:themeFill="background1"/>
          </w:tcPr>
          <w:p w14:paraId="211A5B46" w14:textId="7281E84C" w:rsidR="00ED3F4A" w:rsidRPr="003A0120" w:rsidRDefault="00ED3F4A" w:rsidP="00624415">
            <w:pPr>
              <w:pStyle w:val="TableParagraph"/>
              <w:rPr>
                <w:sz w:val="20"/>
                <w:szCs w:val="20"/>
              </w:rPr>
            </w:pPr>
            <w:r w:rsidRPr="003A0120">
              <w:rPr>
                <w:rFonts w:eastAsiaTheme="majorEastAsia"/>
                <w:sz w:val="20"/>
                <w:szCs w:val="20"/>
              </w:rPr>
              <w:t xml:space="preserve">A clinically trained assessor who meets the qualification and training requirements outlined in the assessment organisation's contractual agreement with the </w:t>
            </w:r>
            <w:r w:rsidR="00931641" w:rsidRPr="003A0120">
              <w:rPr>
                <w:sz w:val="20"/>
                <w:szCs w:val="20"/>
              </w:rPr>
              <w:t>Australian</w:t>
            </w:r>
            <w:r w:rsidR="00FE1A7C" w:rsidRPr="003A0120">
              <w:rPr>
                <w:sz w:val="20"/>
                <w:szCs w:val="20"/>
              </w:rPr>
              <w:t xml:space="preserve"> Government</w:t>
            </w:r>
            <w:r w:rsidRPr="003A0120">
              <w:rPr>
                <w:sz w:val="20"/>
                <w:szCs w:val="20"/>
              </w:rPr>
              <w:t xml:space="preserve"> </w:t>
            </w:r>
            <w:r w:rsidRPr="003A0120">
              <w:rPr>
                <w:rFonts w:eastAsiaTheme="majorEastAsia"/>
                <w:sz w:val="20"/>
                <w:szCs w:val="20"/>
                <w:lang w:eastAsia="ko-KR"/>
              </w:rPr>
              <w:t>and in the My Aged Care Workforce Learning Strategy 2024 (or subsequent versions). A clinical assessor undertakes complex (comprehensive) aged care needs assessments with older people and will be required to exercise clinical judgement.  </w:t>
            </w:r>
          </w:p>
        </w:tc>
      </w:tr>
      <w:tr w:rsidR="00ED3F4A" w:rsidRPr="0040564F" w14:paraId="6EA0BAAC" w14:textId="77777777" w:rsidTr="1C30FF31">
        <w:tc>
          <w:tcPr>
            <w:tcW w:w="2547" w:type="dxa"/>
            <w:shd w:val="clear" w:color="auto" w:fill="FFFFFF" w:themeFill="background1"/>
          </w:tcPr>
          <w:p w14:paraId="3B79FA81" w14:textId="3D7DB330" w:rsidR="00ED3F4A" w:rsidRPr="0040564F" w:rsidRDefault="009D3894" w:rsidP="000C292E">
            <w:pPr>
              <w:spacing w:before="0" w:after="60"/>
              <w:rPr>
                <w:rFonts w:cs="Calibri"/>
                <w:b/>
                <w:bCs/>
                <w:szCs w:val="20"/>
              </w:rPr>
            </w:pPr>
            <w:r w:rsidRPr="0040564F">
              <w:rPr>
                <w:rFonts w:cs="Calibri"/>
                <w:b/>
                <w:bCs/>
                <w:szCs w:val="20"/>
              </w:rPr>
              <w:t>Commonwealth</w:t>
            </w:r>
            <w:r w:rsidR="00ED3F4A" w:rsidRPr="0040564F">
              <w:rPr>
                <w:rFonts w:cs="Calibri"/>
                <w:b/>
                <w:bCs/>
                <w:szCs w:val="20"/>
              </w:rPr>
              <w:t xml:space="preserve"> Home Support Program (CHSP)</w:t>
            </w:r>
          </w:p>
        </w:tc>
        <w:tc>
          <w:tcPr>
            <w:tcW w:w="7264" w:type="dxa"/>
            <w:shd w:val="clear" w:color="auto" w:fill="FFFFFF" w:themeFill="background1"/>
          </w:tcPr>
          <w:p w14:paraId="049BF8B4" w14:textId="7CD0B7AA" w:rsidR="00ED3F4A" w:rsidRPr="003A0120" w:rsidRDefault="00ED3F4A" w:rsidP="00624415">
            <w:pPr>
              <w:pStyle w:val="TableParagraph"/>
              <w:rPr>
                <w:sz w:val="20"/>
                <w:szCs w:val="20"/>
              </w:rPr>
            </w:pPr>
            <w:r w:rsidRPr="003A0120">
              <w:rPr>
                <w:color w:val="000000" w:themeColor="text1"/>
                <w:sz w:val="20"/>
                <w:szCs w:val="20"/>
                <w:lang w:val="en"/>
              </w:rPr>
              <w:t xml:space="preserve">The </w:t>
            </w:r>
            <w:r w:rsidR="009D3894" w:rsidRPr="003A0120">
              <w:rPr>
                <w:color w:val="000000" w:themeColor="text1"/>
                <w:sz w:val="20"/>
                <w:szCs w:val="20"/>
                <w:lang w:val="en"/>
              </w:rPr>
              <w:t>Commonwealth</w:t>
            </w:r>
            <w:r w:rsidRPr="003A0120">
              <w:rPr>
                <w:color w:val="000000" w:themeColor="text1"/>
                <w:sz w:val="20"/>
                <w:szCs w:val="20"/>
                <w:lang w:val="en"/>
              </w:rPr>
              <w:t xml:space="preserve"> Home Support Program provides a broad range of entry-level support services to assist older people aged 65 years and over (50 years and over for Aboriginal and Torres Strait Islander people) to live independently in their homes and communities. From 1 November 2025, the CHSP comes under the </w:t>
            </w:r>
            <w:r w:rsidRPr="003A0120">
              <w:rPr>
                <w:i/>
                <w:iCs/>
                <w:color w:val="000000" w:themeColor="text1"/>
                <w:sz w:val="20"/>
                <w:szCs w:val="20"/>
                <w:lang w:val="en"/>
              </w:rPr>
              <w:t>Aged Care Act 2024</w:t>
            </w:r>
            <w:r w:rsidRPr="003A0120">
              <w:rPr>
                <w:color w:val="000000" w:themeColor="text1"/>
                <w:sz w:val="20"/>
                <w:szCs w:val="20"/>
                <w:lang w:val="en"/>
              </w:rPr>
              <w:t>.</w:t>
            </w:r>
          </w:p>
        </w:tc>
      </w:tr>
      <w:tr w:rsidR="00ED3F4A" w:rsidRPr="0040564F" w14:paraId="0393A81B" w14:textId="77777777" w:rsidTr="1C30FF31">
        <w:tc>
          <w:tcPr>
            <w:tcW w:w="2547" w:type="dxa"/>
            <w:shd w:val="clear" w:color="auto" w:fill="FFFFFF" w:themeFill="background1"/>
          </w:tcPr>
          <w:p w14:paraId="27265BE9" w14:textId="133A0EB4" w:rsidR="00ED3F4A" w:rsidRPr="0040564F" w:rsidRDefault="00ED3F4A" w:rsidP="000C292E">
            <w:pPr>
              <w:spacing w:before="0" w:after="60"/>
              <w:rPr>
                <w:rFonts w:cs="Calibri"/>
                <w:b/>
                <w:bCs/>
                <w:szCs w:val="20"/>
              </w:rPr>
            </w:pPr>
            <w:r w:rsidRPr="0040564F">
              <w:rPr>
                <w:rFonts w:cs="Calibri"/>
                <w:b/>
                <w:bCs/>
                <w:szCs w:val="20"/>
              </w:rPr>
              <w:t xml:space="preserve">Comprehensive </w:t>
            </w:r>
            <w:r w:rsidR="004F1732" w:rsidRPr="0040564F">
              <w:rPr>
                <w:rFonts w:cs="Calibri"/>
                <w:b/>
                <w:bCs/>
                <w:szCs w:val="20"/>
              </w:rPr>
              <w:t>A</w:t>
            </w:r>
            <w:r w:rsidRPr="0040564F">
              <w:rPr>
                <w:rFonts w:cs="Calibri"/>
                <w:b/>
                <w:bCs/>
                <w:szCs w:val="20"/>
              </w:rPr>
              <w:t>ssessment</w:t>
            </w:r>
          </w:p>
        </w:tc>
        <w:tc>
          <w:tcPr>
            <w:tcW w:w="7264" w:type="dxa"/>
            <w:shd w:val="clear" w:color="auto" w:fill="FFFFFF" w:themeFill="background1"/>
          </w:tcPr>
          <w:p w14:paraId="05A0C434" w14:textId="77777777" w:rsidR="00ED3F4A" w:rsidRPr="003A0120" w:rsidRDefault="00ED3F4A" w:rsidP="00624415">
            <w:pPr>
              <w:pStyle w:val="TableParagraph"/>
              <w:rPr>
                <w:sz w:val="20"/>
                <w:szCs w:val="20"/>
              </w:rPr>
            </w:pPr>
            <w:r w:rsidRPr="003A0120">
              <w:rPr>
                <w:sz w:val="20"/>
                <w:szCs w:val="20"/>
              </w:rPr>
              <w:t>An assessment type for people with more complex needs. Comprehensive assessments are undertaken by clinical assessors.</w:t>
            </w:r>
          </w:p>
        </w:tc>
      </w:tr>
      <w:tr w:rsidR="00ED3F4A" w:rsidRPr="0040564F" w14:paraId="730C3BA7" w14:textId="77777777" w:rsidTr="1C30FF31">
        <w:tc>
          <w:tcPr>
            <w:tcW w:w="2547" w:type="dxa"/>
            <w:shd w:val="clear" w:color="auto" w:fill="FFFFFF" w:themeFill="background1"/>
          </w:tcPr>
          <w:p w14:paraId="52A4C389" w14:textId="77777777" w:rsidR="00ED3F4A" w:rsidRPr="0040564F" w:rsidRDefault="00ED3F4A" w:rsidP="000C292E">
            <w:pPr>
              <w:spacing w:before="0" w:after="60"/>
              <w:rPr>
                <w:rFonts w:cs="Calibri"/>
                <w:b/>
                <w:bCs/>
                <w:szCs w:val="20"/>
              </w:rPr>
            </w:pPr>
            <w:r w:rsidRPr="0040564F">
              <w:rPr>
                <w:rFonts w:cs="Calibri"/>
                <w:b/>
                <w:bCs/>
                <w:szCs w:val="20"/>
              </w:rPr>
              <w:t xml:space="preserve">Dementia </w:t>
            </w:r>
          </w:p>
        </w:tc>
        <w:tc>
          <w:tcPr>
            <w:tcW w:w="7264" w:type="dxa"/>
            <w:shd w:val="clear" w:color="auto" w:fill="FFFFFF" w:themeFill="background1"/>
          </w:tcPr>
          <w:p w14:paraId="15EE53A9" w14:textId="77777777" w:rsidR="00ED3F4A" w:rsidRPr="003A0120" w:rsidRDefault="00ED3F4A" w:rsidP="00624415">
            <w:pPr>
              <w:pStyle w:val="TableParagraph"/>
              <w:rPr>
                <w:sz w:val="20"/>
                <w:szCs w:val="20"/>
              </w:rPr>
            </w:pPr>
            <w:r w:rsidRPr="003A0120">
              <w:rPr>
                <w:sz w:val="20"/>
                <w:szCs w:val="20"/>
              </w:rPr>
              <w:t>Dementia is an umbrella term describing a syndrome associated with more than 100 different diseases characterised by the impairment of brain functions, including language, memory, perception, personality and cognitive skills. Although the type and severity of symptoms and their pattern of development varies with the type of dementia, it is usually of gradual onset, progressive in nature and irreversible.</w:t>
            </w:r>
          </w:p>
        </w:tc>
      </w:tr>
      <w:tr w:rsidR="00ED3F4A" w:rsidRPr="0040564F" w14:paraId="3AECBE02" w14:textId="77777777" w:rsidTr="1C30FF31">
        <w:tc>
          <w:tcPr>
            <w:tcW w:w="2547" w:type="dxa"/>
            <w:shd w:val="clear" w:color="auto" w:fill="FFFFFF" w:themeFill="background1"/>
          </w:tcPr>
          <w:p w14:paraId="37597DE3" w14:textId="77777777" w:rsidR="00ED3F4A" w:rsidRPr="0040564F" w:rsidRDefault="00ED3F4A" w:rsidP="000C292E">
            <w:pPr>
              <w:spacing w:before="0" w:after="60"/>
              <w:rPr>
                <w:rFonts w:cs="Calibri"/>
                <w:b/>
                <w:bCs/>
                <w:szCs w:val="20"/>
              </w:rPr>
            </w:pPr>
            <w:r w:rsidRPr="0040564F">
              <w:rPr>
                <w:rFonts w:cs="Calibri"/>
                <w:b/>
                <w:bCs/>
                <w:szCs w:val="20"/>
              </w:rPr>
              <w:t>Department</w:t>
            </w:r>
          </w:p>
        </w:tc>
        <w:tc>
          <w:tcPr>
            <w:tcW w:w="7264" w:type="dxa"/>
            <w:shd w:val="clear" w:color="auto" w:fill="FFFFFF" w:themeFill="background1"/>
          </w:tcPr>
          <w:p w14:paraId="7F3F4FFE" w14:textId="77777777" w:rsidR="00ED3F4A" w:rsidRPr="003A0120" w:rsidRDefault="00ED3F4A" w:rsidP="00624415">
            <w:pPr>
              <w:pStyle w:val="TableParagraph"/>
              <w:rPr>
                <w:sz w:val="20"/>
                <w:szCs w:val="20"/>
              </w:rPr>
            </w:pPr>
            <w:r w:rsidRPr="003A0120">
              <w:rPr>
                <w:sz w:val="20"/>
                <w:szCs w:val="20"/>
              </w:rPr>
              <w:t>The Australian Government Department of Health, Disability and Ageing.</w:t>
            </w:r>
          </w:p>
        </w:tc>
      </w:tr>
      <w:tr w:rsidR="00ED3F4A" w:rsidRPr="0040564F" w14:paraId="36DC51F7" w14:textId="77777777" w:rsidTr="1C30FF31">
        <w:tc>
          <w:tcPr>
            <w:tcW w:w="2547" w:type="dxa"/>
            <w:shd w:val="clear" w:color="auto" w:fill="FFFFFF" w:themeFill="background1"/>
          </w:tcPr>
          <w:p w14:paraId="27421A96" w14:textId="77777777" w:rsidR="00ED3F4A" w:rsidRPr="0040564F" w:rsidRDefault="00ED3F4A" w:rsidP="000C292E">
            <w:pPr>
              <w:spacing w:before="0" w:after="60"/>
              <w:rPr>
                <w:rFonts w:cs="Calibri"/>
                <w:b/>
                <w:bCs/>
                <w:szCs w:val="20"/>
              </w:rPr>
            </w:pPr>
            <w:r w:rsidRPr="0040564F">
              <w:rPr>
                <w:rFonts w:cs="Calibri"/>
                <w:b/>
                <w:bCs/>
                <w:szCs w:val="20"/>
              </w:rPr>
              <w:t>Departmental Delegate</w:t>
            </w:r>
          </w:p>
        </w:tc>
        <w:tc>
          <w:tcPr>
            <w:tcW w:w="7264" w:type="dxa"/>
            <w:shd w:val="clear" w:color="auto" w:fill="FFFFFF" w:themeFill="background1"/>
          </w:tcPr>
          <w:p w14:paraId="2E02A763" w14:textId="77777777" w:rsidR="00ED3F4A" w:rsidRPr="003A0120" w:rsidRDefault="00ED3F4A" w:rsidP="00624415">
            <w:pPr>
              <w:pStyle w:val="TableParagraph"/>
              <w:rPr>
                <w:sz w:val="20"/>
                <w:szCs w:val="20"/>
              </w:rPr>
            </w:pPr>
            <w:r w:rsidRPr="003A0120">
              <w:rPr>
                <w:sz w:val="20"/>
                <w:szCs w:val="20"/>
              </w:rPr>
              <w:t xml:space="preserve">A departmental employee whose position has been delegated powers and functions under a section of the </w:t>
            </w:r>
            <w:r w:rsidRPr="003A0120">
              <w:rPr>
                <w:i/>
                <w:sz w:val="20"/>
                <w:szCs w:val="20"/>
              </w:rPr>
              <w:t xml:space="preserve">Aged Care Act 2024 </w:t>
            </w:r>
            <w:r w:rsidRPr="003A0120">
              <w:rPr>
                <w:sz w:val="20"/>
                <w:szCs w:val="20"/>
              </w:rPr>
              <w:t xml:space="preserve">(Cth) by the System Governor. </w:t>
            </w:r>
          </w:p>
        </w:tc>
      </w:tr>
      <w:tr w:rsidR="00ED3F4A" w:rsidRPr="0040564F" w14:paraId="21DB0C9B" w14:textId="77777777" w:rsidTr="1C30FF31">
        <w:tc>
          <w:tcPr>
            <w:tcW w:w="2547" w:type="dxa"/>
            <w:shd w:val="clear" w:color="auto" w:fill="FFFFFF" w:themeFill="background1"/>
          </w:tcPr>
          <w:p w14:paraId="2409C3D6" w14:textId="77777777" w:rsidR="00ED3F4A" w:rsidRPr="0040564F" w:rsidRDefault="00ED3F4A" w:rsidP="000C292E">
            <w:pPr>
              <w:spacing w:before="0" w:after="60"/>
              <w:rPr>
                <w:rFonts w:cs="Calibri"/>
                <w:b/>
                <w:bCs/>
                <w:szCs w:val="20"/>
              </w:rPr>
            </w:pPr>
            <w:r w:rsidRPr="0040564F">
              <w:rPr>
                <w:rFonts w:cs="Calibri"/>
                <w:b/>
                <w:bCs/>
                <w:szCs w:val="20"/>
              </w:rPr>
              <w:t>GP</w:t>
            </w:r>
          </w:p>
        </w:tc>
        <w:tc>
          <w:tcPr>
            <w:tcW w:w="7264" w:type="dxa"/>
            <w:shd w:val="clear" w:color="auto" w:fill="FFFFFF" w:themeFill="background1"/>
          </w:tcPr>
          <w:p w14:paraId="25AABB2A" w14:textId="77777777" w:rsidR="00ED3F4A" w:rsidRPr="003A0120" w:rsidRDefault="00ED3F4A" w:rsidP="00624415">
            <w:pPr>
              <w:pStyle w:val="TableParagraph"/>
              <w:rPr>
                <w:sz w:val="20"/>
                <w:szCs w:val="20"/>
              </w:rPr>
            </w:pPr>
            <w:r w:rsidRPr="003A0120">
              <w:rPr>
                <w:sz w:val="20"/>
                <w:szCs w:val="20"/>
              </w:rPr>
              <w:t>General Practitioner.</w:t>
            </w:r>
          </w:p>
        </w:tc>
      </w:tr>
      <w:tr w:rsidR="00ED3F4A" w:rsidRPr="0040564F" w14:paraId="19F3D3E4" w14:textId="77777777" w:rsidTr="1C30FF31">
        <w:tc>
          <w:tcPr>
            <w:tcW w:w="2547" w:type="dxa"/>
            <w:shd w:val="clear" w:color="auto" w:fill="FFFFFF" w:themeFill="background1"/>
          </w:tcPr>
          <w:p w14:paraId="6B7F61AF" w14:textId="77777777" w:rsidR="00ED3F4A" w:rsidRPr="0040564F" w:rsidRDefault="00ED3F4A" w:rsidP="000C292E">
            <w:pPr>
              <w:spacing w:before="0" w:after="60"/>
              <w:rPr>
                <w:rFonts w:cs="Calibri"/>
                <w:b/>
                <w:bCs/>
                <w:szCs w:val="20"/>
              </w:rPr>
            </w:pPr>
            <w:r w:rsidRPr="0040564F">
              <w:rPr>
                <w:rFonts w:cs="Calibri"/>
                <w:b/>
                <w:bCs/>
                <w:szCs w:val="20"/>
              </w:rPr>
              <w:t>Individual</w:t>
            </w:r>
          </w:p>
        </w:tc>
        <w:tc>
          <w:tcPr>
            <w:tcW w:w="7264" w:type="dxa"/>
            <w:shd w:val="clear" w:color="auto" w:fill="FFFFFF" w:themeFill="background1"/>
          </w:tcPr>
          <w:p w14:paraId="10D36C71" w14:textId="23CF5DD5" w:rsidR="00ED3F4A" w:rsidRPr="003A0120" w:rsidRDefault="5DADF420" w:rsidP="00624415">
            <w:pPr>
              <w:pStyle w:val="TableParagraph"/>
              <w:rPr>
                <w:sz w:val="20"/>
                <w:szCs w:val="20"/>
              </w:rPr>
            </w:pPr>
            <w:r w:rsidRPr="003A0120">
              <w:rPr>
                <w:sz w:val="20"/>
                <w:szCs w:val="20"/>
              </w:rPr>
              <w:t>M</w:t>
            </w:r>
            <w:r w:rsidR="5B1FA036" w:rsidRPr="003A0120">
              <w:rPr>
                <w:sz w:val="20"/>
                <w:szCs w:val="20"/>
              </w:rPr>
              <w:t xml:space="preserve">eans individuals approved to access </w:t>
            </w:r>
            <w:r w:rsidR="00931641" w:rsidRPr="003A0120">
              <w:rPr>
                <w:sz w:val="20"/>
                <w:szCs w:val="20"/>
              </w:rPr>
              <w:t>Australian</w:t>
            </w:r>
            <w:r w:rsidR="195B4025" w:rsidRPr="003A0120">
              <w:rPr>
                <w:sz w:val="20"/>
                <w:szCs w:val="20"/>
              </w:rPr>
              <w:t xml:space="preserve"> Government</w:t>
            </w:r>
            <w:r w:rsidR="00931641" w:rsidRPr="003A0120">
              <w:rPr>
                <w:sz w:val="20"/>
                <w:szCs w:val="20"/>
              </w:rPr>
              <w:t xml:space="preserve"> </w:t>
            </w:r>
            <w:r w:rsidR="5B1FA036" w:rsidRPr="003A0120">
              <w:rPr>
                <w:sz w:val="20"/>
                <w:szCs w:val="20"/>
              </w:rPr>
              <w:t>funded Aged Care Services under Chapter 2 of the Act</w:t>
            </w:r>
            <w:r w:rsidR="1863E90C" w:rsidRPr="1C30FF31">
              <w:rPr>
                <w:sz w:val="20"/>
                <w:szCs w:val="20"/>
              </w:rPr>
              <w:t>.</w:t>
            </w:r>
          </w:p>
        </w:tc>
      </w:tr>
      <w:tr w:rsidR="00ED3F4A" w:rsidRPr="0040564F" w14:paraId="4411DD7F" w14:textId="77777777" w:rsidTr="1C30FF31">
        <w:tc>
          <w:tcPr>
            <w:tcW w:w="2547" w:type="dxa"/>
            <w:shd w:val="clear" w:color="auto" w:fill="FFFFFF" w:themeFill="background1"/>
          </w:tcPr>
          <w:p w14:paraId="3A148514" w14:textId="77777777" w:rsidR="00ED3F4A" w:rsidRPr="0040564F" w:rsidRDefault="00ED3F4A" w:rsidP="000C292E">
            <w:pPr>
              <w:spacing w:before="0" w:after="60"/>
              <w:rPr>
                <w:rFonts w:cs="Calibri"/>
                <w:b/>
                <w:bCs/>
                <w:szCs w:val="20"/>
              </w:rPr>
            </w:pPr>
            <w:r w:rsidRPr="0040564F">
              <w:rPr>
                <w:rFonts w:cs="Calibri"/>
                <w:b/>
                <w:bCs/>
                <w:szCs w:val="20"/>
              </w:rPr>
              <w:t>In-Patient Hospital Episode</w:t>
            </w:r>
          </w:p>
        </w:tc>
        <w:tc>
          <w:tcPr>
            <w:tcW w:w="7264" w:type="dxa"/>
            <w:shd w:val="clear" w:color="auto" w:fill="FFFFFF" w:themeFill="background1"/>
          </w:tcPr>
          <w:p w14:paraId="40423365" w14:textId="0D3BBB12" w:rsidR="00ED3F4A" w:rsidRPr="003A0120" w:rsidRDefault="00ED3F4A" w:rsidP="00624415">
            <w:pPr>
              <w:pStyle w:val="TableParagraph"/>
              <w:rPr>
                <w:sz w:val="20"/>
                <w:szCs w:val="20"/>
              </w:rPr>
            </w:pPr>
            <w:r w:rsidRPr="003A0120">
              <w:rPr>
                <w:sz w:val="20"/>
                <w:szCs w:val="20"/>
              </w:rPr>
              <w:t>In relation to a</w:t>
            </w:r>
            <w:r w:rsidR="000E156E" w:rsidRPr="003A0120">
              <w:rPr>
                <w:sz w:val="20"/>
                <w:szCs w:val="20"/>
              </w:rPr>
              <w:t>n</w:t>
            </w:r>
            <w:r w:rsidR="008D19BC" w:rsidRPr="003A0120">
              <w:rPr>
                <w:sz w:val="20"/>
                <w:szCs w:val="20"/>
              </w:rPr>
              <w:t xml:space="preserve"> </w:t>
            </w:r>
            <w:r w:rsidRPr="003A0120">
              <w:rPr>
                <w:sz w:val="20"/>
                <w:szCs w:val="20"/>
              </w:rPr>
              <w:t>individual, means a continuous period during which the individual:</w:t>
            </w:r>
          </w:p>
          <w:p w14:paraId="46BA8F72" w14:textId="77777777" w:rsidR="00ED3F4A" w:rsidRPr="0040564F" w:rsidRDefault="00ED3F4A" w:rsidP="005242AC">
            <w:pPr>
              <w:pStyle w:val="Tableabclist"/>
            </w:pPr>
            <w:r w:rsidRPr="0040564F">
              <w:t>is an in-patient of a hospital; and</w:t>
            </w:r>
          </w:p>
          <w:p w14:paraId="5994FF45" w14:textId="1E3C04AB" w:rsidR="002110A6" w:rsidRPr="0040564F" w:rsidRDefault="00ED3F4A" w:rsidP="0060481B">
            <w:pPr>
              <w:pStyle w:val="Tableabclist"/>
            </w:pPr>
            <w:r w:rsidRPr="0040564F">
              <w:t>is provided with acute care or subacute care or both.</w:t>
            </w:r>
          </w:p>
        </w:tc>
      </w:tr>
      <w:tr w:rsidR="00ED3F4A" w:rsidRPr="0040564F" w14:paraId="52F19DE0" w14:textId="77777777" w:rsidTr="1C30FF31">
        <w:tc>
          <w:tcPr>
            <w:tcW w:w="2547" w:type="dxa"/>
            <w:shd w:val="clear" w:color="auto" w:fill="FFFFFF" w:themeFill="background1"/>
          </w:tcPr>
          <w:p w14:paraId="7C6B2C65" w14:textId="77777777" w:rsidR="00ED3F4A" w:rsidRPr="0040564F" w:rsidRDefault="00ED3F4A" w:rsidP="000C292E">
            <w:pPr>
              <w:spacing w:before="0" w:after="60"/>
              <w:rPr>
                <w:rFonts w:cs="Calibri"/>
                <w:b/>
                <w:bCs/>
                <w:szCs w:val="20"/>
              </w:rPr>
            </w:pPr>
            <w:r w:rsidRPr="0040564F">
              <w:rPr>
                <w:rFonts w:cs="Calibri"/>
                <w:b/>
                <w:bCs/>
                <w:szCs w:val="20"/>
              </w:rPr>
              <w:t>Integrated Assessment Tool (IAT)</w:t>
            </w:r>
          </w:p>
        </w:tc>
        <w:tc>
          <w:tcPr>
            <w:tcW w:w="7264" w:type="dxa"/>
            <w:shd w:val="clear" w:color="auto" w:fill="FFFFFF" w:themeFill="background1"/>
          </w:tcPr>
          <w:p w14:paraId="36932809" w14:textId="478461E7" w:rsidR="00ED3F4A" w:rsidRPr="003A0120" w:rsidRDefault="00ED3F4A" w:rsidP="00624415">
            <w:pPr>
              <w:pStyle w:val="TableParagraph"/>
              <w:rPr>
                <w:rFonts w:eastAsia="Calibri"/>
                <w:sz w:val="20"/>
                <w:szCs w:val="20"/>
              </w:rPr>
            </w:pPr>
            <w:r w:rsidRPr="003A0120">
              <w:rPr>
                <w:sz w:val="20"/>
                <w:szCs w:val="20"/>
              </w:rPr>
              <w:t>The Integrated Assessment Tool (IAT) is a</w:t>
            </w:r>
            <w:r w:rsidR="00AE1A18" w:rsidRPr="003A0120">
              <w:rPr>
                <w:sz w:val="20"/>
                <w:szCs w:val="20"/>
              </w:rPr>
              <w:t xml:space="preserve">n </w:t>
            </w:r>
            <w:r w:rsidRPr="003A0120">
              <w:rPr>
                <w:sz w:val="20"/>
                <w:szCs w:val="20"/>
              </w:rPr>
              <w:t xml:space="preserve">online assessment tool for older Australians who are seeking to access government subsidised aged care services. </w:t>
            </w:r>
          </w:p>
          <w:p w14:paraId="4673B929" w14:textId="3CACB5E2" w:rsidR="00ED3F4A" w:rsidRPr="003A0120" w:rsidRDefault="00ED3F4A" w:rsidP="00624415">
            <w:pPr>
              <w:pStyle w:val="TableParagraph"/>
              <w:rPr>
                <w:rFonts w:eastAsia="Calibri"/>
                <w:sz w:val="20"/>
                <w:szCs w:val="20"/>
              </w:rPr>
            </w:pPr>
            <w:r w:rsidRPr="003A0120">
              <w:rPr>
                <w:sz w:val="20"/>
                <w:szCs w:val="20"/>
              </w:rPr>
              <w:t xml:space="preserve">The IAT </w:t>
            </w:r>
            <w:r w:rsidRPr="003A0120">
              <w:rPr>
                <w:rFonts w:eastAsia="Calibri"/>
                <w:sz w:val="20"/>
                <w:szCs w:val="20"/>
              </w:rPr>
              <w:t xml:space="preserve">has been designed to support skilled assessors to determine a client’s aged care needs. It comprises questions across the social, physical, medical, cognitive, and </w:t>
            </w:r>
            <w:r w:rsidRPr="003A0120">
              <w:rPr>
                <w:rFonts w:eastAsia="Calibri"/>
                <w:sz w:val="20"/>
                <w:szCs w:val="20"/>
              </w:rPr>
              <w:lastRenderedPageBreak/>
              <w:t>psychological domains as well as home and personal safety, risk of vulnerability and support considerations.</w:t>
            </w:r>
          </w:p>
          <w:p w14:paraId="60933634" w14:textId="28C5402F" w:rsidR="00ED3F4A" w:rsidRPr="003A0120" w:rsidRDefault="00ED3F4A" w:rsidP="00624415">
            <w:pPr>
              <w:pStyle w:val="TableParagraph"/>
              <w:rPr>
                <w:sz w:val="20"/>
                <w:szCs w:val="20"/>
              </w:rPr>
            </w:pPr>
            <w:r w:rsidRPr="003A0120">
              <w:rPr>
                <w:rFonts w:eastAsia="Calibri"/>
                <w:sz w:val="20"/>
                <w:szCs w:val="20"/>
              </w:rPr>
              <w:t xml:space="preserve">The IAT’s triage and assessment components feature specific questions that trigger additional questions, allowing for more in-depth exploration of flagged concerns. </w:t>
            </w:r>
            <w:r w:rsidRPr="003A0120">
              <w:rPr>
                <w:sz w:val="20"/>
                <w:szCs w:val="20"/>
              </w:rPr>
              <w:t xml:space="preserve">My </w:t>
            </w:r>
            <w:r w:rsidR="00DC6A87" w:rsidRPr="003A0120">
              <w:rPr>
                <w:sz w:val="20"/>
                <w:szCs w:val="20"/>
              </w:rPr>
              <w:t>A</w:t>
            </w:r>
            <w:r w:rsidRPr="003A0120">
              <w:rPr>
                <w:sz w:val="20"/>
                <w:szCs w:val="20"/>
              </w:rPr>
              <w:t xml:space="preserve">ged Care Integrated Assessment Tool : </w:t>
            </w:r>
            <w:hyperlink r:id="rId102" w:history="1">
              <w:r w:rsidRPr="003A0120">
                <w:rPr>
                  <w:color w:val="0000FF"/>
                  <w:sz w:val="20"/>
                  <w:szCs w:val="20"/>
                  <w:u w:val="single"/>
                </w:rPr>
                <w:t>My Aged Care – Integrated Assessment Tool (IAT) User Guide | Australian Government Department of Health and Aged Care</w:t>
              </w:r>
            </w:hyperlink>
            <w:r w:rsidRPr="003A0120">
              <w:rPr>
                <w:sz w:val="20"/>
                <w:szCs w:val="20"/>
              </w:rPr>
              <w:t xml:space="preserve"> </w:t>
            </w:r>
          </w:p>
          <w:p w14:paraId="0A9360B4" w14:textId="77777777" w:rsidR="00ED3F4A" w:rsidRPr="003A0120" w:rsidRDefault="00ED3F4A" w:rsidP="00624415">
            <w:pPr>
              <w:pStyle w:val="TableParagraph"/>
              <w:rPr>
                <w:sz w:val="20"/>
                <w:szCs w:val="20"/>
              </w:rPr>
            </w:pPr>
            <w:r w:rsidRPr="003A0120">
              <w:rPr>
                <w:sz w:val="20"/>
                <w:szCs w:val="20"/>
              </w:rPr>
              <w:t xml:space="preserve">My Aged Care Assessment Manual: </w:t>
            </w:r>
            <w:hyperlink r:id="rId103" w:history="1">
              <w:r w:rsidRPr="0040564F">
                <w:rPr>
                  <w:rStyle w:val="Hyperlink"/>
                  <w:rFonts w:ascii="Calibri" w:eastAsia="Calibri" w:hAnsi="Calibri" w:cs="Calibri"/>
                  <w:sz w:val="20"/>
                  <w:szCs w:val="20"/>
                </w:rPr>
                <w:t>My Aged Care Assessment Manual | Australian Government Department of Health, Disability and Ageing</w:t>
              </w:r>
            </w:hyperlink>
          </w:p>
        </w:tc>
      </w:tr>
      <w:tr w:rsidR="00716454" w:rsidRPr="0040564F" w14:paraId="1F3CCE3D" w14:textId="77777777" w:rsidTr="1C30FF31">
        <w:tc>
          <w:tcPr>
            <w:tcW w:w="2547" w:type="dxa"/>
            <w:shd w:val="clear" w:color="auto" w:fill="FFFFFF" w:themeFill="background1"/>
          </w:tcPr>
          <w:p w14:paraId="15D0EEEE" w14:textId="7C8AA930" w:rsidR="00716454" w:rsidRPr="0040564F" w:rsidRDefault="00716454" w:rsidP="00716454">
            <w:pPr>
              <w:spacing w:before="0" w:after="60"/>
              <w:rPr>
                <w:rFonts w:cs="Calibri"/>
                <w:b/>
                <w:bCs/>
                <w:szCs w:val="20"/>
              </w:rPr>
            </w:pPr>
            <w:r w:rsidRPr="0040564F">
              <w:rPr>
                <w:rFonts w:cs="Calibri"/>
                <w:b/>
                <w:bCs/>
                <w:szCs w:val="20"/>
              </w:rPr>
              <w:lastRenderedPageBreak/>
              <w:t>Integrated Health and Aged Care Services Module (IHACSM)</w:t>
            </w:r>
          </w:p>
        </w:tc>
        <w:tc>
          <w:tcPr>
            <w:tcW w:w="7264" w:type="dxa"/>
            <w:shd w:val="clear" w:color="auto" w:fill="FFFFFF" w:themeFill="background1"/>
          </w:tcPr>
          <w:p w14:paraId="0B6AE76C" w14:textId="51B4A767" w:rsidR="00716454" w:rsidRPr="0040564F" w:rsidRDefault="00273DF6" w:rsidP="000C292E">
            <w:pPr>
              <w:rPr>
                <w:rFonts w:cs="Calibri"/>
                <w:szCs w:val="20"/>
              </w:rPr>
            </w:pPr>
            <w:r w:rsidRPr="0040564F">
              <w:rPr>
                <w:rFonts w:cs="Calibri"/>
                <w:szCs w:val="20"/>
              </w:rPr>
              <w:t>M</w:t>
            </w:r>
            <w:r w:rsidR="00FA6E43" w:rsidRPr="0040564F">
              <w:rPr>
                <w:rFonts w:cs="Calibri"/>
                <w:szCs w:val="20"/>
              </w:rPr>
              <w:t xml:space="preserve">eans a module developed by the ACSQHC, which addresses requirements in the Aged Care Quality Standards not covered in the NSQHS Standards. </w:t>
            </w:r>
          </w:p>
        </w:tc>
      </w:tr>
      <w:tr w:rsidR="00ED3F4A" w:rsidRPr="0040564F" w14:paraId="1569D470" w14:textId="77777777" w:rsidTr="1C30FF31">
        <w:tc>
          <w:tcPr>
            <w:tcW w:w="2547" w:type="dxa"/>
            <w:shd w:val="clear" w:color="auto" w:fill="FFFFFF" w:themeFill="background1"/>
          </w:tcPr>
          <w:p w14:paraId="1A4274F7" w14:textId="77777777" w:rsidR="00ED3F4A" w:rsidRPr="0040564F" w:rsidRDefault="00ED3F4A" w:rsidP="000C292E">
            <w:pPr>
              <w:spacing w:before="0" w:after="60"/>
              <w:rPr>
                <w:rFonts w:cs="Calibri"/>
                <w:b/>
                <w:bCs/>
                <w:szCs w:val="20"/>
              </w:rPr>
            </w:pPr>
            <w:r w:rsidRPr="0040564F">
              <w:rPr>
                <w:rFonts w:cs="Calibri"/>
                <w:b/>
                <w:bCs/>
                <w:szCs w:val="20"/>
              </w:rPr>
              <w:t>Low Intensity Therapy</w:t>
            </w:r>
          </w:p>
        </w:tc>
        <w:tc>
          <w:tcPr>
            <w:tcW w:w="7264" w:type="dxa"/>
            <w:shd w:val="clear" w:color="auto" w:fill="FFFFFF" w:themeFill="background1"/>
          </w:tcPr>
          <w:p w14:paraId="028DF25D" w14:textId="77777777" w:rsidR="00ED3F4A" w:rsidRPr="003A0120" w:rsidRDefault="00ED3F4A" w:rsidP="00624415">
            <w:pPr>
              <w:pStyle w:val="TableParagraph"/>
              <w:rPr>
                <w:sz w:val="20"/>
                <w:szCs w:val="20"/>
              </w:rPr>
            </w:pPr>
            <w:r w:rsidRPr="003A0120">
              <w:rPr>
                <w:sz w:val="20"/>
                <w:szCs w:val="20"/>
              </w:rPr>
              <w:t xml:space="preserve">In relation to an individual, means therapy that: </w:t>
            </w:r>
          </w:p>
          <w:p w14:paraId="1A9789F7" w14:textId="77777777" w:rsidR="00ED3F4A" w:rsidRPr="0040564F" w:rsidRDefault="00ED3F4A" w:rsidP="0050112F">
            <w:pPr>
              <w:pStyle w:val="Tableabclist"/>
              <w:numPr>
                <w:ilvl w:val="0"/>
                <w:numId w:val="70"/>
              </w:numPr>
            </w:pPr>
            <w:r w:rsidRPr="0040564F">
              <w:t>maintains the individual’s physical and cognitive functioning; and</w:t>
            </w:r>
          </w:p>
          <w:p w14:paraId="42949AB4" w14:textId="77777777" w:rsidR="00ED3F4A" w:rsidRPr="0040564F" w:rsidRDefault="00ED3F4A" w:rsidP="005242AC">
            <w:pPr>
              <w:pStyle w:val="Tableabclist"/>
            </w:pPr>
            <w:r w:rsidRPr="0040564F">
              <w:t>facilitates an improvement in the individual’s capacity in relation to activities of daily living.</w:t>
            </w:r>
          </w:p>
          <w:p w14:paraId="59FFD14B" w14:textId="77777777" w:rsidR="00ED3F4A" w:rsidRPr="003A0120" w:rsidRDefault="00ED3F4A" w:rsidP="00624415">
            <w:pPr>
              <w:pStyle w:val="TableParagraph"/>
              <w:rPr>
                <w:i/>
                <w:sz w:val="20"/>
                <w:szCs w:val="20"/>
              </w:rPr>
            </w:pPr>
            <w:r w:rsidRPr="003A0120">
              <w:rPr>
                <w:sz w:val="20"/>
                <w:szCs w:val="20"/>
              </w:rPr>
              <w:t>Examples include:</w:t>
            </w:r>
          </w:p>
          <w:p w14:paraId="460D0549" w14:textId="77777777" w:rsidR="00ED3F4A" w:rsidRPr="0040564F" w:rsidRDefault="00ED3F4A" w:rsidP="005242AC">
            <w:pPr>
              <w:pStyle w:val="Tablelistnumber"/>
              <w:rPr>
                <w:szCs w:val="20"/>
              </w:rPr>
            </w:pPr>
            <w:r w:rsidRPr="0040564F">
              <w:rPr>
                <w:szCs w:val="20"/>
              </w:rPr>
              <w:t>Occupational therapy;</w:t>
            </w:r>
          </w:p>
          <w:p w14:paraId="7C908F97" w14:textId="77777777" w:rsidR="00ED3F4A" w:rsidRPr="0040564F" w:rsidRDefault="00ED3F4A" w:rsidP="005242AC">
            <w:pPr>
              <w:pStyle w:val="Tablelistnumber"/>
              <w:rPr>
                <w:szCs w:val="20"/>
              </w:rPr>
            </w:pPr>
            <w:r w:rsidRPr="0040564F">
              <w:rPr>
                <w:szCs w:val="20"/>
              </w:rPr>
              <w:t>Physiotherapy;</w:t>
            </w:r>
          </w:p>
          <w:p w14:paraId="50E19E66" w14:textId="2133974E" w:rsidR="00ED3F4A" w:rsidRPr="0040564F" w:rsidRDefault="00B93BDC" w:rsidP="005242AC">
            <w:pPr>
              <w:pStyle w:val="Tablelistnumber"/>
              <w:rPr>
                <w:szCs w:val="20"/>
              </w:rPr>
            </w:pPr>
            <w:r w:rsidRPr="0040564F">
              <w:rPr>
                <w:szCs w:val="20"/>
              </w:rPr>
              <w:t>Osteopathy</w:t>
            </w:r>
            <w:r w:rsidR="00527970" w:rsidRPr="0040564F">
              <w:rPr>
                <w:szCs w:val="20"/>
              </w:rPr>
              <w:t>.</w:t>
            </w:r>
          </w:p>
          <w:p w14:paraId="7A868359" w14:textId="22B95CD0" w:rsidR="00ED3F4A" w:rsidRPr="003A0120" w:rsidRDefault="00ED3F4A" w:rsidP="00624415">
            <w:pPr>
              <w:pStyle w:val="TableParagraph"/>
              <w:rPr>
                <w:sz w:val="20"/>
                <w:szCs w:val="20"/>
              </w:rPr>
            </w:pPr>
            <w:r w:rsidRPr="003A0120">
              <w:rPr>
                <w:sz w:val="20"/>
                <w:szCs w:val="20"/>
              </w:rPr>
              <w:t xml:space="preserve">The therapy services that transition care service providers must be able to provide, if required by an individual, are detailed </w:t>
            </w:r>
            <w:r w:rsidR="00813AEF" w:rsidRPr="003A0120">
              <w:rPr>
                <w:sz w:val="20"/>
                <w:szCs w:val="20"/>
              </w:rPr>
              <w:t xml:space="preserve">in </w:t>
            </w:r>
            <w:r w:rsidRPr="003A0120">
              <w:rPr>
                <w:sz w:val="20"/>
                <w:szCs w:val="20"/>
              </w:rPr>
              <w:t>the Aged Care Service List</w:t>
            </w:r>
            <w:r w:rsidR="00813AEF" w:rsidRPr="003A0120">
              <w:rPr>
                <w:sz w:val="20"/>
                <w:szCs w:val="20"/>
              </w:rPr>
              <w:t>,</w:t>
            </w:r>
            <w:r w:rsidRPr="003A0120">
              <w:rPr>
                <w:sz w:val="20"/>
                <w:szCs w:val="20"/>
              </w:rPr>
              <w:t xml:space="preserve"> Chapter 1 of the </w:t>
            </w:r>
            <w:r w:rsidR="00A83EDB" w:rsidRPr="003A0120">
              <w:rPr>
                <w:sz w:val="20"/>
                <w:szCs w:val="20"/>
              </w:rPr>
              <w:t>Rules</w:t>
            </w:r>
            <w:r w:rsidRPr="003A0120">
              <w:rPr>
                <w:sz w:val="20"/>
                <w:szCs w:val="20"/>
              </w:rPr>
              <w:t xml:space="preserve">. </w:t>
            </w:r>
          </w:p>
        </w:tc>
      </w:tr>
      <w:tr w:rsidR="00ED3F4A" w:rsidRPr="0040564F" w14:paraId="65DFF359" w14:textId="77777777" w:rsidTr="1C30FF31">
        <w:tc>
          <w:tcPr>
            <w:tcW w:w="2547" w:type="dxa"/>
            <w:shd w:val="clear" w:color="auto" w:fill="FFFFFF" w:themeFill="background1"/>
          </w:tcPr>
          <w:p w14:paraId="18077DC5" w14:textId="77777777" w:rsidR="00ED3F4A" w:rsidRPr="0040564F" w:rsidRDefault="00ED3F4A" w:rsidP="000C292E">
            <w:pPr>
              <w:spacing w:before="0" w:after="60"/>
              <w:rPr>
                <w:rFonts w:cs="Calibri"/>
                <w:b/>
                <w:bCs/>
                <w:szCs w:val="20"/>
              </w:rPr>
            </w:pPr>
            <w:r w:rsidRPr="0040564F">
              <w:rPr>
                <w:rFonts w:cs="Calibri"/>
                <w:b/>
                <w:bCs/>
                <w:szCs w:val="20"/>
              </w:rPr>
              <w:t>Minister</w:t>
            </w:r>
          </w:p>
        </w:tc>
        <w:tc>
          <w:tcPr>
            <w:tcW w:w="7264" w:type="dxa"/>
            <w:shd w:val="clear" w:color="auto" w:fill="FFFFFF" w:themeFill="background1"/>
          </w:tcPr>
          <w:p w14:paraId="7270A111" w14:textId="77777777" w:rsidR="00ED3F4A" w:rsidRPr="003A0120" w:rsidRDefault="00ED3F4A" w:rsidP="00624415">
            <w:pPr>
              <w:pStyle w:val="TableParagraph"/>
              <w:rPr>
                <w:sz w:val="20"/>
                <w:szCs w:val="20"/>
              </w:rPr>
            </w:pPr>
            <w:r w:rsidRPr="003A0120">
              <w:rPr>
                <w:sz w:val="20"/>
                <w:szCs w:val="20"/>
              </w:rPr>
              <w:t>The Australian Government Minister with portfolio responsibility for Health, Disability and Ageing.</w:t>
            </w:r>
          </w:p>
        </w:tc>
      </w:tr>
      <w:tr w:rsidR="00ED3F4A" w:rsidRPr="0040564F" w14:paraId="467680C6" w14:textId="77777777" w:rsidTr="1C30FF31">
        <w:tc>
          <w:tcPr>
            <w:tcW w:w="2547" w:type="dxa"/>
            <w:shd w:val="clear" w:color="auto" w:fill="FFFFFF" w:themeFill="background1"/>
          </w:tcPr>
          <w:p w14:paraId="5B878601" w14:textId="77777777" w:rsidR="00ED3F4A" w:rsidRPr="0040564F" w:rsidRDefault="00ED3F4A" w:rsidP="000C292E">
            <w:pPr>
              <w:spacing w:before="0" w:after="60"/>
              <w:rPr>
                <w:rFonts w:cs="Calibri"/>
                <w:b/>
                <w:bCs/>
                <w:szCs w:val="20"/>
              </w:rPr>
            </w:pPr>
            <w:r w:rsidRPr="0040564F">
              <w:rPr>
                <w:rFonts w:cs="Calibri"/>
                <w:b/>
                <w:bCs/>
                <w:szCs w:val="20"/>
              </w:rPr>
              <w:t>Multidisciplinary Team (MDT)</w:t>
            </w:r>
          </w:p>
        </w:tc>
        <w:tc>
          <w:tcPr>
            <w:tcW w:w="7264" w:type="dxa"/>
            <w:shd w:val="clear" w:color="auto" w:fill="FFFFFF" w:themeFill="background1"/>
          </w:tcPr>
          <w:p w14:paraId="792CCB0C" w14:textId="77777777" w:rsidR="00ED3F4A" w:rsidRPr="003A0120" w:rsidRDefault="00ED3F4A" w:rsidP="00624415">
            <w:pPr>
              <w:pStyle w:val="TableParagraph"/>
              <w:rPr>
                <w:sz w:val="20"/>
                <w:szCs w:val="20"/>
              </w:rPr>
            </w:pPr>
            <w:r w:rsidRPr="003A0120">
              <w:rPr>
                <w:sz w:val="20"/>
                <w:szCs w:val="20"/>
              </w:rPr>
              <w:t>An MDT is a care team made up of three or more health care disciplines, e.g., general practitioner, geriatric, nursing, pharmacy, physiotherapy, dental, podiatry, nutrition, optometry, psychology, occupational therapy, social work, and speech pathology.</w:t>
            </w:r>
          </w:p>
        </w:tc>
      </w:tr>
      <w:tr w:rsidR="00ED3F4A" w:rsidRPr="0040564F" w14:paraId="2E8FC21B" w14:textId="77777777" w:rsidTr="1C30FF31">
        <w:tc>
          <w:tcPr>
            <w:tcW w:w="2547" w:type="dxa"/>
            <w:shd w:val="clear" w:color="auto" w:fill="FFFFFF" w:themeFill="background1"/>
          </w:tcPr>
          <w:p w14:paraId="4B36F7AF" w14:textId="35A5758B" w:rsidR="00ED3F4A" w:rsidRPr="0040564F" w:rsidRDefault="00ED3F4A" w:rsidP="000C292E">
            <w:pPr>
              <w:spacing w:before="0" w:after="60"/>
              <w:rPr>
                <w:rFonts w:cs="Calibri"/>
                <w:b/>
                <w:bCs/>
                <w:szCs w:val="20"/>
              </w:rPr>
            </w:pPr>
            <w:r w:rsidRPr="0040564F">
              <w:rPr>
                <w:rFonts w:cs="Calibri"/>
                <w:b/>
                <w:bCs/>
                <w:szCs w:val="20"/>
              </w:rPr>
              <w:t>National Safety and Quality Health Service Standards (Second Edition) (NSQHS Standards)</w:t>
            </w:r>
          </w:p>
        </w:tc>
        <w:tc>
          <w:tcPr>
            <w:tcW w:w="7264" w:type="dxa"/>
            <w:shd w:val="clear" w:color="auto" w:fill="FFFFFF" w:themeFill="background1"/>
          </w:tcPr>
          <w:p w14:paraId="16C8C08E" w14:textId="3851F03D" w:rsidR="00ED3F4A" w:rsidRPr="003A0120" w:rsidRDefault="00ED3F4A" w:rsidP="00624415">
            <w:pPr>
              <w:pStyle w:val="TableParagraph"/>
              <w:rPr>
                <w:sz w:val="20"/>
                <w:szCs w:val="20"/>
              </w:rPr>
            </w:pPr>
            <w:r w:rsidRPr="003A0120">
              <w:rPr>
                <w:sz w:val="20"/>
                <w:szCs w:val="20"/>
              </w:rPr>
              <w:t>The NSQHS Standards provide a nationally consistent statement about the level of care people can expect from health services.</w:t>
            </w:r>
            <w:r w:rsidR="00CB65B7" w:rsidRPr="003A0120">
              <w:rPr>
                <w:sz w:val="20"/>
                <w:szCs w:val="20"/>
              </w:rPr>
              <w:t xml:space="preserve"> </w:t>
            </w:r>
          </w:p>
        </w:tc>
      </w:tr>
      <w:tr w:rsidR="001755BD" w:rsidRPr="0040564F" w14:paraId="69CD4ED7" w14:textId="77777777" w:rsidTr="1C30FF31">
        <w:tc>
          <w:tcPr>
            <w:tcW w:w="2547" w:type="dxa"/>
            <w:shd w:val="clear" w:color="auto" w:fill="FFFFFF" w:themeFill="background1"/>
          </w:tcPr>
          <w:p w14:paraId="4ADB624C" w14:textId="10C23AB5" w:rsidR="001755BD" w:rsidRPr="0040564F" w:rsidRDefault="001755BD" w:rsidP="000C292E">
            <w:pPr>
              <w:spacing w:before="0" w:after="60"/>
              <w:rPr>
                <w:rFonts w:cs="Calibri"/>
                <w:b/>
                <w:bCs/>
                <w:szCs w:val="20"/>
              </w:rPr>
            </w:pPr>
            <w:r w:rsidRPr="0040564F">
              <w:rPr>
                <w:rFonts w:cs="Calibri"/>
                <w:b/>
                <w:bCs/>
                <w:szCs w:val="20"/>
              </w:rPr>
              <w:t>Nominated Registered Providers</w:t>
            </w:r>
          </w:p>
        </w:tc>
        <w:tc>
          <w:tcPr>
            <w:tcW w:w="7264" w:type="dxa"/>
            <w:shd w:val="clear" w:color="auto" w:fill="FFFFFF" w:themeFill="background1"/>
          </w:tcPr>
          <w:p w14:paraId="5D56E648" w14:textId="17BFE78F" w:rsidR="001755BD" w:rsidRPr="003A0120" w:rsidRDefault="001755BD" w:rsidP="00624415">
            <w:pPr>
              <w:pStyle w:val="TableParagraph"/>
              <w:rPr>
                <w:sz w:val="20"/>
                <w:szCs w:val="20"/>
              </w:rPr>
            </w:pPr>
            <w:r w:rsidRPr="003A0120">
              <w:rPr>
                <w:sz w:val="20"/>
                <w:szCs w:val="20"/>
              </w:rPr>
              <w:t xml:space="preserve">Are entities who have been registered under the Act as registered providers and nominated by the </w:t>
            </w:r>
            <w:r w:rsidR="00575ED8" w:rsidRPr="003A0120">
              <w:rPr>
                <w:sz w:val="20"/>
                <w:szCs w:val="20"/>
              </w:rPr>
              <w:t>S</w:t>
            </w:r>
            <w:r w:rsidRPr="003A0120">
              <w:rPr>
                <w:sz w:val="20"/>
                <w:szCs w:val="20"/>
              </w:rPr>
              <w:t xml:space="preserve">tate or </w:t>
            </w:r>
            <w:r w:rsidR="00575ED8" w:rsidRPr="003A0120">
              <w:rPr>
                <w:sz w:val="20"/>
                <w:szCs w:val="20"/>
              </w:rPr>
              <w:t>T</w:t>
            </w:r>
            <w:r w:rsidRPr="003A0120">
              <w:rPr>
                <w:sz w:val="20"/>
                <w:szCs w:val="20"/>
              </w:rPr>
              <w:t xml:space="preserve">erritory </w:t>
            </w:r>
            <w:r w:rsidR="00DF2048" w:rsidRPr="003A0120">
              <w:rPr>
                <w:sz w:val="20"/>
                <w:szCs w:val="20"/>
              </w:rPr>
              <w:t>g</w:t>
            </w:r>
            <w:r w:rsidRPr="003A0120">
              <w:rPr>
                <w:sz w:val="20"/>
                <w:szCs w:val="20"/>
              </w:rPr>
              <w:t>overnment</w:t>
            </w:r>
            <w:r w:rsidR="00DF2048" w:rsidRPr="003A0120">
              <w:rPr>
                <w:sz w:val="20"/>
                <w:szCs w:val="20"/>
              </w:rPr>
              <w:t>s</w:t>
            </w:r>
            <w:r w:rsidRPr="003A0120">
              <w:rPr>
                <w:sz w:val="20"/>
                <w:szCs w:val="20"/>
              </w:rPr>
              <w:t xml:space="preserve"> to provide transition care services on </w:t>
            </w:r>
            <w:r w:rsidR="007F6D55" w:rsidRPr="003A0120">
              <w:rPr>
                <w:sz w:val="20"/>
                <w:szCs w:val="20"/>
              </w:rPr>
              <w:t xml:space="preserve">their behalf. </w:t>
            </w:r>
            <w:r w:rsidRPr="003A0120">
              <w:rPr>
                <w:sz w:val="20"/>
                <w:szCs w:val="20"/>
              </w:rPr>
              <w:t xml:space="preserve">  </w:t>
            </w:r>
          </w:p>
        </w:tc>
      </w:tr>
      <w:tr w:rsidR="00ED3F4A" w:rsidRPr="0040564F" w14:paraId="2D55D5F9" w14:textId="77777777" w:rsidTr="1C30FF31">
        <w:tc>
          <w:tcPr>
            <w:tcW w:w="2547" w:type="dxa"/>
            <w:shd w:val="clear" w:color="auto" w:fill="FFFFFF" w:themeFill="background1"/>
          </w:tcPr>
          <w:p w14:paraId="5C165A54" w14:textId="77777777" w:rsidR="00ED3F4A" w:rsidRPr="0040564F" w:rsidRDefault="00ED3F4A" w:rsidP="000C292E">
            <w:pPr>
              <w:spacing w:before="0" w:after="60"/>
              <w:rPr>
                <w:rFonts w:cs="Calibri"/>
                <w:b/>
                <w:bCs/>
                <w:szCs w:val="20"/>
              </w:rPr>
            </w:pPr>
            <w:r w:rsidRPr="0040564F">
              <w:rPr>
                <w:rFonts w:cs="Calibri"/>
                <w:b/>
                <w:bCs/>
                <w:szCs w:val="20"/>
              </w:rPr>
              <w:t>Older People</w:t>
            </w:r>
          </w:p>
        </w:tc>
        <w:tc>
          <w:tcPr>
            <w:tcW w:w="7264" w:type="dxa"/>
            <w:shd w:val="clear" w:color="auto" w:fill="FFFFFF" w:themeFill="background1"/>
          </w:tcPr>
          <w:p w14:paraId="60941E28" w14:textId="654E7DCC" w:rsidR="00ED3F4A" w:rsidRPr="003A0120" w:rsidRDefault="00ED3F4A" w:rsidP="00624415">
            <w:pPr>
              <w:pStyle w:val="TableParagraph"/>
              <w:rPr>
                <w:sz w:val="20"/>
                <w:szCs w:val="20"/>
              </w:rPr>
            </w:pPr>
            <w:r w:rsidRPr="003A0120">
              <w:rPr>
                <w:sz w:val="20"/>
                <w:szCs w:val="20"/>
              </w:rPr>
              <w:t>For the purposes of aged care planning, older people are regarded as those aged 65 years and over</w:t>
            </w:r>
            <w:r w:rsidR="00325ABE" w:rsidRPr="003A0120">
              <w:rPr>
                <w:sz w:val="20"/>
                <w:szCs w:val="20"/>
              </w:rPr>
              <w:t>,</w:t>
            </w:r>
            <w:r w:rsidRPr="003A0120">
              <w:rPr>
                <w:sz w:val="20"/>
                <w:szCs w:val="20"/>
              </w:rPr>
              <w:t xml:space="preserve"> or 50 years and over if Aboriginal and Torres Strait Islander people.</w:t>
            </w:r>
          </w:p>
        </w:tc>
      </w:tr>
      <w:tr w:rsidR="00ED3F4A" w:rsidRPr="0040564F" w14:paraId="2E35F47E" w14:textId="77777777" w:rsidTr="1C30FF31">
        <w:tc>
          <w:tcPr>
            <w:tcW w:w="2547" w:type="dxa"/>
            <w:shd w:val="clear" w:color="auto" w:fill="FFFFFF" w:themeFill="background1"/>
          </w:tcPr>
          <w:p w14:paraId="50FE8B72" w14:textId="77777777" w:rsidR="00ED3F4A" w:rsidRPr="0040564F" w:rsidRDefault="00ED3F4A" w:rsidP="000C292E">
            <w:pPr>
              <w:spacing w:before="0" w:after="60"/>
              <w:rPr>
                <w:rFonts w:cs="Calibri"/>
                <w:b/>
                <w:bCs/>
                <w:szCs w:val="20"/>
              </w:rPr>
            </w:pPr>
            <w:r w:rsidRPr="0040564F">
              <w:rPr>
                <w:rFonts w:cs="Calibri"/>
                <w:b/>
                <w:bCs/>
                <w:szCs w:val="20"/>
              </w:rPr>
              <w:t>Older Persons Advocacy Network (OPAN)</w:t>
            </w:r>
          </w:p>
        </w:tc>
        <w:tc>
          <w:tcPr>
            <w:tcW w:w="7264" w:type="dxa"/>
            <w:shd w:val="clear" w:color="auto" w:fill="FFFFFF" w:themeFill="background1"/>
          </w:tcPr>
          <w:p w14:paraId="50387406" w14:textId="7B7CC2AE" w:rsidR="00ED3F4A" w:rsidRPr="003A0120" w:rsidRDefault="00ED3F4A" w:rsidP="00624415">
            <w:pPr>
              <w:pStyle w:val="TableParagraph"/>
              <w:rPr>
                <w:sz w:val="20"/>
                <w:szCs w:val="20"/>
              </w:rPr>
            </w:pPr>
            <w:r w:rsidRPr="003A0120">
              <w:rPr>
                <w:sz w:val="20"/>
                <w:szCs w:val="20"/>
              </w:rPr>
              <w:t>OPAN is an Australia-wide network that provides free advocacy services for individuals, their families and carers in relation to</w:t>
            </w:r>
            <w:r w:rsidR="00325ABE" w:rsidRPr="003A0120">
              <w:rPr>
                <w:sz w:val="20"/>
                <w:szCs w:val="20"/>
              </w:rPr>
              <w:t xml:space="preserve"> </w:t>
            </w:r>
            <w:r w:rsidR="00931641" w:rsidRPr="003A0120">
              <w:rPr>
                <w:sz w:val="20"/>
                <w:szCs w:val="20"/>
              </w:rPr>
              <w:t>Australian</w:t>
            </w:r>
            <w:r w:rsidRPr="003A0120">
              <w:rPr>
                <w:sz w:val="20"/>
                <w:szCs w:val="20"/>
              </w:rPr>
              <w:t xml:space="preserve"> Government funded aged care services, including transition care.</w:t>
            </w:r>
          </w:p>
          <w:p w14:paraId="20C7DB54" w14:textId="77777777" w:rsidR="00ED3F4A" w:rsidRPr="003A0120" w:rsidRDefault="00ED3F4A" w:rsidP="00624415">
            <w:pPr>
              <w:pStyle w:val="TableParagraph"/>
              <w:rPr>
                <w:sz w:val="20"/>
                <w:szCs w:val="20"/>
              </w:rPr>
            </w:pPr>
            <w:r w:rsidRPr="003A0120">
              <w:rPr>
                <w:sz w:val="20"/>
                <w:szCs w:val="20"/>
              </w:rPr>
              <w:t xml:space="preserve">OPAN can be contacted on 1800 700 600 between 8.00am and 8.00pm from Monday to Friday. Further details about OPAN are available at </w:t>
            </w:r>
            <w:hyperlink r:id="rId104" w:history="1">
              <w:r w:rsidRPr="003A0120">
                <w:rPr>
                  <w:color w:val="0070C0"/>
                  <w:sz w:val="20"/>
                  <w:szCs w:val="20"/>
                  <w:u w:val="single"/>
                </w:rPr>
                <w:t>www.opan.com.au</w:t>
              </w:r>
            </w:hyperlink>
            <w:r w:rsidRPr="003A0120">
              <w:rPr>
                <w:sz w:val="20"/>
                <w:szCs w:val="20"/>
              </w:rPr>
              <w:t>.</w:t>
            </w:r>
          </w:p>
        </w:tc>
      </w:tr>
      <w:tr w:rsidR="00ED3F4A" w:rsidRPr="0040564F" w14:paraId="061911D1" w14:textId="77777777" w:rsidTr="1C30FF31">
        <w:tc>
          <w:tcPr>
            <w:tcW w:w="2547" w:type="dxa"/>
            <w:shd w:val="clear" w:color="auto" w:fill="FFFFFF" w:themeFill="background1"/>
          </w:tcPr>
          <w:p w14:paraId="51C3402D" w14:textId="45FA22A3" w:rsidR="00ED3F4A" w:rsidRPr="0040564F" w:rsidRDefault="00ED3F4A" w:rsidP="00624415">
            <w:pPr>
              <w:spacing w:before="0" w:after="60"/>
              <w:rPr>
                <w:rFonts w:cs="Calibri"/>
                <w:b/>
                <w:bCs/>
                <w:szCs w:val="20"/>
              </w:rPr>
            </w:pPr>
            <w:r w:rsidRPr="0040564F">
              <w:rPr>
                <w:rFonts w:cs="Calibri"/>
                <w:b/>
                <w:bCs/>
                <w:szCs w:val="20"/>
              </w:rPr>
              <w:t>Registered Provider</w:t>
            </w:r>
          </w:p>
        </w:tc>
        <w:tc>
          <w:tcPr>
            <w:tcW w:w="7264" w:type="dxa"/>
            <w:shd w:val="clear" w:color="auto" w:fill="FFFFFF" w:themeFill="background1"/>
          </w:tcPr>
          <w:p w14:paraId="75CE4AD0" w14:textId="6CBA0423" w:rsidR="00ED3F4A" w:rsidRPr="003A0120" w:rsidRDefault="00ED3F4A" w:rsidP="00624415">
            <w:pPr>
              <w:pStyle w:val="TableParagraph"/>
              <w:rPr>
                <w:sz w:val="20"/>
                <w:szCs w:val="20"/>
              </w:rPr>
            </w:pPr>
            <w:r w:rsidRPr="003A0120">
              <w:rPr>
                <w:sz w:val="20"/>
                <w:szCs w:val="20"/>
              </w:rPr>
              <w:t>Is defined in section 11 of the Act to mean an entity that is registered as a registered provider where the registration period has not ended an</w:t>
            </w:r>
            <w:r w:rsidR="00C57559" w:rsidRPr="003A0120">
              <w:rPr>
                <w:sz w:val="20"/>
                <w:szCs w:val="20"/>
              </w:rPr>
              <w:t xml:space="preserve">d </w:t>
            </w:r>
            <w:r w:rsidRPr="003A0120">
              <w:rPr>
                <w:sz w:val="20"/>
                <w:szCs w:val="20"/>
              </w:rPr>
              <w:t xml:space="preserve">registration has not been revoked under a provision of Part 3 of Chapter 3 of the Act. </w:t>
            </w:r>
          </w:p>
        </w:tc>
      </w:tr>
      <w:tr w:rsidR="00ED3F4A" w:rsidRPr="0040564F" w14:paraId="130C25EC" w14:textId="77777777" w:rsidTr="1C30FF31">
        <w:tc>
          <w:tcPr>
            <w:tcW w:w="2547" w:type="dxa"/>
            <w:shd w:val="clear" w:color="auto" w:fill="FFFFFF" w:themeFill="background1"/>
          </w:tcPr>
          <w:p w14:paraId="0ACD22F8" w14:textId="77777777" w:rsidR="00ED3F4A" w:rsidRPr="0040564F" w:rsidRDefault="00ED3F4A" w:rsidP="000C292E">
            <w:pPr>
              <w:spacing w:before="0" w:after="60"/>
              <w:rPr>
                <w:rFonts w:cs="Calibri"/>
                <w:b/>
                <w:bCs/>
                <w:szCs w:val="20"/>
              </w:rPr>
            </w:pPr>
            <w:r w:rsidRPr="0040564F">
              <w:rPr>
                <w:rFonts w:cs="Calibri"/>
                <w:b/>
                <w:bCs/>
                <w:szCs w:val="20"/>
              </w:rPr>
              <w:t>Rehabilitation</w:t>
            </w:r>
          </w:p>
        </w:tc>
        <w:tc>
          <w:tcPr>
            <w:tcW w:w="7264" w:type="dxa"/>
            <w:shd w:val="clear" w:color="auto" w:fill="FFFFFF" w:themeFill="background1"/>
          </w:tcPr>
          <w:p w14:paraId="3056F545" w14:textId="6ADBDD7B" w:rsidR="00ED3F4A" w:rsidRPr="003A0120" w:rsidRDefault="00ED3F4A" w:rsidP="00624415">
            <w:pPr>
              <w:pStyle w:val="TableParagraph"/>
              <w:rPr>
                <w:sz w:val="20"/>
                <w:szCs w:val="20"/>
              </w:rPr>
            </w:pPr>
            <w:r w:rsidRPr="003A0120">
              <w:rPr>
                <w:sz w:val="20"/>
                <w:szCs w:val="20"/>
              </w:rPr>
              <w:t xml:space="preserve">Rehabilitation, in the context of transition care, is a form of subacute care </w:t>
            </w:r>
            <w:r w:rsidR="003E3E8B" w:rsidRPr="003A0120">
              <w:rPr>
                <w:sz w:val="20"/>
                <w:szCs w:val="20"/>
              </w:rPr>
              <w:t>–</w:t>
            </w:r>
            <w:r w:rsidRPr="003A0120">
              <w:rPr>
                <w:sz w:val="20"/>
                <w:szCs w:val="20"/>
              </w:rPr>
              <w:t xml:space="preserve"> see</w:t>
            </w:r>
            <w:r w:rsidR="003E3E8B" w:rsidRPr="003A0120">
              <w:rPr>
                <w:sz w:val="20"/>
                <w:szCs w:val="20"/>
              </w:rPr>
              <w:t xml:space="preserve"> </w:t>
            </w:r>
            <w:r w:rsidRPr="003A0120">
              <w:rPr>
                <w:sz w:val="20"/>
                <w:szCs w:val="20"/>
              </w:rPr>
              <w:t>‘Subacute Care’ below.</w:t>
            </w:r>
            <w:r w:rsidR="003B7A88">
              <w:rPr>
                <w:sz w:val="20"/>
                <w:szCs w:val="20"/>
              </w:rPr>
              <w:t xml:space="preserve"> </w:t>
            </w:r>
            <w:r w:rsidRPr="003A0120">
              <w:rPr>
                <w:sz w:val="20"/>
                <w:szCs w:val="20"/>
              </w:rPr>
              <w:t>Transition care is not a substitute for rehabilitation and must only commence after completion of the individual’s rehabilitation care episode.</w:t>
            </w:r>
          </w:p>
        </w:tc>
      </w:tr>
      <w:tr w:rsidR="00ED3F4A" w:rsidRPr="0040564F" w14:paraId="61D6CA10" w14:textId="77777777" w:rsidTr="1C30FF31">
        <w:tc>
          <w:tcPr>
            <w:tcW w:w="2547" w:type="dxa"/>
            <w:shd w:val="clear" w:color="auto" w:fill="FFFFFF" w:themeFill="background1"/>
          </w:tcPr>
          <w:p w14:paraId="541777A5" w14:textId="77777777" w:rsidR="00ED3F4A" w:rsidRPr="0040564F" w:rsidRDefault="00ED3F4A" w:rsidP="000C292E">
            <w:pPr>
              <w:spacing w:before="0" w:after="60"/>
              <w:rPr>
                <w:rFonts w:cs="Calibri"/>
                <w:b/>
                <w:bCs/>
                <w:szCs w:val="20"/>
              </w:rPr>
            </w:pPr>
            <w:r w:rsidRPr="0040564F">
              <w:rPr>
                <w:rFonts w:cs="Calibri"/>
                <w:b/>
                <w:bCs/>
                <w:szCs w:val="20"/>
              </w:rPr>
              <w:t>Residential Care Home</w:t>
            </w:r>
          </w:p>
        </w:tc>
        <w:tc>
          <w:tcPr>
            <w:tcW w:w="7264" w:type="dxa"/>
            <w:shd w:val="clear" w:color="auto" w:fill="FFFFFF" w:themeFill="background1"/>
          </w:tcPr>
          <w:p w14:paraId="2EED54B1" w14:textId="41BFF2F1" w:rsidR="00ED3F4A" w:rsidRPr="003A0120" w:rsidRDefault="00ED3F4A" w:rsidP="00624415">
            <w:pPr>
              <w:pStyle w:val="TableParagraph"/>
              <w:rPr>
                <w:sz w:val="20"/>
                <w:szCs w:val="20"/>
              </w:rPr>
            </w:pPr>
            <w:r w:rsidRPr="003A0120">
              <w:rPr>
                <w:sz w:val="20"/>
                <w:szCs w:val="20"/>
              </w:rPr>
              <w:t xml:space="preserve">A residential care home means a place that is the place of residence </w:t>
            </w:r>
            <w:r w:rsidR="00194C3D" w:rsidRPr="003A0120">
              <w:rPr>
                <w:sz w:val="20"/>
                <w:szCs w:val="20"/>
              </w:rPr>
              <w:t xml:space="preserve">for </w:t>
            </w:r>
            <w:r w:rsidRPr="003A0120">
              <w:rPr>
                <w:sz w:val="20"/>
                <w:szCs w:val="20"/>
              </w:rPr>
              <w:t xml:space="preserve">individuals who, by reason of sickness, have a continuing need for aged care services, including nursing services and it is fitted, furnished and staffed for the purpose of providing </w:t>
            </w:r>
            <w:r w:rsidRPr="003A0120">
              <w:rPr>
                <w:sz w:val="20"/>
                <w:szCs w:val="20"/>
              </w:rPr>
              <w:lastRenderedPageBreak/>
              <w:t>those services.</w:t>
            </w:r>
            <w:r w:rsidR="00747F61">
              <w:rPr>
                <w:sz w:val="20"/>
                <w:szCs w:val="20"/>
              </w:rPr>
              <w:t xml:space="preserve"> </w:t>
            </w:r>
            <w:r w:rsidRPr="003A0120">
              <w:rPr>
                <w:sz w:val="20"/>
                <w:szCs w:val="20"/>
              </w:rPr>
              <w:t>See section 10(2) of the Act.</w:t>
            </w:r>
          </w:p>
        </w:tc>
      </w:tr>
      <w:tr w:rsidR="00643034" w:rsidRPr="0040564F" w14:paraId="1B0ED3BC" w14:textId="77777777" w:rsidTr="1C30FF31">
        <w:tc>
          <w:tcPr>
            <w:tcW w:w="2547" w:type="dxa"/>
            <w:shd w:val="clear" w:color="auto" w:fill="FFFFFF" w:themeFill="background1"/>
          </w:tcPr>
          <w:p w14:paraId="3DC59590" w14:textId="1464E906" w:rsidR="00643034" w:rsidRPr="0040564F" w:rsidRDefault="00643034" w:rsidP="000C292E">
            <w:pPr>
              <w:spacing w:before="0" w:after="60"/>
              <w:rPr>
                <w:rFonts w:cs="Calibri"/>
                <w:b/>
                <w:bCs/>
                <w:szCs w:val="20"/>
              </w:rPr>
            </w:pPr>
            <w:r w:rsidRPr="0040564F">
              <w:rPr>
                <w:rFonts w:cs="Calibri"/>
                <w:b/>
                <w:bCs/>
                <w:szCs w:val="20"/>
              </w:rPr>
              <w:lastRenderedPageBreak/>
              <w:t>Rules</w:t>
            </w:r>
          </w:p>
        </w:tc>
        <w:tc>
          <w:tcPr>
            <w:tcW w:w="7264" w:type="dxa"/>
            <w:shd w:val="clear" w:color="auto" w:fill="FFFFFF" w:themeFill="background1"/>
          </w:tcPr>
          <w:p w14:paraId="600781E3" w14:textId="5C6415A3" w:rsidR="00643034" w:rsidRPr="0040564F" w:rsidRDefault="00643034" w:rsidP="000C292E">
            <w:pPr>
              <w:pStyle w:val="TableofFigures"/>
              <w:rPr>
                <w:rFonts w:ascii="Calibri" w:hAnsi="Calibri" w:cs="Calibri"/>
                <w:bCs w:val="0"/>
                <w:iCs w:val="0"/>
              </w:rPr>
            </w:pPr>
            <w:r w:rsidRPr="0040564F">
              <w:rPr>
                <w:rFonts w:ascii="Calibri" w:hAnsi="Calibri" w:cs="Calibri"/>
                <w:bCs w:val="0"/>
                <w:iCs w:val="0"/>
              </w:rPr>
              <w:t>The Aged Care Rules 2025</w:t>
            </w:r>
            <w:r w:rsidR="000638D5" w:rsidRPr="0040564F">
              <w:rPr>
                <w:rFonts w:ascii="Calibri" w:hAnsi="Calibri" w:cs="Calibri"/>
                <w:bCs w:val="0"/>
                <w:iCs w:val="0"/>
              </w:rPr>
              <w:t xml:space="preserve"> (Cth)</w:t>
            </w:r>
            <w:r w:rsidRPr="0040564F">
              <w:rPr>
                <w:rFonts w:ascii="Calibri" w:hAnsi="Calibri" w:cs="Calibri"/>
                <w:bCs w:val="0"/>
                <w:iCs w:val="0"/>
              </w:rPr>
              <w:t>.</w:t>
            </w:r>
          </w:p>
        </w:tc>
      </w:tr>
      <w:tr w:rsidR="00ED3F4A" w:rsidRPr="0040564F" w14:paraId="5F8AC9BD" w14:textId="77777777" w:rsidTr="1C30FF31">
        <w:tc>
          <w:tcPr>
            <w:tcW w:w="2547" w:type="dxa"/>
            <w:shd w:val="clear" w:color="auto" w:fill="FFFFFF" w:themeFill="background1"/>
          </w:tcPr>
          <w:p w14:paraId="0812B7C2" w14:textId="77777777" w:rsidR="00ED3F4A" w:rsidRPr="0040564F" w:rsidRDefault="00ED3F4A" w:rsidP="000C292E">
            <w:pPr>
              <w:spacing w:before="0" w:after="60"/>
              <w:rPr>
                <w:rFonts w:cs="Calibri"/>
                <w:b/>
                <w:bCs/>
                <w:szCs w:val="20"/>
              </w:rPr>
            </w:pPr>
            <w:r w:rsidRPr="003A0120">
              <w:rPr>
                <w:rStyle w:val="Strong"/>
                <w:rFonts w:cs="Calibri"/>
                <w:sz w:val="20"/>
                <w:szCs w:val="20"/>
              </w:rPr>
              <w:t>Secretary</w:t>
            </w:r>
          </w:p>
        </w:tc>
        <w:tc>
          <w:tcPr>
            <w:tcW w:w="7264" w:type="dxa"/>
            <w:shd w:val="clear" w:color="auto" w:fill="FFFFFF" w:themeFill="background1"/>
          </w:tcPr>
          <w:p w14:paraId="51204F30" w14:textId="15AF0B68" w:rsidR="00ED3F4A" w:rsidRPr="003A0120" w:rsidRDefault="00ED3F4A" w:rsidP="00624415">
            <w:pPr>
              <w:pStyle w:val="TableParagraph"/>
              <w:rPr>
                <w:sz w:val="20"/>
                <w:szCs w:val="20"/>
              </w:rPr>
            </w:pPr>
            <w:r w:rsidRPr="003A0120">
              <w:rPr>
                <w:sz w:val="20"/>
                <w:szCs w:val="20"/>
              </w:rPr>
              <w:t>The person filling, or temporarily filling, the position of Secretary of the Department</w:t>
            </w:r>
            <w:r w:rsidR="00610A1D" w:rsidRPr="003A0120">
              <w:rPr>
                <w:sz w:val="20"/>
                <w:szCs w:val="20"/>
              </w:rPr>
              <w:t xml:space="preserve"> of Health, Disability and Ageing. </w:t>
            </w:r>
          </w:p>
        </w:tc>
      </w:tr>
      <w:tr w:rsidR="00ED3F4A" w:rsidRPr="0040564F" w14:paraId="39AB5A03" w14:textId="77777777" w:rsidTr="1C30FF31">
        <w:tc>
          <w:tcPr>
            <w:tcW w:w="2547" w:type="dxa"/>
            <w:shd w:val="clear" w:color="auto" w:fill="FFFFFF" w:themeFill="background1"/>
          </w:tcPr>
          <w:p w14:paraId="6A6A47AD" w14:textId="77777777" w:rsidR="00ED3F4A" w:rsidRPr="0040564F" w:rsidRDefault="00ED3F4A" w:rsidP="000C292E">
            <w:pPr>
              <w:spacing w:before="0" w:after="60"/>
              <w:rPr>
                <w:rFonts w:cs="Calibri"/>
                <w:b/>
                <w:bCs/>
                <w:szCs w:val="20"/>
              </w:rPr>
            </w:pPr>
            <w:r w:rsidRPr="003A0120">
              <w:rPr>
                <w:rStyle w:val="Strong"/>
                <w:rFonts w:cs="Calibri"/>
                <w:sz w:val="20"/>
                <w:szCs w:val="20"/>
              </w:rPr>
              <w:t>Service Agreement</w:t>
            </w:r>
          </w:p>
        </w:tc>
        <w:tc>
          <w:tcPr>
            <w:tcW w:w="7264" w:type="dxa"/>
            <w:shd w:val="clear" w:color="auto" w:fill="FFFFFF" w:themeFill="background1"/>
          </w:tcPr>
          <w:p w14:paraId="0A4CA6E5" w14:textId="31BAF6CC" w:rsidR="00ED3F4A" w:rsidRPr="003A0120" w:rsidRDefault="00ED3F4A" w:rsidP="00624415">
            <w:pPr>
              <w:pStyle w:val="TableParagraph"/>
              <w:rPr>
                <w:sz w:val="20"/>
                <w:szCs w:val="20"/>
              </w:rPr>
            </w:pPr>
            <w:r w:rsidRPr="003A0120">
              <w:rPr>
                <w:sz w:val="20"/>
                <w:szCs w:val="20"/>
              </w:rPr>
              <w:t xml:space="preserve">An agreement between an individual receiving </w:t>
            </w:r>
            <w:r w:rsidR="00DD4D99" w:rsidRPr="003A0120">
              <w:rPr>
                <w:sz w:val="20"/>
                <w:szCs w:val="20"/>
              </w:rPr>
              <w:t>funded aged care services, including transition care,</w:t>
            </w:r>
            <w:r w:rsidRPr="003A0120">
              <w:rPr>
                <w:sz w:val="20"/>
                <w:szCs w:val="20"/>
              </w:rPr>
              <w:t xml:space="preserve"> and a registered provider of transition care which details the care and services to be delivered by the registered provider and/or its associated providers, any charges payable by the individual to the registered and/or associated providers, the external complaint mechanisms and how to access these and other arrangements.</w:t>
            </w:r>
          </w:p>
        </w:tc>
      </w:tr>
      <w:tr w:rsidR="00ED3F4A" w:rsidRPr="0040564F" w14:paraId="4EF3450F" w14:textId="77777777" w:rsidTr="1C30FF31">
        <w:tc>
          <w:tcPr>
            <w:tcW w:w="2547" w:type="dxa"/>
            <w:shd w:val="clear" w:color="auto" w:fill="FFFFFF" w:themeFill="background1"/>
          </w:tcPr>
          <w:p w14:paraId="7DA8EF1E" w14:textId="77777777" w:rsidR="00ED3F4A" w:rsidRPr="0040564F" w:rsidRDefault="00ED3F4A" w:rsidP="000C292E">
            <w:pPr>
              <w:spacing w:before="0" w:after="60"/>
              <w:rPr>
                <w:rFonts w:cs="Calibri"/>
                <w:b/>
                <w:bCs/>
                <w:szCs w:val="20"/>
              </w:rPr>
            </w:pPr>
            <w:r w:rsidRPr="003A0120">
              <w:rPr>
                <w:rStyle w:val="Strong"/>
                <w:rFonts w:cs="Calibri"/>
                <w:sz w:val="20"/>
                <w:szCs w:val="20"/>
              </w:rPr>
              <w:t>Subacute Care</w:t>
            </w:r>
          </w:p>
        </w:tc>
        <w:tc>
          <w:tcPr>
            <w:tcW w:w="7264" w:type="dxa"/>
            <w:shd w:val="clear" w:color="auto" w:fill="FFFFFF" w:themeFill="background1"/>
          </w:tcPr>
          <w:p w14:paraId="54EA3D6B" w14:textId="6C9AC1EE" w:rsidR="00ED3F4A" w:rsidRPr="003A0120" w:rsidRDefault="00ED3F4A" w:rsidP="00624415">
            <w:pPr>
              <w:pStyle w:val="TableParagraph"/>
              <w:rPr>
                <w:sz w:val="20"/>
                <w:szCs w:val="20"/>
              </w:rPr>
            </w:pPr>
            <w:r w:rsidRPr="003A0120">
              <w:rPr>
                <w:sz w:val="20"/>
                <w:szCs w:val="20"/>
              </w:rPr>
              <w:t>Medical or related care or services provided to a</w:t>
            </w:r>
            <w:r w:rsidR="00DD4D99" w:rsidRPr="003A0120">
              <w:rPr>
                <w:sz w:val="20"/>
                <w:szCs w:val="20"/>
              </w:rPr>
              <w:t>n</w:t>
            </w:r>
            <w:r w:rsidRPr="003A0120">
              <w:rPr>
                <w:sz w:val="20"/>
                <w:szCs w:val="20"/>
              </w:rPr>
              <w:t xml:space="preserve"> individual who is not in the acute phase of an illness. Examples include:</w:t>
            </w:r>
          </w:p>
          <w:p w14:paraId="394324E3" w14:textId="080EAECA" w:rsidR="00ED3F4A" w:rsidRPr="0040564F" w:rsidRDefault="00ED3F4A" w:rsidP="0050112F">
            <w:pPr>
              <w:pStyle w:val="Tablelistnumber"/>
              <w:numPr>
                <w:ilvl w:val="0"/>
                <w:numId w:val="71"/>
              </w:numPr>
              <w:rPr>
                <w:szCs w:val="20"/>
              </w:rPr>
            </w:pPr>
            <w:r w:rsidRPr="0040564F">
              <w:rPr>
                <w:szCs w:val="20"/>
              </w:rPr>
              <w:t>Rehabilitation;</w:t>
            </w:r>
            <w:r w:rsidR="00DD4D99" w:rsidRPr="0040564F">
              <w:rPr>
                <w:szCs w:val="20"/>
              </w:rPr>
              <w:t xml:space="preserve"> </w:t>
            </w:r>
          </w:p>
          <w:p w14:paraId="5FEAEB55" w14:textId="36544171" w:rsidR="00ED3F4A" w:rsidRPr="0040564F" w:rsidRDefault="00ED3F4A" w:rsidP="005242AC">
            <w:pPr>
              <w:pStyle w:val="Tablelistnumber"/>
              <w:rPr>
                <w:szCs w:val="20"/>
              </w:rPr>
            </w:pPr>
            <w:r w:rsidRPr="0040564F">
              <w:rPr>
                <w:szCs w:val="20"/>
              </w:rPr>
              <w:t>Palliative care;</w:t>
            </w:r>
            <w:r w:rsidR="00DD4D99" w:rsidRPr="0040564F">
              <w:rPr>
                <w:szCs w:val="20"/>
              </w:rPr>
              <w:t xml:space="preserve"> </w:t>
            </w:r>
          </w:p>
          <w:p w14:paraId="52531809" w14:textId="77777777" w:rsidR="00ED3F4A" w:rsidRPr="0040564F" w:rsidRDefault="00ED3F4A" w:rsidP="005242AC">
            <w:pPr>
              <w:pStyle w:val="Tablelistnumber"/>
              <w:rPr>
                <w:szCs w:val="20"/>
              </w:rPr>
            </w:pPr>
            <w:r w:rsidRPr="0040564F">
              <w:rPr>
                <w:szCs w:val="20"/>
              </w:rPr>
              <w:t>Psychogeriatric care; and</w:t>
            </w:r>
          </w:p>
          <w:p w14:paraId="58CDEA48" w14:textId="77777777" w:rsidR="00ED3F4A" w:rsidRPr="0040564F" w:rsidRDefault="00ED3F4A" w:rsidP="005242AC">
            <w:pPr>
              <w:pStyle w:val="Tablelistnumber"/>
              <w:rPr>
                <w:i/>
                <w:iCs/>
                <w:szCs w:val="20"/>
              </w:rPr>
            </w:pPr>
            <w:r w:rsidRPr="0040564F">
              <w:rPr>
                <w:szCs w:val="20"/>
              </w:rPr>
              <w:t>Geriatric evaluation and management.</w:t>
            </w:r>
          </w:p>
          <w:p w14:paraId="6EA1C444" w14:textId="6C7DB0DB" w:rsidR="00ED3F4A" w:rsidRPr="003A0120" w:rsidRDefault="00ED3F4A" w:rsidP="00624415">
            <w:pPr>
              <w:pStyle w:val="TableParagraph"/>
              <w:rPr>
                <w:sz w:val="20"/>
                <w:szCs w:val="20"/>
              </w:rPr>
            </w:pPr>
            <w:r w:rsidRPr="003A0120">
              <w:rPr>
                <w:sz w:val="20"/>
                <w:szCs w:val="20"/>
              </w:rPr>
              <w:t>Note: To be eligible for transition care, a</w:t>
            </w:r>
            <w:r w:rsidR="00653608" w:rsidRPr="003A0120">
              <w:rPr>
                <w:sz w:val="20"/>
                <w:szCs w:val="20"/>
              </w:rPr>
              <w:t>n</w:t>
            </w:r>
            <w:r w:rsidRPr="003A0120">
              <w:rPr>
                <w:sz w:val="20"/>
                <w:szCs w:val="20"/>
              </w:rPr>
              <w:t xml:space="preserve"> individual must have completed their acute and/or subacute episode of care.</w:t>
            </w:r>
          </w:p>
        </w:tc>
      </w:tr>
      <w:tr w:rsidR="00704D0F" w:rsidRPr="0040564F" w14:paraId="128B853C" w14:textId="77777777" w:rsidTr="1C30FF31">
        <w:tc>
          <w:tcPr>
            <w:tcW w:w="2547" w:type="dxa"/>
            <w:shd w:val="clear" w:color="auto" w:fill="FFFFFF" w:themeFill="background1"/>
          </w:tcPr>
          <w:p w14:paraId="692CD2AC" w14:textId="7C7B88E8" w:rsidR="00704D0F" w:rsidRPr="003A0120" w:rsidRDefault="008700A6" w:rsidP="000C292E">
            <w:pPr>
              <w:spacing w:before="0" w:after="60"/>
              <w:rPr>
                <w:rStyle w:val="Strong"/>
                <w:rFonts w:cs="Calibri"/>
                <w:sz w:val="20"/>
                <w:szCs w:val="20"/>
              </w:rPr>
            </w:pPr>
            <w:r w:rsidRPr="0040564F">
              <w:rPr>
                <w:rFonts w:cs="Calibri"/>
                <w:b/>
                <w:bCs/>
                <w:szCs w:val="20"/>
              </w:rPr>
              <w:t>Support at Home Program</w:t>
            </w:r>
          </w:p>
        </w:tc>
        <w:tc>
          <w:tcPr>
            <w:tcW w:w="7264" w:type="dxa"/>
            <w:shd w:val="clear" w:color="auto" w:fill="FFFFFF" w:themeFill="background1"/>
          </w:tcPr>
          <w:p w14:paraId="779B0E96" w14:textId="38FE3AC0" w:rsidR="00704D0F" w:rsidRPr="003A0120" w:rsidRDefault="008700A6" w:rsidP="00624415">
            <w:pPr>
              <w:pStyle w:val="TableParagraph"/>
              <w:rPr>
                <w:sz w:val="20"/>
                <w:szCs w:val="20"/>
              </w:rPr>
            </w:pPr>
            <w:r w:rsidRPr="003A0120">
              <w:rPr>
                <w:sz w:val="20"/>
                <w:szCs w:val="20"/>
              </w:rPr>
              <w:t xml:space="preserve">The </w:t>
            </w:r>
            <w:r w:rsidR="00704D0F" w:rsidRPr="003A0120">
              <w:rPr>
                <w:sz w:val="20"/>
                <w:szCs w:val="20"/>
              </w:rPr>
              <w:t xml:space="preserve">Support at Home </w:t>
            </w:r>
            <w:r w:rsidRPr="003A0120">
              <w:rPr>
                <w:sz w:val="20"/>
                <w:szCs w:val="20"/>
              </w:rPr>
              <w:t>Program replaced the</w:t>
            </w:r>
            <w:r w:rsidR="00704D0F" w:rsidRPr="003A0120">
              <w:rPr>
                <w:sz w:val="20"/>
                <w:szCs w:val="20"/>
              </w:rPr>
              <w:t xml:space="preserve"> Home Care Packages (</w:t>
            </w:r>
            <w:r w:rsidR="00704D0F" w:rsidRPr="003A0120">
              <w:rPr>
                <w:b/>
                <w:sz w:val="20"/>
                <w:szCs w:val="20"/>
              </w:rPr>
              <w:t>HCP</w:t>
            </w:r>
            <w:r w:rsidR="00704D0F" w:rsidRPr="003A0120">
              <w:rPr>
                <w:sz w:val="20"/>
                <w:szCs w:val="20"/>
              </w:rPr>
              <w:t>) Program and the Short-Term Restorative Care (</w:t>
            </w:r>
            <w:r w:rsidR="00704D0F" w:rsidRPr="003A0120">
              <w:rPr>
                <w:b/>
                <w:sz w:val="20"/>
                <w:szCs w:val="20"/>
              </w:rPr>
              <w:t>STRC</w:t>
            </w:r>
            <w:r w:rsidR="00704D0F" w:rsidRPr="003A0120">
              <w:rPr>
                <w:sz w:val="20"/>
                <w:szCs w:val="20"/>
              </w:rPr>
              <w:t>) Programme</w:t>
            </w:r>
            <w:r w:rsidRPr="003A0120">
              <w:rPr>
                <w:sz w:val="20"/>
                <w:szCs w:val="20"/>
              </w:rPr>
              <w:t xml:space="preserve"> from 1 November 2025 and is </w:t>
            </w:r>
            <w:r w:rsidR="00915E5C" w:rsidRPr="003A0120">
              <w:rPr>
                <w:sz w:val="20"/>
                <w:szCs w:val="20"/>
              </w:rPr>
              <w:t>aimed</w:t>
            </w:r>
            <w:r w:rsidRPr="003A0120">
              <w:rPr>
                <w:sz w:val="20"/>
                <w:szCs w:val="20"/>
              </w:rPr>
              <w:t xml:space="preserve"> at supporting people to remain living at </w:t>
            </w:r>
            <w:r w:rsidR="00915E5C" w:rsidRPr="003A0120">
              <w:rPr>
                <w:sz w:val="20"/>
                <w:szCs w:val="20"/>
              </w:rPr>
              <w:t>home</w:t>
            </w:r>
            <w:r w:rsidRPr="003A0120">
              <w:rPr>
                <w:sz w:val="20"/>
                <w:szCs w:val="20"/>
              </w:rPr>
              <w:t xml:space="preserve">. </w:t>
            </w:r>
            <w:r w:rsidR="00915E5C" w:rsidRPr="003A0120">
              <w:rPr>
                <w:sz w:val="20"/>
                <w:szCs w:val="20"/>
              </w:rPr>
              <w:t>Support</w:t>
            </w:r>
            <w:r w:rsidRPr="003A0120">
              <w:rPr>
                <w:sz w:val="20"/>
                <w:szCs w:val="20"/>
              </w:rPr>
              <w:t xml:space="preserve"> at Home registered p</w:t>
            </w:r>
            <w:r w:rsidR="00704D0F" w:rsidRPr="003A0120">
              <w:rPr>
                <w:sz w:val="20"/>
                <w:szCs w:val="20"/>
              </w:rPr>
              <w:t xml:space="preserve">roviders must be guided by the Statement of Rights that underpin the Support at Home </w:t>
            </w:r>
            <w:r w:rsidR="00EE1025" w:rsidRPr="003A0120">
              <w:rPr>
                <w:sz w:val="20"/>
                <w:szCs w:val="20"/>
              </w:rPr>
              <w:t>P</w:t>
            </w:r>
            <w:r w:rsidR="00704D0F" w:rsidRPr="003A0120">
              <w:rPr>
                <w:sz w:val="20"/>
                <w:szCs w:val="20"/>
              </w:rPr>
              <w:t>rogram and should apply wellness and reablement approaches.</w:t>
            </w:r>
          </w:p>
        </w:tc>
      </w:tr>
      <w:tr w:rsidR="00ED3F4A" w:rsidRPr="0040564F" w14:paraId="59361CAF" w14:textId="77777777" w:rsidTr="1C30FF31">
        <w:tc>
          <w:tcPr>
            <w:tcW w:w="2547" w:type="dxa"/>
            <w:shd w:val="clear" w:color="auto" w:fill="FFFFFF" w:themeFill="background1"/>
          </w:tcPr>
          <w:p w14:paraId="65AD4111" w14:textId="55148127" w:rsidR="00ED3F4A" w:rsidRPr="0040564F" w:rsidRDefault="004D4483" w:rsidP="000C292E">
            <w:pPr>
              <w:spacing w:before="0" w:after="60"/>
              <w:rPr>
                <w:rFonts w:cs="Calibri"/>
                <w:b/>
                <w:bCs/>
                <w:szCs w:val="20"/>
              </w:rPr>
            </w:pPr>
            <w:r w:rsidRPr="0040564F">
              <w:rPr>
                <w:rFonts w:cs="Calibri"/>
                <w:b/>
                <w:bCs/>
                <w:szCs w:val="20"/>
              </w:rPr>
              <w:t xml:space="preserve">TCP </w:t>
            </w:r>
            <w:r w:rsidR="00ED3F4A" w:rsidRPr="0040564F">
              <w:rPr>
                <w:rFonts w:cs="Calibri"/>
                <w:b/>
                <w:bCs/>
                <w:szCs w:val="20"/>
              </w:rPr>
              <w:t>Subsidy</w:t>
            </w:r>
          </w:p>
        </w:tc>
        <w:tc>
          <w:tcPr>
            <w:tcW w:w="7264" w:type="dxa"/>
            <w:shd w:val="clear" w:color="auto" w:fill="FFFFFF" w:themeFill="background1"/>
          </w:tcPr>
          <w:p w14:paraId="75D721BC" w14:textId="607E38EA" w:rsidR="00ED3F4A" w:rsidRPr="003A0120" w:rsidRDefault="00ED3F4A" w:rsidP="00624415">
            <w:pPr>
              <w:pStyle w:val="TableParagraph"/>
              <w:rPr>
                <w:sz w:val="20"/>
                <w:szCs w:val="20"/>
              </w:rPr>
            </w:pPr>
            <w:r w:rsidRPr="003A0120">
              <w:rPr>
                <w:sz w:val="20"/>
                <w:szCs w:val="20"/>
              </w:rPr>
              <w:t>T</w:t>
            </w:r>
            <w:r w:rsidR="007B391D" w:rsidRPr="003A0120">
              <w:rPr>
                <w:sz w:val="20"/>
                <w:szCs w:val="20"/>
              </w:rPr>
              <w:t xml:space="preserve">he </w:t>
            </w:r>
            <w:r w:rsidR="00931641" w:rsidRPr="003A0120">
              <w:rPr>
                <w:sz w:val="20"/>
                <w:szCs w:val="20"/>
              </w:rPr>
              <w:t xml:space="preserve">Australian </w:t>
            </w:r>
            <w:r w:rsidR="007475B6" w:rsidRPr="003A0120">
              <w:rPr>
                <w:sz w:val="20"/>
                <w:szCs w:val="20"/>
              </w:rPr>
              <w:t>Government</w:t>
            </w:r>
            <w:r w:rsidR="007B391D" w:rsidRPr="003A0120">
              <w:rPr>
                <w:sz w:val="20"/>
                <w:szCs w:val="20"/>
              </w:rPr>
              <w:t xml:space="preserve"> s</w:t>
            </w:r>
            <w:r w:rsidRPr="003A0120">
              <w:rPr>
                <w:sz w:val="20"/>
                <w:szCs w:val="20"/>
              </w:rPr>
              <w:t xml:space="preserve">ubsidy </w:t>
            </w:r>
            <w:r w:rsidR="007B391D" w:rsidRPr="003A0120">
              <w:rPr>
                <w:sz w:val="20"/>
                <w:szCs w:val="20"/>
              </w:rPr>
              <w:t xml:space="preserve">payable to a </w:t>
            </w:r>
            <w:r w:rsidRPr="003A0120">
              <w:rPr>
                <w:sz w:val="20"/>
                <w:szCs w:val="20"/>
              </w:rPr>
              <w:t>registered provider</w:t>
            </w:r>
            <w:r w:rsidR="007B391D" w:rsidRPr="003A0120">
              <w:rPr>
                <w:sz w:val="20"/>
                <w:szCs w:val="20"/>
              </w:rPr>
              <w:t>,</w:t>
            </w:r>
            <w:r w:rsidRPr="003A0120">
              <w:rPr>
                <w:sz w:val="20"/>
                <w:szCs w:val="20"/>
              </w:rPr>
              <w:t xml:space="preserve"> </w:t>
            </w:r>
            <w:r w:rsidR="007B391D" w:rsidRPr="003A0120">
              <w:rPr>
                <w:sz w:val="20"/>
                <w:szCs w:val="20"/>
              </w:rPr>
              <w:t>who meet</w:t>
            </w:r>
            <w:r w:rsidR="00EE584D" w:rsidRPr="003A0120">
              <w:rPr>
                <w:sz w:val="20"/>
                <w:szCs w:val="20"/>
              </w:rPr>
              <w:t>s</w:t>
            </w:r>
            <w:r w:rsidR="007B391D" w:rsidRPr="003A0120">
              <w:rPr>
                <w:sz w:val="20"/>
                <w:szCs w:val="20"/>
              </w:rPr>
              <w:t xml:space="preserve"> the</w:t>
            </w:r>
            <w:r w:rsidRPr="003A0120">
              <w:rPr>
                <w:sz w:val="20"/>
                <w:szCs w:val="20"/>
              </w:rPr>
              <w:t xml:space="preserve"> eligib</w:t>
            </w:r>
            <w:r w:rsidR="007B391D" w:rsidRPr="003A0120">
              <w:rPr>
                <w:sz w:val="20"/>
                <w:szCs w:val="20"/>
              </w:rPr>
              <w:t xml:space="preserve">ility requirements </w:t>
            </w:r>
            <w:r w:rsidRPr="003A0120">
              <w:rPr>
                <w:sz w:val="20"/>
                <w:szCs w:val="20"/>
              </w:rPr>
              <w:t>under section 248 of the Act</w:t>
            </w:r>
            <w:r w:rsidR="007B391D" w:rsidRPr="003A0120">
              <w:rPr>
                <w:sz w:val="20"/>
                <w:szCs w:val="20"/>
              </w:rPr>
              <w:t xml:space="preserve">, </w:t>
            </w:r>
            <w:r w:rsidRPr="003A0120">
              <w:rPr>
                <w:sz w:val="20"/>
                <w:szCs w:val="20"/>
              </w:rPr>
              <w:t>on a day in relation to funded aged care services delivered through a service group under</w:t>
            </w:r>
            <w:r w:rsidR="0055126C" w:rsidRPr="003A0120">
              <w:rPr>
                <w:sz w:val="20"/>
                <w:szCs w:val="20"/>
              </w:rPr>
              <w:t xml:space="preserve"> the transition care program as a</w:t>
            </w:r>
            <w:r w:rsidRPr="003A0120">
              <w:rPr>
                <w:sz w:val="20"/>
                <w:szCs w:val="20"/>
              </w:rPr>
              <w:t xml:space="preserve"> specialist aged care program</w:t>
            </w:r>
            <w:r w:rsidR="0055126C" w:rsidRPr="003A0120">
              <w:rPr>
                <w:sz w:val="20"/>
                <w:szCs w:val="20"/>
              </w:rPr>
              <w:t>,</w:t>
            </w:r>
            <w:r w:rsidR="00653608" w:rsidRPr="003A0120">
              <w:rPr>
                <w:sz w:val="20"/>
                <w:szCs w:val="20"/>
              </w:rPr>
              <w:t xml:space="preserve"> and</w:t>
            </w:r>
            <w:r w:rsidRPr="003A0120">
              <w:rPr>
                <w:sz w:val="20"/>
                <w:szCs w:val="20"/>
              </w:rPr>
              <w:t xml:space="preserve"> is the amount prescribed by the </w:t>
            </w:r>
            <w:r w:rsidR="00EE584D" w:rsidRPr="003A0120">
              <w:rPr>
                <w:sz w:val="20"/>
                <w:szCs w:val="20"/>
              </w:rPr>
              <w:t>R</w:t>
            </w:r>
            <w:r w:rsidRPr="003A0120">
              <w:rPr>
                <w:sz w:val="20"/>
                <w:szCs w:val="20"/>
              </w:rPr>
              <w:t>ules</w:t>
            </w:r>
            <w:r w:rsidR="0055126C" w:rsidRPr="003A0120">
              <w:rPr>
                <w:sz w:val="20"/>
                <w:szCs w:val="20"/>
              </w:rPr>
              <w:t xml:space="preserve"> at section 249-90.</w:t>
            </w:r>
          </w:p>
        </w:tc>
      </w:tr>
      <w:tr w:rsidR="00ED3F4A" w:rsidRPr="0040564F" w14:paraId="652E786D" w14:textId="77777777" w:rsidTr="1C30FF31">
        <w:tc>
          <w:tcPr>
            <w:tcW w:w="2547" w:type="dxa"/>
            <w:shd w:val="clear" w:color="auto" w:fill="FFFFFF" w:themeFill="background1"/>
          </w:tcPr>
          <w:p w14:paraId="0BF75B4A" w14:textId="77777777" w:rsidR="00ED3F4A" w:rsidRPr="0040564F" w:rsidRDefault="00ED3F4A" w:rsidP="000C292E">
            <w:pPr>
              <w:spacing w:before="0" w:after="60"/>
              <w:rPr>
                <w:rFonts w:cs="Calibri"/>
                <w:b/>
                <w:bCs/>
                <w:szCs w:val="20"/>
              </w:rPr>
            </w:pPr>
            <w:r w:rsidRPr="0040564F">
              <w:rPr>
                <w:rFonts w:cs="Calibri"/>
                <w:b/>
                <w:bCs/>
                <w:szCs w:val="20"/>
              </w:rPr>
              <w:t>Support Plan</w:t>
            </w:r>
          </w:p>
        </w:tc>
        <w:tc>
          <w:tcPr>
            <w:tcW w:w="7264" w:type="dxa"/>
            <w:shd w:val="clear" w:color="auto" w:fill="FFFFFF" w:themeFill="background1"/>
          </w:tcPr>
          <w:p w14:paraId="2B75E712" w14:textId="01A55F57" w:rsidR="00ED3F4A" w:rsidRPr="003A0120" w:rsidRDefault="008E3601" w:rsidP="00624415">
            <w:pPr>
              <w:pStyle w:val="TableParagraph"/>
              <w:rPr>
                <w:sz w:val="20"/>
                <w:szCs w:val="20"/>
              </w:rPr>
            </w:pPr>
            <w:r w:rsidRPr="003A0120">
              <w:rPr>
                <w:sz w:val="20"/>
                <w:szCs w:val="20"/>
              </w:rPr>
              <w:t>A</w:t>
            </w:r>
            <w:r w:rsidR="00ED3F4A" w:rsidRPr="003A0120">
              <w:rPr>
                <w:sz w:val="20"/>
                <w:szCs w:val="20"/>
              </w:rPr>
              <w:t xml:space="preserve"> Support Plan is an important and ongoing document</w:t>
            </w:r>
            <w:r w:rsidRPr="003A0120">
              <w:rPr>
                <w:sz w:val="20"/>
                <w:szCs w:val="20"/>
              </w:rPr>
              <w:t xml:space="preserve"> developed as part of an aged care needs assessment under the Act,</w:t>
            </w:r>
            <w:r w:rsidR="00ED3F4A" w:rsidRPr="003A0120">
              <w:rPr>
                <w:sz w:val="20"/>
                <w:szCs w:val="20"/>
              </w:rPr>
              <w:t xml:space="preserve"> for the older person that can be updated as a</w:t>
            </w:r>
            <w:r w:rsidR="007B391D" w:rsidRPr="003A0120">
              <w:rPr>
                <w:sz w:val="20"/>
                <w:szCs w:val="20"/>
              </w:rPr>
              <w:t>n</w:t>
            </w:r>
            <w:r w:rsidR="00ED3F4A" w:rsidRPr="003A0120">
              <w:rPr>
                <w:sz w:val="20"/>
                <w:szCs w:val="20"/>
              </w:rPr>
              <w:t xml:space="preserve"> older person’s needs change. It details the outcomes of discussions with, and assessments of, the older person, including what the older person would like to improve and achieve (their goals), and agreed actions to be taken. It is a continuous document (i.e. a</w:t>
            </w:r>
            <w:r w:rsidR="007B391D" w:rsidRPr="003A0120">
              <w:rPr>
                <w:sz w:val="20"/>
                <w:szCs w:val="20"/>
              </w:rPr>
              <w:t>n</w:t>
            </w:r>
            <w:r w:rsidR="00ED3F4A" w:rsidRPr="003A0120">
              <w:rPr>
                <w:sz w:val="20"/>
                <w:szCs w:val="20"/>
              </w:rPr>
              <w:t xml:space="preserve"> older person only has one Support Plan).</w:t>
            </w:r>
          </w:p>
        </w:tc>
      </w:tr>
      <w:tr w:rsidR="00ED3F4A" w:rsidRPr="0040564F" w14:paraId="5AE302E1" w14:textId="77777777" w:rsidTr="1C30FF31">
        <w:tc>
          <w:tcPr>
            <w:tcW w:w="2547" w:type="dxa"/>
            <w:shd w:val="clear" w:color="auto" w:fill="FFFFFF" w:themeFill="background1"/>
          </w:tcPr>
          <w:p w14:paraId="7EB7930D" w14:textId="77777777" w:rsidR="00ED3F4A" w:rsidRPr="0040564F" w:rsidRDefault="00ED3F4A" w:rsidP="000C292E">
            <w:pPr>
              <w:spacing w:before="0" w:after="60"/>
              <w:rPr>
                <w:rFonts w:cs="Calibri"/>
                <w:b/>
                <w:bCs/>
                <w:szCs w:val="20"/>
              </w:rPr>
            </w:pPr>
            <w:r w:rsidRPr="0040564F">
              <w:rPr>
                <w:rFonts w:cs="Calibri"/>
                <w:b/>
                <w:bCs/>
                <w:szCs w:val="20"/>
              </w:rPr>
              <w:t>Supporter</w:t>
            </w:r>
          </w:p>
        </w:tc>
        <w:tc>
          <w:tcPr>
            <w:tcW w:w="7264" w:type="dxa"/>
            <w:shd w:val="clear" w:color="auto" w:fill="FFFFFF" w:themeFill="background1"/>
          </w:tcPr>
          <w:p w14:paraId="63915E7E" w14:textId="77777777" w:rsidR="00ED3F4A" w:rsidRPr="003A0120" w:rsidRDefault="00ED3F4A" w:rsidP="00624415">
            <w:pPr>
              <w:pStyle w:val="TableParagraph"/>
              <w:rPr>
                <w:sz w:val="20"/>
                <w:szCs w:val="20"/>
              </w:rPr>
            </w:pPr>
            <w:r w:rsidRPr="003A0120">
              <w:rPr>
                <w:sz w:val="20"/>
                <w:szCs w:val="20"/>
              </w:rPr>
              <w:t xml:space="preserve">Means a person registered as a supporter of the individual under section 37 of the Act. Supporters may be registered to assist individuals with navigating the system and are required to act in accordance with principles that promote supported decision making. </w:t>
            </w:r>
          </w:p>
        </w:tc>
      </w:tr>
      <w:tr w:rsidR="00ED3F4A" w:rsidRPr="0040564F" w14:paraId="65A065B1" w14:textId="77777777" w:rsidTr="1C30FF31">
        <w:tc>
          <w:tcPr>
            <w:tcW w:w="2547" w:type="dxa"/>
            <w:shd w:val="clear" w:color="auto" w:fill="FFFFFF" w:themeFill="background1"/>
          </w:tcPr>
          <w:p w14:paraId="51F25C49" w14:textId="77777777" w:rsidR="00ED3F4A" w:rsidRPr="0040564F" w:rsidRDefault="00ED3F4A" w:rsidP="000C292E">
            <w:pPr>
              <w:spacing w:before="0" w:after="60"/>
              <w:rPr>
                <w:rFonts w:cs="Calibri"/>
                <w:b/>
                <w:bCs/>
                <w:szCs w:val="20"/>
              </w:rPr>
            </w:pPr>
            <w:r w:rsidRPr="003A0120">
              <w:rPr>
                <w:rStyle w:val="Strong"/>
                <w:rFonts w:cs="Calibri"/>
                <w:sz w:val="20"/>
                <w:szCs w:val="20"/>
              </w:rPr>
              <w:t>System Governor</w:t>
            </w:r>
          </w:p>
        </w:tc>
        <w:tc>
          <w:tcPr>
            <w:tcW w:w="7264" w:type="dxa"/>
            <w:shd w:val="clear" w:color="auto" w:fill="FFFFFF" w:themeFill="background1"/>
          </w:tcPr>
          <w:p w14:paraId="59CB4199" w14:textId="76529D3D" w:rsidR="00ED3F4A" w:rsidRPr="003A0120" w:rsidRDefault="0007715C" w:rsidP="00624415">
            <w:pPr>
              <w:pStyle w:val="TableParagraph"/>
              <w:rPr>
                <w:sz w:val="20"/>
                <w:szCs w:val="20"/>
              </w:rPr>
            </w:pPr>
            <w:r w:rsidRPr="003A0120">
              <w:rPr>
                <w:sz w:val="20"/>
                <w:szCs w:val="20"/>
              </w:rPr>
              <w:t>Is d</w:t>
            </w:r>
            <w:r w:rsidR="00ED3F4A" w:rsidRPr="003A0120">
              <w:rPr>
                <w:sz w:val="20"/>
                <w:szCs w:val="20"/>
              </w:rPr>
              <w:t>efined in section 7 of the Act</w:t>
            </w:r>
            <w:r w:rsidRPr="003A0120">
              <w:rPr>
                <w:sz w:val="20"/>
                <w:szCs w:val="20"/>
              </w:rPr>
              <w:t xml:space="preserve"> to mean the Secretary of the Department of Health, Disability and Ageing. </w:t>
            </w:r>
          </w:p>
        </w:tc>
      </w:tr>
      <w:tr w:rsidR="00ED3F4A" w:rsidRPr="0040564F" w14:paraId="2DD8E528" w14:textId="77777777" w:rsidTr="1C30FF31">
        <w:tc>
          <w:tcPr>
            <w:tcW w:w="2547" w:type="dxa"/>
            <w:shd w:val="clear" w:color="auto" w:fill="FFFFFF" w:themeFill="background1"/>
          </w:tcPr>
          <w:p w14:paraId="556A32B5" w14:textId="30C76311" w:rsidR="00ED3F4A" w:rsidRPr="0040564F" w:rsidRDefault="00ED3F4A" w:rsidP="000C292E">
            <w:pPr>
              <w:spacing w:before="0" w:after="60"/>
              <w:rPr>
                <w:rFonts w:cs="Calibri"/>
                <w:b/>
                <w:bCs/>
                <w:szCs w:val="20"/>
              </w:rPr>
            </w:pPr>
            <w:r w:rsidRPr="003A0120">
              <w:rPr>
                <w:rStyle w:val="Strong"/>
                <w:rFonts w:cs="Calibri"/>
                <w:sz w:val="20"/>
                <w:szCs w:val="20"/>
              </w:rPr>
              <w:t>Transition Care Program</w:t>
            </w:r>
          </w:p>
        </w:tc>
        <w:tc>
          <w:tcPr>
            <w:tcW w:w="7264" w:type="dxa"/>
            <w:shd w:val="clear" w:color="auto" w:fill="FFFFFF" w:themeFill="background1"/>
          </w:tcPr>
          <w:p w14:paraId="662829CF" w14:textId="7BD7F145" w:rsidR="002110A6" w:rsidRPr="003A0120" w:rsidRDefault="00C642F1" w:rsidP="00747F61">
            <w:pPr>
              <w:pStyle w:val="TableParagraph"/>
              <w:rPr>
                <w:sz w:val="20"/>
                <w:szCs w:val="20"/>
              </w:rPr>
            </w:pPr>
            <w:r w:rsidRPr="003A0120">
              <w:rPr>
                <w:sz w:val="20"/>
                <w:szCs w:val="20"/>
              </w:rPr>
              <w:t>Is defined in section 7 of the Act to mean</w:t>
            </w:r>
            <w:r w:rsidR="00ED3F4A" w:rsidRPr="003A0120">
              <w:rPr>
                <w:sz w:val="20"/>
                <w:szCs w:val="20"/>
              </w:rPr>
              <w:t xml:space="preserve"> a specialist aged care program given effect through one or more agreements entered into by the </w:t>
            </w:r>
            <w:r w:rsidR="00867B78" w:rsidRPr="003A0120">
              <w:rPr>
                <w:sz w:val="20"/>
                <w:szCs w:val="20"/>
              </w:rPr>
              <w:t>Commonwealth</w:t>
            </w:r>
            <w:r w:rsidR="00ED3F4A" w:rsidRPr="003A0120">
              <w:rPr>
                <w:sz w:val="20"/>
                <w:szCs w:val="20"/>
              </w:rPr>
              <w:t xml:space="preserve"> under paragraph 247(1)(b) of the Act for the purpose of the delivery of funded aged care services to individuals with access approvals in effect for the classification type hospital transition for a service group.</w:t>
            </w:r>
          </w:p>
        </w:tc>
      </w:tr>
      <w:tr w:rsidR="00ED3F4A" w:rsidRPr="0040564F" w14:paraId="2D2319D5" w14:textId="77777777" w:rsidTr="1C30FF31">
        <w:tc>
          <w:tcPr>
            <w:tcW w:w="2547" w:type="dxa"/>
            <w:shd w:val="clear" w:color="auto" w:fill="FFFFFF" w:themeFill="background1"/>
          </w:tcPr>
          <w:p w14:paraId="74DC0C24" w14:textId="77777777" w:rsidR="00ED3F4A" w:rsidRPr="0040564F" w:rsidRDefault="00ED3F4A" w:rsidP="000C292E">
            <w:pPr>
              <w:spacing w:before="0" w:after="60"/>
              <w:rPr>
                <w:rFonts w:cs="Calibri"/>
                <w:b/>
                <w:bCs/>
                <w:szCs w:val="20"/>
              </w:rPr>
            </w:pPr>
            <w:r w:rsidRPr="003A0120">
              <w:rPr>
                <w:rStyle w:val="Strong"/>
                <w:rFonts w:cs="Calibri"/>
                <w:sz w:val="20"/>
                <w:szCs w:val="20"/>
              </w:rPr>
              <w:t>Transition Care Program Agreement</w:t>
            </w:r>
          </w:p>
        </w:tc>
        <w:tc>
          <w:tcPr>
            <w:tcW w:w="7264" w:type="dxa"/>
            <w:shd w:val="clear" w:color="auto" w:fill="FFFFFF" w:themeFill="background1"/>
          </w:tcPr>
          <w:p w14:paraId="5291597E" w14:textId="185BCD2D" w:rsidR="00ED3F4A" w:rsidRPr="003A0120" w:rsidRDefault="00ED3F4A" w:rsidP="00624415">
            <w:pPr>
              <w:pStyle w:val="TableParagraph"/>
              <w:rPr>
                <w:sz w:val="20"/>
                <w:szCs w:val="20"/>
              </w:rPr>
            </w:pPr>
            <w:r w:rsidRPr="003A0120">
              <w:rPr>
                <w:sz w:val="20"/>
                <w:szCs w:val="20"/>
              </w:rPr>
              <w:t xml:space="preserve">An agreement between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as represented by the Department of Health, Disability and Ageing and each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 xml:space="preserve">erritory government specifying responsibilities of the </w:t>
            </w:r>
            <w:r w:rsidR="00931641" w:rsidRPr="003A0120">
              <w:rPr>
                <w:sz w:val="20"/>
                <w:szCs w:val="20"/>
              </w:rPr>
              <w:t xml:space="preserve">Australian </w:t>
            </w:r>
            <w:r w:rsidR="000B2534" w:rsidRPr="003A0120">
              <w:rPr>
                <w:sz w:val="20"/>
                <w:szCs w:val="20"/>
              </w:rPr>
              <w:t xml:space="preserve">Government </w:t>
            </w:r>
            <w:r w:rsidRPr="003A0120">
              <w:rPr>
                <w:sz w:val="20"/>
                <w:szCs w:val="20"/>
              </w:rPr>
              <w:t xml:space="preserve">and </w:t>
            </w:r>
            <w:r w:rsidR="00575ED8" w:rsidRPr="003A0120">
              <w:rPr>
                <w:sz w:val="20"/>
                <w:szCs w:val="20"/>
              </w:rPr>
              <w:t>S</w:t>
            </w:r>
            <w:r w:rsidRPr="003A0120">
              <w:rPr>
                <w:sz w:val="20"/>
                <w:szCs w:val="20"/>
              </w:rPr>
              <w:t xml:space="preserve">tate and </w:t>
            </w:r>
            <w:r w:rsidR="00575ED8" w:rsidRPr="003A0120">
              <w:rPr>
                <w:sz w:val="20"/>
                <w:szCs w:val="20"/>
              </w:rPr>
              <w:t>T</w:t>
            </w:r>
            <w:r w:rsidRPr="003A0120">
              <w:rPr>
                <w:sz w:val="20"/>
                <w:szCs w:val="20"/>
              </w:rPr>
              <w:t>erritory governments in the delivery and overall management of the Transition Care Progr</w:t>
            </w:r>
            <w:r w:rsidR="003A136E" w:rsidRPr="003A0120">
              <w:rPr>
                <w:sz w:val="20"/>
                <w:szCs w:val="20"/>
              </w:rPr>
              <w:t xml:space="preserve">am. </w:t>
            </w:r>
            <w:r w:rsidRPr="003A0120">
              <w:rPr>
                <w:sz w:val="20"/>
                <w:szCs w:val="20"/>
              </w:rPr>
              <w:t xml:space="preserve"> </w:t>
            </w:r>
          </w:p>
        </w:tc>
      </w:tr>
    </w:tbl>
    <w:p w14:paraId="700F65CB" w14:textId="77777777" w:rsidR="00FF4654" w:rsidRPr="0040564F" w:rsidRDefault="00FF4654" w:rsidP="00412682">
      <w:pPr>
        <w:rPr>
          <w:rFonts w:cs="Calibri"/>
          <w:szCs w:val="20"/>
        </w:rPr>
      </w:pPr>
    </w:p>
    <w:sectPr w:rsidR="00FF4654" w:rsidRPr="0040564F" w:rsidSect="009A2ADD">
      <w:footerReference w:type="default" r:id="rId105"/>
      <w:pgSz w:w="11906" w:h="16838"/>
      <w:pgMar w:top="567" w:right="851" w:bottom="567" w:left="851" w:header="28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2A234" w14:textId="77777777" w:rsidR="00CA0B23" w:rsidRDefault="00CA0B23" w:rsidP="008F3023">
      <w:pPr>
        <w:spacing w:before="0" w:after="0"/>
      </w:pPr>
      <w:r>
        <w:separator/>
      </w:r>
    </w:p>
    <w:p w14:paraId="12D583C1" w14:textId="77777777" w:rsidR="00CA0B23" w:rsidRDefault="00CA0B23"/>
  </w:endnote>
  <w:endnote w:type="continuationSeparator" w:id="0">
    <w:p w14:paraId="4EF7D35F" w14:textId="77777777" w:rsidR="00CA0B23" w:rsidRDefault="00CA0B23" w:rsidP="008F3023">
      <w:pPr>
        <w:spacing w:before="0" w:after="0"/>
      </w:pPr>
      <w:r>
        <w:continuationSeparator/>
      </w:r>
    </w:p>
    <w:p w14:paraId="1474CAD7" w14:textId="77777777" w:rsidR="00CA0B23" w:rsidRDefault="00CA0B23"/>
  </w:endnote>
  <w:endnote w:type="continuationNotice" w:id="1">
    <w:p w14:paraId="26F11EDC" w14:textId="77777777" w:rsidR="00CA0B23" w:rsidRDefault="00CA0B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B4D19" w14:textId="31F6996F" w:rsidR="00647ECF" w:rsidRDefault="00647ECF">
    <w:pPr>
      <w:pStyle w:val="Footer"/>
    </w:pPr>
    <w:r>
      <w:rPr>
        <w:noProof/>
      </w:rPr>
      <mc:AlternateContent>
        <mc:Choice Requires="wps">
          <w:drawing>
            <wp:anchor distT="0" distB="0" distL="0" distR="0" simplePos="0" relativeHeight="251658243" behindDoc="0" locked="0" layoutInCell="1" allowOverlap="1" wp14:anchorId="5C69028D" wp14:editId="41E2BA22">
              <wp:simplePos x="635" y="635"/>
              <wp:positionH relativeFrom="page">
                <wp:align>center</wp:align>
              </wp:positionH>
              <wp:positionV relativeFrom="page">
                <wp:align>bottom</wp:align>
              </wp:positionV>
              <wp:extent cx="609600" cy="457200"/>
              <wp:effectExtent l="0" t="0" r="0" b="0"/>
              <wp:wrapNone/>
              <wp:docPr id="10262172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9028D" id="_x0000_t202" coordsize="21600,21600" o:spt="202" path="m,l,21600r21600,l21600,xe">
              <v:stroke joinstyle="miter"/>
              <v:path gradientshapeok="t" o:connecttype="rect"/>
            </v:shapetype>
            <v:shape id="Text Box 7" o:spid="_x0000_s1028" type="#_x0000_t202" alt="OFFICIAL" style="position:absolute;margin-left:0;margin-top:0;width:48pt;height:3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8RDAIAABwEAAAOAAAAZHJzL2Uyb0RvYy54bWysU01v2zAMvQ/YfxB0X+wEa7YacYqsRYYB&#10;QVsgHXpWZCk2YIkCpcTOfv0oOU62bqdhF5kmKX6897S4603Ljgp9A7bk00nOmbISqsbuS/79Zf3h&#10;M2c+CFuJFqwq+Ul5frd8/27RuULNoIa2UsioiPVF50peh+CKLPOyVkb4CThlKagBjQj0i/usQtFR&#10;ddNmszyfZx1g5RCk8p68D0OQL1N9rZUMT1p7FVhbcpotpBPTuYtntlyIYo/C1Y08jyH+YQojGktN&#10;L6UeRBDsgM0fpUwjETzoMJFgMtC6kSrtQNtM8zfbbGvhVNqFwPHuApP/f2Xl43HrnpGF/gv0RGAE&#10;pHO+8OSM+/QaTfzSpIziBOHpApvqA5PknOe385wikkIfbz4RLbFKdr3s0IevCgyLRsmRWElgiePG&#10;hyF1TIm9LKybtk3MtPY3B9WMnuw6YbRCv+tZU5V8Nk6/g+pESyEMfHsn1w213ggfngUSwTQtiTY8&#10;0aFb6EoOZ4uzGvDH3/wxn3CnKGcdCabklhTNWfvNEh9RW6OBo7FLxvQ2v4n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OOvEQwCAAAcBAAA&#10;DgAAAAAAAAAAAAAAAAAuAgAAZHJzL2Uyb0RvYy54bWxQSwECLQAUAAYACAAAACEAY3IoctoAAAAD&#10;AQAADwAAAAAAAAAAAAAAAABmBAAAZHJzL2Rvd25yZXYueG1sUEsFBgAAAAAEAAQA8wAAAG0FAAAA&#10;AA==&#10;" filled="f" stroked="f">
              <v:textbox style="mso-fit-shape-to-text:t" inset="0,0,0,15pt">
                <w:txbxContent>
                  <w:p w14:paraId="542049E1" w14:textId="75BF2B08"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A22C" w14:textId="7CECB3B7" w:rsidR="00E82F13" w:rsidRDefault="00647ECF">
    <w:pPr>
      <w:pStyle w:val="Footer"/>
    </w:pPr>
    <w:r>
      <w:rPr>
        <w:noProof/>
      </w:rPr>
      <mc:AlternateContent>
        <mc:Choice Requires="wps">
          <w:drawing>
            <wp:anchor distT="0" distB="0" distL="0" distR="0" simplePos="0" relativeHeight="251658244" behindDoc="0" locked="0" layoutInCell="1" allowOverlap="1" wp14:anchorId="1FB75F28" wp14:editId="0C45CD06">
              <wp:simplePos x="635" y="635"/>
              <wp:positionH relativeFrom="page">
                <wp:align>center</wp:align>
              </wp:positionH>
              <wp:positionV relativeFrom="page">
                <wp:align>bottom</wp:align>
              </wp:positionV>
              <wp:extent cx="609600" cy="457200"/>
              <wp:effectExtent l="0" t="0" r="0" b="0"/>
              <wp:wrapNone/>
              <wp:docPr id="873706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B75F28" id="_x0000_t202" coordsize="21600,21600" o:spt="202" path="m,l,21600r21600,l21600,xe">
              <v:stroke joinstyle="miter"/>
              <v:path gradientshapeok="t" o:connecttype="rect"/>
            </v:shapetype>
            <v:shape id="Text Box 8" o:spid="_x0000_s1029" type="#_x0000_t202" alt="OFFICIAL" style="position:absolute;margin-left:0;margin-top:0;width:48pt;height:36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0sDQIAABwEAAAOAAAAZHJzL2Uyb0RvYy54bWysU01v2zAMvQ/YfxB0X+x0a9YacYqsRYYB&#10;QVsgHXpWZCk2IIsCpcTOfv0oOU62bqdhF5kmKX689zS/61vDDgp9A7bk00nOmbISqsbuSv79ZfXh&#10;hjMfhK2EAatKflSe3y3ev5t3rlBXUIOpFDIqYn3RuZLXIbgiy7ysVSv8BJyyFNSArQj0i7usQtFR&#10;9dZkV3k+yzrAyiFI5T15H4YgX6T6WisZnrT2KjBTcpotpBPTuY1ntpiLYofC1Y08jSH+YYpWNJaa&#10;nks9iCDYHps/SrWNRPCgw0RCm4HWjVRpB9pmmr/ZZlMLp9IuBI53Z5j8/ysrHw8b94ws9F+gJwIj&#10;IJ3zhSdn3KfX2MYvTcooThAez7CpPjBJzll+O8spIin06foz0RKrZJfLDn34qqBl0Sg5EisJLHFY&#10;+zCkjimxl4VVY0xixtjfHFQzerLLhNEK/bZnTVXyj+P0W6iOtBTCwLd3ctVQ67Xw4VkgEUzTkmjD&#10;Ex3aQFdyOFmc1YA//uaP+YQ7RTnrSDAlt6Rozsw3S3xEbY0GjsY2GdPb/DrCY/ftPZAMp/QinEwm&#10;eTGY0dQI7SvJeRkbUUhYSe1Kvh3N+zAol56DVMtlSiIZORHWduNkLB3hili+9K8C3QnwQEw9wqgm&#10;UbzBfciNN71b7gOhn0iJ0A5AnhAnCSZaT88lavzX/5R1edSLnwAAAP//AwBQSwMEFAAGAAgAAAAh&#10;AGNyKHLaAAAAAwEAAA8AAABkcnMvZG93bnJldi54bWxMj0FLw0AQhe+C/2EZwZvdmGLVmE2RgqeK&#10;0NaLt+nuNIlmZ0N206b/3tGLXh483vDeN+Vy8p060hDbwAZuZxkoYhtcy7WB993LzQOomJAddoHJ&#10;wJkiLKvLixILF068oeM21UpKOBZooEmpL7SOtiGPcRZ6YskOYfCYxA61dgOepNx3Os+yhfbYsiw0&#10;2NOqIfu1Hb2Bu016Hd94N/+Y8vPnul/Z+WFtjbm+mp6fQCWa0t8x/OALOlTCtA8ju6g6A/JI+lXJ&#10;Hhfi9gbu8wx0Ver/7NU3AAAA//8DAFBLAQItABQABgAIAAAAIQC2gziS/gAAAOEBAAATAAAAAAAA&#10;AAAAAAAAAAAAAABbQ29udGVudF9UeXBlc10ueG1sUEsBAi0AFAAGAAgAAAAhADj9If/WAAAAlAEA&#10;AAsAAAAAAAAAAAAAAAAALwEAAF9yZWxzLy5yZWxzUEsBAi0AFAAGAAgAAAAhAIFcHSwNAgAAHAQA&#10;AA4AAAAAAAAAAAAAAAAALgIAAGRycy9lMm9Eb2MueG1sUEsBAi0AFAAGAAgAAAAhAGNyKHLaAAAA&#10;AwEAAA8AAAAAAAAAAAAAAAAAZwQAAGRycy9kb3ducmV2LnhtbFBLBQYAAAAABAAEAPMAAABuBQAA&#10;AAA=&#10;" filled="f" stroked="f">
              <v:textbox style="mso-fit-shape-to-text:t" inset="0,0,0,15pt">
                <w:txbxContent>
                  <w:p w14:paraId="3AF8C85A" w14:textId="752AF6AA"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ptab w:relativeTo="margin" w:alignment="center" w:leader="none"/>
    </w:r>
    <w:r w:rsidR="00E82F13">
      <w:t>4</w:t>
    </w:r>
    <w:r w:rsidR="00E82F13">
      <w:ptab w:relativeTo="margin" w:alignment="right" w:leader="none"/>
    </w:r>
    <w:r w:rsidR="00E82F13">
      <w:t>July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2638" w14:textId="20A56135" w:rsidR="00E82F13" w:rsidRDefault="00E82F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529E" w14:textId="138036DC" w:rsidR="00E82F13" w:rsidRDefault="00647ECF" w:rsidP="00B10EB1">
    <w:pPr>
      <w:pStyle w:val="Footer"/>
      <w:ind w:left="-1417"/>
    </w:pPr>
    <w:r>
      <w:rPr>
        <w:noProof/>
      </w:rPr>
      <mc:AlternateContent>
        <mc:Choice Requires="wps">
          <w:drawing>
            <wp:anchor distT="0" distB="0" distL="0" distR="0" simplePos="0" relativeHeight="251658245" behindDoc="0" locked="0" layoutInCell="1" allowOverlap="1" wp14:anchorId="38C54FB1" wp14:editId="58C9D309">
              <wp:simplePos x="635" y="635"/>
              <wp:positionH relativeFrom="page">
                <wp:align>center</wp:align>
              </wp:positionH>
              <wp:positionV relativeFrom="page">
                <wp:align>bottom</wp:align>
              </wp:positionV>
              <wp:extent cx="609600" cy="457200"/>
              <wp:effectExtent l="0" t="0" r="0" b="0"/>
              <wp:wrapNone/>
              <wp:docPr id="193379873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54FB1" id="_x0000_t202" coordsize="21600,21600" o:spt="202" path="m,l,21600r21600,l21600,xe">
              <v:stroke joinstyle="miter"/>
              <v:path gradientshapeok="t" o:connecttype="rect"/>
            </v:shapetype>
            <v:shape id="Text Box 9" o:spid="_x0000_s1031" type="#_x0000_t202" alt="OFFICIAL" style="position:absolute;left:0;text-align:left;margin-left:0;margin-top:0;width:48pt;height:36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KhDAIAABwEAAAOAAAAZHJzL2Uyb0RvYy54bWysU01v2zAMvQ/YfxB0X+wUS7YacYqsRYYB&#10;QVsgHXpWZCk2YIkCpcTOfv0oOU62bqdhF5kmKX6897S4603Ljgp9A7bk00nOmbISqsbuS/79Zf3h&#10;M2c+CFuJFqwq+Ul5frd8/27RuULdQA1tpZBREeuLzpW8DsEVWeZlrYzwE3DKUlADGhHoF/dZhaKj&#10;6qbNbvJ8nnWAlUOQynvyPgxBvkz1tVYyPGntVWBtyWm2kE5M5y6e2XIhij0KVzfyPIb4hymMaCw1&#10;vZR6EEGwAzZ/lDKNRPCgw0SCyUDrRqq0A20zzd9ss62FU2kXAse7C0z+/5WVj8ete0YW+i/QE4ER&#10;kM75wpMz7tNrNPFLkzKKE4SnC2yqD0ySc57fznOKSAp9nH0iWmKV7HrZoQ9fFRgWjZIjsZLAEseN&#10;D0PqmBJ7WVg3bZuYae1vDqoZPdl1wmiFftezpir5bJx+B9WJlkIY+PZOrhtqvRE+PAskgmlaEm14&#10;okO30JUczhZnNeCPv/ljPuFOUc46EkzJLSmas/abJT6itkYDR2OXjOltPovw2IO5B5LhlF6Ek8kk&#10;L4Z2NDWCeSU5r2IjCgkrqV3Jd6N5Hwbl0nOQarVKSSQjJ8LGbp2MpSNcEcuX/lWgOwMeiKlHGNUk&#10;ije4D7nxpnerQyD0EykR2gHIM+IkwUTr+blEjf/6n7Kuj3r5EwAA//8DAFBLAwQUAAYACAAAACEA&#10;Y3IoctoAAAADAQAADwAAAGRycy9kb3ducmV2LnhtbEyPQUvDQBCF74L/YRnBm92YYtWYTZGCp4rQ&#10;1ou36e40iWZnQ3bTpv/e0YteHjze8N435XLynTrSENvABm5nGShiG1zLtYH33cvNA6iYkB12gcnA&#10;mSIsq8uLEgsXTryh4zbVSko4FmigSakvtI62IY9xFnpiyQ5h8JjEDrV2A56k3Hc6z7KF9tiyLDTY&#10;06oh+7UdvYG7TXod33g3/5jy8+e6X9n5YW2Nub6anp9AJZrS3zH84As6VMK0DyO7qDoD8kj6Vcke&#10;F+L2Bu7zDHRV6v/s1TcAAAD//wMAUEsBAi0AFAAGAAgAAAAhALaDOJL+AAAA4QEAABMAAAAAAAAA&#10;AAAAAAAAAAAAAFtDb250ZW50X1R5cGVzXS54bWxQSwECLQAUAAYACAAAACEAOP0h/9YAAACUAQAA&#10;CwAAAAAAAAAAAAAAAAAvAQAAX3JlbHMvLnJlbHNQSwECLQAUAAYACAAAACEA79+yoQwCAAAcBAAA&#10;DgAAAAAAAAAAAAAAAAAuAgAAZHJzL2Uyb0RvYy54bWxQSwECLQAUAAYACAAAACEAY3IoctoAAAAD&#10;AQAADwAAAAAAAAAAAAAAAABmBAAAZHJzL2Rvd25yZXYueG1sUEsFBgAAAAAEAAQA8wAAAG0FAAAA&#10;AA==&#10;" filled="f" stroked="f">
              <v:textbox style="mso-fit-shape-to-text:t" inset="0,0,0,15pt">
                <w:txbxContent>
                  <w:p w14:paraId="6F7BAB9F" w14:textId="7673EFF7"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r w:rsidR="00E82F13" w:rsidRPr="005A6474">
      <w:rPr>
        <w:noProof/>
      </w:rPr>
      <w:ptab w:relativeTo="margin" w:alignment="center" w:leader="none"/>
    </w:r>
    <w:r w:rsidR="00E82F13" w:rsidRPr="005A6474">
      <w:rPr>
        <w:noProof/>
      </w:rPr>
      <w:ptab w:relativeTo="margin" w:alignment="right" w:leader="none"/>
    </w:r>
    <w:r w:rsidR="00E82F13">
      <w:rPr>
        <w:noProof/>
      </w:rPr>
      <w:t>2019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264FEF96" w:rsidR="00B2231D" w:rsidRDefault="00D5192D" w:rsidP="00465D1B">
    <w:pPr>
      <w:pStyle w:val="Footer"/>
    </w:pPr>
    <w:r>
      <w:t>December</w:t>
    </w:r>
    <w:r w:rsidR="00B2231D">
      <w:t xml:space="preserve"> 2025</w:t>
    </w:r>
  </w:p>
  <w:sdt>
    <w:sdtPr>
      <w:id w:val="-944371127"/>
      <w:docPartObj>
        <w:docPartGallery w:val="Page Numbers (Bottom of Page)"/>
        <w:docPartUnique/>
      </w:docPartObj>
    </w:sdtPr>
    <w:sdtEndPr>
      <w:rPr>
        <w:noProof/>
      </w:rPr>
    </w:sdtEndPr>
    <w:sdtContent>
      <w:p w14:paraId="41094443" w14:textId="5581ECBB" w:rsidR="00E82F13" w:rsidRDefault="00A17066" w:rsidP="00B223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7DC25" w14:textId="77777777" w:rsidR="00CA0B23" w:rsidRDefault="00CA0B23" w:rsidP="00187113">
      <w:pPr>
        <w:spacing w:before="0" w:after="0"/>
      </w:pPr>
      <w:r>
        <w:separator/>
      </w:r>
    </w:p>
  </w:footnote>
  <w:footnote w:type="continuationSeparator" w:id="0">
    <w:p w14:paraId="088C6EA8" w14:textId="77777777" w:rsidR="00CA0B23" w:rsidRDefault="00CA0B23" w:rsidP="00E173A7">
      <w:pPr>
        <w:spacing w:before="0" w:after="0"/>
      </w:pPr>
      <w:r>
        <w:continuationSeparator/>
      </w:r>
    </w:p>
  </w:footnote>
  <w:footnote w:type="continuationNotice" w:id="1">
    <w:p w14:paraId="0C0E313D" w14:textId="77777777" w:rsidR="00CA0B23" w:rsidRPr="00187113" w:rsidRDefault="00CA0B23" w:rsidP="00187113">
      <w:pPr>
        <w:pStyle w:val="Footer"/>
      </w:pPr>
    </w:p>
  </w:footnote>
  <w:footnote w:id="2">
    <w:p w14:paraId="18F59E7C" w14:textId="6605FA0C"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A detailed list of services </w:t>
      </w:r>
      <w:r w:rsidR="00CF79AC">
        <w:rPr>
          <w:rFonts w:ascii="Calibri" w:hAnsi="Calibri" w:cs="Calibri"/>
        </w:rPr>
        <w:t xml:space="preserve">relevant to the TCP </w:t>
      </w:r>
      <w:r w:rsidRPr="00C3441A">
        <w:rPr>
          <w:rFonts w:ascii="Calibri" w:hAnsi="Calibri" w:cs="Calibri"/>
        </w:rPr>
        <w:t xml:space="preserve">is </w:t>
      </w:r>
      <w:r w:rsidR="00E26F87" w:rsidRPr="00C3441A">
        <w:rPr>
          <w:rFonts w:ascii="Calibri" w:hAnsi="Calibri" w:cs="Calibri"/>
        </w:rPr>
        <w:t>in the</w:t>
      </w:r>
      <w:r w:rsidR="00BD42C4" w:rsidRPr="00C3441A">
        <w:rPr>
          <w:rFonts w:ascii="Calibri" w:hAnsi="Calibri" w:cs="Calibri"/>
          <w:iCs/>
        </w:rPr>
        <w:t xml:space="preserve"> Aged Care Service L</w:t>
      </w:r>
      <w:r w:rsidR="00FC4D54" w:rsidRPr="00C3441A">
        <w:rPr>
          <w:rFonts w:ascii="Calibri" w:hAnsi="Calibri" w:cs="Calibri"/>
          <w:iCs/>
        </w:rPr>
        <w:t>i</w:t>
      </w:r>
      <w:r w:rsidR="00BD42C4" w:rsidRPr="00C3441A">
        <w:rPr>
          <w:rFonts w:ascii="Calibri" w:hAnsi="Calibri" w:cs="Calibri"/>
          <w:iCs/>
        </w:rPr>
        <w:t>st</w:t>
      </w:r>
      <w:r w:rsidR="00FC4D54" w:rsidRPr="00C3441A">
        <w:rPr>
          <w:rFonts w:ascii="Calibri" w:hAnsi="Calibri" w:cs="Calibri"/>
          <w:iCs/>
        </w:rPr>
        <w:t xml:space="preserve"> (Chapter 1 of the Aged Care Rules 2025</w:t>
      </w:r>
      <w:r w:rsidR="00FC4D54" w:rsidRPr="00C3441A">
        <w:rPr>
          <w:rFonts w:ascii="Calibri" w:hAnsi="Calibri" w:cs="Calibri"/>
          <w:i/>
        </w:rPr>
        <w:t>)</w:t>
      </w:r>
      <w:r w:rsidR="00E26F87" w:rsidRPr="00C3441A">
        <w:rPr>
          <w:rFonts w:ascii="Calibri" w:hAnsi="Calibri" w:cs="Calibri"/>
        </w:rPr>
        <w:t xml:space="preserve"> and a copy of this</w:t>
      </w:r>
      <w:r w:rsidRPr="00C3441A">
        <w:rPr>
          <w:rFonts w:ascii="Calibri" w:hAnsi="Calibri" w:cs="Calibri"/>
        </w:rPr>
        <w:t xml:space="preserve"> is provided at </w:t>
      </w:r>
      <w:r w:rsidRPr="00C3441A">
        <w:rPr>
          <w:rFonts w:ascii="Calibri" w:hAnsi="Calibri" w:cs="Calibri"/>
          <w:i/>
          <w:iCs/>
        </w:rPr>
        <w:t>Attachment</w:t>
      </w:r>
      <w:r w:rsidR="007906D7" w:rsidRPr="00C3441A">
        <w:rPr>
          <w:rFonts w:ascii="Calibri" w:hAnsi="Calibri" w:cs="Calibri"/>
          <w:i/>
          <w:iCs/>
        </w:rPr>
        <w:t xml:space="preserve"> A</w:t>
      </w:r>
      <w:r w:rsidRPr="00C3441A">
        <w:rPr>
          <w:rFonts w:ascii="Calibri" w:hAnsi="Calibri" w:cs="Calibri"/>
          <w:i/>
          <w:iCs/>
        </w:rPr>
        <w:t>.</w:t>
      </w:r>
    </w:p>
  </w:footnote>
  <w:footnote w:id="3">
    <w:p w14:paraId="21CDC8D3" w14:textId="679CD041" w:rsidR="00E82F13" w:rsidRPr="00C3441A" w:rsidRDefault="00E82F13" w:rsidP="00DF7B75">
      <w:pPr>
        <w:pStyle w:val="Footnote"/>
        <w:rPr>
          <w:rFonts w:ascii="Calibri" w:hAnsi="Calibri" w:cs="Calibri"/>
        </w:rPr>
      </w:pPr>
      <w:r w:rsidRPr="00C3441A">
        <w:rPr>
          <w:rStyle w:val="FootnoteReference"/>
          <w:rFonts w:ascii="Calibri" w:hAnsi="Calibri" w:cs="Calibri"/>
          <w:szCs w:val="18"/>
        </w:rPr>
        <w:footnoteRef/>
      </w:r>
      <w:r w:rsidRPr="00C3441A">
        <w:rPr>
          <w:rFonts w:ascii="Calibri" w:hAnsi="Calibri" w:cs="Calibri"/>
        </w:rPr>
        <w:t xml:space="preserve"> Definitions for acute care and subacute care are included in the glossary at the end of these guidelines.</w:t>
      </w:r>
    </w:p>
  </w:footnote>
  <w:footnote w:id="4">
    <w:p w14:paraId="2A2711DB" w14:textId="7D6FA789" w:rsidR="1CBD4533" w:rsidRDefault="1CBD4533" w:rsidP="1CBD4533">
      <w:pPr>
        <w:pStyle w:val="FootnoteText"/>
      </w:pPr>
      <w:r w:rsidRPr="00B010EC">
        <w:rPr>
          <w:rStyle w:val="FootnoteReference"/>
          <w:rFonts w:ascii="Calibri" w:hAnsi="Calibri" w:cs="Calibri"/>
          <w:sz w:val="18"/>
          <w:szCs w:val="18"/>
        </w:rPr>
        <w:footnoteRef/>
      </w:r>
      <w:r w:rsidRPr="00B010EC">
        <w:rPr>
          <w:rFonts w:ascii="Calibri" w:hAnsi="Calibri" w:cs="Calibri"/>
          <w:sz w:val="18"/>
          <w:szCs w:val="18"/>
        </w:rPr>
        <w:t xml:space="preserve"> The number of persons for an area specified in an application is to be expressed as a whole number per thousand of the total number of persons residing in the area under section 95-10(3) of the Rules.</w:t>
      </w:r>
    </w:p>
  </w:footnote>
  <w:footnote w:id="5">
    <w:p w14:paraId="11144A13" w14:textId="521043C6" w:rsidR="1CBD4533" w:rsidRPr="00F20CD0" w:rsidRDefault="1CBD4533" w:rsidP="1CBD4533">
      <w:pPr>
        <w:pStyle w:val="FootnoteText"/>
        <w:rPr>
          <w:rFonts w:asciiTheme="minorHAnsi" w:hAnsiTheme="minorHAnsi" w:cstheme="minorHAnsi"/>
          <w:sz w:val="18"/>
          <w:szCs w:val="18"/>
        </w:rPr>
      </w:pPr>
      <w:r w:rsidRPr="00F20CD0">
        <w:rPr>
          <w:rStyle w:val="FootnoteReference"/>
          <w:rFonts w:asciiTheme="minorHAnsi" w:hAnsiTheme="minorHAnsi" w:cstheme="minorHAnsi"/>
          <w:sz w:val="18"/>
          <w:szCs w:val="18"/>
        </w:rPr>
        <w:footnoteRef/>
      </w:r>
      <w:r w:rsidRPr="00F20CD0">
        <w:rPr>
          <w:rFonts w:asciiTheme="minorHAnsi" w:hAnsiTheme="minorHAnsi" w:cstheme="minorHAnsi"/>
          <w:sz w:val="18"/>
          <w:szCs w:val="18"/>
        </w:rPr>
        <w:t xml:space="preserve"> </w:t>
      </w:r>
      <w:r w:rsidRPr="001B48A8">
        <w:rPr>
          <w:rFonts w:ascii="Calibri" w:hAnsi="Calibri" w:cs="Calibri"/>
          <w:sz w:val="18"/>
          <w:szCs w:val="18"/>
        </w:rPr>
        <w:t xml:space="preserve">See definition of Associated Provider under section </w:t>
      </w:r>
      <w:r w:rsidR="00F20CD0" w:rsidRPr="001B48A8">
        <w:rPr>
          <w:rFonts w:ascii="Calibri" w:hAnsi="Calibri" w:cs="Calibri"/>
          <w:sz w:val="18"/>
          <w:szCs w:val="18"/>
        </w:rPr>
        <w:t>7</w:t>
      </w:r>
      <w:r w:rsidRPr="001B48A8">
        <w:rPr>
          <w:rFonts w:ascii="Calibri" w:hAnsi="Calibri" w:cs="Calibri"/>
          <w:sz w:val="18"/>
          <w:szCs w:val="18"/>
        </w:rPr>
        <w:t xml:space="preserve"> of the Act.</w:t>
      </w:r>
    </w:p>
  </w:footnote>
  <w:footnote w:id="6">
    <w:p w14:paraId="51203EE8" w14:textId="77777777" w:rsidR="003C364A" w:rsidRPr="00375B96" w:rsidRDefault="003C364A" w:rsidP="003C364A">
      <w:pPr>
        <w:pStyle w:val="Footnote"/>
        <w:rPr>
          <w:rFonts w:ascii="Calibri" w:hAnsi="Calibri" w:cs="Calibri"/>
        </w:rPr>
      </w:pPr>
      <w:r w:rsidRPr="1CBD4533">
        <w:rPr>
          <w:rStyle w:val="FootnoteReference"/>
        </w:rPr>
        <w:footnoteRef/>
      </w:r>
      <w:r w:rsidRPr="00E15655">
        <w:t xml:space="preserve"> </w:t>
      </w:r>
      <w:r w:rsidRPr="00375B96">
        <w:rPr>
          <w:rFonts w:ascii="Calibri" w:hAnsi="Calibri" w:cs="Calibri"/>
        </w:rPr>
        <w:t>While the definition is accurate in terms of specifying the interface between the acute/subacute and the residential aged care sectors, and while the program applies to older people assessed as otherwise eligible for residential care, it also includes transition care provided in a home/community setting.</w:t>
      </w:r>
    </w:p>
  </w:footnote>
  <w:footnote w:id="7">
    <w:p w14:paraId="559E4B63" w14:textId="62DC5DAA" w:rsidR="00E82F13" w:rsidRPr="00532D07" w:rsidRDefault="00E82F13" w:rsidP="00DF7B75">
      <w:pPr>
        <w:pStyle w:val="Footnote"/>
        <w:rPr>
          <w:rFonts w:ascii="Calibri" w:hAnsi="Calibri" w:cs="Calibri"/>
          <w:szCs w:val="18"/>
        </w:rPr>
      </w:pPr>
      <w:r w:rsidRPr="00375B96">
        <w:rPr>
          <w:rStyle w:val="FootnoteReference"/>
          <w:rFonts w:ascii="Calibri" w:hAnsi="Calibri" w:cs="Calibri"/>
        </w:rPr>
        <w:footnoteRef/>
      </w:r>
      <w:r w:rsidR="1CBD4533" w:rsidRPr="00375B96">
        <w:rPr>
          <w:rFonts w:ascii="Calibri" w:hAnsi="Calibri" w:cs="Calibri"/>
        </w:rPr>
        <w:t xml:space="preserve"> A detailed list of services to be provided</w:t>
      </w:r>
      <w:r w:rsidR="0025026F">
        <w:rPr>
          <w:rFonts w:ascii="Calibri" w:hAnsi="Calibri" w:cs="Calibri"/>
        </w:rPr>
        <w:t xml:space="preserve"> in delivering TCP</w:t>
      </w:r>
      <w:r w:rsidR="1CBD4533" w:rsidRPr="00375B96">
        <w:rPr>
          <w:rFonts w:ascii="Calibri" w:hAnsi="Calibri" w:cs="Calibri"/>
        </w:rPr>
        <w:t xml:space="preserve"> is included in</w:t>
      </w:r>
      <w:r w:rsidR="1CBD4533" w:rsidRPr="00375B96">
        <w:rPr>
          <w:rFonts w:ascii="Calibri" w:hAnsi="Calibri" w:cs="Calibri"/>
          <w:i/>
          <w:iCs/>
        </w:rPr>
        <w:t xml:space="preserve"> Aged Care </w:t>
      </w:r>
      <w:r w:rsidR="1CBD4533" w:rsidRPr="00532D07">
        <w:rPr>
          <w:rFonts w:ascii="Calibri" w:hAnsi="Calibri" w:cs="Calibri"/>
          <w:i/>
          <w:iCs/>
          <w:szCs w:val="18"/>
        </w:rPr>
        <w:t xml:space="preserve">Service List </w:t>
      </w:r>
      <w:r w:rsidR="1CBD4533" w:rsidRPr="00532D07">
        <w:rPr>
          <w:rFonts w:ascii="Calibri" w:hAnsi="Calibri" w:cs="Calibri"/>
          <w:szCs w:val="18"/>
        </w:rPr>
        <w:t xml:space="preserve">as extracted from Chapter 1 of the Aged Care Rules 2025 at </w:t>
      </w:r>
      <w:r w:rsidR="1CBD4533" w:rsidRPr="00532D07">
        <w:rPr>
          <w:rFonts w:ascii="Calibri" w:hAnsi="Calibri" w:cs="Calibri"/>
          <w:i/>
          <w:iCs/>
          <w:szCs w:val="18"/>
        </w:rPr>
        <w:t xml:space="preserve">Attachment </w:t>
      </w:r>
      <w:r w:rsidR="00F64E1F" w:rsidRPr="00532D07">
        <w:rPr>
          <w:rFonts w:ascii="Calibri" w:hAnsi="Calibri" w:cs="Calibri"/>
          <w:i/>
          <w:iCs/>
          <w:szCs w:val="18"/>
        </w:rPr>
        <w:t>A</w:t>
      </w:r>
      <w:r w:rsidR="1CBD4533" w:rsidRPr="00532D07">
        <w:rPr>
          <w:rFonts w:ascii="Calibri" w:hAnsi="Calibri" w:cs="Calibri"/>
          <w:bCs/>
          <w:i/>
          <w:iCs/>
          <w:szCs w:val="18"/>
        </w:rPr>
        <w:t>.</w:t>
      </w:r>
    </w:p>
  </w:footnote>
  <w:footnote w:id="8">
    <w:p w14:paraId="022F6891" w14:textId="55D1C0A0" w:rsidR="00994BEC" w:rsidRDefault="00994BEC">
      <w:pPr>
        <w:pStyle w:val="FootnoteText"/>
      </w:pPr>
      <w:r w:rsidRPr="00532D07">
        <w:rPr>
          <w:rStyle w:val="FootnoteReference"/>
          <w:rFonts w:ascii="Calibri" w:hAnsi="Calibri" w:cs="Calibri"/>
          <w:sz w:val="18"/>
          <w:szCs w:val="18"/>
        </w:rPr>
        <w:footnoteRef/>
      </w:r>
      <w:r w:rsidRPr="00532D07">
        <w:rPr>
          <w:rFonts w:ascii="Calibri" w:hAnsi="Calibri" w:cs="Calibri"/>
          <w:sz w:val="18"/>
          <w:szCs w:val="18"/>
        </w:rPr>
        <w:t xml:space="preserve"> </w:t>
      </w:r>
      <w:r w:rsidR="00DC6E78" w:rsidRPr="00532D07">
        <w:rPr>
          <w:rFonts w:ascii="Calibri" w:hAnsi="Calibri" w:cs="Calibri"/>
          <w:sz w:val="18"/>
          <w:szCs w:val="18"/>
        </w:rPr>
        <w:t xml:space="preserve">Medication management services as per the Aged Care Service List can be provided under the </w:t>
      </w:r>
      <w:r w:rsidR="00532D07" w:rsidRPr="00532D07">
        <w:rPr>
          <w:rFonts w:ascii="Calibri" w:hAnsi="Calibri" w:cs="Calibri"/>
          <w:sz w:val="18"/>
          <w:szCs w:val="18"/>
        </w:rPr>
        <w:t>delegation</w:t>
      </w:r>
      <w:r w:rsidR="009272FD" w:rsidRPr="00532D07">
        <w:rPr>
          <w:rFonts w:ascii="Calibri" w:hAnsi="Calibri" w:cs="Calibri"/>
          <w:sz w:val="18"/>
          <w:szCs w:val="18"/>
        </w:rPr>
        <w:t xml:space="preserve"> </w:t>
      </w:r>
      <w:r w:rsidR="00E56800" w:rsidRPr="00532D07">
        <w:rPr>
          <w:rFonts w:ascii="Calibri" w:hAnsi="Calibri" w:cs="Calibri"/>
          <w:sz w:val="18"/>
          <w:szCs w:val="18"/>
        </w:rPr>
        <w:t>and clinical supervision of a registered nurse</w:t>
      </w:r>
      <w:r w:rsidR="0080296B">
        <w:rPr>
          <w:rFonts w:ascii="Calibri" w:hAnsi="Calibri" w:cs="Calibri"/>
          <w:sz w:val="18"/>
          <w:szCs w:val="18"/>
        </w:rPr>
        <w:t xml:space="preserve"> or other appropriate health practitioner</w:t>
      </w:r>
      <w:r w:rsidR="00E51862">
        <w:rPr>
          <w:rFonts w:ascii="Calibri" w:hAnsi="Calibri" w:cs="Calibri"/>
          <w:sz w:val="18"/>
          <w:szCs w:val="18"/>
        </w:rPr>
        <w:t>s</w:t>
      </w:r>
      <w:r w:rsidR="004B5567">
        <w:rPr>
          <w:rFonts w:ascii="Calibri" w:hAnsi="Calibri" w:cs="Calibri"/>
          <w:sz w:val="18"/>
          <w:szCs w:val="18"/>
        </w:rPr>
        <w:t>.</w:t>
      </w:r>
    </w:p>
  </w:footnote>
  <w:footnote w:id="9">
    <w:p w14:paraId="28EAFBD6" w14:textId="77777777" w:rsidR="00667961" w:rsidRPr="009D4173" w:rsidRDefault="00667961" w:rsidP="00667961">
      <w:pPr>
        <w:pStyle w:val="Footnote"/>
        <w:rPr>
          <w:rFonts w:ascii="Calibri" w:hAnsi="Calibri" w:cs="Calibri"/>
        </w:rPr>
      </w:pPr>
      <w:r w:rsidRPr="009D4173">
        <w:rPr>
          <w:rStyle w:val="FootnoteReference"/>
          <w:rFonts w:ascii="Calibri" w:hAnsi="Calibri" w:cs="Calibri"/>
          <w:szCs w:val="18"/>
        </w:rPr>
        <w:footnoteRef/>
      </w:r>
      <w:r w:rsidRPr="009D4173">
        <w:rPr>
          <w:rFonts w:ascii="Calibri" w:hAnsi="Calibri" w:cs="Calibri"/>
        </w:rPr>
        <w:t xml:space="preserve"> A definition for subacute care is included in the Glossary at the end of these guidelines.</w:t>
      </w:r>
    </w:p>
  </w:footnote>
  <w:footnote w:id="10">
    <w:p w14:paraId="0487DEB1" w14:textId="77777777" w:rsidR="0046348E" w:rsidRPr="0096488B" w:rsidRDefault="0046348E" w:rsidP="0046348E">
      <w:pPr>
        <w:pStyle w:val="FootnoteText"/>
        <w:rPr>
          <w:rFonts w:ascii="Calibri" w:hAnsi="Calibri" w:cs="Calibri"/>
          <w:sz w:val="18"/>
          <w:szCs w:val="18"/>
        </w:rPr>
      </w:pPr>
      <w:r w:rsidRPr="00B24FBB">
        <w:rPr>
          <w:rStyle w:val="FootnoteReference"/>
          <w:rFonts w:asciiTheme="minorHAnsi" w:hAnsiTheme="minorHAnsi" w:cstheme="minorHAnsi"/>
          <w:sz w:val="18"/>
          <w:szCs w:val="18"/>
        </w:rPr>
        <w:footnoteRef/>
      </w:r>
      <w:r w:rsidRPr="00B24FBB">
        <w:rPr>
          <w:rFonts w:asciiTheme="minorHAnsi" w:hAnsiTheme="minorHAnsi" w:cstheme="minorHAnsi"/>
          <w:sz w:val="18"/>
          <w:szCs w:val="18"/>
        </w:rPr>
        <w:t xml:space="preserve"> </w:t>
      </w:r>
      <w:r w:rsidRPr="0096488B">
        <w:rPr>
          <w:rFonts w:ascii="Calibri" w:hAnsi="Calibri" w:cs="Calibri"/>
          <w:sz w:val="18"/>
          <w:szCs w:val="18"/>
        </w:rPr>
        <w:t>Registered provider must retain records relating to the Statement of Rights given to individuals under section 155-15 of the Rules.</w:t>
      </w:r>
    </w:p>
  </w:footnote>
  <w:footnote w:id="11">
    <w:p w14:paraId="4DE0F6D6" w14:textId="2B79C8F1" w:rsidR="001E0588" w:rsidRPr="00805475" w:rsidRDefault="001E0588" w:rsidP="00805475">
      <w:pPr>
        <w:spacing w:before="0" w:after="0" w:line="276" w:lineRule="auto"/>
        <w:rPr>
          <w:rFonts w:cs="Calibri"/>
          <w:sz w:val="18"/>
          <w:szCs w:val="18"/>
        </w:rPr>
      </w:pPr>
      <w:r w:rsidRPr="00805475">
        <w:rPr>
          <w:rStyle w:val="FootnoteReference"/>
          <w:rFonts w:cs="Calibri"/>
          <w:sz w:val="18"/>
          <w:szCs w:val="18"/>
        </w:rPr>
        <w:footnoteRef/>
      </w:r>
      <w:r w:rsidRPr="00805475">
        <w:rPr>
          <w:rFonts w:cs="Calibri"/>
          <w:sz w:val="18"/>
          <w:szCs w:val="18"/>
        </w:rPr>
        <w:t xml:space="preserve"> </w:t>
      </w:r>
      <w:r w:rsidR="00857690" w:rsidRPr="00805475">
        <w:rPr>
          <w:rFonts w:cs="Calibri"/>
          <w:sz w:val="18"/>
          <w:szCs w:val="18"/>
        </w:rPr>
        <w:t xml:space="preserve">‘Start day’ is defined in the Act at section 7, as the date the registered provider </w:t>
      </w:r>
      <w:r w:rsidR="00857690" w:rsidRPr="00805475">
        <w:rPr>
          <w:rFonts w:cs="Calibri"/>
          <w:i/>
          <w:sz w:val="18"/>
          <w:szCs w:val="18"/>
        </w:rPr>
        <w:t>starts delivering</w:t>
      </w:r>
      <w:r w:rsidR="00857690" w:rsidRPr="00805475">
        <w:rPr>
          <w:rFonts w:cs="Calibri"/>
          <w:sz w:val="18"/>
          <w:szCs w:val="18"/>
        </w:rPr>
        <w:t xml:space="preserve"> funded age care services to the individual.</w:t>
      </w:r>
    </w:p>
  </w:footnote>
  <w:footnote w:id="12">
    <w:p w14:paraId="48567B25" w14:textId="77777777" w:rsidR="00DD0F24" w:rsidRPr="00C2413A" w:rsidRDefault="00DD0F24" w:rsidP="00DD0F24">
      <w:pPr>
        <w:pStyle w:val="FootnoteText"/>
        <w:rPr>
          <w:rFonts w:ascii="Calibri" w:hAnsi="Calibri" w:cs="Calibri"/>
          <w:sz w:val="18"/>
          <w:szCs w:val="18"/>
        </w:rPr>
      </w:pPr>
      <w:r w:rsidRPr="00030EC4">
        <w:rPr>
          <w:rStyle w:val="FootnoteReference"/>
          <w:rFonts w:ascii="Calibri" w:hAnsi="Calibri" w:cs="Calibri"/>
          <w:sz w:val="18"/>
          <w:szCs w:val="18"/>
        </w:rPr>
        <w:footnoteRef/>
      </w:r>
      <w:r w:rsidRPr="00030EC4">
        <w:rPr>
          <w:rFonts w:ascii="Calibri" w:hAnsi="Calibri" w:cs="Calibri"/>
          <w:sz w:val="18"/>
          <w:szCs w:val="18"/>
        </w:rPr>
        <w:t xml:space="preserve"> Modified Monash Model (MMM) </w:t>
      </w:r>
      <w:hyperlink r:id="rId1" w:history="1">
        <w:r w:rsidRPr="00030EC4">
          <w:rPr>
            <w:rStyle w:val="Hyperlink"/>
            <w:rFonts w:ascii="Calibri" w:eastAsiaTheme="majorEastAsia" w:hAnsi="Calibri" w:cs="Calibri"/>
            <w:sz w:val="18"/>
            <w:szCs w:val="18"/>
          </w:rPr>
          <w:t>Modified Monash Model | Australian Government Department of Health, Disability and Ageing</w:t>
        </w:r>
      </w:hyperlink>
      <w:r w:rsidRPr="00030EC4">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7A7D" w14:textId="1862BD6D" w:rsidR="00647ECF" w:rsidRDefault="00647ECF">
    <w:pPr>
      <w:pStyle w:val="Header"/>
    </w:pPr>
    <w:r>
      <w:rPr>
        <w:noProof/>
      </w:rPr>
      <mc:AlternateContent>
        <mc:Choice Requires="wps">
          <w:drawing>
            <wp:anchor distT="0" distB="0" distL="0" distR="0" simplePos="0" relativeHeight="251658240" behindDoc="0" locked="0" layoutInCell="1" allowOverlap="1" wp14:anchorId="1F09B3CD" wp14:editId="1535D5D5">
              <wp:simplePos x="635" y="635"/>
              <wp:positionH relativeFrom="page">
                <wp:align>center</wp:align>
              </wp:positionH>
              <wp:positionV relativeFrom="page">
                <wp:align>top</wp:align>
              </wp:positionV>
              <wp:extent cx="609600" cy="457200"/>
              <wp:effectExtent l="0" t="0" r="0" b="0"/>
              <wp:wrapNone/>
              <wp:docPr id="2127030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09B3CD" id="_x0000_t202" coordsize="21600,21600" o:spt="202" path="m,l,21600r21600,l21600,xe">
              <v:stroke joinstyle="miter"/>
              <v:path gradientshapeok="t" o:connecttype="rect"/>
            </v:shapetype>
            <v:shape id="Text Box 2" o:spid="_x0000_s1026" type="#_x0000_t202" alt="OFFICIAL" style="position:absolute;margin-left:0;margin-top:0;width:48pt;height:3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OlCAIAABUEAAAOAAAAZHJzL2Uyb0RvYy54bWysU01v2zAMvQ/YfxB0X+wUa7YacYqsRYYB&#10;RVsgHXpWZDk2IImCxMTOfv0o2U62bqdhF5kmKX6897S87Y1mR+VDC7bk81nOmbISqtbuS/79ZfPh&#10;M2cBha2EBqtKflKB367ev1t2rlBX0ICulGdUxIaicyVvEF2RZUE2yogwA6csBWvwRiD9+n1WedFR&#10;daOzqzxfZB34ynmQKgTy3g9Bvkr161pJfKrroJDpktNsmE6fzl08s9VSFHsvXNPKcQzxD1MY0Vpq&#10;ei51L1Cwg2//KGVa6SFAjTMJJoO6bqVKO9A28/zNNttGOJV2IXCCO8MU/l9Z+XjcumfPsP8CPREY&#10;AelcKAI54z597U380qSM4gTh6Qyb6pFJci7ym0VOEUmhj9efiJZYJbtcdj7gVwWGRaPknlhJYInj&#10;Q8AhdUqJvSxsWq0TM9r+5qCa0ZNdJowW9rt+HHsH1Ym28TAQHZzctNTzQQR8Fp6YpTFJrfhER62h&#10;KzmMFmcN+B9/88d8ApyinHWklJJbkjJn+pslIqKokjG/ya8jCn5y7ybDHswdkP7m9BScTGbMQz2Z&#10;tQfzSjpex0YUElZSu5LjZN7hIFl6B1Kt1ymJ9OMEPtitk7F0xCmC+NK/Cu9GpJEoeoRJRqJ4A/iQ&#10;G28Gtz4gwZ7YiJgOQI5Qk/YSn+M7ieL+9T9lXV7z6icAAAD//wMAUEsDBBQABgAIAAAAIQCAgfTN&#10;2QAAAAMBAAAPAAAAZHJzL2Rvd25yZXYueG1sTI/NbsIwEITvSH0Hayv1VpwgQUuIg1AlDtwo/Tkv&#10;8TZJG6+j2EDK03fhUi4jjWY1822+HFyrjtSHxrOBdJyAIi69bbgy8P62fnwGFSKyxdYzGfilAMvi&#10;bpRjZv2JX+m4i5WSEg4ZGqhj7DKtQ1mTwzD2HbFkX753GMX2lbY9nqTctXqSJDPtsGFZqLGjl5rK&#10;n93BGWimKx9T+tisvz9d6tPzdjM9b415uB9WC1CRhvh/DBd8QYdCmPb+wDao1oA8Eq8q2Xwmbm/g&#10;aZKALnJ9y178AQAA//8DAFBLAQItABQABgAIAAAAIQC2gziS/gAAAOEBAAATAAAAAAAAAAAAAAAA&#10;AAAAAABbQ29udGVudF9UeXBlc10ueG1sUEsBAi0AFAAGAAgAAAAhADj9If/WAAAAlAEAAAsAAAAA&#10;AAAAAAAAAAAALwEAAF9yZWxzLy5yZWxzUEsBAi0AFAAGAAgAAAAhAFLOg6UIAgAAFQQAAA4AAAAA&#10;AAAAAAAAAAAALgIAAGRycy9lMm9Eb2MueG1sUEsBAi0AFAAGAAgAAAAhAICB9M3ZAAAAAwEAAA8A&#10;AAAAAAAAAAAAAAAAYgQAAGRycy9kb3ducmV2LnhtbFBLBQYAAAAABAAEAPMAAABoBQAAAAA=&#10;" filled="f" stroked="f">
              <v:textbox style="mso-fit-shape-to-text:t" inset="0,15pt,0,0">
                <w:txbxContent>
                  <w:p w14:paraId="7A00C2A2" w14:textId="0A37AEB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CBD4533" w14:paraId="1BDDC252" w14:textId="77777777" w:rsidTr="1CBD4533">
      <w:trPr>
        <w:trHeight w:val="300"/>
      </w:trPr>
      <w:tc>
        <w:tcPr>
          <w:tcW w:w="3005" w:type="dxa"/>
        </w:tcPr>
        <w:p w14:paraId="22BFCD0B" w14:textId="6B679A33" w:rsidR="1CBD4533" w:rsidRDefault="00647ECF" w:rsidP="1CBD4533">
          <w:pPr>
            <w:pStyle w:val="Header"/>
            <w:ind w:left="-115"/>
          </w:pPr>
          <w:r>
            <w:rPr>
              <w:noProof/>
            </w:rPr>
            <mc:AlternateContent>
              <mc:Choice Requires="wps">
                <w:drawing>
                  <wp:anchor distT="0" distB="0" distL="0" distR="0" simplePos="0" relativeHeight="251658241" behindDoc="0" locked="0" layoutInCell="1" allowOverlap="1" wp14:anchorId="009396A9" wp14:editId="63C048F8">
                    <wp:simplePos x="635" y="635"/>
                    <wp:positionH relativeFrom="page">
                      <wp:align>center</wp:align>
                    </wp:positionH>
                    <wp:positionV relativeFrom="page">
                      <wp:align>top</wp:align>
                    </wp:positionV>
                    <wp:extent cx="609600" cy="457200"/>
                    <wp:effectExtent l="0" t="0" r="0" b="0"/>
                    <wp:wrapNone/>
                    <wp:docPr id="2567621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9396A9" id="_x0000_t202" coordsize="21600,21600" o:spt="202" path="m,l,21600r21600,l21600,xe">
                    <v:stroke joinstyle="miter"/>
                    <v:path gradientshapeok="t" o:connecttype="rect"/>
                  </v:shapetype>
                  <v:shape id="Text Box 3" o:spid="_x0000_s1027" type="#_x0000_t202" alt="OFFICIAL" style="position:absolute;left:0;text-align:left;margin-left:0;margin-top:0;width:48pt;height:36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njCgIAABwEAAAOAAAAZHJzL2Uyb0RvYy54bWysU01v2zAMvQ/YfxB0X+wUa7YacYqsRYYB&#10;QVsgHXpWZCk2IIuCxMTOfv0oOU7abqdhF5kmKX689zS/7VvDDsqHBmzJp5OcM2UlVI3dlfzn8+rT&#10;V84CClsJA1aV/KgCv118/DDvXKGuoAZTKc+oiA1F50peI7oiy4KsVSvCBJyyFNTgW4H063dZ5UVH&#10;1VuTXeX5LOvAV86DVCGQ934I8kWqr7WS+Kh1UMhMyWk2TKdP5zae2WIuip0Xrm7kaQzxD1O0orHU&#10;9FzqXqBge9/8UaptpIcAGicS2gy0bqRKO9A20/zdNptaOJV2IXCCO8MU/l9Z+XDYuCfPsP8GPREY&#10;AelcKAI54z699m380qSM4gTh8Qyb6pFJcs7ym1lOEUmhz9dfiJZYJbtcdj7gdwUti0bJPbGSwBKH&#10;dcAhdUyJvSysGmMSM8a+cVDN6MkuE0YL+23PmurV9FuojrSUh4Hv4OSqodZrEfBJeCKYpiXR4iMd&#10;2kBXcjhZnNXgf/3NH/MJd4py1pFgSm5J0ZyZH5b4iNpKxvQmv45g+NG9HQ27b++AZDilF+FkMmMe&#10;mtHUHtoXkvMyNqKQsJLalRxH8w4H5dJzkGq5TEkkIydwbTdOxtIRrojlc/8ivDsBjsTUA4xqEsU7&#10;3IfceDO45R4J/URKhHYA8oQ4STDRenouUeOv/1PW5VEvfgMAAP//AwBQSwMEFAAGAAgAAAAhAICB&#10;9M3ZAAAAAwEAAA8AAABkcnMvZG93bnJldi54bWxMj81uwjAQhO9IfQdrK/VWnCBBS4iDUCUO3Cj9&#10;OS/xNkkbr6PYQMrTd+FSLiONZjXzbb4cXKuO1IfGs4F0nIAiLr1tuDLw/rZ+fAYVIrLF1jMZ+KUA&#10;y+JulGNm/Ylf6biLlZISDhkaqGPsMq1DWZPDMPYdsWRfvncYxfaVtj2epNy1epIkM+2wYVmosaOX&#10;msqf3cEZaKYrH1P62Ky/P13q0/N2Mz1vjXm4H1YLUJGG+H8MF3xBh0KY9v7ANqjWgDwSryrZfCZu&#10;b+BpkoAucn3LXvwBAAD//wMAUEsBAi0AFAAGAAgAAAAhALaDOJL+AAAA4QEAABMAAAAAAAAAAAAA&#10;AAAAAAAAAFtDb250ZW50X1R5cGVzXS54bWxQSwECLQAUAAYACAAAACEAOP0h/9YAAACUAQAACwAA&#10;AAAAAAAAAAAAAAAvAQAAX3JlbHMvLnJlbHNQSwECLQAUAAYACAAAACEAxeUp4woCAAAcBAAADgAA&#10;AAAAAAAAAAAAAAAuAgAAZHJzL2Uyb0RvYy54bWxQSwECLQAUAAYACAAAACEAgIH0zdkAAAADAQAA&#10;DwAAAAAAAAAAAAAAAABkBAAAZHJzL2Rvd25yZXYueG1sUEsFBgAAAAAEAAQA8wAAAGoFAAAAAA==&#10;" filled="f" stroked="f">
                    <v:textbox style="mso-fit-shape-to-text:t" inset="0,15pt,0,0">
                      <w:txbxContent>
                        <w:p w14:paraId="0032D44D" w14:textId="39072FC4"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tc>
      <w:tc>
        <w:tcPr>
          <w:tcW w:w="3005" w:type="dxa"/>
        </w:tcPr>
        <w:p w14:paraId="00A9A71A" w14:textId="481E8C2A" w:rsidR="1CBD4533" w:rsidRDefault="1CBD4533" w:rsidP="1CBD4533">
          <w:pPr>
            <w:pStyle w:val="Header"/>
            <w:jc w:val="center"/>
          </w:pPr>
        </w:p>
      </w:tc>
      <w:tc>
        <w:tcPr>
          <w:tcW w:w="3005" w:type="dxa"/>
        </w:tcPr>
        <w:p w14:paraId="37F14D47" w14:textId="3F0949A9" w:rsidR="1CBD4533" w:rsidRDefault="1CBD4533" w:rsidP="1CBD4533">
          <w:pPr>
            <w:pStyle w:val="Header"/>
            <w:ind w:right="-115"/>
            <w:jc w:val="right"/>
          </w:pPr>
        </w:p>
      </w:tc>
    </w:tr>
  </w:tbl>
  <w:p w14:paraId="09E213C1" w14:textId="3DE195C5" w:rsidR="1CBD4533" w:rsidRDefault="1CBD4533" w:rsidP="1CBD4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C59" w14:textId="7C51D04C" w:rsidR="00E82F13" w:rsidRDefault="48755634" w:rsidP="00520D15">
    <w:pPr>
      <w:ind w:left="-964"/>
      <w:jc w:val="center"/>
    </w:pPr>
    <w:r>
      <w:rPr>
        <w:noProof/>
      </w:rPr>
      <w:drawing>
        <wp:inline distT="0" distB="0" distL="0" distR="0" wp14:anchorId="2BEAF445" wp14:editId="54B63179">
          <wp:extent cx="2024048" cy="1603387"/>
          <wp:effectExtent l="0" t="0" r="0" b="0"/>
          <wp:docPr id="1920558151" name="Picture 1920558151" descr="Australian Government Department of Health, Disability and Ageing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558151" name="Picture 1920558151" descr="Australian Government Department of Health, Disability and Ageing crest"/>
                  <pic:cNvPicPr/>
                </pic:nvPicPr>
                <pic:blipFill>
                  <a:blip r:embed="rId1">
                    <a:extLst>
                      <a:ext uri="{28A0092B-C50C-407E-A947-70E740481C1C}">
                        <a14:useLocalDpi xmlns:a14="http://schemas.microsoft.com/office/drawing/2010/main" val="0"/>
                      </a:ext>
                    </a:extLst>
                  </a:blip>
                  <a:stretch>
                    <a:fillRect/>
                  </a:stretch>
                </pic:blipFill>
                <pic:spPr>
                  <a:xfrm>
                    <a:off x="0" y="0"/>
                    <a:ext cx="2024048" cy="160338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0CC" w14:textId="4CEA2ABA" w:rsidR="00E82F13" w:rsidRPr="0084227C" w:rsidRDefault="00E82F13" w:rsidP="0084227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4E96" w14:textId="6C0A5229" w:rsidR="00E82F13" w:rsidRDefault="00647ECF" w:rsidP="00F30908">
    <w:pPr>
      <w:ind w:left="-964"/>
    </w:pPr>
    <w:r>
      <w:rPr>
        <w:noProof/>
      </w:rPr>
      <mc:AlternateContent>
        <mc:Choice Requires="wps">
          <w:drawing>
            <wp:anchor distT="0" distB="0" distL="0" distR="0" simplePos="0" relativeHeight="251658242" behindDoc="0" locked="0" layoutInCell="1" allowOverlap="1" wp14:anchorId="62FEE282" wp14:editId="1A789A3D">
              <wp:simplePos x="635" y="635"/>
              <wp:positionH relativeFrom="page">
                <wp:align>center</wp:align>
              </wp:positionH>
              <wp:positionV relativeFrom="page">
                <wp:align>top</wp:align>
              </wp:positionV>
              <wp:extent cx="609600" cy="457200"/>
              <wp:effectExtent l="0" t="0" r="0" b="0"/>
              <wp:wrapNone/>
              <wp:docPr id="191606868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57200"/>
                      </a:xfrm>
                      <a:prstGeom prst="rect">
                        <a:avLst/>
                      </a:prstGeom>
                      <a:noFill/>
                      <a:ln>
                        <a:noFill/>
                      </a:ln>
                    </wps:spPr>
                    <wps:txbx>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FEE282"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EoCwIAABwEAAAOAAAAZHJzL2Uyb0RvYy54bWysU01v2zAMvQ/YfxB0X+wUa7YacYqsRYYB&#10;QVsgHXpWZDk2IImCxMTOfv0oOU62rqdiF5kmKX689zS/7Y1mB+VDC7bk00nOmbISqtbuSv7zefXp&#10;K2cBha2EBqtKflSB3y4+fph3rlBX0ICulGdUxIaicyVvEF2RZUE2yogwAacsBWvwRiD9+l1WedFR&#10;daOzqzyfZR34ynmQKgTy3g9Bvkj161pJfKzroJDpktNsmE6fzm08s8VcFDsvXNPK0xjiHVMY0Vpq&#10;ei51L1CwvW//KWVa6SFAjRMJJoO6bqVKO9A20/zVNptGOJV2IXCCO8MU/l9Z+XDYuCfPsP8GPREY&#10;AelcKAI54z597U380qSM4gTh8Qyb6pFJcs7ym1lOEUmhz9dfiJZYJbtcdj7gdwWGRaPknlhJYInD&#10;OuCQOqbEXhZWrdaJGW3/clDN6MkuE0YL+23P2oqaj9NvoTrSUh4GvoOTq5Zar0XAJ+GJYJqWRIuP&#10;dNQaupLDyeKsAf/rLX/MJ9wpyllHgim5JUVzpn9Y4iNqKxnTm/w6guFH93Y07N7cAclwSi/CyWTG&#10;PNSjWXswLyTnZWxEIWEltSs5juYdDsql5yDVcpmSSEZO4NpunIylI1wRy+f+RXh3AhyJqQcY1SSK&#10;V7gPufFmcMs9EvqJlAjtAOQJcZJgovX0XKLG//xPWZdHvfgNAAD//wMAUEsDBBQABgAIAAAAIQCA&#10;gfTN2QAAAAMBAAAPAAAAZHJzL2Rvd25yZXYueG1sTI/NbsIwEITvSH0Hayv1VpwgQUuIg1AlDtwo&#10;/Tkv8TZJG6+j2EDK03fhUi4jjWY1822+HFyrjtSHxrOBdJyAIi69bbgy8P62fnwGFSKyxdYzGfil&#10;AMvibpRjZv2JX+m4i5WSEg4ZGqhj7DKtQ1mTwzD2HbFkX753GMX2lbY9nqTctXqSJDPtsGFZqLGj&#10;l5rKn93BGWimKx9T+tisvz9d6tPzdjM9b415uB9WC1CRhvh/DBd8QYdCmPb+wDao1oA8Eq8q2Xwm&#10;bm/gaZKALnJ9y178AQAA//8DAFBLAQItABQABgAIAAAAIQC2gziS/gAAAOEBAAATAAAAAAAAAAAA&#10;AAAAAAAAAABbQ29udGVudF9UeXBlc10ueG1sUEsBAi0AFAAGAAgAAAAhADj9If/WAAAAlAEAAAsA&#10;AAAAAAAAAAAAAAAALwEAAF9yZWxzLy5yZWxzUEsBAi0AFAAGAAgAAAAhABynUSgLAgAAHAQAAA4A&#10;AAAAAAAAAAAAAAAALgIAAGRycy9lMm9Eb2MueG1sUEsBAi0AFAAGAAgAAAAhAICB9M3ZAAAAAwEA&#10;AA8AAAAAAAAAAAAAAAAAZQQAAGRycy9kb3ducmV2LnhtbFBLBQYAAAAABAAEAPMAAABrBQAAAAA=&#10;" filled="f" stroked="f">
              <v:textbox style="mso-fit-shape-to-text:t" inset="0,15pt,0,0">
                <w:txbxContent>
                  <w:p w14:paraId="71C036E9" w14:textId="76078B51" w:rsidR="00647ECF" w:rsidRPr="00647ECF" w:rsidRDefault="00647ECF" w:rsidP="00647ECF">
                    <w:pPr>
                      <w:spacing w:after="0"/>
                      <w:rPr>
                        <w:rFonts w:ascii="Aptos" w:eastAsia="Aptos" w:hAnsi="Aptos" w:cs="Aptos"/>
                        <w:noProof/>
                        <w:color w:val="FF0000"/>
                        <w:sz w:val="24"/>
                      </w:rPr>
                    </w:pPr>
                    <w:r w:rsidRPr="00647ECF">
                      <w:rPr>
                        <w:rFonts w:ascii="Aptos" w:eastAsia="Aptos" w:hAnsi="Aptos" w:cs="Aptos"/>
                        <w:noProof/>
                        <w:color w:val="FF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S70QVMZCVrK5rq" int2:id="CVDVINK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C66DB"/>
    <w:multiLevelType w:val="multilevel"/>
    <w:tmpl w:val="7664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02C07"/>
    <w:multiLevelType w:val="multilevel"/>
    <w:tmpl w:val="9A7ADD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 w15:restartNumberingAfterBreak="0">
    <w:nsid w:val="06EC3B36"/>
    <w:multiLevelType w:val="multilevel"/>
    <w:tmpl w:val="A848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03C2D"/>
    <w:multiLevelType w:val="multilevel"/>
    <w:tmpl w:val="837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40D6E1"/>
    <w:multiLevelType w:val="hybridMultilevel"/>
    <w:tmpl w:val="FE803DA4"/>
    <w:lvl w:ilvl="0" w:tplc="515ED7EE">
      <w:start w:val="1"/>
      <w:numFmt w:val="bullet"/>
      <w:lvlText w:val=""/>
      <w:lvlJc w:val="left"/>
      <w:pPr>
        <w:ind w:left="720" w:hanging="360"/>
      </w:pPr>
      <w:rPr>
        <w:rFonts w:ascii="Symbol" w:hAnsi="Symbol" w:hint="default"/>
      </w:rPr>
    </w:lvl>
    <w:lvl w:ilvl="1" w:tplc="3D7E7C06">
      <w:start w:val="1"/>
      <w:numFmt w:val="bullet"/>
      <w:lvlText w:val="o"/>
      <w:lvlJc w:val="left"/>
      <w:pPr>
        <w:ind w:left="1440" w:hanging="360"/>
      </w:pPr>
      <w:rPr>
        <w:rFonts w:ascii="Courier New" w:hAnsi="Courier New" w:hint="default"/>
      </w:rPr>
    </w:lvl>
    <w:lvl w:ilvl="2" w:tplc="9076825A">
      <w:start w:val="1"/>
      <w:numFmt w:val="bullet"/>
      <w:lvlText w:val=""/>
      <w:lvlJc w:val="left"/>
      <w:pPr>
        <w:ind w:left="2160" w:hanging="360"/>
      </w:pPr>
      <w:rPr>
        <w:rFonts w:ascii="Wingdings" w:hAnsi="Wingdings" w:hint="default"/>
      </w:rPr>
    </w:lvl>
    <w:lvl w:ilvl="3" w:tplc="1ACA1B1A">
      <w:start w:val="1"/>
      <w:numFmt w:val="bullet"/>
      <w:lvlText w:val=""/>
      <w:lvlJc w:val="left"/>
      <w:pPr>
        <w:ind w:left="2880" w:hanging="360"/>
      </w:pPr>
      <w:rPr>
        <w:rFonts w:ascii="Symbol" w:hAnsi="Symbol" w:hint="default"/>
      </w:rPr>
    </w:lvl>
    <w:lvl w:ilvl="4" w:tplc="FFCE41DE">
      <w:start w:val="1"/>
      <w:numFmt w:val="bullet"/>
      <w:lvlText w:val="o"/>
      <w:lvlJc w:val="left"/>
      <w:pPr>
        <w:ind w:left="3600" w:hanging="360"/>
      </w:pPr>
      <w:rPr>
        <w:rFonts w:ascii="Courier New" w:hAnsi="Courier New" w:hint="default"/>
      </w:rPr>
    </w:lvl>
    <w:lvl w:ilvl="5" w:tplc="3A6821DE">
      <w:start w:val="1"/>
      <w:numFmt w:val="bullet"/>
      <w:lvlText w:val=""/>
      <w:lvlJc w:val="left"/>
      <w:pPr>
        <w:ind w:left="4320" w:hanging="360"/>
      </w:pPr>
      <w:rPr>
        <w:rFonts w:ascii="Wingdings" w:hAnsi="Wingdings" w:hint="default"/>
      </w:rPr>
    </w:lvl>
    <w:lvl w:ilvl="6" w:tplc="A358CE9E">
      <w:start w:val="1"/>
      <w:numFmt w:val="bullet"/>
      <w:lvlText w:val=""/>
      <w:lvlJc w:val="left"/>
      <w:pPr>
        <w:ind w:left="5040" w:hanging="360"/>
      </w:pPr>
      <w:rPr>
        <w:rFonts w:ascii="Symbol" w:hAnsi="Symbol" w:hint="default"/>
      </w:rPr>
    </w:lvl>
    <w:lvl w:ilvl="7" w:tplc="1520D5B0">
      <w:start w:val="1"/>
      <w:numFmt w:val="bullet"/>
      <w:lvlText w:val="o"/>
      <w:lvlJc w:val="left"/>
      <w:pPr>
        <w:ind w:left="5760" w:hanging="360"/>
      </w:pPr>
      <w:rPr>
        <w:rFonts w:ascii="Courier New" w:hAnsi="Courier New" w:hint="default"/>
      </w:rPr>
    </w:lvl>
    <w:lvl w:ilvl="8" w:tplc="699A94E2">
      <w:start w:val="1"/>
      <w:numFmt w:val="bullet"/>
      <w:lvlText w:val=""/>
      <w:lvlJc w:val="left"/>
      <w:pPr>
        <w:ind w:left="6480" w:hanging="360"/>
      </w:pPr>
      <w:rPr>
        <w:rFonts w:ascii="Wingdings" w:hAnsi="Wingdings" w:hint="default"/>
      </w:rPr>
    </w:lvl>
  </w:abstractNum>
  <w:abstractNum w:abstractNumId="6" w15:restartNumberingAfterBreak="0">
    <w:nsid w:val="0A4062CC"/>
    <w:multiLevelType w:val="multilevel"/>
    <w:tmpl w:val="E62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2D3E87"/>
    <w:multiLevelType w:val="hybridMultilevel"/>
    <w:tmpl w:val="6B10D51C"/>
    <w:lvl w:ilvl="0" w:tplc="2FA41B84">
      <w:start w:val="1"/>
      <w:numFmt w:val="lowerLetter"/>
      <w:pStyle w:val="Tableabclist"/>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2434F2"/>
    <w:multiLevelType w:val="hybridMultilevel"/>
    <w:tmpl w:val="2A36CB94"/>
    <w:lvl w:ilvl="0" w:tplc="76483744">
      <w:start w:val="1"/>
      <w:numFmt w:val="decimal"/>
      <w:lvlText w:val="%1."/>
      <w:lvlJc w:val="left"/>
      <w:pPr>
        <w:ind w:left="524" w:hanging="360"/>
      </w:pPr>
      <w:rPr>
        <w:rFonts w:hint="default"/>
        <w:b/>
        <w:i w:val="0"/>
        <w:iCs w:val="0"/>
      </w:rPr>
    </w:lvl>
    <w:lvl w:ilvl="1" w:tplc="0C090019" w:tentative="1">
      <w:start w:val="1"/>
      <w:numFmt w:val="lowerLetter"/>
      <w:lvlText w:val="%2."/>
      <w:lvlJc w:val="left"/>
      <w:pPr>
        <w:ind w:left="1244" w:hanging="360"/>
      </w:pPr>
    </w:lvl>
    <w:lvl w:ilvl="2" w:tplc="0C09001B" w:tentative="1">
      <w:start w:val="1"/>
      <w:numFmt w:val="lowerRoman"/>
      <w:lvlText w:val="%3."/>
      <w:lvlJc w:val="right"/>
      <w:pPr>
        <w:ind w:left="1964" w:hanging="180"/>
      </w:pPr>
    </w:lvl>
    <w:lvl w:ilvl="3" w:tplc="0C09000F" w:tentative="1">
      <w:start w:val="1"/>
      <w:numFmt w:val="decimal"/>
      <w:lvlText w:val="%4."/>
      <w:lvlJc w:val="left"/>
      <w:pPr>
        <w:ind w:left="2684" w:hanging="360"/>
      </w:pPr>
    </w:lvl>
    <w:lvl w:ilvl="4" w:tplc="0C090019" w:tentative="1">
      <w:start w:val="1"/>
      <w:numFmt w:val="lowerLetter"/>
      <w:lvlText w:val="%5."/>
      <w:lvlJc w:val="left"/>
      <w:pPr>
        <w:ind w:left="3404" w:hanging="360"/>
      </w:pPr>
    </w:lvl>
    <w:lvl w:ilvl="5" w:tplc="0C09001B" w:tentative="1">
      <w:start w:val="1"/>
      <w:numFmt w:val="lowerRoman"/>
      <w:lvlText w:val="%6."/>
      <w:lvlJc w:val="right"/>
      <w:pPr>
        <w:ind w:left="4124" w:hanging="180"/>
      </w:pPr>
    </w:lvl>
    <w:lvl w:ilvl="6" w:tplc="0C09000F" w:tentative="1">
      <w:start w:val="1"/>
      <w:numFmt w:val="decimal"/>
      <w:lvlText w:val="%7."/>
      <w:lvlJc w:val="left"/>
      <w:pPr>
        <w:ind w:left="4844" w:hanging="360"/>
      </w:pPr>
    </w:lvl>
    <w:lvl w:ilvl="7" w:tplc="0C090019" w:tentative="1">
      <w:start w:val="1"/>
      <w:numFmt w:val="lowerLetter"/>
      <w:lvlText w:val="%8."/>
      <w:lvlJc w:val="left"/>
      <w:pPr>
        <w:ind w:left="5564" w:hanging="360"/>
      </w:pPr>
    </w:lvl>
    <w:lvl w:ilvl="8" w:tplc="0C09001B" w:tentative="1">
      <w:start w:val="1"/>
      <w:numFmt w:val="lowerRoman"/>
      <w:lvlText w:val="%9."/>
      <w:lvlJc w:val="right"/>
      <w:pPr>
        <w:ind w:left="6284" w:hanging="180"/>
      </w:pPr>
    </w:lvl>
  </w:abstractNum>
  <w:abstractNum w:abstractNumId="9" w15:restartNumberingAfterBreak="0">
    <w:nsid w:val="12E505EF"/>
    <w:multiLevelType w:val="multilevel"/>
    <w:tmpl w:val="9232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477325"/>
    <w:multiLevelType w:val="hybridMultilevel"/>
    <w:tmpl w:val="3A7AA91C"/>
    <w:lvl w:ilvl="0" w:tplc="55003C14">
      <w:start w:val="1"/>
      <w:numFmt w:val="bullet"/>
      <w:pStyle w:val="TLP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21522"/>
    <w:multiLevelType w:val="multilevel"/>
    <w:tmpl w:val="BC3CD2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158F34C2"/>
    <w:multiLevelType w:val="multilevel"/>
    <w:tmpl w:val="7E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6A1663"/>
    <w:multiLevelType w:val="multilevel"/>
    <w:tmpl w:val="F1D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FB4407"/>
    <w:multiLevelType w:val="multilevel"/>
    <w:tmpl w:val="131ED03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3A3F23"/>
    <w:multiLevelType w:val="multilevel"/>
    <w:tmpl w:val="E204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93215F"/>
    <w:multiLevelType w:val="hybridMultilevel"/>
    <w:tmpl w:val="D14262CC"/>
    <w:lvl w:ilvl="0" w:tplc="469E7D40">
      <w:start w:val="1"/>
      <w:numFmt w:val="decimal"/>
      <w:pStyle w:val="Heading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E45F74"/>
    <w:multiLevelType w:val="multilevel"/>
    <w:tmpl w:val="4D20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98D3A15"/>
    <w:multiLevelType w:val="multilevel"/>
    <w:tmpl w:val="EA5A45C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1" w15:restartNumberingAfterBreak="0">
    <w:nsid w:val="2A3A3D0B"/>
    <w:multiLevelType w:val="multilevel"/>
    <w:tmpl w:val="007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FC4610"/>
    <w:multiLevelType w:val="hybridMultilevel"/>
    <w:tmpl w:val="49302948"/>
    <w:lvl w:ilvl="0" w:tplc="398E5A44">
      <w:start w:val="1"/>
      <w:numFmt w:val="bullet"/>
      <w:pStyle w:val="ListBullet2"/>
      <w:lvlText w:val="o"/>
      <w:lvlJc w:val="left"/>
      <w:pPr>
        <w:ind w:left="1356" w:hanging="360"/>
      </w:pPr>
      <w:rPr>
        <w:rFonts w:ascii="Courier New" w:hAnsi="Courier New" w:cs="Courier New" w:hint="default"/>
      </w:rPr>
    </w:lvl>
    <w:lvl w:ilvl="1" w:tplc="0C090003" w:tentative="1">
      <w:start w:val="1"/>
      <w:numFmt w:val="bullet"/>
      <w:lvlText w:val="o"/>
      <w:lvlJc w:val="left"/>
      <w:pPr>
        <w:ind w:left="2076" w:hanging="360"/>
      </w:pPr>
      <w:rPr>
        <w:rFonts w:ascii="Courier New" w:hAnsi="Courier New" w:cs="Courier New" w:hint="default"/>
      </w:rPr>
    </w:lvl>
    <w:lvl w:ilvl="2" w:tplc="0C090005" w:tentative="1">
      <w:start w:val="1"/>
      <w:numFmt w:val="bullet"/>
      <w:lvlText w:val=""/>
      <w:lvlJc w:val="left"/>
      <w:pPr>
        <w:ind w:left="2796" w:hanging="360"/>
      </w:pPr>
      <w:rPr>
        <w:rFonts w:ascii="Wingdings" w:hAnsi="Wingdings" w:hint="default"/>
      </w:rPr>
    </w:lvl>
    <w:lvl w:ilvl="3" w:tplc="0C090001" w:tentative="1">
      <w:start w:val="1"/>
      <w:numFmt w:val="bullet"/>
      <w:lvlText w:val=""/>
      <w:lvlJc w:val="left"/>
      <w:pPr>
        <w:ind w:left="3516" w:hanging="360"/>
      </w:pPr>
      <w:rPr>
        <w:rFonts w:ascii="Symbol" w:hAnsi="Symbol" w:hint="default"/>
      </w:rPr>
    </w:lvl>
    <w:lvl w:ilvl="4" w:tplc="0C090003" w:tentative="1">
      <w:start w:val="1"/>
      <w:numFmt w:val="bullet"/>
      <w:lvlText w:val="o"/>
      <w:lvlJc w:val="left"/>
      <w:pPr>
        <w:ind w:left="4236" w:hanging="360"/>
      </w:pPr>
      <w:rPr>
        <w:rFonts w:ascii="Courier New" w:hAnsi="Courier New" w:cs="Courier New" w:hint="default"/>
      </w:rPr>
    </w:lvl>
    <w:lvl w:ilvl="5" w:tplc="0C090005" w:tentative="1">
      <w:start w:val="1"/>
      <w:numFmt w:val="bullet"/>
      <w:lvlText w:val=""/>
      <w:lvlJc w:val="left"/>
      <w:pPr>
        <w:ind w:left="4956" w:hanging="360"/>
      </w:pPr>
      <w:rPr>
        <w:rFonts w:ascii="Wingdings" w:hAnsi="Wingdings" w:hint="default"/>
      </w:rPr>
    </w:lvl>
    <w:lvl w:ilvl="6" w:tplc="0C090001" w:tentative="1">
      <w:start w:val="1"/>
      <w:numFmt w:val="bullet"/>
      <w:lvlText w:val=""/>
      <w:lvlJc w:val="left"/>
      <w:pPr>
        <w:ind w:left="5676" w:hanging="360"/>
      </w:pPr>
      <w:rPr>
        <w:rFonts w:ascii="Symbol" w:hAnsi="Symbol" w:hint="default"/>
      </w:rPr>
    </w:lvl>
    <w:lvl w:ilvl="7" w:tplc="0C090003" w:tentative="1">
      <w:start w:val="1"/>
      <w:numFmt w:val="bullet"/>
      <w:lvlText w:val="o"/>
      <w:lvlJc w:val="left"/>
      <w:pPr>
        <w:ind w:left="6396" w:hanging="360"/>
      </w:pPr>
      <w:rPr>
        <w:rFonts w:ascii="Courier New" w:hAnsi="Courier New" w:cs="Courier New" w:hint="default"/>
      </w:rPr>
    </w:lvl>
    <w:lvl w:ilvl="8" w:tplc="0C090005" w:tentative="1">
      <w:start w:val="1"/>
      <w:numFmt w:val="bullet"/>
      <w:lvlText w:val=""/>
      <w:lvlJc w:val="left"/>
      <w:pPr>
        <w:ind w:left="7116" w:hanging="360"/>
      </w:pPr>
      <w:rPr>
        <w:rFonts w:ascii="Wingdings" w:hAnsi="Wingdings" w:hint="default"/>
      </w:rPr>
    </w:lvl>
  </w:abstractNum>
  <w:abstractNum w:abstractNumId="23" w15:restartNumberingAfterBreak="0">
    <w:nsid w:val="2FC14114"/>
    <w:multiLevelType w:val="multilevel"/>
    <w:tmpl w:val="CECE5A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4" w15:restartNumberingAfterBreak="0">
    <w:nsid w:val="2FF74FDF"/>
    <w:multiLevelType w:val="multilevel"/>
    <w:tmpl w:val="DC9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0C306D"/>
    <w:multiLevelType w:val="hybridMultilevel"/>
    <w:tmpl w:val="0772070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25C25E8"/>
    <w:multiLevelType w:val="hybridMultilevel"/>
    <w:tmpl w:val="6DACD8B0"/>
    <w:lvl w:ilvl="0" w:tplc="136C56F6">
      <w:numFmt w:val="bullet"/>
      <w:lvlText w:val="-"/>
      <w:lvlJc w:val="left"/>
      <w:pPr>
        <w:ind w:left="720" w:hanging="360"/>
      </w:pPr>
      <w:rPr>
        <w:rFonts w:ascii="Calibri" w:eastAsia="Arial"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32D750A"/>
    <w:multiLevelType w:val="multilevel"/>
    <w:tmpl w:val="A9F8FEC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8" w15:restartNumberingAfterBreak="0">
    <w:nsid w:val="336C7803"/>
    <w:multiLevelType w:val="multilevel"/>
    <w:tmpl w:val="DF06829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9" w15:restartNumberingAfterBreak="0">
    <w:nsid w:val="339E0514"/>
    <w:multiLevelType w:val="multilevel"/>
    <w:tmpl w:val="1D56BBD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0" w15:restartNumberingAfterBreak="0">
    <w:nsid w:val="363963FD"/>
    <w:multiLevelType w:val="multilevel"/>
    <w:tmpl w:val="50F66A3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1" w15:restartNumberingAfterBreak="0">
    <w:nsid w:val="37C81F6F"/>
    <w:multiLevelType w:val="multilevel"/>
    <w:tmpl w:val="776CF7A4"/>
    <w:lvl w:ilvl="0">
      <w:start w:val="1"/>
      <w:numFmt w:val="decimal"/>
      <w:pStyle w:val="Heading1"/>
      <w:lvlText w:val="CHAPTER %1 "/>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Style3"/>
      <w:lvlText w:val="%1.%2.%3"/>
      <w:lvlJc w:val="left"/>
      <w:pPr>
        <w:ind w:left="6248" w:hanging="720"/>
      </w:pPr>
      <w:rPr>
        <w:rFonts w:asciiTheme="minorHAnsi" w:hAnsiTheme="minorHAnsi" w:cstheme="minorHAnsi" w:hint="default"/>
        <w:b/>
        <w:bCs/>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2" w15:restartNumberingAfterBreak="0">
    <w:nsid w:val="38B669F3"/>
    <w:multiLevelType w:val="hybridMultilevel"/>
    <w:tmpl w:val="A9524CBE"/>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B34A72"/>
    <w:multiLevelType w:val="multilevel"/>
    <w:tmpl w:val="9E0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7E3419"/>
    <w:multiLevelType w:val="hybridMultilevel"/>
    <w:tmpl w:val="74685E14"/>
    <w:lvl w:ilvl="0" w:tplc="B2D4F8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AB32CC5"/>
    <w:multiLevelType w:val="hybridMultilevel"/>
    <w:tmpl w:val="5770E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ACA13B0"/>
    <w:multiLevelType w:val="hybridMultilevel"/>
    <w:tmpl w:val="3A44C650"/>
    <w:lvl w:ilvl="0" w:tplc="588ECDD2">
      <w:start w:val="1"/>
      <w:numFmt w:val="bullet"/>
      <w:pStyle w:val="TLPNotebullet"/>
      <w:lvlText w:val="o"/>
      <w:lvlJc w:val="left"/>
      <w:pPr>
        <w:ind w:left="530" w:hanging="360"/>
      </w:pPr>
      <w:rPr>
        <w:rFonts w:ascii="Courier New" w:hAnsi="Courier New" w:cs="Courier New"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7" w15:restartNumberingAfterBreak="0">
    <w:nsid w:val="3BB00264"/>
    <w:multiLevelType w:val="multilevel"/>
    <w:tmpl w:val="D390DD96"/>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b/>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8" w15:restartNumberingAfterBreak="0">
    <w:nsid w:val="3E3C3621"/>
    <w:multiLevelType w:val="multilevel"/>
    <w:tmpl w:val="86AE4AB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9" w15:restartNumberingAfterBreak="0">
    <w:nsid w:val="3FBD7996"/>
    <w:multiLevelType w:val="multilevel"/>
    <w:tmpl w:val="7C7E765E"/>
    <w:name w:val="StandardBulletedList"/>
    <w:lvl w:ilvl="0">
      <w:start w:val="1"/>
      <w:numFmt w:val="bullet"/>
      <w:lvlText w:val="•"/>
      <w:lvlJc w:val="left"/>
      <w:pPr>
        <w:tabs>
          <w:tab w:val="num" w:pos="567"/>
        </w:tabs>
        <w:ind w:left="567" w:hanging="567"/>
      </w:pPr>
      <w:rPr>
        <w:rFonts w:ascii="Times New Roman" w:hAnsi="Times New Roman"/>
      </w:rPr>
    </w:lvl>
    <w:lvl w:ilvl="1">
      <w:start w:val="1"/>
      <w:numFmt w:val="bullet"/>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41006FC7"/>
    <w:multiLevelType w:val="multilevel"/>
    <w:tmpl w:val="C6A2D3A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2" w15:restartNumberingAfterBreak="0">
    <w:nsid w:val="42D3490F"/>
    <w:multiLevelType w:val="multilevel"/>
    <w:tmpl w:val="F4FC2E0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3" w15:restartNumberingAfterBreak="0">
    <w:nsid w:val="45A81211"/>
    <w:multiLevelType w:val="multilevel"/>
    <w:tmpl w:val="B1E417E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4" w15:restartNumberingAfterBreak="0">
    <w:nsid w:val="45AC0F82"/>
    <w:multiLevelType w:val="multilevel"/>
    <w:tmpl w:val="2C483B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5" w15:restartNumberingAfterBreak="0">
    <w:nsid w:val="47E61712"/>
    <w:multiLevelType w:val="multilevel"/>
    <w:tmpl w:val="8404FB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492557DD"/>
    <w:multiLevelType w:val="multilevel"/>
    <w:tmpl w:val="F47C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6C75D3"/>
    <w:multiLevelType w:val="multilevel"/>
    <w:tmpl w:val="EF262A7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8" w15:restartNumberingAfterBreak="0">
    <w:nsid w:val="4BCA487B"/>
    <w:multiLevelType w:val="hybridMultilevel"/>
    <w:tmpl w:val="A52C2F8A"/>
    <w:lvl w:ilvl="0" w:tplc="0F4A0492">
      <w:start w:val="1"/>
      <w:numFmt w:val="upperRoman"/>
      <w:pStyle w:val="List2"/>
      <w:lvlText w:val="%1."/>
      <w:lvlJc w:val="right"/>
      <w:pPr>
        <w:ind w:left="966" w:hanging="360"/>
      </w:pPr>
    </w:lvl>
    <w:lvl w:ilvl="1" w:tplc="0C090019" w:tentative="1">
      <w:start w:val="1"/>
      <w:numFmt w:val="lowerLetter"/>
      <w:lvlText w:val="%2."/>
      <w:lvlJc w:val="left"/>
      <w:pPr>
        <w:ind w:left="1686" w:hanging="360"/>
      </w:pPr>
    </w:lvl>
    <w:lvl w:ilvl="2" w:tplc="0C09001B" w:tentative="1">
      <w:start w:val="1"/>
      <w:numFmt w:val="lowerRoman"/>
      <w:lvlText w:val="%3."/>
      <w:lvlJc w:val="right"/>
      <w:pPr>
        <w:ind w:left="2406" w:hanging="180"/>
      </w:pPr>
    </w:lvl>
    <w:lvl w:ilvl="3" w:tplc="0C09000F" w:tentative="1">
      <w:start w:val="1"/>
      <w:numFmt w:val="decimal"/>
      <w:lvlText w:val="%4."/>
      <w:lvlJc w:val="left"/>
      <w:pPr>
        <w:ind w:left="3126" w:hanging="360"/>
      </w:pPr>
    </w:lvl>
    <w:lvl w:ilvl="4" w:tplc="0C090019" w:tentative="1">
      <w:start w:val="1"/>
      <w:numFmt w:val="lowerLetter"/>
      <w:lvlText w:val="%5."/>
      <w:lvlJc w:val="left"/>
      <w:pPr>
        <w:ind w:left="3846" w:hanging="360"/>
      </w:pPr>
    </w:lvl>
    <w:lvl w:ilvl="5" w:tplc="0C09001B" w:tentative="1">
      <w:start w:val="1"/>
      <w:numFmt w:val="lowerRoman"/>
      <w:lvlText w:val="%6."/>
      <w:lvlJc w:val="right"/>
      <w:pPr>
        <w:ind w:left="4566" w:hanging="180"/>
      </w:pPr>
    </w:lvl>
    <w:lvl w:ilvl="6" w:tplc="0C09000F" w:tentative="1">
      <w:start w:val="1"/>
      <w:numFmt w:val="decimal"/>
      <w:lvlText w:val="%7."/>
      <w:lvlJc w:val="left"/>
      <w:pPr>
        <w:ind w:left="5286" w:hanging="360"/>
      </w:pPr>
    </w:lvl>
    <w:lvl w:ilvl="7" w:tplc="0C090019" w:tentative="1">
      <w:start w:val="1"/>
      <w:numFmt w:val="lowerLetter"/>
      <w:lvlText w:val="%8."/>
      <w:lvlJc w:val="left"/>
      <w:pPr>
        <w:ind w:left="6006" w:hanging="360"/>
      </w:pPr>
    </w:lvl>
    <w:lvl w:ilvl="8" w:tplc="0C09001B" w:tentative="1">
      <w:start w:val="1"/>
      <w:numFmt w:val="lowerRoman"/>
      <w:lvlText w:val="%9."/>
      <w:lvlJc w:val="right"/>
      <w:pPr>
        <w:ind w:left="6726" w:hanging="180"/>
      </w:pPr>
    </w:lvl>
  </w:abstractNum>
  <w:abstractNum w:abstractNumId="49" w15:restartNumberingAfterBreak="0">
    <w:nsid w:val="4BD14E56"/>
    <w:multiLevelType w:val="multilevel"/>
    <w:tmpl w:val="0B2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C912D70"/>
    <w:multiLevelType w:val="multilevel"/>
    <w:tmpl w:val="BAE6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FA4FAF"/>
    <w:multiLevelType w:val="multilevel"/>
    <w:tmpl w:val="48B6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6662FE"/>
    <w:multiLevelType w:val="multilevel"/>
    <w:tmpl w:val="108E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0AE6793"/>
    <w:multiLevelType w:val="singleLevel"/>
    <w:tmpl w:val="851055EE"/>
    <w:lvl w:ilvl="0">
      <w:start w:val="1"/>
      <w:numFmt w:val="bullet"/>
      <w:pStyle w:val="BulletDot"/>
      <w:lvlText w:val=""/>
      <w:lvlJc w:val="left"/>
      <w:pPr>
        <w:tabs>
          <w:tab w:val="num" w:pos="360"/>
        </w:tabs>
        <w:ind w:left="360" w:hanging="360"/>
      </w:pPr>
      <w:rPr>
        <w:rFonts w:ascii="Symbol" w:hAnsi="Symbol" w:hint="default"/>
      </w:rPr>
    </w:lvl>
  </w:abstractNum>
  <w:abstractNum w:abstractNumId="54" w15:restartNumberingAfterBreak="0">
    <w:nsid w:val="53F1063B"/>
    <w:multiLevelType w:val="multilevel"/>
    <w:tmpl w:val="4858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A524EEF"/>
    <w:multiLevelType w:val="hybridMultilevel"/>
    <w:tmpl w:val="0ACC74D8"/>
    <w:lvl w:ilvl="0" w:tplc="FFFFFFFF">
      <w:start w:val="1"/>
      <w:numFmt w:val="bullet"/>
      <w:pStyle w:val="ListParagraph"/>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6" w15:restartNumberingAfterBreak="0">
    <w:nsid w:val="5BDE1C8D"/>
    <w:multiLevelType w:val="hybridMultilevel"/>
    <w:tmpl w:val="6EA674C8"/>
    <w:lvl w:ilvl="0" w:tplc="8ADE0A50">
      <w:start w:val="1"/>
      <w:numFmt w:val="upperRoman"/>
      <w:pStyle w:val="List"/>
      <w:lvlText w:val="%1."/>
      <w:lvlJc w:val="right"/>
      <w:pPr>
        <w:tabs>
          <w:tab w:val="num" w:pos="1494"/>
        </w:tabs>
        <w:ind w:left="1494" w:hanging="180"/>
      </w:pPr>
      <w:rPr>
        <w:rFonts w:cs="Times New Roman"/>
      </w:rPr>
    </w:lvl>
    <w:lvl w:ilvl="1" w:tplc="0C090019" w:tentative="1">
      <w:start w:val="1"/>
      <w:numFmt w:val="lowerLetter"/>
      <w:lvlText w:val="%2."/>
      <w:lvlJc w:val="left"/>
      <w:pPr>
        <w:tabs>
          <w:tab w:val="num" w:pos="2394"/>
        </w:tabs>
        <w:ind w:left="2394" w:hanging="360"/>
      </w:pPr>
      <w:rPr>
        <w:rFonts w:cs="Times New Roman"/>
      </w:rPr>
    </w:lvl>
    <w:lvl w:ilvl="2" w:tplc="0C09001B" w:tentative="1">
      <w:start w:val="1"/>
      <w:numFmt w:val="lowerRoman"/>
      <w:lvlText w:val="%3."/>
      <w:lvlJc w:val="right"/>
      <w:pPr>
        <w:tabs>
          <w:tab w:val="num" w:pos="3114"/>
        </w:tabs>
        <w:ind w:left="3114" w:hanging="180"/>
      </w:pPr>
      <w:rPr>
        <w:rFonts w:cs="Times New Roman"/>
      </w:rPr>
    </w:lvl>
    <w:lvl w:ilvl="3" w:tplc="0C09000F" w:tentative="1">
      <w:start w:val="1"/>
      <w:numFmt w:val="decimal"/>
      <w:lvlText w:val="%4."/>
      <w:lvlJc w:val="left"/>
      <w:pPr>
        <w:tabs>
          <w:tab w:val="num" w:pos="3834"/>
        </w:tabs>
        <w:ind w:left="3834" w:hanging="360"/>
      </w:pPr>
      <w:rPr>
        <w:rFonts w:cs="Times New Roman"/>
      </w:rPr>
    </w:lvl>
    <w:lvl w:ilvl="4" w:tplc="0C090019" w:tentative="1">
      <w:start w:val="1"/>
      <w:numFmt w:val="lowerLetter"/>
      <w:lvlText w:val="%5."/>
      <w:lvlJc w:val="left"/>
      <w:pPr>
        <w:tabs>
          <w:tab w:val="num" w:pos="4554"/>
        </w:tabs>
        <w:ind w:left="4554" w:hanging="360"/>
      </w:pPr>
      <w:rPr>
        <w:rFonts w:cs="Times New Roman"/>
      </w:rPr>
    </w:lvl>
    <w:lvl w:ilvl="5" w:tplc="0C09001B" w:tentative="1">
      <w:start w:val="1"/>
      <w:numFmt w:val="lowerRoman"/>
      <w:lvlText w:val="%6."/>
      <w:lvlJc w:val="right"/>
      <w:pPr>
        <w:tabs>
          <w:tab w:val="num" w:pos="5274"/>
        </w:tabs>
        <w:ind w:left="5274" w:hanging="180"/>
      </w:pPr>
      <w:rPr>
        <w:rFonts w:cs="Times New Roman"/>
      </w:rPr>
    </w:lvl>
    <w:lvl w:ilvl="6" w:tplc="0C09000F" w:tentative="1">
      <w:start w:val="1"/>
      <w:numFmt w:val="decimal"/>
      <w:lvlText w:val="%7."/>
      <w:lvlJc w:val="left"/>
      <w:pPr>
        <w:tabs>
          <w:tab w:val="num" w:pos="5994"/>
        </w:tabs>
        <w:ind w:left="5994" w:hanging="360"/>
      </w:pPr>
      <w:rPr>
        <w:rFonts w:cs="Times New Roman"/>
      </w:rPr>
    </w:lvl>
    <w:lvl w:ilvl="7" w:tplc="0C090019" w:tentative="1">
      <w:start w:val="1"/>
      <w:numFmt w:val="lowerLetter"/>
      <w:lvlText w:val="%8."/>
      <w:lvlJc w:val="left"/>
      <w:pPr>
        <w:tabs>
          <w:tab w:val="num" w:pos="6714"/>
        </w:tabs>
        <w:ind w:left="6714" w:hanging="360"/>
      </w:pPr>
      <w:rPr>
        <w:rFonts w:cs="Times New Roman"/>
      </w:rPr>
    </w:lvl>
    <w:lvl w:ilvl="8" w:tplc="0C09001B" w:tentative="1">
      <w:start w:val="1"/>
      <w:numFmt w:val="lowerRoman"/>
      <w:lvlText w:val="%9."/>
      <w:lvlJc w:val="right"/>
      <w:pPr>
        <w:tabs>
          <w:tab w:val="num" w:pos="7434"/>
        </w:tabs>
        <w:ind w:left="7434" w:hanging="180"/>
      </w:pPr>
      <w:rPr>
        <w:rFonts w:cs="Times New Roman"/>
      </w:rPr>
    </w:lvl>
  </w:abstractNum>
  <w:abstractNum w:abstractNumId="57" w15:restartNumberingAfterBreak="0">
    <w:nsid w:val="5CC11F08"/>
    <w:multiLevelType w:val="multilevel"/>
    <w:tmpl w:val="6FFC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2F12C8"/>
    <w:multiLevelType w:val="multilevel"/>
    <w:tmpl w:val="7D72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456429"/>
    <w:multiLevelType w:val="multilevel"/>
    <w:tmpl w:val="B17EE60E"/>
    <w:lvl w:ilvl="0">
      <w:start w:val="1"/>
      <w:numFmt w:val="decimal"/>
      <w:pStyle w:val="ListNumber"/>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60" w15:restartNumberingAfterBreak="0">
    <w:nsid w:val="66F52155"/>
    <w:multiLevelType w:val="multilevel"/>
    <w:tmpl w:val="DAE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7C332B"/>
    <w:multiLevelType w:val="multilevel"/>
    <w:tmpl w:val="4BB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FEB4AF9"/>
    <w:multiLevelType w:val="multilevel"/>
    <w:tmpl w:val="0E846272"/>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4" w15:restartNumberingAfterBreak="0">
    <w:nsid w:val="73473131"/>
    <w:multiLevelType w:val="multilevel"/>
    <w:tmpl w:val="A12C83D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65" w15:restartNumberingAfterBreak="0">
    <w:nsid w:val="7395724D"/>
    <w:multiLevelType w:val="hybridMultilevel"/>
    <w:tmpl w:val="86364696"/>
    <w:lvl w:ilvl="0" w:tplc="1B307844">
      <w:start w:val="1"/>
      <w:numFmt w:val="bullet"/>
      <w:lvlText w:val=""/>
      <w:lvlJc w:val="left"/>
      <w:pPr>
        <w:ind w:left="720" w:hanging="360"/>
      </w:pPr>
      <w:rPr>
        <w:rFonts w:ascii="Symbol" w:hAnsi="Symbol" w:hint="default"/>
      </w:rPr>
    </w:lvl>
    <w:lvl w:ilvl="1" w:tplc="5DAE3CE2" w:tentative="1">
      <w:start w:val="1"/>
      <w:numFmt w:val="bullet"/>
      <w:lvlText w:val="o"/>
      <w:lvlJc w:val="left"/>
      <w:pPr>
        <w:ind w:left="1440" w:hanging="360"/>
      </w:pPr>
      <w:rPr>
        <w:rFonts w:ascii="Courier New" w:hAnsi="Courier New" w:cs="Courier New" w:hint="default"/>
      </w:rPr>
    </w:lvl>
    <w:lvl w:ilvl="2" w:tplc="39D02BA6" w:tentative="1">
      <w:start w:val="1"/>
      <w:numFmt w:val="bullet"/>
      <w:lvlText w:val=""/>
      <w:lvlJc w:val="left"/>
      <w:pPr>
        <w:ind w:left="2160" w:hanging="360"/>
      </w:pPr>
      <w:rPr>
        <w:rFonts w:ascii="Wingdings" w:hAnsi="Wingdings" w:hint="default"/>
      </w:rPr>
    </w:lvl>
    <w:lvl w:ilvl="3" w:tplc="ECFAEC6E" w:tentative="1">
      <w:start w:val="1"/>
      <w:numFmt w:val="bullet"/>
      <w:lvlText w:val=""/>
      <w:lvlJc w:val="left"/>
      <w:pPr>
        <w:ind w:left="2880" w:hanging="360"/>
      </w:pPr>
      <w:rPr>
        <w:rFonts w:ascii="Symbol" w:hAnsi="Symbol" w:hint="default"/>
      </w:rPr>
    </w:lvl>
    <w:lvl w:ilvl="4" w:tplc="C644A746" w:tentative="1">
      <w:start w:val="1"/>
      <w:numFmt w:val="bullet"/>
      <w:lvlText w:val="o"/>
      <w:lvlJc w:val="left"/>
      <w:pPr>
        <w:ind w:left="3600" w:hanging="360"/>
      </w:pPr>
      <w:rPr>
        <w:rFonts w:ascii="Courier New" w:hAnsi="Courier New" w:cs="Courier New" w:hint="default"/>
      </w:rPr>
    </w:lvl>
    <w:lvl w:ilvl="5" w:tplc="C004F44C" w:tentative="1">
      <w:start w:val="1"/>
      <w:numFmt w:val="bullet"/>
      <w:lvlText w:val=""/>
      <w:lvlJc w:val="left"/>
      <w:pPr>
        <w:ind w:left="4320" w:hanging="360"/>
      </w:pPr>
      <w:rPr>
        <w:rFonts w:ascii="Wingdings" w:hAnsi="Wingdings" w:hint="default"/>
      </w:rPr>
    </w:lvl>
    <w:lvl w:ilvl="6" w:tplc="B0EE4856" w:tentative="1">
      <w:start w:val="1"/>
      <w:numFmt w:val="bullet"/>
      <w:lvlText w:val=""/>
      <w:lvlJc w:val="left"/>
      <w:pPr>
        <w:ind w:left="5040" w:hanging="360"/>
      </w:pPr>
      <w:rPr>
        <w:rFonts w:ascii="Symbol" w:hAnsi="Symbol" w:hint="default"/>
      </w:rPr>
    </w:lvl>
    <w:lvl w:ilvl="7" w:tplc="7FD468C2" w:tentative="1">
      <w:start w:val="1"/>
      <w:numFmt w:val="bullet"/>
      <w:lvlText w:val="o"/>
      <w:lvlJc w:val="left"/>
      <w:pPr>
        <w:ind w:left="5760" w:hanging="360"/>
      </w:pPr>
      <w:rPr>
        <w:rFonts w:ascii="Courier New" w:hAnsi="Courier New" w:cs="Courier New" w:hint="default"/>
      </w:rPr>
    </w:lvl>
    <w:lvl w:ilvl="8" w:tplc="60FE44A6" w:tentative="1">
      <w:start w:val="1"/>
      <w:numFmt w:val="bullet"/>
      <w:lvlText w:val=""/>
      <w:lvlJc w:val="left"/>
      <w:pPr>
        <w:ind w:left="6480" w:hanging="360"/>
      </w:pPr>
      <w:rPr>
        <w:rFonts w:ascii="Wingdings" w:hAnsi="Wingdings" w:hint="default"/>
      </w:rPr>
    </w:lvl>
  </w:abstractNum>
  <w:abstractNum w:abstractNumId="66" w15:restartNumberingAfterBreak="0">
    <w:nsid w:val="768B724A"/>
    <w:multiLevelType w:val="multilevel"/>
    <w:tmpl w:val="80A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8342D18"/>
    <w:multiLevelType w:val="multilevel"/>
    <w:tmpl w:val="0136B784"/>
    <w:lvl w:ilvl="0">
      <w:start w:val="1"/>
      <w:numFmt w:val="decimal"/>
      <w:pStyle w:val="NumberBullet1"/>
      <w:lvlText w:val="(%1)"/>
      <w:lvlJc w:val="left"/>
      <w:pPr>
        <w:tabs>
          <w:tab w:val="num" w:pos="936"/>
        </w:tabs>
        <w:ind w:left="936" w:hanging="504"/>
      </w:pPr>
      <w:rPr>
        <w:rFonts w:ascii="Arial" w:hAnsi="Arial" w:cs="Times New Roman" w:hint="default"/>
        <w:color w:val="auto"/>
        <w:sz w:val="20"/>
        <w:szCs w:val="20"/>
      </w:rPr>
    </w:lvl>
    <w:lvl w:ilvl="1">
      <w:start w:val="1"/>
      <w:numFmt w:val="lowerLetter"/>
      <w:pStyle w:val="NumberBullet2"/>
      <w:lvlText w:val="(%2)"/>
      <w:lvlJc w:val="left"/>
      <w:pPr>
        <w:tabs>
          <w:tab w:val="num" w:pos="1368"/>
        </w:tabs>
        <w:ind w:left="1368" w:hanging="360"/>
      </w:pPr>
      <w:rPr>
        <w:rFonts w:ascii="Arial" w:hAnsi="Arial" w:cs="Times New Roman" w:hint="default"/>
        <w:color w:val="auto"/>
        <w:sz w:val="20"/>
        <w:szCs w:val="20"/>
      </w:rPr>
    </w:lvl>
    <w:lvl w:ilvl="2">
      <w:start w:val="1"/>
      <w:numFmt w:val="lowerRoman"/>
      <w:pStyle w:val="NumberBullet3"/>
      <w:lvlText w:val="(%3)"/>
      <w:lvlJc w:val="right"/>
      <w:pPr>
        <w:tabs>
          <w:tab w:val="num" w:pos="1944"/>
        </w:tabs>
        <w:ind w:left="1944" w:hanging="144"/>
      </w:pPr>
      <w:rPr>
        <w:rFonts w:ascii="Arial" w:hAnsi="Arial" w:cs="Times New Roman" w:hint="default"/>
        <w:b w:val="0"/>
        <w:i w:val="0"/>
        <w:color w:val="auto"/>
        <w:sz w:val="20"/>
        <w:szCs w:val="20"/>
      </w:rPr>
    </w:lvl>
    <w:lvl w:ilvl="3">
      <w:start w:val="1"/>
      <w:numFmt w:val="decimal"/>
      <w:lvlText w:val="%4."/>
      <w:lvlJc w:val="left"/>
      <w:pPr>
        <w:tabs>
          <w:tab w:val="num" w:pos="3512"/>
        </w:tabs>
        <w:ind w:left="3512" w:hanging="360"/>
      </w:pPr>
      <w:rPr>
        <w:rFonts w:cs="Times New Roman" w:hint="default"/>
      </w:rPr>
    </w:lvl>
    <w:lvl w:ilvl="4">
      <w:start w:val="1"/>
      <w:numFmt w:val="lowerLetter"/>
      <w:lvlText w:val="%5."/>
      <w:lvlJc w:val="left"/>
      <w:pPr>
        <w:tabs>
          <w:tab w:val="num" w:pos="4232"/>
        </w:tabs>
        <w:ind w:left="4232" w:hanging="360"/>
      </w:pPr>
      <w:rPr>
        <w:rFonts w:cs="Times New Roman" w:hint="default"/>
      </w:rPr>
    </w:lvl>
    <w:lvl w:ilvl="5">
      <w:start w:val="1"/>
      <w:numFmt w:val="lowerRoman"/>
      <w:lvlText w:val="%6."/>
      <w:lvlJc w:val="right"/>
      <w:pPr>
        <w:tabs>
          <w:tab w:val="num" w:pos="4952"/>
        </w:tabs>
        <w:ind w:left="4952" w:hanging="180"/>
      </w:pPr>
      <w:rPr>
        <w:rFonts w:cs="Times New Roman" w:hint="default"/>
      </w:rPr>
    </w:lvl>
    <w:lvl w:ilvl="6">
      <w:start w:val="1"/>
      <w:numFmt w:val="decimal"/>
      <w:lvlText w:val="%7."/>
      <w:lvlJc w:val="left"/>
      <w:pPr>
        <w:tabs>
          <w:tab w:val="num" w:pos="5672"/>
        </w:tabs>
        <w:ind w:left="5672" w:hanging="360"/>
      </w:pPr>
      <w:rPr>
        <w:rFonts w:cs="Times New Roman" w:hint="default"/>
      </w:rPr>
    </w:lvl>
    <w:lvl w:ilvl="7">
      <w:start w:val="1"/>
      <w:numFmt w:val="lowerLetter"/>
      <w:lvlText w:val="%8."/>
      <w:lvlJc w:val="left"/>
      <w:pPr>
        <w:tabs>
          <w:tab w:val="num" w:pos="6392"/>
        </w:tabs>
        <w:ind w:left="6392" w:hanging="360"/>
      </w:pPr>
      <w:rPr>
        <w:rFonts w:cs="Times New Roman" w:hint="default"/>
      </w:rPr>
    </w:lvl>
    <w:lvl w:ilvl="8">
      <w:start w:val="1"/>
      <w:numFmt w:val="lowerRoman"/>
      <w:lvlText w:val="%9."/>
      <w:lvlJc w:val="right"/>
      <w:pPr>
        <w:tabs>
          <w:tab w:val="num" w:pos="7112"/>
        </w:tabs>
        <w:ind w:left="7112" w:hanging="180"/>
      </w:pPr>
      <w:rPr>
        <w:rFonts w:cs="Times New Roman" w:hint="default"/>
      </w:rPr>
    </w:lvl>
  </w:abstractNum>
  <w:abstractNum w:abstractNumId="68" w15:restartNumberingAfterBreak="0">
    <w:nsid w:val="7C9F3EE7"/>
    <w:multiLevelType w:val="hybridMultilevel"/>
    <w:tmpl w:val="C15CA0EA"/>
    <w:lvl w:ilvl="0" w:tplc="9D5C396E">
      <w:start w:val="1"/>
      <w:numFmt w:val="lowerRoman"/>
      <w:pStyle w:val="ListContinue"/>
      <w:lvlText w:val="(%1)"/>
      <w:lvlJc w:val="left"/>
      <w:pPr>
        <w:ind w:left="1211" w:hanging="360"/>
      </w:pPr>
      <w:rPr>
        <w:rFonts w:cs="Times New Roman"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D592223"/>
    <w:multiLevelType w:val="multilevel"/>
    <w:tmpl w:val="BA2475D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70" w15:restartNumberingAfterBreak="0">
    <w:nsid w:val="7F180ADE"/>
    <w:multiLevelType w:val="hybridMultilevel"/>
    <w:tmpl w:val="2F8455C8"/>
    <w:lvl w:ilvl="0" w:tplc="E4645A86">
      <w:start w:val="1"/>
      <w:numFmt w:val="lowerLetter"/>
      <w:pStyle w:val="Table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34790201">
    <w:abstractNumId w:val="5"/>
  </w:num>
  <w:num w:numId="2" w16cid:durableId="1439523285">
    <w:abstractNumId w:val="53"/>
  </w:num>
  <w:num w:numId="3" w16cid:durableId="873035316">
    <w:abstractNumId w:val="67"/>
  </w:num>
  <w:num w:numId="4" w16cid:durableId="1800807257">
    <w:abstractNumId w:val="39"/>
  </w:num>
  <w:num w:numId="5" w16cid:durableId="824782982">
    <w:abstractNumId w:val="56"/>
  </w:num>
  <w:num w:numId="6" w16cid:durableId="1441414191">
    <w:abstractNumId w:val="59"/>
  </w:num>
  <w:num w:numId="7" w16cid:durableId="357705604">
    <w:abstractNumId w:val="7"/>
  </w:num>
  <w:num w:numId="8" w16cid:durableId="707729368">
    <w:abstractNumId w:val="31"/>
  </w:num>
  <w:num w:numId="9" w16cid:durableId="881484144">
    <w:abstractNumId w:val="55"/>
  </w:num>
  <w:num w:numId="10" w16cid:durableId="1830095497">
    <w:abstractNumId w:val="48"/>
  </w:num>
  <w:num w:numId="11" w16cid:durableId="161163730">
    <w:abstractNumId w:val="68"/>
  </w:num>
  <w:num w:numId="12" w16cid:durableId="1567639978">
    <w:abstractNumId w:val="22"/>
  </w:num>
  <w:num w:numId="13" w16cid:durableId="527986171">
    <w:abstractNumId w:val="36"/>
  </w:num>
  <w:num w:numId="14" w16cid:durableId="763888780">
    <w:abstractNumId w:val="16"/>
  </w:num>
  <w:num w:numId="15" w16cid:durableId="1052850104">
    <w:abstractNumId w:val="10"/>
  </w:num>
  <w:num w:numId="16" w16cid:durableId="1209223129">
    <w:abstractNumId w:val="40"/>
  </w:num>
  <w:num w:numId="17" w16cid:durableId="229851922">
    <w:abstractNumId w:val="4"/>
  </w:num>
  <w:num w:numId="18" w16cid:durableId="516771800">
    <w:abstractNumId w:val="60"/>
  </w:num>
  <w:num w:numId="19" w16cid:durableId="631204943">
    <w:abstractNumId w:val="3"/>
  </w:num>
  <w:num w:numId="20" w16cid:durableId="1153109235">
    <w:abstractNumId w:val="58"/>
  </w:num>
  <w:num w:numId="21" w16cid:durableId="237634948">
    <w:abstractNumId w:val="19"/>
  </w:num>
  <w:num w:numId="22" w16cid:durableId="767428647">
    <w:abstractNumId w:val="28"/>
  </w:num>
  <w:num w:numId="23" w16cid:durableId="7366651">
    <w:abstractNumId w:val="30"/>
  </w:num>
  <w:num w:numId="24" w16cid:durableId="756747890">
    <w:abstractNumId w:val="23"/>
  </w:num>
  <w:num w:numId="25" w16cid:durableId="741950177">
    <w:abstractNumId w:val="64"/>
  </w:num>
  <w:num w:numId="26" w16cid:durableId="831217619">
    <w:abstractNumId w:val="15"/>
  </w:num>
  <w:num w:numId="27" w16cid:durableId="1546985687">
    <w:abstractNumId w:val="2"/>
  </w:num>
  <w:num w:numId="28" w16cid:durableId="859705290">
    <w:abstractNumId w:val="38"/>
  </w:num>
  <w:num w:numId="29" w16cid:durableId="433787683">
    <w:abstractNumId w:val="44"/>
  </w:num>
  <w:num w:numId="30" w16cid:durableId="171460362">
    <w:abstractNumId w:val="42"/>
  </w:num>
  <w:num w:numId="31" w16cid:durableId="781464043">
    <w:abstractNumId w:val="27"/>
  </w:num>
  <w:num w:numId="32" w16cid:durableId="826633492">
    <w:abstractNumId w:val="29"/>
  </w:num>
  <w:num w:numId="33" w16cid:durableId="646739003">
    <w:abstractNumId w:val="20"/>
  </w:num>
  <w:num w:numId="34" w16cid:durableId="749812370">
    <w:abstractNumId w:val="24"/>
  </w:num>
  <w:num w:numId="35" w16cid:durableId="1850673845">
    <w:abstractNumId w:val="9"/>
  </w:num>
  <w:num w:numId="36" w16cid:durableId="1140002737">
    <w:abstractNumId w:val="17"/>
  </w:num>
  <w:num w:numId="37" w16cid:durableId="440341272">
    <w:abstractNumId w:val="61"/>
  </w:num>
  <w:num w:numId="38" w16cid:durableId="33433499">
    <w:abstractNumId w:val="66"/>
  </w:num>
  <w:num w:numId="39" w16cid:durableId="1599214204">
    <w:abstractNumId w:val="13"/>
  </w:num>
  <w:num w:numId="40" w16cid:durableId="1480463079">
    <w:abstractNumId w:val="46"/>
  </w:num>
  <w:num w:numId="41" w16cid:durableId="1592009896">
    <w:abstractNumId w:val="49"/>
  </w:num>
  <w:num w:numId="42" w16cid:durableId="758596907">
    <w:abstractNumId w:val="52"/>
  </w:num>
  <w:num w:numId="43" w16cid:durableId="1646154541">
    <w:abstractNumId w:val="1"/>
  </w:num>
  <w:num w:numId="44" w16cid:durableId="1690833173">
    <w:abstractNumId w:val="14"/>
  </w:num>
  <w:num w:numId="45" w16cid:durableId="1041903491">
    <w:abstractNumId w:val="6"/>
  </w:num>
  <w:num w:numId="46" w16cid:durableId="1695108467">
    <w:abstractNumId w:val="51"/>
  </w:num>
  <w:num w:numId="47" w16cid:durableId="1974479398">
    <w:abstractNumId w:val="21"/>
  </w:num>
  <w:num w:numId="48" w16cid:durableId="1580284033">
    <w:abstractNumId w:val="54"/>
  </w:num>
  <w:num w:numId="49" w16cid:durableId="1593398162">
    <w:abstractNumId w:val="50"/>
  </w:num>
  <w:num w:numId="50" w16cid:durableId="1091392412">
    <w:abstractNumId w:val="57"/>
  </w:num>
  <w:num w:numId="51" w16cid:durableId="1704019056">
    <w:abstractNumId w:val="33"/>
  </w:num>
  <w:num w:numId="52" w16cid:durableId="271596049">
    <w:abstractNumId w:val="69"/>
  </w:num>
  <w:num w:numId="53" w16cid:durableId="1453403900">
    <w:abstractNumId w:val="43"/>
  </w:num>
  <w:num w:numId="54" w16cid:durableId="461196791">
    <w:abstractNumId w:val="41"/>
  </w:num>
  <w:num w:numId="55" w16cid:durableId="1696154010">
    <w:abstractNumId w:val="12"/>
  </w:num>
  <w:num w:numId="56" w16cid:durableId="572355277">
    <w:abstractNumId w:val="63"/>
  </w:num>
  <w:num w:numId="57" w16cid:durableId="2124418370">
    <w:abstractNumId w:val="47"/>
  </w:num>
  <w:num w:numId="58" w16cid:durableId="1125849658">
    <w:abstractNumId w:val="45"/>
  </w:num>
  <w:num w:numId="59" w16cid:durableId="941692451">
    <w:abstractNumId w:val="37"/>
  </w:num>
  <w:num w:numId="60" w16cid:durableId="1081440930">
    <w:abstractNumId w:val="65"/>
  </w:num>
  <w:num w:numId="61" w16cid:durableId="501624301">
    <w:abstractNumId w:val="62"/>
  </w:num>
  <w:num w:numId="62" w16cid:durableId="1331903733">
    <w:abstractNumId w:val="0"/>
  </w:num>
  <w:num w:numId="63" w16cid:durableId="106043787">
    <w:abstractNumId w:val="8"/>
  </w:num>
  <w:num w:numId="64" w16cid:durableId="1366102621">
    <w:abstractNumId w:val="35"/>
  </w:num>
  <w:num w:numId="65" w16cid:durableId="446855800">
    <w:abstractNumId w:val="25"/>
  </w:num>
  <w:num w:numId="66" w16cid:durableId="1892037706">
    <w:abstractNumId w:val="34"/>
  </w:num>
  <w:num w:numId="67" w16cid:durableId="592325509">
    <w:abstractNumId w:val="32"/>
  </w:num>
  <w:num w:numId="68" w16cid:durableId="1406536624">
    <w:abstractNumId w:val="26"/>
  </w:num>
  <w:num w:numId="69" w16cid:durableId="304815609">
    <w:abstractNumId w:val="11"/>
  </w:num>
  <w:num w:numId="70" w16cid:durableId="1377044861">
    <w:abstractNumId w:val="7"/>
    <w:lvlOverride w:ilvl="0">
      <w:startOverride w:val="1"/>
    </w:lvlOverride>
  </w:num>
  <w:num w:numId="71" w16cid:durableId="912741693">
    <w:abstractNumId w:val="0"/>
    <w:lvlOverride w:ilvl="0">
      <w:startOverride w:val="1"/>
    </w:lvlOverride>
  </w:num>
  <w:num w:numId="72" w16cid:durableId="257174957">
    <w:abstractNumId w:val="70"/>
  </w:num>
  <w:num w:numId="73" w16cid:durableId="1022976822">
    <w:abstractNumId w:val="70"/>
    <w:lvlOverride w:ilvl="0">
      <w:startOverride w:val="1"/>
    </w:lvlOverride>
  </w:num>
  <w:num w:numId="74" w16cid:durableId="575088262">
    <w:abstractNumId w:val="70"/>
    <w:lvlOverride w:ilvl="0">
      <w:startOverride w:val="1"/>
    </w:lvlOverride>
  </w:num>
  <w:num w:numId="75" w16cid:durableId="354888547">
    <w:abstractNumId w:val="70"/>
    <w:lvlOverride w:ilvl="0">
      <w:startOverride w:val="1"/>
    </w:lvlOverride>
  </w:num>
  <w:num w:numId="76" w16cid:durableId="414977916">
    <w:abstractNumId w:val="70"/>
    <w:lvlOverride w:ilvl="0">
      <w:startOverride w:val="1"/>
    </w:lvlOverride>
  </w:num>
  <w:num w:numId="77" w16cid:durableId="1798789191">
    <w:abstractNumId w:val="70"/>
    <w:lvlOverride w:ilvl="0">
      <w:startOverride w:val="1"/>
    </w:lvlOverride>
  </w:num>
  <w:num w:numId="78" w16cid:durableId="595404193">
    <w:abstractNumId w:val="70"/>
    <w:lvlOverride w:ilvl="0">
      <w:startOverride w:val="1"/>
    </w:lvlOverride>
  </w:num>
  <w:num w:numId="79" w16cid:durableId="1201093200">
    <w:abstractNumId w:val="70"/>
    <w:lvlOverride w:ilvl="0">
      <w:startOverride w:val="1"/>
    </w:lvlOverride>
  </w:num>
  <w:num w:numId="80" w16cid:durableId="379212553">
    <w:abstractNumId w:val="70"/>
    <w:lvlOverride w:ilvl="0">
      <w:startOverride w:val="1"/>
    </w:lvlOverride>
  </w:num>
  <w:num w:numId="81" w16cid:durableId="1210340790">
    <w:abstractNumId w:val="70"/>
    <w:lvlOverride w:ilvl="0">
      <w:startOverride w:val="1"/>
    </w:lvlOverride>
  </w:num>
  <w:num w:numId="82" w16cid:durableId="674693529">
    <w:abstractNumId w:val="70"/>
    <w:lvlOverride w:ilvl="0">
      <w:startOverride w:val="1"/>
    </w:lvlOverride>
  </w:num>
  <w:num w:numId="83" w16cid:durableId="1571454352">
    <w:abstractNumId w:val="70"/>
    <w:lvlOverride w:ilvl="0">
      <w:startOverride w:val="1"/>
    </w:lvlOverride>
  </w:num>
  <w:num w:numId="84" w16cid:durableId="405226999">
    <w:abstractNumId w:val="70"/>
    <w:lvlOverride w:ilvl="0">
      <w:startOverride w:val="1"/>
    </w:lvlOverride>
  </w:num>
  <w:num w:numId="85" w16cid:durableId="1694190228">
    <w:abstractNumId w:val="70"/>
    <w:lvlOverride w:ilvl="0">
      <w:startOverride w:val="1"/>
    </w:lvlOverride>
  </w:num>
  <w:num w:numId="86" w16cid:durableId="1887333887">
    <w:abstractNumId w:val="70"/>
    <w:lvlOverride w:ilvl="0">
      <w:startOverride w:val="1"/>
    </w:lvlOverride>
  </w:num>
  <w:num w:numId="87" w16cid:durableId="1901355750">
    <w:abstractNumId w:val="70"/>
    <w:lvlOverride w:ilvl="0">
      <w:startOverride w:val="1"/>
    </w:lvlOverride>
  </w:num>
  <w:num w:numId="88" w16cid:durableId="1050543628">
    <w:abstractNumId w:val="70"/>
    <w:lvlOverride w:ilvl="0">
      <w:startOverride w:val="1"/>
    </w:lvlOverride>
  </w:num>
  <w:num w:numId="89" w16cid:durableId="177626039">
    <w:abstractNumId w:val="70"/>
    <w:lvlOverride w:ilvl="0">
      <w:startOverride w:val="1"/>
    </w:lvlOverride>
  </w:num>
  <w:num w:numId="90" w16cid:durableId="1789350451">
    <w:abstractNumId w:val="70"/>
    <w:lvlOverride w:ilvl="0">
      <w:startOverride w:val="1"/>
    </w:lvlOverride>
  </w:num>
  <w:num w:numId="91" w16cid:durableId="1046757711">
    <w:abstractNumId w:val="70"/>
    <w:lvlOverride w:ilvl="0">
      <w:startOverride w:val="1"/>
    </w:lvlOverride>
  </w:num>
  <w:num w:numId="92" w16cid:durableId="1253054445">
    <w:abstractNumId w:val="70"/>
    <w:lvlOverride w:ilvl="0">
      <w:startOverride w:val="1"/>
    </w:lvlOverride>
  </w:num>
  <w:num w:numId="93" w16cid:durableId="1281958535">
    <w:abstractNumId w:val="70"/>
    <w:lvlOverride w:ilvl="0">
      <w:startOverride w:val="1"/>
    </w:lvlOverride>
  </w:num>
  <w:num w:numId="94" w16cid:durableId="691614632">
    <w:abstractNumId w:val="70"/>
    <w:lvlOverride w:ilvl="0">
      <w:startOverride w:val="1"/>
    </w:lvlOverride>
  </w:num>
  <w:num w:numId="95" w16cid:durableId="1634628610">
    <w:abstractNumId w:val="70"/>
    <w:lvlOverride w:ilvl="0">
      <w:startOverride w:val="1"/>
    </w:lvlOverride>
  </w:num>
  <w:num w:numId="96" w16cid:durableId="296035267">
    <w:abstractNumId w:val="70"/>
    <w:lvlOverride w:ilvl="0">
      <w:startOverride w:val="1"/>
    </w:lvlOverride>
  </w:num>
  <w:num w:numId="97" w16cid:durableId="1704984802">
    <w:abstractNumId w:val="70"/>
    <w:lvlOverride w:ilvl="0">
      <w:startOverride w:val="1"/>
    </w:lvlOverride>
  </w:num>
  <w:num w:numId="98" w16cid:durableId="913975192">
    <w:abstractNumId w:val="70"/>
    <w:lvlOverride w:ilvl="0">
      <w:startOverride w:val="1"/>
    </w:lvlOverride>
  </w:num>
  <w:num w:numId="99" w16cid:durableId="190919428">
    <w:abstractNumId w:val="70"/>
    <w:lvlOverride w:ilvl="0">
      <w:startOverride w:val="1"/>
    </w:lvlOverride>
  </w:num>
  <w:num w:numId="100" w16cid:durableId="956565024">
    <w:abstractNumId w:val="70"/>
    <w:lvlOverride w:ilvl="0">
      <w:startOverride w:val="1"/>
    </w:lvlOverride>
  </w:num>
  <w:num w:numId="101" w16cid:durableId="851794744">
    <w:abstractNumId w:val="70"/>
    <w:lvlOverride w:ilvl="0">
      <w:startOverride w:val="1"/>
    </w:lvlOverride>
  </w:num>
  <w:num w:numId="102" w16cid:durableId="646323996">
    <w:abstractNumId w:val="70"/>
    <w:lvlOverride w:ilvl="0">
      <w:startOverride w:val="1"/>
    </w:lvlOverride>
  </w:num>
  <w:num w:numId="103" w16cid:durableId="136918328">
    <w:abstractNumId w:val="70"/>
    <w:lvlOverride w:ilvl="0">
      <w:startOverride w:val="1"/>
    </w:lvlOverride>
  </w:num>
  <w:num w:numId="104" w16cid:durableId="542211403">
    <w:abstractNumId w:val="70"/>
    <w:lvlOverride w:ilvl="0">
      <w:startOverride w:val="1"/>
    </w:lvlOverride>
  </w:num>
  <w:num w:numId="105" w16cid:durableId="1396780383">
    <w:abstractNumId w:val="70"/>
    <w:lvlOverride w:ilvl="0">
      <w:startOverride w:val="1"/>
    </w:lvlOverride>
  </w:num>
  <w:num w:numId="106" w16cid:durableId="406150774">
    <w:abstractNumId w:val="70"/>
    <w:lvlOverride w:ilvl="0">
      <w:startOverride w:val="1"/>
    </w:lvlOverride>
  </w:num>
  <w:num w:numId="107" w16cid:durableId="961300671">
    <w:abstractNumId w:val="70"/>
    <w:lvlOverride w:ilvl="0">
      <w:startOverride w:val="1"/>
    </w:lvlOverride>
  </w:num>
  <w:num w:numId="108" w16cid:durableId="1454909353">
    <w:abstractNumId w:val="70"/>
    <w:lvlOverride w:ilvl="0">
      <w:startOverride w:val="1"/>
    </w:lvlOverride>
  </w:num>
  <w:num w:numId="109" w16cid:durableId="707532620">
    <w:abstractNumId w:val="70"/>
    <w:lvlOverride w:ilvl="0">
      <w:startOverride w:val="1"/>
    </w:lvlOverride>
  </w:num>
  <w:num w:numId="110" w16cid:durableId="592856560">
    <w:abstractNumId w:val="70"/>
    <w:lvlOverride w:ilvl="0">
      <w:startOverride w:val="1"/>
    </w:lvlOverride>
  </w:num>
  <w:num w:numId="111" w16cid:durableId="1072969064">
    <w:abstractNumId w:val="18"/>
  </w:num>
  <w:num w:numId="112" w16cid:durableId="783768671">
    <w:abstractNumId w:val="18"/>
  </w:num>
  <w:num w:numId="113" w16cid:durableId="1382439733">
    <w:abstractNumId w:val="18"/>
  </w:num>
  <w:num w:numId="114" w16cid:durableId="1165899509">
    <w:abstractNumId w:val="18"/>
  </w:num>
  <w:num w:numId="115" w16cid:durableId="249243584">
    <w:abstractNumId w:val="31"/>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C1D"/>
    <w:rsid w:val="0000017C"/>
    <w:rsid w:val="00000421"/>
    <w:rsid w:val="00000568"/>
    <w:rsid w:val="000009A7"/>
    <w:rsid w:val="0000142C"/>
    <w:rsid w:val="000014F7"/>
    <w:rsid w:val="00001A61"/>
    <w:rsid w:val="00001C6B"/>
    <w:rsid w:val="00001D2F"/>
    <w:rsid w:val="00001F5F"/>
    <w:rsid w:val="0000218B"/>
    <w:rsid w:val="000022E0"/>
    <w:rsid w:val="000025D2"/>
    <w:rsid w:val="000026B6"/>
    <w:rsid w:val="00003216"/>
    <w:rsid w:val="000034AF"/>
    <w:rsid w:val="000039CE"/>
    <w:rsid w:val="00003C13"/>
    <w:rsid w:val="00003F17"/>
    <w:rsid w:val="0000405C"/>
    <w:rsid w:val="000045B9"/>
    <w:rsid w:val="00004F4B"/>
    <w:rsid w:val="00005086"/>
    <w:rsid w:val="000053A4"/>
    <w:rsid w:val="00005491"/>
    <w:rsid w:val="00005D14"/>
    <w:rsid w:val="0000647C"/>
    <w:rsid w:val="00006521"/>
    <w:rsid w:val="0000656D"/>
    <w:rsid w:val="00006CD5"/>
    <w:rsid w:val="00006F4B"/>
    <w:rsid w:val="0000773C"/>
    <w:rsid w:val="000079C7"/>
    <w:rsid w:val="00007ABB"/>
    <w:rsid w:val="00007C46"/>
    <w:rsid w:val="00010084"/>
    <w:rsid w:val="000100DD"/>
    <w:rsid w:val="0001041B"/>
    <w:rsid w:val="000104A8"/>
    <w:rsid w:val="00010C71"/>
    <w:rsid w:val="00010FE9"/>
    <w:rsid w:val="00011B24"/>
    <w:rsid w:val="00011D89"/>
    <w:rsid w:val="00011E0D"/>
    <w:rsid w:val="00011E1A"/>
    <w:rsid w:val="0001221F"/>
    <w:rsid w:val="000124B5"/>
    <w:rsid w:val="000124F4"/>
    <w:rsid w:val="000126D9"/>
    <w:rsid w:val="00012D57"/>
    <w:rsid w:val="000130EA"/>
    <w:rsid w:val="00013232"/>
    <w:rsid w:val="00013321"/>
    <w:rsid w:val="00013A33"/>
    <w:rsid w:val="00013AA9"/>
    <w:rsid w:val="000140B8"/>
    <w:rsid w:val="000143C3"/>
    <w:rsid w:val="00014515"/>
    <w:rsid w:val="00014740"/>
    <w:rsid w:val="000148C1"/>
    <w:rsid w:val="00014B87"/>
    <w:rsid w:val="00014CB9"/>
    <w:rsid w:val="00015329"/>
    <w:rsid w:val="00015840"/>
    <w:rsid w:val="00015A08"/>
    <w:rsid w:val="00015BD3"/>
    <w:rsid w:val="00015E0C"/>
    <w:rsid w:val="00015FC1"/>
    <w:rsid w:val="00016221"/>
    <w:rsid w:val="00016851"/>
    <w:rsid w:val="00016C13"/>
    <w:rsid w:val="00016E75"/>
    <w:rsid w:val="00016F4E"/>
    <w:rsid w:val="000173E4"/>
    <w:rsid w:val="0001743F"/>
    <w:rsid w:val="00017840"/>
    <w:rsid w:val="00017FEA"/>
    <w:rsid w:val="000200AA"/>
    <w:rsid w:val="000200B0"/>
    <w:rsid w:val="000203DF"/>
    <w:rsid w:val="00020486"/>
    <w:rsid w:val="0002052D"/>
    <w:rsid w:val="00020538"/>
    <w:rsid w:val="00020543"/>
    <w:rsid w:val="00020AC2"/>
    <w:rsid w:val="00020C25"/>
    <w:rsid w:val="00021048"/>
    <w:rsid w:val="000211FD"/>
    <w:rsid w:val="00021206"/>
    <w:rsid w:val="00021966"/>
    <w:rsid w:val="00021B1A"/>
    <w:rsid w:val="00021DD0"/>
    <w:rsid w:val="000220A1"/>
    <w:rsid w:val="00022B03"/>
    <w:rsid w:val="00022B7B"/>
    <w:rsid w:val="00022E67"/>
    <w:rsid w:val="0002336C"/>
    <w:rsid w:val="00023705"/>
    <w:rsid w:val="00023963"/>
    <w:rsid w:val="00024518"/>
    <w:rsid w:val="00024545"/>
    <w:rsid w:val="0002455A"/>
    <w:rsid w:val="0002469B"/>
    <w:rsid w:val="0002477A"/>
    <w:rsid w:val="00024BFC"/>
    <w:rsid w:val="000254C3"/>
    <w:rsid w:val="000255D6"/>
    <w:rsid w:val="000258A9"/>
    <w:rsid w:val="00025BA4"/>
    <w:rsid w:val="0002653B"/>
    <w:rsid w:val="00026C87"/>
    <w:rsid w:val="00026FA2"/>
    <w:rsid w:val="000270A1"/>
    <w:rsid w:val="000272B8"/>
    <w:rsid w:val="000272D3"/>
    <w:rsid w:val="000275FA"/>
    <w:rsid w:val="0002773E"/>
    <w:rsid w:val="00027C53"/>
    <w:rsid w:val="000300C6"/>
    <w:rsid w:val="00030900"/>
    <w:rsid w:val="00030AB8"/>
    <w:rsid w:val="00030C1A"/>
    <w:rsid w:val="00030D07"/>
    <w:rsid w:val="00030E47"/>
    <w:rsid w:val="000312C7"/>
    <w:rsid w:val="0003158B"/>
    <w:rsid w:val="000318C0"/>
    <w:rsid w:val="00031C1D"/>
    <w:rsid w:val="00032350"/>
    <w:rsid w:val="00032720"/>
    <w:rsid w:val="00032779"/>
    <w:rsid w:val="00032BD5"/>
    <w:rsid w:val="00032DAA"/>
    <w:rsid w:val="0003313E"/>
    <w:rsid w:val="000339AE"/>
    <w:rsid w:val="000339E8"/>
    <w:rsid w:val="00033B2B"/>
    <w:rsid w:val="00034171"/>
    <w:rsid w:val="000342B6"/>
    <w:rsid w:val="00034335"/>
    <w:rsid w:val="000344B5"/>
    <w:rsid w:val="00034988"/>
    <w:rsid w:val="00034ADF"/>
    <w:rsid w:val="000350A1"/>
    <w:rsid w:val="00035ACE"/>
    <w:rsid w:val="00035B7A"/>
    <w:rsid w:val="00035E16"/>
    <w:rsid w:val="00035FDB"/>
    <w:rsid w:val="0003673C"/>
    <w:rsid w:val="000368C8"/>
    <w:rsid w:val="00036B5A"/>
    <w:rsid w:val="00036C80"/>
    <w:rsid w:val="00036DD0"/>
    <w:rsid w:val="000378D9"/>
    <w:rsid w:val="00037A13"/>
    <w:rsid w:val="00037DF6"/>
    <w:rsid w:val="000409BF"/>
    <w:rsid w:val="00040A81"/>
    <w:rsid w:val="00040B91"/>
    <w:rsid w:val="00040CBA"/>
    <w:rsid w:val="00040D40"/>
    <w:rsid w:val="00041454"/>
    <w:rsid w:val="00041890"/>
    <w:rsid w:val="000419FC"/>
    <w:rsid w:val="00041A18"/>
    <w:rsid w:val="00041A1A"/>
    <w:rsid w:val="00041A35"/>
    <w:rsid w:val="00041A93"/>
    <w:rsid w:val="00041D54"/>
    <w:rsid w:val="00041E72"/>
    <w:rsid w:val="00041F06"/>
    <w:rsid w:val="00042649"/>
    <w:rsid w:val="00042B55"/>
    <w:rsid w:val="00042BC4"/>
    <w:rsid w:val="00042EAF"/>
    <w:rsid w:val="00042F7D"/>
    <w:rsid w:val="00043046"/>
    <w:rsid w:val="00043304"/>
    <w:rsid w:val="000433E5"/>
    <w:rsid w:val="00043CF6"/>
    <w:rsid w:val="000440F7"/>
    <w:rsid w:val="000447BC"/>
    <w:rsid w:val="000450CA"/>
    <w:rsid w:val="000451E7"/>
    <w:rsid w:val="00045730"/>
    <w:rsid w:val="000458D4"/>
    <w:rsid w:val="00045A52"/>
    <w:rsid w:val="00045A67"/>
    <w:rsid w:val="00045D0D"/>
    <w:rsid w:val="000462E1"/>
    <w:rsid w:val="00046585"/>
    <w:rsid w:val="00046606"/>
    <w:rsid w:val="00046CC8"/>
    <w:rsid w:val="00046D8F"/>
    <w:rsid w:val="00047713"/>
    <w:rsid w:val="00047736"/>
    <w:rsid w:val="00047759"/>
    <w:rsid w:val="0004788C"/>
    <w:rsid w:val="000478F2"/>
    <w:rsid w:val="00047A26"/>
    <w:rsid w:val="00047AA4"/>
    <w:rsid w:val="00047F2D"/>
    <w:rsid w:val="00047F46"/>
    <w:rsid w:val="000500BF"/>
    <w:rsid w:val="000501BF"/>
    <w:rsid w:val="0005058B"/>
    <w:rsid w:val="000505D6"/>
    <w:rsid w:val="00050995"/>
    <w:rsid w:val="00050A27"/>
    <w:rsid w:val="00050E19"/>
    <w:rsid w:val="00050E32"/>
    <w:rsid w:val="0005107D"/>
    <w:rsid w:val="000513C5"/>
    <w:rsid w:val="0005172B"/>
    <w:rsid w:val="00051812"/>
    <w:rsid w:val="000520FF"/>
    <w:rsid w:val="00053528"/>
    <w:rsid w:val="00053A47"/>
    <w:rsid w:val="00053E3B"/>
    <w:rsid w:val="0005402E"/>
    <w:rsid w:val="000540C2"/>
    <w:rsid w:val="00054227"/>
    <w:rsid w:val="000542A0"/>
    <w:rsid w:val="000555FC"/>
    <w:rsid w:val="00055912"/>
    <w:rsid w:val="00055A2C"/>
    <w:rsid w:val="00055B39"/>
    <w:rsid w:val="00055D42"/>
    <w:rsid w:val="00055DE7"/>
    <w:rsid w:val="00055F45"/>
    <w:rsid w:val="00057401"/>
    <w:rsid w:val="000578B4"/>
    <w:rsid w:val="000604E0"/>
    <w:rsid w:val="00060B57"/>
    <w:rsid w:val="00060BF3"/>
    <w:rsid w:val="000614F0"/>
    <w:rsid w:val="00061616"/>
    <w:rsid w:val="00061691"/>
    <w:rsid w:val="00061A47"/>
    <w:rsid w:val="00061AB7"/>
    <w:rsid w:val="00061BF2"/>
    <w:rsid w:val="00061C36"/>
    <w:rsid w:val="00061E09"/>
    <w:rsid w:val="00062A0C"/>
    <w:rsid w:val="00062D33"/>
    <w:rsid w:val="0006328A"/>
    <w:rsid w:val="000638D5"/>
    <w:rsid w:val="0006413E"/>
    <w:rsid w:val="000643E5"/>
    <w:rsid w:val="00064BEB"/>
    <w:rsid w:val="000652B8"/>
    <w:rsid w:val="00065566"/>
    <w:rsid w:val="00065618"/>
    <w:rsid w:val="000656FF"/>
    <w:rsid w:val="0006584D"/>
    <w:rsid w:val="00065DDF"/>
    <w:rsid w:val="00066423"/>
    <w:rsid w:val="00066D6C"/>
    <w:rsid w:val="00066F35"/>
    <w:rsid w:val="00067575"/>
    <w:rsid w:val="0006759A"/>
    <w:rsid w:val="0006787A"/>
    <w:rsid w:val="00067D2F"/>
    <w:rsid w:val="00067E8E"/>
    <w:rsid w:val="00070298"/>
    <w:rsid w:val="0007030B"/>
    <w:rsid w:val="000705BD"/>
    <w:rsid w:val="0007070C"/>
    <w:rsid w:val="00070741"/>
    <w:rsid w:val="00070A87"/>
    <w:rsid w:val="00070B40"/>
    <w:rsid w:val="00071075"/>
    <w:rsid w:val="00071156"/>
    <w:rsid w:val="000712E7"/>
    <w:rsid w:val="000717B0"/>
    <w:rsid w:val="000717F8"/>
    <w:rsid w:val="00071847"/>
    <w:rsid w:val="00071B8E"/>
    <w:rsid w:val="00071EF9"/>
    <w:rsid w:val="0007229E"/>
    <w:rsid w:val="000722A1"/>
    <w:rsid w:val="0007236F"/>
    <w:rsid w:val="00072531"/>
    <w:rsid w:val="00072665"/>
    <w:rsid w:val="000728E8"/>
    <w:rsid w:val="0007301B"/>
    <w:rsid w:val="00073357"/>
    <w:rsid w:val="0007389C"/>
    <w:rsid w:val="00073D81"/>
    <w:rsid w:val="00073EA8"/>
    <w:rsid w:val="00074656"/>
    <w:rsid w:val="000746E2"/>
    <w:rsid w:val="00074DB9"/>
    <w:rsid w:val="00075002"/>
    <w:rsid w:val="000755E6"/>
    <w:rsid w:val="000755F8"/>
    <w:rsid w:val="00075879"/>
    <w:rsid w:val="00075E93"/>
    <w:rsid w:val="000764D2"/>
    <w:rsid w:val="000768C4"/>
    <w:rsid w:val="00076B99"/>
    <w:rsid w:val="00076D6E"/>
    <w:rsid w:val="0007715C"/>
    <w:rsid w:val="00077827"/>
    <w:rsid w:val="00077F42"/>
    <w:rsid w:val="00080154"/>
    <w:rsid w:val="00080538"/>
    <w:rsid w:val="000808CD"/>
    <w:rsid w:val="00080904"/>
    <w:rsid w:val="00080AE4"/>
    <w:rsid w:val="00080C86"/>
    <w:rsid w:val="00080CB1"/>
    <w:rsid w:val="00080CC8"/>
    <w:rsid w:val="00080FA9"/>
    <w:rsid w:val="00081192"/>
    <w:rsid w:val="000814D5"/>
    <w:rsid w:val="00081610"/>
    <w:rsid w:val="00081785"/>
    <w:rsid w:val="00082246"/>
    <w:rsid w:val="0008224D"/>
    <w:rsid w:val="000823CB"/>
    <w:rsid w:val="0008267C"/>
    <w:rsid w:val="00082746"/>
    <w:rsid w:val="0008299F"/>
    <w:rsid w:val="00082EB4"/>
    <w:rsid w:val="00083264"/>
    <w:rsid w:val="00083407"/>
    <w:rsid w:val="00083591"/>
    <w:rsid w:val="00083797"/>
    <w:rsid w:val="00083F7E"/>
    <w:rsid w:val="000840C9"/>
    <w:rsid w:val="00084116"/>
    <w:rsid w:val="0008438D"/>
    <w:rsid w:val="000847A1"/>
    <w:rsid w:val="000848D7"/>
    <w:rsid w:val="00084C35"/>
    <w:rsid w:val="00084C50"/>
    <w:rsid w:val="0008507B"/>
    <w:rsid w:val="00085381"/>
    <w:rsid w:val="000854E0"/>
    <w:rsid w:val="00085832"/>
    <w:rsid w:val="0008618B"/>
    <w:rsid w:val="000861ED"/>
    <w:rsid w:val="000862C7"/>
    <w:rsid w:val="00086332"/>
    <w:rsid w:val="00086588"/>
    <w:rsid w:val="0008680F"/>
    <w:rsid w:val="0008682F"/>
    <w:rsid w:val="00086923"/>
    <w:rsid w:val="00086F83"/>
    <w:rsid w:val="00087181"/>
    <w:rsid w:val="000872B3"/>
    <w:rsid w:val="0008766C"/>
    <w:rsid w:val="0008795A"/>
    <w:rsid w:val="000903D5"/>
    <w:rsid w:val="0009046F"/>
    <w:rsid w:val="00090475"/>
    <w:rsid w:val="00090B34"/>
    <w:rsid w:val="00090E0C"/>
    <w:rsid w:val="000919B7"/>
    <w:rsid w:val="00091B8B"/>
    <w:rsid w:val="00091C5F"/>
    <w:rsid w:val="00091FAF"/>
    <w:rsid w:val="000920AF"/>
    <w:rsid w:val="0009214B"/>
    <w:rsid w:val="000923B1"/>
    <w:rsid w:val="00092475"/>
    <w:rsid w:val="00092AF0"/>
    <w:rsid w:val="00092BA8"/>
    <w:rsid w:val="00093158"/>
    <w:rsid w:val="00093174"/>
    <w:rsid w:val="000943B6"/>
    <w:rsid w:val="000943EB"/>
    <w:rsid w:val="00094764"/>
    <w:rsid w:val="000949BD"/>
    <w:rsid w:val="000949EE"/>
    <w:rsid w:val="00094E6D"/>
    <w:rsid w:val="00094E8F"/>
    <w:rsid w:val="00095080"/>
    <w:rsid w:val="00095433"/>
    <w:rsid w:val="000954E3"/>
    <w:rsid w:val="0009561C"/>
    <w:rsid w:val="00095725"/>
    <w:rsid w:val="0009585D"/>
    <w:rsid w:val="0009643A"/>
    <w:rsid w:val="000967DC"/>
    <w:rsid w:val="00096A89"/>
    <w:rsid w:val="0009743A"/>
    <w:rsid w:val="00097713"/>
    <w:rsid w:val="00097F32"/>
    <w:rsid w:val="000A04C1"/>
    <w:rsid w:val="000A09ED"/>
    <w:rsid w:val="000A0C5D"/>
    <w:rsid w:val="000A0ED4"/>
    <w:rsid w:val="000A16F5"/>
    <w:rsid w:val="000A17D3"/>
    <w:rsid w:val="000A1A3D"/>
    <w:rsid w:val="000A1E29"/>
    <w:rsid w:val="000A2014"/>
    <w:rsid w:val="000A23E9"/>
    <w:rsid w:val="000A26F0"/>
    <w:rsid w:val="000A2B1F"/>
    <w:rsid w:val="000A30B6"/>
    <w:rsid w:val="000A30CC"/>
    <w:rsid w:val="000A316F"/>
    <w:rsid w:val="000A3183"/>
    <w:rsid w:val="000A338F"/>
    <w:rsid w:val="000A3754"/>
    <w:rsid w:val="000A387A"/>
    <w:rsid w:val="000A4186"/>
    <w:rsid w:val="000A452D"/>
    <w:rsid w:val="000A489C"/>
    <w:rsid w:val="000A519E"/>
    <w:rsid w:val="000A56C0"/>
    <w:rsid w:val="000A5B89"/>
    <w:rsid w:val="000A5B9B"/>
    <w:rsid w:val="000A5C84"/>
    <w:rsid w:val="000A5D63"/>
    <w:rsid w:val="000A5E19"/>
    <w:rsid w:val="000A5EC7"/>
    <w:rsid w:val="000A5F11"/>
    <w:rsid w:val="000A6148"/>
    <w:rsid w:val="000A6649"/>
    <w:rsid w:val="000A6682"/>
    <w:rsid w:val="000A66B7"/>
    <w:rsid w:val="000A6B27"/>
    <w:rsid w:val="000A73F9"/>
    <w:rsid w:val="000A75DE"/>
    <w:rsid w:val="000A7788"/>
    <w:rsid w:val="000A7890"/>
    <w:rsid w:val="000A7B38"/>
    <w:rsid w:val="000A7FF1"/>
    <w:rsid w:val="000B0565"/>
    <w:rsid w:val="000B0780"/>
    <w:rsid w:val="000B0B03"/>
    <w:rsid w:val="000B0B61"/>
    <w:rsid w:val="000B0ECB"/>
    <w:rsid w:val="000B1013"/>
    <w:rsid w:val="000B11F1"/>
    <w:rsid w:val="000B1419"/>
    <w:rsid w:val="000B17C6"/>
    <w:rsid w:val="000B18E4"/>
    <w:rsid w:val="000B1BC6"/>
    <w:rsid w:val="000B1CD9"/>
    <w:rsid w:val="000B1D5D"/>
    <w:rsid w:val="000B214F"/>
    <w:rsid w:val="000B24C9"/>
    <w:rsid w:val="000B2534"/>
    <w:rsid w:val="000B2D58"/>
    <w:rsid w:val="000B3033"/>
    <w:rsid w:val="000B3269"/>
    <w:rsid w:val="000B3321"/>
    <w:rsid w:val="000B338F"/>
    <w:rsid w:val="000B33E7"/>
    <w:rsid w:val="000B3661"/>
    <w:rsid w:val="000B3C0B"/>
    <w:rsid w:val="000B3C54"/>
    <w:rsid w:val="000B3CCC"/>
    <w:rsid w:val="000B4D7E"/>
    <w:rsid w:val="000B4F46"/>
    <w:rsid w:val="000B53D4"/>
    <w:rsid w:val="000B55A2"/>
    <w:rsid w:val="000B5B63"/>
    <w:rsid w:val="000B611A"/>
    <w:rsid w:val="000B63B3"/>
    <w:rsid w:val="000B63BC"/>
    <w:rsid w:val="000B6556"/>
    <w:rsid w:val="000B6DE0"/>
    <w:rsid w:val="000B6EA4"/>
    <w:rsid w:val="000B7047"/>
    <w:rsid w:val="000B75E0"/>
    <w:rsid w:val="000B7CAE"/>
    <w:rsid w:val="000C09D0"/>
    <w:rsid w:val="000C0E02"/>
    <w:rsid w:val="000C10B2"/>
    <w:rsid w:val="000C145A"/>
    <w:rsid w:val="000C180B"/>
    <w:rsid w:val="000C1B03"/>
    <w:rsid w:val="000C1DA2"/>
    <w:rsid w:val="000C1DCE"/>
    <w:rsid w:val="000C1F18"/>
    <w:rsid w:val="000C223E"/>
    <w:rsid w:val="000C26FF"/>
    <w:rsid w:val="000C2778"/>
    <w:rsid w:val="000C292E"/>
    <w:rsid w:val="000C29E5"/>
    <w:rsid w:val="000C2E2F"/>
    <w:rsid w:val="000C30BB"/>
    <w:rsid w:val="000C3132"/>
    <w:rsid w:val="000C3704"/>
    <w:rsid w:val="000C3808"/>
    <w:rsid w:val="000C386E"/>
    <w:rsid w:val="000C403A"/>
    <w:rsid w:val="000C4508"/>
    <w:rsid w:val="000C47EA"/>
    <w:rsid w:val="000C4E19"/>
    <w:rsid w:val="000C4F04"/>
    <w:rsid w:val="000C4F0A"/>
    <w:rsid w:val="000C5712"/>
    <w:rsid w:val="000C59AB"/>
    <w:rsid w:val="000C5AAE"/>
    <w:rsid w:val="000C5DFE"/>
    <w:rsid w:val="000C60C9"/>
    <w:rsid w:val="000C654A"/>
    <w:rsid w:val="000C65ED"/>
    <w:rsid w:val="000C6A37"/>
    <w:rsid w:val="000C6C37"/>
    <w:rsid w:val="000C713B"/>
    <w:rsid w:val="000C75A1"/>
    <w:rsid w:val="000C76A4"/>
    <w:rsid w:val="000C7C4E"/>
    <w:rsid w:val="000C7DBF"/>
    <w:rsid w:val="000C7E93"/>
    <w:rsid w:val="000C7EBF"/>
    <w:rsid w:val="000D0765"/>
    <w:rsid w:val="000D08D1"/>
    <w:rsid w:val="000D0F1B"/>
    <w:rsid w:val="000D1119"/>
    <w:rsid w:val="000D1123"/>
    <w:rsid w:val="000D112F"/>
    <w:rsid w:val="000D1AFB"/>
    <w:rsid w:val="000D23E7"/>
    <w:rsid w:val="000D2614"/>
    <w:rsid w:val="000D2B6B"/>
    <w:rsid w:val="000D2C26"/>
    <w:rsid w:val="000D2F7D"/>
    <w:rsid w:val="000D306C"/>
    <w:rsid w:val="000D3350"/>
    <w:rsid w:val="000D377A"/>
    <w:rsid w:val="000D3C3B"/>
    <w:rsid w:val="000D3CF0"/>
    <w:rsid w:val="000D3F95"/>
    <w:rsid w:val="000D437F"/>
    <w:rsid w:val="000D46D2"/>
    <w:rsid w:val="000D48CE"/>
    <w:rsid w:val="000D4DAB"/>
    <w:rsid w:val="000D5093"/>
    <w:rsid w:val="000D5158"/>
    <w:rsid w:val="000D517F"/>
    <w:rsid w:val="000D54A6"/>
    <w:rsid w:val="000D5617"/>
    <w:rsid w:val="000D562F"/>
    <w:rsid w:val="000D56DE"/>
    <w:rsid w:val="000D57A8"/>
    <w:rsid w:val="000D5843"/>
    <w:rsid w:val="000D5EE9"/>
    <w:rsid w:val="000D5F52"/>
    <w:rsid w:val="000D61F2"/>
    <w:rsid w:val="000D6AAE"/>
    <w:rsid w:val="000D6EF3"/>
    <w:rsid w:val="000D7790"/>
    <w:rsid w:val="000D784E"/>
    <w:rsid w:val="000D79B9"/>
    <w:rsid w:val="000D79D5"/>
    <w:rsid w:val="000D7DB6"/>
    <w:rsid w:val="000E0252"/>
    <w:rsid w:val="000E04CF"/>
    <w:rsid w:val="000E0552"/>
    <w:rsid w:val="000E098E"/>
    <w:rsid w:val="000E0C40"/>
    <w:rsid w:val="000E125E"/>
    <w:rsid w:val="000E13B5"/>
    <w:rsid w:val="000E156E"/>
    <w:rsid w:val="000E15E7"/>
    <w:rsid w:val="000E1963"/>
    <w:rsid w:val="000E1F91"/>
    <w:rsid w:val="000E21E8"/>
    <w:rsid w:val="000E238E"/>
    <w:rsid w:val="000E29D8"/>
    <w:rsid w:val="000E2DFC"/>
    <w:rsid w:val="000E2E39"/>
    <w:rsid w:val="000E30C6"/>
    <w:rsid w:val="000E326A"/>
    <w:rsid w:val="000E3435"/>
    <w:rsid w:val="000E3868"/>
    <w:rsid w:val="000E3BE8"/>
    <w:rsid w:val="000E3DBE"/>
    <w:rsid w:val="000E3FF7"/>
    <w:rsid w:val="000E4045"/>
    <w:rsid w:val="000E4564"/>
    <w:rsid w:val="000E478F"/>
    <w:rsid w:val="000E4868"/>
    <w:rsid w:val="000E486C"/>
    <w:rsid w:val="000E4888"/>
    <w:rsid w:val="000E4A86"/>
    <w:rsid w:val="000E4B84"/>
    <w:rsid w:val="000E54E6"/>
    <w:rsid w:val="000E5674"/>
    <w:rsid w:val="000E5D15"/>
    <w:rsid w:val="000E6821"/>
    <w:rsid w:val="000E6D4C"/>
    <w:rsid w:val="000E6EF7"/>
    <w:rsid w:val="000E6F5E"/>
    <w:rsid w:val="000E7147"/>
    <w:rsid w:val="000E76F4"/>
    <w:rsid w:val="000E7A87"/>
    <w:rsid w:val="000E7B08"/>
    <w:rsid w:val="000E7BFE"/>
    <w:rsid w:val="000F00D5"/>
    <w:rsid w:val="000F03ED"/>
    <w:rsid w:val="000F090F"/>
    <w:rsid w:val="000F149F"/>
    <w:rsid w:val="000F1BB1"/>
    <w:rsid w:val="000F237A"/>
    <w:rsid w:val="000F25B7"/>
    <w:rsid w:val="000F287F"/>
    <w:rsid w:val="000F2BCB"/>
    <w:rsid w:val="000F386C"/>
    <w:rsid w:val="000F4042"/>
    <w:rsid w:val="000F40DF"/>
    <w:rsid w:val="000F4156"/>
    <w:rsid w:val="000F4197"/>
    <w:rsid w:val="000F44C8"/>
    <w:rsid w:val="000F4B4C"/>
    <w:rsid w:val="000F4C1B"/>
    <w:rsid w:val="000F4DC8"/>
    <w:rsid w:val="000F4DF2"/>
    <w:rsid w:val="000F525F"/>
    <w:rsid w:val="000F5570"/>
    <w:rsid w:val="000F57DA"/>
    <w:rsid w:val="000F5985"/>
    <w:rsid w:val="000F5E1E"/>
    <w:rsid w:val="000F5EFB"/>
    <w:rsid w:val="000F5FFD"/>
    <w:rsid w:val="000F600E"/>
    <w:rsid w:val="000F6BEF"/>
    <w:rsid w:val="000F6C6C"/>
    <w:rsid w:val="000F6D2B"/>
    <w:rsid w:val="000F6D4F"/>
    <w:rsid w:val="000F6D77"/>
    <w:rsid w:val="000F6DFF"/>
    <w:rsid w:val="000F7587"/>
    <w:rsid w:val="000F765C"/>
    <w:rsid w:val="000F7B25"/>
    <w:rsid w:val="000F7E2B"/>
    <w:rsid w:val="00100297"/>
    <w:rsid w:val="00100345"/>
    <w:rsid w:val="001009B5"/>
    <w:rsid w:val="001013EA"/>
    <w:rsid w:val="0010166C"/>
    <w:rsid w:val="001017EC"/>
    <w:rsid w:val="00101A38"/>
    <w:rsid w:val="00101C22"/>
    <w:rsid w:val="00101F1E"/>
    <w:rsid w:val="0010282E"/>
    <w:rsid w:val="001033CB"/>
    <w:rsid w:val="001036A5"/>
    <w:rsid w:val="0010376E"/>
    <w:rsid w:val="001038F7"/>
    <w:rsid w:val="001045EF"/>
    <w:rsid w:val="0010461F"/>
    <w:rsid w:val="001046AD"/>
    <w:rsid w:val="001046C9"/>
    <w:rsid w:val="00104C87"/>
    <w:rsid w:val="00104FD4"/>
    <w:rsid w:val="00105274"/>
    <w:rsid w:val="00105761"/>
    <w:rsid w:val="001059D6"/>
    <w:rsid w:val="00106463"/>
    <w:rsid w:val="001067E6"/>
    <w:rsid w:val="001068EA"/>
    <w:rsid w:val="00106FD4"/>
    <w:rsid w:val="001070FA"/>
    <w:rsid w:val="00107112"/>
    <w:rsid w:val="00107A4C"/>
    <w:rsid w:val="00107A4F"/>
    <w:rsid w:val="00107DD5"/>
    <w:rsid w:val="0011053A"/>
    <w:rsid w:val="0011089B"/>
    <w:rsid w:val="00110E62"/>
    <w:rsid w:val="00111004"/>
    <w:rsid w:val="0011116C"/>
    <w:rsid w:val="0011137B"/>
    <w:rsid w:val="0011155F"/>
    <w:rsid w:val="0011180E"/>
    <w:rsid w:val="00111AF1"/>
    <w:rsid w:val="00111D5C"/>
    <w:rsid w:val="00111FCC"/>
    <w:rsid w:val="00112069"/>
    <w:rsid w:val="00112214"/>
    <w:rsid w:val="001123B3"/>
    <w:rsid w:val="001126C2"/>
    <w:rsid w:val="001128F4"/>
    <w:rsid w:val="0011299A"/>
    <w:rsid w:val="00112A8E"/>
    <w:rsid w:val="00112E46"/>
    <w:rsid w:val="0011391E"/>
    <w:rsid w:val="00113994"/>
    <w:rsid w:val="00113AE7"/>
    <w:rsid w:val="0011403D"/>
    <w:rsid w:val="0011427A"/>
    <w:rsid w:val="0011476B"/>
    <w:rsid w:val="00114B6F"/>
    <w:rsid w:val="00114CBE"/>
    <w:rsid w:val="00115349"/>
    <w:rsid w:val="0011588C"/>
    <w:rsid w:val="00115E39"/>
    <w:rsid w:val="00116013"/>
    <w:rsid w:val="00116215"/>
    <w:rsid w:val="00116D09"/>
    <w:rsid w:val="00117211"/>
    <w:rsid w:val="0011741F"/>
    <w:rsid w:val="0011743A"/>
    <w:rsid w:val="001174B5"/>
    <w:rsid w:val="001174D0"/>
    <w:rsid w:val="00117B7D"/>
    <w:rsid w:val="00117BA9"/>
    <w:rsid w:val="00120794"/>
    <w:rsid w:val="00120C54"/>
    <w:rsid w:val="00120CF2"/>
    <w:rsid w:val="001210DB"/>
    <w:rsid w:val="001213E2"/>
    <w:rsid w:val="001213FB"/>
    <w:rsid w:val="0012173E"/>
    <w:rsid w:val="001219FC"/>
    <w:rsid w:val="00121C83"/>
    <w:rsid w:val="00121D02"/>
    <w:rsid w:val="00121E4F"/>
    <w:rsid w:val="0012214C"/>
    <w:rsid w:val="0012240B"/>
    <w:rsid w:val="00122B0E"/>
    <w:rsid w:val="00122DF2"/>
    <w:rsid w:val="00122F40"/>
    <w:rsid w:val="00123249"/>
    <w:rsid w:val="00123705"/>
    <w:rsid w:val="001239C9"/>
    <w:rsid w:val="00123E31"/>
    <w:rsid w:val="00124851"/>
    <w:rsid w:val="00124FE8"/>
    <w:rsid w:val="00125052"/>
    <w:rsid w:val="00125654"/>
    <w:rsid w:val="0012593B"/>
    <w:rsid w:val="00125C7D"/>
    <w:rsid w:val="00125FD7"/>
    <w:rsid w:val="0012611D"/>
    <w:rsid w:val="00126D8B"/>
    <w:rsid w:val="00126DF2"/>
    <w:rsid w:val="00126FAE"/>
    <w:rsid w:val="00127205"/>
    <w:rsid w:val="00127529"/>
    <w:rsid w:val="001275C5"/>
    <w:rsid w:val="00127743"/>
    <w:rsid w:val="00127789"/>
    <w:rsid w:val="001277C3"/>
    <w:rsid w:val="0013015A"/>
    <w:rsid w:val="0013016A"/>
    <w:rsid w:val="00130298"/>
    <w:rsid w:val="00130411"/>
    <w:rsid w:val="0013042B"/>
    <w:rsid w:val="00130A77"/>
    <w:rsid w:val="00130D0E"/>
    <w:rsid w:val="001313FF"/>
    <w:rsid w:val="00131462"/>
    <w:rsid w:val="00131596"/>
    <w:rsid w:val="00131689"/>
    <w:rsid w:val="001317B6"/>
    <w:rsid w:val="001317DC"/>
    <w:rsid w:val="00131999"/>
    <w:rsid w:val="00131A8E"/>
    <w:rsid w:val="00131C69"/>
    <w:rsid w:val="00131FA7"/>
    <w:rsid w:val="001321BA"/>
    <w:rsid w:val="00132847"/>
    <w:rsid w:val="00132D7E"/>
    <w:rsid w:val="001332F3"/>
    <w:rsid w:val="001335DC"/>
    <w:rsid w:val="0013392D"/>
    <w:rsid w:val="00133E61"/>
    <w:rsid w:val="00133F47"/>
    <w:rsid w:val="0013490D"/>
    <w:rsid w:val="00134BA8"/>
    <w:rsid w:val="00134F37"/>
    <w:rsid w:val="0013520B"/>
    <w:rsid w:val="0013526A"/>
    <w:rsid w:val="001354DC"/>
    <w:rsid w:val="00135640"/>
    <w:rsid w:val="001358D2"/>
    <w:rsid w:val="00135AD2"/>
    <w:rsid w:val="00135BAF"/>
    <w:rsid w:val="00135C13"/>
    <w:rsid w:val="00135E4A"/>
    <w:rsid w:val="001366F5"/>
    <w:rsid w:val="001367B9"/>
    <w:rsid w:val="00136895"/>
    <w:rsid w:val="0013691A"/>
    <w:rsid w:val="001371D2"/>
    <w:rsid w:val="00137319"/>
    <w:rsid w:val="001374EE"/>
    <w:rsid w:val="001376AA"/>
    <w:rsid w:val="00137DCC"/>
    <w:rsid w:val="00137EFB"/>
    <w:rsid w:val="0014018F"/>
    <w:rsid w:val="001405CE"/>
    <w:rsid w:val="00140634"/>
    <w:rsid w:val="00140C04"/>
    <w:rsid w:val="00140EAA"/>
    <w:rsid w:val="00141122"/>
    <w:rsid w:val="0014123A"/>
    <w:rsid w:val="00141294"/>
    <w:rsid w:val="0014180E"/>
    <w:rsid w:val="00141D91"/>
    <w:rsid w:val="00141EB5"/>
    <w:rsid w:val="001420D2"/>
    <w:rsid w:val="001431B9"/>
    <w:rsid w:val="001439BD"/>
    <w:rsid w:val="0014442D"/>
    <w:rsid w:val="001444D1"/>
    <w:rsid w:val="0014478E"/>
    <w:rsid w:val="00144E05"/>
    <w:rsid w:val="00145216"/>
    <w:rsid w:val="0014569C"/>
    <w:rsid w:val="001456EA"/>
    <w:rsid w:val="00145906"/>
    <w:rsid w:val="001460A2"/>
    <w:rsid w:val="00146346"/>
    <w:rsid w:val="001466C2"/>
    <w:rsid w:val="001466C3"/>
    <w:rsid w:val="00146FDC"/>
    <w:rsid w:val="001474F5"/>
    <w:rsid w:val="00147775"/>
    <w:rsid w:val="001479C0"/>
    <w:rsid w:val="00147EC2"/>
    <w:rsid w:val="00150895"/>
    <w:rsid w:val="0015099E"/>
    <w:rsid w:val="001510D7"/>
    <w:rsid w:val="00151177"/>
    <w:rsid w:val="00151481"/>
    <w:rsid w:val="001517AB"/>
    <w:rsid w:val="0015187F"/>
    <w:rsid w:val="0015220C"/>
    <w:rsid w:val="00153140"/>
    <w:rsid w:val="00153B05"/>
    <w:rsid w:val="00154397"/>
    <w:rsid w:val="00154940"/>
    <w:rsid w:val="00154A07"/>
    <w:rsid w:val="00154D8B"/>
    <w:rsid w:val="00154FC1"/>
    <w:rsid w:val="00155660"/>
    <w:rsid w:val="00155E94"/>
    <w:rsid w:val="00156012"/>
    <w:rsid w:val="00156C5C"/>
    <w:rsid w:val="00157211"/>
    <w:rsid w:val="0015757E"/>
    <w:rsid w:val="0015762D"/>
    <w:rsid w:val="00157C78"/>
    <w:rsid w:val="00157D5C"/>
    <w:rsid w:val="00157EFE"/>
    <w:rsid w:val="0016031B"/>
    <w:rsid w:val="00160C9E"/>
    <w:rsid w:val="00160CFA"/>
    <w:rsid w:val="0016135B"/>
    <w:rsid w:val="001620A1"/>
    <w:rsid w:val="0016223C"/>
    <w:rsid w:val="001624AB"/>
    <w:rsid w:val="001624D1"/>
    <w:rsid w:val="00162646"/>
    <w:rsid w:val="001626CC"/>
    <w:rsid w:val="0016275A"/>
    <w:rsid w:val="00162F18"/>
    <w:rsid w:val="001631D1"/>
    <w:rsid w:val="00163521"/>
    <w:rsid w:val="001637A8"/>
    <w:rsid w:val="00163817"/>
    <w:rsid w:val="001639C4"/>
    <w:rsid w:val="00163D4B"/>
    <w:rsid w:val="00163D96"/>
    <w:rsid w:val="00163DA0"/>
    <w:rsid w:val="001644B5"/>
    <w:rsid w:val="00164A81"/>
    <w:rsid w:val="00164E37"/>
    <w:rsid w:val="001657EF"/>
    <w:rsid w:val="00165930"/>
    <w:rsid w:val="00165D6D"/>
    <w:rsid w:val="0016621F"/>
    <w:rsid w:val="001664D2"/>
    <w:rsid w:val="001670D9"/>
    <w:rsid w:val="00167F6B"/>
    <w:rsid w:val="00170015"/>
    <w:rsid w:val="001705A3"/>
    <w:rsid w:val="001706D3"/>
    <w:rsid w:val="0017077D"/>
    <w:rsid w:val="00170A14"/>
    <w:rsid w:val="00170D7A"/>
    <w:rsid w:val="00170D99"/>
    <w:rsid w:val="001710CB"/>
    <w:rsid w:val="001713D8"/>
    <w:rsid w:val="00171AC6"/>
    <w:rsid w:val="00171E02"/>
    <w:rsid w:val="001723C8"/>
    <w:rsid w:val="00172429"/>
    <w:rsid w:val="0017262F"/>
    <w:rsid w:val="00172B64"/>
    <w:rsid w:val="00172CE9"/>
    <w:rsid w:val="0017319E"/>
    <w:rsid w:val="001731F3"/>
    <w:rsid w:val="0017333E"/>
    <w:rsid w:val="001734EB"/>
    <w:rsid w:val="00173792"/>
    <w:rsid w:val="001737B9"/>
    <w:rsid w:val="00173D3A"/>
    <w:rsid w:val="00173E8D"/>
    <w:rsid w:val="001741FB"/>
    <w:rsid w:val="00174539"/>
    <w:rsid w:val="00174A8B"/>
    <w:rsid w:val="00174B39"/>
    <w:rsid w:val="00174C56"/>
    <w:rsid w:val="00174C86"/>
    <w:rsid w:val="00174CC1"/>
    <w:rsid w:val="00174DA0"/>
    <w:rsid w:val="00174F9D"/>
    <w:rsid w:val="001755BD"/>
    <w:rsid w:val="00175A91"/>
    <w:rsid w:val="00175B5D"/>
    <w:rsid w:val="00175B96"/>
    <w:rsid w:val="00175C39"/>
    <w:rsid w:val="00175E43"/>
    <w:rsid w:val="00175F8D"/>
    <w:rsid w:val="00176212"/>
    <w:rsid w:val="00176431"/>
    <w:rsid w:val="001764AC"/>
    <w:rsid w:val="0017662A"/>
    <w:rsid w:val="00176642"/>
    <w:rsid w:val="001767B1"/>
    <w:rsid w:val="00176BBE"/>
    <w:rsid w:val="00177167"/>
    <w:rsid w:val="001778FA"/>
    <w:rsid w:val="00177EFB"/>
    <w:rsid w:val="00177F44"/>
    <w:rsid w:val="001800EF"/>
    <w:rsid w:val="001802C4"/>
    <w:rsid w:val="00180E7D"/>
    <w:rsid w:val="00181AD5"/>
    <w:rsid w:val="00181B75"/>
    <w:rsid w:val="00181E7B"/>
    <w:rsid w:val="00182075"/>
    <w:rsid w:val="00182094"/>
    <w:rsid w:val="0018280D"/>
    <w:rsid w:val="00182863"/>
    <w:rsid w:val="00182B62"/>
    <w:rsid w:val="00182E4A"/>
    <w:rsid w:val="001832AE"/>
    <w:rsid w:val="001834AA"/>
    <w:rsid w:val="00183920"/>
    <w:rsid w:val="00183A80"/>
    <w:rsid w:val="00183BC9"/>
    <w:rsid w:val="00183DAA"/>
    <w:rsid w:val="00183EC0"/>
    <w:rsid w:val="0018465D"/>
    <w:rsid w:val="001849FC"/>
    <w:rsid w:val="00184FBD"/>
    <w:rsid w:val="00184FFC"/>
    <w:rsid w:val="00185078"/>
    <w:rsid w:val="001855A0"/>
    <w:rsid w:val="00185B91"/>
    <w:rsid w:val="00185F49"/>
    <w:rsid w:val="00185FF3"/>
    <w:rsid w:val="00186334"/>
    <w:rsid w:val="00186627"/>
    <w:rsid w:val="00186EF7"/>
    <w:rsid w:val="00187113"/>
    <w:rsid w:val="0018711A"/>
    <w:rsid w:val="001872BF"/>
    <w:rsid w:val="0018733D"/>
    <w:rsid w:val="0018786B"/>
    <w:rsid w:val="00187883"/>
    <w:rsid w:val="00187C48"/>
    <w:rsid w:val="00187E56"/>
    <w:rsid w:val="001902F0"/>
    <w:rsid w:val="001904C2"/>
    <w:rsid w:val="001904EE"/>
    <w:rsid w:val="00190AD7"/>
    <w:rsid w:val="00190C28"/>
    <w:rsid w:val="00190D5A"/>
    <w:rsid w:val="00190E84"/>
    <w:rsid w:val="00190F77"/>
    <w:rsid w:val="001920C0"/>
    <w:rsid w:val="001921B7"/>
    <w:rsid w:val="001924EC"/>
    <w:rsid w:val="0019254F"/>
    <w:rsid w:val="00192561"/>
    <w:rsid w:val="0019262B"/>
    <w:rsid w:val="00192811"/>
    <w:rsid w:val="00192A02"/>
    <w:rsid w:val="00192DA7"/>
    <w:rsid w:val="00193086"/>
    <w:rsid w:val="00193685"/>
    <w:rsid w:val="00193926"/>
    <w:rsid w:val="00193C70"/>
    <w:rsid w:val="00194143"/>
    <w:rsid w:val="001944BD"/>
    <w:rsid w:val="001946EC"/>
    <w:rsid w:val="00194C3D"/>
    <w:rsid w:val="00194C8F"/>
    <w:rsid w:val="00194DCC"/>
    <w:rsid w:val="001950A4"/>
    <w:rsid w:val="0019533D"/>
    <w:rsid w:val="0019566F"/>
    <w:rsid w:val="00195BC7"/>
    <w:rsid w:val="00195C42"/>
    <w:rsid w:val="00195F12"/>
    <w:rsid w:val="00196060"/>
    <w:rsid w:val="00196273"/>
    <w:rsid w:val="001963D4"/>
    <w:rsid w:val="00196445"/>
    <w:rsid w:val="00196685"/>
    <w:rsid w:val="001972E2"/>
    <w:rsid w:val="001976E9"/>
    <w:rsid w:val="00197890"/>
    <w:rsid w:val="001979E7"/>
    <w:rsid w:val="00197D75"/>
    <w:rsid w:val="001A032F"/>
    <w:rsid w:val="001A0909"/>
    <w:rsid w:val="001A0FF0"/>
    <w:rsid w:val="001A12C6"/>
    <w:rsid w:val="001A15EF"/>
    <w:rsid w:val="001A229B"/>
    <w:rsid w:val="001A2709"/>
    <w:rsid w:val="001A2724"/>
    <w:rsid w:val="001A2867"/>
    <w:rsid w:val="001A2A43"/>
    <w:rsid w:val="001A3239"/>
    <w:rsid w:val="001A32D8"/>
    <w:rsid w:val="001A334B"/>
    <w:rsid w:val="001A39CC"/>
    <w:rsid w:val="001A3B20"/>
    <w:rsid w:val="001A3BAB"/>
    <w:rsid w:val="001A4201"/>
    <w:rsid w:val="001A4282"/>
    <w:rsid w:val="001A4537"/>
    <w:rsid w:val="001A4A09"/>
    <w:rsid w:val="001A4B56"/>
    <w:rsid w:val="001A4FCD"/>
    <w:rsid w:val="001A5518"/>
    <w:rsid w:val="001A59A1"/>
    <w:rsid w:val="001A5B16"/>
    <w:rsid w:val="001A666C"/>
    <w:rsid w:val="001A69B4"/>
    <w:rsid w:val="001A6E37"/>
    <w:rsid w:val="001A6FEC"/>
    <w:rsid w:val="001A7461"/>
    <w:rsid w:val="001A786E"/>
    <w:rsid w:val="001A7D94"/>
    <w:rsid w:val="001A7E09"/>
    <w:rsid w:val="001B0111"/>
    <w:rsid w:val="001B011C"/>
    <w:rsid w:val="001B02A6"/>
    <w:rsid w:val="001B03C9"/>
    <w:rsid w:val="001B0404"/>
    <w:rsid w:val="001B076E"/>
    <w:rsid w:val="001B12E0"/>
    <w:rsid w:val="001B1560"/>
    <w:rsid w:val="001B1574"/>
    <w:rsid w:val="001B17CB"/>
    <w:rsid w:val="001B1A3A"/>
    <w:rsid w:val="001B1AFC"/>
    <w:rsid w:val="001B2888"/>
    <w:rsid w:val="001B2972"/>
    <w:rsid w:val="001B2EC4"/>
    <w:rsid w:val="001B3286"/>
    <w:rsid w:val="001B3383"/>
    <w:rsid w:val="001B3A34"/>
    <w:rsid w:val="001B4269"/>
    <w:rsid w:val="001B48A8"/>
    <w:rsid w:val="001B4947"/>
    <w:rsid w:val="001B4B19"/>
    <w:rsid w:val="001B4E97"/>
    <w:rsid w:val="001B52C9"/>
    <w:rsid w:val="001B538B"/>
    <w:rsid w:val="001B5978"/>
    <w:rsid w:val="001B5E4C"/>
    <w:rsid w:val="001B600E"/>
    <w:rsid w:val="001B68D5"/>
    <w:rsid w:val="001B75B7"/>
    <w:rsid w:val="001B78FE"/>
    <w:rsid w:val="001B7EE8"/>
    <w:rsid w:val="001C0103"/>
    <w:rsid w:val="001C0176"/>
    <w:rsid w:val="001C03F2"/>
    <w:rsid w:val="001C0413"/>
    <w:rsid w:val="001C064F"/>
    <w:rsid w:val="001C0988"/>
    <w:rsid w:val="001C11FB"/>
    <w:rsid w:val="001C19B7"/>
    <w:rsid w:val="001C1A71"/>
    <w:rsid w:val="001C252C"/>
    <w:rsid w:val="001C2816"/>
    <w:rsid w:val="001C2948"/>
    <w:rsid w:val="001C3076"/>
    <w:rsid w:val="001C328A"/>
    <w:rsid w:val="001C3BAA"/>
    <w:rsid w:val="001C3F3E"/>
    <w:rsid w:val="001C406F"/>
    <w:rsid w:val="001C4F36"/>
    <w:rsid w:val="001C5EAA"/>
    <w:rsid w:val="001C5FD9"/>
    <w:rsid w:val="001C6E89"/>
    <w:rsid w:val="001C7501"/>
    <w:rsid w:val="001C7E8E"/>
    <w:rsid w:val="001D002E"/>
    <w:rsid w:val="001D06C0"/>
    <w:rsid w:val="001D090C"/>
    <w:rsid w:val="001D09D5"/>
    <w:rsid w:val="001D0BDA"/>
    <w:rsid w:val="001D0D88"/>
    <w:rsid w:val="001D0DCB"/>
    <w:rsid w:val="001D0E12"/>
    <w:rsid w:val="001D0E2F"/>
    <w:rsid w:val="001D0E9B"/>
    <w:rsid w:val="001D0F78"/>
    <w:rsid w:val="001D1655"/>
    <w:rsid w:val="001D17ED"/>
    <w:rsid w:val="001D197B"/>
    <w:rsid w:val="001D1CAF"/>
    <w:rsid w:val="001D21C1"/>
    <w:rsid w:val="001D2859"/>
    <w:rsid w:val="001D2F8C"/>
    <w:rsid w:val="001D35C2"/>
    <w:rsid w:val="001D3A2A"/>
    <w:rsid w:val="001D4026"/>
    <w:rsid w:val="001D44BA"/>
    <w:rsid w:val="001D455C"/>
    <w:rsid w:val="001D5040"/>
    <w:rsid w:val="001D5215"/>
    <w:rsid w:val="001D5433"/>
    <w:rsid w:val="001D5CD8"/>
    <w:rsid w:val="001D6820"/>
    <w:rsid w:val="001D6A35"/>
    <w:rsid w:val="001D6DE7"/>
    <w:rsid w:val="001D739D"/>
    <w:rsid w:val="001D77AD"/>
    <w:rsid w:val="001D7BFC"/>
    <w:rsid w:val="001D7C6A"/>
    <w:rsid w:val="001E0095"/>
    <w:rsid w:val="001E0588"/>
    <w:rsid w:val="001E0862"/>
    <w:rsid w:val="001E0F5B"/>
    <w:rsid w:val="001E1077"/>
    <w:rsid w:val="001E1228"/>
    <w:rsid w:val="001E12A1"/>
    <w:rsid w:val="001E171E"/>
    <w:rsid w:val="001E19F6"/>
    <w:rsid w:val="001E1A58"/>
    <w:rsid w:val="001E1C9A"/>
    <w:rsid w:val="001E26D6"/>
    <w:rsid w:val="001E2F37"/>
    <w:rsid w:val="001E340F"/>
    <w:rsid w:val="001E36FD"/>
    <w:rsid w:val="001E3958"/>
    <w:rsid w:val="001E39D5"/>
    <w:rsid w:val="001E39D7"/>
    <w:rsid w:val="001E3B61"/>
    <w:rsid w:val="001E3F3D"/>
    <w:rsid w:val="001E3F8D"/>
    <w:rsid w:val="001E4383"/>
    <w:rsid w:val="001E479F"/>
    <w:rsid w:val="001E51E7"/>
    <w:rsid w:val="001E51FF"/>
    <w:rsid w:val="001E5660"/>
    <w:rsid w:val="001E58A3"/>
    <w:rsid w:val="001E5CA6"/>
    <w:rsid w:val="001E5D1F"/>
    <w:rsid w:val="001E6009"/>
    <w:rsid w:val="001E630D"/>
    <w:rsid w:val="001E6330"/>
    <w:rsid w:val="001E651F"/>
    <w:rsid w:val="001E6912"/>
    <w:rsid w:val="001E6FD2"/>
    <w:rsid w:val="001E788B"/>
    <w:rsid w:val="001E79B8"/>
    <w:rsid w:val="001E7F0C"/>
    <w:rsid w:val="001F03E4"/>
    <w:rsid w:val="001F0434"/>
    <w:rsid w:val="001F0521"/>
    <w:rsid w:val="001F06AD"/>
    <w:rsid w:val="001F0DFD"/>
    <w:rsid w:val="001F0E47"/>
    <w:rsid w:val="001F128D"/>
    <w:rsid w:val="001F1D39"/>
    <w:rsid w:val="001F2675"/>
    <w:rsid w:val="001F26D8"/>
    <w:rsid w:val="001F2A48"/>
    <w:rsid w:val="001F2A9A"/>
    <w:rsid w:val="001F2E85"/>
    <w:rsid w:val="001F41F6"/>
    <w:rsid w:val="001F4A30"/>
    <w:rsid w:val="001F512D"/>
    <w:rsid w:val="001F53E6"/>
    <w:rsid w:val="001F5626"/>
    <w:rsid w:val="001F5748"/>
    <w:rsid w:val="001F58B9"/>
    <w:rsid w:val="001F5AB9"/>
    <w:rsid w:val="001F6273"/>
    <w:rsid w:val="001F6291"/>
    <w:rsid w:val="001F6B60"/>
    <w:rsid w:val="001F7395"/>
    <w:rsid w:val="001F7958"/>
    <w:rsid w:val="001F7C66"/>
    <w:rsid w:val="00200741"/>
    <w:rsid w:val="00200B64"/>
    <w:rsid w:val="00200CF8"/>
    <w:rsid w:val="00200DBD"/>
    <w:rsid w:val="00200EF7"/>
    <w:rsid w:val="0020111F"/>
    <w:rsid w:val="00201326"/>
    <w:rsid w:val="00201334"/>
    <w:rsid w:val="002015B8"/>
    <w:rsid w:val="002016C6"/>
    <w:rsid w:val="0020182D"/>
    <w:rsid w:val="002019CB"/>
    <w:rsid w:val="002019F4"/>
    <w:rsid w:val="00201AC2"/>
    <w:rsid w:val="00201F57"/>
    <w:rsid w:val="00201F7B"/>
    <w:rsid w:val="00202090"/>
    <w:rsid w:val="002020CF"/>
    <w:rsid w:val="002021F2"/>
    <w:rsid w:val="00202B0A"/>
    <w:rsid w:val="00202D96"/>
    <w:rsid w:val="00202E96"/>
    <w:rsid w:val="00203922"/>
    <w:rsid w:val="00204079"/>
    <w:rsid w:val="00204643"/>
    <w:rsid w:val="00204A51"/>
    <w:rsid w:val="00204EE0"/>
    <w:rsid w:val="00204FAB"/>
    <w:rsid w:val="0020511C"/>
    <w:rsid w:val="002053AE"/>
    <w:rsid w:val="002054A2"/>
    <w:rsid w:val="002055DB"/>
    <w:rsid w:val="002055F8"/>
    <w:rsid w:val="00205BE2"/>
    <w:rsid w:val="00206346"/>
    <w:rsid w:val="00206EE8"/>
    <w:rsid w:val="00206F84"/>
    <w:rsid w:val="00206FEC"/>
    <w:rsid w:val="0020718C"/>
    <w:rsid w:val="00207444"/>
    <w:rsid w:val="0020744F"/>
    <w:rsid w:val="0021060C"/>
    <w:rsid w:val="0021079E"/>
    <w:rsid w:val="00210A14"/>
    <w:rsid w:val="00210B27"/>
    <w:rsid w:val="00210D27"/>
    <w:rsid w:val="002110A6"/>
    <w:rsid w:val="00211550"/>
    <w:rsid w:val="002115CD"/>
    <w:rsid w:val="002117E3"/>
    <w:rsid w:val="00211B40"/>
    <w:rsid w:val="002120EF"/>
    <w:rsid w:val="00212221"/>
    <w:rsid w:val="00212304"/>
    <w:rsid w:val="0021249A"/>
    <w:rsid w:val="002128F3"/>
    <w:rsid w:val="00212ADF"/>
    <w:rsid w:val="00213A7B"/>
    <w:rsid w:val="00214020"/>
    <w:rsid w:val="002148A5"/>
    <w:rsid w:val="002149C7"/>
    <w:rsid w:val="00214A7A"/>
    <w:rsid w:val="00214F15"/>
    <w:rsid w:val="00214F3F"/>
    <w:rsid w:val="00215024"/>
    <w:rsid w:val="002150F4"/>
    <w:rsid w:val="002151B8"/>
    <w:rsid w:val="002155B1"/>
    <w:rsid w:val="0021585A"/>
    <w:rsid w:val="002158DC"/>
    <w:rsid w:val="00215D39"/>
    <w:rsid w:val="00215F29"/>
    <w:rsid w:val="00217075"/>
    <w:rsid w:val="00217156"/>
    <w:rsid w:val="00217338"/>
    <w:rsid w:val="00217396"/>
    <w:rsid w:val="00217750"/>
    <w:rsid w:val="00217873"/>
    <w:rsid w:val="00217989"/>
    <w:rsid w:val="00220091"/>
    <w:rsid w:val="00220163"/>
    <w:rsid w:val="002201A0"/>
    <w:rsid w:val="0022021D"/>
    <w:rsid w:val="0022088A"/>
    <w:rsid w:val="00220A30"/>
    <w:rsid w:val="0022113B"/>
    <w:rsid w:val="00221C54"/>
    <w:rsid w:val="0022209D"/>
    <w:rsid w:val="00222928"/>
    <w:rsid w:val="002231AF"/>
    <w:rsid w:val="002235D1"/>
    <w:rsid w:val="00223657"/>
    <w:rsid w:val="0022372E"/>
    <w:rsid w:val="002238C4"/>
    <w:rsid w:val="00224068"/>
    <w:rsid w:val="00224295"/>
    <w:rsid w:val="00224447"/>
    <w:rsid w:val="00224706"/>
    <w:rsid w:val="002253F5"/>
    <w:rsid w:val="002254CC"/>
    <w:rsid w:val="002255CE"/>
    <w:rsid w:val="002258DD"/>
    <w:rsid w:val="00225DF4"/>
    <w:rsid w:val="00225EC5"/>
    <w:rsid w:val="002260CD"/>
    <w:rsid w:val="002265B1"/>
    <w:rsid w:val="00226A62"/>
    <w:rsid w:val="00226E55"/>
    <w:rsid w:val="00226F10"/>
    <w:rsid w:val="00227117"/>
    <w:rsid w:val="002271EC"/>
    <w:rsid w:val="00227C58"/>
    <w:rsid w:val="00230022"/>
    <w:rsid w:val="002302AF"/>
    <w:rsid w:val="002303CD"/>
    <w:rsid w:val="00230BEA"/>
    <w:rsid w:val="002310F3"/>
    <w:rsid w:val="002311AC"/>
    <w:rsid w:val="00231BCE"/>
    <w:rsid w:val="00231F61"/>
    <w:rsid w:val="0023285A"/>
    <w:rsid w:val="00232B5A"/>
    <w:rsid w:val="00232E02"/>
    <w:rsid w:val="002330F7"/>
    <w:rsid w:val="00233362"/>
    <w:rsid w:val="00233424"/>
    <w:rsid w:val="00233784"/>
    <w:rsid w:val="00233CB2"/>
    <w:rsid w:val="00233EDC"/>
    <w:rsid w:val="002342E3"/>
    <w:rsid w:val="0023496E"/>
    <w:rsid w:val="00234BC3"/>
    <w:rsid w:val="00234BF7"/>
    <w:rsid w:val="00234C08"/>
    <w:rsid w:val="00234CEF"/>
    <w:rsid w:val="00235230"/>
    <w:rsid w:val="002355F5"/>
    <w:rsid w:val="00235D11"/>
    <w:rsid w:val="00235D90"/>
    <w:rsid w:val="00235F88"/>
    <w:rsid w:val="00235FA1"/>
    <w:rsid w:val="002363C1"/>
    <w:rsid w:val="0023693D"/>
    <w:rsid w:val="00236ED3"/>
    <w:rsid w:val="00236F06"/>
    <w:rsid w:val="0023744A"/>
    <w:rsid w:val="00237456"/>
    <w:rsid w:val="002375CF"/>
    <w:rsid w:val="00237607"/>
    <w:rsid w:val="00237BA8"/>
    <w:rsid w:val="00237E14"/>
    <w:rsid w:val="00237FE4"/>
    <w:rsid w:val="002402CF"/>
    <w:rsid w:val="00240387"/>
    <w:rsid w:val="00240581"/>
    <w:rsid w:val="002407A4"/>
    <w:rsid w:val="002408FA"/>
    <w:rsid w:val="002414F0"/>
    <w:rsid w:val="002419A2"/>
    <w:rsid w:val="002419C4"/>
    <w:rsid w:val="00241BAB"/>
    <w:rsid w:val="00241DFB"/>
    <w:rsid w:val="00241E36"/>
    <w:rsid w:val="00241E5B"/>
    <w:rsid w:val="002421ED"/>
    <w:rsid w:val="0024238C"/>
    <w:rsid w:val="002427AE"/>
    <w:rsid w:val="002427F4"/>
    <w:rsid w:val="00243D8A"/>
    <w:rsid w:val="002441A8"/>
    <w:rsid w:val="002443E2"/>
    <w:rsid w:val="00244BC3"/>
    <w:rsid w:val="00244BE6"/>
    <w:rsid w:val="00244C50"/>
    <w:rsid w:val="00244F77"/>
    <w:rsid w:val="002452AD"/>
    <w:rsid w:val="002452E4"/>
    <w:rsid w:val="0024544A"/>
    <w:rsid w:val="0024548F"/>
    <w:rsid w:val="00245613"/>
    <w:rsid w:val="002456B6"/>
    <w:rsid w:val="00245E2D"/>
    <w:rsid w:val="00246065"/>
    <w:rsid w:val="0024669E"/>
    <w:rsid w:val="0024688B"/>
    <w:rsid w:val="0024693E"/>
    <w:rsid w:val="00246A29"/>
    <w:rsid w:val="00246D4A"/>
    <w:rsid w:val="00247388"/>
    <w:rsid w:val="0025026F"/>
    <w:rsid w:val="00250D7E"/>
    <w:rsid w:val="00250F6E"/>
    <w:rsid w:val="00251798"/>
    <w:rsid w:val="00251A84"/>
    <w:rsid w:val="00251C01"/>
    <w:rsid w:val="00251CC3"/>
    <w:rsid w:val="00251D96"/>
    <w:rsid w:val="00251E09"/>
    <w:rsid w:val="00251FE2"/>
    <w:rsid w:val="002522DD"/>
    <w:rsid w:val="0025294F"/>
    <w:rsid w:val="00253218"/>
    <w:rsid w:val="0025380C"/>
    <w:rsid w:val="002538D6"/>
    <w:rsid w:val="00253E07"/>
    <w:rsid w:val="0025407E"/>
    <w:rsid w:val="0025478D"/>
    <w:rsid w:val="002549C9"/>
    <w:rsid w:val="00254A7A"/>
    <w:rsid w:val="00254CAD"/>
    <w:rsid w:val="002555CD"/>
    <w:rsid w:val="002557ED"/>
    <w:rsid w:val="00255941"/>
    <w:rsid w:val="00255BA3"/>
    <w:rsid w:val="002563CE"/>
    <w:rsid w:val="0025671E"/>
    <w:rsid w:val="002568CD"/>
    <w:rsid w:val="002568F6"/>
    <w:rsid w:val="00256C1F"/>
    <w:rsid w:val="00256D98"/>
    <w:rsid w:val="00257018"/>
    <w:rsid w:val="0025743E"/>
    <w:rsid w:val="0025754E"/>
    <w:rsid w:val="002601B4"/>
    <w:rsid w:val="00260438"/>
    <w:rsid w:val="00260A05"/>
    <w:rsid w:val="00260C19"/>
    <w:rsid w:val="00260DDE"/>
    <w:rsid w:val="00260EAC"/>
    <w:rsid w:val="00261178"/>
    <w:rsid w:val="002612D4"/>
    <w:rsid w:val="002613EF"/>
    <w:rsid w:val="00261641"/>
    <w:rsid w:val="0026176D"/>
    <w:rsid w:val="00261852"/>
    <w:rsid w:val="00261B8C"/>
    <w:rsid w:val="00261E28"/>
    <w:rsid w:val="00262094"/>
    <w:rsid w:val="00262470"/>
    <w:rsid w:val="0026277B"/>
    <w:rsid w:val="0026285F"/>
    <w:rsid w:val="00262DEC"/>
    <w:rsid w:val="00262EA7"/>
    <w:rsid w:val="00262EE6"/>
    <w:rsid w:val="0026313A"/>
    <w:rsid w:val="002631DB"/>
    <w:rsid w:val="002632C6"/>
    <w:rsid w:val="0026331B"/>
    <w:rsid w:val="00263441"/>
    <w:rsid w:val="00263491"/>
    <w:rsid w:val="002634D5"/>
    <w:rsid w:val="00263B05"/>
    <w:rsid w:val="002643CC"/>
    <w:rsid w:val="002646A2"/>
    <w:rsid w:val="00264770"/>
    <w:rsid w:val="0026513E"/>
    <w:rsid w:val="002652B4"/>
    <w:rsid w:val="002653FF"/>
    <w:rsid w:val="00265435"/>
    <w:rsid w:val="0026543F"/>
    <w:rsid w:val="002656C9"/>
    <w:rsid w:val="0026619A"/>
    <w:rsid w:val="002662D1"/>
    <w:rsid w:val="00266693"/>
    <w:rsid w:val="00266B03"/>
    <w:rsid w:val="00266C55"/>
    <w:rsid w:val="00267182"/>
    <w:rsid w:val="002672AD"/>
    <w:rsid w:val="0027014D"/>
    <w:rsid w:val="002703F5"/>
    <w:rsid w:val="002706A3"/>
    <w:rsid w:val="002707EA"/>
    <w:rsid w:val="0027085D"/>
    <w:rsid w:val="00270B75"/>
    <w:rsid w:val="00270BB2"/>
    <w:rsid w:val="0027136B"/>
    <w:rsid w:val="00271976"/>
    <w:rsid w:val="00271BAA"/>
    <w:rsid w:val="002721B5"/>
    <w:rsid w:val="0027256E"/>
    <w:rsid w:val="00272759"/>
    <w:rsid w:val="00272804"/>
    <w:rsid w:val="00272A55"/>
    <w:rsid w:val="00272A78"/>
    <w:rsid w:val="00272CC2"/>
    <w:rsid w:val="00272DFD"/>
    <w:rsid w:val="002731BF"/>
    <w:rsid w:val="00273418"/>
    <w:rsid w:val="002734B4"/>
    <w:rsid w:val="00273C96"/>
    <w:rsid w:val="00273DF6"/>
    <w:rsid w:val="002747A7"/>
    <w:rsid w:val="002749FB"/>
    <w:rsid w:val="00274E4F"/>
    <w:rsid w:val="00275B78"/>
    <w:rsid w:val="00276045"/>
    <w:rsid w:val="00276095"/>
    <w:rsid w:val="002762D0"/>
    <w:rsid w:val="0027648E"/>
    <w:rsid w:val="002768B2"/>
    <w:rsid w:val="00276979"/>
    <w:rsid w:val="0027698C"/>
    <w:rsid w:val="00276E6C"/>
    <w:rsid w:val="00276F76"/>
    <w:rsid w:val="002770C2"/>
    <w:rsid w:val="0027722C"/>
    <w:rsid w:val="00277255"/>
    <w:rsid w:val="002773D0"/>
    <w:rsid w:val="0027796F"/>
    <w:rsid w:val="00277D95"/>
    <w:rsid w:val="00277EBB"/>
    <w:rsid w:val="002800FA"/>
    <w:rsid w:val="00280138"/>
    <w:rsid w:val="00280620"/>
    <w:rsid w:val="00280A2D"/>
    <w:rsid w:val="00280A38"/>
    <w:rsid w:val="00280BF8"/>
    <w:rsid w:val="00280C5E"/>
    <w:rsid w:val="00281701"/>
    <w:rsid w:val="002818C2"/>
    <w:rsid w:val="00281B34"/>
    <w:rsid w:val="00281DFB"/>
    <w:rsid w:val="00281E54"/>
    <w:rsid w:val="002820CA"/>
    <w:rsid w:val="0028271A"/>
    <w:rsid w:val="00282C1E"/>
    <w:rsid w:val="00282C90"/>
    <w:rsid w:val="00282F54"/>
    <w:rsid w:val="002832FD"/>
    <w:rsid w:val="002835AF"/>
    <w:rsid w:val="00283ACA"/>
    <w:rsid w:val="00283CAE"/>
    <w:rsid w:val="002843DB"/>
    <w:rsid w:val="0028453F"/>
    <w:rsid w:val="00284805"/>
    <w:rsid w:val="00284A12"/>
    <w:rsid w:val="00284F0F"/>
    <w:rsid w:val="00285062"/>
    <w:rsid w:val="00285386"/>
    <w:rsid w:val="002853A7"/>
    <w:rsid w:val="0028553D"/>
    <w:rsid w:val="00285A98"/>
    <w:rsid w:val="002860F2"/>
    <w:rsid w:val="002862A9"/>
    <w:rsid w:val="00286719"/>
    <w:rsid w:val="0028671E"/>
    <w:rsid w:val="00286905"/>
    <w:rsid w:val="0028698E"/>
    <w:rsid w:val="00286B7C"/>
    <w:rsid w:val="00286CF8"/>
    <w:rsid w:val="00286D28"/>
    <w:rsid w:val="00286F78"/>
    <w:rsid w:val="0028715A"/>
    <w:rsid w:val="00287589"/>
    <w:rsid w:val="00287855"/>
    <w:rsid w:val="0028790B"/>
    <w:rsid w:val="002903FB"/>
    <w:rsid w:val="00290521"/>
    <w:rsid w:val="002909E0"/>
    <w:rsid w:val="00290DC5"/>
    <w:rsid w:val="0029110B"/>
    <w:rsid w:val="002912CA"/>
    <w:rsid w:val="002918E9"/>
    <w:rsid w:val="00291BB7"/>
    <w:rsid w:val="00291C98"/>
    <w:rsid w:val="00291F91"/>
    <w:rsid w:val="00292208"/>
    <w:rsid w:val="00292BF4"/>
    <w:rsid w:val="00292D26"/>
    <w:rsid w:val="002933BA"/>
    <w:rsid w:val="002938B6"/>
    <w:rsid w:val="00293AAF"/>
    <w:rsid w:val="002940B4"/>
    <w:rsid w:val="002941DE"/>
    <w:rsid w:val="00294329"/>
    <w:rsid w:val="0029461D"/>
    <w:rsid w:val="002946C9"/>
    <w:rsid w:val="00294C74"/>
    <w:rsid w:val="00294E0A"/>
    <w:rsid w:val="00295CC5"/>
    <w:rsid w:val="002965BB"/>
    <w:rsid w:val="00296E8F"/>
    <w:rsid w:val="002970B8"/>
    <w:rsid w:val="002971AB"/>
    <w:rsid w:val="0029772D"/>
    <w:rsid w:val="00297981"/>
    <w:rsid w:val="00297A79"/>
    <w:rsid w:val="002A02B5"/>
    <w:rsid w:val="002A0418"/>
    <w:rsid w:val="002A1358"/>
    <w:rsid w:val="002A163D"/>
    <w:rsid w:val="002A1702"/>
    <w:rsid w:val="002A17AE"/>
    <w:rsid w:val="002A1946"/>
    <w:rsid w:val="002A1CE4"/>
    <w:rsid w:val="002A1CEB"/>
    <w:rsid w:val="002A2A19"/>
    <w:rsid w:val="002A2A53"/>
    <w:rsid w:val="002A2B58"/>
    <w:rsid w:val="002A2C9C"/>
    <w:rsid w:val="002A2D2B"/>
    <w:rsid w:val="002A317C"/>
    <w:rsid w:val="002A31AD"/>
    <w:rsid w:val="002A3227"/>
    <w:rsid w:val="002A3538"/>
    <w:rsid w:val="002A3760"/>
    <w:rsid w:val="002A3A48"/>
    <w:rsid w:val="002A3B08"/>
    <w:rsid w:val="002A3C2E"/>
    <w:rsid w:val="002A3DA6"/>
    <w:rsid w:val="002A3DE4"/>
    <w:rsid w:val="002A4211"/>
    <w:rsid w:val="002A45CD"/>
    <w:rsid w:val="002A4693"/>
    <w:rsid w:val="002A49BC"/>
    <w:rsid w:val="002A4A98"/>
    <w:rsid w:val="002A4FD2"/>
    <w:rsid w:val="002A5759"/>
    <w:rsid w:val="002A5E2D"/>
    <w:rsid w:val="002A5F9A"/>
    <w:rsid w:val="002A6484"/>
    <w:rsid w:val="002A6570"/>
    <w:rsid w:val="002A67E0"/>
    <w:rsid w:val="002A6E29"/>
    <w:rsid w:val="002A705C"/>
    <w:rsid w:val="002A7569"/>
    <w:rsid w:val="002A7622"/>
    <w:rsid w:val="002A7CF7"/>
    <w:rsid w:val="002A7DBF"/>
    <w:rsid w:val="002B01FB"/>
    <w:rsid w:val="002B036C"/>
    <w:rsid w:val="002B05D7"/>
    <w:rsid w:val="002B0734"/>
    <w:rsid w:val="002B0F97"/>
    <w:rsid w:val="002B0FB6"/>
    <w:rsid w:val="002B16A7"/>
    <w:rsid w:val="002B1920"/>
    <w:rsid w:val="002B19CF"/>
    <w:rsid w:val="002B24C7"/>
    <w:rsid w:val="002B2C84"/>
    <w:rsid w:val="002B2DD3"/>
    <w:rsid w:val="002B2F76"/>
    <w:rsid w:val="002B3416"/>
    <w:rsid w:val="002B34DA"/>
    <w:rsid w:val="002B3CC6"/>
    <w:rsid w:val="002B46A8"/>
    <w:rsid w:val="002B479B"/>
    <w:rsid w:val="002B49A3"/>
    <w:rsid w:val="002B5097"/>
    <w:rsid w:val="002B563A"/>
    <w:rsid w:val="002B621B"/>
    <w:rsid w:val="002B6225"/>
    <w:rsid w:val="002B64FF"/>
    <w:rsid w:val="002B699A"/>
    <w:rsid w:val="002B6A2F"/>
    <w:rsid w:val="002B6A34"/>
    <w:rsid w:val="002B6E44"/>
    <w:rsid w:val="002B6EEE"/>
    <w:rsid w:val="002B71D8"/>
    <w:rsid w:val="002B7242"/>
    <w:rsid w:val="002B74E3"/>
    <w:rsid w:val="002B7560"/>
    <w:rsid w:val="002B7642"/>
    <w:rsid w:val="002B7740"/>
    <w:rsid w:val="002C02A7"/>
    <w:rsid w:val="002C04A3"/>
    <w:rsid w:val="002C0ABF"/>
    <w:rsid w:val="002C0C9F"/>
    <w:rsid w:val="002C0ED5"/>
    <w:rsid w:val="002C0FFE"/>
    <w:rsid w:val="002C1234"/>
    <w:rsid w:val="002C142A"/>
    <w:rsid w:val="002C148D"/>
    <w:rsid w:val="002C1562"/>
    <w:rsid w:val="002C1EC6"/>
    <w:rsid w:val="002C226C"/>
    <w:rsid w:val="002C2470"/>
    <w:rsid w:val="002C2557"/>
    <w:rsid w:val="002C28A6"/>
    <w:rsid w:val="002C2C22"/>
    <w:rsid w:val="002C2FAC"/>
    <w:rsid w:val="002C302B"/>
    <w:rsid w:val="002C3677"/>
    <w:rsid w:val="002C3D4B"/>
    <w:rsid w:val="002C3DFD"/>
    <w:rsid w:val="002C45A3"/>
    <w:rsid w:val="002C45C0"/>
    <w:rsid w:val="002C494F"/>
    <w:rsid w:val="002C50A7"/>
    <w:rsid w:val="002C516E"/>
    <w:rsid w:val="002C5417"/>
    <w:rsid w:val="002C59F3"/>
    <w:rsid w:val="002C5B48"/>
    <w:rsid w:val="002C6009"/>
    <w:rsid w:val="002C681F"/>
    <w:rsid w:val="002C6A13"/>
    <w:rsid w:val="002C6B8E"/>
    <w:rsid w:val="002C6CBA"/>
    <w:rsid w:val="002C798F"/>
    <w:rsid w:val="002C799B"/>
    <w:rsid w:val="002C7E43"/>
    <w:rsid w:val="002D016E"/>
    <w:rsid w:val="002D03FF"/>
    <w:rsid w:val="002D0522"/>
    <w:rsid w:val="002D0D36"/>
    <w:rsid w:val="002D0E7C"/>
    <w:rsid w:val="002D12DE"/>
    <w:rsid w:val="002D13CD"/>
    <w:rsid w:val="002D1977"/>
    <w:rsid w:val="002D1D20"/>
    <w:rsid w:val="002D22CB"/>
    <w:rsid w:val="002D2457"/>
    <w:rsid w:val="002D27E3"/>
    <w:rsid w:val="002D2807"/>
    <w:rsid w:val="002D2919"/>
    <w:rsid w:val="002D308D"/>
    <w:rsid w:val="002D379D"/>
    <w:rsid w:val="002D3C15"/>
    <w:rsid w:val="002D405B"/>
    <w:rsid w:val="002D40EC"/>
    <w:rsid w:val="002D478F"/>
    <w:rsid w:val="002D4853"/>
    <w:rsid w:val="002D4C19"/>
    <w:rsid w:val="002D4D33"/>
    <w:rsid w:val="002D4F6C"/>
    <w:rsid w:val="002D5050"/>
    <w:rsid w:val="002D50A1"/>
    <w:rsid w:val="002D55F7"/>
    <w:rsid w:val="002D5852"/>
    <w:rsid w:val="002D586B"/>
    <w:rsid w:val="002D592E"/>
    <w:rsid w:val="002D648E"/>
    <w:rsid w:val="002D6518"/>
    <w:rsid w:val="002D6736"/>
    <w:rsid w:val="002D689D"/>
    <w:rsid w:val="002D6E79"/>
    <w:rsid w:val="002D70A5"/>
    <w:rsid w:val="002D753D"/>
    <w:rsid w:val="002D78A7"/>
    <w:rsid w:val="002D7F34"/>
    <w:rsid w:val="002E0485"/>
    <w:rsid w:val="002E0545"/>
    <w:rsid w:val="002E0982"/>
    <w:rsid w:val="002E0DE1"/>
    <w:rsid w:val="002E0EA8"/>
    <w:rsid w:val="002E1126"/>
    <w:rsid w:val="002E119B"/>
    <w:rsid w:val="002E13D7"/>
    <w:rsid w:val="002E1F8A"/>
    <w:rsid w:val="002E2486"/>
    <w:rsid w:val="002E278E"/>
    <w:rsid w:val="002E2A0C"/>
    <w:rsid w:val="002E2CD8"/>
    <w:rsid w:val="002E32FA"/>
    <w:rsid w:val="002E3952"/>
    <w:rsid w:val="002E3FD5"/>
    <w:rsid w:val="002E40AB"/>
    <w:rsid w:val="002E41F9"/>
    <w:rsid w:val="002E4281"/>
    <w:rsid w:val="002E452D"/>
    <w:rsid w:val="002E47B1"/>
    <w:rsid w:val="002E47F4"/>
    <w:rsid w:val="002E4931"/>
    <w:rsid w:val="002E4A38"/>
    <w:rsid w:val="002E4A44"/>
    <w:rsid w:val="002E51D7"/>
    <w:rsid w:val="002E5B86"/>
    <w:rsid w:val="002E624C"/>
    <w:rsid w:val="002E656C"/>
    <w:rsid w:val="002E65CC"/>
    <w:rsid w:val="002E6782"/>
    <w:rsid w:val="002E6A9D"/>
    <w:rsid w:val="002E6EB0"/>
    <w:rsid w:val="002E6EE0"/>
    <w:rsid w:val="002E7048"/>
    <w:rsid w:val="002E7260"/>
    <w:rsid w:val="002E783C"/>
    <w:rsid w:val="002F000F"/>
    <w:rsid w:val="002F06C8"/>
    <w:rsid w:val="002F095F"/>
    <w:rsid w:val="002F0DB9"/>
    <w:rsid w:val="002F1496"/>
    <w:rsid w:val="002F162A"/>
    <w:rsid w:val="002F1670"/>
    <w:rsid w:val="002F1C48"/>
    <w:rsid w:val="002F268F"/>
    <w:rsid w:val="002F2AB9"/>
    <w:rsid w:val="002F2D62"/>
    <w:rsid w:val="002F2F7A"/>
    <w:rsid w:val="002F2FC3"/>
    <w:rsid w:val="002F3218"/>
    <w:rsid w:val="002F3281"/>
    <w:rsid w:val="002F3BA2"/>
    <w:rsid w:val="002F3DAC"/>
    <w:rsid w:val="002F4300"/>
    <w:rsid w:val="002F4472"/>
    <w:rsid w:val="002F44E3"/>
    <w:rsid w:val="002F45CF"/>
    <w:rsid w:val="002F4EB5"/>
    <w:rsid w:val="002F4F9A"/>
    <w:rsid w:val="002F5053"/>
    <w:rsid w:val="002F5BC9"/>
    <w:rsid w:val="002F692E"/>
    <w:rsid w:val="002F6B4F"/>
    <w:rsid w:val="002F6BE0"/>
    <w:rsid w:val="002F71D9"/>
    <w:rsid w:val="002F77F7"/>
    <w:rsid w:val="002F7865"/>
    <w:rsid w:val="002F7CAF"/>
    <w:rsid w:val="002F7FFD"/>
    <w:rsid w:val="00300258"/>
    <w:rsid w:val="0030049B"/>
    <w:rsid w:val="003008BA"/>
    <w:rsid w:val="003008CB"/>
    <w:rsid w:val="00300BB0"/>
    <w:rsid w:val="00300F33"/>
    <w:rsid w:val="003010FF"/>
    <w:rsid w:val="00301212"/>
    <w:rsid w:val="0030172D"/>
    <w:rsid w:val="0030198C"/>
    <w:rsid w:val="00301D99"/>
    <w:rsid w:val="003020F3"/>
    <w:rsid w:val="00302131"/>
    <w:rsid w:val="00302288"/>
    <w:rsid w:val="003023CF"/>
    <w:rsid w:val="0030273E"/>
    <w:rsid w:val="00302B63"/>
    <w:rsid w:val="00302C2E"/>
    <w:rsid w:val="00302F2F"/>
    <w:rsid w:val="00302F9D"/>
    <w:rsid w:val="00302FDA"/>
    <w:rsid w:val="003033DA"/>
    <w:rsid w:val="003039D2"/>
    <w:rsid w:val="00303DCB"/>
    <w:rsid w:val="00303E60"/>
    <w:rsid w:val="003045AF"/>
    <w:rsid w:val="00304739"/>
    <w:rsid w:val="00304769"/>
    <w:rsid w:val="003049F3"/>
    <w:rsid w:val="00304FA7"/>
    <w:rsid w:val="003050B9"/>
    <w:rsid w:val="003051CC"/>
    <w:rsid w:val="00305404"/>
    <w:rsid w:val="003057B2"/>
    <w:rsid w:val="00305E4D"/>
    <w:rsid w:val="00305F49"/>
    <w:rsid w:val="0030629C"/>
    <w:rsid w:val="003065CF"/>
    <w:rsid w:val="00306605"/>
    <w:rsid w:val="0030667C"/>
    <w:rsid w:val="00306706"/>
    <w:rsid w:val="00306F98"/>
    <w:rsid w:val="00307195"/>
    <w:rsid w:val="003071BE"/>
    <w:rsid w:val="00307B11"/>
    <w:rsid w:val="00307B3B"/>
    <w:rsid w:val="00307B78"/>
    <w:rsid w:val="003103EE"/>
    <w:rsid w:val="0031040E"/>
    <w:rsid w:val="00310A9A"/>
    <w:rsid w:val="0031156E"/>
    <w:rsid w:val="00311989"/>
    <w:rsid w:val="00311FC7"/>
    <w:rsid w:val="00312055"/>
    <w:rsid w:val="003124A6"/>
    <w:rsid w:val="00312746"/>
    <w:rsid w:val="00312B2A"/>
    <w:rsid w:val="00312BD5"/>
    <w:rsid w:val="00312F8F"/>
    <w:rsid w:val="003132BD"/>
    <w:rsid w:val="003136B4"/>
    <w:rsid w:val="00313BF3"/>
    <w:rsid w:val="00313E87"/>
    <w:rsid w:val="00314043"/>
    <w:rsid w:val="003146E5"/>
    <w:rsid w:val="003148D3"/>
    <w:rsid w:val="00314956"/>
    <w:rsid w:val="00314AAD"/>
    <w:rsid w:val="00314E3C"/>
    <w:rsid w:val="00314F31"/>
    <w:rsid w:val="003150BB"/>
    <w:rsid w:val="003151A1"/>
    <w:rsid w:val="003157AA"/>
    <w:rsid w:val="00315870"/>
    <w:rsid w:val="00315A38"/>
    <w:rsid w:val="00315CE9"/>
    <w:rsid w:val="00316747"/>
    <w:rsid w:val="00316B69"/>
    <w:rsid w:val="0031735A"/>
    <w:rsid w:val="0031763D"/>
    <w:rsid w:val="00317768"/>
    <w:rsid w:val="00317812"/>
    <w:rsid w:val="003178D8"/>
    <w:rsid w:val="00317942"/>
    <w:rsid w:val="00317A29"/>
    <w:rsid w:val="00317D05"/>
    <w:rsid w:val="0032028A"/>
    <w:rsid w:val="00320509"/>
    <w:rsid w:val="00320613"/>
    <w:rsid w:val="0032092E"/>
    <w:rsid w:val="003209A3"/>
    <w:rsid w:val="00320AE4"/>
    <w:rsid w:val="00320D0B"/>
    <w:rsid w:val="003217C4"/>
    <w:rsid w:val="003217D2"/>
    <w:rsid w:val="0032181C"/>
    <w:rsid w:val="003219AE"/>
    <w:rsid w:val="00321B30"/>
    <w:rsid w:val="003224C6"/>
    <w:rsid w:val="003225B2"/>
    <w:rsid w:val="00322698"/>
    <w:rsid w:val="0032321E"/>
    <w:rsid w:val="003236B7"/>
    <w:rsid w:val="0032371F"/>
    <w:rsid w:val="003238C9"/>
    <w:rsid w:val="00323944"/>
    <w:rsid w:val="0032401C"/>
    <w:rsid w:val="0032402C"/>
    <w:rsid w:val="003241DB"/>
    <w:rsid w:val="0032494F"/>
    <w:rsid w:val="00325141"/>
    <w:rsid w:val="0032518D"/>
    <w:rsid w:val="003253D4"/>
    <w:rsid w:val="003258B5"/>
    <w:rsid w:val="003258D7"/>
    <w:rsid w:val="00325905"/>
    <w:rsid w:val="00325ABE"/>
    <w:rsid w:val="00325D3A"/>
    <w:rsid w:val="00326023"/>
    <w:rsid w:val="00326F52"/>
    <w:rsid w:val="00326F8F"/>
    <w:rsid w:val="003271DF"/>
    <w:rsid w:val="00327376"/>
    <w:rsid w:val="003278B6"/>
    <w:rsid w:val="00327C95"/>
    <w:rsid w:val="00327D83"/>
    <w:rsid w:val="00327EBD"/>
    <w:rsid w:val="0033053F"/>
    <w:rsid w:val="00330557"/>
    <w:rsid w:val="003309AA"/>
    <w:rsid w:val="00330D2F"/>
    <w:rsid w:val="00330D7F"/>
    <w:rsid w:val="00330EA4"/>
    <w:rsid w:val="00330F22"/>
    <w:rsid w:val="003310D1"/>
    <w:rsid w:val="003311B8"/>
    <w:rsid w:val="003312EB"/>
    <w:rsid w:val="00331340"/>
    <w:rsid w:val="00331349"/>
    <w:rsid w:val="0033134F"/>
    <w:rsid w:val="0033149F"/>
    <w:rsid w:val="003318D2"/>
    <w:rsid w:val="00332253"/>
    <w:rsid w:val="0033254E"/>
    <w:rsid w:val="00332960"/>
    <w:rsid w:val="00332D3C"/>
    <w:rsid w:val="00333154"/>
    <w:rsid w:val="0033328B"/>
    <w:rsid w:val="00333670"/>
    <w:rsid w:val="00333B76"/>
    <w:rsid w:val="00333C84"/>
    <w:rsid w:val="003341BC"/>
    <w:rsid w:val="00334444"/>
    <w:rsid w:val="003344E6"/>
    <w:rsid w:val="00334A39"/>
    <w:rsid w:val="00334D1A"/>
    <w:rsid w:val="00334D6C"/>
    <w:rsid w:val="00334EAA"/>
    <w:rsid w:val="003351CB"/>
    <w:rsid w:val="00335207"/>
    <w:rsid w:val="00335358"/>
    <w:rsid w:val="003354A5"/>
    <w:rsid w:val="003355F2"/>
    <w:rsid w:val="00335722"/>
    <w:rsid w:val="003357B3"/>
    <w:rsid w:val="00336055"/>
    <w:rsid w:val="003360C8"/>
    <w:rsid w:val="003361A4"/>
    <w:rsid w:val="003364F4"/>
    <w:rsid w:val="0033663D"/>
    <w:rsid w:val="003370E9"/>
    <w:rsid w:val="0033753F"/>
    <w:rsid w:val="00337A7F"/>
    <w:rsid w:val="00337B36"/>
    <w:rsid w:val="003400C9"/>
    <w:rsid w:val="00340EEA"/>
    <w:rsid w:val="00341196"/>
    <w:rsid w:val="003412DC"/>
    <w:rsid w:val="003416C6"/>
    <w:rsid w:val="0034175B"/>
    <w:rsid w:val="00341760"/>
    <w:rsid w:val="003418F2"/>
    <w:rsid w:val="00341B04"/>
    <w:rsid w:val="00341B34"/>
    <w:rsid w:val="00341BF1"/>
    <w:rsid w:val="00341D3B"/>
    <w:rsid w:val="00342152"/>
    <w:rsid w:val="003423D2"/>
    <w:rsid w:val="0034295A"/>
    <w:rsid w:val="00342D47"/>
    <w:rsid w:val="0034319E"/>
    <w:rsid w:val="003431E0"/>
    <w:rsid w:val="00343707"/>
    <w:rsid w:val="00343B51"/>
    <w:rsid w:val="00343D4A"/>
    <w:rsid w:val="00343E6D"/>
    <w:rsid w:val="00344099"/>
    <w:rsid w:val="00344A7F"/>
    <w:rsid w:val="00344AA7"/>
    <w:rsid w:val="00344C9B"/>
    <w:rsid w:val="00345287"/>
    <w:rsid w:val="00345398"/>
    <w:rsid w:val="003454DF"/>
    <w:rsid w:val="003455B0"/>
    <w:rsid w:val="0034579E"/>
    <w:rsid w:val="00345809"/>
    <w:rsid w:val="003459EB"/>
    <w:rsid w:val="00345DB3"/>
    <w:rsid w:val="00345E8B"/>
    <w:rsid w:val="003463E0"/>
    <w:rsid w:val="00346503"/>
    <w:rsid w:val="00346B88"/>
    <w:rsid w:val="00346E9A"/>
    <w:rsid w:val="003473F9"/>
    <w:rsid w:val="00347498"/>
    <w:rsid w:val="003476DA"/>
    <w:rsid w:val="0035039C"/>
    <w:rsid w:val="003505A5"/>
    <w:rsid w:val="003507AD"/>
    <w:rsid w:val="0035080A"/>
    <w:rsid w:val="003508B8"/>
    <w:rsid w:val="00350E91"/>
    <w:rsid w:val="003511FF"/>
    <w:rsid w:val="0035169C"/>
    <w:rsid w:val="003516FF"/>
    <w:rsid w:val="00351C75"/>
    <w:rsid w:val="00351F53"/>
    <w:rsid w:val="00351F92"/>
    <w:rsid w:val="00352014"/>
    <w:rsid w:val="0035234D"/>
    <w:rsid w:val="0035246B"/>
    <w:rsid w:val="00352596"/>
    <w:rsid w:val="00352721"/>
    <w:rsid w:val="00352E8E"/>
    <w:rsid w:val="00353034"/>
    <w:rsid w:val="003533B9"/>
    <w:rsid w:val="00353964"/>
    <w:rsid w:val="0035399F"/>
    <w:rsid w:val="00353CEA"/>
    <w:rsid w:val="003541B3"/>
    <w:rsid w:val="003542DD"/>
    <w:rsid w:val="00354581"/>
    <w:rsid w:val="00354A26"/>
    <w:rsid w:val="0035562F"/>
    <w:rsid w:val="00355760"/>
    <w:rsid w:val="003559F5"/>
    <w:rsid w:val="00355A1B"/>
    <w:rsid w:val="00355ADB"/>
    <w:rsid w:val="00355DA0"/>
    <w:rsid w:val="00356B3C"/>
    <w:rsid w:val="00356E15"/>
    <w:rsid w:val="0035742D"/>
    <w:rsid w:val="00357A00"/>
    <w:rsid w:val="00357BB6"/>
    <w:rsid w:val="00360530"/>
    <w:rsid w:val="00360CDB"/>
    <w:rsid w:val="00360E79"/>
    <w:rsid w:val="00360ED3"/>
    <w:rsid w:val="00361034"/>
    <w:rsid w:val="00361A52"/>
    <w:rsid w:val="00361C71"/>
    <w:rsid w:val="00361EAB"/>
    <w:rsid w:val="0036203D"/>
    <w:rsid w:val="003622D6"/>
    <w:rsid w:val="00362442"/>
    <w:rsid w:val="003626D4"/>
    <w:rsid w:val="0036281E"/>
    <w:rsid w:val="003629D6"/>
    <w:rsid w:val="00362AF3"/>
    <w:rsid w:val="00362CCC"/>
    <w:rsid w:val="00362F39"/>
    <w:rsid w:val="00363BBA"/>
    <w:rsid w:val="00363D18"/>
    <w:rsid w:val="00363F76"/>
    <w:rsid w:val="00363F82"/>
    <w:rsid w:val="003643CB"/>
    <w:rsid w:val="003643F9"/>
    <w:rsid w:val="0036473A"/>
    <w:rsid w:val="0036481E"/>
    <w:rsid w:val="00364968"/>
    <w:rsid w:val="00364CB0"/>
    <w:rsid w:val="00365537"/>
    <w:rsid w:val="00365BC6"/>
    <w:rsid w:val="00365E02"/>
    <w:rsid w:val="003661C6"/>
    <w:rsid w:val="003661E9"/>
    <w:rsid w:val="00366252"/>
    <w:rsid w:val="0036659A"/>
    <w:rsid w:val="0036698B"/>
    <w:rsid w:val="00366DDA"/>
    <w:rsid w:val="00366DDB"/>
    <w:rsid w:val="00366FC9"/>
    <w:rsid w:val="00367184"/>
    <w:rsid w:val="0037027A"/>
    <w:rsid w:val="0037057D"/>
    <w:rsid w:val="00370B39"/>
    <w:rsid w:val="00370D2D"/>
    <w:rsid w:val="00370EE9"/>
    <w:rsid w:val="00370F43"/>
    <w:rsid w:val="003710A9"/>
    <w:rsid w:val="00371D5C"/>
    <w:rsid w:val="00371FAF"/>
    <w:rsid w:val="0037216B"/>
    <w:rsid w:val="00372237"/>
    <w:rsid w:val="00372662"/>
    <w:rsid w:val="00372CEF"/>
    <w:rsid w:val="00372F3F"/>
    <w:rsid w:val="003742ED"/>
    <w:rsid w:val="003745FC"/>
    <w:rsid w:val="00374725"/>
    <w:rsid w:val="003747FC"/>
    <w:rsid w:val="00374990"/>
    <w:rsid w:val="00374BB6"/>
    <w:rsid w:val="00374BCA"/>
    <w:rsid w:val="00374C2B"/>
    <w:rsid w:val="00374CA9"/>
    <w:rsid w:val="0037507B"/>
    <w:rsid w:val="00375346"/>
    <w:rsid w:val="00375850"/>
    <w:rsid w:val="00375898"/>
    <w:rsid w:val="00375AB5"/>
    <w:rsid w:val="00375AC1"/>
    <w:rsid w:val="00375B96"/>
    <w:rsid w:val="00376028"/>
    <w:rsid w:val="00376171"/>
    <w:rsid w:val="00376259"/>
    <w:rsid w:val="003762F7"/>
    <w:rsid w:val="00376F1F"/>
    <w:rsid w:val="00376FDC"/>
    <w:rsid w:val="00377727"/>
    <w:rsid w:val="00377879"/>
    <w:rsid w:val="00377894"/>
    <w:rsid w:val="00377F45"/>
    <w:rsid w:val="0038044C"/>
    <w:rsid w:val="003805AF"/>
    <w:rsid w:val="00380C78"/>
    <w:rsid w:val="003813C2"/>
    <w:rsid w:val="00381483"/>
    <w:rsid w:val="003815F5"/>
    <w:rsid w:val="0038268A"/>
    <w:rsid w:val="00382749"/>
    <w:rsid w:val="00382DB6"/>
    <w:rsid w:val="00382E2D"/>
    <w:rsid w:val="00382E99"/>
    <w:rsid w:val="003837F8"/>
    <w:rsid w:val="0038381B"/>
    <w:rsid w:val="00383C99"/>
    <w:rsid w:val="00383FC0"/>
    <w:rsid w:val="00384049"/>
    <w:rsid w:val="003844CE"/>
    <w:rsid w:val="00384692"/>
    <w:rsid w:val="00384F94"/>
    <w:rsid w:val="00385011"/>
    <w:rsid w:val="00385164"/>
    <w:rsid w:val="0038526E"/>
    <w:rsid w:val="00385505"/>
    <w:rsid w:val="003859D8"/>
    <w:rsid w:val="00385A47"/>
    <w:rsid w:val="00385BFF"/>
    <w:rsid w:val="00385C3C"/>
    <w:rsid w:val="00385FF6"/>
    <w:rsid w:val="0038620A"/>
    <w:rsid w:val="0038663E"/>
    <w:rsid w:val="003868AA"/>
    <w:rsid w:val="003868F9"/>
    <w:rsid w:val="00386CC3"/>
    <w:rsid w:val="00386DA6"/>
    <w:rsid w:val="003872A4"/>
    <w:rsid w:val="00387D27"/>
    <w:rsid w:val="00387D49"/>
    <w:rsid w:val="003901A4"/>
    <w:rsid w:val="00390397"/>
    <w:rsid w:val="003904E3"/>
    <w:rsid w:val="00390990"/>
    <w:rsid w:val="00390B3F"/>
    <w:rsid w:val="00390B93"/>
    <w:rsid w:val="00391824"/>
    <w:rsid w:val="003919EC"/>
    <w:rsid w:val="00391EDA"/>
    <w:rsid w:val="00391F80"/>
    <w:rsid w:val="0039212B"/>
    <w:rsid w:val="0039227E"/>
    <w:rsid w:val="0039248F"/>
    <w:rsid w:val="003925A1"/>
    <w:rsid w:val="0039293C"/>
    <w:rsid w:val="00392A69"/>
    <w:rsid w:val="00392E5C"/>
    <w:rsid w:val="00392ED2"/>
    <w:rsid w:val="00392FBC"/>
    <w:rsid w:val="00392FDF"/>
    <w:rsid w:val="0039312A"/>
    <w:rsid w:val="00393195"/>
    <w:rsid w:val="00393325"/>
    <w:rsid w:val="0039351D"/>
    <w:rsid w:val="0039386F"/>
    <w:rsid w:val="00393C26"/>
    <w:rsid w:val="00393E07"/>
    <w:rsid w:val="0039414B"/>
    <w:rsid w:val="0039453A"/>
    <w:rsid w:val="00394A2B"/>
    <w:rsid w:val="00394AB0"/>
    <w:rsid w:val="00394B5C"/>
    <w:rsid w:val="00394CC3"/>
    <w:rsid w:val="00394D56"/>
    <w:rsid w:val="0039529C"/>
    <w:rsid w:val="003952AD"/>
    <w:rsid w:val="00395984"/>
    <w:rsid w:val="00395D81"/>
    <w:rsid w:val="00395F70"/>
    <w:rsid w:val="00396404"/>
    <w:rsid w:val="00396877"/>
    <w:rsid w:val="00396AD8"/>
    <w:rsid w:val="00396C58"/>
    <w:rsid w:val="00396ED0"/>
    <w:rsid w:val="00397EF6"/>
    <w:rsid w:val="00397F4C"/>
    <w:rsid w:val="003A0120"/>
    <w:rsid w:val="003A0193"/>
    <w:rsid w:val="003A0ABA"/>
    <w:rsid w:val="003A0B21"/>
    <w:rsid w:val="003A121E"/>
    <w:rsid w:val="003A12D7"/>
    <w:rsid w:val="003A136E"/>
    <w:rsid w:val="003A173C"/>
    <w:rsid w:val="003A1B8D"/>
    <w:rsid w:val="003A1C85"/>
    <w:rsid w:val="003A1CA9"/>
    <w:rsid w:val="003A1D9F"/>
    <w:rsid w:val="003A21E3"/>
    <w:rsid w:val="003A3130"/>
    <w:rsid w:val="003A327B"/>
    <w:rsid w:val="003A4599"/>
    <w:rsid w:val="003A4A16"/>
    <w:rsid w:val="003A4D02"/>
    <w:rsid w:val="003A5055"/>
    <w:rsid w:val="003A5E8C"/>
    <w:rsid w:val="003A603C"/>
    <w:rsid w:val="003A676C"/>
    <w:rsid w:val="003A69E2"/>
    <w:rsid w:val="003A6D92"/>
    <w:rsid w:val="003A7AD7"/>
    <w:rsid w:val="003A7BFC"/>
    <w:rsid w:val="003A7CD6"/>
    <w:rsid w:val="003B00F3"/>
    <w:rsid w:val="003B0687"/>
    <w:rsid w:val="003B0C18"/>
    <w:rsid w:val="003B1253"/>
    <w:rsid w:val="003B1F5D"/>
    <w:rsid w:val="003B24E9"/>
    <w:rsid w:val="003B2870"/>
    <w:rsid w:val="003B2BB8"/>
    <w:rsid w:val="003B2C3E"/>
    <w:rsid w:val="003B2D31"/>
    <w:rsid w:val="003B31CB"/>
    <w:rsid w:val="003B334E"/>
    <w:rsid w:val="003B33F4"/>
    <w:rsid w:val="003B37C5"/>
    <w:rsid w:val="003B3A99"/>
    <w:rsid w:val="003B3DBE"/>
    <w:rsid w:val="003B3FB8"/>
    <w:rsid w:val="003B42F4"/>
    <w:rsid w:val="003B4367"/>
    <w:rsid w:val="003B45AB"/>
    <w:rsid w:val="003B4C6C"/>
    <w:rsid w:val="003B5312"/>
    <w:rsid w:val="003B5383"/>
    <w:rsid w:val="003B59EA"/>
    <w:rsid w:val="003B5AEF"/>
    <w:rsid w:val="003B5D2F"/>
    <w:rsid w:val="003B5E1C"/>
    <w:rsid w:val="003B6145"/>
    <w:rsid w:val="003B6725"/>
    <w:rsid w:val="003B6899"/>
    <w:rsid w:val="003B69FC"/>
    <w:rsid w:val="003B6AA1"/>
    <w:rsid w:val="003B6C96"/>
    <w:rsid w:val="003B6D3B"/>
    <w:rsid w:val="003B6F2C"/>
    <w:rsid w:val="003B7616"/>
    <w:rsid w:val="003B7A88"/>
    <w:rsid w:val="003B7CAD"/>
    <w:rsid w:val="003B7CD3"/>
    <w:rsid w:val="003C01BB"/>
    <w:rsid w:val="003C0251"/>
    <w:rsid w:val="003C0769"/>
    <w:rsid w:val="003C07A3"/>
    <w:rsid w:val="003C0C06"/>
    <w:rsid w:val="003C0FE4"/>
    <w:rsid w:val="003C1031"/>
    <w:rsid w:val="003C1861"/>
    <w:rsid w:val="003C1B5B"/>
    <w:rsid w:val="003C1EBB"/>
    <w:rsid w:val="003C1EF4"/>
    <w:rsid w:val="003C1FCF"/>
    <w:rsid w:val="003C225C"/>
    <w:rsid w:val="003C2836"/>
    <w:rsid w:val="003C2AEB"/>
    <w:rsid w:val="003C2AF9"/>
    <w:rsid w:val="003C2B77"/>
    <w:rsid w:val="003C2B7D"/>
    <w:rsid w:val="003C2EA7"/>
    <w:rsid w:val="003C3296"/>
    <w:rsid w:val="003C34EC"/>
    <w:rsid w:val="003C364A"/>
    <w:rsid w:val="003C387A"/>
    <w:rsid w:val="003C3D06"/>
    <w:rsid w:val="003C3E4C"/>
    <w:rsid w:val="003C4439"/>
    <w:rsid w:val="003C44B7"/>
    <w:rsid w:val="003C44D4"/>
    <w:rsid w:val="003C4B56"/>
    <w:rsid w:val="003C514C"/>
    <w:rsid w:val="003C5B24"/>
    <w:rsid w:val="003C5F04"/>
    <w:rsid w:val="003C5FDC"/>
    <w:rsid w:val="003C6775"/>
    <w:rsid w:val="003C67BB"/>
    <w:rsid w:val="003C68A4"/>
    <w:rsid w:val="003C6B85"/>
    <w:rsid w:val="003C6D4B"/>
    <w:rsid w:val="003C701A"/>
    <w:rsid w:val="003C76DF"/>
    <w:rsid w:val="003C78F2"/>
    <w:rsid w:val="003C7947"/>
    <w:rsid w:val="003C7BD3"/>
    <w:rsid w:val="003C7F40"/>
    <w:rsid w:val="003D080F"/>
    <w:rsid w:val="003D0C60"/>
    <w:rsid w:val="003D11DB"/>
    <w:rsid w:val="003D192B"/>
    <w:rsid w:val="003D1EFF"/>
    <w:rsid w:val="003D2757"/>
    <w:rsid w:val="003D282A"/>
    <w:rsid w:val="003D2835"/>
    <w:rsid w:val="003D290F"/>
    <w:rsid w:val="003D2D78"/>
    <w:rsid w:val="003D2DC2"/>
    <w:rsid w:val="003D2FED"/>
    <w:rsid w:val="003D34B7"/>
    <w:rsid w:val="003D34FF"/>
    <w:rsid w:val="003D3B4F"/>
    <w:rsid w:val="003D3FB3"/>
    <w:rsid w:val="003D40B2"/>
    <w:rsid w:val="003D41A0"/>
    <w:rsid w:val="003D4502"/>
    <w:rsid w:val="003D4803"/>
    <w:rsid w:val="003D4ABD"/>
    <w:rsid w:val="003D4C49"/>
    <w:rsid w:val="003D52F2"/>
    <w:rsid w:val="003D592B"/>
    <w:rsid w:val="003D592C"/>
    <w:rsid w:val="003D5A6C"/>
    <w:rsid w:val="003D5BEC"/>
    <w:rsid w:val="003D5C00"/>
    <w:rsid w:val="003D6630"/>
    <w:rsid w:val="003D6AF0"/>
    <w:rsid w:val="003D76F9"/>
    <w:rsid w:val="003D7742"/>
    <w:rsid w:val="003D785C"/>
    <w:rsid w:val="003D78DE"/>
    <w:rsid w:val="003D7B8C"/>
    <w:rsid w:val="003D7B9A"/>
    <w:rsid w:val="003D7E83"/>
    <w:rsid w:val="003E0269"/>
    <w:rsid w:val="003E03B6"/>
    <w:rsid w:val="003E0874"/>
    <w:rsid w:val="003E0BC3"/>
    <w:rsid w:val="003E10ED"/>
    <w:rsid w:val="003E13FA"/>
    <w:rsid w:val="003E16BD"/>
    <w:rsid w:val="003E17EC"/>
    <w:rsid w:val="003E1B0C"/>
    <w:rsid w:val="003E1EDF"/>
    <w:rsid w:val="003E1FC9"/>
    <w:rsid w:val="003E20D5"/>
    <w:rsid w:val="003E219C"/>
    <w:rsid w:val="003E24DE"/>
    <w:rsid w:val="003E267E"/>
    <w:rsid w:val="003E26A2"/>
    <w:rsid w:val="003E277A"/>
    <w:rsid w:val="003E27F2"/>
    <w:rsid w:val="003E2B62"/>
    <w:rsid w:val="003E326F"/>
    <w:rsid w:val="003E331F"/>
    <w:rsid w:val="003E380C"/>
    <w:rsid w:val="003E3BFB"/>
    <w:rsid w:val="003E3E8B"/>
    <w:rsid w:val="003E40CE"/>
    <w:rsid w:val="003E411F"/>
    <w:rsid w:val="003E4A09"/>
    <w:rsid w:val="003E5781"/>
    <w:rsid w:val="003E59DF"/>
    <w:rsid w:val="003E5C25"/>
    <w:rsid w:val="003E5D03"/>
    <w:rsid w:val="003E5DDB"/>
    <w:rsid w:val="003E5E70"/>
    <w:rsid w:val="003E6A6C"/>
    <w:rsid w:val="003E6C21"/>
    <w:rsid w:val="003E72BD"/>
    <w:rsid w:val="003E746C"/>
    <w:rsid w:val="003E7603"/>
    <w:rsid w:val="003E782A"/>
    <w:rsid w:val="003E7854"/>
    <w:rsid w:val="003F01F7"/>
    <w:rsid w:val="003F02DB"/>
    <w:rsid w:val="003F04DD"/>
    <w:rsid w:val="003F06C4"/>
    <w:rsid w:val="003F0AE5"/>
    <w:rsid w:val="003F0EFB"/>
    <w:rsid w:val="003F1263"/>
    <w:rsid w:val="003F13B2"/>
    <w:rsid w:val="003F13C3"/>
    <w:rsid w:val="003F1D52"/>
    <w:rsid w:val="003F2174"/>
    <w:rsid w:val="003F285F"/>
    <w:rsid w:val="003F303A"/>
    <w:rsid w:val="003F31C5"/>
    <w:rsid w:val="003F38ED"/>
    <w:rsid w:val="003F4168"/>
    <w:rsid w:val="003F41B8"/>
    <w:rsid w:val="003F4296"/>
    <w:rsid w:val="003F4994"/>
    <w:rsid w:val="003F4B9F"/>
    <w:rsid w:val="003F5600"/>
    <w:rsid w:val="003F5A89"/>
    <w:rsid w:val="003F6179"/>
    <w:rsid w:val="003F62C3"/>
    <w:rsid w:val="003F6352"/>
    <w:rsid w:val="003F64E5"/>
    <w:rsid w:val="003F661F"/>
    <w:rsid w:val="003F6624"/>
    <w:rsid w:val="003F6A37"/>
    <w:rsid w:val="003F6D5F"/>
    <w:rsid w:val="003F6F07"/>
    <w:rsid w:val="003F75B4"/>
    <w:rsid w:val="003F76F1"/>
    <w:rsid w:val="003F794C"/>
    <w:rsid w:val="003F7D1D"/>
    <w:rsid w:val="0040032D"/>
    <w:rsid w:val="0040065F"/>
    <w:rsid w:val="00400C3F"/>
    <w:rsid w:val="004016C2"/>
    <w:rsid w:val="0040170B"/>
    <w:rsid w:val="004019B2"/>
    <w:rsid w:val="004019F0"/>
    <w:rsid w:val="00401A2E"/>
    <w:rsid w:val="00401C02"/>
    <w:rsid w:val="0040226F"/>
    <w:rsid w:val="004029F0"/>
    <w:rsid w:val="00402A8A"/>
    <w:rsid w:val="00402B30"/>
    <w:rsid w:val="00402B99"/>
    <w:rsid w:val="00402C97"/>
    <w:rsid w:val="00402CDD"/>
    <w:rsid w:val="00403697"/>
    <w:rsid w:val="00403F5E"/>
    <w:rsid w:val="00404662"/>
    <w:rsid w:val="0040467D"/>
    <w:rsid w:val="00404B89"/>
    <w:rsid w:val="00404C78"/>
    <w:rsid w:val="00404EC1"/>
    <w:rsid w:val="004050C9"/>
    <w:rsid w:val="004052A3"/>
    <w:rsid w:val="004055B0"/>
    <w:rsid w:val="0040564F"/>
    <w:rsid w:val="00406381"/>
    <w:rsid w:val="0040659A"/>
    <w:rsid w:val="004065EB"/>
    <w:rsid w:val="00406EC8"/>
    <w:rsid w:val="00406EED"/>
    <w:rsid w:val="00407432"/>
    <w:rsid w:val="00407513"/>
    <w:rsid w:val="004076CE"/>
    <w:rsid w:val="0040776E"/>
    <w:rsid w:val="00407917"/>
    <w:rsid w:val="00410231"/>
    <w:rsid w:val="00410282"/>
    <w:rsid w:val="00410857"/>
    <w:rsid w:val="004108D6"/>
    <w:rsid w:val="00410A60"/>
    <w:rsid w:val="00410BE4"/>
    <w:rsid w:val="00411AF9"/>
    <w:rsid w:val="00411C57"/>
    <w:rsid w:val="00411DAE"/>
    <w:rsid w:val="00412682"/>
    <w:rsid w:val="00412E85"/>
    <w:rsid w:val="00413101"/>
    <w:rsid w:val="004136B5"/>
    <w:rsid w:val="00413952"/>
    <w:rsid w:val="00414121"/>
    <w:rsid w:val="004147BE"/>
    <w:rsid w:val="00414A2F"/>
    <w:rsid w:val="00414EE7"/>
    <w:rsid w:val="004151A4"/>
    <w:rsid w:val="00415263"/>
    <w:rsid w:val="00415A90"/>
    <w:rsid w:val="00415AA7"/>
    <w:rsid w:val="00415D22"/>
    <w:rsid w:val="00415DD6"/>
    <w:rsid w:val="00415E79"/>
    <w:rsid w:val="00416694"/>
    <w:rsid w:val="004166C5"/>
    <w:rsid w:val="0041673A"/>
    <w:rsid w:val="0041695A"/>
    <w:rsid w:val="00417009"/>
    <w:rsid w:val="0041757F"/>
    <w:rsid w:val="004175B6"/>
    <w:rsid w:val="00417752"/>
    <w:rsid w:val="00417E4B"/>
    <w:rsid w:val="00417F0C"/>
    <w:rsid w:val="00417F1F"/>
    <w:rsid w:val="00420379"/>
    <w:rsid w:val="004207D8"/>
    <w:rsid w:val="00420CCF"/>
    <w:rsid w:val="00421059"/>
    <w:rsid w:val="004212B0"/>
    <w:rsid w:val="004212C6"/>
    <w:rsid w:val="00421645"/>
    <w:rsid w:val="00421B2B"/>
    <w:rsid w:val="00421D82"/>
    <w:rsid w:val="00421E1F"/>
    <w:rsid w:val="004221AD"/>
    <w:rsid w:val="0042225F"/>
    <w:rsid w:val="0042267B"/>
    <w:rsid w:val="00422733"/>
    <w:rsid w:val="00422944"/>
    <w:rsid w:val="00422A21"/>
    <w:rsid w:val="00422DD2"/>
    <w:rsid w:val="00423472"/>
    <w:rsid w:val="00423617"/>
    <w:rsid w:val="004236EC"/>
    <w:rsid w:val="004239E5"/>
    <w:rsid w:val="00423DD3"/>
    <w:rsid w:val="00423E94"/>
    <w:rsid w:val="00423F27"/>
    <w:rsid w:val="00424261"/>
    <w:rsid w:val="00424529"/>
    <w:rsid w:val="00424687"/>
    <w:rsid w:val="004255E1"/>
    <w:rsid w:val="00425D97"/>
    <w:rsid w:val="0042674B"/>
    <w:rsid w:val="0042676A"/>
    <w:rsid w:val="0042687B"/>
    <w:rsid w:val="00427F20"/>
    <w:rsid w:val="004308CF"/>
    <w:rsid w:val="0043090C"/>
    <w:rsid w:val="00431225"/>
    <w:rsid w:val="004316C2"/>
    <w:rsid w:val="00431810"/>
    <w:rsid w:val="004318F1"/>
    <w:rsid w:val="00431AAD"/>
    <w:rsid w:val="00431DE0"/>
    <w:rsid w:val="00431F77"/>
    <w:rsid w:val="004320D5"/>
    <w:rsid w:val="004322D9"/>
    <w:rsid w:val="004322ED"/>
    <w:rsid w:val="00432433"/>
    <w:rsid w:val="00432866"/>
    <w:rsid w:val="004328CB"/>
    <w:rsid w:val="004329BD"/>
    <w:rsid w:val="0043325E"/>
    <w:rsid w:val="00433473"/>
    <w:rsid w:val="00433E09"/>
    <w:rsid w:val="0043418A"/>
    <w:rsid w:val="00434741"/>
    <w:rsid w:val="0043477B"/>
    <w:rsid w:val="00434C1B"/>
    <w:rsid w:val="00434E71"/>
    <w:rsid w:val="00434EC0"/>
    <w:rsid w:val="00435485"/>
    <w:rsid w:val="00435C74"/>
    <w:rsid w:val="00435CB2"/>
    <w:rsid w:val="00436239"/>
    <w:rsid w:val="00436DBF"/>
    <w:rsid w:val="004372B2"/>
    <w:rsid w:val="00437639"/>
    <w:rsid w:val="0043770F"/>
    <w:rsid w:val="004378E2"/>
    <w:rsid w:val="00437932"/>
    <w:rsid w:val="00437BA3"/>
    <w:rsid w:val="00437C98"/>
    <w:rsid w:val="004400B5"/>
    <w:rsid w:val="004401FF"/>
    <w:rsid w:val="004402F9"/>
    <w:rsid w:val="00440542"/>
    <w:rsid w:val="0044079D"/>
    <w:rsid w:val="00440B1C"/>
    <w:rsid w:val="00440CB8"/>
    <w:rsid w:val="00440D7E"/>
    <w:rsid w:val="00441FC6"/>
    <w:rsid w:val="0044217D"/>
    <w:rsid w:val="004422E2"/>
    <w:rsid w:val="004423AB"/>
    <w:rsid w:val="004424F1"/>
    <w:rsid w:val="00442548"/>
    <w:rsid w:val="0044254B"/>
    <w:rsid w:val="004427E4"/>
    <w:rsid w:val="00442AAF"/>
    <w:rsid w:val="00442CEE"/>
    <w:rsid w:val="004430E5"/>
    <w:rsid w:val="004432A8"/>
    <w:rsid w:val="004437B4"/>
    <w:rsid w:val="00443894"/>
    <w:rsid w:val="00443A3A"/>
    <w:rsid w:val="00443BD4"/>
    <w:rsid w:val="0044467D"/>
    <w:rsid w:val="00444959"/>
    <w:rsid w:val="00444EED"/>
    <w:rsid w:val="00445501"/>
    <w:rsid w:val="00445737"/>
    <w:rsid w:val="0044580A"/>
    <w:rsid w:val="00445B05"/>
    <w:rsid w:val="00445C09"/>
    <w:rsid w:val="00445FC8"/>
    <w:rsid w:val="00446272"/>
    <w:rsid w:val="0044666E"/>
    <w:rsid w:val="00446675"/>
    <w:rsid w:val="00446A8E"/>
    <w:rsid w:val="00446AD7"/>
    <w:rsid w:val="004470B0"/>
    <w:rsid w:val="004473FE"/>
    <w:rsid w:val="00447459"/>
    <w:rsid w:val="00447B3D"/>
    <w:rsid w:val="00447FA3"/>
    <w:rsid w:val="00450088"/>
    <w:rsid w:val="004500E0"/>
    <w:rsid w:val="00450183"/>
    <w:rsid w:val="00450198"/>
    <w:rsid w:val="004502E5"/>
    <w:rsid w:val="004502F1"/>
    <w:rsid w:val="00450443"/>
    <w:rsid w:val="00450454"/>
    <w:rsid w:val="0045060A"/>
    <w:rsid w:val="00450BF4"/>
    <w:rsid w:val="00450D60"/>
    <w:rsid w:val="00450F67"/>
    <w:rsid w:val="004512CA"/>
    <w:rsid w:val="0045133F"/>
    <w:rsid w:val="00451618"/>
    <w:rsid w:val="00451847"/>
    <w:rsid w:val="0045189A"/>
    <w:rsid w:val="0045248D"/>
    <w:rsid w:val="00452491"/>
    <w:rsid w:val="00452726"/>
    <w:rsid w:val="00452813"/>
    <w:rsid w:val="0045298B"/>
    <w:rsid w:val="00452C19"/>
    <w:rsid w:val="00452D04"/>
    <w:rsid w:val="00453528"/>
    <w:rsid w:val="00453933"/>
    <w:rsid w:val="00453E56"/>
    <w:rsid w:val="00453F3D"/>
    <w:rsid w:val="004540BF"/>
    <w:rsid w:val="0045413E"/>
    <w:rsid w:val="004541B7"/>
    <w:rsid w:val="00454350"/>
    <w:rsid w:val="004543C0"/>
    <w:rsid w:val="0045491A"/>
    <w:rsid w:val="00454B89"/>
    <w:rsid w:val="00454E16"/>
    <w:rsid w:val="004550F2"/>
    <w:rsid w:val="00455408"/>
    <w:rsid w:val="0045594E"/>
    <w:rsid w:val="00455F21"/>
    <w:rsid w:val="004560A0"/>
    <w:rsid w:val="0045613A"/>
    <w:rsid w:val="0045620B"/>
    <w:rsid w:val="0045632C"/>
    <w:rsid w:val="00456EB8"/>
    <w:rsid w:val="00457152"/>
    <w:rsid w:val="0045744C"/>
    <w:rsid w:val="0045761D"/>
    <w:rsid w:val="0045765E"/>
    <w:rsid w:val="00457B39"/>
    <w:rsid w:val="00457EF4"/>
    <w:rsid w:val="00460015"/>
    <w:rsid w:val="0046025C"/>
    <w:rsid w:val="004602E9"/>
    <w:rsid w:val="00460502"/>
    <w:rsid w:val="00460840"/>
    <w:rsid w:val="00460992"/>
    <w:rsid w:val="00460A0F"/>
    <w:rsid w:val="004611CA"/>
    <w:rsid w:val="00461DAE"/>
    <w:rsid w:val="0046203D"/>
    <w:rsid w:val="004621A1"/>
    <w:rsid w:val="00462250"/>
    <w:rsid w:val="00462CA0"/>
    <w:rsid w:val="00462D7A"/>
    <w:rsid w:val="0046339A"/>
    <w:rsid w:val="0046348E"/>
    <w:rsid w:val="00463565"/>
    <w:rsid w:val="004636D4"/>
    <w:rsid w:val="0046371A"/>
    <w:rsid w:val="00463BC2"/>
    <w:rsid w:val="00463E70"/>
    <w:rsid w:val="00464314"/>
    <w:rsid w:val="00464606"/>
    <w:rsid w:val="004651B2"/>
    <w:rsid w:val="004655E1"/>
    <w:rsid w:val="00465821"/>
    <w:rsid w:val="00465AB0"/>
    <w:rsid w:val="00465D1B"/>
    <w:rsid w:val="00466304"/>
    <w:rsid w:val="00466335"/>
    <w:rsid w:val="0046649A"/>
    <w:rsid w:val="00466686"/>
    <w:rsid w:val="00466812"/>
    <w:rsid w:val="00466924"/>
    <w:rsid w:val="00466A26"/>
    <w:rsid w:val="00466D79"/>
    <w:rsid w:val="00466D7F"/>
    <w:rsid w:val="0046710A"/>
    <w:rsid w:val="0046764B"/>
    <w:rsid w:val="0047005C"/>
    <w:rsid w:val="004703CF"/>
    <w:rsid w:val="004705AD"/>
    <w:rsid w:val="00470716"/>
    <w:rsid w:val="00470943"/>
    <w:rsid w:val="00470A77"/>
    <w:rsid w:val="00471400"/>
    <w:rsid w:val="004715CB"/>
    <w:rsid w:val="0047161E"/>
    <w:rsid w:val="00471A6D"/>
    <w:rsid w:val="00471DF9"/>
    <w:rsid w:val="00472176"/>
    <w:rsid w:val="004725F1"/>
    <w:rsid w:val="004725F8"/>
    <w:rsid w:val="00472A5A"/>
    <w:rsid w:val="00472C00"/>
    <w:rsid w:val="00472CF1"/>
    <w:rsid w:val="00472ED2"/>
    <w:rsid w:val="004730E6"/>
    <w:rsid w:val="00473208"/>
    <w:rsid w:val="004738EB"/>
    <w:rsid w:val="00473AE5"/>
    <w:rsid w:val="00473B15"/>
    <w:rsid w:val="00473B81"/>
    <w:rsid w:val="00473C81"/>
    <w:rsid w:val="00473C86"/>
    <w:rsid w:val="004744EF"/>
    <w:rsid w:val="004745B0"/>
    <w:rsid w:val="0047481B"/>
    <w:rsid w:val="00474BDB"/>
    <w:rsid w:val="00474E69"/>
    <w:rsid w:val="004752CB"/>
    <w:rsid w:val="0047534F"/>
    <w:rsid w:val="0047550B"/>
    <w:rsid w:val="00475741"/>
    <w:rsid w:val="00475931"/>
    <w:rsid w:val="00475958"/>
    <w:rsid w:val="00476149"/>
    <w:rsid w:val="00476494"/>
    <w:rsid w:val="004768FC"/>
    <w:rsid w:val="00476A87"/>
    <w:rsid w:val="00476AA3"/>
    <w:rsid w:val="00476C9C"/>
    <w:rsid w:val="00476DBA"/>
    <w:rsid w:val="0047734D"/>
    <w:rsid w:val="00477401"/>
    <w:rsid w:val="00477666"/>
    <w:rsid w:val="0047776F"/>
    <w:rsid w:val="00477870"/>
    <w:rsid w:val="00477D75"/>
    <w:rsid w:val="00477F5B"/>
    <w:rsid w:val="0048055B"/>
    <w:rsid w:val="004805DB"/>
    <w:rsid w:val="004806B1"/>
    <w:rsid w:val="00480A10"/>
    <w:rsid w:val="00481156"/>
    <w:rsid w:val="0048135D"/>
    <w:rsid w:val="004813EA"/>
    <w:rsid w:val="00481510"/>
    <w:rsid w:val="004818A9"/>
    <w:rsid w:val="00481915"/>
    <w:rsid w:val="00481AE7"/>
    <w:rsid w:val="00481C4B"/>
    <w:rsid w:val="004821AB"/>
    <w:rsid w:val="0048244A"/>
    <w:rsid w:val="004826CA"/>
    <w:rsid w:val="00482BDF"/>
    <w:rsid w:val="00482D47"/>
    <w:rsid w:val="00482DDE"/>
    <w:rsid w:val="00482F13"/>
    <w:rsid w:val="00483173"/>
    <w:rsid w:val="0048326B"/>
    <w:rsid w:val="00483446"/>
    <w:rsid w:val="00483766"/>
    <w:rsid w:val="0048391F"/>
    <w:rsid w:val="00483971"/>
    <w:rsid w:val="00483A79"/>
    <w:rsid w:val="00483B42"/>
    <w:rsid w:val="00483E33"/>
    <w:rsid w:val="004846E6"/>
    <w:rsid w:val="00484F20"/>
    <w:rsid w:val="004851ED"/>
    <w:rsid w:val="004852A4"/>
    <w:rsid w:val="004854BF"/>
    <w:rsid w:val="0048591F"/>
    <w:rsid w:val="004859B5"/>
    <w:rsid w:val="00485AAA"/>
    <w:rsid w:val="00486252"/>
    <w:rsid w:val="0048642B"/>
    <w:rsid w:val="00486650"/>
    <w:rsid w:val="00486733"/>
    <w:rsid w:val="00486A01"/>
    <w:rsid w:val="00486E8C"/>
    <w:rsid w:val="00487015"/>
    <w:rsid w:val="00487183"/>
    <w:rsid w:val="00487566"/>
    <w:rsid w:val="004879B2"/>
    <w:rsid w:val="00487CE8"/>
    <w:rsid w:val="00487D34"/>
    <w:rsid w:val="00487E89"/>
    <w:rsid w:val="00490AEA"/>
    <w:rsid w:val="00490BE9"/>
    <w:rsid w:val="00490DFB"/>
    <w:rsid w:val="00490F03"/>
    <w:rsid w:val="004910B1"/>
    <w:rsid w:val="00491560"/>
    <w:rsid w:val="00491961"/>
    <w:rsid w:val="00491F46"/>
    <w:rsid w:val="00492018"/>
    <w:rsid w:val="0049205C"/>
    <w:rsid w:val="00492401"/>
    <w:rsid w:val="00492711"/>
    <w:rsid w:val="00492734"/>
    <w:rsid w:val="00492916"/>
    <w:rsid w:val="00493003"/>
    <w:rsid w:val="00493172"/>
    <w:rsid w:val="00493731"/>
    <w:rsid w:val="004940D4"/>
    <w:rsid w:val="004941F1"/>
    <w:rsid w:val="0049434C"/>
    <w:rsid w:val="00494CE0"/>
    <w:rsid w:val="00495260"/>
    <w:rsid w:val="00495DE4"/>
    <w:rsid w:val="004962B3"/>
    <w:rsid w:val="004962DB"/>
    <w:rsid w:val="00496504"/>
    <w:rsid w:val="00496578"/>
    <w:rsid w:val="004967D5"/>
    <w:rsid w:val="00496AF4"/>
    <w:rsid w:val="00496AFF"/>
    <w:rsid w:val="00496BB5"/>
    <w:rsid w:val="00497550"/>
    <w:rsid w:val="00497685"/>
    <w:rsid w:val="00497C3E"/>
    <w:rsid w:val="00497E92"/>
    <w:rsid w:val="00497EDC"/>
    <w:rsid w:val="004A03F9"/>
    <w:rsid w:val="004A06E6"/>
    <w:rsid w:val="004A080A"/>
    <w:rsid w:val="004A0BCF"/>
    <w:rsid w:val="004A1119"/>
    <w:rsid w:val="004A1268"/>
    <w:rsid w:val="004A15F6"/>
    <w:rsid w:val="004A185E"/>
    <w:rsid w:val="004A1C19"/>
    <w:rsid w:val="004A1C46"/>
    <w:rsid w:val="004A1D28"/>
    <w:rsid w:val="004A1D96"/>
    <w:rsid w:val="004A245D"/>
    <w:rsid w:val="004A25B8"/>
    <w:rsid w:val="004A25F1"/>
    <w:rsid w:val="004A27F0"/>
    <w:rsid w:val="004A28DB"/>
    <w:rsid w:val="004A2E85"/>
    <w:rsid w:val="004A31CC"/>
    <w:rsid w:val="004A3236"/>
    <w:rsid w:val="004A34FB"/>
    <w:rsid w:val="004A36E2"/>
    <w:rsid w:val="004A3D75"/>
    <w:rsid w:val="004A3D89"/>
    <w:rsid w:val="004A3F6D"/>
    <w:rsid w:val="004A4376"/>
    <w:rsid w:val="004A4438"/>
    <w:rsid w:val="004A450F"/>
    <w:rsid w:val="004A4632"/>
    <w:rsid w:val="004A5202"/>
    <w:rsid w:val="004A55F3"/>
    <w:rsid w:val="004A5964"/>
    <w:rsid w:val="004A5E3D"/>
    <w:rsid w:val="004A6042"/>
    <w:rsid w:val="004A605A"/>
    <w:rsid w:val="004A6074"/>
    <w:rsid w:val="004A65C8"/>
    <w:rsid w:val="004A6698"/>
    <w:rsid w:val="004A6880"/>
    <w:rsid w:val="004A6A71"/>
    <w:rsid w:val="004A6A73"/>
    <w:rsid w:val="004A7263"/>
    <w:rsid w:val="004A751B"/>
    <w:rsid w:val="004A7594"/>
    <w:rsid w:val="004A7B69"/>
    <w:rsid w:val="004B053E"/>
    <w:rsid w:val="004B0F97"/>
    <w:rsid w:val="004B16E9"/>
    <w:rsid w:val="004B1936"/>
    <w:rsid w:val="004B1B82"/>
    <w:rsid w:val="004B1D6A"/>
    <w:rsid w:val="004B2453"/>
    <w:rsid w:val="004B25B5"/>
    <w:rsid w:val="004B2740"/>
    <w:rsid w:val="004B2C8E"/>
    <w:rsid w:val="004B2CBD"/>
    <w:rsid w:val="004B38D7"/>
    <w:rsid w:val="004B3938"/>
    <w:rsid w:val="004B3973"/>
    <w:rsid w:val="004B3B52"/>
    <w:rsid w:val="004B405C"/>
    <w:rsid w:val="004B42B6"/>
    <w:rsid w:val="004B4459"/>
    <w:rsid w:val="004B4489"/>
    <w:rsid w:val="004B488B"/>
    <w:rsid w:val="004B50FA"/>
    <w:rsid w:val="004B5355"/>
    <w:rsid w:val="004B538B"/>
    <w:rsid w:val="004B54CA"/>
    <w:rsid w:val="004B5564"/>
    <w:rsid w:val="004B5567"/>
    <w:rsid w:val="004B56E6"/>
    <w:rsid w:val="004B604B"/>
    <w:rsid w:val="004B63B5"/>
    <w:rsid w:val="004B64A8"/>
    <w:rsid w:val="004B7044"/>
    <w:rsid w:val="004B739F"/>
    <w:rsid w:val="004B7405"/>
    <w:rsid w:val="004B7409"/>
    <w:rsid w:val="004B7597"/>
    <w:rsid w:val="004B7948"/>
    <w:rsid w:val="004B7CBE"/>
    <w:rsid w:val="004B7E81"/>
    <w:rsid w:val="004B7FB6"/>
    <w:rsid w:val="004C0330"/>
    <w:rsid w:val="004C0ECF"/>
    <w:rsid w:val="004C106A"/>
    <w:rsid w:val="004C14FA"/>
    <w:rsid w:val="004C151C"/>
    <w:rsid w:val="004C1627"/>
    <w:rsid w:val="004C1637"/>
    <w:rsid w:val="004C18F3"/>
    <w:rsid w:val="004C1DA1"/>
    <w:rsid w:val="004C1FCD"/>
    <w:rsid w:val="004C23FC"/>
    <w:rsid w:val="004C2465"/>
    <w:rsid w:val="004C2468"/>
    <w:rsid w:val="004C25A0"/>
    <w:rsid w:val="004C2639"/>
    <w:rsid w:val="004C2760"/>
    <w:rsid w:val="004C2B3E"/>
    <w:rsid w:val="004C334F"/>
    <w:rsid w:val="004C34A9"/>
    <w:rsid w:val="004C38F7"/>
    <w:rsid w:val="004C3994"/>
    <w:rsid w:val="004C4011"/>
    <w:rsid w:val="004C40F0"/>
    <w:rsid w:val="004C42D4"/>
    <w:rsid w:val="004C434D"/>
    <w:rsid w:val="004C4627"/>
    <w:rsid w:val="004C4732"/>
    <w:rsid w:val="004C4744"/>
    <w:rsid w:val="004C4D1A"/>
    <w:rsid w:val="004C5298"/>
    <w:rsid w:val="004C55B2"/>
    <w:rsid w:val="004C5604"/>
    <w:rsid w:val="004C5760"/>
    <w:rsid w:val="004C5804"/>
    <w:rsid w:val="004C5A13"/>
    <w:rsid w:val="004C5BA0"/>
    <w:rsid w:val="004C5D66"/>
    <w:rsid w:val="004C62BF"/>
    <w:rsid w:val="004C643D"/>
    <w:rsid w:val="004C67FD"/>
    <w:rsid w:val="004C6935"/>
    <w:rsid w:val="004C79E1"/>
    <w:rsid w:val="004C7A62"/>
    <w:rsid w:val="004C7B6F"/>
    <w:rsid w:val="004C7E4A"/>
    <w:rsid w:val="004D0650"/>
    <w:rsid w:val="004D0C7B"/>
    <w:rsid w:val="004D0CAA"/>
    <w:rsid w:val="004D0E73"/>
    <w:rsid w:val="004D1344"/>
    <w:rsid w:val="004D17C8"/>
    <w:rsid w:val="004D1FA9"/>
    <w:rsid w:val="004D2004"/>
    <w:rsid w:val="004D2046"/>
    <w:rsid w:val="004D23F0"/>
    <w:rsid w:val="004D291D"/>
    <w:rsid w:val="004D2D8F"/>
    <w:rsid w:val="004D3046"/>
    <w:rsid w:val="004D306C"/>
    <w:rsid w:val="004D32C5"/>
    <w:rsid w:val="004D377F"/>
    <w:rsid w:val="004D3781"/>
    <w:rsid w:val="004D380F"/>
    <w:rsid w:val="004D3854"/>
    <w:rsid w:val="004D3CD0"/>
    <w:rsid w:val="004D3E5C"/>
    <w:rsid w:val="004D4261"/>
    <w:rsid w:val="004D4483"/>
    <w:rsid w:val="004D4525"/>
    <w:rsid w:val="004D45E7"/>
    <w:rsid w:val="004D4801"/>
    <w:rsid w:val="004D491B"/>
    <w:rsid w:val="004D50E6"/>
    <w:rsid w:val="004D54A1"/>
    <w:rsid w:val="004D55C8"/>
    <w:rsid w:val="004D58F9"/>
    <w:rsid w:val="004D590A"/>
    <w:rsid w:val="004D5D6B"/>
    <w:rsid w:val="004D61B3"/>
    <w:rsid w:val="004D65CA"/>
    <w:rsid w:val="004D65D9"/>
    <w:rsid w:val="004D6B6D"/>
    <w:rsid w:val="004D6C02"/>
    <w:rsid w:val="004D6E18"/>
    <w:rsid w:val="004D7443"/>
    <w:rsid w:val="004D7E1F"/>
    <w:rsid w:val="004E036F"/>
    <w:rsid w:val="004E094D"/>
    <w:rsid w:val="004E0C0A"/>
    <w:rsid w:val="004E1108"/>
    <w:rsid w:val="004E13AB"/>
    <w:rsid w:val="004E1461"/>
    <w:rsid w:val="004E1694"/>
    <w:rsid w:val="004E20C9"/>
    <w:rsid w:val="004E210C"/>
    <w:rsid w:val="004E2307"/>
    <w:rsid w:val="004E25FC"/>
    <w:rsid w:val="004E2AEF"/>
    <w:rsid w:val="004E2B1E"/>
    <w:rsid w:val="004E2CD8"/>
    <w:rsid w:val="004E2CD9"/>
    <w:rsid w:val="004E2DC8"/>
    <w:rsid w:val="004E2EDB"/>
    <w:rsid w:val="004E310D"/>
    <w:rsid w:val="004E3122"/>
    <w:rsid w:val="004E3195"/>
    <w:rsid w:val="004E33D5"/>
    <w:rsid w:val="004E3465"/>
    <w:rsid w:val="004E3520"/>
    <w:rsid w:val="004E460A"/>
    <w:rsid w:val="004E5078"/>
    <w:rsid w:val="004E5431"/>
    <w:rsid w:val="004E54B1"/>
    <w:rsid w:val="004E5AD8"/>
    <w:rsid w:val="004E5AFB"/>
    <w:rsid w:val="004E5CBF"/>
    <w:rsid w:val="004E61E9"/>
    <w:rsid w:val="004E63DD"/>
    <w:rsid w:val="004E64C4"/>
    <w:rsid w:val="004E6F42"/>
    <w:rsid w:val="004E7685"/>
    <w:rsid w:val="004E7747"/>
    <w:rsid w:val="004E786B"/>
    <w:rsid w:val="004E78D6"/>
    <w:rsid w:val="004E7957"/>
    <w:rsid w:val="004E7EA4"/>
    <w:rsid w:val="004F0279"/>
    <w:rsid w:val="004F02A3"/>
    <w:rsid w:val="004F02CF"/>
    <w:rsid w:val="004F053F"/>
    <w:rsid w:val="004F0FB9"/>
    <w:rsid w:val="004F10E5"/>
    <w:rsid w:val="004F147E"/>
    <w:rsid w:val="004F14E1"/>
    <w:rsid w:val="004F1732"/>
    <w:rsid w:val="004F278E"/>
    <w:rsid w:val="004F2B51"/>
    <w:rsid w:val="004F2C4E"/>
    <w:rsid w:val="004F2C80"/>
    <w:rsid w:val="004F2CA5"/>
    <w:rsid w:val="004F2E2C"/>
    <w:rsid w:val="004F312E"/>
    <w:rsid w:val="004F3146"/>
    <w:rsid w:val="004F384A"/>
    <w:rsid w:val="004F3CDF"/>
    <w:rsid w:val="004F3F76"/>
    <w:rsid w:val="004F40A2"/>
    <w:rsid w:val="004F43C3"/>
    <w:rsid w:val="004F44AB"/>
    <w:rsid w:val="004F44C3"/>
    <w:rsid w:val="004F455B"/>
    <w:rsid w:val="004F498B"/>
    <w:rsid w:val="004F4D66"/>
    <w:rsid w:val="004F5AC0"/>
    <w:rsid w:val="004F5ED9"/>
    <w:rsid w:val="004F6352"/>
    <w:rsid w:val="004F66BA"/>
    <w:rsid w:val="004F6B20"/>
    <w:rsid w:val="004F6EF7"/>
    <w:rsid w:val="004F7073"/>
    <w:rsid w:val="004F72FC"/>
    <w:rsid w:val="004F72FE"/>
    <w:rsid w:val="004F7667"/>
    <w:rsid w:val="004F77F4"/>
    <w:rsid w:val="004F7970"/>
    <w:rsid w:val="004F7B18"/>
    <w:rsid w:val="00500131"/>
    <w:rsid w:val="005009B2"/>
    <w:rsid w:val="00500A34"/>
    <w:rsid w:val="00500F7C"/>
    <w:rsid w:val="0050112F"/>
    <w:rsid w:val="00501FF5"/>
    <w:rsid w:val="0050273B"/>
    <w:rsid w:val="00502933"/>
    <w:rsid w:val="00502A57"/>
    <w:rsid w:val="00502B9E"/>
    <w:rsid w:val="00502F85"/>
    <w:rsid w:val="005030DB"/>
    <w:rsid w:val="005036C0"/>
    <w:rsid w:val="00503E51"/>
    <w:rsid w:val="005040B1"/>
    <w:rsid w:val="005045F5"/>
    <w:rsid w:val="00504900"/>
    <w:rsid w:val="0050490B"/>
    <w:rsid w:val="005049A9"/>
    <w:rsid w:val="005052DC"/>
    <w:rsid w:val="005057ED"/>
    <w:rsid w:val="00505A3E"/>
    <w:rsid w:val="00506363"/>
    <w:rsid w:val="005065E0"/>
    <w:rsid w:val="005067AF"/>
    <w:rsid w:val="005067C8"/>
    <w:rsid w:val="00506DD1"/>
    <w:rsid w:val="0050762D"/>
    <w:rsid w:val="00507812"/>
    <w:rsid w:val="005078DA"/>
    <w:rsid w:val="00507903"/>
    <w:rsid w:val="00507E20"/>
    <w:rsid w:val="005105F4"/>
    <w:rsid w:val="00510A17"/>
    <w:rsid w:val="00510BCC"/>
    <w:rsid w:val="00511146"/>
    <w:rsid w:val="00511673"/>
    <w:rsid w:val="005119E3"/>
    <w:rsid w:val="00511D5C"/>
    <w:rsid w:val="00511EE6"/>
    <w:rsid w:val="00511F30"/>
    <w:rsid w:val="00511FED"/>
    <w:rsid w:val="00512E52"/>
    <w:rsid w:val="00513031"/>
    <w:rsid w:val="005131F9"/>
    <w:rsid w:val="0051336A"/>
    <w:rsid w:val="00513391"/>
    <w:rsid w:val="00513510"/>
    <w:rsid w:val="005137BD"/>
    <w:rsid w:val="00513A42"/>
    <w:rsid w:val="00514399"/>
    <w:rsid w:val="00514534"/>
    <w:rsid w:val="00514F4C"/>
    <w:rsid w:val="00514F90"/>
    <w:rsid w:val="00515072"/>
    <w:rsid w:val="0051525F"/>
    <w:rsid w:val="0051530E"/>
    <w:rsid w:val="00515E1C"/>
    <w:rsid w:val="00515E3C"/>
    <w:rsid w:val="005160E4"/>
    <w:rsid w:val="005161C7"/>
    <w:rsid w:val="0051652C"/>
    <w:rsid w:val="00516B8D"/>
    <w:rsid w:val="00516E16"/>
    <w:rsid w:val="00516F5C"/>
    <w:rsid w:val="005171DE"/>
    <w:rsid w:val="005178A6"/>
    <w:rsid w:val="00517AE4"/>
    <w:rsid w:val="00517F32"/>
    <w:rsid w:val="00520490"/>
    <w:rsid w:val="00520D00"/>
    <w:rsid w:val="00520D15"/>
    <w:rsid w:val="00521157"/>
    <w:rsid w:val="005214EF"/>
    <w:rsid w:val="00521A3C"/>
    <w:rsid w:val="00521AA5"/>
    <w:rsid w:val="00521D73"/>
    <w:rsid w:val="00522207"/>
    <w:rsid w:val="00522330"/>
    <w:rsid w:val="0052242E"/>
    <w:rsid w:val="00522561"/>
    <w:rsid w:val="00522758"/>
    <w:rsid w:val="005228C2"/>
    <w:rsid w:val="00522B0F"/>
    <w:rsid w:val="00522C96"/>
    <w:rsid w:val="005230E1"/>
    <w:rsid w:val="00523E65"/>
    <w:rsid w:val="00524180"/>
    <w:rsid w:val="005242AC"/>
    <w:rsid w:val="0052441B"/>
    <w:rsid w:val="005254C0"/>
    <w:rsid w:val="0052568D"/>
    <w:rsid w:val="00525AA2"/>
    <w:rsid w:val="00526178"/>
    <w:rsid w:val="00526398"/>
    <w:rsid w:val="00526A35"/>
    <w:rsid w:val="0052722C"/>
    <w:rsid w:val="00527970"/>
    <w:rsid w:val="005300AB"/>
    <w:rsid w:val="0053036D"/>
    <w:rsid w:val="00530377"/>
    <w:rsid w:val="0053098E"/>
    <w:rsid w:val="00530AD6"/>
    <w:rsid w:val="00530C6A"/>
    <w:rsid w:val="00530F80"/>
    <w:rsid w:val="00531258"/>
    <w:rsid w:val="005313EF"/>
    <w:rsid w:val="00532480"/>
    <w:rsid w:val="005325F5"/>
    <w:rsid w:val="005327FB"/>
    <w:rsid w:val="00532847"/>
    <w:rsid w:val="0053287F"/>
    <w:rsid w:val="00532D07"/>
    <w:rsid w:val="00532F54"/>
    <w:rsid w:val="005334F5"/>
    <w:rsid w:val="005338EF"/>
    <w:rsid w:val="005339B9"/>
    <w:rsid w:val="005339C1"/>
    <w:rsid w:val="00533D0B"/>
    <w:rsid w:val="00533E20"/>
    <w:rsid w:val="005342A6"/>
    <w:rsid w:val="00535033"/>
    <w:rsid w:val="00535061"/>
    <w:rsid w:val="005353BD"/>
    <w:rsid w:val="005353F1"/>
    <w:rsid w:val="00535C6F"/>
    <w:rsid w:val="00535D89"/>
    <w:rsid w:val="0053617C"/>
    <w:rsid w:val="00536214"/>
    <w:rsid w:val="0053632F"/>
    <w:rsid w:val="00536362"/>
    <w:rsid w:val="00536378"/>
    <w:rsid w:val="0053641D"/>
    <w:rsid w:val="005365D0"/>
    <w:rsid w:val="00536735"/>
    <w:rsid w:val="00536A10"/>
    <w:rsid w:val="00536CD3"/>
    <w:rsid w:val="00536CD9"/>
    <w:rsid w:val="00537180"/>
    <w:rsid w:val="00537296"/>
    <w:rsid w:val="005378D5"/>
    <w:rsid w:val="00537B30"/>
    <w:rsid w:val="00537BCE"/>
    <w:rsid w:val="00540316"/>
    <w:rsid w:val="00540499"/>
    <w:rsid w:val="00540E1D"/>
    <w:rsid w:val="005418C8"/>
    <w:rsid w:val="00541E0B"/>
    <w:rsid w:val="00542157"/>
    <w:rsid w:val="005421E8"/>
    <w:rsid w:val="005422D5"/>
    <w:rsid w:val="00542658"/>
    <w:rsid w:val="00542C1D"/>
    <w:rsid w:val="00542DC9"/>
    <w:rsid w:val="005430AC"/>
    <w:rsid w:val="005433AE"/>
    <w:rsid w:val="0054352A"/>
    <w:rsid w:val="005435FC"/>
    <w:rsid w:val="00543821"/>
    <w:rsid w:val="005438BE"/>
    <w:rsid w:val="00544040"/>
    <w:rsid w:val="00544048"/>
    <w:rsid w:val="00544406"/>
    <w:rsid w:val="005446A2"/>
    <w:rsid w:val="005449DE"/>
    <w:rsid w:val="00544EF9"/>
    <w:rsid w:val="00545038"/>
    <w:rsid w:val="00545093"/>
    <w:rsid w:val="00545372"/>
    <w:rsid w:val="005454F2"/>
    <w:rsid w:val="00545647"/>
    <w:rsid w:val="00545795"/>
    <w:rsid w:val="00545945"/>
    <w:rsid w:val="00545A09"/>
    <w:rsid w:val="00545B18"/>
    <w:rsid w:val="00545CA1"/>
    <w:rsid w:val="00545E8B"/>
    <w:rsid w:val="0054614B"/>
    <w:rsid w:val="00546611"/>
    <w:rsid w:val="0054664A"/>
    <w:rsid w:val="0054672E"/>
    <w:rsid w:val="00546745"/>
    <w:rsid w:val="0054693E"/>
    <w:rsid w:val="00546CC5"/>
    <w:rsid w:val="00546D30"/>
    <w:rsid w:val="0054713E"/>
    <w:rsid w:val="005471FC"/>
    <w:rsid w:val="005472B6"/>
    <w:rsid w:val="0054744D"/>
    <w:rsid w:val="00547F7F"/>
    <w:rsid w:val="0054F168"/>
    <w:rsid w:val="00550670"/>
    <w:rsid w:val="00550DBF"/>
    <w:rsid w:val="00550F9C"/>
    <w:rsid w:val="005510C0"/>
    <w:rsid w:val="0055126C"/>
    <w:rsid w:val="005512EF"/>
    <w:rsid w:val="0055139C"/>
    <w:rsid w:val="0055144C"/>
    <w:rsid w:val="00551802"/>
    <w:rsid w:val="005518D9"/>
    <w:rsid w:val="005518DF"/>
    <w:rsid w:val="00551BF1"/>
    <w:rsid w:val="00552340"/>
    <w:rsid w:val="005524C1"/>
    <w:rsid w:val="00552583"/>
    <w:rsid w:val="005526CF"/>
    <w:rsid w:val="005528EB"/>
    <w:rsid w:val="00552FE5"/>
    <w:rsid w:val="005530DF"/>
    <w:rsid w:val="00553289"/>
    <w:rsid w:val="00553333"/>
    <w:rsid w:val="00553374"/>
    <w:rsid w:val="00553864"/>
    <w:rsid w:val="005539F0"/>
    <w:rsid w:val="00553DA0"/>
    <w:rsid w:val="005543E4"/>
    <w:rsid w:val="005544BE"/>
    <w:rsid w:val="00554C65"/>
    <w:rsid w:val="00555489"/>
    <w:rsid w:val="005555F4"/>
    <w:rsid w:val="00556199"/>
    <w:rsid w:val="00556462"/>
    <w:rsid w:val="00556463"/>
    <w:rsid w:val="00556904"/>
    <w:rsid w:val="00556E72"/>
    <w:rsid w:val="00556EA3"/>
    <w:rsid w:val="00557233"/>
    <w:rsid w:val="005575B7"/>
    <w:rsid w:val="00557765"/>
    <w:rsid w:val="005579A1"/>
    <w:rsid w:val="00557A07"/>
    <w:rsid w:val="00557BA4"/>
    <w:rsid w:val="00557E7B"/>
    <w:rsid w:val="0056035A"/>
    <w:rsid w:val="00560536"/>
    <w:rsid w:val="0056082D"/>
    <w:rsid w:val="005608BD"/>
    <w:rsid w:val="00560C31"/>
    <w:rsid w:val="00560C81"/>
    <w:rsid w:val="00561085"/>
    <w:rsid w:val="0056114A"/>
    <w:rsid w:val="005613E5"/>
    <w:rsid w:val="00561EAA"/>
    <w:rsid w:val="00562052"/>
    <w:rsid w:val="0056206E"/>
    <w:rsid w:val="00562E64"/>
    <w:rsid w:val="00562F95"/>
    <w:rsid w:val="00563084"/>
    <w:rsid w:val="005633B5"/>
    <w:rsid w:val="005636B9"/>
    <w:rsid w:val="00563836"/>
    <w:rsid w:val="00563C42"/>
    <w:rsid w:val="00563EEC"/>
    <w:rsid w:val="00564623"/>
    <w:rsid w:val="00564BC1"/>
    <w:rsid w:val="00564E6E"/>
    <w:rsid w:val="00564F37"/>
    <w:rsid w:val="0056532F"/>
    <w:rsid w:val="005655F5"/>
    <w:rsid w:val="00565C7D"/>
    <w:rsid w:val="00565D82"/>
    <w:rsid w:val="005660E6"/>
    <w:rsid w:val="005664C7"/>
    <w:rsid w:val="00566CF8"/>
    <w:rsid w:val="00567053"/>
    <w:rsid w:val="0056709E"/>
    <w:rsid w:val="005673CC"/>
    <w:rsid w:val="00567415"/>
    <w:rsid w:val="00567B33"/>
    <w:rsid w:val="00567CDF"/>
    <w:rsid w:val="00567FBB"/>
    <w:rsid w:val="005701D0"/>
    <w:rsid w:val="0057048F"/>
    <w:rsid w:val="00570583"/>
    <w:rsid w:val="00570631"/>
    <w:rsid w:val="00570680"/>
    <w:rsid w:val="0057081C"/>
    <w:rsid w:val="00570843"/>
    <w:rsid w:val="005708A7"/>
    <w:rsid w:val="00570B24"/>
    <w:rsid w:val="00570D17"/>
    <w:rsid w:val="00570D73"/>
    <w:rsid w:val="00570DA0"/>
    <w:rsid w:val="005713AE"/>
    <w:rsid w:val="00571532"/>
    <w:rsid w:val="00571892"/>
    <w:rsid w:val="005718BA"/>
    <w:rsid w:val="005718D8"/>
    <w:rsid w:val="005718E2"/>
    <w:rsid w:val="0057213F"/>
    <w:rsid w:val="00572371"/>
    <w:rsid w:val="00572626"/>
    <w:rsid w:val="00572652"/>
    <w:rsid w:val="00572716"/>
    <w:rsid w:val="00572C60"/>
    <w:rsid w:val="00573037"/>
    <w:rsid w:val="005732B7"/>
    <w:rsid w:val="005736FF"/>
    <w:rsid w:val="0057385C"/>
    <w:rsid w:val="00573EFC"/>
    <w:rsid w:val="005741CC"/>
    <w:rsid w:val="0057424E"/>
    <w:rsid w:val="0057433B"/>
    <w:rsid w:val="0057436F"/>
    <w:rsid w:val="00574709"/>
    <w:rsid w:val="00575183"/>
    <w:rsid w:val="0057544C"/>
    <w:rsid w:val="00575ED8"/>
    <w:rsid w:val="00575FD3"/>
    <w:rsid w:val="0057617E"/>
    <w:rsid w:val="0057621D"/>
    <w:rsid w:val="005762D6"/>
    <w:rsid w:val="005763CA"/>
    <w:rsid w:val="005765A4"/>
    <w:rsid w:val="00576C85"/>
    <w:rsid w:val="0057795B"/>
    <w:rsid w:val="00577C72"/>
    <w:rsid w:val="00577D20"/>
    <w:rsid w:val="00577EBC"/>
    <w:rsid w:val="00577FAB"/>
    <w:rsid w:val="005808DF"/>
    <w:rsid w:val="00580A03"/>
    <w:rsid w:val="00580C34"/>
    <w:rsid w:val="0058119B"/>
    <w:rsid w:val="00581411"/>
    <w:rsid w:val="005816B5"/>
    <w:rsid w:val="00581A06"/>
    <w:rsid w:val="00582016"/>
    <w:rsid w:val="0058216E"/>
    <w:rsid w:val="00582413"/>
    <w:rsid w:val="005829D5"/>
    <w:rsid w:val="00583078"/>
    <w:rsid w:val="0058327D"/>
    <w:rsid w:val="005832C1"/>
    <w:rsid w:val="00583436"/>
    <w:rsid w:val="0058357D"/>
    <w:rsid w:val="0058359B"/>
    <w:rsid w:val="00583C16"/>
    <w:rsid w:val="00583D29"/>
    <w:rsid w:val="00584040"/>
    <w:rsid w:val="005841E2"/>
    <w:rsid w:val="005846EA"/>
    <w:rsid w:val="00584A96"/>
    <w:rsid w:val="00584FC1"/>
    <w:rsid w:val="0058558A"/>
    <w:rsid w:val="0058571D"/>
    <w:rsid w:val="00585AB5"/>
    <w:rsid w:val="00585EAF"/>
    <w:rsid w:val="00585F10"/>
    <w:rsid w:val="00586042"/>
    <w:rsid w:val="00586246"/>
    <w:rsid w:val="0058624E"/>
    <w:rsid w:val="005863FD"/>
    <w:rsid w:val="0058686E"/>
    <w:rsid w:val="00586971"/>
    <w:rsid w:val="00586B1D"/>
    <w:rsid w:val="00586F58"/>
    <w:rsid w:val="00587009"/>
    <w:rsid w:val="005874AF"/>
    <w:rsid w:val="005877DC"/>
    <w:rsid w:val="005878BF"/>
    <w:rsid w:val="00587BE1"/>
    <w:rsid w:val="00587C22"/>
    <w:rsid w:val="00587E16"/>
    <w:rsid w:val="005902F1"/>
    <w:rsid w:val="005904D4"/>
    <w:rsid w:val="00590A8B"/>
    <w:rsid w:val="00591191"/>
    <w:rsid w:val="00591980"/>
    <w:rsid w:val="00591B64"/>
    <w:rsid w:val="00591B6D"/>
    <w:rsid w:val="00591E10"/>
    <w:rsid w:val="0059228A"/>
    <w:rsid w:val="00592DE0"/>
    <w:rsid w:val="00592E5C"/>
    <w:rsid w:val="005930D1"/>
    <w:rsid w:val="00593130"/>
    <w:rsid w:val="00593D74"/>
    <w:rsid w:val="00594018"/>
    <w:rsid w:val="005948DF"/>
    <w:rsid w:val="00594AFA"/>
    <w:rsid w:val="00594B66"/>
    <w:rsid w:val="00594FA5"/>
    <w:rsid w:val="005955D3"/>
    <w:rsid w:val="00595C1D"/>
    <w:rsid w:val="00595C3E"/>
    <w:rsid w:val="00596003"/>
    <w:rsid w:val="005960CB"/>
    <w:rsid w:val="005965E1"/>
    <w:rsid w:val="00596653"/>
    <w:rsid w:val="00596666"/>
    <w:rsid w:val="0059688F"/>
    <w:rsid w:val="00596929"/>
    <w:rsid w:val="00596D6C"/>
    <w:rsid w:val="005974AF"/>
    <w:rsid w:val="005974C0"/>
    <w:rsid w:val="005976A7"/>
    <w:rsid w:val="0059782B"/>
    <w:rsid w:val="005979CC"/>
    <w:rsid w:val="00597F7C"/>
    <w:rsid w:val="005A032E"/>
    <w:rsid w:val="005A0364"/>
    <w:rsid w:val="005A0582"/>
    <w:rsid w:val="005A10B8"/>
    <w:rsid w:val="005A1A38"/>
    <w:rsid w:val="005A1F0D"/>
    <w:rsid w:val="005A21A5"/>
    <w:rsid w:val="005A226B"/>
    <w:rsid w:val="005A2676"/>
    <w:rsid w:val="005A2843"/>
    <w:rsid w:val="005A2A88"/>
    <w:rsid w:val="005A2B1B"/>
    <w:rsid w:val="005A2CAF"/>
    <w:rsid w:val="005A2F55"/>
    <w:rsid w:val="005A3071"/>
    <w:rsid w:val="005A307A"/>
    <w:rsid w:val="005A3403"/>
    <w:rsid w:val="005A3533"/>
    <w:rsid w:val="005A363B"/>
    <w:rsid w:val="005A3F8D"/>
    <w:rsid w:val="005A4238"/>
    <w:rsid w:val="005A4559"/>
    <w:rsid w:val="005A484D"/>
    <w:rsid w:val="005A48EF"/>
    <w:rsid w:val="005A5533"/>
    <w:rsid w:val="005A5A5F"/>
    <w:rsid w:val="005A5C9B"/>
    <w:rsid w:val="005A5E4E"/>
    <w:rsid w:val="005A5EB9"/>
    <w:rsid w:val="005A6474"/>
    <w:rsid w:val="005A65DA"/>
    <w:rsid w:val="005A70E1"/>
    <w:rsid w:val="005A71BD"/>
    <w:rsid w:val="005A727D"/>
    <w:rsid w:val="005A76D9"/>
    <w:rsid w:val="005A7A3E"/>
    <w:rsid w:val="005A7E74"/>
    <w:rsid w:val="005B01D4"/>
    <w:rsid w:val="005B043A"/>
    <w:rsid w:val="005B056A"/>
    <w:rsid w:val="005B0596"/>
    <w:rsid w:val="005B0BEC"/>
    <w:rsid w:val="005B1327"/>
    <w:rsid w:val="005B1889"/>
    <w:rsid w:val="005B2291"/>
    <w:rsid w:val="005B2816"/>
    <w:rsid w:val="005B28FE"/>
    <w:rsid w:val="005B2CDC"/>
    <w:rsid w:val="005B3685"/>
    <w:rsid w:val="005B3D62"/>
    <w:rsid w:val="005B3D84"/>
    <w:rsid w:val="005B41AC"/>
    <w:rsid w:val="005B425B"/>
    <w:rsid w:val="005B44EC"/>
    <w:rsid w:val="005B4673"/>
    <w:rsid w:val="005B4AA0"/>
    <w:rsid w:val="005B4BB5"/>
    <w:rsid w:val="005B500B"/>
    <w:rsid w:val="005B537C"/>
    <w:rsid w:val="005B5650"/>
    <w:rsid w:val="005B56EF"/>
    <w:rsid w:val="005B5B58"/>
    <w:rsid w:val="005B5FCE"/>
    <w:rsid w:val="005B66D4"/>
    <w:rsid w:val="005B6EB0"/>
    <w:rsid w:val="005B7051"/>
    <w:rsid w:val="005B751E"/>
    <w:rsid w:val="005B76C3"/>
    <w:rsid w:val="005B7743"/>
    <w:rsid w:val="005B7EF6"/>
    <w:rsid w:val="005B7FA1"/>
    <w:rsid w:val="005B7FF6"/>
    <w:rsid w:val="005C01DB"/>
    <w:rsid w:val="005C03A1"/>
    <w:rsid w:val="005C0764"/>
    <w:rsid w:val="005C0C97"/>
    <w:rsid w:val="005C1151"/>
    <w:rsid w:val="005C12E5"/>
    <w:rsid w:val="005C1353"/>
    <w:rsid w:val="005C1499"/>
    <w:rsid w:val="005C14BD"/>
    <w:rsid w:val="005C1EE7"/>
    <w:rsid w:val="005C2067"/>
    <w:rsid w:val="005C2172"/>
    <w:rsid w:val="005C2501"/>
    <w:rsid w:val="005C2561"/>
    <w:rsid w:val="005C2A73"/>
    <w:rsid w:val="005C2AEB"/>
    <w:rsid w:val="005C2D20"/>
    <w:rsid w:val="005C2EAA"/>
    <w:rsid w:val="005C38F9"/>
    <w:rsid w:val="005C3AA9"/>
    <w:rsid w:val="005C3D76"/>
    <w:rsid w:val="005C3FEF"/>
    <w:rsid w:val="005C403A"/>
    <w:rsid w:val="005C4559"/>
    <w:rsid w:val="005C4618"/>
    <w:rsid w:val="005C469B"/>
    <w:rsid w:val="005C4A28"/>
    <w:rsid w:val="005C4B31"/>
    <w:rsid w:val="005C4CCB"/>
    <w:rsid w:val="005C50B1"/>
    <w:rsid w:val="005C52BD"/>
    <w:rsid w:val="005C559B"/>
    <w:rsid w:val="005C5744"/>
    <w:rsid w:val="005C5811"/>
    <w:rsid w:val="005C59EE"/>
    <w:rsid w:val="005C5ADB"/>
    <w:rsid w:val="005C5B02"/>
    <w:rsid w:val="005C5DCB"/>
    <w:rsid w:val="005C5FBB"/>
    <w:rsid w:val="005C60D2"/>
    <w:rsid w:val="005C667F"/>
    <w:rsid w:val="005C6998"/>
    <w:rsid w:val="005C69F2"/>
    <w:rsid w:val="005C6BCD"/>
    <w:rsid w:val="005C70BB"/>
    <w:rsid w:val="005C72E0"/>
    <w:rsid w:val="005C799F"/>
    <w:rsid w:val="005C7A42"/>
    <w:rsid w:val="005D001F"/>
    <w:rsid w:val="005D05E6"/>
    <w:rsid w:val="005D0A7F"/>
    <w:rsid w:val="005D0C4F"/>
    <w:rsid w:val="005D1064"/>
    <w:rsid w:val="005D168D"/>
    <w:rsid w:val="005D18F0"/>
    <w:rsid w:val="005D2117"/>
    <w:rsid w:val="005D2A56"/>
    <w:rsid w:val="005D2FC5"/>
    <w:rsid w:val="005D32DD"/>
    <w:rsid w:val="005D33AA"/>
    <w:rsid w:val="005D3604"/>
    <w:rsid w:val="005D3E91"/>
    <w:rsid w:val="005D3EFA"/>
    <w:rsid w:val="005D407B"/>
    <w:rsid w:val="005D4206"/>
    <w:rsid w:val="005D48F4"/>
    <w:rsid w:val="005D4A6D"/>
    <w:rsid w:val="005D4B49"/>
    <w:rsid w:val="005D4EA0"/>
    <w:rsid w:val="005D5922"/>
    <w:rsid w:val="005D67C1"/>
    <w:rsid w:val="005D695A"/>
    <w:rsid w:val="005D6ACC"/>
    <w:rsid w:val="005D70E2"/>
    <w:rsid w:val="005D744A"/>
    <w:rsid w:val="005D76E7"/>
    <w:rsid w:val="005D7DA6"/>
    <w:rsid w:val="005E002F"/>
    <w:rsid w:val="005E0516"/>
    <w:rsid w:val="005E09CD"/>
    <w:rsid w:val="005E0AB8"/>
    <w:rsid w:val="005E0EE2"/>
    <w:rsid w:val="005E1431"/>
    <w:rsid w:val="005E16B7"/>
    <w:rsid w:val="005E1ABE"/>
    <w:rsid w:val="005E1F46"/>
    <w:rsid w:val="005E22CB"/>
    <w:rsid w:val="005E259F"/>
    <w:rsid w:val="005E2B34"/>
    <w:rsid w:val="005E2B53"/>
    <w:rsid w:val="005E2D0D"/>
    <w:rsid w:val="005E2DAC"/>
    <w:rsid w:val="005E2F6E"/>
    <w:rsid w:val="005E2FAE"/>
    <w:rsid w:val="005E3008"/>
    <w:rsid w:val="005E3A81"/>
    <w:rsid w:val="005E3DA3"/>
    <w:rsid w:val="005E418D"/>
    <w:rsid w:val="005E49FE"/>
    <w:rsid w:val="005E4B0D"/>
    <w:rsid w:val="005E4C5C"/>
    <w:rsid w:val="005E545B"/>
    <w:rsid w:val="005E5CA7"/>
    <w:rsid w:val="005E60F3"/>
    <w:rsid w:val="005E61B9"/>
    <w:rsid w:val="005E6264"/>
    <w:rsid w:val="005E6282"/>
    <w:rsid w:val="005E6563"/>
    <w:rsid w:val="005E6DAF"/>
    <w:rsid w:val="005E6E3B"/>
    <w:rsid w:val="005E6E78"/>
    <w:rsid w:val="005E6F02"/>
    <w:rsid w:val="005E6F0C"/>
    <w:rsid w:val="005E72CE"/>
    <w:rsid w:val="005E79F9"/>
    <w:rsid w:val="005F012E"/>
    <w:rsid w:val="005F021D"/>
    <w:rsid w:val="005F05CD"/>
    <w:rsid w:val="005F0935"/>
    <w:rsid w:val="005F09CE"/>
    <w:rsid w:val="005F0B7F"/>
    <w:rsid w:val="005F0D46"/>
    <w:rsid w:val="005F1052"/>
    <w:rsid w:val="005F1628"/>
    <w:rsid w:val="005F1800"/>
    <w:rsid w:val="005F1F43"/>
    <w:rsid w:val="005F240A"/>
    <w:rsid w:val="005F24CB"/>
    <w:rsid w:val="005F2BE1"/>
    <w:rsid w:val="005F2F6E"/>
    <w:rsid w:val="005F3560"/>
    <w:rsid w:val="005F391B"/>
    <w:rsid w:val="005F3FC7"/>
    <w:rsid w:val="005F4051"/>
    <w:rsid w:val="005F43E2"/>
    <w:rsid w:val="005F4A0B"/>
    <w:rsid w:val="005F4B77"/>
    <w:rsid w:val="005F4B8E"/>
    <w:rsid w:val="005F4CBF"/>
    <w:rsid w:val="005F5AC2"/>
    <w:rsid w:val="005F727F"/>
    <w:rsid w:val="005F757E"/>
    <w:rsid w:val="005F7761"/>
    <w:rsid w:val="005F79A5"/>
    <w:rsid w:val="006003A4"/>
    <w:rsid w:val="006005DD"/>
    <w:rsid w:val="0060061E"/>
    <w:rsid w:val="00600B3C"/>
    <w:rsid w:val="00600D09"/>
    <w:rsid w:val="0060138B"/>
    <w:rsid w:val="00601397"/>
    <w:rsid w:val="00601748"/>
    <w:rsid w:val="00601CA3"/>
    <w:rsid w:val="0060249E"/>
    <w:rsid w:val="006024B5"/>
    <w:rsid w:val="00602908"/>
    <w:rsid w:val="0060326A"/>
    <w:rsid w:val="00603529"/>
    <w:rsid w:val="00603A14"/>
    <w:rsid w:val="00603B2F"/>
    <w:rsid w:val="00603F72"/>
    <w:rsid w:val="006043C8"/>
    <w:rsid w:val="006043F2"/>
    <w:rsid w:val="00604749"/>
    <w:rsid w:val="006047D8"/>
    <w:rsid w:val="0060481B"/>
    <w:rsid w:val="00604B1E"/>
    <w:rsid w:val="00604CC9"/>
    <w:rsid w:val="00604CCC"/>
    <w:rsid w:val="006052F0"/>
    <w:rsid w:val="00605461"/>
    <w:rsid w:val="006056B9"/>
    <w:rsid w:val="006057BB"/>
    <w:rsid w:val="00605BA0"/>
    <w:rsid w:val="00605BE0"/>
    <w:rsid w:val="00606314"/>
    <w:rsid w:val="006064C6"/>
    <w:rsid w:val="00606828"/>
    <w:rsid w:val="00606984"/>
    <w:rsid w:val="00606AF7"/>
    <w:rsid w:val="00606EE7"/>
    <w:rsid w:val="006070BC"/>
    <w:rsid w:val="006074E2"/>
    <w:rsid w:val="006075EB"/>
    <w:rsid w:val="00607670"/>
    <w:rsid w:val="00607715"/>
    <w:rsid w:val="00607797"/>
    <w:rsid w:val="0060787D"/>
    <w:rsid w:val="00607BD4"/>
    <w:rsid w:val="00610063"/>
    <w:rsid w:val="00610512"/>
    <w:rsid w:val="00610A1D"/>
    <w:rsid w:val="00611084"/>
    <w:rsid w:val="006114C4"/>
    <w:rsid w:val="00612829"/>
    <w:rsid w:val="0061293A"/>
    <w:rsid w:val="00612EF8"/>
    <w:rsid w:val="006130A8"/>
    <w:rsid w:val="00613433"/>
    <w:rsid w:val="006139A2"/>
    <w:rsid w:val="00613B50"/>
    <w:rsid w:val="00613CB9"/>
    <w:rsid w:val="00613CE4"/>
    <w:rsid w:val="00613D4E"/>
    <w:rsid w:val="00614547"/>
    <w:rsid w:val="006145ED"/>
    <w:rsid w:val="00614C9E"/>
    <w:rsid w:val="006159BD"/>
    <w:rsid w:val="00615CE8"/>
    <w:rsid w:val="00615D9C"/>
    <w:rsid w:val="006160E0"/>
    <w:rsid w:val="0061625B"/>
    <w:rsid w:val="006165E1"/>
    <w:rsid w:val="00616BEB"/>
    <w:rsid w:val="00616EAF"/>
    <w:rsid w:val="0061749A"/>
    <w:rsid w:val="00617C5E"/>
    <w:rsid w:val="00617FF3"/>
    <w:rsid w:val="0061B1E3"/>
    <w:rsid w:val="00620345"/>
    <w:rsid w:val="006204B4"/>
    <w:rsid w:val="006206B9"/>
    <w:rsid w:val="00620D24"/>
    <w:rsid w:val="00621A4C"/>
    <w:rsid w:val="00621B8E"/>
    <w:rsid w:val="00622155"/>
    <w:rsid w:val="006223C4"/>
    <w:rsid w:val="006227DC"/>
    <w:rsid w:val="00622B04"/>
    <w:rsid w:val="00622E62"/>
    <w:rsid w:val="006239C8"/>
    <w:rsid w:val="00623C93"/>
    <w:rsid w:val="00623EF7"/>
    <w:rsid w:val="00624098"/>
    <w:rsid w:val="00624415"/>
    <w:rsid w:val="0062478B"/>
    <w:rsid w:val="00624E68"/>
    <w:rsid w:val="00625350"/>
    <w:rsid w:val="00625660"/>
    <w:rsid w:val="00625737"/>
    <w:rsid w:val="00625A46"/>
    <w:rsid w:val="00625A88"/>
    <w:rsid w:val="00625C24"/>
    <w:rsid w:val="00626336"/>
    <w:rsid w:val="00626494"/>
    <w:rsid w:val="00626728"/>
    <w:rsid w:val="006275FF"/>
    <w:rsid w:val="00627994"/>
    <w:rsid w:val="00627D7A"/>
    <w:rsid w:val="00627E0A"/>
    <w:rsid w:val="0063026A"/>
    <w:rsid w:val="00630314"/>
    <w:rsid w:val="00630421"/>
    <w:rsid w:val="006312AD"/>
    <w:rsid w:val="006314C4"/>
    <w:rsid w:val="00631590"/>
    <w:rsid w:val="00631782"/>
    <w:rsid w:val="00631BF1"/>
    <w:rsid w:val="00631C28"/>
    <w:rsid w:val="00631F42"/>
    <w:rsid w:val="006328A4"/>
    <w:rsid w:val="00632C4C"/>
    <w:rsid w:val="00632E1D"/>
    <w:rsid w:val="006330C4"/>
    <w:rsid w:val="006330DA"/>
    <w:rsid w:val="0063346C"/>
    <w:rsid w:val="00633BA6"/>
    <w:rsid w:val="0063431D"/>
    <w:rsid w:val="0063436E"/>
    <w:rsid w:val="006344AD"/>
    <w:rsid w:val="006346CF"/>
    <w:rsid w:val="00634943"/>
    <w:rsid w:val="00634967"/>
    <w:rsid w:val="00634BBF"/>
    <w:rsid w:val="0063515E"/>
    <w:rsid w:val="00635229"/>
    <w:rsid w:val="00635255"/>
    <w:rsid w:val="0063525C"/>
    <w:rsid w:val="00635AD0"/>
    <w:rsid w:val="006363BA"/>
    <w:rsid w:val="0063659D"/>
    <w:rsid w:val="0063660C"/>
    <w:rsid w:val="0063675C"/>
    <w:rsid w:val="0063679B"/>
    <w:rsid w:val="006367B9"/>
    <w:rsid w:val="00636F7E"/>
    <w:rsid w:val="00637012"/>
    <w:rsid w:val="00637209"/>
    <w:rsid w:val="0063728D"/>
    <w:rsid w:val="006374CB"/>
    <w:rsid w:val="00637672"/>
    <w:rsid w:val="00637A4F"/>
    <w:rsid w:val="00637FC2"/>
    <w:rsid w:val="00640264"/>
    <w:rsid w:val="00640535"/>
    <w:rsid w:val="00640569"/>
    <w:rsid w:val="0064072E"/>
    <w:rsid w:val="006408D3"/>
    <w:rsid w:val="00640ADF"/>
    <w:rsid w:val="00640B2D"/>
    <w:rsid w:val="00640B42"/>
    <w:rsid w:val="00641057"/>
    <w:rsid w:val="00641B98"/>
    <w:rsid w:val="00641C27"/>
    <w:rsid w:val="00641C42"/>
    <w:rsid w:val="00641E2E"/>
    <w:rsid w:val="00641EB8"/>
    <w:rsid w:val="0064216F"/>
    <w:rsid w:val="00642596"/>
    <w:rsid w:val="006426B3"/>
    <w:rsid w:val="0064270C"/>
    <w:rsid w:val="00642A64"/>
    <w:rsid w:val="00642AE7"/>
    <w:rsid w:val="00642CA7"/>
    <w:rsid w:val="00642FA9"/>
    <w:rsid w:val="00642FF3"/>
    <w:rsid w:val="00643034"/>
    <w:rsid w:val="006432AD"/>
    <w:rsid w:val="0064363B"/>
    <w:rsid w:val="00643ACB"/>
    <w:rsid w:val="00643B03"/>
    <w:rsid w:val="00643B4E"/>
    <w:rsid w:val="0064423F"/>
    <w:rsid w:val="0064439C"/>
    <w:rsid w:val="00644538"/>
    <w:rsid w:val="00644912"/>
    <w:rsid w:val="00644B41"/>
    <w:rsid w:val="00644E2C"/>
    <w:rsid w:val="00645201"/>
    <w:rsid w:val="00645550"/>
    <w:rsid w:val="006458DE"/>
    <w:rsid w:val="00645B93"/>
    <w:rsid w:val="00645C7F"/>
    <w:rsid w:val="00645D70"/>
    <w:rsid w:val="00646156"/>
    <w:rsid w:val="00646920"/>
    <w:rsid w:val="006469C7"/>
    <w:rsid w:val="0064762F"/>
    <w:rsid w:val="0064776F"/>
    <w:rsid w:val="006479E5"/>
    <w:rsid w:val="00647A59"/>
    <w:rsid w:val="00647ECF"/>
    <w:rsid w:val="00650476"/>
    <w:rsid w:val="00650D0B"/>
    <w:rsid w:val="00650DCB"/>
    <w:rsid w:val="006510DC"/>
    <w:rsid w:val="0065110C"/>
    <w:rsid w:val="0065162B"/>
    <w:rsid w:val="00651E01"/>
    <w:rsid w:val="00652A05"/>
    <w:rsid w:val="00652A17"/>
    <w:rsid w:val="00652AEC"/>
    <w:rsid w:val="00652E20"/>
    <w:rsid w:val="00653301"/>
    <w:rsid w:val="00653608"/>
    <w:rsid w:val="0065366E"/>
    <w:rsid w:val="0065374C"/>
    <w:rsid w:val="0065386D"/>
    <w:rsid w:val="00653C77"/>
    <w:rsid w:val="00653ED2"/>
    <w:rsid w:val="00654B9A"/>
    <w:rsid w:val="00654D44"/>
    <w:rsid w:val="0065505B"/>
    <w:rsid w:val="006552CD"/>
    <w:rsid w:val="00655883"/>
    <w:rsid w:val="00655A75"/>
    <w:rsid w:val="00655FD7"/>
    <w:rsid w:val="0065657C"/>
    <w:rsid w:val="006567A3"/>
    <w:rsid w:val="00657E73"/>
    <w:rsid w:val="00657F42"/>
    <w:rsid w:val="00657FEA"/>
    <w:rsid w:val="00660080"/>
    <w:rsid w:val="0066082D"/>
    <w:rsid w:val="00660E7B"/>
    <w:rsid w:val="006610C0"/>
    <w:rsid w:val="0066181B"/>
    <w:rsid w:val="00661A2F"/>
    <w:rsid w:val="00662328"/>
    <w:rsid w:val="0066291F"/>
    <w:rsid w:val="00662B12"/>
    <w:rsid w:val="00662F80"/>
    <w:rsid w:val="00663109"/>
    <w:rsid w:val="00663177"/>
    <w:rsid w:val="00663331"/>
    <w:rsid w:val="0066352C"/>
    <w:rsid w:val="00663740"/>
    <w:rsid w:val="006638DE"/>
    <w:rsid w:val="0066398F"/>
    <w:rsid w:val="00663C28"/>
    <w:rsid w:val="00663C7E"/>
    <w:rsid w:val="00664181"/>
    <w:rsid w:val="0066486B"/>
    <w:rsid w:val="00664A53"/>
    <w:rsid w:val="00664BAE"/>
    <w:rsid w:val="00664D89"/>
    <w:rsid w:val="00664EE3"/>
    <w:rsid w:val="00665304"/>
    <w:rsid w:val="006654D8"/>
    <w:rsid w:val="0066550C"/>
    <w:rsid w:val="0066554D"/>
    <w:rsid w:val="006657A0"/>
    <w:rsid w:val="00665F53"/>
    <w:rsid w:val="006666B7"/>
    <w:rsid w:val="00666E3F"/>
    <w:rsid w:val="006672DE"/>
    <w:rsid w:val="00667447"/>
    <w:rsid w:val="00667961"/>
    <w:rsid w:val="0067066C"/>
    <w:rsid w:val="00670E72"/>
    <w:rsid w:val="006710C8"/>
    <w:rsid w:val="006719A9"/>
    <w:rsid w:val="00671B5A"/>
    <w:rsid w:val="00672083"/>
    <w:rsid w:val="0067228C"/>
    <w:rsid w:val="006722C3"/>
    <w:rsid w:val="00672360"/>
    <w:rsid w:val="00672369"/>
    <w:rsid w:val="0067274A"/>
    <w:rsid w:val="006727E2"/>
    <w:rsid w:val="00672CED"/>
    <w:rsid w:val="006730A2"/>
    <w:rsid w:val="00673162"/>
    <w:rsid w:val="006733F4"/>
    <w:rsid w:val="00673C11"/>
    <w:rsid w:val="00673C5F"/>
    <w:rsid w:val="00673D4D"/>
    <w:rsid w:val="0067462B"/>
    <w:rsid w:val="00674A27"/>
    <w:rsid w:val="00674CFE"/>
    <w:rsid w:val="00675158"/>
    <w:rsid w:val="006754D8"/>
    <w:rsid w:val="006759EC"/>
    <w:rsid w:val="00675DA3"/>
    <w:rsid w:val="00675E76"/>
    <w:rsid w:val="00676102"/>
    <w:rsid w:val="00676326"/>
    <w:rsid w:val="006767CD"/>
    <w:rsid w:val="00677232"/>
    <w:rsid w:val="006773E0"/>
    <w:rsid w:val="00677442"/>
    <w:rsid w:val="0067749F"/>
    <w:rsid w:val="0067774F"/>
    <w:rsid w:val="0067799F"/>
    <w:rsid w:val="00680068"/>
    <w:rsid w:val="006804C2"/>
    <w:rsid w:val="00680721"/>
    <w:rsid w:val="00681741"/>
    <w:rsid w:val="00681890"/>
    <w:rsid w:val="00682758"/>
    <w:rsid w:val="00682B01"/>
    <w:rsid w:val="00683041"/>
    <w:rsid w:val="006832A9"/>
    <w:rsid w:val="006834B2"/>
    <w:rsid w:val="006834DD"/>
    <w:rsid w:val="0068365C"/>
    <w:rsid w:val="0068375B"/>
    <w:rsid w:val="006838F4"/>
    <w:rsid w:val="00683AD9"/>
    <w:rsid w:val="00683B9C"/>
    <w:rsid w:val="00683D04"/>
    <w:rsid w:val="00683DD5"/>
    <w:rsid w:val="0068413F"/>
    <w:rsid w:val="00684545"/>
    <w:rsid w:val="006857B9"/>
    <w:rsid w:val="00685AB4"/>
    <w:rsid w:val="00685CFF"/>
    <w:rsid w:val="0068620D"/>
    <w:rsid w:val="00686483"/>
    <w:rsid w:val="006869DA"/>
    <w:rsid w:val="00686AF0"/>
    <w:rsid w:val="00686C52"/>
    <w:rsid w:val="00686DA9"/>
    <w:rsid w:val="00686DFF"/>
    <w:rsid w:val="006872FE"/>
    <w:rsid w:val="006876CF"/>
    <w:rsid w:val="00687721"/>
    <w:rsid w:val="0068792C"/>
    <w:rsid w:val="00687A75"/>
    <w:rsid w:val="00687CAC"/>
    <w:rsid w:val="006906A6"/>
    <w:rsid w:val="00690A7F"/>
    <w:rsid w:val="00690EE6"/>
    <w:rsid w:val="00690F2C"/>
    <w:rsid w:val="0069139D"/>
    <w:rsid w:val="006913C9"/>
    <w:rsid w:val="00691611"/>
    <w:rsid w:val="006920C6"/>
    <w:rsid w:val="006920DB"/>
    <w:rsid w:val="0069213C"/>
    <w:rsid w:val="0069299B"/>
    <w:rsid w:val="00692A16"/>
    <w:rsid w:val="00692B7D"/>
    <w:rsid w:val="00692CF0"/>
    <w:rsid w:val="00692EAD"/>
    <w:rsid w:val="0069326E"/>
    <w:rsid w:val="006932F6"/>
    <w:rsid w:val="0069333C"/>
    <w:rsid w:val="006933CF"/>
    <w:rsid w:val="0069346C"/>
    <w:rsid w:val="006935C9"/>
    <w:rsid w:val="00693B7E"/>
    <w:rsid w:val="0069453B"/>
    <w:rsid w:val="0069482D"/>
    <w:rsid w:val="00695516"/>
    <w:rsid w:val="00696CA7"/>
    <w:rsid w:val="00696D1A"/>
    <w:rsid w:val="00696E9B"/>
    <w:rsid w:val="00696EA9"/>
    <w:rsid w:val="00697341"/>
    <w:rsid w:val="006975DB"/>
    <w:rsid w:val="006978BE"/>
    <w:rsid w:val="00697A6E"/>
    <w:rsid w:val="00697C93"/>
    <w:rsid w:val="006A0278"/>
    <w:rsid w:val="006A05FA"/>
    <w:rsid w:val="006A06A3"/>
    <w:rsid w:val="006A0736"/>
    <w:rsid w:val="006A07CF"/>
    <w:rsid w:val="006A091E"/>
    <w:rsid w:val="006A0A9C"/>
    <w:rsid w:val="006A0D13"/>
    <w:rsid w:val="006A1066"/>
    <w:rsid w:val="006A116A"/>
    <w:rsid w:val="006A1331"/>
    <w:rsid w:val="006A1495"/>
    <w:rsid w:val="006A168B"/>
    <w:rsid w:val="006A1A72"/>
    <w:rsid w:val="006A1F10"/>
    <w:rsid w:val="006A228B"/>
    <w:rsid w:val="006A22A4"/>
    <w:rsid w:val="006A257A"/>
    <w:rsid w:val="006A323D"/>
    <w:rsid w:val="006A36F4"/>
    <w:rsid w:val="006A379D"/>
    <w:rsid w:val="006A3A49"/>
    <w:rsid w:val="006A3B83"/>
    <w:rsid w:val="006A3F82"/>
    <w:rsid w:val="006A3FEE"/>
    <w:rsid w:val="006A4184"/>
    <w:rsid w:val="006A446E"/>
    <w:rsid w:val="006A4632"/>
    <w:rsid w:val="006A465D"/>
    <w:rsid w:val="006A4846"/>
    <w:rsid w:val="006A4A3F"/>
    <w:rsid w:val="006A4B5F"/>
    <w:rsid w:val="006A4BBC"/>
    <w:rsid w:val="006A4C8D"/>
    <w:rsid w:val="006A4CE7"/>
    <w:rsid w:val="006A4DFB"/>
    <w:rsid w:val="006A4F3D"/>
    <w:rsid w:val="006A50FE"/>
    <w:rsid w:val="006A512D"/>
    <w:rsid w:val="006A5619"/>
    <w:rsid w:val="006A576C"/>
    <w:rsid w:val="006A60D0"/>
    <w:rsid w:val="006A62C2"/>
    <w:rsid w:val="006A66B0"/>
    <w:rsid w:val="006A6777"/>
    <w:rsid w:val="006A6E18"/>
    <w:rsid w:val="006A720D"/>
    <w:rsid w:val="006A7311"/>
    <w:rsid w:val="006A79DD"/>
    <w:rsid w:val="006A7BC9"/>
    <w:rsid w:val="006A7C5D"/>
    <w:rsid w:val="006B0516"/>
    <w:rsid w:val="006B088D"/>
    <w:rsid w:val="006B096A"/>
    <w:rsid w:val="006B0B82"/>
    <w:rsid w:val="006B0BBF"/>
    <w:rsid w:val="006B0C59"/>
    <w:rsid w:val="006B0DE8"/>
    <w:rsid w:val="006B15F5"/>
    <w:rsid w:val="006B1E7D"/>
    <w:rsid w:val="006B2697"/>
    <w:rsid w:val="006B29E1"/>
    <w:rsid w:val="006B2D53"/>
    <w:rsid w:val="006B3000"/>
    <w:rsid w:val="006B3676"/>
    <w:rsid w:val="006B3A5F"/>
    <w:rsid w:val="006B3CAD"/>
    <w:rsid w:val="006B3D58"/>
    <w:rsid w:val="006B416B"/>
    <w:rsid w:val="006B43CE"/>
    <w:rsid w:val="006B469A"/>
    <w:rsid w:val="006B4C1C"/>
    <w:rsid w:val="006B52C9"/>
    <w:rsid w:val="006B53C3"/>
    <w:rsid w:val="006B5496"/>
    <w:rsid w:val="006B568A"/>
    <w:rsid w:val="006B5842"/>
    <w:rsid w:val="006B619E"/>
    <w:rsid w:val="006B69F2"/>
    <w:rsid w:val="006B6A7C"/>
    <w:rsid w:val="006B7A09"/>
    <w:rsid w:val="006B7AD0"/>
    <w:rsid w:val="006C0107"/>
    <w:rsid w:val="006C01E5"/>
    <w:rsid w:val="006C0A02"/>
    <w:rsid w:val="006C0E4B"/>
    <w:rsid w:val="006C1269"/>
    <w:rsid w:val="006C13EE"/>
    <w:rsid w:val="006C1417"/>
    <w:rsid w:val="006C1A44"/>
    <w:rsid w:val="006C1F5A"/>
    <w:rsid w:val="006C2030"/>
    <w:rsid w:val="006C2917"/>
    <w:rsid w:val="006C2AAB"/>
    <w:rsid w:val="006C3014"/>
    <w:rsid w:val="006C3053"/>
    <w:rsid w:val="006C31A9"/>
    <w:rsid w:val="006C31FA"/>
    <w:rsid w:val="006C32C9"/>
    <w:rsid w:val="006C375D"/>
    <w:rsid w:val="006C384A"/>
    <w:rsid w:val="006C4865"/>
    <w:rsid w:val="006C4A65"/>
    <w:rsid w:val="006C4BFF"/>
    <w:rsid w:val="006C4F96"/>
    <w:rsid w:val="006C4F99"/>
    <w:rsid w:val="006C4FA4"/>
    <w:rsid w:val="006C50B8"/>
    <w:rsid w:val="006C5193"/>
    <w:rsid w:val="006C5298"/>
    <w:rsid w:val="006C52B7"/>
    <w:rsid w:val="006C57AF"/>
    <w:rsid w:val="006C5B10"/>
    <w:rsid w:val="006C5B7E"/>
    <w:rsid w:val="006C5FB0"/>
    <w:rsid w:val="006C5FFA"/>
    <w:rsid w:val="006C629A"/>
    <w:rsid w:val="006C632F"/>
    <w:rsid w:val="006C663E"/>
    <w:rsid w:val="006C67B0"/>
    <w:rsid w:val="006C681A"/>
    <w:rsid w:val="006C6B20"/>
    <w:rsid w:val="006C6D5D"/>
    <w:rsid w:val="006C72EC"/>
    <w:rsid w:val="006C73A7"/>
    <w:rsid w:val="006C7429"/>
    <w:rsid w:val="006C761E"/>
    <w:rsid w:val="006C76A8"/>
    <w:rsid w:val="006D0089"/>
    <w:rsid w:val="006D024F"/>
    <w:rsid w:val="006D07AD"/>
    <w:rsid w:val="006D0B6B"/>
    <w:rsid w:val="006D0E77"/>
    <w:rsid w:val="006D100B"/>
    <w:rsid w:val="006D1B72"/>
    <w:rsid w:val="006D2083"/>
    <w:rsid w:val="006D21EE"/>
    <w:rsid w:val="006D2224"/>
    <w:rsid w:val="006D2BDC"/>
    <w:rsid w:val="006D2E91"/>
    <w:rsid w:val="006D3018"/>
    <w:rsid w:val="006D3557"/>
    <w:rsid w:val="006D373D"/>
    <w:rsid w:val="006D3760"/>
    <w:rsid w:val="006D4009"/>
    <w:rsid w:val="006D4AAD"/>
    <w:rsid w:val="006D4DE6"/>
    <w:rsid w:val="006D4F3B"/>
    <w:rsid w:val="006D5121"/>
    <w:rsid w:val="006D54CB"/>
    <w:rsid w:val="006D5743"/>
    <w:rsid w:val="006D5C86"/>
    <w:rsid w:val="006D60C8"/>
    <w:rsid w:val="006D6173"/>
    <w:rsid w:val="006D69B9"/>
    <w:rsid w:val="006D6DAB"/>
    <w:rsid w:val="006D6EA6"/>
    <w:rsid w:val="006D73BE"/>
    <w:rsid w:val="006D79FD"/>
    <w:rsid w:val="006D7E78"/>
    <w:rsid w:val="006E052C"/>
    <w:rsid w:val="006E059E"/>
    <w:rsid w:val="006E0706"/>
    <w:rsid w:val="006E0744"/>
    <w:rsid w:val="006E0831"/>
    <w:rsid w:val="006E0AB7"/>
    <w:rsid w:val="006E0C78"/>
    <w:rsid w:val="006E0E18"/>
    <w:rsid w:val="006E0ED8"/>
    <w:rsid w:val="006E1041"/>
    <w:rsid w:val="006E10D9"/>
    <w:rsid w:val="006E13B4"/>
    <w:rsid w:val="006E18F7"/>
    <w:rsid w:val="006E1B87"/>
    <w:rsid w:val="006E1CD3"/>
    <w:rsid w:val="006E233F"/>
    <w:rsid w:val="006E2446"/>
    <w:rsid w:val="006E25A9"/>
    <w:rsid w:val="006E2763"/>
    <w:rsid w:val="006E2D13"/>
    <w:rsid w:val="006E2D4F"/>
    <w:rsid w:val="006E2D9F"/>
    <w:rsid w:val="006E32A0"/>
    <w:rsid w:val="006E33D3"/>
    <w:rsid w:val="006E3608"/>
    <w:rsid w:val="006E3855"/>
    <w:rsid w:val="006E435B"/>
    <w:rsid w:val="006E446A"/>
    <w:rsid w:val="006E4B2C"/>
    <w:rsid w:val="006E4BCE"/>
    <w:rsid w:val="006E4E7B"/>
    <w:rsid w:val="006E4EBE"/>
    <w:rsid w:val="006E54FA"/>
    <w:rsid w:val="006E5913"/>
    <w:rsid w:val="006E5B94"/>
    <w:rsid w:val="006E5BF4"/>
    <w:rsid w:val="006E5F81"/>
    <w:rsid w:val="006E5FEA"/>
    <w:rsid w:val="006E60B9"/>
    <w:rsid w:val="006E6461"/>
    <w:rsid w:val="006E66E4"/>
    <w:rsid w:val="006E6C53"/>
    <w:rsid w:val="006E708E"/>
    <w:rsid w:val="006E709C"/>
    <w:rsid w:val="006E7138"/>
    <w:rsid w:val="006E7147"/>
    <w:rsid w:val="006E7387"/>
    <w:rsid w:val="006E7683"/>
    <w:rsid w:val="006E77FC"/>
    <w:rsid w:val="006E7997"/>
    <w:rsid w:val="006E7CF7"/>
    <w:rsid w:val="006E7E01"/>
    <w:rsid w:val="006E7E77"/>
    <w:rsid w:val="006F00BA"/>
    <w:rsid w:val="006F0B7B"/>
    <w:rsid w:val="006F0D0D"/>
    <w:rsid w:val="006F1682"/>
    <w:rsid w:val="006F171F"/>
    <w:rsid w:val="006F1CE7"/>
    <w:rsid w:val="006F1E57"/>
    <w:rsid w:val="006F1EFE"/>
    <w:rsid w:val="006F1FA5"/>
    <w:rsid w:val="006F1FBF"/>
    <w:rsid w:val="006F21DC"/>
    <w:rsid w:val="006F2964"/>
    <w:rsid w:val="006F2EC7"/>
    <w:rsid w:val="006F3A1C"/>
    <w:rsid w:val="006F4074"/>
    <w:rsid w:val="006F427B"/>
    <w:rsid w:val="006F45AE"/>
    <w:rsid w:val="006F4A36"/>
    <w:rsid w:val="006F4FD3"/>
    <w:rsid w:val="006F5270"/>
    <w:rsid w:val="006F5820"/>
    <w:rsid w:val="006F6619"/>
    <w:rsid w:val="006F6954"/>
    <w:rsid w:val="006F6C28"/>
    <w:rsid w:val="006F6FA6"/>
    <w:rsid w:val="006F7197"/>
    <w:rsid w:val="006F741E"/>
    <w:rsid w:val="006F7C95"/>
    <w:rsid w:val="0070031A"/>
    <w:rsid w:val="0070069C"/>
    <w:rsid w:val="00700CD2"/>
    <w:rsid w:val="0070122E"/>
    <w:rsid w:val="007012DA"/>
    <w:rsid w:val="00701999"/>
    <w:rsid w:val="00701E5F"/>
    <w:rsid w:val="00702030"/>
    <w:rsid w:val="007020EB"/>
    <w:rsid w:val="007023C7"/>
    <w:rsid w:val="00702496"/>
    <w:rsid w:val="0070292B"/>
    <w:rsid w:val="0070327C"/>
    <w:rsid w:val="007032DE"/>
    <w:rsid w:val="00703875"/>
    <w:rsid w:val="007042CE"/>
    <w:rsid w:val="0070433E"/>
    <w:rsid w:val="007046C8"/>
    <w:rsid w:val="00704BDE"/>
    <w:rsid w:val="00704D0F"/>
    <w:rsid w:val="0070574B"/>
    <w:rsid w:val="0070615E"/>
    <w:rsid w:val="0070635F"/>
    <w:rsid w:val="007065F3"/>
    <w:rsid w:val="007067A5"/>
    <w:rsid w:val="00706ECD"/>
    <w:rsid w:val="007071E2"/>
    <w:rsid w:val="007078DB"/>
    <w:rsid w:val="0071043D"/>
    <w:rsid w:val="007104C6"/>
    <w:rsid w:val="00710741"/>
    <w:rsid w:val="007107E9"/>
    <w:rsid w:val="00710C2C"/>
    <w:rsid w:val="0071119A"/>
    <w:rsid w:val="007114B0"/>
    <w:rsid w:val="0071153E"/>
    <w:rsid w:val="0071167D"/>
    <w:rsid w:val="00711936"/>
    <w:rsid w:val="00711B5A"/>
    <w:rsid w:val="0071206D"/>
    <w:rsid w:val="00712177"/>
    <w:rsid w:val="007123AF"/>
    <w:rsid w:val="00712531"/>
    <w:rsid w:val="00713440"/>
    <w:rsid w:val="00713CE0"/>
    <w:rsid w:val="00714424"/>
    <w:rsid w:val="007144BF"/>
    <w:rsid w:val="007145A9"/>
    <w:rsid w:val="007146D5"/>
    <w:rsid w:val="0071476B"/>
    <w:rsid w:val="00714D26"/>
    <w:rsid w:val="00714F19"/>
    <w:rsid w:val="007151ED"/>
    <w:rsid w:val="007152C3"/>
    <w:rsid w:val="0071550C"/>
    <w:rsid w:val="0071566E"/>
    <w:rsid w:val="007159DC"/>
    <w:rsid w:val="00715F3A"/>
    <w:rsid w:val="00716290"/>
    <w:rsid w:val="0071632A"/>
    <w:rsid w:val="00716454"/>
    <w:rsid w:val="0071655D"/>
    <w:rsid w:val="00716746"/>
    <w:rsid w:val="00716800"/>
    <w:rsid w:val="007168BF"/>
    <w:rsid w:val="007169AF"/>
    <w:rsid w:val="00716CED"/>
    <w:rsid w:val="00716DC1"/>
    <w:rsid w:val="00716E4C"/>
    <w:rsid w:val="0071705D"/>
    <w:rsid w:val="00717361"/>
    <w:rsid w:val="007175CC"/>
    <w:rsid w:val="00720165"/>
    <w:rsid w:val="00720471"/>
    <w:rsid w:val="007206E9"/>
    <w:rsid w:val="0072090A"/>
    <w:rsid w:val="00720D8D"/>
    <w:rsid w:val="00720ED2"/>
    <w:rsid w:val="00721112"/>
    <w:rsid w:val="00721280"/>
    <w:rsid w:val="007215E8"/>
    <w:rsid w:val="0072198C"/>
    <w:rsid w:val="00721B9E"/>
    <w:rsid w:val="00721C0A"/>
    <w:rsid w:val="00721CBB"/>
    <w:rsid w:val="0072270A"/>
    <w:rsid w:val="00722C6E"/>
    <w:rsid w:val="007230AB"/>
    <w:rsid w:val="00723235"/>
    <w:rsid w:val="00723819"/>
    <w:rsid w:val="00723821"/>
    <w:rsid w:val="00723838"/>
    <w:rsid w:val="0072392B"/>
    <w:rsid w:val="00723ADD"/>
    <w:rsid w:val="0072426E"/>
    <w:rsid w:val="007243A4"/>
    <w:rsid w:val="00724688"/>
    <w:rsid w:val="0072474D"/>
    <w:rsid w:val="007248C1"/>
    <w:rsid w:val="007251D7"/>
    <w:rsid w:val="00725350"/>
    <w:rsid w:val="0072617B"/>
    <w:rsid w:val="00726552"/>
    <w:rsid w:val="00726CBB"/>
    <w:rsid w:val="00726DBE"/>
    <w:rsid w:val="00726EFF"/>
    <w:rsid w:val="0072708B"/>
    <w:rsid w:val="0072723F"/>
    <w:rsid w:val="00727289"/>
    <w:rsid w:val="007275B4"/>
    <w:rsid w:val="00727A54"/>
    <w:rsid w:val="00727ABB"/>
    <w:rsid w:val="00727AD0"/>
    <w:rsid w:val="00727BA4"/>
    <w:rsid w:val="00727BA7"/>
    <w:rsid w:val="00727F47"/>
    <w:rsid w:val="00730417"/>
    <w:rsid w:val="007307A2"/>
    <w:rsid w:val="00730C2D"/>
    <w:rsid w:val="00730F7C"/>
    <w:rsid w:val="00731098"/>
    <w:rsid w:val="00731413"/>
    <w:rsid w:val="00731518"/>
    <w:rsid w:val="007316D4"/>
    <w:rsid w:val="00731906"/>
    <w:rsid w:val="00731998"/>
    <w:rsid w:val="00731E0C"/>
    <w:rsid w:val="00732015"/>
    <w:rsid w:val="007320C9"/>
    <w:rsid w:val="007323C0"/>
    <w:rsid w:val="00732D5C"/>
    <w:rsid w:val="007330BB"/>
    <w:rsid w:val="0073320E"/>
    <w:rsid w:val="00733B57"/>
    <w:rsid w:val="00733BB8"/>
    <w:rsid w:val="00733F85"/>
    <w:rsid w:val="00734511"/>
    <w:rsid w:val="007346FB"/>
    <w:rsid w:val="00734943"/>
    <w:rsid w:val="00734954"/>
    <w:rsid w:val="00734989"/>
    <w:rsid w:val="007349E8"/>
    <w:rsid w:val="00734C42"/>
    <w:rsid w:val="00735106"/>
    <w:rsid w:val="00735168"/>
    <w:rsid w:val="0073523B"/>
    <w:rsid w:val="00735283"/>
    <w:rsid w:val="0073538B"/>
    <w:rsid w:val="007357E6"/>
    <w:rsid w:val="00735D5F"/>
    <w:rsid w:val="00735DF3"/>
    <w:rsid w:val="00735EC1"/>
    <w:rsid w:val="00736029"/>
    <w:rsid w:val="007360F4"/>
    <w:rsid w:val="00736127"/>
    <w:rsid w:val="00736694"/>
    <w:rsid w:val="00736C1C"/>
    <w:rsid w:val="00736EC9"/>
    <w:rsid w:val="00737607"/>
    <w:rsid w:val="0073782F"/>
    <w:rsid w:val="00737E69"/>
    <w:rsid w:val="0074015F"/>
    <w:rsid w:val="007409CC"/>
    <w:rsid w:val="00740B27"/>
    <w:rsid w:val="00741014"/>
    <w:rsid w:val="00741456"/>
    <w:rsid w:val="0074173C"/>
    <w:rsid w:val="007418E2"/>
    <w:rsid w:val="007419DF"/>
    <w:rsid w:val="00741A10"/>
    <w:rsid w:val="00741F51"/>
    <w:rsid w:val="007420C6"/>
    <w:rsid w:val="007427AB"/>
    <w:rsid w:val="00742CEC"/>
    <w:rsid w:val="00743296"/>
    <w:rsid w:val="0074390B"/>
    <w:rsid w:val="007439DF"/>
    <w:rsid w:val="007443D9"/>
    <w:rsid w:val="00744889"/>
    <w:rsid w:val="0074522C"/>
    <w:rsid w:val="0074548F"/>
    <w:rsid w:val="007455EE"/>
    <w:rsid w:val="00745A90"/>
    <w:rsid w:val="00745B61"/>
    <w:rsid w:val="007461BB"/>
    <w:rsid w:val="007468FF"/>
    <w:rsid w:val="00746900"/>
    <w:rsid w:val="00746CD9"/>
    <w:rsid w:val="0074706B"/>
    <w:rsid w:val="00747463"/>
    <w:rsid w:val="007475B6"/>
    <w:rsid w:val="00747738"/>
    <w:rsid w:val="0074794C"/>
    <w:rsid w:val="0074795F"/>
    <w:rsid w:val="00747F61"/>
    <w:rsid w:val="007506AB"/>
    <w:rsid w:val="00750AA2"/>
    <w:rsid w:val="00751038"/>
    <w:rsid w:val="007518FF"/>
    <w:rsid w:val="00751A8A"/>
    <w:rsid w:val="00751DC8"/>
    <w:rsid w:val="00752019"/>
    <w:rsid w:val="00752041"/>
    <w:rsid w:val="0075230E"/>
    <w:rsid w:val="007523B2"/>
    <w:rsid w:val="0075264B"/>
    <w:rsid w:val="007527DA"/>
    <w:rsid w:val="00752C3B"/>
    <w:rsid w:val="00753429"/>
    <w:rsid w:val="00753509"/>
    <w:rsid w:val="0075397C"/>
    <w:rsid w:val="00753F76"/>
    <w:rsid w:val="0075429F"/>
    <w:rsid w:val="0075486D"/>
    <w:rsid w:val="00754873"/>
    <w:rsid w:val="00754E7E"/>
    <w:rsid w:val="007550D2"/>
    <w:rsid w:val="007551E6"/>
    <w:rsid w:val="007552C3"/>
    <w:rsid w:val="0075534E"/>
    <w:rsid w:val="00755A15"/>
    <w:rsid w:val="00755B74"/>
    <w:rsid w:val="00756215"/>
    <w:rsid w:val="00756274"/>
    <w:rsid w:val="0075634B"/>
    <w:rsid w:val="00756689"/>
    <w:rsid w:val="00756693"/>
    <w:rsid w:val="007566A7"/>
    <w:rsid w:val="007568B2"/>
    <w:rsid w:val="00756CF7"/>
    <w:rsid w:val="00757145"/>
    <w:rsid w:val="00757366"/>
    <w:rsid w:val="007575A3"/>
    <w:rsid w:val="00757CC2"/>
    <w:rsid w:val="007588CD"/>
    <w:rsid w:val="00760013"/>
    <w:rsid w:val="007604D5"/>
    <w:rsid w:val="00760502"/>
    <w:rsid w:val="00760989"/>
    <w:rsid w:val="007609DB"/>
    <w:rsid w:val="00760BDA"/>
    <w:rsid w:val="00760BEA"/>
    <w:rsid w:val="00760CE7"/>
    <w:rsid w:val="00761421"/>
    <w:rsid w:val="007614EE"/>
    <w:rsid w:val="00761BB3"/>
    <w:rsid w:val="00761DED"/>
    <w:rsid w:val="00761E53"/>
    <w:rsid w:val="00762250"/>
    <w:rsid w:val="00762555"/>
    <w:rsid w:val="00762BCE"/>
    <w:rsid w:val="00762BF3"/>
    <w:rsid w:val="00762EC8"/>
    <w:rsid w:val="0076347F"/>
    <w:rsid w:val="00763620"/>
    <w:rsid w:val="0076372E"/>
    <w:rsid w:val="00763EC9"/>
    <w:rsid w:val="00764137"/>
    <w:rsid w:val="007642FE"/>
    <w:rsid w:val="0076451E"/>
    <w:rsid w:val="007648AF"/>
    <w:rsid w:val="0076493A"/>
    <w:rsid w:val="00764E63"/>
    <w:rsid w:val="007653CE"/>
    <w:rsid w:val="0076594D"/>
    <w:rsid w:val="007659AF"/>
    <w:rsid w:val="00765AC3"/>
    <w:rsid w:val="00765F11"/>
    <w:rsid w:val="00766131"/>
    <w:rsid w:val="0076613C"/>
    <w:rsid w:val="0076687C"/>
    <w:rsid w:val="00766F65"/>
    <w:rsid w:val="0076747B"/>
    <w:rsid w:val="007674FE"/>
    <w:rsid w:val="0076751F"/>
    <w:rsid w:val="00767624"/>
    <w:rsid w:val="0077000F"/>
    <w:rsid w:val="007700EE"/>
    <w:rsid w:val="0077034F"/>
    <w:rsid w:val="0077075F"/>
    <w:rsid w:val="00770A31"/>
    <w:rsid w:val="00770E8B"/>
    <w:rsid w:val="00771580"/>
    <w:rsid w:val="007717C3"/>
    <w:rsid w:val="00771CD2"/>
    <w:rsid w:val="00771F8D"/>
    <w:rsid w:val="00772329"/>
    <w:rsid w:val="007723D2"/>
    <w:rsid w:val="0077256E"/>
    <w:rsid w:val="00772C76"/>
    <w:rsid w:val="00773B3C"/>
    <w:rsid w:val="00773B53"/>
    <w:rsid w:val="00773B68"/>
    <w:rsid w:val="00773BA8"/>
    <w:rsid w:val="00773EC1"/>
    <w:rsid w:val="00773F02"/>
    <w:rsid w:val="00773F03"/>
    <w:rsid w:val="00774499"/>
    <w:rsid w:val="007750B7"/>
    <w:rsid w:val="007750C9"/>
    <w:rsid w:val="007751D4"/>
    <w:rsid w:val="0077544C"/>
    <w:rsid w:val="00775A3F"/>
    <w:rsid w:val="00776167"/>
    <w:rsid w:val="007761A9"/>
    <w:rsid w:val="00776472"/>
    <w:rsid w:val="00776863"/>
    <w:rsid w:val="00776A48"/>
    <w:rsid w:val="00776EC0"/>
    <w:rsid w:val="00776FF0"/>
    <w:rsid w:val="00777608"/>
    <w:rsid w:val="00777785"/>
    <w:rsid w:val="00777A8C"/>
    <w:rsid w:val="00777B2D"/>
    <w:rsid w:val="00777BDC"/>
    <w:rsid w:val="00777DB2"/>
    <w:rsid w:val="00780143"/>
    <w:rsid w:val="0078057B"/>
    <w:rsid w:val="00780ADB"/>
    <w:rsid w:val="00780E13"/>
    <w:rsid w:val="0078113E"/>
    <w:rsid w:val="0078115C"/>
    <w:rsid w:val="00781B94"/>
    <w:rsid w:val="00781D9D"/>
    <w:rsid w:val="00781E9C"/>
    <w:rsid w:val="00781EEF"/>
    <w:rsid w:val="00781F7A"/>
    <w:rsid w:val="00782114"/>
    <w:rsid w:val="0078260F"/>
    <w:rsid w:val="007834C0"/>
    <w:rsid w:val="007838A4"/>
    <w:rsid w:val="00783BD3"/>
    <w:rsid w:val="00783D13"/>
    <w:rsid w:val="007845F6"/>
    <w:rsid w:val="00784AA0"/>
    <w:rsid w:val="00784E2D"/>
    <w:rsid w:val="00785021"/>
    <w:rsid w:val="00785261"/>
    <w:rsid w:val="0078569A"/>
    <w:rsid w:val="0078593A"/>
    <w:rsid w:val="00785B92"/>
    <w:rsid w:val="00785C9E"/>
    <w:rsid w:val="00785E38"/>
    <w:rsid w:val="00786052"/>
    <w:rsid w:val="007861EF"/>
    <w:rsid w:val="00786245"/>
    <w:rsid w:val="0078627A"/>
    <w:rsid w:val="00786294"/>
    <w:rsid w:val="00786614"/>
    <w:rsid w:val="00786961"/>
    <w:rsid w:val="00786FD2"/>
    <w:rsid w:val="0078704B"/>
    <w:rsid w:val="00787865"/>
    <w:rsid w:val="00787FE3"/>
    <w:rsid w:val="00790551"/>
    <w:rsid w:val="007906D7"/>
    <w:rsid w:val="00790B42"/>
    <w:rsid w:val="00790F77"/>
    <w:rsid w:val="007911F4"/>
    <w:rsid w:val="00791444"/>
    <w:rsid w:val="007915AF"/>
    <w:rsid w:val="00791AD1"/>
    <w:rsid w:val="00791CA8"/>
    <w:rsid w:val="0079236C"/>
    <w:rsid w:val="00792753"/>
    <w:rsid w:val="00792887"/>
    <w:rsid w:val="00792CA8"/>
    <w:rsid w:val="00793525"/>
    <w:rsid w:val="00793A55"/>
    <w:rsid w:val="00793BB3"/>
    <w:rsid w:val="00794067"/>
    <w:rsid w:val="0079412D"/>
    <w:rsid w:val="0079478F"/>
    <w:rsid w:val="00794EDA"/>
    <w:rsid w:val="00795380"/>
    <w:rsid w:val="00795840"/>
    <w:rsid w:val="00795C30"/>
    <w:rsid w:val="00795C6E"/>
    <w:rsid w:val="00795DC1"/>
    <w:rsid w:val="00795ECB"/>
    <w:rsid w:val="007960AF"/>
    <w:rsid w:val="007962C6"/>
    <w:rsid w:val="00796960"/>
    <w:rsid w:val="00796AA2"/>
    <w:rsid w:val="00796BB8"/>
    <w:rsid w:val="00796D23"/>
    <w:rsid w:val="00796F4B"/>
    <w:rsid w:val="00797066"/>
    <w:rsid w:val="007971A2"/>
    <w:rsid w:val="0079742D"/>
    <w:rsid w:val="00797A23"/>
    <w:rsid w:val="00797C94"/>
    <w:rsid w:val="00797CC6"/>
    <w:rsid w:val="007A0324"/>
    <w:rsid w:val="007A032F"/>
    <w:rsid w:val="007A04BC"/>
    <w:rsid w:val="007A06F8"/>
    <w:rsid w:val="007A0964"/>
    <w:rsid w:val="007A0F18"/>
    <w:rsid w:val="007A15F5"/>
    <w:rsid w:val="007A166E"/>
    <w:rsid w:val="007A196A"/>
    <w:rsid w:val="007A1AAA"/>
    <w:rsid w:val="007A1B13"/>
    <w:rsid w:val="007A1C45"/>
    <w:rsid w:val="007A23C1"/>
    <w:rsid w:val="007A245B"/>
    <w:rsid w:val="007A25C2"/>
    <w:rsid w:val="007A2C22"/>
    <w:rsid w:val="007A2C5C"/>
    <w:rsid w:val="007A3028"/>
    <w:rsid w:val="007A31AD"/>
    <w:rsid w:val="007A34C8"/>
    <w:rsid w:val="007A3796"/>
    <w:rsid w:val="007A3862"/>
    <w:rsid w:val="007A3AFD"/>
    <w:rsid w:val="007A3CD1"/>
    <w:rsid w:val="007A3F2F"/>
    <w:rsid w:val="007A4089"/>
    <w:rsid w:val="007A4399"/>
    <w:rsid w:val="007A4537"/>
    <w:rsid w:val="007A488E"/>
    <w:rsid w:val="007A4B9E"/>
    <w:rsid w:val="007A4C99"/>
    <w:rsid w:val="007A4DC3"/>
    <w:rsid w:val="007A565B"/>
    <w:rsid w:val="007A58C5"/>
    <w:rsid w:val="007A5C03"/>
    <w:rsid w:val="007A5EF9"/>
    <w:rsid w:val="007A5F41"/>
    <w:rsid w:val="007A61E6"/>
    <w:rsid w:val="007A67B8"/>
    <w:rsid w:val="007A6938"/>
    <w:rsid w:val="007A6971"/>
    <w:rsid w:val="007A7423"/>
    <w:rsid w:val="007A7997"/>
    <w:rsid w:val="007A7A3E"/>
    <w:rsid w:val="007B0256"/>
    <w:rsid w:val="007B06FE"/>
    <w:rsid w:val="007B0CC0"/>
    <w:rsid w:val="007B0EAD"/>
    <w:rsid w:val="007B1165"/>
    <w:rsid w:val="007B1295"/>
    <w:rsid w:val="007B13D6"/>
    <w:rsid w:val="007B160C"/>
    <w:rsid w:val="007B1957"/>
    <w:rsid w:val="007B1CF4"/>
    <w:rsid w:val="007B274C"/>
    <w:rsid w:val="007B2B83"/>
    <w:rsid w:val="007B2D53"/>
    <w:rsid w:val="007B2EA3"/>
    <w:rsid w:val="007B3568"/>
    <w:rsid w:val="007B359C"/>
    <w:rsid w:val="007B372E"/>
    <w:rsid w:val="007B38D4"/>
    <w:rsid w:val="007B391D"/>
    <w:rsid w:val="007B3A79"/>
    <w:rsid w:val="007B3BC6"/>
    <w:rsid w:val="007B3CB8"/>
    <w:rsid w:val="007B47BB"/>
    <w:rsid w:val="007B48F7"/>
    <w:rsid w:val="007B4A45"/>
    <w:rsid w:val="007B4B99"/>
    <w:rsid w:val="007B51F7"/>
    <w:rsid w:val="007B57FE"/>
    <w:rsid w:val="007B58FA"/>
    <w:rsid w:val="007B5930"/>
    <w:rsid w:val="007B5B7F"/>
    <w:rsid w:val="007B5C97"/>
    <w:rsid w:val="007B5DB7"/>
    <w:rsid w:val="007B5DFD"/>
    <w:rsid w:val="007B60C5"/>
    <w:rsid w:val="007B60E0"/>
    <w:rsid w:val="007B6460"/>
    <w:rsid w:val="007B6474"/>
    <w:rsid w:val="007B6700"/>
    <w:rsid w:val="007B6A2E"/>
    <w:rsid w:val="007B6F70"/>
    <w:rsid w:val="007B6FC0"/>
    <w:rsid w:val="007B7277"/>
    <w:rsid w:val="007B72A8"/>
    <w:rsid w:val="007B7C35"/>
    <w:rsid w:val="007B7DC2"/>
    <w:rsid w:val="007B7E4D"/>
    <w:rsid w:val="007C0187"/>
    <w:rsid w:val="007C0384"/>
    <w:rsid w:val="007C06CA"/>
    <w:rsid w:val="007C08B5"/>
    <w:rsid w:val="007C0BD0"/>
    <w:rsid w:val="007C0E25"/>
    <w:rsid w:val="007C136A"/>
    <w:rsid w:val="007C1404"/>
    <w:rsid w:val="007C1649"/>
    <w:rsid w:val="007C1A53"/>
    <w:rsid w:val="007C1B58"/>
    <w:rsid w:val="007C1EA3"/>
    <w:rsid w:val="007C2013"/>
    <w:rsid w:val="007C23B0"/>
    <w:rsid w:val="007C280D"/>
    <w:rsid w:val="007C2873"/>
    <w:rsid w:val="007C2A74"/>
    <w:rsid w:val="007C3184"/>
    <w:rsid w:val="007C34E3"/>
    <w:rsid w:val="007C3691"/>
    <w:rsid w:val="007C3C02"/>
    <w:rsid w:val="007C3C72"/>
    <w:rsid w:val="007C409A"/>
    <w:rsid w:val="007C41F9"/>
    <w:rsid w:val="007C4ECD"/>
    <w:rsid w:val="007C5620"/>
    <w:rsid w:val="007C57E7"/>
    <w:rsid w:val="007C59BA"/>
    <w:rsid w:val="007C5A50"/>
    <w:rsid w:val="007C5DBA"/>
    <w:rsid w:val="007C5EBF"/>
    <w:rsid w:val="007C657E"/>
    <w:rsid w:val="007C6784"/>
    <w:rsid w:val="007C6D26"/>
    <w:rsid w:val="007C71BD"/>
    <w:rsid w:val="007C796D"/>
    <w:rsid w:val="007C7A8A"/>
    <w:rsid w:val="007D0D27"/>
    <w:rsid w:val="007D0EF0"/>
    <w:rsid w:val="007D176D"/>
    <w:rsid w:val="007D183E"/>
    <w:rsid w:val="007D1AC5"/>
    <w:rsid w:val="007D1E23"/>
    <w:rsid w:val="007D2205"/>
    <w:rsid w:val="007D2583"/>
    <w:rsid w:val="007D3577"/>
    <w:rsid w:val="007D40D8"/>
    <w:rsid w:val="007D441C"/>
    <w:rsid w:val="007D4431"/>
    <w:rsid w:val="007D46B5"/>
    <w:rsid w:val="007D492A"/>
    <w:rsid w:val="007D4A70"/>
    <w:rsid w:val="007D4D10"/>
    <w:rsid w:val="007D4F9A"/>
    <w:rsid w:val="007D5168"/>
    <w:rsid w:val="007D5194"/>
    <w:rsid w:val="007D5627"/>
    <w:rsid w:val="007D5AED"/>
    <w:rsid w:val="007D7146"/>
    <w:rsid w:val="007D7669"/>
    <w:rsid w:val="007D7681"/>
    <w:rsid w:val="007D797C"/>
    <w:rsid w:val="007D7DCD"/>
    <w:rsid w:val="007D7E0D"/>
    <w:rsid w:val="007D7FF1"/>
    <w:rsid w:val="007E0094"/>
    <w:rsid w:val="007E0476"/>
    <w:rsid w:val="007E072C"/>
    <w:rsid w:val="007E0C43"/>
    <w:rsid w:val="007E1000"/>
    <w:rsid w:val="007E144E"/>
    <w:rsid w:val="007E1C52"/>
    <w:rsid w:val="007E204B"/>
    <w:rsid w:val="007E236C"/>
    <w:rsid w:val="007E2402"/>
    <w:rsid w:val="007E2F78"/>
    <w:rsid w:val="007E38C5"/>
    <w:rsid w:val="007E3931"/>
    <w:rsid w:val="007E420A"/>
    <w:rsid w:val="007E4460"/>
    <w:rsid w:val="007E492F"/>
    <w:rsid w:val="007E4E00"/>
    <w:rsid w:val="007E4EF3"/>
    <w:rsid w:val="007E4FA9"/>
    <w:rsid w:val="007E509A"/>
    <w:rsid w:val="007E5114"/>
    <w:rsid w:val="007E5445"/>
    <w:rsid w:val="007E5855"/>
    <w:rsid w:val="007E594A"/>
    <w:rsid w:val="007E5B73"/>
    <w:rsid w:val="007E5E12"/>
    <w:rsid w:val="007E696D"/>
    <w:rsid w:val="007E718C"/>
    <w:rsid w:val="007E7210"/>
    <w:rsid w:val="007E7373"/>
    <w:rsid w:val="007E7F80"/>
    <w:rsid w:val="007E7F88"/>
    <w:rsid w:val="007F0045"/>
    <w:rsid w:val="007F017E"/>
    <w:rsid w:val="007F0560"/>
    <w:rsid w:val="007F0C1D"/>
    <w:rsid w:val="007F0EC1"/>
    <w:rsid w:val="007F113F"/>
    <w:rsid w:val="007F1185"/>
    <w:rsid w:val="007F12E8"/>
    <w:rsid w:val="007F1809"/>
    <w:rsid w:val="007F1CD9"/>
    <w:rsid w:val="007F1FEF"/>
    <w:rsid w:val="007F2191"/>
    <w:rsid w:val="007F2241"/>
    <w:rsid w:val="007F232C"/>
    <w:rsid w:val="007F2684"/>
    <w:rsid w:val="007F2AC9"/>
    <w:rsid w:val="007F2F30"/>
    <w:rsid w:val="007F3195"/>
    <w:rsid w:val="007F32BD"/>
    <w:rsid w:val="007F34C1"/>
    <w:rsid w:val="007F3BFC"/>
    <w:rsid w:val="007F43FA"/>
    <w:rsid w:val="007F4A7F"/>
    <w:rsid w:val="007F4AC7"/>
    <w:rsid w:val="007F5233"/>
    <w:rsid w:val="007F5520"/>
    <w:rsid w:val="007F5878"/>
    <w:rsid w:val="007F58A1"/>
    <w:rsid w:val="007F5ABC"/>
    <w:rsid w:val="007F5D1D"/>
    <w:rsid w:val="007F5D1E"/>
    <w:rsid w:val="007F5FAD"/>
    <w:rsid w:val="007F6187"/>
    <w:rsid w:val="007F672C"/>
    <w:rsid w:val="007F69F5"/>
    <w:rsid w:val="007F6CCF"/>
    <w:rsid w:val="007F6CD2"/>
    <w:rsid w:val="007F6D55"/>
    <w:rsid w:val="007F6DA3"/>
    <w:rsid w:val="007F70C5"/>
    <w:rsid w:val="007F7602"/>
    <w:rsid w:val="007F76D8"/>
    <w:rsid w:val="007F7987"/>
    <w:rsid w:val="007F79B2"/>
    <w:rsid w:val="007F7F3B"/>
    <w:rsid w:val="007F9F0F"/>
    <w:rsid w:val="00800190"/>
    <w:rsid w:val="008004BF"/>
    <w:rsid w:val="008006C2"/>
    <w:rsid w:val="00800A63"/>
    <w:rsid w:val="008011B8"/>
    <w:rsid w:val="008016AE"/>
    <w:rsid w:val="00801924"/>
    <w:rsid w:val="008019C4"/>
    <w:rsid w:val="00801D32"/>
    <w:rsid w:val="00801E0C"/>
    <w:rsid w:val="0080241C"/>
    <w:rsid w:val="0080296B"/>
    <w:rsid w:val="00802AF6"/>
    <w:rsid w:val="008038A0"/>
    <w:rsid w:val="00803AFD"/>
    <w:rsid w:val="0080494A"/>
    <w:rsid w:val="008049CF"/>
    <w:rsid w:val="00804A6C"/>
    <w:rsid w:val="00804AB0"/>
    <w:rsid w:val="00805475"/>
    <w:rsid w:val="008058E2"/>
    <w:rsid w:val="00805A50"/>
    <w:rsid w:val="00805BCA"/>
    <w:rsid w:val="00805D95"/>
    <w:rsid w:val="00805FD5"/>
    <w:rsid w:val="008060AB"/>
    <w:rsid w:val="008063E0"/>
    <w:rsid w:val="00806950"/>
    <w:rsid w:val="00806999"/>
    <w:rsid w:val="00806A4D"/>
    <w:rsid w:val="00806AA9"/>
    <w:rsid w:val="00806B9C"/>
    <w:rsid w:val="00806DE4"/>
    <w:rsid w:val="0080737E"/>
    <w:rsid w:val="00807383"/>
    <w:rsid w:val="00807C1C"/>
    <w:rsid w:val="00807E13"/>
    <w:rsid w:val="00807EF8"/>
    <w:rsid w:val="00807FBA"/>
    <w:rsid w:val="0081034D"/>
    <w:rsid w:val="008104CC"/>
    <w:rsid w:val="00810531"/>
    <w:rsid w:val="00810770"/>
    <w:rsid w:val="00810B76"/>
    <w:rsid w:val="008110D7"/>
    <w:rsid w:val="008112F4"/>
    <w:rsid w:val="0081137A"/>
    <w:rsid w:val="0081157F"/>
    <w:rsid w:val="008116A5"/>
    <w:rsid w:val="00811B0F"/>
    <w:rsid w:val="00811D14"/>
    <w:rsid w:val="0081232E"/>
    <w:rsid w:val="00812382"/>
    <w:rsid w:val="00812690"/>
    <w:rsid w:val="00812C8C"/>
    <w:rsid w:val="0081320F"/>
    <w:rsid w:val="008137B6"/>
    <w:rsid w:val="00813A31"/>
    <w:rsid w:val="00813AEF"/>
    <w:rsid w:val="00814656"/>
    <w:rsid w:val="0081490B"/>
    <w:rsid w:val="00814EED"/>
    <w:rsid w:val="008151E4"/>
    <w:rsid w:val="0081528E"/>
    <w:rsid w:val="0081535D"/>
    <w:rsid w:val="00815391"/>
    <w:rsid w:val="0081559E"/>
    <w:rsid w:val="008156E5"/>
    <w:rsid w:val="00815FA3"/>
    <w:rsid w:val="0081617C"/>
    <w:rsid w:val="008162A8"/>
    <w:rsid w:val="00816660"/>
    <w:rsid w:val="008166E7"/>
    <w:rsid w:val="00816DFA"/>
    <w:rsid w:val="00817666"/>
    <w:rsid w:val="00817683"/>
    <w:rsid w:val="00817F7C"/>
    <w:rsid w:val="008200CB"/>
    <w:rsid w:val="00820284"/>
    <w:rsid w:val="008202E1"/>
    <w:rsid w:val="00820625"/>
    <w:rsid w:val="00820AAF"/>
    <w:rsid w:val="00820AE2"/>
    <w:rsid w:val="00820C83"/>
    <w:rsid w:val="00820D76"/>
    <w:rsid w:val="00820DB5"/>
    <w:rsid w:val="00821071"/>
    <w:rsid w:val="0082130D"/>
    <w:rsid w:val="00821671"/>
    <w:rsid w:val="008220C0"/>
    <w:rsid w:val="0082238D"/>
    <w:rsid w:val="00822687"/>
    <w:rsid w:val="00822736"/>
    <w:rsid w:val="0082296A"/>
    <w:rsid w:val="00822976"/>
    <w:rsid w:val="00823116"/>
    <w:rsid w:val="00823605"/>
    <w:rsid w:val="008241C0"/>
    <w:rsid w:val="0082473F"/>
    <w:rsid w:val="0082478D"/>
    <w:rsid w:val="00824A16"/>
    <w:rsid w:val="0082540F"/>
    <w:rsid w:val="008256E2"/>
    <w:rsid w:val="008259E5"/>
    <w:rsid w:val="00825AF3"/>
    <w:rsid w:val="00825F45"/>
    <w:rsid w:val="00826103"/>
    <w:rsid w:val="00826107"/>
    <w:rsid w:val="00826411"/>
    <w:rsid w:val="008264B5"/>
    <w:rsid w:val="00826654"/>
    <w:rsid w:val="0082672C"/>
    <w:rsid w:val="008268AE"/>
    <w:rsid w:val="008268B9"/>
    <w:rsid w:val="0082694D"/>
    <w:rsid w:val="00826C49"/>
    <w:rsid w:val="00826E88"/>
    <w:rsid w:val="00827321"/>
    <w:rsid w:val="00827427"/>
    <w:rsid w:val="00827593"/>
    <w:rsid w:val="008276D1"/>
    <w:rsid w:val="008302F1"/>
    <w:rsid w:val="008311FC"/>
    <w:rsid w:val="008316A3"/>
    <w:rsid w:val="0083176C"/>
    <w:rsid w:val="0083185E"/>
    <w:rsid w:val="00832048"/>
    <w:rsid w:val="00832082"/>
    <w:rsid w:val="008321C0"/>
    <w:rsid w:val="00832301"/>
    <w:rsid w:val="00832455"/>
    <w:rsid w:val="00832862"/>
    <w:rsid w:val="00832942"/>
    <w:rsid w:val="00832F25"/>
    <w:rsid w:val="00833111"/>
    <w:rsid w:val="0083325E"/>
    <w:rsid w:val="00833977"/>
    <w:rsid w:val="00833983"/>
    <w:rsid w:val="008341DD"/>
    <w:rsid w:val="00834348"/>
    <w:rsid w:val="00834638"/>
    <w:rsid w:val="008348A5"/>
    <w:rsid w:val="00834D1A"/>
    <w:rsid w:val="008358CA"/>
    <w:rsid w:val="00835903"/>
    <w:rsid w:val="00835A63"/>
    <w:rsid w:val="00835BC4"/>
    <w:rsid w:val="00835E86"/>
    <w:rsid w:val="00835EFB"/>
    <w:rsid w:val="00836387"/>
    <w:rsid w:val="008366F7"/>
    <w:rsid w:val="00836A2A"/>
    <w:rsid w:val="00836BA0"/>
    <w:rsid w:val="00837301"/>
    <w:rsid w:val="0083737B"/>
    <w:rsid w:val="00837AA0"/>
    <w:rsid w:val="00837B6B"/>
    <w:rsid w:val="00840C3D"/>
    <w:rsid w:val="008410A3"/>
    <w:rsid w:val="0084110F"/>
    <w:rsid w:val="0084156E"/>
    <w:rsid w:val="008415CB"/>
    <w:rsid w:val="0084170E"/>
    <w:rsid w:val="00841769"/>
    <w:rsid w:val="008419FA"/>
    <w:rsid w:val="00841D0F"/>
    <w:rsid w:val="0084227C"/>
    <w:rsid w:val="00842297"/>
    <w:rsid w:val="008422B4"/>
    <w:rsid w:val="00843072"/>
    <w:rsid w:val="008439F8"/>
    <w:rsid w:val="00844001"/>
    <w:rsid w:val="00844011"/>
    <w:rsid w:val="008442A2"/>
    <w:rsid w:val="00844AD3"/>
    <w:rsid w:val="008451F4"/>
    <w:rsid w:val="00845A28"/>
    <w:rsid w:val="00845C43"/>
    <w:rsid w:val="00845D6F"/>
    <w:rsid w:val="00845D98"/>
    <w:rsid w:val="00845DC3"/>
    <w:rsid w:val="00846001"/>
    <w:rsid w:val="008461F4"/>
    <w:rsid w:val="00846469"/>
    <w:rsid w:val="00846906"/>
    <w:rsid w:val="00846A5B"/>
    <w:rsid w:val="00846B56"/>
    <w:rsid w:val="00846DA0"/>
    <w:rsid w:val="008470DC"/>
    <w:rsid w:val="008471BD"/>
    <w:rsid w:val="0084748B"/>
    <w:rsid w:val="008475D0"/>
    <w:rsid w:val="008476E8"/>
    <w:rsid w:val="00847F94"/>
    <w:rsid w:val="00850065"/>
    <w:rsid w:val="0085089E"/>
    <w:rsid w:val="00850B2F"/>
    <w:rsid w:val="0085142A"/>
    <w:rsid w:val="008514A1"/>
    <w:rsid w:val="0085161C"/>
    <w:rsid w:val="00851774"/>
    <w:rsid w:val="00851CC7"/>
    <w:rsid w:val="0085223B"/>
    <w:rsid w:val="00852974"/>
    <w:rsid w:val="00852E51"/>
    <w:rsid w:val="008531E0"/>
    <w:rsid w:val="00853409"/>
    <w:rsid w:val="0085349D"/>
    <w:rsid w:val="008536AC"/>
    <w:rsid w:val="008537B4"/>
    <w:rsid w:val="00853CB1"/>
    <w:rsid w:val="00853D71"/>
    <w:rsid w:val="00853D86"/>
    <w:rsid w:val="0085403A"/>
    <w:rsid w:val="008540C7"/>
    <w:rsid w:val="008546F7"/>
    <w:rsid w:val="00854B1E"/>
    <w:rsid w:val="008559F5"/>
    <w:rsid w:val="00855AC8"/>
    <w:rsid w:val="00855ACB"/>
    <w:rsid w:val="00855B6E"/>
    <w:rsid w:val="00856019"/>
    <w:rsid w:val="00856159"/>
    <w:rsid w:val="0085618F"/>
    <w:rsid w:val="00856328"/>
    <w:rsid w:val="008565DF"/>
    <w:rsid w:val="0085683B"/>
    <w:rsid w:val="00856984"/>
    <w:rsid w:val="00856BDF"/>
    <w:rsid w:val="00856E5A"/>
    <w:rsid w:val="00856EC3"/>
    <w:rsid w:val="0085710F"/>
    <w:rsid w:val="00857141"/>
    <w:rsid w:val="00857230"/>
    <w:rsid w:val="00857513"/>
    <w:rsid w:val="00857690"/>
    <w:rsid w:val="008576BE"/>
    <w:rsid w:val="008578BF"/>
    <w:rsid w:val="008579D2"/>
    <w:rsid w:val="00860025"/>
    <w:rsid w:val="008607D3"/>
    <w:rsid w:val="00860E92"/>
    <w:rsid w:val="00861041"/>
    <w:rsid w:val="00861862"/>
    <w:rsid w:val="008619A1"/>
    <w:rsid w:val="00861A39"/>
    <w:rsid w:val="00861AE0"/>
    <w:rsid w:val="00861D5E"/>
    <w:rsid w:val="00862324"/>
    <w:rsid w:val="0086289C"/>
    <w:rsid w:val="00862C54"/>
    <w:rsid w:val="008630C3"/>
    <w:rsid w:val="008631A7"/>
    <w:rsid w:val="008635A5"/>
    <w:rsid w:val="0086372A"/>
    <w:rsid w:val="00863C9F"/>
    <w:rsid w:val="00863ECE"/>
    <w:rsid w:val="008640A9"/>
    <w:rsid w:val="008640AC"/>
    <w:rsid w:val="0086421D"/>
    <w:rsid w:val="0086433A"/>
    <w:rsid w:val="008643E3"/>
    <w:rsid w:val="00864809"/>
    <w:rsid w:val="00864A8F"/>
    <w:rsid w:val="00864C10"/>
    <w:rsid w:val="00865365"/>
    <w:rsid w:val="008659F9"/>
    <w:rsid w:val="00865A30"/>
    <w:rsid w:val="00865AF1"/>
    <w:rsid w:val="00865E8A"/>
    <w:rsid w:val="00865EC5"/>
    <w:rsid w:val="00866120"/>
    <w:rsid w:val="0086620F"/>
    <w:rsid w:val="0086666B"/>
    <w:rsid w:val="008669FB"/>
    <w:rsid w:val="00866DCB"/>
    <w:rsid w:val="00866E06"/>
    <w:rsid w:val="00867411"/>
    <w:rsid w:val="00867780"/>
    <w:rsid w:val="00867861"/>
    <w:rsid w:val="00867B78"/>
    <w:rsid w:val="00867FF5"/>
    <w:rsid w:val="0087009A"/>
    <w:rsid w:val="008700A6"/>
    <w:rsid w:val="0087067A"/>
    <w:rsid w:val="008707BD"/>
    <w:rsid w:val="00870849"/>
    <w:rsid w:val="00870AFB"/>
    <w:rsid w:val="00870B88"/>
    <w:rsid w:val="00871004"/>
    <w:rsid w:val="00871452"/>
    <w:rsid w:val="0087165C"/>
    <w:rsid w:val="00871DA8"/>
    <w:rsid w:val="008721A9"/>
    <w:rsid w:val="0087236F"/>
    <w:rsid w:val="008723FF"/>
    <w:rsid w:val="00872EAF"/>
    <w:rsid w:val="0087321D"/>
    <w:rsid w:val="0087339C"/>
    <w:rsid w:val="00873591"/>
    <w:rsid w:val="008736BB"/>
    <w:rsid w:val="00873921"/>
    <w:rsid w:val="00873973"/>
    <w:rsid w:val="00873979"/>
    <w:rsid w:val="00873D69"/>
    <w:rsid w:val="00873E92"/>
    <w:rsid w:val="00874456"/>
    <w:rsid w:val="0087486D"/>
    <w:rsid w:val="008748C6"/>
    <w:rsid w:val="00874B31"/>
    <w:rsid w:val="00875518"/>
    <w:rsid w:val="00875C3D"/>
    <w:rsid w:val="00875DE0"/>
    <w:rsid w:val="0087600D"/>
    <w:rsid w:val="008767AC"/>
    <w:rsid w:val="00876992"/>
    <w:rsid w:val="008769FB"/>
    <w:rsid w:val="00876CA6"/>
    <w:rsid w:val="00876F27"/>
    <w:rsid w:val="00877013"/>
    <w:rsid w:val="00877018"/>
    <w:rsid w:val="0087741B"/>
    <w:rsid w:val="00877423"/>
    <w:rsid w:val="00877631"/>
    <w:rsid w:val="0087775A"/>
    <w:rsid w:val="0088032E"/>
    <w:rsid w:val="00880592"/>
    <w:rsid w:val="00880831"/>
    <w:rsid w:val="00880922"/>
    <w:rsid w:val="00880AB0"/>
    <w:rsid w:val="00880DAB"/>
    <w:rsid w:val="008811DE"/>
    <w:rsid w:val="00881284"/>
    <w:rsid w:val="00881617"/>
    <w:rsid w:val="0088199E"/>
    <w:rsid w:val="00881A37"/>
    <w:rsid w:val="00881FCB"/>
    <w:rsid w:val="0088226E"/>
    <w:rsid w:val="008822E9"/>
    <w:rsid w:val="00882628"/>
    <w:rsid w:val="008827E6"/>
    <w:rsid w:val="00882898"/>
    <w:rsid w:val="008829C3"/>
    <w:rsid w:val="00882A88"/>
    <w:rsid w:val="00883A7E"/>
    <w:rsid w:val="00883D4C"/>
    <w:rsid w:val="00884E83"/>
    <w:rsid w:val="0088501F"/>
    <w:rsid w:val="008850F1"/>
    <w:rsid w:val="008853A6"/>
    <w:rsid w:val="008853B0"/>
    <w:rsid w:val="00885464"/>
    <w:rsid w:val="008858E6"/>
    <w:rsid w:val="00885B4B"/>
    <w:rsid w:val="00885D07"/>
    <w:rsid w:val="00885DB0"/>
    <w:rsid w:val="00886461"/>
    <w:rsid w:val="00886812"/>
    <w:rsid w:val="0088687D"/>
    <w:rsid w:val="00886A8E"/>
    <w:rsid w:val="00886DC4"/>
    <w:rsid w:val="00886E88"/>
    <w:rsid w:val="00887C19"/>
    <w:rsid w:val="0089029E"/>
    <w:rsid w:val="008903DD"/>
    <w:rsid w:val="00890699"/>
    <w:rsid w:val="00890AAB"/>
    <w:rsid w:val="00890AF3"/>
    <w:rsid w:val="00891322"/>
    <w:rsid w:val="008914A9"/>
    <w:rsid w:val="00891549"/>
    <w:rsid w:val="00891A01"/>
    <w:rsid w:val="00891FCA"/>
    <w:rsid w:val="00892630"/>
    <w:rsid w:val="0089263A"/>
    <w:rsid w:val="008942E4"/>
    <w:rsid w:val="00895228"/>
    <w:rsid w:val="008952E1"/>
    <w:rsid w:val="00896186"/>
    <w:rsid w:val="008962EC"/>
    <w:rsid w:val="0089637E"/>
    <w:rsid w:val="00896884"/>
    <w:rsid w:val="00896928"/>
    <w:rsid w:val="008974DB"/>
    <w:rsid w:val="008A0194"/>
    <w:rsid w:val="008A045C"/>
    <w:rsid w:val="008A0738"/>
    <w:rsid w:val="008A0CB3"/>
    <w:rsid w:val="008A0F73"/>
    <w:rsid w:val="008A12BA"/>
    <w:rsid w:val="008A17C5"/>
    <w:rsid w:val="008A1D6E"/>
    <w:rsid w:val="008A1FE3"/>
    <w:rsid w:val="008A21DD"/>
    <w:rsid w:val="008A2474"/>
    <w:rsid w:val="008A2F6D"/>
    <w:rsid w:val="008A323A"/>
    <w:rsid w:val="008A364B"/>
    <w:rsid w:val="008A36DE"/>
    <w:rsid w:val="008A3B09"/>
    <w:rsid w:val="008A4322"/>
    <w:rsid w:val="008A43C8"/>
    <w:rsid w:val="008A473F"/>
    <w:rsid w:val="008A5236"/>
    <w:rsid w:val="008A56F0"/>
    <w:rsid w:val="008A5725"/>
    <w:rsid w:val="008A5B8B"/>
    <w:rsid w:val="008A5C1F"/>
    <w:rsid w:val="008A617E"/>
    <w:rsid w:val="008A61FF"/>
    <w:rsid w:val="008A62A4"/>
    <w:rsid w:val="008A63B5"/>
    <w:rsid w:val="008A65D7"/>
    <w:rsid w:val="008A7051"/>
    <w:rsid w:val="008A71B8"/>
    <w:rsid w:val="008A72C2"/>
    <w:rsid w:val="008A7794"/>
    <w:rsid w:val="008A77D6"/>
    <w:rsid w:val="008A7FEE"/>
    <w:rsid w:val="008B01DD"/>
    <w:rsid w:val="008B03C5"/>
    <w:rsid w:val="008B08A7"/>
    <w:rsid w:val="008B0A00"/>
    <w:rsid w:val="008B0C85"/>
    <w:rsid w:val="008B17AB"/>
    <w:rsid w:val="008B20C9"/>
    <w:rsid w:val="008B21A6"/>
    <w:rsid w:val="008B21AA"/>
    <w:rsid w:val="008B21E1"/>
    <w:rsid w:val="008B2BEE"/>
    <w:rsid w:val="008B2F3A"/>
    <w:rsid w:val="008B3511"/>
    <w:rsid w:val="008B393E"/>
    <w:rsid w:val="008B3A67"/>
    <w:rsid w:val="008B3DB5"/>
    <w:rsid w:val="008B40BB"/>
    <w:rsid w:val="008B4101"/>
    <w:rsid w:val="008B41EF"/>
    <w:rsid w:val="008B43BF"/>
    <w:rsid w:val="008B46DA"/>
    <w:rsid w:val="008B498D"/>
    <w:rsid w:val="008B4ADC"/>
    <w:rsid w:val="008B4C86"/>
    <w:rsid w:val="008B541A"/>
    <w:rsid w:val="008B5653"/>
    <w:rsid w:val="008B57D1"/>
    <w:rsid w:val="008B5B4A"/>
    <w:rsid w:val="008B6038"/>
    <w:rsid w:val="008B70D4"/>
    <w:rsid w:val="008B713B"/>
    <w:rsid w:val="008B7938"/>
    <w:rsid w:val="008B7AC1"/>
    <w:rsid w:val="008B7D1B"/>
    <w:rsid w:val="008C0014"/>
    <w:rsid w:val="008C048A"/>
    <w:rsid w:val="008C068C"/>
    <w:rsid w:val="008C09C3"/>
    <w:rsid w:val="008C0AD7"/>
    <w:rsid w:val="008C0EBA"/>
    <w:rsid w:val="008C111A"/>
    <w:rsid w:val="008C11E2"/>
    <w:rsid w:val="008C1591"/>
    <w:rsid w:val="008C1A4E"/>
    <w:rsid w:val="008C1B89"/>
    <w:rsid w:val="008C1D54"/>
    <w:rsid w:val="008C1DE9"/>
    <w:rsid w:val="008C1E79"/>
    <w:rsid w:val="008C2527"/>
    <w:rsid w:val="008C287A"/>
    <w:rsid w:val="008C2902"/>
    <w:rsid w:val="008C29D8"/>
    <w:rsid w:val="008C2A79"/>
    <w:rsid w:val="008C2C13"/>
    <w:rsid w:val="008C2E63"/>
    <w:rsid w:val="008C2F8C"/>
    <w:rsid w:val="008C3604"/>
    <w:rsid w:val="008C3728"/>
    <w:rsid w:val="008C3934"/>
    <w:rsid w:val="008C3A15"/>
    <w:rsid w:val="008C4D0C"/>
    <w:rsid w:val="008C518D"/>
    <w:rsid w:val="008C5AF4"/>
    <w:rsid w:val="008C5B0C"/>
    <w:rsid w:val="008C5DC6"/>
    <w:rsid w:val="008C6027"/>
    <w:rsid w:val="008C642E"/>
    <w:rsid w:val="008C6646"/>
    <w:rsid w:val="008C6F8E"/>
    <w:rsid w:val="008C7858"/>
    <w:rsid w:val="008C7AA0"/>
    <w:rsid w:val="008C7AE8"/>
    <w:rsid w:val="008C7C16"/>
    <w:rsid w:val="008C7CB0"/>
    <w:rsid w:val="008C7CDC"/>
    <w:rsid w:val="008D0415"/>
    <w:rsid w:val="008D0504"/>
    <w:rsid w:val="008D073F"/>
    <w:rsid w:val="008D0899"/>
    <w:rsid w:val="008D0CC0"/>
    <w:rsid w:val="008D0EA2"/>
    <w:rsid w:val="008D107F"/>
    <w:rsid w:val="008D1382"/>
    <w:rsid w:val="008D13D9"/>
    <w:rsid w:val="008D143F"/>
    <w:rsid w:val="008D19BC"/>
    <w:rsid w:val="008D1A5F"/>
    <w:rsid w:val="008D1C89"/>
    <w:rsid w:val="008D1F33"/>
    <w:rsid w:val="008D22B2"/>
    <w:rsid w:val="008D2375"/>
    <w:rsid w:val="008D23D1"/>
    <w:rsid w:val="008D23EB"/>
    <w:rsid w:val="008D25E1"/>
    <w:rsid w:val="008D26F8"/>
    <w:rsid w:val="008D2A9E"/>
    <w:rsid w:val="008D30C2"/>
    <w:rsid w:val="008D326D"/>
    <w:rsid w:val="008D350E"/>
    <w:rsid w:val="008D3761"/>
    <w:rsid w:val="008D3840"/>
    <w:rsid w:val="008D3FF5"/>
    <w:rsid w:val="008D436C"/>
    <w:rsid w:val="008D4409"/>
    <w:rsid w:val="008D46E9"/>
    <w:rsid w:val="008D4975"/>
    <w:rsid w:val="008D4B24"/>
    <w:rsid w:val="008D4BC7"/>
    <w:rsid w:val="008D4C36"/>
    <w:rsid w:val="008D4F29"/>
    <w:rsid w:val="008D5E6B"/>
    <w:rsid w:val="008D5E73"/>
    <w:rsid w:val="008D628B"/>
    <w:rsid w:val="008D6EF6"/>
    <w:rsid w:val="008D75B8"/>
    <w:rsid w:val="008D7939"/>
    <w:rsid w:val="008D7B10"/>
    <w:rsid w:val="008D7C29"/>
    <w:rsid w:val="008D7D67"/>
    <w:rsid w:val="008E01A0"/>
    <w:rsid w:val="008E0392"/>
    <w:rsid w:val="008E06C4"/>
    <w:rsid w:val="008E0BB7"/>
    <w:rsid w:val="008E0BF6"/>
    <w:rsid w:val="008E0E80"/>
    <w:rsid w:val="008E1D9C"/>
    <w:rsid w:val="008E2588"/>
    <w:rsid w:val="008E2631"/>
    <w:rsid w:val="008E28FA"/>
    <w:rsid w:val="008E2D86"/>
    <w:rsid w:val="008E2DF0"/>
    <w:rsid w:val="008E3235"/>
    <w:rsid w:val="008E32D4"/>
    <w:rsid w:val="008E3601"/>
    <w:rsid w:val="008E36AB"/>
    <w:rsid w:val="008E3773"/>
    <w:rsid w:val="008E3A3D"/>
    <w:rsid w:val="008E3D5B"/>
    <w:rsid w:val="008E3F39"/>
    <w:rsid w:val="008E4779"/>
    <w:rsid w:val="008E4A35"/>
    <w:rsid w:val="008E4B5D"/>
    <w:rsid w:val="008E592A"/>
    <w:rsid w:val="008E5E13"/>
    <w:rsid w:val="008E5FD7"/>
    <w:rsid w:val="008E6391"/>
    <w:rsid w:val="008E63C2"/>
    <w:rsid w:val="008E658A"/>
    <w:rsid w:val="008E66C3"/>
    <w:rsid w:val="008E6939"/>
    <w:rsid w:val="008E6B38"/>
    <w:rsid w:val="008E70D1"/>
    <w:rsid w:val="008E71EC"/>
    <w:rsid w:val="008E76C4"/>
    <w:rsid w:val="008E7865"/>
    <w:rsid w:val="008E7905"/>
    <w:rsid w:val="008E7A2D"/>
    <w:rsid w:val="008E7B25"/>
    <w:rsid w:val="008E7D61"/>
    <w:rsid w:val="008F019E"/>
    <w:rsid w:val="008F0213"/>
    <w:rsid w:val="008F088F"/>
    <w:rsid w:val="008F0AA6"/>
    <w:rsid w:val="008F1068"/>
    <w:rsid w:val="008F1793"/>
    <w:rsid w:val="008F17F9"/>
    <w:rsid w:val="008F1F50"/>
    <w:rsid w:val="008F24D8"/>
    <w:rsid w:val="008F251B"/>
    <w:rsid w:val="008F2709"/>
    <w:rsid w:val="008F2BB7"/>
    <w:rsid w:val="008F3023"/>
    <w:rsid w:val="008F3252"/>
    <w:rsid w:val="008F3255"/>
    <w:rsid w:val="008F333A"/>
    <w:rsid w:val="008F38C4"/>
    <w:rsid w:val="008F3B9D"/>
    <w:rsid w:val="008F402C"/>
    <w:rsid w:val="008F42B4"/>
    <w:rsid w:val="008F44A7"/>
    <w:rsid w:val="008F4705"/>
    <w:rsid w:val="008F5297"/>
    <w:rsid w:val="008F529B"/>
    <w:rsid w:val="008F5855"/>
    <w:rsid w:val="008F609A"/>
    <w:rsid w:val="008F6305"/>
    <w:rsid w:val="008F633E"/>
    <w:rsid w:val="008F64A5"/>
    <w:rsid w:val="008F699D"/>
    <w:rsid w:val="008F6AC2"/>
    <w:rsid w:val="008F7273"/>
    <w:rsid w:val="008F787C"/>
    <w:rsid w:val="008F78E6"/>
    <w:rsid w:val="008F799D"/>
    <w:rsid w:val="008F7C9D"/>
    <w:rsid w:val="00901069"/>
    <w:rsid w:val="009014E2"/>
    <w:rsid w:val="009018DA"/>
    <w:rsid w:val="009019D8"/>
    <w:rsid w:val="00902669"/>
    <w:rsid w:val="0090268F"/>
    <w:rsid w:val="00902864"/>
    <w:rsid w:val="009032A0"/>
    <w:rsid w:val="009034E7"/>
    <w:rsid w:val="0090361C"/>
    <w:rsid w:val="0090399A"/>
    <w:rsid w:val="009039FD"/>
    <w:rsid w:val="00903F27"/>
    <w:rsid w:val="0090438E"/>
    <w:rsid w:val="009044DD"/>
    <w:rsid w:val="00904683"/>
    <w:rsid w:val="0090540D"/>
    <w:rsid w:val="009054FC"/>
    <w:rsid w:val="00905B9E"/>
    <w:rsid w:val="00905E52"/>
    <w:rsid w:val="00905E7B"/>
    <w:rsid w:val="00906259"/>
    <w:rsid w:val="009064E7"/>
    <w:rsid w:val="0090651A"/>
    <w:rsid w:val="00906EB7"/>
    <w:rsid w:val="00906EF7"/>
    <w:rsid w:val="00907243"/>
    <w:rsid w:val="00907248"/>
    <w:rsid w:val="009076CC"/>
    <w:rsid w:val="00907832"/>
    <w:rsid w:val="00907900"/>
    <w:rsid w:val="00907ED4"/>
    <w:rsid w:val="00910075"/>
    <w:rsid w:val="00910155"/>
    <w:rsid w:val="0091053C"/>
    <w:rsid w:val="009105B6"/>
    <w:rsid w:val="00910682"/>
    <w:rsid w:val="00911102"/>
    <w:rsid w:val="00911438"/>
    <w:rsid w:val="00911511"/>
    <w:rsid w:val="00911623"/>
    <w:rsid w:val="00911EA7"/>
    <w:rsid w:val="00912515"/>
    <w:rsid w:val="00912963"/>
    <w:rsid w:val="00913368"/>
    <w:rsid w:val="009133EA"/>
    <w:rsid w:val="00913612"/>
    <w:rsid w:val="009136FF"/>
    <w:rsid w:val="00913B05"/>
    <w:rsid w:val="00913DD5"/>
    <w:rsid w:val="0091430A"/>
    <w:rsid w:val="009145F8"/>
    <w:rsid w:val="00914696"/>
    <w:rsid w:val="00914E11"/>
    <w:rsid w:val="00915042"/>
    <w:rsid w:val="00915534"/>
    <w:rsid w:val="009155D4"/>
    <w:rsid w:val="009159A5"/>
    <w:rsid w:val="00915E5C"/>
    <w:rsid w:val="00916837"/>
    <w:rsid w:val="00916A01"/>
    <w:rsid w:val="00916A5D"/>
    <w:rsid w:val="00916CBE"/>
    <w:rsid w:val="00917015"/>
    <w:rsid w:val="0091728E"/>
    <w:rsid w:val="0091761A"/>
    <w:rsid w:val="00917739"/>
    <w:rsid w:val="00917AE5"/>
    <w:rsid w:val="00917D5E"/>
    <w:rsid w:val="00917DD0"/>
    <w:rsid w:val="00920008"/>
    <w:rsid w:val="009200D4"/>
    <w:rsid w:val="00921058"/>
    <w:rsid w:val="00921114"/>
    <w:rsid w:val="0092126A"/>
    <w:rsid w:val="00921455"/>
    <w:rsid w:val="009214D7"/>
    <w:rsid w:val="009216CE"/>
    <w:rsid w:val="0092195C"/>
    <w:rsid w:val="00921A75"/>
    <w:rsid w:val="00921B73"/>
    <w:rsid w:val="00921C2C"/>
    <w:rsid w:val="00921C74"/>
    <w:rsid w:val="009225F0"/>
    <w:rsid w:val="00922605"/>
    <w:rsid w:val="0092285D"/>
    <w:rsid w:val="00922D06"/>
    <w:rsid w:val="00922FDD"/>
    <w:rsid w:val="0092310B"/>
    <w:rsid w:val="00923170"/>
    <w:rsid w:val="009234EB"/>
    <w:rsid w:val="009241A6"/>
    <w:rsid w:val="0092437A"/>
    <w:rsid w:val="0092437C"/>
    <w:rsid w:val="0092499F"/>
    <w:rsid w:val="00924FED"/>
    <w:rsid w:val="00925100"/>
    <w:rsid w:val="00925232"/>
    <w:rsid w:val="00925677"/>
    <w:rsid w:val="0092602D"/>
    <w:rsid w:val="0092645E"/>
    <w:rsid w:val="0092649E"/>
    <w:rsid w:val="009265EF"/>
    <w:rsid w:val="009267A0"/>
    <w:rsid w:val="00926942"/>
    <w:rsid w:val="00926A3C"/>
    <w:rsid w:val="009272FD"/>
    <w:rsid w:val="009274D2"/>
    <w:rsid w:val="00927518"/>
    <w:rsid w:val="009277AA"/>
    <w:rsid w:val="009278CD"/>
    <w:rsid w:val="00927CAF"/>
    <w:rsid w:val="009303C1"/>
    <w:rsid w:val="009304A4"/>
    <w:rsid w:val="00930CBF"/>
    <w:rsid w:val="00930D2E"/>
    <w:rsid w:val="00930E3B"/>
    <w:rsid w:val="00930ED3"/>
    <w:rsid w:val="0093109A"/>
    <w:rsid w:val="00931641"/>
    <w:rsid w:val="009316E5"/>
    <w:rsid w:val="009317EB"/>
    <w:rsid w:val="00931A3A"/>
    <w:rsid w:val="00931AC8"/>
    <w:rsid w:val="00931D23"/>
    <w:rsid w:val="0093218E"/>
    <w:rsid w:val="009321AC"/>
    <w:rsid w:val="00932365"/>
    <w:rsid w:val="009324A3"/>
    <w:rsid w:val="00932625"/>
    <w:rsid w:val="009328C4"/>
    <w:rsid w:val="00932990"/>
    <w:rsid w:val="009329FB"/>
    <w:rsid w:val="00932A16"/>
    <w:rsid w:val="00932C09"/>
    <w:rsid w:val="00932E5F"/>
    <w:rsid w:val="00932F4C"/>
    <w:rsid w:val="0093360F"/>
    <w:rsid w:val="00933B62"/>
    <w:rsid w:val="00934D87"/>
    <w:rsid w:val="00935344"/>
    <w:rsid w:val="0093551B"/>
    <w:rsid w:val="009357ED"/>
    <w:rsid w:val="00935F29"/>
    <w:rsid w:val="00936162"/>
    <w:rsid w:val="00936422"/>
    <w:rsid w:val="009365DD"/>
    <w:rsid w:val="009369A0"/>
    <w:rsid w:val="00936AF8"/>
    <w:rsid w:val="00936CAB"/>
    <w:rsid w:val="00936E96"/>
    <w:rsid w:val="00937D9A"/>
    <w:rsid w:val="009408B7"/>
    <w:rsid w:val="00941308"/>
    <w:rsid w:val="00942444"/>
    <w:rsid w:val="00942E91"/>
    <w:rsid w:val="00943458"/>
    <w:rsid w:val="009434F4"/>
    <w:rsid w:val="00943974"/>
    <w:rsid w:val="00943A3A"/>
    <w:rsid w:val="00943CC2"/>
    <w:rsid w:val="009444B0"/>
    <w:rsid w:val="00944561"/>
    <w:rsid w:val="00944678"/>
    <w:rsid w:val="00944742"/>
    <w:rsid w:val="00944C9A"/>
    <w:rsid w:val="00944F2A"/>
    <w:rsid w:val="0094558A"/>
    <w:rsid w:val="0094563F"/>
    <w:rsid w:val="00945A1E"/>
    <w:rsid w:val="00945CD4"/>
    <w:rsid w:val="0094616E"/>
    <w:rsid w:val="0094619C"/>
    <w:rsid w:val="00946368"/>
    <w:rsid w:val="009464E4"/>
    <w:rsid w:val="0094738E"/>
    <w:rsid w:val="00947545"/>
    <w:rsid w:val="00947697"/>
    <w:rsid w:val="0095019D"/>
    <w:rsid w:val="009504B9"/>
    <w:rsid w:val="0095080D"/>
    <w:rsid w:val="009509E0"/>
    <w:rsid w:val="00950C6A"/>
    <w:rsid w:val="00950D0B"/>
    <w:rsid w:val="0095139B"/>
    <w:rsid w:val="009523C5"/>
    <w:rsid w:val="00952A60"/>
    <w:rsid w:val="00952B74"/>
    <w:rsid w:val="00952CC2"/>
    <w:rsid w:val="00953230"/>
    <w:rsid w:val="00953A1C"/>
    <w:rsid w:val="00953DA4"/>
    <w:rsid w:val="00953E1B"/>
    <w:rsid w:val="00953F4B"/>
    <w:rsid w:val="009547CC"/>
    <w:rsid w:val="00954B05"/>
    <w:rsid w:val="00954E1B"/>
    <w:rsid w:val="00954E94"/>
    <w:rsid w:val="00955D57"/>
    <w:rsid w:val="00955EFA"/>
    <w:rsid w:val="009564C5"/>
    <w:rsid w:val="009569A1"/>
    <w:rsid w:val="00956CFF"/>
    <w:rsid w:val="00957540"/>
    <w:rsid w:val="00957A4B"/>
    <w:rsid w:val="00957CF1"/>
    <w:rsid w:val="00957E24"/>
    <w:rsid w:val="00960407"/>
    <w:rsid w:val="009605A8"/>
    <w:rsid w:val="009606B4"/>
    <w:rsid w:val="009611BC"/>
    <w:rsid w:val="00961371"/>
    <w:rsid w:val="0096178C"/>
    <w:rsid w:val="00961DC3"/>
    <w:rsid w:val="009625B5"/>
    <w:rsid w:val="009630A5"/>
    <w:rsid w:val="00963324"/>
    <w:rsid w:val="00963583"/>
    <w:rsid w:val="00963740"/>
    <w:rsid w:val="0096395C"/>
    <w:rsid w:val="00963AF1"/>
    <w:rsid w:val="0096425C"/>
    <w:rsid w:val="00964302"/>
    <w:rsid w:val="00964324"/>
    <w:rsid w:val="00964622"/>
    <w:rsid w:val="009646A9"/>
    <w:rsid w:val="0096488B"/>
    <w:rsid w:val="00964BBD"/>
    <w:rsid w:val="00964F1D"/>
    <w:rsid w:val="009651D9"/>
    <w:rsid w:val="00965400"/>
    <w:rsid w:val="009655AE"/>
    <w:rsid w:val="009658F7"/>
    <w:rsid w:val="00965B64"/>
    <w:rsid w:val="00965B90"/>
    <w:rsid w:val="00965DEC"/>
    <w:rsid w:val="00965F78"/>
    <w:rsid w:val="00966B49"/>
    <w:rsid w:val="00967725"/>
    <w:rsid w:val="0097048A"/>
    <w:rsid w:val="00970505"/>
    <w:rsid w:val="0097053F"/>
    <w:rsid w:val="00970A5C"/>
    <w:rsid w:val="00970B80"/>
    <w:rsid w:val="00970C3B"/>
    <w:rsid w:val="00970C86"/>
    <w:rsid w:val="00970DAA"/>
    <w:rsid w:val="00970DE0"/>
    <w:rsid w:val="00970F2B"/>
    <w:rsid w:val="00971AFB"/>
    <w:rsid w:val="00971F53"/>
    <w:rsid w:val="00972551"/>
    <w:rsid w:val="00972D0F"/>
    <w:rsid w:val="00972F6F"/>
    <w:rsid w:val="00973BC7"/>
    <w:rsid w:val="00974FFC"/>
    <w:rsid w:val="00975AB2"/>
    <w:rsid w:val="00975D07"/>
    <w:rsid w:val="00975F74"/>
    <w:rsid w:val="009760E2"/>
    <w:rsid w:val="009764F9"/>
    <w:rsid w:val="00976587"/>
    <w:rsid w:val="00976CB4"/>
    <w:rsid w:val="00977083"/>
    <w:rsid w:val="009770A7"/>
    <w:rsid w:val="009771A7"/>
    <w:rsid w:val="009779F9"/>
    <w:rsid w:val="00977E46"/>
    <w:rsid w:val="009808AA"/>
    <w:rsid w:val="00980B41"/>
    <w:rsid w:val="00980C6B"/>
    <w:rsid w:val="00980E79"/>
    <w:rsid w:val="0098100F"/>
    <w:rsid w:val="009812F8"/>
    <w:rsid w:val="009816CA"/>
    <w:rsid w:val="00981999"/>
    <w:rsid w:val="00981E8B"/>
    <w:rsid w:val="009820B0"/>
    <w:rsid w:val="009825F7"/>
    <w:rsid w:val="00982B57"/>
    <w:rsid w:val="00982CD7"/>
    <w:rsid w:val="00982D22"/>
    <w:rsid w:val="00983146"/>
    <w:rsid w:val="00983191"/>
    <w:rsid w:val="00983225"/>
    <w:rsid w:val="009835E2"/>
    <w:rsid w:val="0098371E"/>
    <w:rsid w:val="00983A0B"/>
    <w:rsid w:val="00983B1E"/>
    <w:rsid w:val="00983BDE"/>
    <w:rsid w:val="0098404D"/>
    <w:rsid w:val="0098443D"/>
    <w:rsid w:val="00984467"/>
    <w:rsid w:val="00984A10"/>
    <w:rsid w:val="00984B9E"/>
    <w:rsid w:val="00984D75"/>
    <w:rsid w:val="00984ECA"/>
    <w:rsid w:val="00985297"/>
    <w:rsid w:val="00985CFA"/>
    <w:rsid w:val="00985FE7"/>
    <w:rsid w:val="00986118"/>
    <w:rsid w:val="00986218"/>
    <w:rsid w:val="0098633C"/>
    <w:rsid w:val="00986504"/>
    <w:rsid w:val="009867A9"/>
    <w:rsid w:val="009868D6"/>
    <w:rsid w:val="00986C55"/>
    <w:rsid w:val="00987028"/>
    <w:rsid w:val="009872AF"/>
    <w:rsid w:val="009874DF"/>
    <w:rsid w:val="00987796"/>
    <w:rsid w:val="00987E52"/>
    <w:rsid w:val="00987FF9"/>
    <w:rsid w:val="0099006A"/>
    <w:rsid w:val="00990464"/>
    <w:rsid w:val="00990688"/>
    <w:rsid w:val="00990D88"/>
    <w:rsid w:val="00990E08"/>
    <w:rsid w:val="0099143F"/>
    <w:rsid w:val="009916E4"/>
    <w:rsid w:val="00992036"/>
    <w:rsid w:val="0099229F"/>
    <w:rsid w:val="00992335"/>
    <w:rsid w:val="009929EA"/>
    <w:rsid w:val="00993166"/>
    <w:rsid w:val="00993AA8"/>
    <w:rsid w:val="00993AD2"/>
    <w:rsid w:val="009943DF"/>
    <w:rsid w:val="00994722"/>
    <w:rsid w:val="009949AA"/>
    <w:rsid w:val="00994BEC"/>
    <w:rsid w:val="00994F3F"/>
    <w:rsid w:val="00995430"/>
    <w:rsid w:val="009954AD"/>
    <w:rsid w:val="0099570D"/>
    <w:rsid w:val="009957AE"/>
    <w:rsid w:val="00995967"/>
    <w:rsid w:val="00996191"/>
    <w:rsid w:val="009961A7"/>
    <w:rsid w:val="009962A6"/>
    <w:rsid w:val="00996320"/>
    <w:rsid w:val="009965F6"/>
    <w:rsid w:val="00996E87"/>
    <w:rsid w:val="00997424"/>
    <w:rsid w:val="0099762C"/>
    <w:rsid w:val="00997684"/>
    <w:rsid w:val="009976F1"/>
    <w:rsid w:val="00997774"/>
    <w:rsid w:val="00997841"/>
    <w:rsid w:val="00997858"/>
    <w:rsid w:val="009978EA"/>
    <w:rsid w:val="009979BC"/>
    <w:rsid w:val="009979F7"/>
    <w:rsid w:val="00997B05"/>
    <w:rsid w:val="00997BE6"/>
    <w:rsid w:val="009A0192"/>
    <w:rsid w:val="009A0291"/>
    <w:rsid w:val="009A03B0"/>
    <w:rsid w:val="009A0541"/>
    <w:rsid w:val="009A0B23"/>
    <w:rsid w:val="009A0BCC"/>
    <w:rsid w:val="009A0E63"/>
    <w:rsid w:val="009A1579"/>
    <w:rsid w:val="009A1864"/>
    <w:rsid w:val="009A1C47"/>
    <w:rsid w:val="009A2208"/>
    <w:rsid w:val="009A24EB"/>
    <w:rsid w:val="009A2859"/>
    <w:rsid w:val="009A2ADD"/>
    <w:rsid w:val="009A2B0C"/>
    <w:rsid w:val="009A2CFC"/>
    <w:rsid w:val="009A30AC"/>
    <w:rsid w:val="009A3151"/>
    <w:rsid w:val="009A3627"/>
    <w:rsid w:val="009A3951"/>
    <w:rsid w:val="009A4032"/>
    <w:rsid w:val="009A462E"/>
    <w:rsid w:val="009A46D8"/>
    <w:rsid w:val="009A4740"/>
    <w:rsid w:val="009A4DAE"/>
    <w:rsid w:val="009A4E97"/>
    <w:rsid w:val="009A5453"/>
    <w:rsid w:val="009A560D"/>
    <w:rsid w:val="009A59C2"/>
    <w:rsid w:val="009A5B40"/>
    <w:rsid w:val="009A5C67"/>
    <w:rsid w:val="009A69DA"/>
    <w:rsid w:val="009A6D7C"/>
    <w:rsid w:val="009A72B7"/>
    <w:rsid w:val="009A7393"/>
    <w:rsid w:val="009A7716"/>
    <w:rsid w:val="009A7D39"/>
    <w:rsid w:val="009A7E23"/>
    <w:rsid w:val="009A7E54"/>
    <w:rsid w:val="009B0B14"/>
    <w:rsid w:val="009B0F10"/>
    <w:rsid w:val="009B1071"/>
    <w:rsid w:val="009B199D"/>
    <w:rsid w:val="009B1AC5"/>
    <w:rsid w:val="009B1D29"/>
    <w:rsid w:val="009B1D5F"/>
    <w:rsid w:val="009B1E3F"/>
    <w:rsid w:val="009B2228"/>
    <w:rsid w:val="009B2382"/>
    <w:rsid w:val="009B2993"/>
    <w:rsid w:val="009B29FC"/>
    <w:rsid w:val="009B3140"/>
    <w:rsid w:val="009B3637"/>
    <w:rsid w:val="009B3802"/>
    <w:rsid w:val="009B398C"/>
    <w:rsid w:val="009B3BF8"/>
    <w:rsid w:val="009B3EDA"/>
    <w:rsid w:val="009B4669"/>
    <w:rsid w:val="009B468E"/>
    <w:rsid w:val="009B4F7B"/>
    <w:rsid w:val="009B4FDA"/>
    <w:rsid w:val="009B51C9"/>
    <w:rsid w:val="009B5390"/>
    <w:rsid w:val="009B53C7"/>
    <w:rsid w:val="009B5E16"/>
    <w:rsid w:val="009B5FAF"/>
    <w:rsid w:val="009B621B"/>
    <w:rsid w:val="009B6277"/>
    <w:rsid w:val="009B65E1"/>
    <w:rsid w:val="009B66B3"/>
    <w:rsid w:val="009B6786"/>
    <w:rsid w:val="009B7094"/>
    <w:rsid w:val="009B7181"/>
    <w:rsid w:val="009B7A97"/>
    <w:rsid w:val="009B7DDB"/>
    <w:rsid w:val="009B7E25"/>
    <w:rsid w:val="009C053E"/>
    <w:rsid w:val="009C0623"/>
    <w:rsid w:val="009C068C"/>
    <w:rsid w:val="009C07A0"/>
    <w:rsid w:val="009C0BBF"/>
    <w:rsid w:val="009C0E34"/>
    <w:rsid w:val="009C0FE1"/>
    <w:rsid w:val="009C10F6"/>
    <w:rsid w:val="009C153C"/>
    <w:rsid w:val="009C1653"/>
    <w:rsid w:val="009C18BC"/>
    <w:rsid w:val="009C1C69"/>
    <w:rsid w:val="009C220C"/>
    <w:rsid w:val="009C268B"/>
    <w:rsid w:val="009C29F1"/>
    <w:rsid w:val="009C2C34"/>
    <w:rsid w:val="009C2D63"/>
    <w:rsid w:val="009C32AD"/>
    <w:rsid w:val="009C3FEA"/>
    <w:rsid w:val="009C4487"/>
    <w:rsid w:val="009C4524"/>
    <w:rsid w:val="009C4720"/>
    <w:rsid w:val="009C48CD"/>
    <w:rsid w:val="009C4AD1"/>
    <w:rsid w:val="009C4C7A"/>
    <w:rsid w:val="009C4DA4"/>
    <w:rsid w:val="009C4E2E"/>
    <w:rsid w:val="009C5378"/>
    <w:rsid w:val="009C5A3A"/>
    <w:rsid w:val="009C5BDE"/>
    <w:rsid w:val="009C5E7B"/>
    <w:rsid w:val="009C616D"/>
    <w:rsid w:val="009C623E"/>
    <w:rsid w:val="009C6567"/>
    <w:rsid w:val="009C6D3B"/>
    <w:rsid w:val="009C6E24"/>
    <w:rsid w:val="009C70A9"/>
    <w:rsid w:val="009C748D"/>
    <w:rsid w:val="009C7C12"/>
    <w:rsid w:val="009C7C91"/>
    <w:rsid w:val="009C7DE0"/>
    <w:rsid w:val="009D08B1"/>
    <w:rsid w:val="009D0CE5"/>
    <w:rsid w:val="009D0D05"/>
    <w:rsid w:val="009D0FF5"/>
    <w:rsid w:val="009D1135"/>
    <w:rsid w:val="009D1552"/>
    <w:rsid w:val="009D1605"/>
    <w:rsid w:val="009D169B"/>
    <w:rsid w:val="009D1B37"/>
    <w:rsid w:val="009D1C96"/>
    <w:rsid w:val="009D1F8F"/>
    <w:rsid w:val="009D27E5"/>
    <w:rsid w:val="009D28DE"/>
    <w:rsid w:val="009D3087"/>
    <w:rsid w:val="009D32BA"/>
    <w:rsid w:val="009D32D6"/>
    <w:rsid w:val="009D3334"/>
    <w:rsid w:val="009D3414"/>
    <w:rsid w:val="009D3894"/>
    <w:rsid w:val="009D3CCB"/>
    <w:rsid w:val="009D3DBD"/>
    <w:rsid w:val="009D4173"/>
    <w:rsid w:val="009D422E"/>
    <w:rsid w:val="009D43F9"/>
    <w:rsid w:val="009D44AE"/>
    <w:rsid w:val="009D4895"/>
    <w:rsid w:val="009D4938"/>
    <w:rsid w:val="009D4BCA"/>
    <w:rsid w:val="009D4D0D"/>
    <w:rsid w:val="009D530D"/>
    <w:rsid w:val="009D5626"/>
    <w:rsid w:val="009D574A"/>
    <w:rsid w:val="009D575F"/>
    <w:rsid w:val="009D58BC"/>
    <w:rsid w:val="009D58FE"/>
    <w:rsid w:val="009D5913"/>
    <w:rsid w:val="009D5A60"/>
    <w:rsid w:val="009D5B5A"/>
    <w:rsid w:val="009D5E1B"/>
    <w:rsid w:val="009D6086"/>
    <w:rsid w:val="009D61D6"/>
    <w:rsid w:val="009D6563"/>
    <w:rsid w:val="009D6801"/>
    <w:rsid w:val="009D6A1D"/>
    <w:rsid w:val="009D6A5E"/>
    <w:rsid w:val="009D6BEE"/>
    <w:rsid w:val="009D6E30"/>
    <w:rsid w:val="009D6EDB"/>
    <w:rsid w:val="009D7188"/>
    <w:rsid w:val="009D72FF"/>
    <w:rsid w:val="009D7433"/>
    <w:rsid w:val="009D78F1"/>
    <w:rsid w:val="009E090F"/>
    <w:rsid w:val="009E0C5E"/>
    <w:rsid w:val="009E0DCD"/>
    <w:rsid w:val="009E0F3F"/>
    <w:rsid w:val="009E100E"/>
    <w:rsid w:val="009E1231"/>
    <w:rsid w:val="009E12EF"/>
    <w:rsid w:val="009E13E1"/>
    <w:rsid w:val="009E15B3"/>
    <w:rsid w:val="009E17AA"/>
    <w:rsid w:val="009E1964"/>
    <w:rsid w:val="009E1C65"/>
    <w:rsid w:val="009E1C7B"/>
    <w:rsid w:val="009E2148"/>
    <w:rsid w:val="009E2300"/>
    <w:rsid w:val="009E23F6"/>
    <w:rsid w:val="009E2711"/>
    <w:rsid w:val="009E28B1"/>
    <w:rsid w:val="009E2E42"/>
    <w:rsid w:val="009E2EC9"/>
    <w:rsid w:val="009E312B"/>
    <w:rsid w:val="009E32D3"/>
    <w:rsid w:val="009E3343"/>
    <w:rsid w:val="009E369B"/>
    <w:rsid w:val="009E36CF"/>
    <w:rsid w:val="009E3A37"/>
    <w:rsid w:val="009E3C58"/>
    <w:rsid w:val="009E3EF4"/>
    <w:rsid w:val="009E4033"/>
    <w:rsid w:val="009E4068"/>
    <w:rsid w:val="009E44B8"/>
    <w:rsid w:val="009E4B7C"/>
    <w:rsid w:val="009E4EF2"/>
    <w:rsid w:val="009E4FA0"/>
    <w:rsid w:val="009E51F2"/>
    <w:rsid w:val="009E537F"/>
    <w:rsid w:val="009E5391"/>
    <w:rsid w:val="009E5760"/>
    <w:rsid w:val="009E58B0"/>
    <w:rsid w:val="009E5C70"/>
    <w:rsid w:val="009E5CA0"/>
    <w:rsid w:val="009E5CC4"/>
    <w:rsid w:val="009E5D9A"/>
    <w:rsid w:val="009E628C"/>
    <w:rsid w:val="009E6390"/>
    <w:rsid w:val="009E7ACE"/>
    <w:rsid w:val="009E7D43"/>
    <w:rsid w:val="009F0079"/>
    <w:rsid w:val="009F0108"/>
    <w:rsid w:val="009F02C0"/>
    <w:rsid w:val="009F03C3"/>
    <w:rsid w:val="009F0403"/>
    <w:rsid w:val="009F0B16"/>
    <w:rsid w:val="009F0D97"/>
    <w:rsid w:val="009F0F1A"/>
    <w:rsid w:val="009F14E9"/>
    <w:rsid w:val="009F15FB"/>
    <w:rsid w:val="009F16C2"/>
    <w:rsid w:val="009F1E9F"/>
    <w:rsid w:val="009F1F26"/>
    <w:rsid w:val="009F21C2"/>
    <w:rsid w:val="009F2595"/>
    <w:rsid w:val="009F2649"/>
    <w:rsid w:val="009F2679"/>
    <w:rsid w:val="009F269E"/>
    <w:rsid w:val="009F26BE"/>
    <w:rsid w:val="009F2AD3"/>
    <w:rsid w:val="009F2DBE"/>
    <w:rsid w:val="009F2E00"/>
    <w:rsid w:val="009F3489"/>
    <w:rsid w:val="009F3C3A"/>
    <w:rsid w:val="009F3C7B"/>
    <w:rsid w:val="009F40E7"/>
    <w:rsid w:val="009F418D"/>
    <w:rsid w:val="009F4542"/>
    <w:rsid w:val="009F4648"/>
    <w:rsid w:val="009F4B2D"/>
    <w:rsid w:val="009F4C77"/>
    <w:rsid w:val="009F4F5D"/>
    <w:rsid w:val="009F50E3"/>
    <w:rsid w:val="009F5175"/>
    <w:rsid w:val="009F5381"/>
    <w:rsid w:val="009F53E6"/>
    <w:rsid w:val="009F5447"/>
    <w:rsid w:val="009F54D5"/>
    <w:rsid w:val="009F5712"/>
    <w:rsid w:val="009F5881"/>
    <w:rsid w:val="009F5F35"/>
    <w:rsid w:val="009F64F5"/>
    <w:rsid w:val="009F6727"/>
    <w:rsid w:val="009F6E85"/>
    <w:rsid w:val="009F6FBE"/>
    <w:rsid w:val="009F71A0"/>
    <w:rsid w:val="009F7ADE"/>
    <w:rsid w:val="009F7C49"/>
    <w:rsid w:val="00A0017E"/>
    <w:rsid w:val="00A002E5"/>
    <w:rsid w:val="00A00D71"/>
    <w:rsid w:val="00A0157D"/>
    <w:rsid w:val="00A015CE"/>
    <w:rsid w:val="00A01758"/>
    <w:rsid w:val="00A017F7"/>
    <w:rsid w:val="00A01C99"/>
    <w:rsid w:val="00A01F13"/>
    <w:rsid w:val="00A020D4"/>
    <w:rsid w:val="00A021BF"/>
    <w:rsid w:val="00A02A58"/>
    <w:rsid w:val="00A02B88"/>
    <w:rsid w:val="00A02D71"/>
    <w:rsid w:val="00A03296"/>
    <w:rsid w:val="00A04120"/>
    <w:rsid w:val="00A0452D"/>
    <w:rsid w:val="00A045B4"/>
    <w:rsid w:val="00A049A3"/>
    <w:rsid w:val="00A04DDA"/>
    <w:rsid w:val="00A051C6"/>
    <w:rsid w:val="00A052F4"/>
    <w:rsid w:val="00A0554C"/>
    <w:rsid w:val="00A063D5"/>
    <w:rsid w:val="00A068C6"/>
    <w:rsid w:val="00A069F5"/>
    <w:rsid w:val="00A06F2C"/>
    <w:rsid w:val="00A06F43"/>
    <w:rsid w:val="00A0711B"/>
    <w:rsid w:val="00A07311"/>
    <w:rsid w:val="00A07355"/>
    <w:rsid w:val="00A07538"/>
    <w:rsid w:val="00A07778"/>
    <w:rsid w:val="00A07AA0"/>
    <w:rsid w:val="00A07B3D"/>
    <w:rsid w:val="00A07B6E"/>
    <w:rsid w:val="00A07DE0"/>
    <w:rsid w:val="00A10006"/>
    <w:rsid w:val="00A10044"/>
    <w:rsid w:val="00A100C1"/>
    <w:rsid w:val="00A102F4"/>
    <w:rsid w:val="00A107DE"/>
    <w:rsid w:val="00A10C75"/>
    <w:rsid w:val="00A10D00"/>
    <w:rsid w:val="00A10DA8"/>
    <w:rsid w:val="00A10F7B"/>
    <w:rsid w:val="00A11168"/>
    <w:rsid w:val="00A118A2"/>
    <w:rsid w:val="00A119BB"/>
    <w:rsid w:val="00A11A11"/>
    <w:rsid w:val="00A11C38"/>
    <w:rsid w:val="00A120AA"/>
    <w:rsid w:val="00A129B7"/>
    <w:rsid w:val="00A12C71"/>
    <w:rsid w:val="00A133F5"/>
    <w:rsid w:val="00A13549"/>
    <w:rsid w:val="00A13643"/>
    <w:rsid w:val="00A137C4"/>
    <w:rsid w:val="00A13DFA"/>
    <w:rsid w:val="00A13E0F"/>
    <w:rsid w:val="00A13F32"/>
    <w:rsid w:val="00A142F4"/>
    <w:rsid w:val="00A14626"/>
    <w:rsid w:val="00A151BE"/>
    <w:rsid w:val="00A154EF"/>
    <w:rsid w:val="00A154FF"/>
    <w:rsid w:val="00A15521"/>
    <w:rsid w:val="00A15920"/>
    <w:rsid w:val="00A15CE6"/>
    <w:rsid w:val="00A15E1E"/>
    <w:rsid w:val="00A15E30"/>
    <w:rsid w:val="00A15E68"/>
    <w:rsid w:val="00A1600D"/>
    <w:rsid w:val="00A161DD"/>
    <w:rsid w:val="00A1676C"/>
    <w:rsid w:val="00A1689B"/>
    <w:rsid w:val="00A17066"/>
    <w:rsid w:val="00A172A4"/>
    <w:rsid w:val="00A1735A"/>
    <w:rsid w:val="00A17649"/>
    <w:rsid w:val="00A17677"/>
    <w:rsid w:val="00A176F5"/>
    <w:rsid w:val="00A17842"/>
    <w:rsid w:val="00A17A22"/>
    <w:rsid w:val="00A17CCA"/>
    <w:rsid w:val="00A17F2C"/>
    <w:rsid w:val="00A201C7"/>
    <w:rsid w:val="00A20524"/>
    <w:rsid w:val="00A20BB3"/>
    <w:rsid w:val="00A20BF1"/>
    <w:rsid w:val="00A2173A"/>
    <w:rsid w:val="00A21ED5"/>
    <w:rsid w:val="00A22297"/>
    <w:rsid w:val="00A22449"/>
    <w:rsid w:val="00A226C6"/>
    <w:rsid w:val="00A2285E"/>
    <w:rsid w:val="00A22CEB"/>
    <w:rsid w:val="00A232A4"/>
    <w:rsid w:val="00A235C9"/>
    <w:rsid w:val="00A23842"/>
    <w:rsid w:val="00A243ED"/>
    <w:rsid w:val="00A244BA"/>
    <w:rsid w:val="00A24AE9"/>
    <w:rsid w:val="00A24E12"/>
    <w:rsid w:val="00A2504E"/>
    <w:rsid w:val="00A252A5"/>
    <w:rsid w:val="00A258C0"/>
    <w:rsid w:val="00A25911"/>
    <w:rsid w:val="00A25C85"/>
    <w:rsid w:val="00A26A4A"/>
    <w:rsid w:val="00A26CD8"/>
    <w:rsid w:val="00A26CF0"/>
    <w:rsid w:val="00A26EA6"/>
    <w:rsid w:val="00A272A6"/>
    <w:rsid w:val="00A272BD"/>
    <w:rsid w:val="00A272FE"/>
    <w:rsid w:val="00A2752A"/>
    <w:rsid w:val="00A27851"/>
    <w:rsid w:val="00A278A4"/>
    <w:rsid w:val="00A278E9"/>
    <w:rsid w:val="00A27A1B"/>
    <w:rsid w:val="00A27A94"/>
    <w:rsid w:val="00A27A98"/>
    <w:rsid w:val="00A27AAB"/>
    <w:rsid w:val="00A27B09"/>
    <w:rsid w:val="00A30095"/>
    <w:rsid w:val="00A301C6"/>
    <w:rsid w:val="00A30779"/>
    <w:rsid w:val="00A30B6A"/>
    <w:rsid w:val="00A30C8B"/>
    <w:rsid w:val="00A30DFD"/>
    <w:rsid w:val="00A311F3"/>
    <w:rsid w:val="00A31573"/>
    <w:rsid w:val="00A31697"/>
    <w:rsid w:val="00A31CA3"/>
    <w:rsid w:val="00A320C4"/>
    <w:rsid w:val="00A3229A"/>
    <w:rsid w:val="00A324CF"/>
    <w:rsid w:val="00A32703"/>
    <w:rsid w:val="00A327C4"/>
    <w:rsid w:val="00A3308D"/>
    <w:rsid w:val="00A331ED"/>
    <w:rsid w:val="00A3452C"/>
    <w:rsid w:val="00A346EB"/>
    <w:rsid w:val="00A347EB"/>
    <w:rsid w:val="00A34DAA"/>
    <w:rsid w:val="00A34FD0"/>
    <w:rsid w:val="00A35181"/>
    <w:rsid w:val="00A352F0"/>
    <w:rsid w:val="00A35325"/>
    <w:rsid w:val="00A35BA5"/>
    <w:rsid w:val="00A35C39"/>
    <w:rsid w:val="00A35FEC"/>
    <w:rsid w:val="00A365FE"/>
    <w:rsid w:val="00A36963"/>
    <w:rsid w:val="00A36A77"/>
    <w:rsid w:val="00A36C6B"/>
    <w:rsid w:val="00A3712C"/>
    <w:rsid w:val="00A37BBC"/>
    <w:rsid w:val="00A37BD6"/>
    <w:rsid w:val="00A37BE5"/>
    <w:rsid w:val="00A37BF7"/>
    <w:rsid w:val="00A37C40"/>
    <w:rsid w:val="00A37C68"/>
    <w:rsid w:val="00A37C89"/>
    <w:rsid w:val="00A37E9C"/>
    <w:rsid w:val="00A40153"/>
    <w:rsid w:val="00A40776"/>
    <w:rsid w:val="00A40D5B"/>
    <w:rsid w:val="00A40E11"/>
    <w:rsid w:val="00A40EA7"/>
    <w:rsid w:val="00A414E1"/>
    <w:rsid w:val="00A42509"/>
    <w:rsid w:val="00A43490"/>
    <w:rsid w:val="00A43575"/>
    <w:rsid w:val="00A4367D"/>
    <w:rsid w:val="00A439A2"/>
    <w:rsid w:val="00A43E66"/>
    <w:rsid w:val="00A43FF3"/>
    <w:rsid w:val="00A4462B"/>
    <w:rsid w:val="00A44A96"/>
    <w:rsid w:val="00A44D64"/>
    <w:rsid w:val="00A44EF4"/>
    <w:rsid w:val="00A44F5E"/>
    <w:rsid w:val="00A44FC8"/>
    <w:rsid w:val="00A45564"/>
    <w:rsid w:val="00A4564A"/>
    <w:rsid w:val="00A45825"/>
    <w:rsid w:val="00A45981"/>
    <w:rsid w:val="00A45A63"/>
    <w:rsid w:val="00A45B18"/>
    <w:rsid w:val="00A45EDD"/>
    <w:rsid w:val="00A4605D"/>
    <w:rsid w:val="00A464A3"/>
    <w:rsid w:val="00A46757"/>
    <w:rsid w:val="00A467C0"/>
    <w:rsid w:val="00A4680D"/>
    <w:rsid w:val="00A469EC"/>
    <w:rsid w:val="00A46B27"/>
    <w:rsid w:val="00A46E5E"/>
    <w:rsid w:val="00A47560"/>
    <w:rsid w:val="00A4761E"/>
    <w:rsid w:val="00A47AC2"/>
    <w:rsid w:val="00A47AE4"/>
    <w:rsid w:val="00A47EBD"/>
    <w:rsid w:val="00A503A2"/>
    <w:rsid w:val="00A504B5"/>
    <w:rsid w:val="00A505A1"/>
    <w:rsid w:val="00A50707"/>
    <w:rsid w:val="00A51862"/>
    <w:rsid w:val="00A51A02"/>
    <w:rsid w:val="00A51AE4"/>
    <w:rsid w:val="00A51D62"/>
    <w:rsid w:val="00A51F70"/>
    <w:rsid w:val="00A5236D"/>
    <w:rsid w:val="00A52568"/>
    <w:rsid w:val="00A52587"/>
    <w:rsid w:val="00A53117"/>
    <w:rsid w:val="00A531A5"/>
    <w:rsid w:val="00A53520"/>
    <w:rsid w:val="00A54441"/>
    <w:rsid w:val="00A54528"/>
    <w:rsid w:val="00A548B1"/>
    <w:rsid w:val="00A54C28"/>
    <w:rsid w:val="00A54D87"/>
    <w:rsid w:val="00A54EE6"/>
    <w:rsid w:val="00A551CA"/>
    <w:rsid w:val="00A55408"/>
    <w:rsid w:val="00A55EC0"/>
    <w:rsid w:val="00A5618B"/>
    <w:rsid w:val="00A5629F"/>
    <w:rsid w:val="00A562BA"/>
    <w:rsid w:val="00A5640E"/>
    <w:rsid w:val="00A568D3"/>
    <w:rsid w:val="00A568EB"/>
    <w:rsid w:val="00A57055"/>
    <w:rsid w:val="00A574D8"/>
    <w:rsid w:val="00A5777D"/>
    <w:rsid w:val="00A57B56"/>
    <w:rsid w:val="00A57B62"/>
    <w:rsid w:val="00A60368"/>
    <w:rsid w:val="00A605CC"/>
    <w:rsid w:val="00A60BA5"/>
    <w:rsid w:val="00A60DF2"/>
    <w:rsid w:val="00A6122C"/>
    <w:rsid w:val="00A618BB"/>
    <w:rsid w:val="00A61AFC"/>
    <w:rsid w:val="00A61CCA"/>
    <w:rsid w:val="00A62ABB"/>
    <w:rsid w:val="00A62D6F"/>
    <w:rsid w:val="00A62FC4"/>
    <w:rsid w:val="00A63234"/>
    <w:rsid w:val="00A63654"/>
    <w:rsid w:val="00A63724"/>
    <w:rsid w:val="00A63966"/>
    <w:rsid w:val="00A64685"/>
    <w:rsid w:val="00A64753"/>
    <w:rsid w:val="00A647C4"/>
    <w:rsid w:val="00A64953"/>
    <w:rsid w:val="00A649AD"/>
    <w:rsid w:val="00A64B5B"/>
    <w:rsid w:val="00A64B95"/>
    <w:rsid w:val="00A64EB6"/>
    <w:rsid w:val="00A64F8B"/>
    <w:rsid w:val="00A65113"/>
    <w:rsid w:val="00A65617"/>
    <w:rsid w:val="00A65B34"/>
    <w:rsid w:val="00A66023"/>
    <w:rsid w:val="00A661BC"/>
    <w:rsid w:val="00A66593"/>
    <w:rsid w:val="00A668BE"/>
    <w:rsid w:val="00A66925"/>
    <w:rsid w:val="00A66957"/>
    <w:rsid w:val="00A66D46"/>
    <w:rsid w:val="00A66EDD"/>
    <w:rsid w:val="00A6797C"/>
    <w:rsid w:val="00A67980"/>
    <w:rsid w:val="00A700C8"/>
    <w:rsid w:val="00A70401"/>
    <w:rsid w:val="00A70492"/>
    <w:rsid w:val="00A70732"/>
    <w:rsid w:val="00A71015"/>
    <w:rsid w:val="00A7147A"/>
    <w:rsid w:val="00A71844"/>
    <w:rsid w:val="00A72068"/>
    <w:rsid w:val="00A726F1"/>
    <w:rsid w:val="00A727BC"/>
    <w:rsid w:val="00A72CB7"/>
    <w:rsid w:val="00A7305B"/>
    <w:rsid w:val="00A730C9"/>
    <w:rsid w:val="00A736AC"/>
    <w:rsid w:val="00A73B43"/>
    <w:rsid w:val="00A73FE4"/>
    <w:rsid w:val="00A74669"/>
    <w:rsid w:val="00A74714"/>
    <w:rsid w:val="00A74732"/>
    <w:rsid w:val="00A74769"/>
    <w:rsid w:val="00A748F7"/>
    <w:rsid w:val="00A74998"/>
    <w:rsid w:val="00A74B48"/>
    <w:rsid w:val="00A74C3A"/>
    <w:rsid w:val="00A74D79"/>
    <w:rsid w:val="00A750BD"/>
    <w:rsid w:val="00A753C3"/>
    <w:rsid w:val="00A755FA"/>
    <w:rsid w:val="00A75696"/>
    <w:rsid w:val="00A757DF"/>
    <w:rsid w:val="00A75CCC"/>
    <w:rsid w:val="00A75F48"/>
    <w:rsid w:val="00A765F3"/>
    <w:rsid w:val="00A76738"/>
    <w:rsid w:val="00A767BC"/>
    <w:rsid w:val="00A76BC7"/>
    <w:rsid w:val="00A76FB6"/>
    <w:rsid w:val="00A77576"/>
    <w:rsid w:val="00A7796F"/>
    <w:rsid w:val="00A779EB"/>
    <w:rsid w:val="00A77B1F"/>
    <w:rsid w:val="00A801A6"/>
    <w:rsid w:val="00A801DB"/>
    <w:rsid w:val="00A80394"/>
    <w:rsid w:val="00A807D0"/>
    <w:rsid w:val="00A8096E"/>
    <w:rsid w:val="00A809D7"/>
    <w:rsid w:val="00A80BF8"/>
    <w:rsid w:val="00A80EBA"/>
    <w:rsid w:val="00A812A5"/>
    <w:rsid w:val="00A812F9"/>
    <w:rsid w:val="00A81534"/>
    <w:rsid w:val="00A82183"/>
    <w:rsid w:val="00A8222B"/>
    <w:rsid w:val="00A825CA"/>
    <w:rsid w:val="00A82660"/>
    <w:rsid w:val="00A82774"/>
    <w:rsid w:val="00A827DE"/>
    <w:rsid w:val="00A8293D"/>
    <w:rsid w:val="00A82DD1"/>
    <w:rsid w:val="00A8316E"/>
    <w:rsid w:val="00A83303"/>
    <w:rsid w:val="00A833B4"/>
    <w:rsid w:val="00A83A75"/>
    <w:rsid w:val="00A83A78"/>
    <w:rsid w:val="00A83EDB"/>
    <w:rsid w:val="00A843B1"/>
    <w:rsid w:val="00A84BD8"/>
    <w:rsid w:val="00A84CEC"/>
    <w:rsid w:val="00A852D2"/>
    <w:rsid w:val="00A855F7"/>
    <w:rsid w:val="00A85D04"/>
    <w:rsid w:val="00A864EE"/>
    <w:rsid w:val="00A86B48"/>
    <w:rsid w:val="00A8701B"/>
    <w:rsid w:val="00A87354"/>
    <w:rsid w:val="00A8779E"/>
    <w:rsid w:val="00A87815"/>
    <w:rsid w:val="00A900B5"/>
    <w:rsid w:val="00A902E5"/>
    <w:rsid w:val="00A9045C"/>
    <w:rsid w:val="00A9064D"/>
    <w:rsid w:val="00A9071E"/>
    <w:rsid w:val="00A9088D"/>
    <w:rsid w:val="00A90B4C"/>
    <w:rsid w:val="00A90D0D"/>
    <w:rsid w:val="00A90F63"/>
    <w:rsid w:val="00A913F2"/>
    <w:rsid w:val="00A91DAF"/>
    <w:rsid w:val="00A91EE9"/>
    <w:rsid w:val="00A9208E"/>
    <w:rsid w:val="00A92594"/>
    <w:rsid w:val="00A9266E"/>
    <w:rsid w:val="00A92964"/>
    <w:rsid w:val="00A930F5"/>
    <w:rsid w:val="00A932C9"/>
    <w:rsid w:val="00A93430"/>
    <w:rsid w:val="00A9344D"/>
    <w:rsid w:val="00A93B0C"/>
    <w:rsid w:val="00A93E34"/>
    <w:rsid w:val="00A93F1B"/>
    <w:rsid w:val="00A93F2A"/>
    <w:rsid w:val="00A9425E"/>
    <w:rsid w:val="00A944B8"/>
    <w:rsid w:val="00A94586"/>
    <w:rsid w:val="00A946A2"/>
    <w:rsid w:val="00A947CC"/>
    <w:rsid w:val="00A94C6C"/>
    <w:rsid w:val="00A94D7C"/>
    <w:rsid w:val="00A950D9"/>
    <w:rsid w:val="00A9536D"/>
    <w:rsid w:val="00A9555B"/>
    <w:rsid w:val="00A95679"/>
    <w:rsid w:val="00A95909"/>
    <w:rsid w:val="00A95BC5"/>
    <w:rsid w:val="00A95CF4"/>
    <w:rsid w:val="00A95DD3"/>
    <w:rsid w:val="00A95E13"/>
    <w:rsid w:val="00A95E9B"/>
    <w:rsid w:val="00A95F28"/>
    <w:rsid w:val="00A95F44"/>
    <w:rsid w:val="00A95FC5"/>
    <w:rsid w:val="00A961EA"/>
    <w:rsid w:val="00A966CA"/>
    <w:rsid w:val="00A96E34"/>
    <w:rsid w:val="00A9700A"/>
    <w:rsid w:val="00A97BBA"/>
    <w:rsid w:val="00A97BF3"/>
    <w:rsid w:val="00A97DF1"/>
    <w:rsid w:val="00A97E64"/>
    <w:rsid w:val="00A97FD7"/>
    <w:rsid w:val="00AA006D"/>
    <w:rsid w:val="00AA02B8"/>
    <w:rsid w:val="00AA0486"/>
    <w:rsid w:val="00AA05C0"/>
    <w:rsid w:val="00AA05F7"/>
    <w:rsid w:val="00AA0E52"/>
    <w:rsid w:val="00AA103E"/>
    <w:rsid w:val="00AA145F"/>
    <w:rsid w:val="00AA15E7"/>
    <w:rsid w:val="00AA1736"/>
    <w:rsid w:val="00AA198D"/>
    <w:rsid w:val="00AA1AEB"/>
    <w:rsid w:val="00AA2959"/>
    <w:rsid w:val="00AA31AB"/>
    <w:rsid w:val="00AA3677"/>
    <w:rsid w:val="00AA4015"/>
    <w:rsid w:val="00AA407D"/>
    <w:rsid w:val="00AA4521"/>
    <w:rsid w:val="00AA4804"/>
    <w:rsid w:val="00AA4BB2"/>
    <w:rsid w:val="00AA50ED"/>
    <w:rsid w:val="00AA5730"/>
    <w:rsid w:val="00AA583E"/>
    <w:rsid w:val="00AA589A"/>
    <w:rsid w:val="00AA609C"/>
    <w:rsid w:val="00AA6130"/>
    <w:rsid w:val="00AA66CE"/>
    <w:rsid w:val="00AA68EF"/>
    <w:rsid w:val="00AA6DD2"/>
    <w:rsid w:val="00AA79AC"/>
    <w:rsid w:val="00AA7B6F"/>
    <w:rsid w:val="00AA7F30"/>
    <w:rsid w:val="00AB03D7"/>
    <w:rsid w:val="00AB07DD"/>
    <w:rsid w:val="00AB095D"/>
    <w:rsid w:val="00AB0ECD"/>
    <w:rsid w:val="00AB109E"/>
    <w:rsid w:val="00AB120F"/>
    <w:rsid w:val="00AB139C"/>
    <w:rsid w:val="00AB15FB"/>
    <w:rsid w:val="00AB1F16"/>
    <w:rsid w:val="00AB1F5F"/>
    <w:rsid w:val="00AB2117"/>
    <w:rsid w:val="00AB21C0"/>
    <w:rsid w:val="00AB2207"/>
    <w:rsid w:val="00AB242E"/>
    <w:rsid w:val="00AB2C1D"/>
    <w:rsid w:val="00AB2CCE"/>
    <w:rsid w:val="00AB34F8"/>
    <w:rsid w:val="00AB35EB"/>
    <w:rsid w:val="00AB3803"/>
    <w:rsid w:val="00AB3CE3"/>
    <w:rsid w:val="00AB427E"/>
    <w:rsid w:val="00AB42EA"/>
    <w:rsid w:val="00AB4CD5"/>
    <w:rsid w:val="00AB4E48"/>
    <w:rsid w:val="00AB4E7B"/>
    <w:rsid w:val="00AB5027"/>
    <w:rsid w:val="00AB53D2"/>
    <w:rsid w:val="00AB54E7"/>
    <w:rsid w:val="00AB5780"/>
    <w:rsid w:val="00AB5888"/>
    <w:rsid w:val="00AB5F06"/>
    <w:rsid w:val="00AB613F"/>
    <w:rsid w:val="00AB6227"/>
    <w:rsid w:val="00AB6831"/>
    <w:rsid w:val="00AB6889"/>
    <w:rsid w:val="00AB699A"/>
    <w:rsid w:val="00AB6D92"/>
    <w:rsid w:val="00AB6F4D"/>
    <w:rsid w:val="00AB6F88"/>
    <w:rsid w:val="00AB71F2"/>
    <w:rsid w:val="00AC05EE"/>
    <w:rsid w:val="00AC07A1"/>
    <w:rsid w:val="00AC0A05"/>
    <w:rsid w:val="00AC1048"/>
    <w:rsid w:val="00AC1220"/>
    <w:rsid w:val="00AC13F9"/>
    <w:rsid w:val="00AC15A8"/>
    <w:rsid w:val="00AC1B25"/>
    <w:rsid w:val="00AC1DFE"/>
    <w:rsid w:val="00AC2213"/>
    <w:rsid w:val="00AC24D8"/>
    <w:rsid w:val="00AC267B"/>
    <w:rsid w:val="00AC27A3"/>
    <w:rsid w:val="00AC28B6"/>
    <w:rsid w:val="00AC2966"/>
    <w:rsid w:val="00AC29DB"/>
    <w:rsid w:val="00AC3383"/>
    <w:rsid w:val="00AC3414"/>
    <w:rsid w:val="00AC357F"/>
    <w:rsid w:val="00AC3898"/>
    <w:rsid w:val="00AC43E2"/>
    <w:rsid w:val="00AC4A78"/>
    <w:rsid w:val="00AC4AB9"/>
    <w:rsid w:val="00AC4AD2"/>
    <w:rsid w:val="00AC4B11"/>
    <w:rsid w:val="00AC4D54"/>
    <w:rsid w:val="00AC5284"/>
    <w:rsid w:val="00AC52C1"/>
    <w:rsid w:val="00AC56A0"/>
    <w:rsid w:val="00AC5776"/>
    <w:rsid w:val="00AC5F82"/>
    <w:rsid w:val="00AC6163"/>
    <w:rsid w:val="00AC6B66"/>
    <w:rsid w:val="00AC6F9C"/>
    <w:rsid w:val="00AC702E"/>
    <w:rsid w:val="00AC71A5"/>
    <w:rsid w:val="00AD00CB"/>
    <w:rsid w:val="00AD035B"/>
    <w:rsid w:val="00AD0381"/>
    <w:rsid w:val="00AD0F65"/>
    <w:rsid w:val="00AD10BB"/>
    <w:rsid w:val="00AD11A7"/>
    <w:rsid w:val="00AD2271"/>
    <w:rsid w:val="00AD2C4E"/>
    <w:rsid w:val="00AD33BB"/>
    <w:rsid w:val="00AD3D2F"/>
    <w:rsid w:val="00AD4377"/>
    <w:rsid w:val="00AD491A"/>
    <w:rsid w:val="00AD4CD5"/>
    <w:rsid w:val="00AD55B4"/>
    <w:rsid w:val="00AD5876"/>
    <w:rsid w:val="00AD59C1"/>
    <w:rsid w:val="00AD5ABA"/>
    <w:rsid w:val="00AD6144"/>
    <w:rsid w:val="00AD641F"/>
    <w:rsid w:val="00AD659A"/>
    <w:rsid w:val="00AD681F"/>
    <w:rsid w:val="00AD689E"/>
    <w:rsid w:val="00AD6F1C"/>
    <w:rsid w:val="00AD6F39"/>
    <w:rsid w:val="00AD7122"/>
    <w:rsid w:val="00AD7BC9"/>
    <w:rsid w:val="00AE02F1"/>
    <w:rsid w:val="00AE05D1"/>
    <w:rsid w:val="00AE07F5"/>
    <w:rsid w:val="00AE0EAB"/>
    <w:rsid w:val="00AE1427"/>
    <w:rsid w:val="00AE1474"/>
    <w:rsid w:val="00AE1A18"/>
    <w:rsid w:val="00AE202E"/>
    <w:rsid w:val="00AE2228"/>
    <w:rsid w:val="00AE2308"/>
    <w:rsid w:val="00AE28EE"/>
    <w:rsid w:val="00AE2CFA"/>
    <w:rsid w:val="00AE3770"/>
    <w:rsid w:val="00AE3A9C"/>
    <w:rsid w:val="00AE408C"/>
    <w:rsid w:val="00AE4239"/>
    <w:rsid w:val="00AE4292"/>
    <w:rsid w:val="00AE4829"/>
    <w:rsid w:val="00AE4B9D"/>
    <w:rsid w:val="00AE4C75"/>
    <w:rsid w:val="00AE4DEA"/>
    <w:rsid w:val="00AE51A6"/>
    <w:rsid w:val="00AE5217"/>
    <w:rsid w:val="00AE5C0A"/>
    <w:rsid w:val="00AE5D94"/>
    <w:rsid w:val="00AE6042"/>
    <w:rsid w:val="00AE6184"/>
    <w:rsid w:val="00AE62D6"/>
    <w:rsid w:val="00AE62DA"/>
    <w:rsid w:val="00AE6644"/>
    <w:rsid w:val="00AE666F"/>
    <w:rsid w:val="00AE6BD2"/>
    <w:rsid w:val="00AE6E1B"/>
    <w:rsid w:val="00AE73C8"/>
    <w:rsid w:val="00AE752D"/>
    <w:rsid w:val="00AE7739"/>
    <w:rsid w:val="00AE7742"/>
    <w:rsid w:val="00AE7949"/>
    <w:rsid w:val="00AE7BA9"/>
    <w:rsid w:val="00AE7D02"/>
    <w:rsid w:val="00AF0063"/>
    <w:rsid w:val="00AF01F3"/>
    <w:rsid w:val="00AF0330"/>
    <w:rsid w:val="00AF0547"/>
    <w:rsid w:val="00AF09BC"/>
    <w:rsid w:val="00AF0C80"/>
    <w:rsid w:val="00AF1BBB"/>
    <w:rsid w:val="00AF1D63"/>
    <w:rsid w:val="00AF1DF1"/>
    <w:rsid w:val="00AF24D0"/>
    <w:rsid w:val="00AF29F3"/>
    <w:rsid w:val="00AF2AFF"/>
    <w:rsid w:val="00AF2B6B"/>
    <w:rsid w:val="00AF2D2E"/>
    <w:rsid w:val="00AF2DEB"/>
    <w:rsid w:val="00AF31EF"/>
    <w:rsid w:val="00AF3980"/>
    <w:rsid w:val="00AF3A7F"/>
    <w:rsid w:val="00AF47AC"/>
    <w:rsid w:val="00AF48F7"/>
    <w:rsid w:val="00AF4B44"/>
    <w:rsid w:val="00AF4E89"/>
    <w:rsid w:val="00AF4F5E"/>
    <w:rsid w:val="00AF5731"/>
    <w:rsid w:val="00AF5A1A"/>
    <w:rsid w:val="00AF5A5B"/>
    <w:rsid w:val="00AF5BE5"/>
    <w:rsid w:val="00AF64D1"/>
    <w:rsid w:val="00AF6584"/>
    <w:rsid w:val="00AF6A20"/>
    <w:rsid w:val="00AF6CD8"/>
    <w:rsid w:val="00AF6FDE"/>
    <w:rsid w:val="00AF720D"/>
    <w:rsid w:val="00AF7289"/>
    <w:rsid w:val="00AF7998"/>
    <w:rsid w:val="00AF7E88"/>
    <w:rsid w:val="00AFCCB0"/>
    <w:rsid w:val="00B00207"/>
    <w:rsid w:val="00B00405"/>
    <w:rsid w:val="00B00683"/>
    <w:rsid w:val="00B00C54"/>
    <w:rsid w:val="00B0103A"/>
    <w:rsid w:val="00B010EC"/>
    <w:rsid w:val="00B011D9"/>
    <w:rsid w:val="00B0124A"/>
    <w:rsid w:val="00B01427"/>
    <w:rsid w:val="00B0160E"/>
    <w:rsid w:val="00B0163E"/>
    <w:rsid w:val="00B017EF"/>
    <w:rsid w:val="00B020BD"/>
    <w:rsid w:val="00B02304"/>
    <w:rsid w:val="00B02867"/>
    <w:rsid w:val="00B028CC"/>
    <w:rsid w:val="00B02AB5"/>
    <w:rsid w:val="00B02DB9"/>
    <w:rsid w:val="00B03331"/>
    <w:rsid w:val="00B0342F"/>
    <w:rsid w:val="00B03B84"/>
    <w:rsid w:val="00B04002"/>
    <w:rsid w:val="00B0404A"/>
    <w:rsid w:val="00B041E4"/>
    <w:rsid w:val="00B04380"/>
    <w:rsid w:val="00B044B9"/>
    <w:rsid w:val="00B0455A"/>
    <w:rsid w:val="00B0465A"/>
    <w:rsid w:val="00B047CC"/>
    <w:rsid w:val="00B048A4"/>
    <w:rsid w:val="00B0496F"/>
    <w:rsid w:val="00B04A98"/>
    <w:rsid w:val="00B051E1"/>
    <w:rsid w:val="00B05689"/>
    <w:rsid w:val="00B05A19"/>
    <w:rsid w:val="00B06377"/>
    <w:rsid w:val="00B06502"/>
    <w:rsid w:val="00B06B42"/>
    <w:rsid w:val="00B06E29"/>
    <w:rsid w:val="00B06E49"/>
    <w:rsid w:val="00B06F4B"/>
    <w:rsid w:val="00B0741C"/>
    <w:rsid w:val="00B075DE"/>
    <w:rsid w:val="00B0775F"/>
    <w:rsid w:val="00B07948"/>
    <w:rsid w:val="00B07AD4"/>
    <w:rsid w:val="00B07CE7"/>
    <w:rsid w:val="00B1031C"/>
    <w:rsid w:val="00B10568"/>
    <w:rsid w:val="00B107E2"/>
    <w:rsid w:val="00B1098B"/>
    <w:rsid w:val="00B10EB1"/>
    <w:rsid w:val="00B112A9"/>
    <w:rsid w:val="00B114BB"/>
    <w:rsid w:val="00B11526"/>
    <w:rsid w:val="00B11899"/>
    <w:rsid w:val="00B11E03"/>
    <w:rsid w:val="00B123A0"/>
    <w:rsid w:val="00B123CD"/>
    <w:rsid w:val="00B12867"/>
    <w:rsid w:val="00B1297C"/>
    <w:rsid w:val="00B129F3"/>
    <w:rsid w:val="00B129F9"/>
    <w:rsid w:val="00B1308F"/>
    <w:rsid w:val="00B13A4E"/>
    <w:rsid w:val="00B13ACD"/>
    <w:rsid w:val="00B14162"/>
    <w:rsid w:val="00B142FC"/>
    <w:rsid w:val="00B1456B"/>
    <w:rsid w:val="00B1475D"/>
    <w:rsid w:val="00B148BF"/>
    <w:rsid w:val="00B14C77"/>
    <w:rsid w:val="00B14CC4"/>
    <w:rsid w:val="00B1553A"/>
    <w:rsid w:val="00B155AE"/>
    <w:rsid w:val="00B155CE"/>
    <w:rsid w:val="00B175EB"/>
    <w:rsid w:val="00B17721"/>
    <w:rsid w:val="00B17789"/>
    <w:rsid w:val="00B17CA0"/>
    <w:rsid w:val="00B17FE8"/>
    <w:rsid w:val="00B20262"/>
    <w:rsid w:val="00B20311"/>
    <w:rsid w:val="00B2052E"/>
    <w:rsid w:val="00B205D6"/>
    <w:rsid w:val="00B20D64"/>
    <w:rsid w:val="00B20F3C"/>
    <w:rsid w:val="00B21831"/>
    <w:rsid w:val="00B21881"/>
    <w:rsid w:val="00B21CAA"/>
    <w:rsid w:val="00B22303"/>
    <w:rsid w:val="00B2231D"/>
    <w:rsid w:val="00B22433"/>
    <w:rsid w:val="00B2247D"/>
    <w:rsid w:val="00B2299E"/>
    <w:rsid w:val="00B22BBA"/>
    <w:rsid w:val="00B22D36"/>
    <w:rsid w:val="00B24531"/>
    <w:rsid w:val="00B248BB"/>
    <w:rsid w:val="00B24B49"/>
    <w:rsid w:val="00B24D4E"/>
    <w:rsid w:val="00B24DEF"/>
    <w:rsid w:val="00B24FBB"/>
    <w:rsid w:val="00B250B2"/>
    <w:rsid w:val="00B25125"/>
    <w:rsid w:val="00B2530F"/>
    <w:rsid w:val="00B25398"/>
    <w:rsid w:val="00B253D1"/>
    <w:rsid w:val="00B2558F"/>
    <w:rsid w:val="00B2576B"/>
    <w:rsid w:val="00B259B7"/>
    <w:rsid w:val="00B25F6A"/>
    <w:rsid w:val="00B2614F"/>
    <w:rsid w:val="00B262E3"/>
    <w:rsid w:val="00B2638A"/>
    <w:rsid w:val="00B2652D"/>
    <w:rsid w:val="00B26D12"/>
    <w:rsid w:val="00B26D88"/>
    <w:rsid w:val="00B2719C"/>
    <w:rsid w:val="00B272A5"/>
    <w:rsid w:val="00B276CB"/>
    <w:rsid w:val="00B2772B"/>
    <w:rsid w:val="00B27C1C"/>
    <w:rsid w:val="00B27F86"/>
    <w:rsid w:val="00B30B1C"/>
    <w:rsid w:val="00B30C7B"/>
    <w:rsid w:val="00B311EF"/>
    <w:rsid w:val="00B31386"/>
    <w:rsid w:val="00B315C5"/>
    <w:rsid w:val="00B31661"/>
    <w:rsid w:val="00B31732"/>
    <w:rsid w:val="00B32B34"/>
    <w:rsid w:val="00B337E3"/>
    <w:rsid w:val="00B34581"/>
    <w:rsid w:val="00B34E33"/>
    <w:rsid w:val="00B34F02"/>
    <w:rsid w:val="00B35046"/>
    <w:rsid w:val="00B3522F"/>
    <w:rsid w:val="00B35484"/>
    <w:rsid w:val="00B35751"/>
    <w:rsid w:val="00B35950"/>
    <w:rsid w:val="00B35A66"/>
    <w:rsid w:val="00B35B0A"/>
    <w:rsid w:val="00B35FCA"/>
    <w:rsid w:val="00B362E9"/>
    <w:rsid w:val="00B363E5"/>
    <w:rsid w:val="00B363ED"/>
    <w:rsid w:val="00B366D0"/>
    <w:rsid w:val="00B36954"/>
    <w:rsid w:val="00B36978"/>
    <w:rsid w:val="00B36CB2"/>
    <w:rsid w:val="00B36CEC"/>
    <w:rsid w:val="00B36ED0"/>
    <w:rsid w:val="00B36F57"/>
    <w:rsid w:val="00B36F7A"/>
    <w:rsid w:val="00B3711B"/>
    <w:rsid w:val="00B37305"/>
    <w:rsid w:val="00B374EE"/>
    <w:rsid w:val="00B3780A"/>
    <w:rsid w:val="00B37C7D"/>
    <w:rsid w:val="00B40296"/>
    <w:rsid w:val="00B40481"/>
    <w:rsid w:val="00B4055D"/>
    <w:rsid w:val="00B408C6"/>
    <w:rsid w:val="00B4095B"/>
    <w:rsid w:val="00B40F68"/>
    <w:rsid w:val="00B4145C"/>
    <w:rsid w:val="00B41CB5"/>
    <w:rsid w:val="00B421D4"/>
    <w:rsid w:val="00B42625"/>
    <w:rsid w:val="00B42C61"/>
    <w:rsid w:val="00B42CC9"/>
    <w:rsid w:val="00B432F7"/>
    <w:rsid w:val="00B437D9"/>
    <w:rsid w:val="00B43BD2"/>
    <w:rsid w:val="00B43CE6"/>
    <w:rsid w:val="00B445CD"/>
    <w:rsid w:val="00B44973"/>
    <w:rsid w:val="00B44CDB"/>
    <w:rsid w:val="00B44D1F"/>
    <w:rsid w:val="00B44DFC"/>
    <w:rsid w:val="00B44E7B"/>
    <w:rsid w:val="00B45321"/>
    <w:rsid w:val="00B45C4E"/>
    <w:rsid w:val="00B45F5C"/>
    <w:rsid w:val="00B46209"/>
    <w:rsid w:val="00B463AD"/>
    <w:rsid w:val="00B464D8"/>
    <w:rsid w:val="00B4652F"/>
    <w:rsid w:val="00B46778"/>
    <w:rsid w:val="00B46788"/>
    <w:rsid w:val="00B468D4"/>
    <w:rsid w:val="00B469E2"/>
    <w:rsid w:val="00B46A33"/>
    <w:rsid w:val="00B46C4D"/>
    <w:rsid w:val="00B470EA"/>
    <w:rsid w:val="00B47342"/>
    <w:rsid w:val="00B4753D"/>
    <w:rsid w:val="00B479B1"/>
    <w:rsid w:val="00B47C77"/>
    <w:rsid w:val="00B47D8C"/>
    <w:rsid w:val="00B50024"/>
    <w:rsid w:val="00B501E8"/>
    <w:rsid w:val="00B50497"/>
    <w:rsid w:val="00B505C7"/>
    <w:rsid w:val="00B50606"/>
    <w:rsid w:val="00B509E4"/>
    <w:rsid w:val="00B515BD"/>
    <w:rsid w:val="00B51788"/>
    <w:rsid w:val="00B517C8"/>
    <w:rsid w:val="00B51A22"/>
    <w:rsid w:val="00B51C17"/>
    <w:rsid w:val="00B51FA8"/>
    <w:rsid w:val="00B52392"/>
    <w:rsid w:val="00B524A1"/>
    <w:rsid w:val="00B525D3"/>
    <w:rsid w:val="00B53945"/>
    <w:rsid w:val="00B53AA1"/>
    <w:rsid w:val="00B53CB5"/>
    <w:rsid w:val="00B53DD0"/>
    <w:rsid w:val="00B5478F"/>
    <w:rsid w:val="00B54902"/>
    <w:rsid w:val="00B549A2"/>
    <w:rsid w:val="00B54BF6"/>
    <w:rsid w:val="00B54C2C"/>
    <w:rsid w:val="00B55823"/>
    <w:rsid w:val="00B55BDE"/>
    <w:rsid w:val="00B55EB1"/>
    <w:rsid w:val="00B561CA"/>
    <w:rsid w:val="00B5651B"/>
    <w:rsid w:val="00B5665A"/>
    <w:rsid w:val="00B566AD"/>
    <w:rsid w:val="00B56BE0"/>
    <w:rsid w:val="00B56DCF"/>
    <w:rsid w:val="00B56F81"/>
    <w:rsid w:val="00B5710A"/>
    <w:rsid w:val="00B577EF"/>
    <w:rsid w:val="00B57DEB"/>
    <w:rsid w:val="00B57FDA"/>
    <w:rsid w:val="00B57FDB"/>
    <w:rsid w:val="00B60060"/>
    <w:rsid w:val="00B6027C"/>
    <w:rsid w:val="00B602C5"/>
    <w:rsid w:val="00B60361"/>
    <w:rsid w:val="00B60538"/>
    <w:rsid w:val="00B60671"/>
    <w:rsid w:val="00B608E3"/>
    <w:rsid w:val="00B60C55"/>
    <w:rsid w:val="00B60D25"/>
    <w:rsid w:val="00B61399"/>
    <w:rsid w:val="00B6195E"/>
    <w:rsid w:val="00B61A15"/>
    <w:rsid w:val="00B61A86"/>
    <w:rsid w:val="00B620B1"/>
    <w:rsid w:val="00B62870"/>
    <w:rsid w:val="00B62934"/>
    <w:rsid w:val="00B62B7C"/>
    <w:rsid w:val="00B63142"/>
    <w:rsid w:val="00B631A4"/>
    <w:rsid w:val="00B63742"/>
    <w:rsid w:val="00B6394E"/>
    <w:rsid w:val="00B63AAA"/>
    <w:rsid w:val="00B63AB3"/>
    <w:rsid w:val="00B63B8C"/>
    <w:rsid w:val="00B63C13"/>
    <w:rsid w:val="00B63DF3"/>
    <w:rsid w:val="00B64430"/>
    <w:rsid w:val="00B64434"/>
    <w:rsid w:val="00B6480B"/>
    <w:rsid w:val="00B64875"/>
    <w:rsid w:val="00B64CF5"/>
    <w:rsid w:val="00B64E1C"/>
    <w:rsid w:val="00B6563D"/>
    <w:rsid w:val="00B65720"/>
    <w:rsid w:val="00B65BC6"/>
    <w:rsid w:val="00B65FB5"/>
    <w:rsid w:val="00B662A3"/>
    <w:rsid w:val="00B663D4"/>
    <w:rsid w:val="00B6662A"/>
    <w:rsid w:val="00B66693"/>
    <w:rsid w:val="00B6675A"/>
    <w:rsid w:val="00B67462"/>
    <w:rsid w:val="00B67A86"/>
    <w:rsid w:val="00B67C51"/>
    <w:rsid w:val="00B67DC0"/>
    <w:rsid w:val="00B67F3B"/>
    <w:rsid w:val="00B67F9A"/>
    <w:rsid w:val="00B70021"/>
    <w:rsid w:val="00B7007C"/>
    <w:rsid w:val="00B7019A"/>
    <w:rsid w:val="00B705C2"/>
    <w:rsid w:val="00B70613"/>
    <w:rsid w:val="00B706AE"/>
    <w:rsid w:val="00B707B0"/>
    <w:rsid w:val="00B70B2B"/>
    <w:rsid w:val="00B70C8E"/>
    <w:rsid w:val="00B70F56"/>
    <w:rsid w:val="00B714E6"/>
    <w:rsid w:val="00B71E76"/>
    <w:rsid w:val="00B721E4"/>
    <w:rsid w:val="00B723A2"/>
    <w:rsid w:val="00B72612"/>
    <w:rsid w:val="00B726BD"/>
    <w:rsid w:val="00B72792"/>
    <w:rsid w:val="00B72953"/>
    <w:rsid w:val="00B729A8"/>
    <w:rsid w:val="00B729CB"/>
    <w:rsid w:val="00B72BE1"/>
    <w:rsid w:val="00B72C25"/>
    <w:rsid w:val="00B733EB"/>
    <w:rsid w:val="00B74A84"/>
    <w:rsid w:val="00B752C4"/>
    <w:rsid w:val="00B75877"/>
    <w:rsid w:val="00B75ADB"/>
    <w:rsid w:val="00B76BEA"/>
    <w:rsid w:val="00B76D40"/>
    <w:rsid w:val="00B76FAA"/>
    <w:rsid w:val="00B77300"/>
    <w:rsid w:val="00B7742A"/>
    <w:rsid w:val="00B77C17"/>
    <w:rsid w:val="00B77EB3"/>
    <w:rsid w:val="00B80039"/>
    <w:rsid w:val="00B80163"/>
    <w:rsid w:val="00B80397"/>
    <w:rsid w:val="00B81867"/>
    <w:rsid w:val="00B81A51"/>
    <w:rsid w:val="00B81AE2"/>
    <w:rsid w:val="00B81EF7"/>
    <w:rsid w:val="00B8233A"/>
    <w:rsid w:val="00B828BE"/>
    <w:rsid w:val="00B829BE"/>
    <w:rsid w:val="00B82FC2"/>
    <w:rsid w:val="00B831F5"/>
    <w:rsid w:val="00B83496"/>
    <w:rsid w:val="00B83831"/>
    <w:rsid w:val="00B83A03"/>
    <w:rsid w:val="00B83F80"/>
    <w:rsid w:val="00B846DD"/>
    <w:rsid w:val="00B8474F"/>
    <w:rsid w:val="00B84765"/>
    <w:rsid w:val="00B849E3"/>
    <w:rsid w:val="00B84B86"/>
    <w:rsid w:val="00B84DD2"/>
    <w:rsid w:val="00B85F00"/>
    <w:rsid w:val="00B8607E"/>
    <w:rsid w:val="00B865F2"/>
    <w:rsid w:val="00B868AA"/>
    <w:rsid w:val="00B905A8"/>
    <w:rsid w:val="00B90BE1"/>
    <w:rsid w:val="00B90CF2"/>
    <w:rsid w:val="00B90D88"/>
    <w:rsid w:val="00B91410"/>
    <w:rsid w:val="00B91D7B"/>
    <w:rsid w:val="00B92689"/>
    <w:rsid w:val="00B92A20"/>
    <w:rsid w:val="00B92E26"/>
    <w:rsid w:val="00B92F8C"/>
    <w:rsid w:val="00B92F9D"/>
    <w:rsid w:val="00B92FF7"/>
    <w:rsid w:val="00B932B7"/>
    <w:rsid w:val="00B93535"/>
    <w:rsid w:val="00B937A5"/>
    <w:rsid w:val="00B93901"/>
    <w:rsid w:val="00B93BDC"/>
    <w:rsid w:val="00B93C8D"/>
    <w:rsid w:val="00B93D5E"/>
    <w:rsid w:val="00B93D60"/>
    <w:rsid w:val="00B93E7A"/>
    <w:rsid w:val="00B940EA"/>
    <w:rsid w:val="00B941D9"/>
    <w:rsid w:val="00B946D9"/>
    <w:rsid w:val="00B95942"/>
    <w:rsid w:val="00B95B92"/>
    <w:rsid w:val="00B95E03"/>
    <w:rsid w:val="00B95E58"/>
    <w:rsid w:val="00B95F0A"/>
    <w:rsid w:val="00B96120"/>
    <w:rsid w:val="00B9631F"/>
    <w:rsid w:val="00B96571"/>
    <w:rsid w:val="00B965EA"/>
    <w:rsid w:val="00B96668"/>
    <w:rsid w:val="00B96BF0"/>
    <w:rsid w:val="00B97195"/>
    <w:rsid w:val="00B97483"/>
    <w:rsid w:val="00B974BE"/>
    <w:rsid w:val="00B977D4"/>
    <w:rsid w:val="00B97827"/>
    <w:rsid w:val="00B978E9"/>
    <w:rsid w:val="00B97D30"/>
    <w:rsid w:val="00B97D6A"/>
    <w:rsid w:val="00B97FE6"/>
    <w:rsid w:val="00BA003E"/>
    <w:rsid w:val="00BA00D3"/>
    <w:rsid w:val="00BA04AA"/>
    <w:rsid w:val="00BA0612"/>
    <w:rsid w:val="00BA06A0"/>
    <w:rsid w:val="00BA06F4"/>
    <w:rsid w:val="00BA07AE"/>
    <w:rsid w:val="00BA0ACB"/>
    <w:rsid w:val="00BA0E20"/>
    <w:rsid w:val="00BA0F89"/>
    <w:rsid w:val="00BA0FEB"/>
    <w:rsid w:val="00BA1081"/>
    <w:rsid w:val="00BA1C58"/>
    <w:rsid w:val="00BA1DCD"/>
    <w:rsid w:val="00BA1F73"/>
    <w:rsid w:val="00BA207F"/>
    <w:rsid w:val="00BA2784"/>
    <w:rsid w:val="00BA2807"/>
    <w:rsid w:val="00BA28CC"/>
    <w:rsid w:val="00BA2B01"/>
    <w:rsid w:val="00BA2B49"/>
    <w:rsid w:val="00BA2DB9"/>
    <w:rsid w:val="00BA2F07"/>
    <w:rsid w:val="00BA306B"/>
    <w:rsid w:val="00BA3A49"/>
    <w:rsid w:val="00BA4351"/>
    <w:rsid w:val="00BA44E7"/>
    <w:rsid w:val="00BA4508"/>
    <w:rsid w:val="00BA45C2"/>
    <w:rsid w:val="00BA46E6"/>
    <w:rsid w:val="00BA4810"/>
    <w:rsid w:val="00BA488D"/>
    <w:rsid w:val="00BA54A2"/>
    <w:rsid w:val="00BA56EC"/>
    <w:rsid w:val="00BA5B4C"/>
    <w:rsid w:val="00BA5EEE"/>
    <w:rsid w:val="00BA6887"/>
    <w:rsid w:val="00BA71D2"/>
    <w:rsid w:val="00BA73EA"/>
    <w:rsid w:val="00BA7565"/>
    <w:rsid w:val="00BA7584"/>
    <w:rsid w:val="00BA797B"/>
    <w:rsid w:val="00BA7CD4"/>
    <w:rsid w:val="00BB0515"/>
    <w:rsid w:val="00BB055E"/>
    <w:rsid w:val="00BB0979"/>
    <w:rsid w:val="00BB0AA7"/>
    <w:rsid w:val="00BB0BAD"/>
    <w:rsid w:val="00BB0CA8"/>
    <w:rsid w:val="00BB0E64"/>
    <w:rsid w:val="00BB153C"/>
    <w:rsid w:val="00BB1591"/>
    <w:rsid w:val="00BB1909"/>
    <w:rsid w:val="00BB1A3B"/>
    <w:rsid w:val="00BB1FB4"/>
    <w:rsid w:val="00BB2610"/>
    <w:rsid w:val="00BB2826"/>
    <w:rsid w:val="00BB29CF"/>
    <w:rsid w:val="00BB2D84"/>
    <w:rsid w:val="00BB3331"/>
    <w:rsid w:val="00BB3450"/>
    <w:rsid w:val="00BB3CD5"/>
    <w:rsid w:val="00BB3D14"/>
    <w:rsid w:val="00BB41F3"/>
    <w:rsid w:val="00BB43CD"/>
    <w:rsid w:val="00BB46C6"/>
    <w:rsid w:val="00BB4829"/>
    <w:rsid w:val="00BB4976"/>
    <w:rsid w:val="00BB49AC"/>
    <w:rsid w:val="00BB49E4"/>
    <w:rsid w:val="00BB4ADD"/>
    <w:rsid w:val="00BB4DBD"/>
    <w:rsid w:val="00BB4F76"/>
    <w:rsid w:val="00BB531F"/>
    <w:rsid w:val="00BB5616"/>
    <w:rsid w:val="00BB5A92"/>
    <w:rsid w:val="00BB5BE3"/>
    <w:rsid w:val="00BB5D29"/>
    <w:rsid w:val="00BB5D55"/>
    <w:rsid w:val="00BB62E0"/>
    <w:rsid w:val="00BB6329"/>
    <w:rsid w:val="00BB65F9"/>
    <w:rsid w:val="00BB6713"/>
    <w:rsid w:val="00BB6970"/>
    <w:rsid w:val="00BB700E"/>
    <w:rsid w:val="00BB7325"/>
    <w:rsid w:val="00BB74C5"/>
    <w:rsid w:val="00BB781B"/>
    <w:rsid w:val="00BB7CE9"/>
    <w:rsid w:val="00BB7D31"/>
    <w:rsid w:val="00BC01B4"/>
    <w:rsid w:val="00BC0429"/>
    <w:rsid w:val="00BC0915"/>
    <w:rsid w:val="00BC0D66"/>
    <w:rsid w:val="00BC125B"/>
    <w:rsid w:val="00BC13DE"/>
    <w:rsid w:val="00BC1566"/>
    <w:rsid w:val="00BC1B76"/>
    <w:rsid w:val="00BC21FA"/>
    <w:rsid w:val="00BC24CC"/>
    <w:rsid w:val="00BC3D25"/>
    <w:rsid w:val="00BC420C"/>
    <w:rsid w:val="00BC4BDB"/>
    <w:rsid w:val="00BC4C95"/>
    <w:rsid w:val="00BC4DF7"/>
    <w:rsid w:val="00BC5053"/>
    <w:rsid w:val="00BC515D"/>
    <w:rsid w:val="00BC53E9"/>
    <w:rsid w:val="00BC54C5"/>
    <w:rsid w:val="00BC553D"/>
    <w:rsid w:val="00BC56CD"/>
    <w:rsid w:val="00BC56D3"/>
    <w:rsid w:val="00BC58B9"/>
    <w:rsid w:val="00BC5918"/>
    <w:rsid w:val="00BC5961"/>
    <w:rsid w:val="00BC5996"/>
    <w:rsid w:val="00BC5A87"/>
    <w:rsid w:val="00BC5D7A"/>
    <w:rsid w:val="00BC5EB3"/>
    <w:rsid w:val="00BC5ED6"/>
    <w:rsid w:val="00BC5F01"/>
    <w:rsid w:val="00BC5F76"/>
    <w:rsid w:val="00BC5F99"/>
    <w:rsid w:val="00BC6213"/>
    <w:rsid w:val="00BC6452"/>
    <w:rsid w:val="00BC69B2"/>
    <w:rsid w:val="00BC6BBC"/>
    <w:rsid w:val="00BC6FE5"/>
    <w:rsid w:val="00BC73A4"/>
    <w:rsid w:val="00BC7440"/>
    <w:rsid w:val="00BC778F"/>
    <w:rsid w:val="00BC7E75"/>
    <w:rsid w:val="00BC7F67"/>
    <w:rsid w:val="00BD0243"/>
    <w:rsid w:val="00BD0316"/>
    <w:rsid w:val="00BD082B"/>
    <w:rsid w:val="00BD0DB8"/>
    <w:rsid w:val="00BD1319"/>
    <w:rsid w:val="00BD146D"/>
    <w:rsid w:val="00BD19F9"/>
    <w:rsid w:val="00BD1B17"/>
    <w:rsid w:val="00BD1CBB"/>
    <w:rsid w:val="00BD1F33"/>
    <w:rsid w:val="00BD2091"/>
    <w:rsid w:val="00BD23A6"/>
    <w:rsid w:val="00BD24DE"/>
    <w:rsid w:val="00BD25EE"/>
    <w:rsid w:val="00BD27D7"/>
    <w:rsid w:val="00BD2B29"/>
    <w:rsid w:val="00BD2D16"/>
    <w:rsid w:val="00BD2D76"/>
    <w:rsid w:val="00BD314C"/>
    <w:rsid w:val="00BD3331"/>
    <w:rsid w:val="00BD343B"/>
    <w:rsid w:val="00BD3661"/>
    <w:rsid w:val="00BD3667"/>
    <w:rsid w:val="00BD37F3"/>
    <w:rsid w:val="00BD3914"/>
    <w:rsid w:val="00BD3D05"/>
    <w:rsid w:val="00BD42C4"/>
    <w:rsid w:val="00BD442A"/>
    <w:rsid w:val="00BD466A"/>
    <w:rsid w:val="00BD49F8"/>
    <w:rsid w:val="00BD4AFB"/>
    <w:rsid w:val="00BD4BED"/>
    <w:rsid w:val="00BD4DD4"/>
    <w:rsid w:val="00BD4F0D"/>
    <w:rsid w:val="00BD5203"/>
    <w:rsid w:val="00BD556F"/>
    <w:rsid w:val="00BD58BE"/>
    <w:rsid w:val="00BD5CA0"/>
    <w:rsid w:val="00BD60D1"/>
    <w:rsid w:val="00BD615F"/>
    <w:rsid w:val="00BD6234"/>
    <w:rsid w:val="00BD62CD"/>
    <w:rsid w:val="00BD63D0"/>
    <w:rsid w:val="00BD64B7"/>
    <w:rsid w:val="00BD6765"/>
    <w:rsid w:val="00BD7282"/>
    <w:rsid w:val="00BD749A"/>
    <w:rsid w:val="00BD76EC"/>
    <w:rsid w:val="00BD7752"/>
    <w:rsid w:val="00BD7B5B"/>
    <w:rsid w:val="00BD7EB9"/>
    <w:rsid w:val="00BD7F60"/>
    <w:rsid w:val="00BE018C"/>
    <w:rsid w:val="00BE0B7B"/>
    <w:rsid w:val="00BE0F32"/>
    <w:rsid w:val="00BE11B9"/>
    <w:rsid w:val="00BE1485"/>
    <w:rsid w:val="00BE14D7"/>
    <w:rsid w:val="00BE1713"/>
    <w:rsid w:val="00BE1895"/>
    <w:rsid w:val="00BE2146"/>
    <w:rsid w:val="00BE22A7"/>
    <w:rsid w:val="00BE2ACE"/>
    <w:rsid w:val="00BE2DE6"/>
    <w:rsid w:val="00BE2E56"/>
    <w:rsid w:val="00BE30BE"/>
    <w:rsid w:val="00BE30E5"/>
    <w:rsid w:val="00BE3877"/>
    <w:rsid w:val="00BE3B59"/>
    <w:rsid w:val="00BE4636"/>
    <w:rsid w:val="00BE4AAF"/>
    <w:rsid w:val="00BE5040"/>
    <w:rsid w:val="00BE592B"/>
    <w:rsid w:val="00BE599D"/>
    <w:rsid w:val="00BE5D06"/>
    <w:rsid w:val="00BE5E6F"/>
    <w:rsid w:val="00BE5F25"/>
    <w:rsid w:val="00BE5FB9"/>
    <w:rsid w:val="00BE61F2"/>
    <w:rsid w:val="00BE6228"/>
    <w:rsid w:val="00BE626B"/>
    <w:rsid w:val="00BE64CB"/>
    <w:rsid w:val="00BE674D"/>
    <w:rsid w:val="00BE6E55"/>
    <w:rsid w:val="00BE7148"/>
    <w:rsid w:val="00BE71AC"/>
    <w:rsid w:val="00BE751B"/>
    <w:rsid w:val="00BE754D"/>
    <w:rsid w:val="00BE77AB"/>
    <w:rsid w:val="00BE7896"/>
    <w:rsid w:val="00BE7E13"/>
    <w:rsid w:val="00BE7EC3"/>
    <w:rsid w:val="00BF07C3"/>
    <w:rsid w:val="00BF07F0"/>
    <w:rsid w:val="00BF0BE1"/>
    <w:rsid w:val="00BF0CFB"/>
    <w:rsid w:val="00BF10A0"/>
    <w:rsid w:val="00BF12AA"/>
    <w:rsid w:val="00BF15ED"/>
    <w:rsid w:val="00BF19D5"/>
    <w:rsid w:val="00BF1A5C"/>
    <w:rsid w:val="00BF1AA2"/>
    <w:rsid w:val="00BF25E9"/>
    <w:rsid w:val="00BF275F"/>
    <w:rsid w:val="00BF2982"/>
    <w:rsid w:val="00BF2A64"/>
    <w:rsid w:val="00BF2B77"/>
    <w:rsid w:val="00BF2F56"/>
    <w:rsid w:val="00BF39B4"/>
    <w:rsid w:val="00BF3E28"/>
    <w:rsid w:val="00BF3E45"/>
    <w:rsid w:val="00BF3E4C"/>
    <w:rsid w:val="00BF4194"/>
    <w:rsid w:val="00BF41F0"/>
    <w:rsid w:val="00BF4212"/>
    <w:rsid w:val="00BF4263"/>
    <w:rsid w:val="00BF4939"/>
    <w:rsid w:val="00BF4D92"/>
    <w:rsid w:val="00BF4DEF"/>
    <w:rsid w:val="00BF4E08"/>
    <w:rsid w:val="00BF4F32"/>
    <w:rsid w:val="00BF54B9"/>
    <w:rsid w:val="00BF5795"/>
    <w:rsid w:val="00BF5DA4"/>
    <w:rsid w:val="00BF5DF2"/>
    <w:rsid w:val="00BF66F2"/>
    <w:rsid w:val="00BF690F"/>
    <w:rsid w:val="00BF6BD8"/>
    <w:rsid w:val="00BF701A"/>
    <w:rsid w:val="00BF70D2"/>
    <w:rsid w:val="00BF7257"/>
    <w:rsid w:val="00BF7980"/>
    <w:rsid w:val="00BF7CEE"/>
    <w:rsid w:val="00BF7FCC"/>
    <w:rsid w:val="00C000BC"/>
    <w:rsid w:val="00C00151"/>
    <w:rsid w:val="00C001F9"/>
    <w:rsid w:val="00C0033B"/>
    <w:rsid w:val="00C004A2"/>
    <w:rsid w:val="00C00753"/>
    <w:rsid w:val="00C00C37"/>
    <w:rsid w:val="00C00C97"/>
    <w:rsid w:val="00C02472"/>
    <w:rsid w:val="00C027B8"/>
    <w:rsid w:val="00C0299E"/>
    <w:rsid w:val="00C02CD0"/>
    <w:rsid w:val="00C02DAA"/>
    <w:rsid w:val="00C02E2F"/>
    <w:rsid w:val="00C03331"/>
    <w:rsid w:val="00C03C1B"/>
    <w:rsid w:val="00C03D98"/>
    <w:rsid w:val="00C04025"/>
    <w:rsid w:val="00C043A8"/>
    <w:rsid w:val="00C04635"/>
    <w:rsid w:val="00C0488D"/>
    <w:rsid w:val="00C05415"/>
    <w:rsid w:val="00C05659"/>
    <w:rsid w:val="00C056AE"/>
    <w:rsid w:val="00C0588F"/>
    <w:rsid w:val="00C06207"/>
    <w:rsid w:val="00C06564"/>
    <w:rsid w:val="00C065C8"/>
    <w:rsid w:val="00C06B80"/>
    <w:rsid w:val="00C06D2A"/>
    <w:rsid w:val="00C06DDE"/>
    <w:rsid w:val="00C06EE1"/>
    <w:rsid w:val="00C0701C"/>
    <w:rsid w:val="00C0723E"/>
    <w:rsid w:val="00C07534"/>
    <w:rsid w:val="00C075E1"/>
    <w:rsid w:val="00C07A3B"/>
    <w:rsid w:val="00C07A89"/>
    <w:rsid w:val="00C07B1F"/>
    <w:rsid w:val="00C07DA1"/>
    <w:rsid w:val="00C102E3"/>
    <w:rsid w:val="00C103D9"/>
    <w:rsid w:val="00C10975"/>
    <w:rsid w:val="00C10C49"/>
    <w:rsid w:val="00C10EBE"/>
    <w:rsid w:val="00C11228"/>
    <w:rsid w:val="00C11251"/>
    <w:rsid w:val="00C114AD"/>
    <w:rsid w:val="00C11511"/>
    <w:rsid w:val="00C11A9A"/>
    <w:rsid w:val="00C11C8E"/>
    <w:rsid w:val="00C11EC3"/>
    <w:rsid w:val="00C122E6"/>
    <w:rsid w:val="00C12843"/>
    <w:rsid w:val="00C12B68"/>
    <w:rsid w:val="00C12B6C"/>
    <w:rsid w:val="00C12FE9"/>
    <w:rsid w:val="00C1324B"/>
    <w:rsid w:val="00C14131"/>
    <w:rsid w:val="00C1413F"/>
    <w:rsid w:val="00C14A0D"/>
    <w:rsid w:val="00C14E5D"/>
    <w:rsid w:val="00C15064"/>
    <w:rsid w:val="00C1522A"/>
    <w:rsid w:val="00C154AA"/>
    <w:rsid w:val="00C15833"/>
    <w:rsid w:val="00C15871"/>
    <w:rsid w:val="00C15905"/>
    <w:rsid w:val="00C15A0A"/>
    <w:rsid w:val="00C15CA2"/>
    <w:rsid w:val="00C15D76"/>
    <w:rsid w:val="00C1600A"/>
    <w:rsid w:val="00C16319"/>
    <w:rsid w:val="00C16DA9"/>
    <w:rsid w:val="00C16FED"/>
    <w:rsid w:val="00C17918"/>
    <w:rsid w:val="00C20089"/>
    <w:rsid w:val="00C20121"/>
    <w:rsid w:val="00C20581"/>
    <w:rsid w:val="00C2079C"/>
    <w:rsid w:val="00C20801"/>
    <w:rsid w:val="00C210E6"/>
    <w:rsid w:val="00C2119C"/>
    <w:rsid w:val="00C21204"/>
    <w:rsid w:val="00C21B17"/>
    <w:rsid w:val="00C21DAA"/>
    <w:rsid w:val="00C21F10"/>
    <w:rsid w:val="00C21F61"/>
    <w:rsid w:val="00C22240"/>
    <w:rsid w:val="00C2291A"/>
    <w:rsid w:val="00C22A73"/>
    <w:rsid w:val="00C22C68"/>
    <w:rsid w:val="00C2309D"/>
    <w:rsid w:val="00C234E0"/>
    <w:rsid w:val="00C23ACD"/>
    <w:rsid w:val="00C2437C"/>
    <w:rsid w:val="00C244E2"/>
    <w:rsid w:val="00C24B8C"/>
    <w:rsid w:val="00C250A6"/>
    <w:rsid w:val="00C2524E"/>
    <w:rsid w:val="00C2530D"/>
    <w:rsid w:val="00C2576C"/>
    <w:rsid w:val="00C2599D"/>
    <w:rsid w:val="00C25A31"/>
    <w:rsid w:val="00C25B89"/>
    <w:rsid w:val="00C25F98"/>
    <w:rsid w:val="00C2627B"/>
    <w:rsid w:val="00C26C67"/>
    <w:rsid w:val="00C26FED"/>
    <w:rsid w:val="00C2726E"/>
    <w:rsid w:val="00C2736D"/>
    <w:rsid w:val="00C27AB4"/>
    <w:rsid w:val="00C3015C"/>
    <w:rsid w:val="00C302FD"/>
    <w:rsid w:val="00C3057F"/>
    <w:rsid w:val="00C310DA"/>
    <w:rsid w:val="00C310E9"/>
    <w:rsid w:val="00C3112F"/>
    <w:rsid w:val="00C3182F"/>
    <w:rsid w:val="00C318B0"/>
    <w:rsid w:val="00C31906"/>
    <w:rsid w:val="00C31A75"/>
    <w:rsid w:val="00C31B9F"/>
    <w:rsid w:val="00C31E8E"/>
    <w:rsid w:val="00C32121"/>
    <w:rsid w:val="00C32298"/>
    <w:rsid w:val="00C3291E"/>
    <w:rsid w:val="00C32971"/>
    <w:rsid w:val="00C32AF3"/>
    <w:rsid w:val="00C32BC2"/>
    <w:rsid w:val="00C330B6"/>
    <w:rsid w:val="00C33463"/>
    <w:rsid w:val="00C33937"/>
    <w:rsid w:val="00C33B23"/>
    <w:rsid w:val="00C33BF8"/>
    <w:rsid w:val="00C33D1C"/>
    <w:rsid w:val="00C33F12"/>
    <w:rsid w:val="00C34311"/>
    <w:rsid w:val="00C3441A"/>
    <w:rsid w:val="00C34608"/>
    <w:rsid w:val="00C34937"/>
    <w:rsid w:val="00C349E7"/>
    <w:rsid w:val="00C34DCD"/>
    <w:rsid w:val="00C34E67"/>
    <w:rsid w:val="00C3505C"/>
    <w:rsid w:val="00C35346"/>
    <w:rsid w:val="00C35D60"/>
    <w:rsid w:val="00C36387"/>
    <w:rsid w:val="00C364CA"/>
    <w:rsid w:val="00C36B71"/>
    <w:rsid w:val="00C36CF7"/>
    <w:rsid w:val="00C36D20"/>
    <w:rsid w:val="00C36EF7"/>
    <w:rsid w:val="00C37260"/>
    <w:rsid w:val="00C379D5"/>
    <w:rsid w:val="00C40005"/>
    <w:rsid w:val="00C407AA"/>
    <w:rsid w:val="00C409AE"/>
    <w:rsid w:val="00C40A35"/>
    <w:rsid w:val="00C40ACF"/>
    <w:rsid w:val="00C412BE"/>
    <w:rsid w:val="00C415EE"/>
    <w:rsid w:val="00C4188D"/>
    <w:rsid w:val="00C418E0"/>
    <w:rsid w:val="00C41ADA"/>
    <w:rsid w:val="00C4233F"/>
    <w:rsid w:val="00C42402"/>
    <w:rsid w:val="00C42891"/>
    <w:rsid w:val="00C4290F"/>
    <w:rsid w:val="00C42A50"/>
    <w:rsid w:val="00C42A71"/>
    <w:rsid w:val="00C42D47"/>
    <w:rsid w:val="00C42DE3"/>
    <w:rsid w:val="00C4316C"/>
    <w:rsid w:val="00C43171"/>
    <w:rsid w:val="00C433E6"/>
    <w:rsid w:val="00C43C13"/>
    <w:rsid w:val="00C43C22"/>
    <w:rsid w:val="00C4422C"/>
    <w:rsid w:val="00C4474F"/>
    <w:rsid w:val="00C44827"/>
    <w:rsid w:val="00C44BEE"/>
    <w:rsid w:val="00C44C39"/>
    <w:rsid w:val="00C44FA4"/>
    <w:rsid w:val="00C45A9D"/>
    <w:rsid w:val="00C45E95"/>
    <w:rsid w:val="00C45F28"/>
    <w:rsid w:val="00C46333"/>
    <w:rsid w:val="00C473B1"/>
    <w:rsid w:val="00C47E43"/>
    <w:rsid w:val="00C508BB"/>
    <w:rsid w:val="00C50A65"/>
    <w:rsid w:val="00C50DC4"/>
    <w:rsid w:val="00C51116"/>
    <w:rsid w:val="00C511B7"/>
    <w:rsid w:val="00C514B7"/>
    <w:rsid w:val="00C51740"/>
    <w:rsid w:val="00C51CD8"/>
    <w:rsid w:val="00C51E7D"/>
    <w:rsid w:val="00C51F28"/>
    <w:rsid w:val="00C51FFE"/>
    <w:rsid w:val="00C521FD"/>
    <w:rsid w:val="00C522EC"/>
    <w:rsid w:val="00C5265B"/>
    <w:rsid w:val="00C52746"/>
    <w:rsid w:val="00C52806"/>
    <w:rsid w:val="00C5296B"/>
    <w:rsid w:val="00C52B11"/>
    <w:rsid w:val="00C52C1A"/>
    <w:rsid w:val="00C52C8B"/>
    <w:rsid w:val="00C52E58"/>
    <w:rsid w:val="00C53042"/>
    <w:rsid w:val="00C53079"/>
    <w:rsid w:val="00C53503"/>
    <w:rsid w:val="00C5358F"/>
    <w:rsid w:val="00C53A45"/>
    <w:rsid w:val="00C53CD6"/>
    <w:rsid w:val="00C53F9E"/>
    <w:rsid w:val="00C541B7"/>
    <w:rsid w:val="00C544BD"/>
    <w:rsid w:val="00C5471E"/>
    <w:rsid w:val="00C549E7"/>
    <w:rsid w:val="00C54CB9"/>
    <w:rsid w:val="00C54CF3"/>
    <w:rsid w:val="00C55250"/>
    <w:rsid w:val="00C559C0"/>
    <w:rsid w:val="00C559F3"/>
    <w:rsid w:val="00C55E9C"/>
    <w:rsid w:val="00C5699F"/>
    <w:rsid w:val="00C56B97"/>
    <w:rsid w:val="00C56BA3"/>
    <w:rsid w:val="00C56EC3"/>
    <w:rsid w:val="00C57001"/>
    <w:rsid w:val="00C5700F"/>
    <w:rsid w:val="00C57179"/>
    <w:rsid w:val="00C57192"/>
    <w:rsid w:val="00C573C4"/>
    <w:rsid w:val="00C57525"/>
    <w:rsid w:val="00C57559"/>
    <w:rsid w:val="00C606C6"/>
    <w:rsid w:val="00C6070F"/>
    <w:rsid w:val="00C60C13"/>
    <w:rsid w:val="00C61368"/>
    <w:rsid w:val="00C617DC"/>
    <w:rsid w:val="00C6193D"/>
    <w:rsid w:val="00C61D2E"/>
    <w:rsid w:val="00C62059"/>
    <w:rsid w:val="00C62C16"/>
    <w:rsid w:val="00C62DCE"/>
    <w:rsid w:val="00C632C1"/>
    <w:rsid w:val="00C63391"/>
    <w:rsid w:val="00C637E9"/>
    <w:rsid w:val="00C63868"/>
    <w:rsid w:val="00C63DC2"/>
    <w:rsid w:val="00C64018"/>
    <w:rsid w:val="00C642F1"/>
    <w:rsid w:val="00C64434"/>
    <w:rsid w:val="00C64BE2"/>
    <w:rsid w:val="00C64C7C"/>
    <w:rsid w:val="00C64D89"/>
    <w:rsid w:val="00C6550E"/>
    <w:rsid w:val="00C656E7"/>
    <w:rsid w:val="00C658EE"/>
    <w:rsid w:val="00C65A0B"/>
    <w:rsid w:val="00C65A93"/>
    <w:rsid w:val="00C66448"/>
    <w:rsid w:val="00C667A4"/>
    <w:rsid w:val="00C66E5D"/>
    <w:rsid w:val="00C66FF9"/>
    <w:rsid w:val="00C67201"/>
    <w:rsid w:val="00C672AF"/>
    <w:rsid w:val="00C67371"/>
    <w:rsid w:val="00C67599"/>
    <w:rsid w:val="00C676A8"/>
    <w:rsid w:val="00C67775"/>
    <w:rsid w:val="00C67A1C"/>
    <w:rsid w:val="00C67C88"/>
    <w:rsid w:val="00C701A7"/>
    <w:rsid w:val="00C702BF"/>
    <w:rsid w:val="00C704EB"/>
    <w:rsid w:val="00C704F1"/>
    <w:rsid w:val="00C7100E"/>
    <w:rsid w:val="00C714E6"/>
    <w:rsid w:val="00C715E2"/>
    <w:rsid w:val="00C716DF"/>
    <w:rsid w:val="00C71823"/>
    <w:rsid w:val="00C71C4E"/>
    <w:rsid w:val="00C720EF"/>
    <w:rsid w:val="00C72990"/>
    <w:rsid w:val="00C72EC1"/>
    <w:rsid w:val="00C7308D"/>
    <w:rsid w:val="00C730AD"/>
    <w:rsid w:val="00C73AE4"/>
    <w:rsid w:val="00C73E95"/>
    <w:rsid w:val="00C74614"/>
    <w:rsid w:val="00C74945"/>
    <w:rsid w:val="00C7545E"/>
    <w:rsid w:val="00C75585"/>
    <w:rsid w:val="00C75700"/>
    <w:rsid w:val="00C75929"/>
    <w:rsid w:val="00C75939"/>
    <w:rsid w:val="00C75DCC"/>
    <w:rsid w:val="00C7624C"/>
    <w:rsid w:val="00C7687F"/>
    <w:rsid w:val="00C76B57"/>
    <w:rsid w:val="00C77066"/>
    <w:rsid w:val="00C77F43"/>
    <w:rsid w:val="00C801C9"/>
    <w:rsid w:val="00C80A96"/>
    <w:rsid w:val="00C80FE0"/>
    <w:rsid w:val="00C81591"/>
    <w:rsid w:val="00C81636"/>
    <w:rsid w:val="00C81915"/>
    <w:rsid w:val="00C819E4"/>
    <w:rsid w:val="00C81A22"/>
    <w:rsid w:val="00C8237F"/>
    <w:rsid w:val="00C826C9"/>
    <w:rsid w:val="00C82BE7"/>
    <w:rsid w:val="00C82E90"/>
    <w:rsid w:val="00C8378A"/>
    <w:rsid w:val="00C8387B"/>
    <w:rsid w:val="00C83954"/>
    <w:rsid w:val="00C8457D"/>
    <w:rsid w:val="00C845F2"/>
    <w:rsid w:val="00C84754"/>
    <w:rsid w:val="00C84AC6"/>
    <w:rsid w:val="00C84CD7"/>
    <w:rsid w:val="00C84D67"/>
    <w:rsid w:val="00C8508C"/>
    <w:rsid w:val="00C85EE6"/>
    <w:rsid w:val="00C85F20"/>
    <w:rsid w:val="00C86102"/>
    <w:rsid w:val="00C861B3"/>
    <w:rsid w:val="00C86227"/>
    <w:rsid w:val="00C8626B"/>
    <w:rsid w:val="00C8675D"/>
    <w:rsid w:val="00C87501"/>
    <w:rsid w:val="00C87562"/>
    <w:rsid w:val="00C87827"/>
    <w:rsid w:val="00C90198"/>
    <w:rsid w:val="00C90806"/>
    <w:rsid w:val="00C90A06"/>
    <w:rsid w:val="00C90B63"/>
    <w:rsid w:val="00C90C69"/>
    <w:rsid w:val="00C912C2"/>
    <w:rsid w:val="00C91B8C"/>
    <w:rsid w:val="00C92235"/>
    <w:rsid w:val="00C92297"/>
    <w:rsid w:val="00C924C1"/>
    <w:rsid w:val="00C92504"/>
    <w:rsid w:val="00C92536"/>
    <w:rsid w:val="00C92ED6"/>
    <w:rsid w:val="00C92FDC"/>
    <w:rsid w:val="00C932ED"/>
    <w:rsid w:val="00C93A64"/>
    <w:rsid w:val="00C93EDE"/>
    <w:rsid w:val="00C93FBA"/>
    <w:rsid w:val="00C9414D"/>
    <w:rsid w:val="00C9469C"/>
    <w:rsid w:val="00C94C49"/>
    <w:rsid w:val="00C94C79"/>
    <w:rsid w:val="00C952DC"/>
    <w:rsid w:val="00C9536E"/>
    <w:rsid w:val="00C9537C"/>
    <w:rsid w:val="00C956CD"/>
    <w:rsid w:val="00C96162"/>
    <w:rsid w:val="00C96398"/>
    <w:rsid w:val="00C96597"/>
    <w:rsid w:val="00C96800"/>
    <w:rsid w:val="00C96896"/>
    <w:rsid w:val="00C96B78"/>
    <w:rsid w:val="00C96DBE"/>
    <w:rsid w:val="00C96E76"/>
    <w:rsid w:val="00C9714D"/>
    <w:rsid w:val="00C977F0"/>
    <w:rsid w:val="00C97A68"/>
    <w:rsid w:val="00C97D54"/>
    <w:rsid w:val="00CA04E6"/>
    <w:rsid w:val="00CA08B1"/>
    <w:rsid w:val="00CA08D3"/>
    <w:rsid w:val="00CA0969"/>
    <w:rsid w:val="00CA0A85"/>
    <w:rsid w:val="00CA0ADD"/>
    <w:rsid w:val="00CA0B23"/>
    <w:rsid w:val="00CA0C00"/>
    <w:rsid w:val="00CA0C2C"/>
    <w:rsid w:val="00CA1172"/>
    <w:rsid w:val="00CA145E"/>
    <w:rsid w:val="00CA2020"/>
    <w:rsid w:val="00CA253D"/>
    <w:rsid w:val="00CA2EC4"/>
    <w:rsid w:val="00CA3156"/>
    <w:rsid w:val="00CA33EB"/>
    <w:rsid w:val="00CA3552"/>
    <w:rsid w:val="00CA3771"/>
    <w:rsid w:val="00CA37EA"/>
    <w:rsid w:val="00CA38CF"/>
    <w:rsid w:val="00CA39A4"/>
    <w:rsid w:val="00CA3EE7"/>
    <w:rsid w:val="00CA3EF2"/>
    <w:rsid w:val="00CA3F2F"/>
    <w:rsid w:val="00CA41D7"/>
    <w:rsid w:val="00CA41DF"/>
    <w:rsid w:val="00CA4570"/>
    <w:rsid w:val="00CA4811"/>
    <w:rsid w:val="00CA4D3B"/>
    <w:rsid w:val="00CA5758"/>
    <w:rsid w:val="00CA57F8"/>
    <w:rsid w:val="00CA59C0"/>
    <w:rsid w:val="00CA5AB1"/>
    <w:rsid w:val="00CA5AEC"/>
    <w:rsid w:val="00CA5BDB"/>
    <w:rsid w:val="00CA5D1F"/>
    <w:rsid w:val="00CA5D7E"/>
    <w:rsid w:val="00CA5E56"/>
    <w:rsid w:val="00CA65B1"/>
    <w:rsid w:val="00CA666D"/>
    <w:rsid w:val="00CA66C1"/>
    <w:rsid w:val="00CA673C"/>
    <w:rsid w:val="00CA72D2"/>
    <w:rsid w:val="00CA73A1"/>
    <w:rsid w:val="00CA7B15"/>
    <w:rsid w:val="00CA7C0F"/>
    <w:rsid w:val="00CA7CA8"/>
    <w:rsid w:val="00CA7FCD"/>
    <w:rsid w:val="00CB0693"/>
    <w:rsid w:val="00CB092D"/>
    <w:rsid w:val="00CB0CFF"/>
    <w:rsid w:val="00CB10F1"/>
    <w:rsid w:val="00CB11F7"/>
    <w:rsid w:val="00CB13E0"/>
    <w:rsid w:val="00CB178D"/>
    <w:rsid w:val="00CB1B07"/>
    <w:rsid w:val="00CB22A0"/>
    <w:rsid w:val="00CB2367"/>
    <w:rsid w:val="00CB23E5"/>
    <w:rsid w:val="00CB2A62"/>
    <w:rsid w:val="00CB307B"/>
    <w:rsid w:val="00CB3140"/>
    <w:rsid w:val="00CB3582"/>
    <w:rsid w:val="00CB361B"/>
    <w:rsid w:val="00CB373A"/>
    <w:rsid w:val="00CB3A6B"/>
    <w:rsid w:val="00CB3CDB"/>
    <w:rsid w:val="00CB3D58"/>
    <w:rsid w:val="00CB41BA"/>
    <w:rsid w:val="00CB4221"/>
    <w:rsid w:val="00CB4263"/>
    <w:rsid w:val="00CB4290"/>
    <w:rsid w:val="00CB4581"/>
    <w:rsid w:val="00CB473D"/>
    <w:rsid w:val="00CB497C"/>
    <w:rsid w:val="00CB4AE7"/>
    <w:rsid w:val="00CB4C6B"/>
    <w:rsid w:val="00CB4CB1"/>
    <w:rsid w:val="00CB5FE9"/>
    <w:rsid w:val="00CB64F1"/>
    <w:rsid w:val="00CB65B7"/>
    <w:rsid w:val="00CB67BA"/>
    <w:rsid w:val="00CB7253"/>
    <w:rsid w:val="00CB72ED"/>
    <w:rsid w:val="00CB75A6"/>
    <w:rsid w:val="00CB7A3C"/>
    <w:rsid w:val="00CB7CCB"/>
    <w:rsid w:val="00CB7F8B"/>
    <w:rsid w:val="00CC12A5"/>
    <w:rsid w:val="00CC1443"/>
    <w:rsid w:val="00CC189D"/>
    <w:rsid w:val="00CC1B4D"/>
    <w:rsid w:val="00CC1D4A"/>
    <w:rsid w:val="00CC1E12"/>
    <w:rsid w:val="00CC20FB"/>
    <w:rsid w:val="00CC271E"/>
    <w:rsid w:val="00CC30E4"/>
    <w:rsid w:val="00CC3257"/>
    <w:rsid w:val="00CC35C2"/>
    <w:rsid w:val="00CC35DE"/>
    <w:rsid w:val="00CC3715"/>
    <w:rsid w:val="00CC3CF6"/>
    <w:rsid w:val="00CC3FF0"/>
    <w:rsid w:val="00CC4014"/>
    <w:rsid w:val="00CC4602"/>
    <w:rsid w:val="00CC47D3"/>
    <w:rsid w:val="00CC4B9D"/>
    <w:rsid w:val="00CC583B"/>
    <w:rsid w:val="00CC5F74"/>
    <w:rsid w:val="00CC5FEC"/>
    <w:rsid w:val="00CC650A"/>
    <w:rsid w:val="00CC6716"/>
    <w:rsid w:val="00CC6AD2"/>
    <w:rsid w:val="00CC7BE3"/>
    <w:rsid w:val="00CD00DA"/>
    <w:rsid w:val="00CD06E7"/>
    <w:rsid w:val="00CD0C26"/>
    <w:rsid w:val="00CD1431"/>
    <w:rsid w:val="00CD1500"/>
    <w:rsid w:val="00CD16C0"/>
    <w:rsid w:val="00CD199D"/>
    <w:rsid w:val="00CD1B02"/>
    <w:rsid w:val="00CD2121"/>
    <w:rsid w:val="00CD2B24"/>
    <w:rsid w:val="00CD2D5F"/>
    <w:rsid w:val="00CD340D"/>
    <w:rsid w:val="00CD3ADE"/>
    <w:rsid w:val="00CD3C33"/>
    <w:rsid w:val="00CD3CFA"/>
    <w:rsid w:val="00CD4128"/>
    <w:rsid w:val="00CD4746"/>
    <w:rsid w:val="00CD4B61"/>
    <w:rsid w:val="00CD4D3E"/>
    <w:rsid w:val="00CD5765"/>
    <w:rsid w:val="00CD58AF"/>
    <w:rsid w:val="00CD643E"/>
    <w:rsid w:val="00CD743E"/>
    <w:rsid w:val="00CD7EA0"/>
    <w:rsid w:val="00CE03FB"/>
    <w:rsid w:val="00CE048A"/>
    <w:rsid w:val="00CE0A62"/>
    <w:rsid w:val="00CE0DB4"/>
    <w:rsid w:val="00CE11B9"/>
    <w:rsid w:val="00CE1919"/>
    <w:rsid w:val="00CE192A"/>
    <w:rsid w:val="00CE1CB4"/>
    <w:rsid w:val="00CE1EB4"/>
    <w:rsid w:val="00CE2642"/>
    <w:rsid w:val="00CE29AE"/>
    <w:rsid w:val="00CE29FB"/>
    <w:rsid w:val="00CE2AD6"/>
    <w:rsid w:val="00CE30A9"/>
    <w:rsid w:val="00CE3494"/>
    <w:rsid w:val="00CE3505"/>
    <w:rsid w:val="00CE3933"/>
    <w:rsid w:val="00CE3A32"/>
    <w:rsid w:val="00CE43C0"/>
    <w:rsid w:val="00CE440F"/>
    <w:rsid w:val="00CE482E"/>
    <w:rsid w:val="00CE4A09"/>
    <w:rsid w:val="00CE4B33"/>
    <w:rsid w:val="00CE5A5C"/>
    <w:rsid w:val="00CE6019"/>
    <w:rsid w:val="00CE62E0"/>
    <w:rsid w:val="00CE639A"/>
    <w:rsid w:val="00CE681C"/>
    <w:rsid w:val="00CE6846"/>
    <w:rsid w:val="00CE691C"/>
    <w:rsid w:val="00CE6A5E"/>
    <w:rsid w:val="00CE6FE4"/>
    <w:rsid w:val="00CE702B"/>
    <w:rsid w:val="00CE7067"/>
    <w:rsid w:val="00CE7322"/>
    <w:rsid w:val="00CE7352"/>
    <w:rsid w:val="00CE7395"/>
    <w:rsid w:val="00CE7484"/>
    <w:rsid w:val="00CE76A7"/>
    <w:rsid w:val="00CE796D"/>
    <w:rsid w:val="00CE7A2D"/>
    <w:rsid w:val="00CE7B8C"/>
    <w:rsid w:val="00CE7C8F"/>
    <w:rsid w:val="00CF003A"/>
    <w:rsid w:val="00CF0466"/>
    <w:rsid w:val="00CF081B"/>
    <w:rsid w:val="00CF08D8"/>
    <w:rsid w:val="00CF130B"/>
    <w:rsid w:val="00CF131C"/>
    <w:rsid w:val="00CF1696"/>
    <w:rsid w:val="00CF16CD"/>
    <w:rsid w:val="00CF1749"/>
    <w:rsid w:val="00CF1751"/>
    <w:rsid w:val="00CF17B1"/>
    <w:rsid w:val="00CF194E"/>
    <w:rsid w:val="00CF195A"/>
    <w:rsid w:val="00CF20E7"/>
    <w:rsid w:val="00CF22C3"/>
    <w:rsid w:val="00CF2327"/>
    <w:rsid w:val="00CF2538"/>
    <w:rsid w:val="00CF31E9"/>
    <w:rsid w:val="00CF3F4E"/>
    <w:rsid w:val="00CF4493"/>
    <w:rsid w:val="00CF44C7"/>
    <w:rsid w:val="00CF463D"/>
    <w:rsid w:val="00CF4680"/>
    <w:rsid w:val="00CF491B"/>
    <w:rsid w:val="00CF4B29"/>
    <w:rsid w:val="00CF4BE0"/>
    <w:rsid w:val="00CF5358"/>
    <w:rsid w:val="00CF5AE0"/>
    <w:rsid w:val="00CF5D13"/>
    <w:rsid w:val="00CF652A"/>
    <w:rsid w:val="00CF68C9"/>
    <w:rsid w:val="00CF6F1B"/>
    <w:rsid w:val="00CF706B"/>
    <w:rsid w:val="00CF7430"/>
    <w:rsid w:val="00CF79AC"/>
    <w:rsid w:val="00CF7B21"/>
    <w:rsid w:val="00CF7E06"/>
    <w:rsid w:val="00CF7E4B"/>
    <w:rsid w:val="00D0025A"/>
    <w:rsid w:val="00D00731"/>
    <w:rsid w:val="00D00B3B"/>
    <w:rsid w:val="00D014B6"/>
    <w:rsid w:val="00D019AF"/>
    <w:rsid w:val="00D01C29"/>
    <w:rsid w:val="00D01F2C"/>
    <w:rsid w:val="00D02351"/>
    <w:rsid w:val="00D024FE"/>
    <w:rsid w:val="00D02543"/>
    <w:rsid w:val="00D02545"/>
    <w:rsid w:val="00D02CD9"/>
    <w:rsid w:val="00D02E42"/>
    <w:rsid w:val="00D02FF4"/>
    <w:rsid w:val="00D0331A"/>
    <w:rsid w:val="00D03512"/>
    <w:rsid w:val="00D039C2"/>
    <w:rsid w:val="00D03BCC"/>
    <w:rsid w:val="00D04506"/>
    <w:rsid w:val="00D04644"/>
    <w:rsid w:val="00D04751"/>
    <w:rsid w:val="00D0501F"/>
    <w:rsid w:val="00D0506D"/>
    <w:rsid w:val="00D0528F"/>
    <w:rsid w:val="00D0585A"/>
    <w:rsid w:val="00D05FB7"/>
    <w:rsid w:val="00D06479"/>
    <w:rsid w:val="00D065BF"/>
    <w:rsid w:val="00D067D6"/>
    <w:rsid w:val="00D06C0B"/>
    <w:rsid w:val="00D06C60"/>
    <w:rsid w:val="00D06FCF"/>
    <w:rsid w:val="00D07280"/>
    <w:rsid w:val="00D072F8"/>
    <w:rsid w:val="00D07431"/>
    <w:rsid w:val="00D079FD"/>
    <w:rsid w:val="00D07C04"/>
    <w:rsid w:val="00D07D84"/>
    <w:rsid w:val="00D07E67"/>
    <w:rsid w:val="00D10591"/>
    <w:rsid w:val="00D10883"/>
    <w:rsid w:val="00D10F57"/>
    <w:rsid w:val="00D10F82"/>
    <w:rsid w:val="00D11ADE"/>
    <w:rsid w:val="00D120CC"/>
    <w:rsid w:val="00D120D7"/>
    <w:rsid w:val="00D12135"/>
    <w:rsid w:val="00D122BF"/>
    <w:rsid w:val="00D12604"/>
    <w:rsid w:val="00D12B4D"/>
    <w:rsid w:val="00D12CAF"/>
    <w:rsid w:val="00D13460"/>
    <w:rsid w:val="00D13909"/>
    <w:rsid w:val="00D13F9F"/>
    <w:rsid w:val="00D140F7"/>
    <w:rsid w:val="00D14B20"/>
    <w:rsid w:val="00D14C11"/>
    <w:rsid w:val="00D15A93"/>
    <w:rsid w:val="00D15C2F"/>
    <w:rsid w:val="00D15D8E"/>
    <w:rsid w:val="00D162FC"/>
    <w:rsid w:val="00D16301"/>
    <w:rsid w:val="00D16566"/>
    <w:rsid w:val="00D1689E"/>
    <w:rsid w:val="00D16A88"/>
    <w:rsid w:val="00D16E49"/>
    <w:rsid w:val="00D16EC8"/>
    <w:rsid w:val="00D16F64"/>
    <w:rsid w:val="00D16FE2"/>
    <w:rsid w:val="00D171FD"/>
    <w:rsid w:val="00D1727B"/>
    <w:rsid w:val="00D174B8"/>
    <w:rsid w:val="00D17B48"/>
    <w:rsid w:val="00D17F11"/>
    <w:rsid w:val="00D17F3E"/>
    <w:rsid w:val="00D20036"/>
    <w:rsid w:val="00D201E4"/>
    <w:rsid w:val="00D20309"/>
    <w:rsid w:val="00D20381"/>
    <w:rsid w:val="00D2078E"/>
    <w:rsid w:val="00D208CF"/>
    <w:rsid w:val="00D2147F"/>
    <w:rsid w:val="00D216B4"/>
    <w:rsid w:val="00D216C6"/>
    <w:rsid w:val="00D21939"/>
    <w:rsid w:val="00D21DB4"/>
    <w:rsid w:val="00D21EA5"/>
    <w:rsid w:val="00D2218D"/>
    <w:rsid w:val="00D2235C"/>
    <w:rsid w:val="00D226BB"/>
    <w:rsid w:val="00D227C2"/>
    <w:rsid w:val="00D22A8A"/>
    <w:rsid w:val="00D22BB1"/>
    <w:rsid w:val="00D22BDC"/>
    <w:rsid w:val="00D22DD8"/>
    <w:rsid w:val="00D23359"/>
    <w:rsid w:val="00D235AE"/>
    <w:rsid w:val="00D23D09"/>
    <w:rsid w:val="00D242A6"/>
    <w:rsid w:val="00D24948"/>
    <w:rsid w:val="00D25582"/>
    <w:rsid w:val="00D25BCC"/>
    <w:rsid w:val="00D25C95"/>
    <w:rsid w:val="00D25FF5"/>
    <w:rsid w:val="00D26260"/>
    <w:rsid w:val="00D26378"/>
    <w:rsid w:val="00D26855"/>
    <w:rsid w:val="00D269D1"/>
    <w:rsid w:val="00D26BDE"/>
    <w:rsid w:val="00D26F2A"/>
    <w:rsid w:val="00D26F31"/>
    <w:rsid w:val="00D273F0"/>
    <w:rsid w:val="00D275C0"/>
    <w:rsid w:val="00D27681"/>
    <w:rsid w:val="00D277A0"/>
    <w:rsid w:val="00D27C20"/>
    <w:rsid w:val="00D27C28"/>
    <w:rsid w:val="00D30069"/>
    <w:rsid w:val="00D30390"/>
    <w:rsid w:val="00D303C0"/>
    <w:rsid w:val="00D304B7"/>
    <w:rsid w:val="00D307EF"/>
    <w:rsid w:val="00D31283"/>
    <w:rsid w:val="00D31584"/>
    <w:rsid w:val="00D315DD"/>
    <w:rsid w:val="00D31769"/>
    <w:rsid w:val="00D31B11"/>
    <w:rsid w:val="00D31B69"/>
    <w:rsid w:val="00D31C8E"/>
    <w:rsid w:val="00D31E71"/>
    <w:rsid w:val="00D31F22"/>
    <w:rsid w:val="00D32174"/>
    <w:rsid w:val="00D32346"/>
    <w:rsid w:val="00D32427"/>
    <w:rsid w:val="00D3252C"/>
    <w:rsid w:val="00D32765"/>
    <w:rsid w:val="00D32D42"/>
    <w:rsid w:val="00D33011"/>
    <w:rsid w:val="00D33759"/>
    <w:rsid w:val="00D3375B"/>
    <w:rsid w:val="00D33D4D"/>
    <w:rsid w:val="00D33F99"/>
    <w:rsid w:val="00D33FD7"/>
    <w:rsid w:val="00D342C5"/>
    <w:rsid w:val="00D34331"/>
    <w:rsid w:val="00D34722"/>
    <w:rsid w:val="00D34D3C"/>
    <w:rsid w:val="00D34DEC"/>
    <w:rsid w:val="00D355C4"/>
    <w:rsid w:val="00D35AB0"/>
    <w:rsid w:val="00D35E60"/>
    <w:rsid w:val="00D35EFE"/>
    <w:rsid w:val="00D36727"/>
    <w:rsid w:val="00D367FE"/>
    <w:rsid w:val="00D3681C"/>
    <w:rsid w:val="00D36FAA"/>
    <w:rsid w:val="00D3710B"/>
    <w:rsid w:val="00D37404"/>
    <w:rsid w:val="00D37412"/>
    <w:rsid w:val="00D37D28"/>
    <w:rsid w:val="00D37D2D"/>
    <w:rsid w:val="00D400B1"/>
    <w:rsid w:val="00D40359"/>
    <w:rsid w:val="00D406D0"/>
    <w:rsid w:val="00D40E16"/>
    <w:rsid w:val="00D40E4C"/>
    <w:rsid w:val="00D4120A"/>
    <w:rsid w:val="00D41481"/>
    <w:rsid w:val="00D41A27"/>
    <w:rsid w:val="00D41A8A"/>
    <w:rsid w:val="00D41CAA"/>
    <w:rsid w:val="00D41EB0"/>
    <w:rsid w:val="00D424AE"/>
    <w:rsid w:val="00D426C7"/>
    <w:rsid w:val="00D43603"/>
    <w:rsid w:val="00D43635"/>
    <w:rsid w:val="00D43814"/>
    <w:rsid w:val="00D43AE0"/>
    <w:rsid w:val="00D43D4C"/>
    <w:rsid w:val="00D44039"/>
    <w:rsid w:val="00D44184"/>
    <w:rsid w:val="00D44267"/>
    <w:rsid w:val="00D4481D"/>
    <w:rsid w:val="00D45C42"/>
    <w:rsid w:val="00D45DA8"/>
    <w:rsid w:val="00D45F2D"/>
    <w:rsid w:val="00D467C1"/>
    <w:rsid w:val="00D4706A"/>
    <w:rsid w:val="00D471C8"/>
    <w:rsid w:val="00D472F7"/>
    <w:rsid w:val="00D477C3"/>
    <w:rsid w:val="00D4786C"/>
    <w:rsid w:val="00D479AD"/>
    <w:rsid w:val="00D479B8"/>
    <w:rsid w:val="00D47A28"/>
    <w:rsid w:val="00D47F7A"/>
    <w:rsid w:val="00D50087"/>
    <w:rsid w:val="00D50128"/>
    <w:rsid w:val="00D5029C"/>
    <w:rsid w:val="00D50407"/>
    <w:rsid w:val="00D50899"/>
    <w:rsid w:val="00D50A73"/>
    <w:rsid w:val="00D50B47"/>
    <w:rsid w:val="00D50C38"/>
    <w:rsid w:val="00D50FA9"/>
    <w:rsid w:val="00D51075"/>
    <w:rsid w:val="00D512A0"/>
    <w:rsid w:val="00D51767"/>
    <w:rsid w:val="00D5192D"/>
    <w:rsid w:val="00D519A6"/>
    <w:rsid w:val="00D51BC2"/>
    <w:rsid w:val="00D52102"/>
    <w:rsid w:val="00D525D6"/>
    <w:rsid w:val="00D53243"/>
    <w:rsid w:val="00D53BC1"/>
    <w:rsid w:val="00D53D7A"/>
    <w:rsid w:val="00D53ED4"/>
    <w:rsid w:val="00D53F57"/>
    <w:rsid w:val="00D54206"/>
    <w:rsid w:val="00D55468"/>
    <w:rsid w:val="00D55BCC"/>
    <w:rsid w:val="00D55C2B"/>
    <w:rsid w:val="00D55C75"/>
    <w:rsid w:val="00D55D8D"/>
    <w:rsid w:val="00D56170"/>
    <w:rsid w:val="00D561B8"/>
    <w:rsid w:val="00D5658E"/>
    <w:rsid w:val="00D56C0C"/>
    <w:rsid w:val="00D56C3B"/>
    <w:rsid w:val="00D57014"/>
    <w:rsid w:val="00D57157"/>
    <w:rsid w:val="00D5747C"/>
    <w:rsid w:val="00D575D9"/>
    <w:rsid w:val="00D577A0"/>
    <w:rsid w:val="00D578AD"/>
    <w:rsid w:val="00D57C0D"/>
    <w:rsid w:val="00D57F77"/>
    <w:rsid w:val="00D5D430"/>
    <w:rsid w:val="00D60241"/>
    <w:rsid w:val="00D6052D"/>
    <w:rsid w:val="00D6061D"/>
    <w:rsid w:val="00D6073B"/>
    <w:rsid w:val="00D608E8"/>
    <w:rsid w:val="00D60948"/>
    <w:rsid w:val="00D60B88"/>
    <w:rsid w:val="00D60BF7"/>
    <w:rsid w:val="00D60EAC"/>
    <w:rsid w:val="00D60ED7"/>
    <w:rsid w:val="00D61A4A"/>
    <w:rsid w:val="00D620BD"/>
    <w:rsid w:val="00D6251B"/>
    <w:rsid w:val="00D6297D"/>
    <w:rsid w:val="00D62CBC"/>
    <w:rsid w:val="00D62DB8"/>
    <w:rsid w:val="00D632C2"/>
    <w:rsid w:val="00D63559"/>
    <w:rsid w:val="00D63A02"/>
    <w:rsid w:val="00D63A72"/>
    <w:rsid w:val="00D63D6C"/>
    <w:rsid w:val="00D63E14"/>
    <w:rsid w:val="00D6403A"/>
    <w:rsid w:val="00D6442E"/>
    <w:rsid w:val="00D6443A"/>
    <w:rsid w:val="00D646B0"/>
    <w:rsid w:val="00D647E0"/>
    <w:rsid w:val="00D64A4C"/>
    <w:rsid w:val="00D64C8E"/>
    <w:rsid w:val="00D65F12"/>
    <w:rsid w:val="00D66086"/>
    <w:rsid w:val="00D66257"/>
    <w:rsid w:val="00D66DF0"/>
    <w:rsid w:val="00D67115"/>
    <w:rsid w:val="00D672AB"/>
    <w:rsid w:val="00D706E3"/>
    <w:rsid w:val="00D70CF5"/>
    <w:rsid w:val="00D70DA6"/>
    <w:rsid w:val="00D718F0"/>
    <w:rsid w:val="00D71982"/>
    <w:rsid w:val="00D71CAC"/>
    <w:rsid w:val="00D7211F"/>
    <w:rsid w:val="00D7236B"/>
    <w:rsid w:val="00D72998"/>
    <w:rsid w:val="00D729D8"/>
    <w:rsid w:val="00D72CD7"/>
    <w:rsid w:val="00D72F87"/>
    <w:rsid w:val="00D731B4"/>
    <w:rsid w:val="00D7421C"/>
    <w:rsid w:val="00D74230"/>
    <w:rsid w:val="00D745DA"/>
    <w:rsid w:val="00D74707"/>
    <w:rsid w:val="00D7480D"/>
    <w:rsid w:val="00D74855"/>
    <w:rsid w:val="00D74AC9"/>
    <w:rsid w:val="00D74CAE"/>
    <w:rsid w:val="00D751E6"/>
    <w:rsid w:val="00D75262"/>
    <w:rsid w:val="00D75847"/>
    <w:rsid w:val="00D75914"/>
    <w:rsid w:val="00D75996"/>
    <w:rsid w:val="00D759EC"/>
    <w:rsid w:val="00D75A86"/>
    <w:rsid w:val="00D75AD6"/>
    <w:rsid w:val="00D75C5D"/>
    <w:rsid w:val="00D7625A"/>
    <w:rsid w:val="00D76547"/>
    <w:rsid w:val="00D765A2"/>
    <w:rsid w:val="00D7661C"/>
    <w:rsid w:val="00D766F3"/>
    <w:rsid w:val="00D7689F"/>
    <w:rsid w:val="00D76A33"/>
    <w:rsid w:val="00D76C87"/>
    <w:rsid w:val="00D77188"/>
    <w:rsid w:val="00D774C8"/>
    <w:rsid w:val="00D778F2"/>
    <w:rsid w:val="00D77C28"/>
    <w:rsid w:val="00D8031B"/>
    <w:rsid w:val="00D80648"/>
    <w:rsid w:val="00D8078B"/>
    <w:rsid w:val="00D80C50"/>
    <w:rsid w:val="00D81289"/>
    <w:rsid w:val="00D81859"/>
    <w:rsid w:val="00D81DB7"/>
    <w:rsid w:val="00D82B27"/>
    <w:rsid w:val="00D82B66"/>
    <w:rsid w:val="00D8312F"/>
    <w:rsid w:val="00D83307"/>
    <w:rsid w:val="00D836A9"/>
    <w:rsid w:val="00D83913"/>
    <w:rsid w:val="00D846DC"/>
    <w:rsid w:val="00D84CEC"/>
    <w:rsid w:val="00D8531A"/>
    <w:rsid w:val="00D855E2"/>
    <w:rsid w:val="00D858DF"/>
    <w:rsid w:val="00D859E4"/>
    <w:rsid w:val="00D86AAC"/>
    <w:rsid w:val="00D8710D"/>
    <w:rsid w:val="00D87828"/>
    <w:rsid w:val="00D87969"/>
    <w:rsid w:val="00D87A38"/>
    <w:rsid w:val="00D87AA3"/>
    <w:rsid w:val="00D87C07"/>
    <w:rsid w:val="00D9009B"/>
    <w:rsid w:val="00D9047B"/>
    <w:rsid w:val="00D90D3C"/>
    <w:rsid w:val="00D90FF2"/>
    <w:rsid w:val="00D90FF4"/>
    <w:rsid w:val="00D91BA9"/>
    <w:rsid w:val="00D91BD8"/>
    <w:rsid w:val="00D91CC6"/>
    <w:rsid w:val="00D9252B"/>
    <w:rsid w:val="00D92562"/>
    <w:rsid w:val="00D925CB"/>
    <w:rsid w:val="00D925D9"/>
    <w:rsid w:val="00D926F5"/>
    <w:rsid w:val="00D9294E"/>
    <w:rsid w:val="00D930D1"/>
    <w:rsid w:val="00D93299"/>
    <w:rsid w:val="00D93513"/>
    <w:rsid w:val="00D93AE1"/>
    <w:rsid w:val="00D93CC8"/>
    <w:rsid w:val="00D93DD5"/>
    <w:rsid w:val="00D940D6"/>
    <w:rsid w:val="00D948F9"/>
    <w:rsid w:val="00D9502B"/>
    <w:rsid w:val="00D950C8"/>
    <w:rsid w:val="00D95354"/>
    <w:rsid w:val="00D958E9"/>
    <w:rsid w:val="00D95B48"/>
    <w:rsid w:val="00D95D4E"/>
    <w:rsid w:val="00D96058"/>
    <w:rsid w:val="00D96A12"/>
    <w:rsid w:val="00D96C0C"/>
    <w:rsid w:val="00D97114"/>
    <w:rsid w:val="00D97318"/>
    <w:rsid w:val="00D974AD"/>
    <w:rsid w:val="00D97DB0"/>
    <w:rsid w:val="00DA0035"/>
    <w:rsid w:val="00DA0115"/>
    <w:rsid w:val="00DA0938"/>
    <w:rsid w:val="00DA1077"/>
    <w:rsid w:val="00DA1336"/>
    <w:rsid w:val="00DA17B0"/>
    <w:rsid w:val="00DA19DC"/>
    <w:rsid w:val="00DA1C27"/>
    <w:rsid w:val="00DA1D6B"/>
    <w:rsid w:val="00DA2638"/>
    <w:rsid w:val="00DA2736"/>
    <w:rsid w:val="00DA2809"/>
    <w:rsid w:val="00DA3251"/>
    <w:rsid w:val="00DA33B4"/>
    <w:rsid w:val="00DA3481"/>
    <w:rsid w:val="00DA3801"/>
    <w:rsid w:val="00DA3DED"/>
    <w:rsid w:val="00DA407F"/>
    <w:rsid w:val="00DA4091"/>
    <w:rsid w:val="00DA43CB"/>
    <w:rsid w:val="00DA4679"/>
    <w:rsid w:val="00DA4855"/>
    <w:rsid w:val="00DA4935"/>
    <w:rsid w:val="00DA4A2E"/>
    <w:rsid w:val="00DA4BED"/>
    <w:rsid w:val="00DA4E41"/>
    <w:rsid w:val="00DA503D"/>
    <w:rsid w:val="00DA508D"/>
    <w:rsid w:val="00DA51A0"/>
    <w:rsid w:val="00DA55DF"/>
    <w:rsid w:val="00DA5AA6"/>
    <w:rsid w:val="00DA5DFB"/>
    <w:rsid w:val="00DA6126"/>
    <w:rsid w:val="00DA6574"/>
    <w:rsid w:val="00DA687A"/>
    <w:rsid w:val="00DA69B4"/>
    <w:rsid w:val="00DA69FB"/>
    <w:rsid w:val="00DA6CCE"/>
    <w:rsid w:val="00DA6F70"/>
    <w:rsid w:val="00DA72DD"/>
    <w:rsid w:val="00DA7BFB"/>
    <w:rsid w:val="00DA7DC6"/>
    <w:rsid w:val="00DB0091"/>
    <w:rsid w:val="00DB0148"/>
    <w:rsid w:val="00DB01E1"/>
    <w:rsid w:val="00DB0348"/>
    <w:rsid w:val="00DB035B"/>
    <w:rsid w:val="00DB04EB"/>
    <w:rsid w:val="00DB1E18"/>
    <w:rsid w:val="00DB2369"/>
    <w:rsid w:val="00DB2441"/>
    <w:rsid w:val="00DB2703"/>
    <w:rsid w:val="00DB2B04"/>
    <w:rsid w:val="00DB2BA2"/>
    <w:rsid w:val="00DB30EA"/>
    <w:rsid w:val="00DB371F"/>
    <w:rsid w:val="00DB3812"/>
    <w:rsid w:val="00DB3D58"/>
    <w:rsid w:val="00DB461D"/>
    <w:rsid w:val="00DB4651"/>
    <w:rsid w:val="00DB4842"/>
    <w:rsid w:val="00DB5199"/>
    <w:rsid w:val="00DB5828"/>
    <w:rsid w:val="00DB58EE"/>
    <w:rsid w:val="00DB5BB9"/>
    <w:rsid w:val="00DB5C2E"/>
    <w:rsid w:val="00DB5FF7"/>
    <w:rsid w:val="00DB626E"/>
    <w:rsid w:val="00DB63BC"/>
    <w:rsid w:val="00DB65A8"/>
    <w:rsid w:val="00DB6BB0"/>
    <w:rsid w:val="00DB6F1E"/>
    <w:rsid w:val="00DB72A9"/>
    <w:rsid w:val="00DB7342"/>
    <w:rsid w:val="00DB7437"/>
    <w:rsid w:val="00DB74FB"/>
    <w:rsid w:val="00DB755E"/>
    <w:rsid w:val="00DC049C"/>
    <w:rsid w:val="00DC0591"/>
    <w:rsid w:val="00DC05FB"/>
    <w:rsid w:val="00DC110D"/>
    <w:rsid w:val="00DC1299"/>
    <w:rsid w:val="00DC1501"/>
    <w:rsid w:val="00DC20C2"/>
    <w:rsid w:val="00DC28E5"/>
    <w:rsid w:val="00DC2A48"/>
    <w:rsid w:val="00DC2C0F"/>
    <w:rsid w:val="00DC2E8B"/>
    <w:rsid w:val="00DC33D8"/>
    <w:rsid w:val="00DC35A4"/>
    <w:rsid w:val="00DC3C79"/>
    <w:rsid w:val="00DC40CC"/>
    <w:rsid w:val="00DC4437"/>
    <w:rsid w:val="00DC4691"/>
    <w:rsid w:val="00DC475C"/>
    <w:rsid w:val="00DC4906"/>
    <w:rsid w:val="00DC49C3"/>
    <w:rsid w:val="00DC4A09"/>
    <w:rsid w:val="00DC509D"/>
    <w:rsid w:val="00DC59CE"/>
    <w:rsid w:val="00DC5AC1"/>
    <w:rsid w:val="00DC5CFE"/>
    <w:rsid w:val="00DC663A"/>
    <w:rsid w:val="00DC684F"/>
    <w:rsid w:val="00DC6A87"/>
    <w:rsid w:val="00DC6D96"/>
    <w:rsid w:val="00DC6E78"/>
    <w:rsid w:val="00DC7111"/>
    <w:rsid w:val="00DC7670"/>
    <w:rsid w:val="00DC797F"/>
    <w:rsid w:val="00DC7999"/>
    <w:rsid w:val="00DC79CF"/>
    <w:rsid w:val="00DC7B88"/>
    <w:rsid w:val="00DC7CF3"/>
    <w:rsid w:val="00DD0276"/>
    <w:rsid w:val="00DD0695"/>
    <w:rsid w:val="00DD0802"/>
    <w:rsid w:val="00DD09CF"/>
    <w:rsid w:val="00DD0BAB"/>
    <w:rsid w:val="00DD0DB0"/>
    <w:rsid w:val="00DD0E78"/>
    <w:rsid w:val="00DD0F24"/>
    <w:rsid w:val="00DD11E3"/>
    <w:rsid w:val="00DD18DC"/>
    <w:rsid w:val="00DD1B6A"/>
    <w:rsid w:val="00DD1C8A"/>
    <w:rsid w:val="00DD24FF"/>
    <w:rsid w:val="00DD29E8"/>
    <w:rsid w:val="00DD2CF5"/>
    <w:rsid w:val="00DD30E6"/>
    <w:rsid w:val="00DD3562"/>
    <w:rsid w:val="00DD3B1D"/>
    <w:rsid w:val="00DD3B64"/>
    <w:rsid w:val="00DD434E"/>
    <w:rsid w:val="00DD4764"/>
    <w:rsid w:val="00DD4AE8"/>
    <w:rsid w:val="00DD4BCB"/>
    <w:rsid w:val="00DD4D99"/>
    <w:rsid w:val="00DD52D1"/>
    <w:rsid w:val="00DD5448"/>
    <w:rsid w:val="00DD54C8"/>
    <w:rsid w:val="00DD5541"/>
    <w:rsid w:val="00DD5931"/>
    <w:rsid w:val="00DD5FA3"/>
    <w:rsid w:val="00DD6267"/>
    <w:rsid w:val="00DD6851"/>
    <w:rsid w:val="00DD6BA9"/>
    <w:rsid w:val="00DD6CC5"/>
    <w:rsid w:val="00DD6DA8"/>
    <w:rsid w:val="00DD6F2E"/>
    <w:rsid w:val="00DD7032"/>
    <w:rsid w:val="00DD716F"/>
    <w:rsid w:val="00DD7648"/>
    <w:rsid w:val="00DD77AC"/>
    <w:rsid w:val="00DD7B4B"/>
    <w:rsid w:val="00DD7B83"/>
    <w:rsid w:val="00DD7C0F"/>
    <w:rsid w:val="00DD7CBB"/>
    <w:rsid w:val="00DD7DD2"/>
    <w:rsid w:val="00DE0408"/>
    <w:rsid w:val="00DE07C5"/>
    <w:rsid w:val="00DE0B29"/>
    <w:rsid w:val="00DE11A7"/>
    <w:rsid w:val="00DE1874"/>
    <w:rsid w:val="00DE2092"/>
    <w:rsid w:val="00DE213A"/>
    <w:rsid w:val="00DE23C9"/>
    <w:rsid w:val="00DE2724"/>
    <w:rsid w:val="00DE2E03"/>
    <w:rsid w:val="00DE315F"/>
    <w:rsid w:val="00DE3279"/>
    <w:rsid w:val="00DE369D"/>
    <w:rsid w:val="00DE394F"/>
    <w:rsid w:val="00DE3EFB"/>
    <w:rsid w:val="00DE3F37"/>
    <w:rsid w:val="00DE3FB1"/>
    <w:rsid w:val="00DE4795"/>
    <w:rsid w:val="00DE47BC"/>
    <w:rsid w:val="00DE4DAF"/>
    <w:rsid w:val="00DE4DBD"/>
    <w:rsid w:val="00DE5043"/>
    <w:rsid w:val="00DE646A"/>
    <w:rsid w:val="00DE6BB3"/>
    <w:rsid w:val="00DE6C2F"/>
    <w:rsid w:val="00DE6E2A"/>
    <w:rsid w:val="00DE7010"/>
    <w:rsid w:val="00DE75D2"/>
    <w:rsid w:val="00DE79DD"/>
    <w:rsid w:val="00DF0204"/>
    <w:rsid w:val="00DF041D"/>
    <w:rsid w:val="00DF0A98"/>
    <w:rsid w:val="00DF0AD4"/>
    <w:rsid w:val="00DF0E0C"/>
    <w:rsid w:val="00DF0EBA"/>
    <w:rsid w:val="00DF10ED"/>
    <w:rsid w:val="00DF1267"/>
    <w:rsid w:val="00DF12F7"/>
    <w:rsid w:val="00DF1311"/>
    <w:rsid w:val="00DF1B98"/>
    <w:rsid w:val="00DF1CB3"/>
    <w:rsid w:val="00DF2048"/>
    <w:rsid w:val="00DF250C"/>
    <w:rsid w:val="00DF292F"/>
    <w:rsid w:val="00DF319D"/>
    <w:rsid w:val="00DF3436"/>
    <w:rsid w:val="00DF39D0"/>
    <w:rsid w:val="00DF3C00"/>
    <w:rsid w:val="00DF488D"/>
    <w:rsid w:val="00DF4AEA"/>
    <w:rsid w:val="00DF54A4"/>
    <w:rsid w:val="00DF5615"/>
    <w:rsid w:val="00DF570D"/>
    <w:rsid w:val="00DF58E9"/>
    <w:rsid w:val="00DF59A2"/>
    <w:rsid w:val="00DF5E29"/>
    <w:rsid w:val="00DF6A5A"/>
    <w:rsid w:val="00DF6A93"/>
    <w:rsid w:val="00DF6D8F"/>
    <w:rsid w:val="00DF7B23"/>
    <w:rsid w:val="00DF7B75"/>
    <w:rsid w:val="00E00440"/>
    <w:rsid w:val="00E0120E"/>
    <w:rsid w:val="00E0123E"/>
    <w:rsid w:val="00E01409"/>
    <w:rsid w:val="00E01B52"/>
    <w:rsid w:val="00E01CCD"/>
    <w:rsid w:val="00E01CDB"/>
    <w:rsid w:val="00E02ECF"/>
    <w:rsid w:val="00E03165"/>
    <w:rsid w:val="00E03917"/>
    <w:rsid w:val="00E03962"/>
    <w:rsid w:val="00E0470D"/>
    <w:rsid w:val="00E04816"/>
    <w:rsid w:val="00E0496A"/>
    <w:rsid w:val="00E04FA4"/>
    <w:rsid w:val="00E0554E"/>
    <w:rsid w:val="00E05D64"/>
    <w:rsid w:val="00E05DF8"/>
    <w:rsid w:val="00E05F69"/>
    <w:rsid w:val="00E0649C"/>
    <w:rsid w:val="00E06588"/>
    <w:rsid w:val="00E07087"/>
    <w:rsid w:val="00E073FF"/>
    <w:rsid w:val="00E078F9"/>
    <w:rsid w:val="00E100E6"/>
    <w:rsid w:val="00E10CFE"/>
    <w:rsid w:val="00E11708"/>
    <w:rsid w:val="00E11950"/>
    <w:rsid w:val="00E11A52"/>
    <w:rsid w:val="00E11CDF"/>
    <w:rsid w:val="00E11E0F"/>
    <w:rsid w:val="00E12054"/>
    <w:rsid w:val="00E1207D"/>
    <w:rsid w:val="00E122E3"/>
    <w:rsid w:val="00E12526"/>
    <w:rsid w:val="00E12557"/>
    <w:rsid w:val="00E1266E"/>
    <w:rsid w:val="00E1291B"/>
    <w:rsid w:val="00E129C0"/>
    <w:rsid w:val="00E12B73"/>
    <w:rsid w:val="00E12FF3"/>
    <w:rsid w:val="00E13192"/>
    <w:rsid w:val="00E13200"/>
    <w:rsid w:val="00E13960"/>
    <w:rsid w:val="00E13C6F"/>
    <w:rsid w:val="00E14390"/>
    <w:rsid w:val="00E14877"/>
    <w:rsid w:val="00E14BA3"/>
    <w:rsid w:val="00E14C80"/>
    <w:rsid w:val="00E15DFC"/>
    <w:rsid w:val="00E1647F"/>
    <w:rsid w:val="00E1681C"/>
    <w:rsid w:val="00E16A2C"/>
    <w:rsid w:val="00E16C06"/>
    <w:rsid w:val="00E16C09"/>
    <w:rsid w:val="00E16C6B"/>
    <w:rsid w:val="00E16E29"/>
    <w:rsid w:val="00E17125"/>
    <w:rsid w:val="00E173A7"/>
    <w:rsid w:val="00E174A1"/>
    <w:rsid w:val="00E1771F"/>
    <w:rsid w:val="00E1782A"/>
    <w:rsid w:val="00E17964"/>
    <w:rsid w:val="00E20F20"/>
    <w:rsid w:val="00E21540"/>
    <w:rsid w:val="00E21DD4"/>
    <w:rsid w:val="00E21E75"/>
    <w:rsid w:val="00E223C5"/>
    <w:rsid w:val="00E225E2"/>
    <w:rsid w:val="00E2266D"/>
    <w:rsid w:val="00E226B7"/>
    <w:rsid w:val="00E22930"/>
    <w:rsid w:val="00E23294"/>
    <w:rsid w:val="00E2334E"/>
    <w:rsid w:val="00E235C5"/>
    <w:rsid w:val="00E2383C"/>
    <w:rsid w:val="00E23A9B"/>
    <w:rsid w:val="00E23D02"/>
    <w:rsid w:val="00E23DD2"/>
    <w:rsid w:val="00E23E12"/>
    <w:rsid w:val="00E2428F"/>
    <w:rsid w:val="00E24477"/>
    <w:rsid w:val="00E24626"/>
    <w:rsid w:val="00E249E2"/>
    <w:rsid w:val="00E24BC1"/>
    <w:rsid w:val="00E24E0D"/>
    <w:rsid w:val="00E25043"/>
    <w:rsid w:val="00E255DF"/>
    <w:rsid w:val="00E26085"/>
    <w:rsid w:val="00E2612E"/>
    <w:rsid w:val="00E2653F"/>
    <w:rsid w:val="00E26DC6"/>
    <w:rsid w:val="00E26F87"/>
    <w:rsid w:val="00E26F98"/>
    <w:rsid w:val="00E2730F"/>
    <w:rsid w:val="00E2738C"/>
    <w:rsid w:val="00E276C8"/>
    <w:rsid w:val="00E27CAF"/>
    <w:rsid w:val="00E30434"/>
    <w:rsid w:val="00E3045C"/>
    <w:rsid w:val="00E30C72"/>
    <w:rsid w:val="00E31667"/>
    <w:rsid w:val="00E32452"/>
    <w:rsid w:val="00E32779"/>
    <w:rsid w:val="00E32821"/>
    <w:rsid w:val="00E32EA4"/>
    <w:rsid w:val="00E3300C"/>
    <w:rsid w:val="00E330E4"/>
    <w:rsid w:val="00E3329A"/>
    <w:rsid w:val="00E334FB"/>
    <w:rsid w:val="00E3393B"/>
    <w:rsid w:val="00E33AB8"/>
    <w:rsid w:val="00E33CFF"/>
    <w:rsid w:val="00E33E4C"/>
    <w:rsid w:val="00E33F59"/>
    <w:rsid w:val="00E3419B"/>
    <w:rsid w:val="00E3433D"/>
    <w:rsid w:val="00E3456D"/>
    <w:rsid w:val="00E35113"/>
    <w:rsid w:val="00E35324"/>
    <w:rsid w:val="00E35584"/>
    <w:rsid w:val="00E35D15"/>
    <w:rsid w:val="00E36094"/>
    <w:rsid w:val="00E3627D"/>
    <w:rsid w:val="00E36337"/>
    <w:rsid w:val="00E36508"/>
    <w:rsid w:val="00E3674B"/>
    <w:rsid w:val="00E36A10"/>
    <w:rsid w:val="00E37C3F"/>
    <w:rsid w:val="00E37D68"/>
    <w:rsid w:val="00E37E59"/>
    <w:rsid w:val="00E40449"/>
    <w:rsid w:val="00E404D9"/>
    <w:rsid w:val="00E407F6"/>
    <w:rsid w:val="00E40CF4"/>
    <w:rsid w:val="00E4103E"/>
    <w:rsid w:val="00E41087"/>
    <w:rsid w:val="00E4117A"/>
    <w:rsid w:val="00E4171B"/>
    <w:rsid w:val="00E41E22"/>
    <w:rsid w:val="00E42382"/>
    <w:rsid w:val="00E42517"/>
    <w:rsid w:val="00E4286B"/>
    <w:rsid w:val="00E42BCB"/>
    <w:rsid w:val="00E42F14"/>
    <w:rsid w:val="00E432C8"/>
    <w:rsid w:val="00E432D4"/>
    <w:rsid w:val="00E432FD"/>
    <w:rsid w:val="00E43A07"/>
    <w:rsid w:val="00E43EC8"/>
    <w:rsid w:val="00E440FF"/>
    <w:rsid w:val="00E44267"/>
    <w:rsid w:val="00E444FF"/>
    <w:rsid w:val="00E44674"/>
    <w:rsid w:val="00E44A15"/>
    <w:rsid w:val="00E44A3F"/>
    <w:rsid w:val="00E44CDA"/>
    <w:rsid w:val="00E450F5"/>
    <w:rsid w:val="00E450FC"/>
    <w:rsid w:val="00E452A6"/>
    <w:rsid w:val="00E45580"/>
    <w:rsid w:val="00E45589"/>
    <w:rsid w:val="00E458C0"/>
    <w:rsid w:val="00E461DC"/>
    <w:rsid w:val="00E46254"/>
    <w:rsid w:val="00E465E2"/>
    <w:rsid w:val="00E4683E"/>
    <w:rsid w:val="00E469A2"/>
    <w:rsid w:val="00E46B06"/>
    <w:rsid w:val="00E4708F"/>
    <w:rsid w:val="00E475DD"/>
    <w:rsid w:val="00E476C1"/>
    <w:rsid w:val="00E47743"/>
    <w:rsid w:val="00E47AAE"/>
    <w:rsid w:val="00E47B13"/>
    <w:rsid w:val="00E47D83"/>
    <w:rsid w:val="00E506E3"/>
    <w:rsid w:val="00E50F4C"/>
    <w:rsid w:val="00E514EE"/>
    <w:rsid w:val="00E51846"/>
    <w:rsid w:val="00E51862"/>
    <w:rsid w:val="00E51CDF"/>
    <w:rsid w:val="00E5223B"/>
    <w:rsid w:val="00E52265"/>
    <w:rsid w:val="00E5295D"/>
    <w:rsid w:val="00E5312E"/>
    <w:rsid w:val="00E53227"/>
    <w:rsid w:val="00E53648"/>
    <w:rsid w:val="00E53DF0"/>
    <w:rsid w:val="00E53F55"/>
    <w:rsid w:val="00E54149"/>
    <w:rsid w:val="00E545FF"/>
    <w:rsid w:val="00E55050"/>
    <w:rsid w:val="00E55097"/>
    <w:rsid w:val="00E550CC"/>
    <w:rsid w:val="00E55759"/>
    <w:rsid w:val="00E55AA3"/>
    <w:rsid w:val="00E55F8F"/>
    <w:rsid w:val="00E56084"/>
    <w:rsid w:val="00E5624C"/>
    <w:rsid w:val="00E566EA"/>
    <w:rsid w:val="00E56800"/>
    <w:rsid w:val="00E5705C"/>
    <w:rsid w:val="00E57313"/>
    <w:rsid w:val="00E57353"/>
    <w:rsid w:val="00E5743C"/>
    <w:rsid w:val="00E577B1"/>
    <w:rsid w:val="00E57996"/>
    <w:rsid w:val="00E579C0"/>
    <w:rsid w:val="00E57C6E"/>
    <w:rsid w:val="00E57D9B"/>
    <w:rsid w:val="00E602E5"/>
    <w:rsid w:val="00E60826"/>
    <w:rsid w:val="00E60971"/>
    <w:rsid w:val="00E60B33"/>
    <w:rsid w:val="00E60CBB"/>
    <w:rsid w:val="00E610AA"/>
    <w:rsid w:val="00E612FC"/>
    <w:rsid w:val="00E615D2"/>
    <w:rsid w:val="00E6183E"/>
    <w:rsid w:val="00E61918"/>
    <w:rsid w:val="00E619D9"/>
    <w:rsid w:val="00E61A1E"/>
    <w:rsid w:val="00E61A25"/>
    <w:rsid w:val="00E622E8"/>
    <w:rsid w:val="00E62CD9"/>
    <w:rsid w:val="00E63070"/>
    <w:rsid w:val="00E6310C"/>
    <w:rsid w:val="00E6313F"/>
    <w:rsid w:val="00E64330"/>
    <w:rsid w:val="00E6434F"/>
    <w:rsid w:val="00E64FCC"/>
    <w:rsid w:val="00E65333"/>
    <w:rsid w:val="00E65671"/>
    <w:rsid w:val="00E6575B"/>
    <w:rsid w:val="00E65E49"/>
    <w:rsid w:val="00E65EB2"/>
    <w:rsid w:val="00E6606F"/>
    <w:rsid w:val="00E66480"/>
    <w:rsid w:val="00E666BE"/>
    <w:rsid w:val="00E669F8"/>
    <w:rsid w:val="00E66B0E"/>
    <w:rsid w:val="00E66B23"/>
    <w:rsid w:val="00E66DB6"/>
    <w:rsid w:val="00E67264"/>
    <w:rsid w:val="00E67829"/>
    <w:rsid w:val="00E678B5"/>
    <w:rsid w:val="00E67963"/>
    <w:rsid w:val="00E67E10"/>
    <w:rsid w:val="00E701FA"/>
    <w:rsid w:val="00E7048D"/>
    <w:rsid w:val="00E70790"/>
    <w:rsid w:val="00E708BB"/>
    <w:rsid w:val="00E70D50"/>
    <w:rsid w:val="00E70D7F"/>
    <w:rsid w:val="00E70DF2"/>
    <w:rsid w:val="00E71CEB"/>
    <w:rsid w:val="00E7218C"/>
    <w:rsid w:val="00E72AEA"/>
    <w:rsid w:val="00E72C75"/>
    <w:rsid w:val="00E72D19"/>
    <w:rsid w:val="00E72FAB"/>
    <w:rsid w:val="00E73002"/>
    <w:rsid w:val="00E7327F"/>
    <w:rsid w:val="00E73494"/>
    <w:rsid w:val="00E73624"/>
    <w:rsid w:val="00E73E91"/>
    <w:rsid w:val="00E73EDB"/>
    <w:rsid w:val="00E73F1D"/>
    <w:rsid w:val="00E745F2"/>
    <w:rsid w:val="00E745F8"/>
    <w:rsid w:val="00E74B69"/>
    <w:rsid w:val="00E74DBC"/>
    <w:rsid w:val="00E75090"/>
    <w:rsid w:val="00E754AE"/>
    <w:rsid w:val="00E7558D"/>
    <w:rsid w:val="00E7572D"/>
    <w:rsid w:val="00E75A7B"/>
    <w:rsid w:val="00E76234"/>
    <w:rsid w:val="00E76240"/>
    <w:rsid w:val="00E766AE"/>
    <w:rsid w:val="00E769F2"/>
    <w:rsid w:val="00E7A27A"/>
    <w:rsid w:val="00E8018C"/>
    <w:rsid w:val="00E802F9"/>
    <w:rsid w:val="00E806D0"/>
    <w:rsid w:val="00E81365"/>
    <w:rsid w:val="00E81478"/>
    <w:rsid w:val="00E81500"/>
    <w:rsid w:val="00E81C90"/>
    <w:rsid w:val="00E8217F"/>
    <w:rsid w:val="00E825D4"/>
    <w:rsid w:val="00E826BB"/>
    <w:rsid w:val="00E826F7"/>
    <w:rsid w:val="00E82F13"/>
    <w:rsid w:val="00E83AEC"/>
    <w:rsid w:val="00E83E5A"/>
    <w:rsid w:val="00E8401D"/>
    <w:rsid w:val="00E84271"/>
    <w:rsid w:val="00E84283"/>
    <w:rsid w:val="00E84AD1"/>
    <w:rsid w:val="00E84B2C"/>
    <w:rsid w:val="00E84DA5"/>
    <w:rsid w:val="00E85085"/>
    <w:rsid w:val="00E85862"/>
    <w:rsid w:val="00E85A09"/>
    <w:rsid w:val="00E862E0"/>
    <w:rsid w:val="00E8652B"/>
    <w:rsid w:val="00E8692E"/>
    <w:rsid w:val="00E86930"/>
    <w:rsid w:val="00E86A02"/>
    <w:rsid w:val="00E86FE2"/>
    <w:rsid w:val="00E873C5"/>
    <w:rsid w:val="00E878A5"/>
    <w:rsid w:val="00E87B61"/>
    <w:rsid w:val="00E87BB4"/>
    <w:rsid w:val="00E87C1D"/>
    <w:rsid w:val="00E87CCF"/>
    <w:rsid w:val="00E87DD3"/>
    <w:rsid w:val="00E87EB2"/>
    <w:rsid w:val="00E906A2"/>
    <w:rsid w:val="00E90769"/>
    <w:rsid w:val="00E90AA2"/>
    <w:rsid w:val="00E91E73"/>
    <w:rsid w:val="00E91FC5"/>
    <w:rsid w:val="00E9220C"/>
    <w:rsid w:val="00E92293"/>
    <w:rsid w:val="00E92338"/>
    <w:rsid w:val="00E9245E"/>
    <w:rsid w:val="00E92735"/>
    <w:rsid w:val="00E93184"/>
    <w:rsid w:val="00E9346A"/>
    <w:rsid w:val="00E937B7"/>
    <w:rsid w:val="00E93DF9"/>
    <w:rsid w:val="00E93F67"/>
    <w:rsid w:val="00E9401A"/>
    <w:rsid w:val="00E943C1"/>
    <w:rsid w:val="00E94E37"/>
    <w:rsid w:val="00E953CF"/>
    <w:rsid w:val="00E95A61"/>
    <w:rsid w:val="00E95B5A"/>
    <w:rsid w:val="00E95CA6"/>
    <w:rsid w:val="00E962DD"/>
    <w:rsid w:val="00E96C60"/>
    <w:rsid w:val="00E96D6A"/>
    <w:rsid w:val="00E96D96"/>
    <w:rsid w:val="00E97114"/>
    <w:rsid w:val="00E9749D"/>
    <w:rsid w:val="00E97992"/>
    <w:rsid w:val="00E979DE"/>
    <w:rsid w:val="00E97B29"/>
    <w:rsid w:val="00EA0626"/>
    <w:rsid w:val="00EA0932"/>
    <w:rsid w:val="00EA0CBF"/>
    <w:rsid w:val="00EA0D0E"/>
    <w:rsid w:val="00EA0DBD"/>
    <w:rsid w:val="00EA0E18"/>
    <w:rsid w:val="00EA1CEC"/>
    <w:rsid w:val="00EA1F8C"/>
    <w:rsid w:val="00EA23D7"/>
    <w:rsid w:val="00EA291E"/>
    <w:rsid w:val="00EA2BBE"/>
    <w:rsid w:val="00EA2E48"/>
    <w:rsid w:val="00EA33E4"/>
    <w:rsid w:val="00EA35BB"/>
    <w:rsid w:val="00EA382C"/>
    <w:rsid w:val="00EA3AA3"/>
    <w:rsid w:val="00EA3C05"/>
    <w:rsid w:val="00EA4941"/>
    <w:rsid w:val="00EA4B57"/>
    <w:rsid w:val="00EA4B86"/>
    <w:rsid w:val="00EA4C37"/>
    <w:rsid w:val="00EA4E51"/>
    <w:rsid w:val="00EA5065"/>
    <w:rsid w:val="00EA52CD"/>
    <w:rsid w:val="00EA52F8"/>
    <w:rsid w:val="00EA5414"/>
    <w:rsid w:val="00EA56E5"/>
    <w:rsid w:val="00EA5B9A"/>
    <w:rsid w:val="00EA5C39"/>
    <w:rsid w:val="00EA5E87"/>
    <w:rsid w:val="00EA5E96"/>
    <w:rsid w:val="00EA630A"/>
    <w:rsid w:val="00EA64FF"/>
    <w:rsid w:val="00EA6677"/>
    <w:rsid w:val="00EA6945"/>
    <w:rsid w:val="00EA6B1D"/>
    <w:rsid w:val="00EA6F96"/>
    <w:rsid w:val="00EA7EFD"/>
    <w:rsid w:val="00EB038C"/>
    <w:rsid w:val="00EB0400"/>
    <w:rsid w:val="00EB06B2"/>
    <w:rsid w:val="00EB071F"/>
    <w:rsid w:val="00EB0799"/>
    <w:rsid w:val="00EB0C57"/>
    <w:rsid w:val="00EB1052"/>
    <w:rsid w:val="00EB157D"/>
    <w:rsid w:val="00EB1610"/>
    <w:rsid w:val="00EB1CFC"/>
    <w:rsid w:val="00EB21BF"/>
    <w:rsid w:val="00EB268F"/>
    <w:rsid w:val="00EB2800"/>
    <w:rsid w:val="00EB2914"/>
    <w:rsid w:val="00EB2C1A"/>
    <w:rsid w:val="00EB2C1D"/>
    <w:rsid w:val="00EB2C32"/>
    <w:rsid w:val="00EB2F2F"/>
    <w:rsid w:val="00EB344C"/>
    <w:rsid w:val="00EB3562"/>
    <w:rsid w:val="00EB37F7"/>
    <w:rsid w:val="00EB434C"/>
    <w:rsid w:val="00EB4433"/>
    <w:rsid w:val="00EB447C"/>
    <w:rsid w:val="00EB4713"/>
    <w:rsid w:val="00EB492C"/>
    <w:rsid w:val="00EB4B54"/>
    <w:rsid w:val="00EB500C"/>
    <w:rsid w:val="00EB5778"/>
    <w:rsid w:val="00EB5A52"/>
    <w:rsid w:val="00EB5AF2"/>
    <w:rsid w:val="00EB5EF9"/>
    <w:rsid w:val="00EB6000"/>
    <w:rsid w:val="00EB62DD"/>
    <w:rsid w:val="00EB6486"/>
    <w:rsid w:val="00EB664B"/>
    <w:rsid w:val="00EB6821"/>
    <w:rsid w:val="00EB6964"/>
    <w:rsid w:val="00EB69C0"/>
    <w:rsid w:val="00EB6CF0"/>
    <w:rsid w:val="00EB6FA7"/>
    <w:rsid w:val="00EB7067"/>
    <w:rsid w:val="00EB7098"/>
    <w:rsid w:val="00EB7386"/>
    <w:rsid w:val="00EB78E7"/>
    <w:rsid w:val="00EB79FC"/>
    <w:rsid w:val="00EB7AD9"/>
    <w:rsid w:val="00EB7B65"/>
    <w:rsid w:val="00EC005B"/>
    <w:rsid w:val="00EC0174"/>
    <w:rsid w:val="00EC0579"/>
    <w:rsid w:val="00EC08C8"/>
    <w:rsid w:val="00EC0AA4"/>
    <w:rsid w:val="00EC14D2"/>
    <w:rsid w:val="00EC153E"/>
    <w:rsid w:val="00EC15F3"/>
    <w:rsid w:val="00EC1AB5"/>
    <w:rsid w:val="00EC27B2"/>
    <w:rsid w:val="00EC27E7"/>
    <w:rsid w:val="00EC2836"/>
    <w:rsid w:val="00EC2ECA"/>
    <w:rsid w:val="00EC2F92"/>
    <w:rsid w:val="00EC302E"/>
    <w:rsid w:val="00EC3DCD"/>
    <w:rsid w:val="00EC4252"/>
    <w:rsid w:val="00EC44EC"/>
    <w:rsid w:val="00EC44FA"/>
    <w:rsid w:val="00EC4AC1"/>
    <w:rsid w:val="00EC4CAB"/>
    <w:rsid w:val="00EC4F29"/>
    <w:rsid w:val="00EC5C61"/>
    <w:rsid w:val="00EC5F07"/>
    <w:rsid w:val="00EC61D1"/>
    <w:rsid w:val="00EC621A"/>
    <w:rsid w:val="00EC67B3"/>
    <w:rsid w:val="00EC67D9"/>
    <w:rsid w:val="00EC6B21"/>
    <w:rsid w:val="00ED001B"/>
    <w:rsid w:val="00ED0197"/>
    <w:rsid w:val="00ED0B50"/>
    <w:rsid w:val="00ED0CA0"/>
    <w:rsid w:val="00ED0D7C"/>
    <w:rsid w:val="00ED1171"/>
    <w:rsid w:val="00ED1205"/>
    <w:rsid w:val="00ED14CF"/>
    <w:rsid w:val="00ED1F0F"/>
    <w:rsid w:val="00ED216B"/>
    <w:rsid w:val="00ED2456"/>
    <w:rsid w:val="00ED2560"/>
    <w:rsid w:val="00ED2862"/>
    <w:rsid w:val="00ED2D54"/>
    <w:rsid w:val="00ED30A8"/>
    <w:rsid w:val="00ED3151"/>
    <w:rsid w:val="00ED32F8"/>
    <w:rsid w:val="00ED34C6"/>
    <w:rsid w:val="00ED3C87"/>
    <w:rsid w:val="00ED3EAD"/>
    <w:rsid w:val="00ED3F4A"/>
    <w:rsid w:val="00ED4020"/>
    <w:rsid w:val="00ED417B"/>
    <w:rsid w:val="00ED4A35"/>
    <w:rsid w:val="00ED4E5D"/>
    <w:rsid w:val="00ED5172"/>
    <w:rsid w:val="00ED59DE"/>
    <w:rsid w:val="00ED5B46"/>
    <w:rsid w:val="00ED5C25"/>
    <w:rsid w:val="00ED676D"/>
    <w:rsid w:val="00ED6A4C"/>
    <w:rsid w:val="00ED6A92"/>
    <w:rsid w:val="00ED6B3F"/>
    <w:rsid w:val="00ED7195"/>
    <w:rsid w:val="00ED75BF"/>
    <w:rsid w:val="00ED7640"/>
    <w:rsid w:val="00EE0CAC"/>
    <w:rsid w:val="00EE1025"/>
    <w:rsid w:val="00EE10BB"/>
    <w:rsid w:val="00EE15C1"/>
    <w:rsid w:val="00EE1B42"/>
    <w:rsid w:val="00EE1C22"/>
    <w:rsid w:val="00EE28A0"/>
    <w:rsid w:val="00EE2ACB"/>
    <w:rsid w:val="00EE31F0"/>
    <w:rsid w:val="00EE3834"/>
    <w:rsid w:val="00EE3E1D"/>
    <w:rsid w:val="00EE42E8"/>
    <w:rsid w:val="00EE456E"/>
    <w:rsid w:val="00EE4906"/>
    <w:rsid w:val="00EE4A5F"/>
    <w:rsid w:val="00EE4A67"/>
    <w:rsid w:val="00EE4CBD"/>
    <w:rsid w:val="00EE4D24"/>
    <w:rsid w:val="00EE5617"/>
    <w:rsid w:val="00EE56D6"/>
    <w:rsid w:val="00EE57AB"/>
    <w:rsid w:val="00EE584D"/>
    <w:rsid w:val="00EE63F0"/>
    <w:rsid w:val="00EE64DA"/>
    <w:rsid w:val="00EE669F"/>
    <w:rsid w:val="00EE68D1"/>
    <w:rsid w:val="00EE6AE7"/>
    <w:rsid w:val="00EE6D35"/>
    <w:rsid w:val="00EE6D81"/>
    <w:rsid w:val="00EE7015"/>
    <w:rsid w:val="00EE706E"/>
    <w:rsid w:val="00EE77E3"/>
    <w:rsid w:val="00EE790B"/>
    <w:rsid w:val="00EE7960"/>
    <w:rsid w:val="00EE7A2A"/>
    <w:rsid w:val="00EF0786"/>
    <w:rsid w:val="00EF129D"/>
    <w:rsid w:val="00EF13F1"/>
    <w:rsid w:val="00EF1746"/>
    <w:rsid w:val="00EF184B"/>
    <w:rsid w:val="00EF1AAB"/>
    <w:rsid w:val="00EF1CCF"/>
    <w:rsid w:val="00EF1DAA"/>
    <w:rsid w:val="00EF2132"/>
    <w:rsid w:val="00EF271E"/>
    <w:rsid w:val="00EF2BC7"/>
    <w:rsid w:val="00EF30DB"/>
    <w:rsid w:val="00EF3213"/>
    <w:rsid w:val="00EF3459"/>
    <w:rsid w:val="00EF3AC3"/>
    <w:rsid w:val="00EF3C2C"/>
    <w:rsid w:val="00EF4230"/>
    <w:rsid w:val="00EF441A"/>
    <w:rsid w:val="00EF495D"/>
    <w:rsid w:val="00EF4A91"/>
    <w:rsid w:val="00EF4E58"/>
    <w:rsid w:val="00EF51AD"/>
    <w:rsid w:val="00EF535C"/>
    <w:rsid w:val="00EF53E0"/>
    <w:rsid w:val="00EF55A8"/>
    <w:rsid w:val="00EF5648"/>
    <w:rsid w:val="00EF5A80"/>
    <w:rsid w:val="00EF5B17"/>
    <w:rsid w:val="00EF618A"/>
    <w:rsid w:val="00EF65DB"/>
    <w:rsid w:val="00EF6CFB"/>
    <w:rsid w:val="00EF703D"/>
    <w:rsid w:val="00EF722E"/>
    <w:rsid w:val="00EF731A"/>
    <w:rsid w:val="00EF7346"/>
    <w:rsid w:val="00EF7871"/>
    <w:rsid w:val="00EF7B5B"/>
    <w:rsid w:val="00EF7BEE"/>
    <w:rsid w:val="00EF7C73"/>
    <w:rsid w:val="00F00092"/>
    <w:rsid w:val="00F001B6"/>
    <w:rsid w:val="00F0045A"/>
    <w:rsid w:val="00F0057A"/>
    <w:rsid w:val="00F00863"/>
    <w:rsid w:val="00F00CEA"/>
    <w:rsid w:val="00F010E0"/>
    <w:rsid w:val="00F01549"/>
    <w:rsid w:val="00F01BBD"/>
    <w:rsid w:val="00F01F05"/>
    <w:rsid w:val="00F02A10"/>
    <w:rsid w:val="00F02DDE"/>
    <w:rsid w:val="00F03098"/>
    <w:rsid w:val="00F03348"/>
    <w:rsid w:val="00F03454"/>
    <w:rsid w:val="00F036A3"/>
    <w:rsid w:val="00F04183"/>
    <w:rsid w:val="00F04578"/>
    <w:rsid w:val="00F04624"/>
    <w:rsid w:val="00F04ADD"/>
    <w:rsid w:val="00F04B51"/>
    <w:rsid w:val="00F04D5D"/>
    <w:rsid w:val="00F054F2"/>
    <w:rsid w:val="00F05BBA"/>
    <w:rsid w:val="00F06286"/>
    <w:rsid w:val="00F062D8"/>
    <w:rsid w:val="00F0638F"/>
    <w:rsid w:val="00F064ED"/>
    <w:rsid w:val="00F0668E"/>
    <w:rsid w:val="00F073F5"/>
    <w:rsid w:val="00F07484"/>
    <w:rsid w:val="00F077AD"/>
    <w:rsid w:val="00F07DB3"/>
    <w:rsid w:val="00F10381"/>
    <w:rsid w:val="00F1043F"/>
    <w:rsid w:val="00F1064E"/>
    <w:rsid w:val="00F10EB7"/>
    <w:rsid w:val="00F1106B"/>
    <w:rsid w:val="00F11A25"/>
    <w:rsid w:val="00F11BFB"/>
    <w:rsid w:val="00F11C66"/>
    <w:rsid w:val="00F12160"/>
    <w:rsid w:val="00F12B86"/>
    <w:rsid w:val="00F1328A"/>
    <w:rsid w:val="00F135CC"/>
    <w:rsid w:val="00F13754"/>
    <w:rsid w:val="00F1404B"/>
    <w:rsid w:val="00F14163"/>
    <w:rsid w:val="00F1450C"/>
    <w:rsid w:val="00F1471C"/>
    <w:rsid w:val="00F151B5"/>
    <w:rsid w:val="00F153C3"/>
    <w:rsid w:val="00F1549D"/>
    <w:rsid w:val="00F1557A"/>
    <w:rsid w:val="00F15A28"/>
    <w:rsid w:val="00F1619F"/>
    <w:rsid w:val="00F16527"/>
    <w:rsid w:val="00F16BBA"/>
    <w:rsid w:val="00F16BF5"/>
    <w:rsid w:val="00F171BD"/>
    <w:rsid w:val="00F17758"/>
    <w:rsid w:val="00F17DF9"/>
    <w:rsid w:val="00F17E95"/>
    <w:rsid w:val="00F20567"/>
    <w:rsid w:val="00F2059B"/>
    <w:rsid w:val="00F2092F"/>
    <w:rsid w:val="00F20C72"/>
    <w:rsid w:val="00F20CD0"/>
    <w:rsid w:val="00F20E78"/>
    <w:rsid w:val="00F21398"/>
    <w:rsid w:val="00F218A4"/>
    <w:rsid w:val="00F21935"/>
    <w:rsid w:val="00F21F16"/>
    <w:rsid w:val="00F2206B"/>
    <w:rsid w:val="00F22401"/>
    <w:rsid w:val="00F228CC"/>
    <w:rsid w:val="00F22BF6"/>
    <w:rsid w:val="00F22D97"/>
    <w:rsid w:val="00F22DB8"/>
    <w:rsid w:val="00F22F4B"/>
    <w:rsid w:val="00F231B7"/>
    <w:rsid w:val="00F23BA5"/>
    <w:rsid w:val="00F23E49"/>
    <w:rsid w:val="00F242BD"/>
    <w:rsid w:val="00F24468"/>
    <w:rsid w:val="00F246AF"/>
    <w:rsid w:val="00F24B3B"/>
    <w:rsid w:val="00F24CE5"/>
    <w:rsid w:val="00F24DC9"/>
    <w:rsid w:val="00F24F35"/>
    <w:rsid w:val="00F251FE"/>
    <w:rsid w:val="00F25570"/>
    <w:rsid w:val="00F257C0"/>
    <w:rsid w:val="00F25F09"/>
    <w:rsid w:val="00F25F73"/>
    <w:rsid w:val="00F26175"/>
    <w:rsid w:val="00F2634F"/>
    <w:rsid w:val="00F26890"/>
    <w:rsid w:val="00F26A0B"/>
    <w:rsid w:val="00F26A28"/>
    <w:rsid w:val="00F26A34"/>
    <w:rsid w:val="00F26A69"/>
    <w:rsid w:val="00F26C52"/>
    <w:rsid w:val="00F26DBC"/>
    <w:rsid w:val="00F27915"/>
    <w:rsid w:val="00F27965"/>
    <w:rsid w:val="00F279C6"/>
    <w:rsid w:val="00F27A28"/>
    <w:rsid w:val="00F27D81"/>
    <w:rsid w:val="00F27F17"/>
    <w:rsid w:val="00F2E332"/>
    <w:rsid w:val="00F30143"/>
    <w:rsid w:val="00F30248"/>
    <w:rsid w:val="00F304F2"/>
    <w:rsid w:val="00F3051E"/>
    <w:rsid w:val="00F30908"/>
    <w:rsid w:val="00F30D1B"/>
    <w:rsid w:val="00F30D26"/>
    <w:rsid w:val="00F30E0C"/>
    <w:rsid w:val="00F30E55"/>
    <w:rsid w:val="00F311BD"/>
    <w:rsid w:val="00F31204"/>
    <w:rsid w:val="00F313A7"/>
    <w:rsid w:val="00F3164D"/>
    <w:rsid w:val="00F316A7"/>
    <w:rsid w:val="00F31AD3"/>
    <w:rsid w:val="00F31B87"/>
    <w:rsid w:val="00F31BEE"/>
    <w:rsid w:val="00F31E51"/>
    <w:rsid w:val="00F321DF"/>
    <w:rsid w:val="00F3233E"/>
    <w:rsid w:val="00F323A5"/>
    <w:rsid w:val="00F3258C"/>
    <w:rsid w:val="00F325F8"/>
    <w:rsid w:val="00F32B8D"/>
    <w:rsid w:val="00F32F49"/>
    <w:rsid w:val="00F33010"/>
    <w:rsid w:val="00F34045"/>
    <w:rsid w:val="00F3487A"/>
    <w:rsid w:val="00F34EDB"/>
    <w:rsid w:val="00F34F79"/>
    <w:rsid w:val="00F34FB9"/>
    <w:rsid w:val="00F3530E"/>
    <w:rsid w:val="00F355F2"/>
    <w:rsid w:val="00F358D8"/>
    <w:rsid w:val="00F35945"/>
    <w:rsid w:val="00F35AD2"/>
    <w:rsid w:val="00F36001"/>
    <w:rsid w:val="00F360BD"/>
    <w:rsid w:val="00F3651B"/>
    <w:rsid w:val="00F36577"/>
    <w:rsid w:val="00F36B46"/>
    <w:rsid w:val="00F3718E"/>
    <w:rsid w:val="00F378A3"/>
    <w:rsid w:val="00F3790E"/>
    <w:rsid w:val="00F37BB6"/>
    <w:rsid w:val="00F37D32"/>
    <w:rsid w:val="00F37E19"/>
    <w:rsid w:val="00F37F55"/>
    <w:rsid w:val="00F40074"/>
    <w:rsid w:val="00F402CC"/>
    <w:rsid w:val="00F40686"/>
    <w:rsid w:val="00F40830"/>
    <w:rsid w:val="00F40D5D"/>
    <w:rsid w:val="00F40DEF"/>
    <w:rsid w:val="00F41019"/>
    <w:rsid w:val="00F410C5"/>
    <w:rsid w:val="00F4140D"/>
    <w:rsid w:val="00F4193F"/>
    <w:rsid w:val="00F41B9B"/>
    <w:rsid w:val="00F41D0C"/>
    <w:rsid w:val="00F42325"/>
    <w:rsid w:val="00F423C1"/>
    <w:rsid w:val="00F423D9"/>
    <w:rsid w:val="00F42BC4"/>
    <w:rsid w:val="00F42F47"/>
    <w:rsid w:val="00F43338"/>
    <w:rsid w:val="00F436EC"/>
    <w:rsid w:val="00F43A59"/>
    <w:rsid w:val="00F43E59"/>
    <w:rsid w:val="00F43F24"/>
    <w:rsid w:val="00F4401B"/>
    <w:rsid w:val="00F442EA"/>
    <w:rsid w:val="00F447F4"/>
    <w:rsid w:val="00F44A66"/>
    <w:rsid w:val="00F44EE3"/>
    <w:rsid w:val="00F44EEB"/>
    <w:rsid w:val="00F4505F"/>
    <w:rsid w:val="00F453A1"/>
    <w:rsid w:val="00F45A93"/>
    <w:rsid w:val="00F45B4A"/>
    <w:rsid w:val="00F45C2C"/>
    <w:rsid w:val="00F46660"/>
    <w:rsid w:val="00F46AD6"/>
    <w:rsid w:val="00F46F96"/>
    <w:rsid w:val="00F47165"/>
    <w:rsid w:val="00F471A1"/>
    <w:rsid w:val="00F47967"/>
    <w:rsid w:val="00F47FA4"/>
    <w:rsid w:val="00F50215"/>
    <w:rsid w:val="00F502EC"/>
    <w:rsid w:val="00F50DBE"/>
    <w:rsid w:val="00F51001"/>
    <w:rsid w:val="00F51317"/>
    <w:rsid w:val="00F51696"/>
    <w:rsid w:val="00F5175D"/>
    <w:rsid w:val="00F5226E"/>
    <w:rsid w:val="00F524BC"/>
    <w:rsid w:val="00F52634"/>
    <w:rsid w:val="00F526DB"/>
    <w:rsid w:val="00F533CD"/>
    <w:rsid w:val="00F53662"/>
    <w:rsid w:val="00F53986"/>
    <w:rsid w:val="00F53C51"/>
    <w:rsid w:val="00F54104"/>
    <w:rsid w:val="00F549C0"/>
    <w:rsid w:val="00F551B3"/>
    <w:rsid w:val="00F554D4"/>
    <w:rsid w:val="00F555EE"/>
    <w:rsid w:val="00F5560F"/>
    <w:rsid w:val="00F5563C"/>
    <w:rsid w:val="00F56180"/>
    <w:rsid w:val="00F5677D"/>
    <w:rsid w:val="00F56CEE"/>
    <w:rsid w:val="00F56CF4"/>
    <w:rsid w:val="00F56E62"/>
    <w:rsid w:val="00F573C6"/>
    <w:rsid w:val="00F575B2"/>
    <w:rsid w:val="00F57D75"/>
    <w:rsid w:val="00F57F42"/>
    <w:rsid w:val="00F60084"/>
    <w:rsid w:val="00F6032B"/>
    <w:rsid w:val="00F606E8"/>
    <w:rsid w:val="00F60D83"/>
    <w:rsid w:val="00F6109C"/>
    <w:rsid w:val="00F610A0"/>
    <w:rsid w:val="00F61186"/>
    <w:rsid w:val="00F62378"/>
    <w:rsid w:val="00F62537"/>
    <w:rsid w:val="00F62911"/>
    <w:rsid w:val="00F629AF"/>
    <w:rsid w:val="00F62C00"/>
    <w:rsid w:val="00F62CEA"/>
    <w:rsid w:val="00F62D1B"/>
    <w:rsid w:val="00F62F63"/>
    <w:rsid w:val="00F6312D"/>
    <w:rsid w:val="00F632A8"/>
    <w:rsid w:val="00F63329"/>
    <w:rsid w:val="00F634F8"/>
    <w:rsid w:val="00F635C6"/>
    <w:rsid w:val="00F636C8"/>
    <w:rsid w:val="00F637E1"/>
    <w:rsid w:val="00F63A00"/>
    <w:rsid w:val="00F64483"/>
    <w:rsid w:val="00F6454E"/>
    <w:rsid w:val="00F64921"/>
    <w:rsid w:val="00F64E1F"/>
    <w:rsid w:val="00F64E94"/>
    <w:rsid w:val="00F64F62"/>
    <w:rsid w:val="00F658C5"/>
    <w:rsid w:val="00F65A18"/>
    <w:rsid w:val="00F663AE"/>
    <w:rsid w:val="00F66569"/>
    <w:rsid w:val="00F66ACE"/>
    <w:rsid w:val="00F66D27"/>
    <w:rsid w:val="00F7003B"/>
    <w:rsid w:val="00F70447"/>
    <w:rsid w:val="00F70969"/>
    <w:rsid w:val="00F71077"/>
    <w:rsid w:val="00F710C6"/>
    <w:rsid w:val="00F71BCE"/>
    <w:rsid w:val="00F7242E"/>
    <w:rsid w:val="00F725FC"/>
    <w:rsid w:val="00F72A23"/>
    <w:rsid w:val="00F72CDC"/>
    <w:rsid w:val="00F72D2C"/>
    <w:rsid w:val="00F73142"/>
    <w:rsid w:val="00F732AB"/>
    <w:rsid w:val="00F732E7"/>
    <w:rsid w:val="00F7374F"/>
    <w:rsid w:val="00F738AC"/>
    <w:rsid w:val="00F74256"/>
    <w:rsid w:val="00F746B2"/>
    <w:rsid w:val="00F74722"/>
    <w:rsid w:val="00F74DB6"/>
    <w:rsid w:val="00F74EB2"/>
    <w:rsid w:val="00F757F1"/>
    <w:rsid w:val="00F75C02"/>
    <w:rsid w:val="00F75D10"/>
    <w:rsid w:val="00F7626D"/>
    <w:rsid w:val="00F76337"/>
    <w:rsid w:val="00F76D3A"/>
    <w:rsid w:val="00F770E1"/>
    <w:rsid w:val="00F7731A"/>
    <w:rsid w:val="00F77EC7"/>
    <w:rsid w:val="00F80504"/>
    <w:rsid w:val="00F811CD"/>
    <w:rsid w:val="00F81657"/>
    <w:rsid w:val="00F81969"/>
    <w:rsid w:val="00F81C3D"/>
    <w:rsid w:val="00F81C41"/>
    <w:rsid w:val="00F81DD1"/>
    <w:rsid w:val="00F81DFD"/>
    <w:rsid w:val="00F821A1"/>
    <w:rsid w:val="00F825A0"/>
    <w:rsid w:val="00F8264F"/>
    <w:rsid w:val="00F82A97"/>
    <w:rsid w:val="00F82C68"/>
    <w:rsid w:val="00F836CF"/>
    <w:rsid w:val="00F83E18"/>
    <w:rsid w:val="00F84118"/>
    <w:rsid w:val="00F8430F"/>
    <w:rsid w:val="00F84333"/>
    <w:rsid w:val="00F84906"/>
    <w:rsid w:val="00F84DAF"/>
    <w:rsid w:val="00F84F9F"/>
    <w:rsid w:val="00F85061"/>
    <w:rsid w:val="00F85200"/>
    <w:rsid w:val="00F8557F"/>
    <w:rsid w:val="00F85669"/>
    <w:rsid w:val="00F8569E"/>
    <w:rsid w:val="00F85A02"/>
    <w:rsid w:val="00F85B6D"/>
    <w:rsid w:val="00F85EDF"/>
    <w:rsid w:val="00F86351"/>
    <w:rsid w:val="00F869DD"/>
    <w:rsid w:val="00F86A7A"/>
    <w:rsid w:val="00F86F40"/>
    <w:rsid w:val="00F87F32"/>
    <w:rsid w:val="00F900AE"/>
    <w:rsid w:val="00F90286"/>
    <w:rsid w:val="00F90F47"/>
    <w:rsid w:val="00F910C2"/>
    <w:rsid w:val="00F91517"/>
    <w:rsid w:val="00F91523"/>
    <w:rsid w:val="00F91614"/>
    <w:rsid w:val="00F918F0"/>
    <w:rsid w:val="00F91E99"/>
    <w:rsid w:val="00F92073"/>
    <w:rsid w:val="00F9262D"/>
    <w:rsid w:val="00F9263F"/>
    <w:rsid w:val="00F92A5B"/>
    <w:rsid w:val="00F92C19"/>
    <w:rsid w:val="00F93639"/>
    <w:rsid w:val="00F936DB"/>
    <w:rsid w:val="00F93FF8"/>
    <w:rsid w:val="00F94701"/>
    <w:rsid w:val="00F94E67"/>
    <w:rsid w:val="00F9514E"/>
    <w:rsid w:val="00F9516A"/>
    <w:rsid w:val="00F952AE"/>
    <w:rsid w:val="00F957D4"/>
    <w:rsid w:val="00F959A7"/>
    <w:rsid w:val="00F962A3"/>
    <w:rsid w:val="00F96DC2"/>
    <w:rsid w:val="00F97139"/>
    <w:rsid w:val="00F97BB5"/>
    <w:rsid w:val="00F97CC7"/>
    <w:rsid w:val="00F97E6D"/>
    <w:rsid w:val="00F9801A"/>
    <w:rsid w:val="00FA079C"/>
    <w:rsid w:val="00FA0888"/>
    <w:rsid w:val="00FA0D4C"/>
    <w:rsid w:val="00FA147D"/>
    <w:rsid w:val="00FA14D0"/>
    <w:rsid w:val="00FA1989"/>
    <w:rsid w:val="00FA1E49"/>
    <w:rsid w:val="00FA1F76"/>
    <w:rsid w:val="00FA26E8"/>
    <w:rsid w:val="00FA2A8A"/>
    <w:rsid w:val="00FA304A"/>
    <w:rsid w:val="00FA3093"/>
    <w:rsid w:val="00FA34AC"/>
    <w:rsid w:val="00FA3AE4"/>
    <w:rsid w:val="00FA4311"/>
    <w:rsid w:val="00FA451A"/>
    <w:rsid w:val="00FA45D1"/>
    <w:rsid w:val="00FA45F3"/>
    <w:rsid w:val="00FA4700"/>
    <w:rsid w:val="00FA4757"/>
    <w:rsid w:val="00FA47F3"/>
    <w:rsid w:val="00FA47FC"/>
    <w:rsid w:val="00FA4911"/>
    <w:rsid w:val="00FA5056"/>
    <w:rsid w:val="00FA572E"/>
    <w:rsid w:val="00FA576D"/>
    <w:rsid w:val="00FA589B"/>
    <w:rsid w:val="00FA5B53"/>
    <w:rsid w:val="00FA5D97"/>
    <w:rsid w:val="00FA60E1"/>
    <w:rsid w:val="00FA60EE"/>
    <w:rsid w:val="00FA63B3"/>
    <w:rsid w:val="00FA6677"/>
    <w:rsid w:val="00FA693A"/>
    <w:rsid w:val="00FA6D88"/>
    <w:rsid w:val="00FA6E43"/>
    <w:rsid w:val="00FA6F68"/>
    <w:rsid w:val="00FA72CF"/>
    <w:rsid w:val="00FA7C34"/>
    <w:rsid w:val="00FB01FC"/>
    <w:rsid w:val="00FB0345"/>
    <w:rsid w:val="00FB0349"/>
    <w:rsid w:val="00FB050A"/>
    <w:rsid w:val="00FB1389"/>
    <w:rsid w:val="00FB159C"/>
    <w:rsid w:val="00FB1609"/>
    <w:rsid w:val="00FB1893"/>
    <w:rsid w:val="00FB1A2E"/>
    <w:rsid w:val="00FB1A7E"/>
    <w:rsid w:val="00FB1DAF"/>
    <w:rsid w:val="00FB22FF"/>
    <w:rsid w:val="00FB24EA"/>
    <w:rsid w:val="00FB2653"/>
    <w:rsid w:val="00FB267F"/>
    <w:rsid w:val="00FB2905"/>
    <w:rsid w:val="00FB2E14"/>
    <w:rsid w:val="00FB3360"/>
    <w:rsid w:val="00FB3508"/>
    <w:rsid w:val="00FB3726"/>
    <w:rsid w:val="00FB3A9E"/>
    <w:rsid w:val="00FB4095"/>
    <w:rsid w:val="00FB42E2"/>
    <w:rsid w:val="00FB4349"/>
    <w:rsid w:val="00FB47F0"/>
    <w:rsid w:val="00FB4AF6"/>
    <w:rsid w:val="00FB4E96"/>
    <w:rsid w:val="00FB5118"/>
    <w:rsid w:val="00FB51DD"/>
    <w:rsid w:val="00FB51EB"/>
    <w:rsid w:val="00FB5260"/>
    <w:rsid w:val="00FB53A5"/>
    <w:rsid w:val="00FB5473"/>
    <w:rsid w:val="00FB5AE2"/>
    <w:rsid w:val="00FB5D5E"/>
    <w:rsid w:val="00FB5D61"/>
    <w:rsid w:val="00FB618F"/>
    <w:rsid w:val="00FB6381"/>
    <w:rsid w:val="00FB6DC9"/>
    <w:rsid w:val="00FB78BD"/>
    <w:rsid w:val="00FC05FB"/>
    <w:rsid w:val="00FC08DA"/>
    <w:rsid w:val="00FC094B"/>
    <w:rsid w:val="00FC0BD3"/>
    <w:rsid w:val="00FC0E7C"/>
    <w:rsid w:val="00FC143A"/>
    <w:rsid w:val="00FC1478"/>
    <w:rsid w:val="00FC15F1"/>
    <w:rsid w:val="00FC16D8"/>
    <w:rsid w:val="00FC1860"/>
    <w:rsid w:val="00FC1863"/>
    <w:rsid w:val="00FC1891"/>
    <w:rsid w:val="00FC273B"/>
    <w:rsid w:val="00FC28A3"/>
    <w:rsid w:val="00FC28B3"/>
    <w:rsid w:val="00FC2989"/>
    <w:rsid w:val="00FC29F4"/>
    <w:rsid w:val="00FC2F63"/>
    <w:rsid w:val="00FC3145"/>
    <w:rsid w:val="00FC3250"/>
    <w:rsid w:val="00FC3287"/>
    <w:rsid w:val="00FC3FA7"/>
    <w:rsid w:val="00FC46BA"/>
    <w:rsid w:val="00FC46D7"/>
    <w:rsid w:val="00FC4756"/>
    <w:rsid w:val="00FC4998"/>
    <w:rsid w:val="00FC4B63"/>
    <w:rsid w:val="00FC4D54"/>
    <w:rsid w:val="00FC54EA"/>
    <w:rsid w:val="00FC54F1"/>
    <w:rsid w:val="00FC58C2"/>
    <w:rsid w:val="00FC5A45"/>
    <w:rsid w:val="00FC5CBD"/>
    <w:rsid w:val="00FC646E"/>
    <w:rsid w:val="00FC6DDC"/>
    <w:rsid w:val="00FC712F"/>
    <w:rsid w:val="00FC77C5"/>
    <w:rsid w:val="00FC7C3E"/>
    <w:rsid w:val="00FC7E84"/>
    <w:rsid w:val="00FCB156"/>
    <w:rsid w:val="00FD0624"/>
    <w:rsid w:val="00FD0EA5"/>
    <w:rsid w:val="00FD1840"/>
    <w:rsid w:val="00FD212C"/>
    <w:rsid w:val="00FD225F"/>
    <w:rsid w:val="00FD26D4"/>
    <w:rsid w:val="00FD286D"/>
    <w:rsid w:val="00FD2B26"/>
    <w:rsid w:val="00FD2F0F"/>
    <w:rsid w:val="00FD2FAC"/>
    <w:rsid w:val="00FD3053"/>
    <w:rsid w:val="00FD348B"/>
    <w:rsid w:val="00FD37B3"/>
    <w:rsid w:val="00FD37CA"/>
    <w:rsid w:val="00FD3B93"/>
    <w:rsid w:val="00FD4077"/>
    <w:rsid w:val="00FD4683"/>
    <w:rsid w:val="00FD50EF"/>
    <w:rsid w:val="00FD54DC"/>
    <w:rsid w:val="00FD5587"/>
    <w:rsid w:val="00FD57EE"/>
    <w:rsid w:val="00FD57F9"/>
    <w:rsid w:val="00FD5A2A"/>
    <w:rsid w:val="00FD5A36"/>
    <w:rsid w:val="00FD5F95"/>
    <w:rsid w:val="00FD61ED"/>
    <w:rsid w:val="00FD6279"/>
    <w:rsid w:val="00FD6362"/>
    <w:rsid w:val="00FD6640"/>
    <w:rsid w:val="00FD6B35"/>
    <w:rsid w:val="00FD70FA"/>
    <w:rsid w:val="00FD7339"/>
    <w:rsid w:val="00FD7AA2"/>
    <w:rsid w:val="00FD7DA7"/>
    <w:rsid w:val="00FE02E4"/>
    <w:rsid w:val="00FE0BC9"/>
    <w:rsid w:val="00FE115C"/>
    <w:rsid w:val="00FE1177"/>
    <w:rsid w:val="00FE148C"/>
    <w:rsid w:val="00FE1552"/>
    <w:rsid w:val="00FE196F"/>
    <w:rsid w:val="00FE197D"/>
    <w:rsid w:val="00FE1A7A"/>
    <w:rsid w:val="00FE1A7C"/>
    <w:rsid w:val="00FE1D6D"/>
    <w:rsid w:val="00FE21CB"/>
    <w:rsid w:val="00FE24C2"/>
    <w:rsid w:val="00FE2836"/>
    <w:rsid w:val="00FE2A7D"/>
    <w:rsid w:val="00FE2EFB"/>
    <w:rsid w:val="00FE2FA8"/>
    <w:rsid w:val="00FE35A9"/>
    <w:rsid w:val="00FE3639"/>
    <w:rsid w:val="00FE39DC"/>
    <w:rsid w:val="00FE3EC6"/>
    <w:rsid w:val="00FE4344"/>
    <w:rsid w:val="00FE4677"/>
    <w:rsid w:val="00FE4923"/>
    <w:rsid w:val="00FE4999"/>
    <w:rsid w:val="00FE50AC"/>
    <w:rsid w:val="00FE594F"/>
    <w:rsid w:val="00FE5C1B"/>
    <w:rsid w:val="00FE63F1"/>
    <w:rsid w:val="00FE6576"/>
    <w:rsid w:val="00FE65E9"/>
    <w:rsid w:val="00FE6662"/>
    <w:rsid w:val="00FE6735"/>
    <w:rsid w:val="00FE6959"/>
    <w:rsid w:val="00FE6AB8"/>
    <w:rsid w:val="00FE6BCB"/>
    <w:rsid w:val="00FE6C71"/>
    <w:rsid w:val="00FE6FED"/>
    <w:rsid w:val="00FE70AC"/>
    <w:rsid w:val="00FE729D"/>
    <w:rsid w:val="00FE73D6"/>
    <w:rsid w:val="00FE74AE"/>
    <w:rsid w:val="00FE75E0"/>
    <w:rsid w:val="00FE7626"/>
    <w:rsid w:val="00FE7699"/>
    <w:rsid w:val="00FE7B9D"/>
    <w:rsid w:val="00FE7D6D"/>
    <w:rsid w:val="00FE7DBA"/>
    <w:rsid w:val="00FE7DC9"/>
    <w:rsid w:val="00FE7E0A"/>
    <w:rsid w:val="00FE7F22"/>
    <w:rsid w:val="00FE7FF0"/>
    <w:rsid w:val="00FF04E9"/>
    <w:rsid w:val="00FF0B45"/>
    <w:rsid w:val="00FF0BD1"/>
    <w:rsid w:val="00FF0E16"/>
    <w:rsid w:val="00FF199B"/>
    <w:rsid w:val="00FF1B1D"/>
    <w:rsid w:val="00FF1D8F"/>
    <w:rsid w:val="00FF2441"/>
    <w:rsid w:val="00FF247E"/>
    <w:rsid w:val="00FF2AA8"/>
    <w:rsid w:val="00FF2C4A"/>
    <w:rsid w:val="00FF2EA1"/>
    <w:rsid w:val="00FF32F3"/>
    <w:rsid w:val="00FF38AC"/>
    <w:rsid w:val="00FF3AD0"/>
    <w:rsid w:val="00FF3B47"/>
    <w:rsid w:val="00FF4654"/>
    <w:rsid w:val="00FF47BB"/>
    <w:rsid w:val="00FF4B7B"/>
    <w:rsid w:val="00FF4BEF"/>
    <w:rsid w:val="00FF4F46"/>
    <w:rsid w:val="00FF5308"/>
    <w:rsid w:val="00FF599B"/>
    <w:rsid w:val="00FF5A02"/>
    <w:rsid w:val="00FF5BF0"/>
    <w:rsid w:val="00FF5E2E"/>
    <w:rsid w:val="00FF61CB"/>
    <w:rsid w:val="00FF647D"/>
    <w:rsid w:val="00FF6CF4"/>
    <w:rsid w:val="00FF743F"/>
    <w:rsid w:val="00FF7443"/>
    <w:rsid w:val="00FF755A"/>
    <w:rsid w:val="00FF7655"/>
    <w:rsid w:val="00FF7C0A"/>
    <w:rsid w:val="00FF7E34"/>
    <w:rsid w:val="01038550"/>
    <w:rsid w:val="01179B27"/>
    <w:rsid w:val="012C56FC"/>
    <w:rsid w:val="012C6D07"/>
    <w:rsid w:val="01333AAC"/>
    <w:rsid w:val="014D60BE"/>
    <w:rsid w:val="0181A5BE"/>
    <w:rsid w:val="0181C130"/>
    <w:rsid w:val="019C0266"/>
    <w:rsid w:val="01AEF728"/>
    <w:rsid w:val="01F0E2FE"/>
    <w:rsid w:val="01FBD715"/>
    <w:rsid w:val="020E7DCA"/>
    <w:rsid w:val="0234EB01"/>
    <w:rsid w:val="023B99E9"/>
    <w:rsid w:val="0247C302"/>
    <w:rsid w:val="02A86083"/>
    <w:rsid w:val="02B00135"/>
    <w:rsid w:val="02BE9C99"/>
    <w:rsid w:val="02CCA0DE"/>
    <w:rsid w:val="0309D6C1"/>
    <w:rsid w:val="030FF357"/>
    <w:rsid w:val="0321FA1B"/>
    <w:rsid w:val="0323477A"/>
    <w:rsid w:val="0332EA88"/>
    <w:rsid w:val="0352495E"/>
    <w:rsid w:val="03686AFF"/>
    <w:rsid w:val="03752515"/>
    <w:rsid w:val="03B4980C"/>
    <w:rsid w:val="03F700D2"/>
    <w:rsid w:val="03F848A1"/>
    <w:rsid w:val="040C2B97"/>
    <w:rsid w:val="041892FF"/>
    <w:rsid w:val="041E0743"/>
    <w:rsid w:val="042EB543"/>
    <w:rsid w:val="042F5C10"/>
    <w:rsid w:val="04471D1B"/>
    <w:rsid w:val="045A742D"/>
    <w:rsid w:val="04698620"/>
    <w:rsid w:val="047F8AFC"/>
    <w:rsid w:val="04839C2A"/>
    <w:rsid w:val="048CCF28"/>
    <w:rsid w:val="049B35A7"/>
    <w:rsid w:val="049D8088"/>
    <w:rsid w:val="04E0C9AA"/>
    <w:rsid w:val="04FA0AF4"/>
    <w:rsid w:val="0507CD5C"/>
    <w:rsid w:val="0524500C"/>
    <w:rsid w:val="052B4BB3"/>
    <w:rsid w:val="05316A7E"/>
    <w:rsid w:val="05328CDF"/>
    <w:rsid w:val="05339E6B"/>
    <w:rsid w:val="05461D53"/>
    <w:rsid w:val="0549F6C8"/>
    <w:rsid w:val="0551F34E"/>
    <w:rsid w:val="05682FB8"/>
    <w:rsid w:val="05A7A987"/>
    <w:rsid w:val="05BDC93B"/>
    <w:rsid w:val="05C8899A"/>
    <w:rsid w:val="05E99D1D"/>
    <w:rsid w:val="05EC47E5"/>
    <w:rsid w:val="05EC9CB2"/>
    <w:rsid w:val="05F68577"/>
    <w:rsid w:val="060D4AA8"/>
    <w:rsid w:val="064F1529"/>
    <w:rsid w:val="065C55CA"/>
    <w:rsid w:val="067CCABE"/>
    <w:rsid w:val="068DE528"/>
    <w:rsid w:val="0696A042"/>
    <w:rsid w:val="06D29E9D"/>
    <w:rsid w:val="06E94A92"/>
    <w:rsid w:val="070D4419"/>
    <w:rsid w:val="072064E4"/>
    <w:rsid w:val="072091BD"/>
    <w:rsid w:val="072F104E"/>
    <w:rsid w:val="072F4DD5"/>
    <w:rsid w:val="07641141"/>
    <w:rsid w:val="07686F58"/>
    <w:rsid w:val="0785CE58"/>
    <w:rsid w:val="0793C279"/>
    <w:rsid w:val="07BF3114"/>
    <w:rsid w:val="07C68D3A"/>
    <w:rsid w:val="07D297D5"/>
    <w:rsid w:val="07E07AEE"/>
    <w:rsid w:val="07F86AB1"/>
    <w:rsid w:val="0804A97D"/>
    <w:rsid w:val="0835FBD1"/>
    <w:rsid w:val="08490BDE"/>
    <w:rsid w:val="085B7641"/>
    <w:rsid w:val="086F085C"/>
    <w:rsid w:val="086FFFAB"/>
    <w:rsid w:val="087AA83C"/>
    <w:rsid w:val="087BEE6D"/>
    <w:rsid w:val="0880301F"/>
    <w:rsid w:val="08C2C946"/>
    <w:rsid w:val="08EE3AE6"/>
    <w:rsid w:val="0906604B"/>
    <w:rsid w:val="0909201D"/>
    <w:rsid w:val="0934D237"/>
    <w:rsid w:val="09425B05"/>
    <w:rsid w:val="094CC79D"/>
    <w:rsid w:val="095890DB"/>
    <w:rsid w:val="095C8187"/>
    <w:rsid w:val="09682B8A"/>
    <w:rsid w:val="09862319"/>
    <w:rsid w:val="09C2EC93"/>
    <w:rsid w:val="09C9A723"/>
    <w:rsid w:val="09CC6992"/>
    <w:rsid w:val="09DB063B"/>
    <w:rsid w:val="0A075D57"/>
    <w:rsid w:val="0A37216B"/>
    <w:rsid w:val="0A4577BB"/>
    <w:rsid w:val="0A47F8E6"/>
    <w:rsid w:val="0A539440"/>
    <w:rsid w:val="0A7870D4"/>
    <w:rsid w:val="0A7F3FE6"/>
    <w:rsid w:val="0A8849BE"/>
    <w:rsid w:val="0A932EFF"/>
    <w:rsid w:val="0A9A201C"/>
    <w:rsid w:val="0AB87B6C"/>
    <w:rsid w:val="0ABEBC8B"/>
    <w:rsid w:val="0AE73B8B"/>
    <w:rsid w:val="0B202BC9"/>
    <w:rsid w:val="0B40AF45"/>
    <w:rsid w:val="0B493299"/>
    <w:rsid w:val="0B4E19D9"/>
    <w:rsid w:val="0B86C190"/>
    <w:rsid w:val="0BD48F4A"/>
    <w:rsid w:val="0BDCF027"/>
    <w:rsid w:val="0BFBD927"/>
    <w:rsid w:val="0BFD791E"/>
    <w:rsid w:val="0C009C35"/>
    <w:rsid w:val="0C044234"/>
    <w:rsid w:val="0C5EABED"/>
    <w:rsid w:val="0C95033A"/>
    <w:rsid w:val="0CA8883E"/>
    <w:rsid w:val="0CBC3185"/>
    <w:rsid w:val="0CC2D0F9"/>
    <w:rsid w:val="0CE0BB79"/>
    <w:rsid w:val="0D05BC72"/>
    <w:rsid w:val="0D0DAE21"/>
    <w:rsid w:val="0D1D2708"/>
    <w:rsid w:val="0D2DD725"/>
    <w:rsid w:val="0D3C3926"/>
    <w:rsid w:val="0D423172"/>
    <w:rsid w:val="0D457A64"/>
    <w:rsid w:val="0D45DC9A"/>
    <w:rsid w:val="0D58E245"/>
    <w:rsid w:val="0D5C4EBE"/>
    <w:rsid w:val="0D6129A8"/>
    <w:rsid w:val="0D6914CD"/>
    <w:rsid w:val="0D791A7B"/>
    <w:rsid w:val="0D808417"/>
    <w:rsid w:val="0D8B11B2"/>
    <w:rsid w:val="0DAC5516"/>
    <w:rsid w:val="0DB237C6"/>
    <w:rsid w:val="0DD5BC3E"/>
    <w:rsid w:val="0DD96DFF"/>
    <w:rsid w:val="0DE6D2C0"/>
    <w:rsid w:val="0DECC9C1"/>
    <w:rsid w:val="0DF9F7C3"/>
    <w:rsid w:val="0E039C06"/>
    <w:rsid w:val="0E3289DF"/>
    <w:rsid w:val="0E334768"/>
    <w:rsid w:val="0E350207"/>
    <w:rsid w:val="0E4A7869"/>
    <w:rsid w:val="0E72483F"/>
    <w:rsid w:val="0E75D68B"/>
    <w:rsid w:val="0E858DF1"/>
    <w:rsid w:val="0EC1AE66"/>
    <w:rsid w:val="0EEAE1CD"/>
    <w:rsid w:val="0F062AD1"/>
    <w:rsid w:val="0F42DA2B"/>
    <w:rsid w:val="0F663194"/>
    <w:rsid w:val="0F972644"/>
    <w:rsid w:val="0F986A2A"/>
    <w:rsid w:val="0FAD3355"/>
    <w:rsid w:val="0FB504CB"/>
    <w:rsid w:val="0FC8BF2B"/>
    <w:rsid w:val="0FD580CF"/>
    <w:rsid w:val="0FE0A11D"/>
    <w:rsid w:val="1001D7A0"/>
    <w:rsid w:val="10187963"/>
    <w:rsid w:val="10305315"/>
    <w:rsid w:val="103AA34B"/>
    <w:rsid w:val="104FB46A"/>
    <w:rsid w:val="10690A1B"/>
    <w:rsid w:val="109FD60D"/>
    <w:rsid w:val="10A6E43F"/>
    <w:rsid w:val="10DFDC0B"/>
    <w:rsid w:val="10FFAC9F"/>
    <w:rsid w:val="110E07C9"/>
    <w:rsid w:val="11226930"/>
    <w:rsid w:val="113057B3"/>
    <w:rsid w:val="1147443F"/>
    <w:rsid w:val="116D6325"/>
    <w:rsid w:val="11721268"/>
    <w:rsid w:val="117CC418"/>
    <w:rsid w:val="11866798"/>
    <w:rsid w:val="1196505F"/>
    <w:rsid w:val="1198E971"/>
    <w:rsid w:val="119A95BF"/>
    <w:rsid w:val="11D6BB96"/>
    <w:rsid w:val="11DD3BD2"/>
    <w:rsid w:val="11E4BB5C"/>
    <w:rsid w:val="11E6783F"/>
    <w:rsid w:val="11F2CCA1"/>
    <w:rsid w:val="11F2F57C"/>
    <w:rsid w:val="11FF76FB"/>
    <w:rsid w:val="1200F00F"/>
    <w:rsid w:val="120EB405"/>
    <w:rsid w:val="122F9775"/>
    <w:rsid w:val="123453FC"/>
    <w:rsid w:val="1236BA7D"/>
    <w:rsid w:val="12439D6F"/>
    <w:rsid w:val="125A8826"/>
    <w:rsid w:val="1265DF89"/>
    <w:rsid w:val="12845C98"/>
    <w:rsid w:val="1291B381"/>
    <w:rsid w:val="12948D6C"/>
    <w:rsid w:val="1297A742"/>
    <w:rsid w:val="12DCD172"/>
    <w:rsid w:val="12F97948"/>
    <w:rsid w:val="1303BF32"/>
    <w:rsid w:val="1305F997"/>
    <w:rsid w:val="136E2E47"/>
    <w:rsid w:val="1374ABE4"/>
    <w:rsid w:val="137CCF58"/>
    <w:rsid w:val="1389D01B"/>
    <w:rsid w:val="13A6978A"/>
    <w:rsid w:val="13AD8E53"/>
    <w:rsid w:val="13B80C5C"/>
    <w:rsid w:val="13D7CAD3"/>
    <w:rsid w:val="13E82ACC"/>
    <w:rsid w:val="1413E25B"/>
    <w:rsid w:val="1419BC3A"/>
    <w:rsid w:val="141CFC57"/>
    <w:rsid w:val="141D263D"/>
    <w:rsid w:val="1450F229"/>
    <w:rsid w:val="1461DE7D"/>
    <w:rsid w:val="14666564"/>
    <w:rsid w:val="146CFE3C"/>
    <w:rsid w:val="146D286A"/>
    <w:rsid w:val="149953F6"/>
    <w:rsid w:val="149DAC85"/>
    <w:rsid w:val="14A8DF8B"/>
    <w:rsid w:val="14D8DB2B"/>
    <w:rsid w:val="14DA555C"/>
    <w:rsid w:val="14F6C8D2"/>
    <w:rsid w:val="151C4B6D"/>
    <w:rsid w:val="15438323"/>
    <w:rsid w:val="155F0A48"/>
    <w:rsid w:val="1567495D"/>
    <w:rsid w:val="1597748D"/>
    <w:rsid w:val="15AF6BAB"/>
    <w:rsid w:val="15BA7CD4"/>
    <w:rsid w:val="15E3B220"/>
    <w:rsid w:val="15F4FBCC"/>
    <w:rsid w:val="15F5AB91"/>
    <w:rsid w:val="16205975"/>
    <w:rsid w:val="1622E7C7"/>
    <w:rsid w:val="164EAAA0"/>
    <w:rsid w:val="1658130B"/>
    <w:rsid w:val="166C57A7"/>
    <w:rsid w:val="1675AFAC"/>
    <w:rsid w:val="16942615"/>
    <w:rsid w:val="16C98D1A"/>
    <w:rsid w:val="16EF9791"/>
    <w:rsid w:val="17018C67"/>
    <w:rsid w:val="17027776"/>
    <w:rsid w:val="17099458"/>
    <w:rsid w:val="172384AA"/>
    <w:rsid w:val="172C60DF"/>
    <w:rsid w:val="173DCAF9"/>
    <w:rsid w:val="1748CCAA"/>
    <w:rsid w:val="1770C12A"/>
    <w:rsid w:val="1792D8D7"/>
    <w:rsid w:val="17A2825E"/>
    <w:rsid w:val="17A77C94"/>
    <w:rsid w:val="17AD26C5"/>
    <w:rsid w:val="17CBE263"/>
    <w:rsid w:val="17D22535"/>
    <w:rsid w:val="17DE058F"/>
    <w:rsid w:val="18197687"/>
    <w:rsid w:val="1828DED2"/>
    <w:rsid w:val="1831B128"/>
    <w:rsid w:val="1863E90C"/>
    <w:rsid w:val="18ABC4A4"/>
    <w:rsid w:val="18C15E8E"/>
    <w:rsid w:val="18C9B424"/>
    <w:rsid w:val="18FE4F76"/>
    <w:rsid w:val="192D6EA8"/>
    <w:rsid w:val="194E827F"/>
    <w:rsid w:val="195B4025"/>
    <w:rsid w:val="1966787B"/>
    <w:rsid w:val="1976D526"/>
    <w:rsid w:val="198A05D0"/>
    <w:rsid w:val="19BC66D1"/>
    <w:rsid w:val="19C0C3CC"/>
    <w:rsid w:val="19CC73CF"/>
    <w:rsid w:val="1A225638"/>
    <w:rsid w:val="1A2DD43A"/>
    <w:rsid w:val="1A5830BE"/>
    <w:rsid w:val="1A7B05E6"/>
    <w:rsid w:val="1A848CF2"/>
    <w:rsid w:val="1AD684FB"/>
    <w:rsid w:val="1ADC5BA9"/>
    <w:rsid w:val="1B163B63"/>
    <w:rsid w:val="1B22ABBF"/>
    <w:rsid w:val="1B2DAA2D"/>
    <w:rsid w:val="1B334623"/>
    <w:rsid w:val="1B34ED93"/>
    <w:rsid w:val="1B36FB4A"/>
    <w:rsid w:val="1B493CBF"/>
    <w:rsid w:val="1B4B78AC"/>
    <w:rsid w:val="1B66126E"/>
    <w:rsid w:val="1B6CE518"/>
    <w:rsid w:val="1B6F8AFE"/>
    <w:rsid w:val="1B93B550"/>
    <w:rsid w:val="1BB1A599"/>
    <w:rsid w:val="1BB2C47E"/>
    <w:rsid w:val="1BBBED34"/>
    <w:rsid w:val="1BC0CDCF"/>
    <w:rsid w:val="1BCCC3E1"/>
    <w:rsid w:val="1BFEAC8A"/>
    <w:rsid w:val="1C01B6C1"/>
    <w:rsid w:val="1C03E5AB"/>
    <w:rsid w:val="1C0D8AB2"/>
    <w:rsid w:val="1C0F9E5B"/>
    <w:rsid w:val="1C1A1EE8"/>
    <w:rsid w:val="1C21B9BD"/>
    <w:rsid w:val="1C2D2A3A"/>
    <w:rsid w:val="1C30FF31"/>
    <w:rsid w:val="1C3B9BE5"/>
    <w:rsid w:val="1C40158F"/>
    <w:rsid w:val="1C40651E"/>
    <w:rsid w:val="1C6D256A"/>
    <w:rsid w:val="1C823EF8"/>
    <w:rsid w:val="1CA67D4B"/>
    <w:rsid w:val="1CAF695E"/>
    <w:rsid w:val="1CB42BCD"/>
    <w:rsid w:val="1CBD4533"/>
    <w:rsid w:val="1CCBCA37"/>
    <w:rsid w:val="1CD0843B"/>
    <w:rsid w:val="1D186AAC"/>
    <w:rsid w:val="1D2B8E7D"/>
    <w:rsid w:val="1D7B634C"/>
    <w:rsid w:val="1D7E9E56"/>
    <w:rsid w:val="1D8001AD"/>
    <w:rsid w:val="1D83F773"/>
    <w:rsid w:val="1D95930E"/>
    <w:rsid w:val="1D9CCF73"/>
    <w:rsid w:val="1D9F4AD6"/>
    <w:rsid w:val="1D9FB665"/>
    <w:rsid w:val="1DA4536E"/>
    <w:rsid w:val="1DC2E3F1"/>
    <w:rsid w:val="1DDE9C21"/>
    <w:rsid w:val="1E00431E"/>
    <w:rsid w:val="1E20962C"/>
    <w:rsid w:val="1E28AE69"/>
    <w:rsid w:val="1E2B395E"/>
    <w:rsid w:val="1E4809EE"/>
    <w:rsid w:val="1E51974C"/>
    <w:rsid w:val="1E7B6253"/>
    <w:rsid w:val="1E7E38CA"/>
    <w:rsid w:val="1E897BE0"/>
    <w:rsid w:val="1E948319"/>
    <w:rsid w:val="1ED2D1F8"/>
    <w:rsid w:val="1EFDAAFE"/>
    <w:rsid w:val="1F019EA9"/>
    <w:rsid w:val="1F06ACF1"/>
    <w:rsid w:val="1F21FCF0"/>
    <w:rsid w:val="1F2AF4BE"/>
    <w:rsid w:val="1F3AEFE4"/>
    <w:rsid w:val="1F407890"/>
    <w:rsid w:val="1F477811"/>
    <w:rsid w:val="1F8AFFA9"/>
    <w:rsid w:val="1F92ED58"/>
    <w:rsid w:val="1FBEF0D7"/>
    <w:rsid w:val="1FD32B2D"/>
    <w:rsid w:val="1FEAE0E6"/>
    <w:rsid w:val="1FEE6A84"/>
    <w:rsid w:val="1FFAE33E"/>
    <w:rsid w:val="2015AFC2"/>
    <w:rsid w:val="2017FC51"/>
    <w:rsid w:val="20424E7A"/>
    <w:rsid w:val="207052EF"/>
    <w:rsid w:val="20735B5A"/>
    <w:rsid w:val="207F3ED3"/>
    <w:rsid w:val="207FDAEE"/>
    <w:rsid w:val="208B1F92"/>
    <w:rsid w:val="2099581A"/>
    <w:rsid w:val="20A97238"/>
    <w:rsid w:val="20ADA0F3"/>
    <w:rsid w:val="20B0B6FB"/>
    <w:rsid w:val="20CACDAF"/>
    <w:rsid w:val="20D8D0C8"/>
    <w:rsid w:val="20E237D1"/>
    <w:rsid w:val="20F5BDCC"/>
    <w:rsid w:val="211A2298"/>
    <w:rsid w:val="21247657"/>
    <w:rsid w:val="215600CB"/>
    <w:rsid w:val="21641F40"/>
    <w:rsid w:val="216C4F73"/>
    <w:rsid w:val="21A99B24"/>
    <w:rsid w:val="21B9EE87"/>
    <w:rsid w:val="21D944E8"/>
    <w:rsid w:val="21DAC0F3"/>
    <w:rsid w:val="21EC3385"/>
    <w:rsid w:val="21FA2EE2"/>
    <w:rsid w:val="2219BB3A"/>
    <w:rsid w:val="221E1929"/>
    <w:rsid w:val="2259C35A"/>
    <w:rsid w:val="225DA621"/>
    <w:rsid w:val="227BE20F"/>
    <w:rsid w:val="2298F300"/>
    <w:rsid w:val="22B44E36"/>
    <w:rsid w:val="22E5104B"/>
    <w:rsid w:val="230DCC4C"/>
    <w:rsid w:val="230EA651"/>
    <w:rsid w:val="232FBD7B"/>
    <w:rsid w:val="2348BA7F"/>
    <w:rsid w:val="23601077"/>
    <w:rsid w:val="2370D7D4"/>
    <w:rsid w:val="239C3316"/>
    <w:rsid w:val="23A2F93D"/>
    <w:rsid w:val="23BE4A71"/>
    <w:rsid w:val="23CCDF33"/>
    <w:rsid w:val="23D55248"/>
    <w:rsid w:val="23DF8819"/>
    <w:rsid w:val="240266B1"/>
    <w:rsid w:val="2414F789"/>
    <w:rsid w:val="2435B9A6"/>
    <w:rsid w:val="246BF340"/>
    <w:rsid w:val="247FE685"/>
    <w:rsid w:val="2486A2E7"/>
    <w:rsid w:val="24ABDC36"/>
    <w:rsid w:val="24AD7C5B"/>
    <w:rsid w:val="24B5EBE7"/>
    <w:rsid w:val="24C2C71B"/>
    <w:rsid w:val="24CABA36"/>
    <w:rsid w:val="24CF8B0E"/>
    <w:rsid w:val="24D9426E"/>
    <w:rsid w:val="24E99BA9"/>
    <w:rsid w:val="24F39C22"/>
    <w:rsid w:val="24FA6B56"/>
    <w:rsid w:val="25015AC9"/>
    <w:rsid w:val="250F9B85"/>
    <w:rsid w:val="25221E77"/>
    <w:rsid w:val="25331B27"/>
    <w:rsid w:val="2536F287"/>
    <w:rsid w:val="2541427F"/>
    <w:rsid w:val="2558E556"/>
    <w:rsid w:val="2560EEBF"/>
    <w:rsid w:val="258777D3"/>
    <w:rsid w:val="25AEE901"/>
    <w:rsid w:val="25B9A5FA"/>
    <w:rsid w:val="25C3FDF0"/>
    <w:rsid w:val="25C4B276"/>
    <w:rsid w:val="25D3A962"/>
    <w:rsid w:val="25D60FCC"/>
    <w:rsid w:val="2609A12F"/>
    <w:rsid w:val="263406DF"/>
    <w:rsid w:val="264400F5"/>
    <w:rsid w:val="266E4947"/>
    <w:rsid w:val="267533A1"/>
    <w:rsid w:val="26781D9E"/>
    <w:rsid w:val="26924E72"/>
    <w:rsid w:val="26A76E75"/>
    <w:rsid w:val="26AA6D93"/>
    <w:rsid w:val="26D7D3B0"/>
    <w:rsid w:val="2704C388"/>
    <w:rsid w:val="27494B0B"/>
    <w:rsid w:val="277CB085"/>
    <w:rsid w:val="27831FEF"/>
    <w:rsid w:val="27901226"/>
    <w:rsid w:val="2793CD44"/>
    <w:rsid w:val="279D5550"/>
    <w:rsid w:val="279E83DA"/>
    <w:rsid w:val="27A4ECAD"/>
    <w:rsid w:val="27A61AF5"/>
    <w:rsid w:val="27B040AE"/>
    <w:rsid w:val="27F54530"/>
    <w:rsid w:val="281DF715"/>
    <w:rsid w:val="28508A2F"/>
    <w:rsid w:val="286689BE"/>
    <w:rsid w:val="287D49C8"/>
    <w:rsid w:val="2889A189"/>
    <w:rsid w:val="288B90C4"/>
    <w:rsid w:val="28B9A72D"/>
    <w:rsid w:val="28BDFFAB"/>
    <w:rsid w:val="28E60426"/>
    <w:rsid w:val="28E8C14A"/>
    <w:rsid w:val="29010591"/>
    <w:rsid w:val="291FCC92"/>
    <w:rsid w:val="2926CBD0"/>
    <w:rsid w:val="29490AC2"/>
    <w:rsid w:val="294D8842"/>
    <w:rsid w:val="2966256C"/>
    <w:rsid w:val="2981D9DF"/>
    <w:rsid w:val="299ECFBB"/>
    <w:rsid w:val="29B0C73F"/>
    <w:rsid w:val="29C8C445"/>
    <w:rsid w:val="29E26484"/>
    <w:rsid w:val="2A030339"/>
    <w:rsid w:val="2A21E666"/>
    <w:rsid w:val="2A441604"/>
    <w:rsid w:val="2A46C63A"/>
    <w:rsid w:val="2A4997AB"/>
    <w:rsid w:val="2A4FD928"/>
    <w:rsid w:val="2A5C7691"/>
    <w:rsid w:val="2A5FAD21"/>
    <w:rsid w:val="2A83A8D7"/>
    <w:rsid w:val="2A88D55A"/>
    <w:rsid w:val="2A9AE30B"/>
    <w:rsid w:val="2AC075F6"/>
    <w:rsid w:val="2ADF26A0"/>
    <w:rsid w:val="2AED0F47"/>
    <w:rsid w:val="2AEF1373"/>
    <w:rsid w:val="2AF02198"/>
    <w:rsid w:val="2B04B02A"/>
    <w:rsid w:val="2B4EF072"/>
    <w:rsid w:val="2B4F70BB"/>
    <w:rsid w:val="2B580FD3"/>
    <w:rsid w:val="2B58686D"/>
    <w:rsid w:val="2B8A0D09"/>
    <w:rsid w:val="2B8FEA40"/>
    <w:rsid w:val="2B9C5132"/>
    <w:rsid w:val="2B9D074D"/>
    <w:rsid w:val="2BBB71B5"/>
    <w:rsid w:val="2BDB27ED"/>
    <w:rsid w:val="2BFA8932"/>
    <w:rsid w:val="2C08168A"/>
    <w:rsid w:val="2C08B82F"/>
    <w:rsid w:val="2C13AC49"/>
    <w:rsid w:val="2C25C6F2"/>
    <w:rsid w:val="2C318E21"/>
    <w:rsid w:val="2C361AED"/>
    <w:rsid w:val="2C4DD236"/>
    <w:rsid w:val="2C5A5CE4"/>
    <w:rsid w:val="2C6C1461"/>
    <w:rsid w:val="2C78BD01"/>
    <w:rsid w:val="2C828ACB"/>
    <w:rsid w:val="2CB5F870"/>
    <w:rsid w:val="2CC1C60D"/>
    <w:rsid w:val="2CC3C1AB"/>
    <w:rsid w:val="2CD3F548"/>
    <w:rsid w:val="2CD5446A"/>
    <w:rsid w:val="2CD76677"/>
    <w:rsid w:val="2CD8B189"/>
    <w:rsid w:val="2CDBD339"/>
    <w:rsid w:val="2CEA75EC"/>
    <w:rsid w:val="2CF2654E"/>
    <w:rsid w:val="2D03B704"/>
    <w:rsid w:val="2D0F9640"/>
    <w:rsid w:val="2D182809"/>
    <w:rsid w:val="2D23AABC"/>
    <w:rsid w:val="2D339C1C"/>
    <w:rsid w:val="2D581F54"/>
    <w:rsid w:val="2D661427"/>
    <w:rsid w:val="2D84D4E6"/>
    <w:rsid w:val="2DE81EC6"/>
    <w:rsid w:val="2DFA8AB2"/>
    <w:rsid w:val="2E1E8850"/>
    <w:rsid w:val="2E227B22"/>
    <w:rsid w:val="2E38F2F1"/>
    <w:rsid w:val="2E5B9B0E"/>
    <w:rsid w:val="2E7DB896"/>
    <w:rsid w:val="2E982C40"/>
    <w:rsid w:val="2EAA3A89"/>
    <w:rsid w:val="2EAF787B"/>
    <w:rsid w:val="2EB74B60"/>
    <w:rsid w:val="2EC1B837"/>
    <w:rsid w:val="2EDCE3D9"/>
    <w:rsid w:val="2F3F036C"/>
    <w:rsid w:val="2F71D478"/>
    <w:rsid w:val="2F7F0A35"/>
    <w:rsid w:val="2F82A46E"/>
    <w:rsid w:val="2F8D7EF6"/>
    <w:rsid w:val="2F8FC267"/>
    <w:rsid w:val="2F90CACE"/>
    <w:rsid w:val="2F94CF88"/>
    <w:rsid w:val="2FA275FD"/>
    <w:rsid w:val="2FAE4213"/>
    <w:rsid w:val="2FE4053B"/>
    <w:rsid w:val="300E7FBD"/>
    <w:rsid w:val="30114E3F"/>
    <w:rsid w:val="3017D8D1"/>
    <w:rsid w:val="301C5BBE"/>
    <w:rsid w:val="30206E2C"/>
    <w:rsid w:val="302591EE"/>
    <w:rsid w:val="303EAEB9"/>
    <w:rsid w:val="3044B181"/>
    <w:rsid w:val="3052F121"/>
    <w:rsid w:val="30776B56"/>
    <w:rsid w:val="3082D7FC"/>
    <w:rsid w:val="3085030F"/>
    <w:rsid w:val="30AE602C"/>
    <w:rsid w:val="30BEF934"/>
    <w:rsid w:val="30E4A073"/>
    <w:rsid w:val="30EC104B"/>
    <w:rsid w:val="3121459C"/>
    <w:rsid w:val="3128C6AA"/>
    <w:rsid w:val="3138E21C"/>
    <w:rsid w:val="313E87D3"/>
    <w:rsid w:val="3149366C"/>
    <w:rsid w:val="31550815"/>
    <w:rsid w:val="316EE4C6"/>
    <w:rsid w:val="31C3BFB8"/>
    <w:rsid w:val="31C457CD"/>
    <w:rsid w:val="31C5B344"/>
    <w:rsid w:val="31C7F8C7"/>
    <w:rsid w:val="31CCD8FB"/>
    <w:rsid w:val="31D12051"/>
    <w:rsid w:val="31E1A32B"/>
    <w:rsid w:val="321EE8D9"/>
    <w:rsid w:val="32463182"/>
    <w:rsid w:val="32604E2C"/>
    <w:rsid w:val="326D73A7"/>
    <w:rsid w:val="32773EBE"/>
    <w:rsid w:val="32792BB2"/>
    <w:rsid w:val="3288530C"/>
    <w:rsid w:val="32951BCC"/>
    <w:rsid w:val="32A31B58"/>
    <w:rsid w:val="32B8D5CB"/>
    <w:rsid w:val="3328411A"/>
    <w:rsid w:val="332C30ED"/>
    <w:rsid w:val="335007D0"/>
    <w:rsid w:val="335AA314"/>
    <w:rsid w:val="3369212A"/>
    <w:rsid w:val="338B3376"/>
    <w:rsid w:val="338B92DC"/>
    <w:rsid w:val="339BABE0"/>
    <w:rsid w:val="33A5DB24"/>
    <w:rsid w:val="33C00267"/>
    <w:rsid w:val="33D8CD14"/>
    <w:rsid w:val="33F022BA"/>
    <w:rsid w:val="3437A6C3"/>
    <w:rsid w:val="34747055"/>
    <w:rsid w:val="3486E8B8"/>
    <w:rsid w:val="3488E02D"/>
    <w:rsid w:val="349B8E84"/>
    <w:rsid w:val="34ADCC07"/>
    <w:rsid w:val="34B85B2B"/>
    <w:rsid w:val="34BC4219"/>
    <w:rsid w:val="34BE707C"/>
    <w:rsid w:val="34C274EC"/>
    <w:rsid w:val="34D4D776"/>
    <w:rsid w:val="34D4D998"/>
    <w:rsid w:val="34D968A8"/>
    <w:rsid w:val="34EC1751"/>
    <w:rsid w:val="34F0745E"/>
    <w:rsid w:val="34F2EBF9"/>
    <w:rsid w:val="3508168C"/>
    <w:rsid w:val="350FAB9F"/>
    <w:rsid w:val="351412FE"/>
    <w:rsid w:val="353A65D1"/>
    <w:rsid w:val="35438532"/>
    <w:rsid w:val="354446B1"/>
    <w:rsid w:val="3553537F"/>
    <w:rsid w:val="355DF18D"/>
    <w:rsid w:val="356CFAE7"/>
    <w:rsid w:val="35A5663F"/>
    <w:rsid w:val="35B05205"/>
    <w:rsid w:val="35F2EFF7"/>
    <w:rsid w:val="35FD1F71"/>
    <w:rsid w:val="36100676"/>
    <w:rsid w:val="361B7B99"/>
    <w:rsid w:val="3621B801"/>
    <w:rsid w:val="365A689B"/>
    <w:rsid w:val="365C70B9"/>
    <w:rsid w:val="368DAA47"/>
    <w:rsid w:val="36999853"/>
    <w:rsid w:val="36A9737E"/>
    <w:rsid w:val="36B77106"/>
    <w:rsid w:val="36D261B8"/>
    <w:rsid w:val="36E2FAD6"/>
    <w:rsid w:val="373AA2CF"/>
    <w:rsid w:val="3748C03A"/>
    <w:rsid w:val="375551B6"/>
    <w:rsid w:val="375781A3"/>
    <w:rsid w:val="37579F17"/>
    <w:rsid w:val="3778F624"/>
    <w:rsid w:val="37835E6E"/>
    <w:rsid w:val="3784DB08"/>
    <w:rsid w:val="37AF4BF7"/>
    <w:rsid w:val="37BF2EFB"/>
    <w:rsid w:val="37EC6307"/>
    <w:rsid w:val="3816014F"/>
    <w:rsid w:val="382B0F1C"/>
    <w:rsid w:val="38427D59"/>
    <w:rsid w:val="3867B848"/>
    <w:rsid w:val="38A450D5"/>
    <w:rsid w:val="38A69B99"/>
    <w:rsid w:val="38EF2376"/>
    <w:rsid w:val="38F41EC3"/>
    <w:rsid w:val="39020A07"/>
    <w:rsid w:val="3903B5CA"/>
    <w:rsid w:val="390EF87C"/>
    <w:rsid w:val="391CC062"/>
    <w:rsid w:val="39562518"/>
    <w:rsid w:val="39766863"/>
    <w:rsid w:val="39784957"/>
    <w:rsid w:val="39A627C7"/>
    <w:rsid w:val="39AE368E"/>
    <w:rsid w:val="39C68340"/>
    <w:rsid w:val="39C69A58"/>
    <w:rsid w:val="39CDA862"/>
    <w:rsid w:val="39DEC4BD"/>
    <w:rsid w:val="3A09AEDB"/>
    <w:rsid w:val="3A123C9A"/>
    <w:rsid w:val="3A2E56AA"/>
    <w:rsid w:val="3A66F754"/>
    <w:rsid w:val="3A8035E5"/>
    <w:rsid w:val="3AA14261"/>
    <w:rsid w:val="3AC82FCE"/>
    <w:rsid w:val="3AD83DC0"/>
    <w:rsid w:val="3AD8D710"/>
    <w:rsid w:val="3AE3FEA7"/>
    <w:rsid w:val="3AF35923"/>
    <w:rsid w:val="3B0F201C"/>
    <w:rsid w:val="3B144EBD"/>
    <w:rsid w:val="3B2ED014"/>
    <w:rsid w:val="3B679F10"/>
    <w:rsid w:val="3B75437A"/>
    <w:rsid w:val="3B7B5F97"/>
    <w:rsid w:val="3B7BED25"/>
    <w:rsid w:val="3BA18CF9"/>
    <w:rsid w:val="3BA7A3A9"/>
    <w:rsid w:val="3BC015BD"/>
    <w:rsid w:val="3BCB3E8D"/>
    <w:rsid w:val="3BD6DCAD"/>
    <w:rsid w:val="3BED0B1B"/>
    <w:rsid w:val="3BF58FE1"/>
    <w:rsid w:val="3C326286"/>
    <w:rsid w:val="3C3FE8D8"/>
    <w:rsid w:val="3C602B92"/>
    <w:rsid w:val="3C9CEB6C"/>
    <w:rsid w:val="3C9D49F4"/>
    <w:rsid w:val="3CB18CC6"/>
    <w:rsid w:val="3CC0E294"/>
    <w:rsid w:val="3CC7F12C"/>
    <w:rsid w:val="3CDCBE64"/>
    <w:rsid w:val="3D4D7FC1"/>
    <w:rsid w:val="3D7C2ED0"/>
    <w:rsid w:val="3DA507D2"/>
    <w:rsid w:val="3DC22F4C"/>
    <w:rsid w:val="3DC2BE62"/>
    <w:rsid w:val="3DDEEC06"/>
    <w:rsid w:val="3DE79147"/>
    <w:rsid w:val="3DFE707A"/>
    <w:rsid w:val="3E0473EF"/>
    <w:rsid w:val="3E0C8813"/>
    <w:rsid w:val="3E13302F"/>
    <w:rsid w:val="3E34FF9E"/>
    <w:rsid w:val="3E3B016E"/>
    <w:rsid w:val="3E6E7488"/>
    <w:rsid w:val="3E91D429"/>
    <w:rsid w:val="3E934F40"/>
    <w:rsid w:val="3E9891BF"/>
    <w:rsid w:val="3EEAFFAE"/>
    <w:rsid w:val="3EEE71AB"/>
    <w:rsid w:val="3EFD9A80"/>
    <w:rsid w:val="3F000EEA"/>
    <w:rsid w:val="3F032036"/>
    <w:rsid w:val="3F0EAF63"/>
    <w:rsid w:val="3F1CE743"/>
    <w:rsid w:val="3F1FBB04"/>
    <w:rsid w:val="3F3D80AC"/>
    <w:rsid w:val="3F550B25"/>
    <w:rsid w:val="3F556610"/>
    <w:rsid w:val="3F599E2B"/>
    <w:rsid w:val="3F7326D4"/>
    <w:rsid w:val="3F88007B"/>
    <w:rsid w:val="3F8D25AF"/>
    <w:rsid w:val="3FBF7BA6"/>
    <w:rsid w:val="3FC03187"/>
    <w:rsid w:val="3FD8E57D"/>
    <w:rsid w:val="3FF333DF"/>
    <w:rsid w:val="4011EB8C"/>
    <w:rsid w:val="4013CEC0"/>
    <w:rsid w:val="40270C73"/>
    <w:rsid w:val="4031E09D"/>
    <w:rsid w:val="403C9D84"/>
    <w:rsid w:val="406E277A"/>
    <w:rsid w:val="4090E63F"/>
    <w:rsid w:val="40C1A32A"/>
    <w:rsid w:val="40CEC635"/>
    <w:rsid w:val="40D1DA84"/>
    <w:rsid w:val="4104F903"/>
    <w:rsid w:val="4111C121"/>
    <w:rsid w:val="4113B1AE"/>
    <w:rsid w:val="412BB16C"/>
    <w:rsid w:val="4132AC58"/>
    <w:rsid w:val="4134BEC9"/>
    <w:rsid w:val="414659CB"/>
    <w:rsid w:val="4151C312"/>
    <w:rsid w:val="4169C8AD"/>
    <w:rsid w:val="41732E9C"/>
    <w:rsid w:val="4179BEF4"/>
    <w:rsid w:val="41871E1B"/>
    <w:rsid w:val="41AA2021"/>
    <w:rsid w:val="41C1B5E7"/>
    <w:rsid w:val="41CB5AB7"/>
    <w:rsid w:val="41FE708C"/>
    <w:rsid w:val="41FF3032"/>
    <w:rsid w:val="4218F9B3"/>
    <w:rsid w:val="4235DCC9"/>
    <w:rsid w:val="4242EC6D"/>
    <w:rsid w:val="425B41AC"/>
    <w:rsid w:val="425B960B"/>
    <w:rsid w:val="425E8421"/>
    <w:rsid w:val="42663A74"/>
    <w:rsid w:val="42A9ECD4"/>
    <w:rsid w:val="42C6F27F"/>
    <w:rsid w:val="4307A611"/>
    <w:rsid w:val="430AFED1"/>
    <w:rsid w:val="43163ADA"/>
    <w:rsid w:val="4333D83A"/>
    <w:rsid w:val="435B67A8"/>
    <w:rsid w:val="43941353"/>
    <w:rsid w:val="43B072C4"/>
    <w:rsid w:val="43C641C4"/>
    <w:rsid w:val="43CA405E"/>
    <w:rsid w:val="43D29D23"/>
    <w:rsid w:val="43D3231F"/>
    <w:rsid w:val="43DD1299"/>
    <w:rsid w:val="43EC1F40"/>
    <w:rsid w:val="43FF6085"/>
    <w:rsid w:val="4426D961"/>
    <w:rsid w:val="442F4DAB"/>
    <w:rsid w:val="445A454C"/>
    <w:rsid w:val="445AAB87"/>
    <w:rsid w:val="44793459"/>
    <w:rsid w:val="448B756F"/>
    <w:rsid w:val="448CB6EE"/>
    <w:rsid w:val="44DE324D"/>
    <w:rsid w:val="4510E2EA"/>
    <w:rsid w:val="4533208F"/>
    <w:rsid w:val="4553738A"/>
    <w:rsid w:val="4561D667"/>
    <w:rsid w:val="45657FF9"/>
    <w:rsid w:val="458AB5B8"/>
    <w:rsid w:val="45ABFD57"/>
    <w:rsid w:val="45B33FB5"/>
    <w:rsid w:val="45B4610A"/>
    <w:rsid w:val="45BD9BE4"/>
    <w:rsid w:val="45C3C99B"/>
    <w:rsid w:val="45F66F97"/>
    <w:rsid w:val="462A1777"/>
    <w:rsid w:val="4641BDBE"/>
    <w:rsid w:val="464A51AA"/>
    <w:rsid w:val="46597BC7"/>
    <w:rsid w:val="46688664"/>
    <w:rsid w:val="4672882E"/>
    <w:rsid w:val="468358FC"/>
    <w:rsid w:val="46958A47"/>
    <w:rsid w:val="46B2D10F"/>
    <w:rsid w:val="46BC6698"/>
    <w:rsid w:val="46DDB799"/>
    <w:rsid w:val="4709CE12"/>
    <w:rsid w:val="470E3792"/>
    <w:rsid w:val="47205982"/>
    <w:rsid w:val="47338086"/>
    <w:rsid w:val="474F24A0"/>
    <w:rsid w:val="475E9E49"/>
    <w:rsid w:val="47844A6F"/>
    <w:rsid w:val="47854EAF"/>
    <w:rsid w:val="47DF3A44"/>
    <w:rsid w:val="4804DB39"/>
    <w:rsid w:val="48084576"/>
    <w:rsid w:val="481CF540"/>
    <w:rsid w:val="481FCDD8"/>
    <w:rsid w:val="482395E5"/>
    <w:rsid w:val="482458B6"/>
    <w:rsid w:val="482702BB"/>
    <w:rsid w:val="482B8240"/>
    <w:rsid w:val="483DF681"/>
    <w:rsid w:val="4841227F"/>
    <w:rsid w:val="48565D48"/>
    <w:rsid w:val="48755634"/>
    <w:rsid w:val="4877D716"/>
    <w:rsid w:val="48C4BB07"/>
    <w:rsid w:val="48D173A7"/>
    <w:rsid w:val="491154FA"/>
    <w:rsid w:val="49280DE6"/>
    <w:rsid w:val="494F0CA0"/>
    <w:rsid w:val="498F7FD4"/>
    <w:rsid w:val="49951A50"/>
    <w:rsid w:val="49A8AE5F"/>
    <w:rsid w:val="49B5C2A8"/>
    <w:rsid w:val="49C4ADCF"/>
    <w:rsid w:val="49DDA693"/>
    <w:rsid w:val="4A395D67"/>
    <w:rsid w:val="4A448D49"/>
    <w:rsid w:val="4A57F449"/>
    <w:rsid w:val="4A5D1180"/>
    <w:rsid w:val="4A6804AC"/>
    <w:rsid w:val="4A6B8FDC"/>
    <w:rsid w:val="4A6FB82D"/>
    <w:rsid w:val="4A73AD36"/>
    <w:rsid w:val="4ABB0384"/>
    <w:rsid w:val="4AC296BD"/>
    <w:rsid w:val="4AF5EC0E"/>
    <w:rsid w:val="4B106212"/>
    <w:rsid w:val="4B257BA7"/>
    <w:rsid w:val="4B32FE46"/>
    <w:rsid w:val="4B63D669"/>
    <w:rsid w:val="4B787292"/>
    <w:rsid w:val="4BBC7B99"/>
    <w:rsid w:val="4BE0F700"/>
    <w:rsid w:val="4BE69DCA"/>
    <w:rsid w:val="4BF4721A"/>
    <w:rsid w:val="4C174FEC"/>
    <w:rsid w:val="4C40D65D"/>
    <w:rsid w:val="4C80784E"/>
    <w:rsid w:val="4C860CB2"/>
    <w:rsid w:val="4C8CE9E5"/>
    <w:rsid w:val="4C988E3B"/>
    <w:rsid w:val="4CA17556"/>
    <w:rsid w:val="4CA1ED99"/>
    <w:rsid w:val="4CEC12BD"/>
    <w:rsid w:val="4D013DDA"/>
    <w:rsid w:val="4D0A1270"/>
    <w:rsid w:val="4D109E32"/>
    <w:rsid w:val="4D16A080"/>
    <w:rsid w:val="4D3500B1"/>
    <w:rsid w:val="4D4048FE"/>
    <w:rsid w:val="4D8C1BFD"/>
    <w:rsid w:val="4DA45D15"/>
    <w:rsid w:val="4DCDF07C"/>
    <w:rsid w:val="4E1B528B"/>
    <w:rsid w:val="4E26AF08"/>
    <w:rsid w:val="4E2C45A4"/>
    <w:rsid w:val="4E32BFA8"/>
    <w:rsid w:val="4E39D554"/>
    <w:rsid w:val="4E43C1CF"/>
    <w:rsid w:val="4E44DE86"/>
    <w:rsid w:val="4E60E544"/>
    <w:rsid w:val="4E75DF02"/>
    <w:rsid w:val="4EA2F6A7"/>
    <w:rsid w:val="4EB29381"/>
    <w:rsid w:val="4EC0A01B"/>
    <w:rsid w:val="4EC11E5A"/>
    <w:rsid w:val="4EC92010"/>
    <w:rsid w:val="4ECA026F"/>
    <w:rsid w:val="4EEFD415"/>
    <w:rsid w:val="4F03614E"/>
    <w:rsid w:val="4F3BB328"/>
    <w:rsid w:val="4F45919E"/>
    <w:rsid w:val="4F4DB96D"/>
    <w:rsid w:val="4F958F1D"/>
    <w:rsid w:val="4FAC4084"/>
    <w:rsid w:val="4FD28E6B"/>
    <w:rsid w:val="4FD45096"/>
    <w:rsid w:val="4FF75B54"/>
    <w:rsid w:val="50062DAD"/>
    <w:rsid w:val="50335E3B"/>
    <w:rsid w:val="5074A764"/>
    <w:rsid w:val="5075682F"/>
    <w:rsid w:val="507B34A2"/>
    <w:rsid w:val="5085385B"/>
    <w:rsid w:val="5098D7F0"/>
    <w:rsid w:val="5098EA2D"/>
    <w:rsid w:val="50A329C5"/>
    <w:rsid w:val="50B25D7C"/>
    <w:rsid w:val="50B71F01"/>
    <w:rsid w:val="50DFACD7"/>
    <w:rsid w:val="50E0596D"/>
    <w:rsid w:val="50E7136B"/>
    <w:rsid w:val="51040C24"/>
    <w:rsid w:val="51044D4F"/>
    <w:rsid w:val="516162A4"/>
    <w:rsid w:val="51669CBE"/>
    <w:rsid w:val="5173AC20"/>
    <w:rsid w:val="51887A00"/>
    <w:rsid w:val="519586E0"/>
    <w:rsid w:val="51DF43A4"/>
    <w:rsid w:val="51F27501"/>
    <w:rsid w:val="51F59727"/>
    <w:rsid w:val="51F76CCB"/>
    <w:rsid w:val="52033EBD"/>
    <w:rsid w:val="52156CF1"/>
    <w:rsid w:val="521C36E1"/>
    <w:rsid w:val="5224BDF5"/>
    <w:rsid w:val="5226C7DD"/>
    <w:rsid w:val="522C8C55"/>
    <w:rsid w:val="52345525"/>
    <w:rsid w:val="52347DE6"/>
    <w:rsid w:val="523D9DEF"/>
    <w:rsid w:val="5257BDA2"/>
    <w:rsid w:val="5277ED86"/>
    <w:rsid w:val="529A3349"/>
    <w:rsid w:val="52A2C12D"/>
    <w:rsid w:val="52A76D5F"/>
    <w:rsid w:val="52D21D3E"/>
    <w:rsid w:val="52D3E585"/>
    <w:rsid w:val="52E02564"/>
    <w:rsid w:val="530D898A"/>
    <w:rsid w:val="5313191F"/>
    <w:rsid w:val="532AD6E5"/>
    <w:rsid w:val="535A6B22"/>
    <w:rsid w:val="53AE7726"/>
    <w:rsid w:val="53B5B080"/>
    <w:rsid w:val="53CA586A"/>
    <w:rsid w:val="53CB7EC2"/>
    <w:rsid w:val="53F184F2"/>
    <w:rsid w:val="53F737E7"/>
    <w:rsid w:val="5403957E"/>
    <w:rsid w:val="5428B96D"/>
    <w:rsid w:val="54398900"/>
    <w:rsid w:val="54481705"/>
    <w:rsid w:val="54842E84"/>
    <w:rsid w:val="548AB8A2"/>
    <w:rsid w:val="54C0EC3D"/>
    <w:rsid w:val="54D645C6"/>
    <w:rsid w:val="54DA30C0"/>
    <w:rsid w:val="54E30BE1"/>
    <w:rsid w:val="54FB3DB6"/>
    <w:rsid w:val="55194B16"/>
    <w:rsid w:val="55252D3C"/>
    <w:rsid w:val="5538DA37"/>
    <w:rsid w:val="5549E570"/>
    <w:rsid w:val="5555878E"/>
    <w:rsid w:val="5559D4CD"/>
    <w:rsid w:val="5583695D"/>
    <w:rsid w:val="55836C8A"/>
    <w:rsid w:val="5583EB9C"/>
    <w:rsid w:val="55886F08"/>
    <w:rsid w:val="55BB4EC7"/>
    <w:rsid w:val="55D92309"/>
    <w:rsid w:val="55EB7BA3"/>
    <w:rsid w:val="55FA7E1E"/>
    <w:rsid w:val="561333B1"/>
    <w:rsid w:val="562356AC"/>
    <w:rsid w:val="564569F1"/>
    <w:rsid w:val="5651208C"/>
    <w:rsid w:val="56664CCD"/>
    <w:rsid w:val="5681CD1E"/>
    <w:rsid w:val="56A06B1F"/>
    <w:rsid w:val="56A17EF5"/>
    <w:rsid w:val="56ADD046"/>
    <w:rsid w:val="56ADD98B"/>
    <w:rsid w:val="56C236AA"/>
    <w:rsid w:val="56DFCB02"/>
    <w:rsid w:val="56E5BF0B"/>
    <w:rsid w:val="56F9F602"/>
    <w:rsid w:val="570FB198"/>
    <w:rsid w:val="574933AB"/>
    <w:rsid w:val="574F1ECC"/>
    <w:rsid w:val="57673529"/>
    <w:rsid w:val="57692250"/>
    <w:rsid w:val="577E4C18"/>
    <w:rsid w:val="57870631"/>
    <w:rsid w:val="57DA7C35"/>
    <w:rsid w:val="57EF593B"/>
    <w:rsid w:val="57F75811"/>
    <w:rsid w:val="57FEB007"/>
    <w:rsid w:val="581974D0"/>
    <w:rsid w:val="583768BA"/>
    <w:rsid w:val="58517668"/>
    <w:rsid w:val="58566292"/>
    <w:rsid w:val="5865F128"/>
    <w:rsid w:val="588159AF"/>
    <w:rsid w:val="58860F0C"/>
    <w:rsid w:val="58B57CA1"/>
    <w:rsid w:val="58B8A2D3"/>
    <w:rsid w:val="58BE2924"/>
    <w:rsid w:val="58DB3034"/>
    <w:rsid w:val="592A2EE8"/>
    <w:rsid w:val="5932AC61"/>
    <w:rsid w:val="5971F8A7"/>
    <w:rsid w:val="5983941D"/>
    <w:rsid w:val="59951069"/>
    <w:rsid w:val="59A2ACF9"/>
    <w:rsid w:val="59ACBE28"/>
    <w:rsid w:val="59B7D752"/>
    <w:rsid w:val="5A02EE67"/>
    <w:rsid w:val="5A45F081"/>
    <w:rsid w:val="5A48BB12"/>
    <w:rsid w:val="5A6DAEF6"/>
    <w:rsid w:val="5AC06BEA"/>
    <w:rsid w:val="5AE70BAB"/>
    <w:rsid w:val="5AF01A03"/>
    <w:rsid w:val="5B02146D"/>
    <w:rsid w:val="5B0A832F"/>
    <w:rsid w:val="5B1EDA52"/>
    <w:rsid w:val="5B1FA036"/>
    <w:rsid w:val="5B31B84B"/>
    <w:rsid w:val="5BA3BF72"/>
    <w:rsid w:val="5BC22981"/>
    <w:rsid w:val="5BD18CB0"/>
    <w:rsid w:val="5BDEF102"/>
    <w:rsid w:val="5BF28A14"/>
    <w:rsid w:val="5BFEDEE8"/>
    <w:rsid w:val="5C072EE4"/>
    <w:rsid w:val="5C0DD0F1"/>
    <w:rsid w:val="5C4782B5"/>
    <w:rsid w:val="5C4F0F12"/>
    <w:rsid w:val="5C5A3C49"/>
    <w:rsid w:val="5C68649E"/>
    <w:rsid w:val="5C743CA0"/>
    <w:rsid w:val="5C76DD74"/>
    <w:rsid w:val="5C78BDCC"/>
    <w:rsid w:val="5C7A7CE8"/>
    <w:rsid w:val="5D30AED7"/>
    <w:rsid w:val="5D6FD125"/>
    <w:rsid w:val="5D892EBD"/>
    <w:rsid w:val="5D8F64CD"/>
    <w:rsid w:val="5D9F3B23"/>
    <w:rsid w:val="5DA58A10"/>
    <w:rsid w:val="5DADF420"/>
    <w:rsid w:val="5DBF0CA9"/>
    <w:rsid w:val="5DC40751"/>
    <w:rsid w:val="5DC60FAE"/>
    <w:rsid w:val="5DD1F263"/>
    <w:rsid w:val="5DF2A168"/>
    <w:rsid w:val="5DFDDA7C"/>
    <w:rsid w:val="5E151F62"/>
    <w:rsid w:val="5E45540A"/>
    <w:rsid w:val="5E4EB60A"/>
    <w:rsid w:val="5E7E0BEB"/>
    <w:rsid w:val="5E941DB4"/>
    <w:rsid w:val="5EA7C10C"/>
    <w:rsid w:val="5EB2E28E"/>
    <w:rsid w:val="5ECE1297"/>
    <w:rsid w:val="5EE87163"/>
    <w:rsid w:val="5EEB2B5F"/>
    <w:rsid w:val="5F07DF9A"/>
    <w:rsid w:val="5F218C69"/>
    <w:rsid w:val="5F2B145E"/>
    <w:rsid w:val="5F417618"/>
    <w:rsid w:val="5F8CC216"/>
    <w:rsid w:val="5FD6EAE4"/>
    <w:rsid w:val="5FE6B181"/>
    <w:rsid w:val="5FE964E8"/>
    <w:rsid w:val="5FF1BC0A"/>
    <w:rsid w:val="5FF6B2FE"/>
    <w:rsid w:val="5FFDCC2B"/>
    <w:rsid w:val="6007BEFC"/>
    <w:rsid w:val="602BC87F"/>
    <w:rsid w:val="6057A710"/>
    <w:rsid w:val="6077929D"/>
    <w:rsid w:val="607DF30B"/>
    <w:rsid w:val="60A8F6ED"/>
    <w:rsid w:val="60B4AFB0"/>
    <w:rsid w:val="60DEB79C"/>
    <w:rsid w:val="60F8F70D"/>
    <w:rsid w:val="61006296"/>
    <w:rsid w:val="6126AA6F"/>
    <w:rsid w:val="6146A667"/>
    <w:rsid w:val="6146B844"/>
    <w:rsid w:val="616767A6"/>
    <w:rsid w:val="619478F6"/>
    <w:rsid w:val="61952EB5"/>
    <w:rsid w:val="6197C48A"/>
    <w:rsid w:val="619F492D"/>
    <w:rsid w:val="61B66551"/>
    <w:rsid w:val="61D9E3F4"/>
    <w:rsid w:val="61F11016"/>
    <w:rsid w:val="61F37845"/>
    <w:rsid w:val="61F50104"/>
    <w:rsid w:val="61F7E967"/>
    <w:rsid w:val="621A9228"/>
    <w:rsid w:val="622EABA0"/>
    <w:rsid w:val="626017BF"/>
    <w:rsid w:val="6283E41F"/>
    <w:rsid w:val="6285569B"/>
    <w:rsid w:val="62C39B85"/>
    <w:rsid w:val="62C5FAE1"/>
    <w:rsid w:val="62DF67B3"/>
    <w:rsid w:val="62E5329D"/>
    <w:rsid w:val="62E7572D"/>
    <w:rsid w:val="62E9E33E"/>
    <w:rsid w:val="62F4B0DD"/>
    <w:rsid w:val="6303FEF5"/>
    <w:rsid w:val="633AA7FF"/>
    <w:rsid w:val="633F6F47"/>
    <w:rsid w:val="633F7F37"/>
    <w:rsid w:val="635FCAA2"/>
    <w:rsid w:val="638E2FEE"/>
    <w:rsid w:val="6399B972"/>
    <w:rsid w:val="63AACBC7"/>
    <w:rsid w:val="63C23A19"/>
    <w:rsid w:val="63EBD571"/>
    <w:rsid w:val="63EE203D"/>
    <w:rsid w:val="64172F6A"/>
    <w:rsid w:val="6444F8F7"/>
    <w:rsid w:val="646603FA"/>
    <w:rsid w:val="646D0F9F"/>
    <w:rsid w:val="64828831"/>
    <w:rsid w:val="648691F2"/>
    <w:rsid w:val="648FEC55"/>
    <w:rsid w:val="649518CE"/>
    <w:rsid w:val="64B20B55"/>
    <w:rsid w:val="64CDA9A1"/>
    <w:rsid w:val="64D3EBF3"/>
    <w:rsid w:val="64D59DCA"/>
    <w:rsid w:val="64D972FC"/>
    <w:rsid w:val="64DFC8C0"/>
    <w:rsid w:val="64F1DFB4"/>
    <w:rsid w:val="6512E14D"/>
    <w:rsid w:val="653C5667"/>
    <w:rsid w:val="65566DF5"/>
    <w:rsid w:val="6570796B"/>
    <w:rsid w:val="6572143F"/>
    <w:rsid w:val="657BDE8C"/>
    <w:rsid w:val="658F43FD"/>
    <w:rsid w:val="659D3C3C"/>
    <w:rsid w:val="65C4D2FF"/>
    <w:rsid w:val="65F11C57"/>
    <w:rsid w:val="65F343D6"/>
    <w:rsid w:val="660ECA0E"/>
    <w:rsid w:val="6618E663"/>
    <w:rsid w:val="661E1096"/>
    <w:rsid w:val="663B017D"/>
    <w:rsid w:val="66455584"/>
    <w:rsid w:val="664BB0EE"/>
    <w:rsid w:val="666CB29C"/>
    <w:rsid w:val="667924E0"/>
    <w:rsid w:val="66A7FFB7"/>
    <w:rsid w:val="66BBB874"/>
    <w:rsid w:val="66BD56F9"/>
    <w:rsid w:val="66D814A4"/>
    <w:rsid w:val="6702DB25"/>
    <w:rsid w:val="670CC806"/>
    <w:rsid w:val="673066FA"/>
    <w:rsid w:val="67439893"/>
    <w:rsid w:val="67465C1A"/>
    <w:rsid w:val="674B6D9E"/>
    <w:rsid w:val="675AD691"/>
    <w:rsid w:val="676DE562"/>
    <w:rsid w:val="6776978F"/>
    <w:rsid w:val="678C2948"/>
    <w:rsid w:val="67971CAF"/>
    <w:rsid w:val="67CFF360"/>
    <w:rsid w:val="67E710AE"/>
    <w:rsid w:val="67EA2015"/>
    <w:rsid w:val="6807A826"/>
    <w:rsid w:val="6813BB6A"/>
    <w:rsid w:val="681DC55E"/>
    <w:rsid w:val="682B0EC5"/>
    <w:rsid w:val="68617F8A"/>
    <w:rsid w:val="68695B91"/>
    <w:rsid w:val="687EEA32"/>
    <w:rsid w:val="688B3810"/>
    <w:rsid w:val="689B3D6B"/>
    <w:rsid w:val="68AB59E8"/>
    <w:rsid w:val="68AD78B7"/>
    <w:rsid w:val="68BA3DD8"/>
    <w:rsid w:val="68CE625A"/>
    <w:rsid w:val="690B2CAB"/>
    <w:rsid w:val="692A9DDF"/>
    <w:rsid w:val="69358F19"/>
    <w:rsid w:val="694587B9"/>
    <w:rsid w:val="696CFE8A"/>
    <w:rsid w:val="6977F92B"/>
    <w:rsid w:val="699FE572"/>
    <w:rsid w:val="69A75267"/>
    <w:rsid w:val="69A94289"/>
    <w:rsid w:val="69AB4DC7"/>
    <w:rsid w:val="69BDA957"/>
    <w:rsid w:val="69CDBDB7"/>
    <w:rsid w:val="69E7D4F7"/>
    <w:rsid w:val="69EDB586"/>
    <w:rsid w:val="6A1CB47F"/>
    <w:rsid w:val="6A2626F0"/>
    <w:rsid w:val="6A272C8A"/>
    <w:rsid w:val="6A2B7146"/>
    <w:rsid w:val="6A2C9095"/>
    <w:rsid w:val="6A76DC48"/>
    <w:rsid w:val="6A7BC123"/>
    <w:rsid w:val="6A9B9DA9"/>
    <w:rsid w:val="6AAF13FC"/>
    <w:rsid w:val="6AB71C23"/>
    <w:rsid w:val="6ADA994A"/>
    <w:rsid w:val="6AEFC643"/>
    <w:rsid w:val="6AF86D92"/>
    <w:rsid w:val="6AF9DAF5"/>
    <w:rsid w:val="6B05A8BC"/>
    <w:rsid w:val="6B0B63C0"/>
    <w:rsid w:val="6B591DB1"/>
    <w:rsid w:val="6B5FACF9"/>
    <w:rsid w:val="6B6750CA"/>
    <w:rsid w:val="6B8CA210"/>
    <w:rsid w:val="6B90F792"/>
    <w:rsid w:val="6BA435F8"/>
    <w:rsid w:val="6BE28294"/>
    <w:rsid w:val="6BE8148D"/>
    <w:rsid w:val="6BF98382"/>
    <w:rsid w:val="6C0262A1"/>
    <w:rsid w:val="6C1A3094"/>
    <w:rsid w:val="6C1DC911"/>
    <w:rsid w:val="6C22B905"/>
    <w:rsid w:val="6C38353E"/>
    <w:rsid w:val="6C554A43"/>
    <w:rsid w:val="6C5826BF"/>
    <w:rsid w:val="6C6ECEF7"/>
    <w:rsid w:val="6C6F4682"/>
    <w:rsid w:val="6C7F1924"/>
    <w:rsid w:val="6C8B0A43"/>
    <w:rsid w:val="6C95E8B9"/>
    <w:rsid w:val="6CB5BCCE"/>
    <w:rsid w:val="6CB8418F"/>
    <w:rsid w:val="6CE45A29"/>
    <w:rsid w:val="6D4FE1AF"/>
    <w:rsid w:val="6D6831E7"/>
    <w:rsid w:val="6D6BF1C5"/>
    <w:rsid w:val="6DBE35CA"/>
    <w:rsid w:val="6DD5AA2E"/>
    <w:rsid w:val="6DD8E6B3"/>
    <w:rsid w:val="6DDA2C3B"/>
    <w:rsid w:val="6DDE0A04"/>
    <w:rsid w:val="6E2B131E"/>
    <w:rsid w:val="6E2D4819"/>
    <w:rsid w:val="6E309936"/>
    <w:rsid w:val="6E354C8E"/>
    <w:rsid w:val="6E3E2DEE"/>
    <w:rsid w:val="6E6EA067"/>
    <w:rsid w:val="6E70FC59"/>
    <w:rsid w:val="6E9393D2"/>
    <w:rsid w:val="6E9E8969"/>
    <w:rsid w:val="6EA38017"/>
    <w:rsid w:val="6EAB094B"/>
    <w:rsid w:val="6EACD625"/>
    <w:rsid w:val="6EC2E30A"/>
    <w:rsid w:val="6ED9901D"/>
    <w:rsid w:val="6EE34E51"/>
    <w:rsid w:val="6EF9DBB2"/>
    <w:rsid w:val="6EFD6C09"/>
    <w:rsid w:val="6F18E9B1"/>
    <w:rsid w:val="6F1F40D8"/>
    <w:rsid w:val="6F2279EE"/>
    <w:rsid w:val="6F4616F0"/>
    <w:rsid w:val="6F486702"/>
    <w:rsid w:val="6F923F29"/>
    <w:rsid w:val="6FB4FFE7"/>
    <w:rsid w:val="6FE7DD23"/>
    <w:rsid w:val="70032FFC"/>
    <w:rsid w:val="7028A6F0"/>
    <w:rsid w:val="7037E55D"/>
    <w:rsid w:val="704554C0"/>
    <w:rsid w:val="70800AD6"/>
    <w:rsid w:val="7083B77B"/>
    <w:rsid w:val="70880373"/>
    <w:rsid w:val="70AF01E4"/>
    <w:rsid w:val="70D5B9B5"/>
    <w:rsid w:val="70EBDE70"/>
    <w:rsid w:val="7101103C"/>
    <w:rsid w:val="710C590C"/>
    <w:rsid w:val="7125A60A"/>
    <w:rsid w:val="713147EA"/>
    <w:rsid w:val="714C41FF"/>
    <w:rsid w:val="71F2B96F"/>
    <w:rsid w:val="71F388E9"/>
    <w:rsid w:val="71FB87D0"/>
    <w:rsid w:val="72085B35"/>
    <w:rsid w:val="721B392F"/>
    <w:rsid w:val="72201B2E"/>
    <w:rsid w:val="7235C376"/>
    <w:rsid w:val="72456C73"/>
    <w:rsid w:val="7253FF22"/>
    <w:rsid w:val="7263EC30"/>
    <w:rsid w:val="727B8BE9"/>
    <w:rsid w:val="729EDF42"/>
    <w:rsid w:val="72A43AD4"/>
    <w:rsid w:val="72B1AB69"/>
    <w:rsid w:val="72B2A6BA"/>
    <w:rsid w:val="72D21AE3"/>
    <w:rsid w:val="72E256F3"/>
    <w:rsid w:val="72E7C879"/>
    <w:rsid w:val="72EA7D2E"/>
    <w:rsid w:val="7318AD37"/>
    <w:rsid w:val="731AB3AB"/>
    <w:rsid w:val="732392B7"/>
    <w:rsid w:val="732EB347"/>
    <w:rsid w:val="7399EFE8"/>
    <w:rsid w:val="739E2A68"/>
    <w:rsid w:val="73C42E83"/>
    <w:rsid w:val="73D9D069"/>
    <w:rsid w:val="73DED5C2"/>
    <w:rsid w:val="73F3E1C9"/>
    <w:rsid w:val="73FA6F15"/>
    <w:rsid w:val="73FC124F"/>
    <w:rsid w:val="740CB760"/>
    <w:rsid w:val="74290B99"/>
    <w:rsid w:val="7436DC7E"/>
    <w:rsid w:val="743A71E4"/>
    <w:rsid w:val="746864AD"/>
    <w:rsid w:val="74691B97"/>
    <w:rsid w:val="748B62CD"/>
    <w:rsid w:val="74B88025"/>
    <w:rsid w:val="74BF2109"/>
    <w:rsid w:val="74C0578B"/>
    <w:rsid w:val="74C77801"/>
    <w:rsid w:val="74CE58C5"/>
    <w:rsid w:val="74F0D757"/>
    <w:rsid w:val="74F7BF83"/>
    <w:rsid w:val="751311E1"/>
    <w:rsid w:val="75223648"/>
    <w:rsid w:val="75292ADE"/>
    <w:rsid w:val="752F513F"/>
    <w:rsid w:val="754CF769"/>
    <w:rsid w:val="7578CF92"/>
    <w:rsid w:val="75A54621"/>
    <w:rsid w:val="7603DDC7"/>
    <w:rsid w:val="761BD811"/>
    <w:rsid w:val="7620B760"/>
    <w:rsid w:val="7671CF17"/>
    <w:rsid w:val="767B29B4"/>
    <w:rsid w:val="7682CA22"/>
    <w:rsid w:val="769C6A02"/>
    <w:rsid w:val="769D5B4C"/>
    <w:rsid w:val="76ACC4E3"/>
    <w:rsid w:val="76D3D4B2"/>
    <w:rsid w:val="76EB4721"/>
    <w:rsid w:val="7707DA3A"/>
    <w:rsid w:val="7717448E"/>
    <w:rsid w:val="771B3633"/>
    <w:rsid w:val="7723F29D"/>
    <w:rsid w:val="773469B7"/>
    <w:rsid w:val="7779055A"/>
    <w:rsid w:val="7794AF6E"/>
    <w:rsid w:val="77AE65A5"/>
    <w:rsid w:val="77B937D5"/>
    <w:rsid w:val="77E314D6"/>
    <w:rsid w:val="77F4CE82"/>
    <w:rsid w:val="77F5258F"/>
    <w:rsid w:val="781906D3"/>
    <w:rsid w:val="7823921D"/>
    <w:rsid w:val="782B8F30"/>
    <w:rsid w:val="785DF859"/>
    <w:rsid w:val="78775272"/>
    <w:rsid w:val="78779D1E"/>
    <w:rsid w:val="78D01BD0"/>
    <w:rsid w:val="78FE8362"/>
    <w:rsid w:val="790264BA"/>
    <w:rsid w:val="79116CC5"/>
    <w:rsid w:val="79387F3A"/>
    <w:rsid w:val="795D7729"/>
    <w:rsid w:val="7985D73F"/>
    <w:rsid w:val="79A7FDF0"/>
    <w:rsid w:val="79A83027"/>
    <w:rsid w:val="79D80110"/>
    <w:rsid w:val="7A0831C5"/>
    <w:rsid w:val="7A216DB3"/>
    <w:rsid w:val="7A33C7E2"/>
    <w:rsid w:val="7A3FDB4B"/>
    <w:rsid w:val="7A5391F3"/>
    <w:rsid w:val="7A578333"/>
    <w:rsid w:val="7A62318B"/>
    <w:rsid w:val="7A6E8783"/>
    <w:rsid w:val="7A721BB3"/>
    <w:rsid w:val="7A807122"/>
    <w:rsid w:val="7A8CC16F"/>
    <w:rsid w:val="7AA36A2C"/>
    <w:rsid w:val="7AC140E0"/>
    <w:rsid w:val="7AEBB9AE"/>
    <w:rsid w:val="7B15C60F"/>
    <w:rsid w:val="7B29A9CF"/>
    <w:rsid w:val="7B442EF1"/>
    <w:rsid w:val="7B4FC431"/>
    <w:rsid w:val="7B5263EF"/>
    <w:rsid w:val="7B5845AD"/>
    <w:rsid w:val="7B759B35"/>
    <w:rsid w:val="7B7B72AC"/>
    <w:rsid w:val="7B8089C6"/>
    <w:rsid w:val="7BB056C9"/>
    <w:rsid w:val="7BCE7CC5"/>
    <w:rsid w:val="7BE1C88F"/>
    <w:rsid w:val="7BE49553"/>
    <w:rsid w:val="7BE9940D"/>
    <w:rsid w:val="7BF1E5CA"/>
    <w:rsid w:val="7BF4573D"/>
    <w:rsid w:val="7C0A27ED"/>
    <w:rsid w:val="7C258374"/>
    <w:rsid w:val="7C29F924"/>
    <w:rsid w:val="7C2F4F74"/>
    <w:rsid w:val="7C7E82F8"/>
    <w:rsid w:val="7C8AEB0A"/>
    <w:rsid w:val="7CB2A19A"/>
    <w:rsid w:val="7CC778E8"/>
    <w:rsid w:val="7CE004FF"/>
    <w:rsid w:val="7D0629DD"/>
    <w:rsid w:val="7D2A7A9D"/>
    <w:rsid w:val="7D33478C"/>
    <w:rsid w:val="7D385F02"/>
    <w:rsid w:val="7D6588B3"/>
    <w:rsid w:val="7D7E5822"/>
    <w:rsid w:val="7D81D37E"/>
    <w:rsid w:val="7D930D89"/>
    <w:rsid w:val="7DA7EBEE"/>
    <w:rsid w:val="7DB910FC"/>
    <w:rsid w:val="7DCDE273"/>
    <w:rsid w:val="7DE5739A"/>
    <w:rsid w:val="7DEBE74D"/>
    <w:rsid w:val="7DF3F00C"/>
    <w:rsid w:val="7E08913D"/>
    <w:rsid w:val="7E10C187"/>
    <w:rsid w:val="7E1632EF"/>
    <w:rsid w:val="7E3767E4"/>
    <w:rsid w:val="7E3FECDC"/>
    <w:rsid w:val="7E67103D"/>
    <w:rsid w:val="7E77250E"/>
    <w:rsid w:val="7EB99E28"/>
    <w:rsid w:val="7EDAC567"/>
    <w:rsid w:val="7F0E6DAB"/>
    <w:rsid w:val="7F20B129"/>
    <w:rsid w:val="7F2206ED"/>
    <w:rsid w:val="7F58A855"/>
    <w:rsid w:val="7F5F581A"/>
    <w:rsid w:val="7F6A8635"/>
    <w:rsid w:val="7F786208"/>
    <w:rsid w:val="7F7B8408"/>
    <w:rsid w:val="7F83117F"/>
    <w:rsid w:val="7F91E2BE"/>
    <w:rsid w:val="7FB00A47"/>
    <w:rsid w:val="7FC09161"/>
    <w:rsid w:val="7FC7F816"/>
    <w:rsid w:val="7FD8321C"/>
    <w:rsid w:val="7FE15B98"/>
    <w:rsid w:val="7FE9C6D7"/>
    <w:rsid w:val="7FFE60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6398"/>
  <w15:docId w15:val="{1E83493B-C7B7-404F-AFC9-B911CA00D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B91"/>
    <w:pPr>
      <w:spacing w:before="120" w:after="120" w:line="240" w:lineRule="auto"/>
    </w:pPr>
    <w:rPr>
      <w:rFonts w:ascii="Calibri" w:eastAsia="Times New Roman" w:hAnsi="Calibri" w:cs="Times New Roman"/>
      <w:spacing w:val="4"/>
      <w:sz w:val="20"/>
      <w:szCs w:val="24"/>
      <w:lang w:eastAsia="en-AU"/>
    </w:rPr>
  </w:style>
  <w:style w:type="paragraph" w:styleId="Heading1">
    <w:name w:val="heading 1"/>
    <w:basedOn w:val="Normal"/>
    <w:next w:val="Normal"/>
    <w:link w:val="Heading1Char"/>
    <w:uiPriority w:val="99"/>
    <w:qFormat/>
    <w:rsid w:val="00D632C2"/>
    <w:pPr>
      <w:pageBreakBefore/>
      <w:numPr>
        <w:numId w:val="8"/>
      </w:numPr>
      <w:spacing w:before="360"/>
      <w:contextualSpacing/>
      <w:outlineLvl w:val="0"/>
    </w:pPr>
    <w:rPr>
      <w:rFonts w:ascii="Georgia" w:eastAsiaTheme="majorEastAsia" w:hAnsi="Georgia" w:cstheme="majorBidi"/>
      <w:bCs/>
      <w:color w:val="24596E"/>
      <w:sz w:val="36"/>
      <w:szCs w:val="28"/>
    </w:rPr>
  </w:style>
  <w:style w:type="paragraph" w:styleId="Heading2">
    <w:name w:val="heading 2"/>
    <w:basedOn w:val="Normal"/>
    <w:next w:val="Normal"/>
    <w:link w:val="Heading2Char"/>
    <w:uiPriority w:val="99"/>
    <w:unhideWhenUsed/>
    <w:qFormat/>
    <w:rsid w:val="00DF7B75"/>
    <w:pPr>
      <w:keepNext/>
      <w:numPr>
        <w:ilvl w:val="1"/>
        <w:numId w:val="8"/>
      </w:numPr>
      <w:spacing w:before="240"/>
      <w:outlineLvl w:val="1"/>
    </w:pPr>
    <w:rPr>
      <w:rFonts w:ascii="Georgia" w:eastAsiaTheme="majorEastAsia" w:hAnsi="Georgia" w:cstheme="majorBidi"/>
      <w:bCs/>
      <w:color w:val="005A70"/>
      <w:sz w:val="32"/>
      <w:szCs w:val="26"/>
    </w:rPr>
  </w:style>
  <w:style w:type="paragraph" w:styleId="Heading3">
    <w:name w:val="heading 3"/>
    <w:basedOn w:val="Normal"/>
    <w:next w:val="Normal"/>
    <w:link w:val="Heading3Char"/>
    <w:uiPriority w:val="99"/>
    <w:unhideWhenUsed/>
    <w:qFormat/>
    <w:rsid w:val="006F1682"/>
    <w:pPr>
      <w:numPr>
        <w:numId w:val="111"/>
      </w:numPr>
      <w:spacing w:before="200" w:after="0" w:line="271" w:lineRule="auto"/>
      <w:outlineLvl w:val="2"/>
    </w:pPr>
    <w:rPr>
      <w:rFonts w:eastAsiaTheme="majorEastAsia" w:cstheme="majorBidi"/>
      <w:b/>
      <w:bCs/>
      <w:color w:val="0070C0"/>
    </w:rPr>
  </w:style>
  <w:style w:type="paragraph" w:styleId="Heading4">
    <w:name w:val="heading 4"/>
    <w:aliases w:val="h4"/>
    <w:basedOn w:val="Normal"/>
    <w:next w:val="Normal"/>
    <w:link w:val="Heading4Char"/>
    <w:uiPriority w:val="99"/>
    <w:unhideWhenUsed/>
    <w:qFormat/>
    <w:rsid w:val="0054713E"/>
    <w:pPr>
      <w:numPr>
        <w:ilvl w:val="3"/>
        <w:numId w:val="8"/>
      </w:numPr>
      <w:spacing w:before="200" w:after="0"/>
      <w:outlineLvl w:val="3"/>
    </w:pPr>
    <w:rPr>
      <w:rFonts w:eastAsiaTheme="majorEastAsia" w:cstheme="majorBidi"/>
      <w:b/>
      <w:bCs/>
      <w:iCs/>
    </w:rPr>
  </w:style>
  <w:style w:type="paragraph" w:styleId="Heading5">
    <w:name w:val="heading 5"/>
    <w:basedOn w:val="Normal"/>
    <w:next w:val="Normal"/>
    <w:link w:val="Heading5Char"/>
    <w:uiPriority w:val="99"/>
    <w:unhideWhenUsed/>
    <w:qFormat/>
    <w:rsid w:val="0054713E"/>
    <w:pPr>
      <w:numPr>
        <w:ilvl w:val="4"/>
        <w:numId w:val="8"/>
      </w:numPr>
      <w:spacing w:before="200" w:after="0"/>
      <w:outlineLvl w:val="4"/>
    </w:pPr>
    <w:rPr>
      <w:rFonts w:eastAsiaTheme="majorEastAsia" w:cstheme="majorBidi"/>
      <w:bCs/>
    </w:rPr>
  </w:style>
  <w:style w:type="paragraph" w:styleId="Heading6">
    <w:name w:val="heading 6"/>
    <w:basedOn w:val="Normal"/>
    <w:next w:val="Normal"/>
    <w:link w:val="Heading6Char"/>
    <w:uiPriority w:val="99"/>
    <w:unhideWhenUsed/>
    <w:qFormat/>
    <w:rsid w:val="0054713E"/>
    <w:pPr>
      <w:numPr>
        <w:ilvl w:val="5"/>
        <w:numId w:val="8"/>
      </w:num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9"/>
    <w:unhideWhenUsed/>
    <w:qFormat/>
    <w:rsid w:val="004D7443"/>
    <w:pPr>
      <w:numPr>
        <w:ilvl w:val="6"/>
        <w:numId w:val="8"/>
      </w:numPr>
      <w:outlineLvl w:val="6"/>
    </w:pPr>
    <w:rPr>
      <w:rFonts w:eastAsiaTheme="majorEastAsia" w:cstheme="majorBidi"/>
      <w:iCs/>
    </w:rPr>
  </w:style>
  <w:style w:type="paragraph" w:styleId="Heading8">
    <w:name w:val="heading 8"/>
    <w:basedOn w:val="Normal"/>
    <w:next w:val="Normal"/>
    <w:link w:val="Heading8Char"/>
    <w:uiPriority w:val="99"/>
    <w:unhideWhenUsed/>
    <w:qFormat/>
    <w:rsid w:val="004B54CA"/>
    <w:pPr>
      <w:numPr>
        <w:ilvl w:val="7"/>
        <w:numId w:val="8"/>
      </w:numPr>
      <w:spacing w:after="0"/>
      <w:outlineLvl w:val="7"/>
    </w:pPr>
    <w:rPr>
      <w:rFonts w:eastAsiaTheme="majorEastAsia" w:cstheme="majorBidi"/>
      <w:szCs w:val="20"/>
    </w:rPr>
  </w:style>
  <w:style w:type="paragraph" w:styleId="Heading9">
    <w:name w:val="heading 9"/>
    <w:basedOn w:val="Normal"/>
    <w:next w:val="Normal"/>
    <w:link w:val="Heading9Char"/>
    <w:uiPriority w:val="99"/>
    <w:unhideWhenUsed/>
    <w:qFormat/>
    <w:rsid w:val="0054713E"/>
    <w:pPr>
      <w:numPr>
        <w:ilvl w:val="8"/>
        <w:numId w:val="8"/>
      </w:num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32C2"/>
    <w:rPr>
      <w:rFonts w:ascii="Georgia" w:eastAsiaTheme="majorEastAsia" w:hAnsi="Georgia" w:cstheme="majorBidi"/>
      <w:bCs/>
      <w:color w:val="24596E"/>
      <w:spacing w:val="4"/>
      <w:sz w:val="36"/>
      <w:szCs w:val="28"/>
      <w:lang w:eastAsia="en-AU"/>
    </w:rPr>
  </w:style>
  <w:style w:type="character" w:customStyle="1" w:styleId="Heading2Char">
    <w:name w:val="Heading 2 Char"/>
    <w:basedOn w:val="DefaultParagraphFont"/>
    <w:link w:val="Heading2"/>
    <w:uiPriority w:val="99"/>
    <w:rsid w:val="00DF7B75"/>
    <w:rPr>
      <w:rFonts w:ascii="Georgia" w:eastAsiaTheme="majorEastAsia" w:hAnsi="Georgia" w:cstheme="majorBidi"/>
      <w:bCs/>
      <w:color w:val="005A70"/>
      <w:spacing w:val="4"/>
      <w:sz w:val="32"/>
      <w:szCs w:val="26"/>
      <w:lang w:eastAsia="en-AU"/>
    </w:rPr>
  </w:style>
  <w:style w:type="paragraph" w:styleId="NoSpacing">
    <w:name w:val="No Spacing"/>
    <w:basedOn w:val="Normal"/>
    <w:link w:val="NoSpacingChar"/>
    <w:uiPriority w:val="1"/>
    <w:qFormat/>
    <w:rsid w:val="004B54CA"/>
    <w:pPr>
      <w:spacing w:after="0"/>
    </w:pPr>
  </w:style>
  <w:style w:type="character" w:customStyle="1" w:styleId="Heading3Char">
    <w:name w:val="Heading 3 Char"/>
    <w:basedOn w:val="DefaultParagraphFont"/>
    <w:link w:val="Heading3"/>
    <w:uiPriority w:val="99"/>
    <w:rsid w:val="006F1682"/>
    <w:rPr>
      <w:rFonts w:ascii="Calibri" w:eastAsiaTheme="majorEastAsia" w:hAnsi="Calibri" w:cstheme="majorBidi"/>
      <w:b/>
      <w:bCs/>
      <w:color w:val="0070C0"/>
      <w:spacing w:val="4"/>
      <w:sz w:val="20"/>
      <w:szCs w:val="24"/>
      <w:lang w:eastAsia="en-AU"/>
    </w:rPr>
  </w:style>
  <w:style w:type="character" w:customStyle="1" w:styleId="Heading4Char">
    <w:name w:val="Heading 4 Char"/>
    <w:aliases w:val="h4 Char"/>
    <w:basedOn w:val="DefaultParagraphFont"/>
    <w:link w:val="Heading4"/>
    <w:uiPriority w:val="99"/>
    <w:rsid w:val="0054713E"/>
    <w:rPr>
      <w:rFonts w:ascii="Calibri" w:eastAsiaTheme="majorEastAsia" w:hAnsi="Calibri" w:cstheme="majorBidi"/>
      <w:b/>
      <w:bCs/>
      <w:iCs/>
      <w:spacing w:val="4"/>
      <w:sz w:val="20"/>
      <w:szCs w:val="24"/>
      <w:lang w:eastAsia="en-AU"/>
    </w:rPr>
  </w:style>
  <w:style w:type="character" w:customStyle="1" w:styleId="Heading5Char">
    <w:name w:val="Heading 5 Char"/>
    <w:basedOn w:val="DefaultParagraphFont"/>
    <w:link w:val="Heading5"/>
    <w:uiPriority w:val="99"/>
    <w:rsid w:val="0054713E"/>
    <w:rPr>
      <w:rFonts w:ascii="Calibri" w:eastAsiaTheme="majorEastAsia" w:hAnsi="Calibri" w:cstheme="majorBidi"/>
      <w:bCs/>
      <w:spacing w:val="4"/>
      <w:sz w:val="20"/>
      <w:szCs w:val="24"/>
      <w:lang w:eastAsia="en-AU"/>
    </w:rPr>
  </w:style>
  <w:style w:type="character" w:customStyle="1" w:styleId="Heading6Char">
    <w:name w:val="Heading 6 Char"/>
    <w:basedOn w:val="DefaultParagraphFont"/>
    <w:link w:val="Heading6"/>
    <w:uiPriority w:val="99"/>
    <w:rsid w:val="0054713E"/>
    <w:rPr>
      <w:rFonts w:ascii="Calibri" w:eastAsiaTheme="majorEastAsia" w:hAnsi="Calibri" w:cstheme="majorBidi"/>
      <w:bCs/>
      <w:iCs/>
      <w:spacing w:val="4"/>
      <w:sz w:val="20"/>
      <w:szCs w:val="24"/>
      <w:lang w:eastAsia="en-AU"/>
    </w:rPr>
  </w:style>
  <w:style w:type="character" w:customStyle="1" w:styleId="Heading7Char">
    <w:name w:val="Heading 7 Char"/>
    <w:basedOn w:val="DefaultParagraphFont"/>
    <w:link w:val="Heading7"/>
    <w:uiPriority w:val="99"/>
    <w:rsid w:val="004D7443"/>
    <w:rPr>
      <w:rFonts w:ascii="Calibri" w:eastAsiaTheme="majorEastAsia" w:hAnsi="Calibri" w:cstheme="majorBidi"/>
      <w:iCs/>
      <w:spacing w:val="4"/>
      <w:sz w:val="20"/>
      <w:szCs w:val="24"/>
      <w:lang w:eastAsia="en-AU"/>
    </w:rPr>
  </w:style>
  <w:style w:type="character" w:customStyle="1" w:styleId="Heading8Char">
    <w:name w:val="Heading 8 Char"/>
    <w:basedOn w:val="DefaultParagraphFont"/>
    <w:link w:val="Heading8"/>
    <w:uiPriority w:val="99"/>
    <w:rsid w:val="004B54CA"/>
    <w:rPr>
      <w:rFonts w:ascii="Calibri" w:eastAsiaTheme="majorEastAsia" w:hAnsi="Calibri" w:cstheme="majorBidi"/>
      <w:spacing w:val="4"/>
      <w:sz w:val="20"/>
      <w:szCs w:val="20"/>
      <w:lang w:eastAsia="en-AU"/>
    </w:rPr>
  </w:style>
  <w:style w:type="character" w:customStyle="1" w:styleId="Heading9Char">
    <w:name w:val="Heading 9 Char"/>
    <w:basedOn w:val="DefaultParagraphFont"/>
    <w:link w:val="Heading9"/>
    <w:uiPriority w:val="99"/>
    <w:rsid w:val="0054713E"/>
    <w:rPr>
      <w:rFonts w:ascii="Calibri" w:eastAsiaTheme="majorEastAsia" w:hAnsi="Calibri" w:cstheme="majorBidi"/>
      <w:iCs/>
      <w:spacing w:val="5"/>
      <w:sz w:val="20"/>
      <w:szCs w:val="20"/>
      <w:lang w:eastAsia="en-AU"/>
    </w:rPr>
  </w:style>
  <w:style w:type="paragraph" w:styleId="Title">
    <w:name w:val="Title"/>
    <w:basedOn w:val="Normal"/>
    <w:next w:val="Normal"/>
    <w:link w:val="TitleChar"/>
    <w:qFormat/>
    <w:rsid w:val="001F512D"/>
    <w:pPr>
      <w:spacing w:before="1440"/>
      <w:contextualSpacing/>
    </w:pPr>
    <w:rPr>
      <w:rFonts w:ascii="Georgia" w:eastAsiaTheme="majorEastAsia" w:hAnsi="Georgia" w:cstheme="majorBidi"/>
      <w:color w:val="24596E"/>
      <w:spacing w:val="5"/>
      <w:sz w:val="72"/>
      <w:szCs w:val="52"/>
    </w:rPr>
  </w:style>
  <w:style w:type="character" w:customStyle="1" w:styleId="TitleChar">
    <w:name w:val="Title Char"/>
    <w:basedOn w:val="DefaultParagraphFont"/>
    <w:link w:val="Title"/>
    <w:rsid w:val="001F512D"/>
    <w:rPr>
      <w:rFonts w:ascii="Georgia" w:eastAsiaTheme="majorEastAsia" w:hAnsi="Georgia" w:cstheme="majorBidi"/>
      <w:color w:val="24596E"/>
      <w:spacing w:val="5"/>
      <w:sz w:val="72"/>
      <w:szCs w:val="52"/>
      <w:lang w:eastAsia="en-AU"/>
    </w:rPr>
  </w:style>
  <w:style w:type="paragraph" w:styleId="Subtitle">
    <w:name w:val="Subtitle"/>
    <w:basedOn w:val="Normal"/>
    <w:next w:val="Normal"/>
    <w:link w:val="SubtitleChar"/>
    <w:qFormat/>
    <w:rsid w:val="001F512D"/>
    <w:pPr>
      <w:spacing w:before="240" w:after="600"/>
    </w:pPr>
    <w:rPr>
      <w:rFonts w:ascii="Georgia" w:eastAsiaTheme="majorEastAsia" w:hAnsi="Georgia" w:cstheme="majorBidi"/>
      <w:iCs/>
      <w:spacing w:val="6"/>
      <w:sz w:val="36"/>
    </w:rPr>
  </w:style>
  <w:style w:type="character" w:customStyle="1" w:styleId="SubtitleChar">
    <w:name w:val="Subtitle Char"/>
    <w:basedOn w:val="DefaultParagraphFont"/>
    <w:link w:val="Subtitle"/>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qFormat/>
    <w:rsid w:val="00FA34AC"/>
    <w:rPr>
      <w:rFonts w:ascii="Calibri" w:hAnsi="Calibri"/>
      <w:b/>
      <w:bCs/>
      <w:sz w:val="21"/>
    </w:rPr>
  </w:style>
  <w:style w:type="paragraph" w:styleId="ListParagraph">
    <w:name w:val="List Paragraph"/>
    <w:basedOn w:val="Normal"/>
    <w:link w:val="ListParagraphChar"/>
    <w:uiPriority w:val="34"/>
    <w:qFormat/>
    <w:rsid w:val="00E173A7"/>
    <w:pPr>
      <w:numPr>
        <w:numId w:val="9"/>
      </w:numPr>
      <w:contextualSpacing/>
    </w:pPr>
  </w:style>
  <w:style w:type="character" w:styleId="Emphasis">
    <w:name w:val="Emphasis"/>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1F512D"/>
    <w:pPr>
      <w:spacing w:before="4000"/>
      <w:jc w:val="center"/>
    </w:pPr>
  </w:style>
  <w:style w:type="paragraph" w:styleId="TableofAuthorities">
    <w:name w:val="table of authorities"/>
    <w:basedOn w:val="Normal"/>
    <w:next w:val="Normal"/>
    <w:unhideWhenUsed/>
    <w:rsid w:val="00781B94"/>
    <w:pPr>
      <w:spacing w:after="0"/>
      <w:ind w:left="200" w:hanging="200"/>
    </w:p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nhideWhenUsed/>
    <w:qFormat/>
    <w:rsid w:val="00FC143A"/>
    <w:pPr>
      <w:pBdr>
        <w:bottom w:val="single" w:sz="18" w:space="1" w:color="24596E"/>
      </w:pBdr>
      <w:tabs>
        <w:tab w:val="center" w:pos="4513"/>
        <w:tab w:val="right" w:pos="9026"/>
      </w:tabs>
      <w:spacing w:before="600" w:after="720"/>
    </w:pPr>
    <w:rPr>
      <w:rFonts w:ascii="Georgia" w:hAnsi="Georgia"/>
      <w:color w:val="24596E"/>
    </w:rPr>
  </w:style>
  <w:style w:type="character" w:customStyle="1" w:styleId="HeaderChar">
    <w:name w:val="Header Char"/>
    <w:basedOn w:val="DefaultParagraphFont"/>
    <w:link w:val="Header"/>
    <w:rsid w:val="00FC143A"/>
    <w:rPr>
      <w:rFonts w:ascii="Georgia" w:eastAsia="Times New Roman" w:hAnsi="Georgia" w:cs="Times New Roman"/>
      <w:color w:val="24596E"/>
      <w:sz w:val="20"/>
      <w:szCs w:val="24"/>
      <w:lang w:eastAsia="en-AU"/>
    </w:rPr>
  </w:style>
  <w:style w:type="paragraph" w:styleId="Footer">
    <w:name w:val="footer"/>
    <w:basedOn w:val="Normal"/>
    <w:link w:val="FooterChar"/>
    <w:unhideWhenUsed/>
    <w:qFormat/>
    <w:rsid w:val="007E509A"/>
    <w:pPr>
      <w:tabs>
        <w:tab w:val="center" w:pos="4513"/>
        <w:tab w:val="right" w:pos="9026"/>
      </w:tabs>
    </w:pPr>
  </w:style>
  <w:style w:type="character" w:customStyle="1" w:styleId="FooterChar">
    <w:name w:val="Footer Char"/>
    <w:basedOn w:val="DefaultParagraphFont"/>
    <w:link w:val="Footer"/>
    <w:rsid w:val="007E509A"/>
    <w:rPr>
      <w:rFonts w:ascii="Arial" w:eastAsia="Times New Roman" w:hAnsi="Arial" w:cs="Times New Roman"/>
      <w:spacing w:val="4"/>
      <w:sz w:val="20"/>
      <w:szCs w:val="24"/>
      <w:lang w:eastAsia="en-AU"/>
    </w:rPr>
  </w:style>
  <w:style w:type="paragraph" w:styleId="BalloonText">
    <w:name w:val="Balloon Text"/>
    <w:basedOn w:val="Normal"/>
    <w:link w:val="BalloonTextChar"/>
    <w:uiPriority w:val="99"/>
    <w:unhideWhenUsed/>
    <w:rsid w:val="008F302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8F3023"/>
    <w:rPr>
      <w:rFonts w:ascii="Tahoma" w:hAnsi="Tahoma" w:cs="Tahoma"/>
      <w:sz w:val="16"/>
      <w:szCs w:val="16"/>
    </w:rPr>
  </w:style>
  <w:style w:type="paragraph" w:styleId="ListBullet">
    <w:name w:val="List Bullet"/>
    <w:basedOn w:val="ListParagraph"/>
    <w:uiPriority w:val="1"/>
    <w:qFormat/>
    <w:rsid w:val="00FA34AC"/>
    <w:pPr>
      <w:ind w:left="584" w:hanging="357"/>
    </w:pPr>
  </w:style>
  <w:style w:type="character" w:styleId="UnresolvedMention">
    <w:name w:val="Unresolved Mention"/>
    <w:basedOn w:val="DefaultParagraphFont"/>
    <w:uiPriority w:val="99"/>
    <w:semiHidden/>
    <w:unhideWhenUsed/>
    <w:rsid w:val="00781B94"/>
    <w:rPr>
      <w:color w:val="605E5C"/>
      <w:shd w:val="clear" w:color="auto" w:fill="E1DFDD"/>
    </w:rPr>
  </w:style>
  <w:style w:type="paragraph" w:styleId="TableofFigures">
    <w:name w:val="table of figures"/>
    <w:basedOn w:val="Normal"/>
    <w:next w:val="Normal"/>
    <w:unhideWhenUsed/>
    <w:rsid w:val="00781B94"/>
    <w:pPr>
      <w:spacing w:before="0" w:after="60"/>
    </w:pPr>
    <w:rPr>
      <w:rFonts w:asciiTheme="minorHAnsi" w:hAnsiTheme="minorHAnsi" w:cstheme="minorHAnsi"/>
      <w:bCs/>
      <w:iCs/>
      <w:szCs w:val="20"/>
    </w:rPr>
  </w:style>
  <w:style w:type="character" w:styleId="Hyperlink">
    <w:name w:val="Hyperlink"/>
    <w:basedOn w:val="DefaultParagraphFont"/>
    <w:uiPriority w:val="99"/>
    <w:qFormat/>
    <w:rsid w:val="00D22A8A"/>
    <w:rPr>
      <w:rFonts w:ascii="Arial" w:hAnsi="Arial"/>
      <w:b w:val="0"/>
      <w:color w:val="0000FF"/>
      <w:sz w:val="22"/>
      <w:u w:val="single"/>
    </w:rPr>
  </w:style>
  <w:style w:type="paragraph" w:styleId="NormalWeb">
    <w:name w:val="Normal (Web)"/>
    <w:basedOn w:val="Normal"/>
    <w:unhideWhenUsed/>
    <w:rsid w:val="00876CA6"/>
    <w:pPr>
      <w:spacing w:before="100" w:beforeAutospacing="1" w:after="100" w:afterAutospacing="1"/>
    </w:pPr>
    <w:rPr>
      <w:rFonts w:ascii="Times New Roman" w:hAnsi="Times New Roman"/>
    </w:rPr>
  </w:style>
  <w:style w:type="paragraph" w:styleId="TOC1">
    <w:name w:val="toc 1"/>
    <w:basedOn w:val="Normal"/>
    <w:next w:val="Normal"/>
    <w:autoRedefine/>
    <w:uiPriority w:val="39"/>
    <w:unhideWhenUsed/>
    <w:qFormat/>
    <w:rsid w:val="00DF7B75"/>
    <w:pPr>
      <w:tabs>
        <w:tab w:val="right" w:leader="dot" w:pos="9485"/>
      </w:tabs>
      <w:spacing w:after="0"/>
    </w:pPr>
  </w:style>
  <w:style w:type="paragraph" w:styleId="TOC2">
    <w:name w:val="toc 2"/>
    <w:basedOn w:val="Normal"/>
    <w:next w:val="Normal"/>
    <w:autoRedefine/>
    <w:uiPriority w:val="39"/>
    <w:unhideWhenUsed/>
    <w:qFormat/>
    <w:rsid w:val="00DF7B75"/>
    <w:pPr>
      <w:spacing w:after="0"/>
      <w:ind w:left="198"/>
    </w:pPr>
  </w:style>
  <w:style w:type="paragraph" w:styleId="TOC3">
    <w:name w:val="toc 3"/>
    <w:basedOn w:val="Normal"/>
    <w:next w:val="Normal"/>
    <w:autoRedefine/>
    <w:uiPriority w:val="39"/>
    <w:unhideWhenUsed/>
    <w:qFormat/>
    <w:rsid w:val="000712E7"/>
    <w:pPr>
      <w:tabs>
        <w:tab w:val="left" w:pos="1100"/>
        <w:tab w:val="right" w:leader="dot" w:pos="9485"/>
      </w:tabs>
      <w:spacing w:after="0"/>
      <w:ind w:left="403"/>
    </w:pPr>
    <w:rPr>
      <w:rFonts w:asciiTheme="minorHAnsi" w:eastAsiaTheme="majorEastAsia" w:hAnsiTheme="minorHAnsi" w:cstheme="minorHAnsi"/>
      <w:bCs/>
      <w:noProof/>
      <w:snapToGrid w:val="0"/>
    </w:rPr>
  </w:style>
  <w:style w:type="paragraph" w:customStyle="1" w:styleId="Smalltext">
    <w:name w:val="Small text"/>
    <w:basedOn w:val="Normal"/>
    <w:rsid w:val="0054713E"/>
    <w:pPr>
      <w:spacing w:before="480"/>
    </w:pPr>
    <w:rPr>
      <w:sz w:val="12"/>
      <w:szCs w:val="16"/>
      <w:lang w:val="en-US"/>
    </w:rPr>
  </w:style>
  <w:style w:type="table" w:customStyle="1" w:styleId="DSSDatatablestyle">
    <w:name w:val="DSS Data table style"/>
    <w:basedOn w:val="TableNormal"/>
    <w:uiPriority w:val="99"/>
    <w:rsid w:val="001F512D"/>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005A70"/>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9B66B3"/>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B1E4E3"/>
      </w:tcPr>
    </w:tblStylePr>
    <w:tblStylePr w:type="lastRow">
      <w:rPr>
        <w:rFonts w:ascii="Arial" w:hAnsi="Arial"/>
        <w:b/>
        <w:sz w:val="22"/>
      </w:rPr>
      <w:tblPr/>
      <w:tcPr>
        <w:tcBorders>
          <w:top w:val="single" w:sz="4" w:space="0" w:color="auto"/>
          <w:bottom w:val="single" w:sz="4" w:space="0" w:color="auto"/>
        </w:tcBorders>
        <w:shd w:val="clear" w:color="auto" w:fill="F2F2F2" w:themeFill="background1" w:themeFillShade="F2"/>
      </w:tcPr>
    </w:tblStylePr>
  </w:style>
  <w:style w:type="table" w:styleId="TableGrid">
    <w:name w:val="Table Grid"/>
    <w:basedOn w:val="TableNormal"/>
    <w:rsid w:val="00187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0"/>
      </w:rPr>
      <w:tblPr/>
      <w:tcPr>
        <w:shd w:val="clear" w:color="auto" w:fill="58267E"/>
      </w:tcPr>
    </w:tblStylePr>
  </w:style>
  <w:style w:type="character" w:styleId="FollowedHyperlink">
    <w:name w:val="FollowedHyperlink"/>
    <w:basedOn w:val="DefaultParagraphFont"/>
    <w:unhideWhenUsed/>
    <w:rsid w:val="0050273B"/>
    <w:rPr>
      <w:color w:val="000000" w:themeColor="followedHyperlink"/>
      <w:u w:val="single"/>
    </w:rPr>
  </w:style>
  <w:style w:type="paragraph" w:styleId="List">
    <w:name w:val="List"/>
    <w:unhideWhenUsed/>
    <w:rsid w:val="007E1C52"/>
    <w:pPr>
      <w:numPr>
        <w:numId w:val="5"/>
      </w:numPr>
      <w:tabs>
        <w:tab w:val="clear" w:pos="1494"/>
      </w:tabs>
      <w:spacing w:after="0" w:line="240" w:lineRule="auto"/>
      <w:ind w:left="482" w:hanging="142"/>
      <w:contextualSpacing/>
    </w:pPr>
    <w:rPr>
      <w:rFonts w:ascii="Arial" w:eastAsia="Times New Roman" w:hAnsi="Arial" w:cs="Times New Roman"/>
      <w:spacing w:val="4"/>
      <w:sz w:val="20"/>
      <w:szCs w:val="20"/>
      <w:lang w:eastAsia="en-AU"/>
    </w:rPr>
  </w:style>
  <w:style w:type="paragraph" w:styleId="List2">
    <w:name w:val="List 2"/>
    <w:basedOn w:val="List"/>
    <w:unhideWhenUsed/>
    <w:rsid w:val="007E1C52"/>
    <w:pPr>
      <w:numPr>
        <w:numId w:val="10"/>
      </w:numPr>
      <w:spacing w:before="120" w:after="120"/>
    </w:pPr>
    <w:rPr>
      <w:b/>
    </w:rPr>
  </w:style>
  <w:style w:type="paragraph" w:styleId="ListContinue">
    <w:name w:val="List Continue"/>
    <w:unhideWhenUsed/>
    <w:rsid w:val="00640569"/>
    <w:pPr>
      <w:numPr>
        <w:numId w:val="11"/>
      </w:numPr>
      <w:spacing w:after="0"/>
    </w:pPr>
    <w:rPr>
      <w:rFonts w:ascii="Arial" w:eastAsia="Times New Roman" w:hAnsi="Arial" w:cs="Times New Roman"/>
      <w:spacing w:val="4"/>
      <w:sz w:val="20"/>
      <w:szCs w:val="24"/>
      <w:lang w:eastAsia="en-AU"/>
    </w:rPr>
  </w:style>
  <w:style w:type="paragraph" w:styleId="ListContinue2">
    <w:name w:val="List Continue 2"/>
    <w:basedOn w:val="Normal"/>
    <w:unhideWhenUsed/>
    <w:rsid w:val="00A25C85"/>
    <w:pPr>
      <w:ind w:left="566"/>
      <w:contextualSpacing/>
    </w:pPr>
  </w:style>
  <w:style w:type="paragraph" w:styleId="Quote">
    <w:name w:val="Quote"/>
    <w:basedOn w:val="Normal"/>
    <w:next w:val="Normal"/>
    <w:link w:val="QuoteChar"/>
    <w:uiPriority w:val="29"/>
    <w:qFormat/>
    <w:rsid w:val="00F453A1"/>
    <w:rPr>
      <w:i/>
      <w:iCs/>
      <w:szCs w:val="20"/>
    </w:rPr>
  </w:style>
  <w:style w:type="character" w:customStyle="1" w:styleId="QuoteChar">
    <w:name w:val="Quote Char"/>
    <w:basedOn w:val="DefaultParagraphFont"/>
    <w:link w:val="Quote"/>
    <w:uiPriority w:val="29"/>
    <w:rsid w:val="00F453A1"/>
    <w:rPr>
      <w:rFonts w:ascii="Arial" w:eastAsia="Times New Roman" w:hAnsi="Arial" w:cs="Times New Roman"/>
      <w:i/>
      <w:iCs/>
      <w:spacing w:val="4"/>
      <w:sz w:val="20"/>
      <w:szCs w:val="20"/>
      <w:lang w:eastAsia="en-AU"/>
    </w:rPr>
  </w:style>
  <w:style w:type="paragraph" w:styleId="IntenseQuote">
    <w:name w:val="Intense Quote"/>
    <w:basedOn w:val="Normal"/>
    <w:next w:val="Normal"/>
    <w:link w:val="IntenseQuoteChar"/>
    <w:uiPriority w:val="30"/>
    <w:qFormat/>
    <w:rsid w:val="00605BA0"/>
    <w:pPr>
      <w:pBdr>
        <w:bottom w:val="single" w:sz="4" w:space="1" w:color="auto"/>
      </w:pBdr>
      <w:spacing w:before="200" w:after="280"/>
      <w:ind w:left="1008" w:right="1152"/>
      <w:jc w:val="both"/>
    </w:pPr>
    <w:rPr>
      <w:b/>
      <w:bCs/>
      <w:i/>
      <w:iCs/>
      <w:spacing w:val="0"/>
      <w:szCs w:val="20"/>
      <w:lang w:eastAsia="en-US"/>
    </w:rPr>
  </w:style>
  <w:style w:type="character" w:customStyle="1" w:styleId="IntenseQuoteChar">
    <w:name w:val="Intense Quote Char"/>
    <w:basedOn w:val="DefaultParagraphFont"/>
    <w:link w:val="IntenseQuote"/>
    <w:uiPriority w:val="30"/>
    <w:rsid w:val="00605BA0"/>
    <w:rPr>
      <w:rFonts w:ascii="Arial" w:eastAsia="Times New Roman" w:hAnsi="Arial" w:cs="Times New Roman"/>
      <w:b/>
      <w:bCs/>
      <w:i/>
      <w:iCs/>
      <w:sz w:val="20"/>
      <w:szCs w:val="20"/>
    </w:rPr>
  </w:style>
  <w:style w:type="character" w:styleId="SubtleReference">
    <w:name w:val="Subtle Reference"/>
    <w:uiPriority w:val="31"/>
    <w:qFormat/>
    <w:rsid w:val="00605BA0"/>
    <w:rPr>
      <w:smallCaps/>
    </w:rPr>
  </w:style>
  <w:style w:type="character" w:styleId="IntenseReference">
    <w:name w:val="Intense Reference"/>
    <w:uiPriority w:val="32"/>
    <w:qFormat/>
    <w:rsid w:val="00605BA0"/>
    <w:rPr>
      <w:smallCaps/>
      <w:spacing w:val="5"/>
      <w:u w:val="single"/>
    </w:rPr>
  </w:style>
  <w:style w:type="character" w:styleId="BookTitle">
    <w:name w:val="Book Title"/>
    <w:uiPriority w:val="33"/>
    <w:qFormat/>
    <w:rsid w:val="00605BA0"/>
    <w:rPr>
      <w:i/>
      <w:iCs/>
      <w:smallCaps/>
      <w:spacing w:val="5"/>
    </w:rPr>
  </w:style>
  <w:style w:type="paragraph" w:styleId="CommentText">
    <w:name w:val="annotation text"/>
    <w:basedOn w:val="Normal"/>
    <w:link w:val="CommentTextChar"/>
    <w:rsid w:val="00605BA0"/>
    <w:pPr>
      <w:spacing w:before="0" w:after="0"/>
    </w:pPr>
    <w:rPr>
      <w:spacing w:val="0"/>
      <w:szCs w:val="20"/>
      <w:lang w:eastAsia="en-US"/>
    </w:rPr>
  </w:style>
  <w:style w:type="character" w:customStyle="1" w:styleId="CommentTextChar">
    <w:name w:val="Comment Text Char"/>
    <w:basedOn w:val="DefaultParagraphFont"/>
    <w:link w:val="CommentText"/>
    <w:rsid w:val="00605BA0"/>
    <w:rPr>
      <w:rFonts w:ascii="Arial" w:eastAsia="Times New Roman" w:hAnsi="Arial" w:cs="Times New Roman"/>
      <w:sz w:val="20"/>
      <w:szCs w:val="20"/>
    </w:rPr>
  </w:style>
  <w:style w:type="table" w:styleId="TableGridLight">
    <w:name w:val="Grid Table Light"/>
    <w:basedOn w:val="TableNormal"/>
    <w:uiPriority w:val="40"/>
    <w:rsid w:val="005E09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pPr>
        <w:wordWrap/>
      </w:pPr>
      <w:rPr>
        <w:rFonts w:ascii="Arial" w:hAnsi="Arial"/>
        <w:b/>
        <w:sz w:val="20"/>
      </w:rPr>
    </w:tblStylePr>
  </w:style>
  <w:style w:type="character" w:styleId="CommentReference">
    <w:name w:val="annotation reference"/>
    <w:rsid w:val="00605BA0"/>
    <w:rPr>
      <w:sz w:val="16"/>
      <w:szCs w:val="16"/>
    </w:rPr>
  </w:style>
  <w:style w:type="paragraph" w:styleId="BodyText">
    <w:name w:val="Body Text"/>
    <w:basedOn w:val="Normal"/>
    <w:link w:val="BodyTextChar"/>
    <w:rsid w:val="00605BA0"/>
    <w:pPr>
      <w:spacing w:before="0"/>
    </w:pPr>
    <w:rPr>
      <w:spacing w:val="0"/>
      <w:szCs w:val="20"/>
      <w:lang w:eastAsia="en-US"/>
    </w:rPr>
  </w:style>
  <w:style w:type="character" w:customStyle="1" w:styleId="BodyTextChar">
    <w:name w:val="Body Text Char"/>
    <w:basedOn w:val="DefaultParagraphFont"/>
    <w:link w:val="BodyText"/>
    <w:rsid w:val="00605BA0"/>
    <w:rPr>
      <w:rFonts w:ascii="Arial" w:eastAsia="Times New Roman" w:hAnsi="Arial" w:cs="Times New Roman"/>
      <w:sz w:val="20"/>
      <w:szCs w:val="20"/>
    </w:rPr>
  </w:style>
  <w:style w:type="paragraph" w:customStyle="1" w:styleId="BulletDot">
    <w:name w:val="Bullet Dot"/>
    <w:basedOn w:val="Normal"/>
    <w:rsid w:val="00605BA0"/>
    <w:pPr>
      <w:keepLines/>
      <w:numPr>
        <w:numId w:val="2"/>
      </w:numPr>
      <w:spacing w:before="0" w:after="0"/>
    </w:pPr>
    <w:rPr>
      <w:spacing w:val="0"/>
      <w:szCs w:val="20"/>
      <w:lang w:eastAsia="en-US"/>
    </w:rPr>
  </w:style>
  <w:style w:type="numbering" w:customStyle="1" w:styleId="NoList1">
    <w:name w:val="No List1"/>
    <w:next w:val="NoList"/>
    <w:uiPriority w:val="99"/>
    <w:semiHidden/>
    <w:unhideWhenUsed/>
    <w:rsid w:val="00605BA0"/>
  </w:style>
  <w:style w:type="paragraph" w:styleId="CommentSubject">
    <w:name w:val="annotation subject"/>
    <w:basedOn w:val="CommentText"/>
    <w:next w:val="CommentText"/>
    <w:link w:val="CommentSubjectChar"/>
    <w:unhideWhenUsed/>
    <w:rsid w:val="00605BA0"/>
    <w:rPr>
      <w:b/>
      <w:bCs/>
    </w:rPr>
  </w:style>
  <w:style w:type="character" w:customStyle="1" w:styleId="CommentSubjectChar">
    <w:name w:val="Comment Subject Char"/>
    <w:basedOn w:val="CommentTextChar"/>
    <w:link w:val="CommentSubject"/>
    <w:rsid w:val="00605BA0"/>
    <w:rPr>
      <w:rFonts w:ascii="Arial" w:eastAsia="Times New Roman" w:hAnsi="Arial" w:cs="Times New Roman"/>
      <w:b/>
      <w:bCs/>
      <w:sz w:val="20"/>
      <w:szCs w:val="20"/>
    </w:rPr>
  </w:style>
  <w:style w:type="paragraph" w:styleId="Revision">
    <w:name w:val="Revision"/>
    <w:hidden/>
    <w:uiPriority w:val="99"/>
    <w:semiHidden/>
    <w:rsid w:val="00605BA0"/>
    <w:pPr>
      <w:spacing w:after="0" w:line="240" w:lineRule="auto"/>
    </w:pPr>
    <w:rPr>
      <w:rFonts w:ascii="Arial" w:eastAsia="Times New Roman" w:hAnsi="Arial" w:cs="Times New Roman"/>
      <w:szCs w:val="20"/>
    </w:rPr>
  </w:style>
  <w:style w:type="paragraph" w:customStyle="1" w:styleId="Default">
    <w:name w:val="Default"/>
    <w:link w:val="DefaultChar"/>
    <w:rsid w:val="00605BA0"/>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nhideWhenUsed/>
    <w:rsid w:val="00605BA0"/>
    <w:pPr>
      <w:spacing w:before="0" w:after="0"/>
    </w:pPr>
    <w:rPr>
      <w:rFonts w:ascii="Courier New" w:hAnsi="Courier New" w:cs="Courier New"/>
      <w:spacing w:val="0"/>
      <w:szCs w:val="20"/>
      <w:lang w:eastAsia="en-US"/>
    </w:rPr>
  </w:style>
  <w:style w:type="character" w:customStyle="1" w:styleId="PlainTextChar">
    <w:name w:val="Plain Text Char"/>
    <w:basedOn w:val="DefaultParagraphFont"/>
    <w:link w:val="PlainText"/>
    <w:rsid w:val="00605BA0"/>
    <w:rPr>
      <w:rFonts w:ascii="Courier New" w:eastAsia="Times New Roman" w:hAnsi="Courier New" w:cs="Courier New"/>
      <w:sz w:val="20"/>
      <w:szCs w:val="20"/>
    </w:rPr>
  </w:style>
  <w:style w:type="paragraph" w:customStyle="1" w:styleId="Covertable">
    <w:name w:val="Cover table"/>
    <w:rsid w:val="00605BA0"/>
    <w:pPr>
      <w:spacing w:before="40" w:after="40" w:line="240" w:lineRule="auto"/>
    </w:pPr>
    <w:rPr>
      <w:rFonts w:ascii="Times New Roman" w:eastAsia="Times New Roman" w:hAnsi="Times New Roman" w:cs="Times New Roman"/>
      <w:bCs/>
      <w:snapToGrid w:val="0"/>
      <w:sz w:val="24"/>
      <w:szCs w:val="20"/>
    </w:rPr>
  </w:style>
  <w:style w:type="paragraph" w:styleId="FootnoteText">
    <w:name w:val="footnote text"/>
    <w:basedOn w:val="Normal"/>
    <w:link w:val="FootnoteTextChar"/>
    <w:rsid w:val="00605BA0"/>
    <w:pPr>
      <w:spacing w:before="0" w:after="0"/>
    </w:pPr>
    <w:rPr>
      <w:rFonts w:ascii="Times New Roman" w:hAnsi="Times New Roman"/>
      <w:spacing w:val="0"/>
      <w:szCs w:val="20"/>
      <w:lang w:eastAsia="en-US"/>
    </w:rPr>
  </w:style>
  <w:style w:type="character" w:customStyle="1" w:styleId="FootnoteTextChar">
    <w:name w:val="Footnote Text Char"/>
    <w:basedOn w:val="DefaultParagraphFont"/>
    <w:link w:val="FootnoteText"/>
    <w:rsid w:val="00605BA0"/>
    <w:rPr>
      <w:rFonts w:ascii="Times New Roman" w:eastAsia="Times New Roman" w:hAnsi="Times New Roman" w:cs="Times New Roman"/>
      <w:sz w:val="20"/>
      <w:szCs w:val="20"/>
    </w:rPr>
  </w:style>
  <w:style w:type="character" w:styleId="FootnoteReference">
    <w:name w:val="footnote reference"/>
    <w:uiPriority w:val="99"/>
    <w:rsid w:val="00605BA0"/>
    <w:rPr>
      <w:vertAlign w:val="superscript"/>
    </w:rPr>
  </w:style>
  <w:style w:type="paragraph" w:customStyle="1" w:styleId="Tableabclist">
    <w:name w:val="Table (abc) list"/>
    <w:basedOn w:val="ListParagraph"/>
    <w:link w:val="TableabclistChar"/>
    <w:qFormat/>
    <w:rsid w:val="005242AC"/>
    <w:pPr>
      <w:numPr>
        <w:numId w:val="7"/>
      </w:numPr>
    </w:pPr>
    <w:rPr>
      <w:rFonts w:cs="Calibri"/>
      <w:szCs w:val="20"/>
    </w:rPr>
  </w:style>
  <w:style w:type="character" w:customStyle="1" w:styleId="ListParagraphChar">
    <w:name w:val="List Paragraph Char"/>
    <w:basedOn w:val="DefaultParagraphFont"/>
    <w:link w:val="ListParagraph"/>
    <w:uiPriority w:val="34"/>
    <w:qFormat/>
    <w:rsid w:val="00E173A7"/>
    <w:rPr>
      <w:rFonts w:ascii="Calibri" w:eastAsia="Times New Roman" w:hAnsi="Calibri" w:cs="Times New Roman"/>
      <w:spacing w:val="4"/>
      <w:sz w:val="20"/>
      <w:szCs w:val="24"/>
      <w:lang w:eastAsia="en-AU"/>
    </w:rPr>
  </w:style>
  <w:style w:type="paragraph" w:customStyle="1" w:styleId="heading4withoutnumbers">
    <w:name w:val="heading 4 without numbers"/>
    <w:basedOn w:val="Heading4"/>
    <w:next w:val="Normal"/>
    <w:qFormat/>
    <w:rsid w:val="00187113"/>
    <w:pPr>
      <w:keepNext/>
      <w:numPr>
        <w:ilvl w:val="0"/>
        <w:numId w:val="0"/>
      </w:numPr>
      <w:spacing w:before="120" w:after="120"/>
    </w:pPr>
    <w:rPr>
      <w:rFonts w:eastAsia="Times New Roman" w:cs="Arial"/>
      <w:b w:val="0"/>
      <w:bCs w:val="0"/>
      <w:iCs w:val="0"/>
      <w:color w:val="005A70" w:themeColor="accent1"/>
      <w:spacing w:val="0"/>
      <w:szCs w:val="20"/>
    </w:rPr>
  </w:style>
  <w:style w:type="paragraph" w:customStyle="1" w:styleId="Heading2withoutnumbering">
    <w:name w:val="Heading 2 without numbering"/>
    <w:qFormat/>
    <w:rsid w:val="005242AC"/>
    <w:pPr>
      <w:spacing w:before="120" w:after="120"/>
      <w:outlineLvl w:val="1"/>
    </w:pPr>
    <w:rPr>
      <w:rFonts w:ascii="Calibri" w:eastAsiaTheme="majorEastAsia" w:hAnsi="Calibri" w:cstheme="majorBidi"/>
      <w:b/>
      <w:bCs/>
      <w:color w:val="0070C0"/>
      <w:spacing w:val="4"/>
      <w:sz w:val="21"/>
      <w:szCs w:val="24"/>
      <w:lang w:eastAsia="en-AU"/>
    </w:rPr>
  </w:style>
  <w:style w:type="paragraph" w:customStyle="1" w:styleId="Heading3withoutnumbering">
    <w:name w:val="Heading 3 without numbering"/>
    <w:basedOn w:val="Heading3"/>
    <w:next w:val="Normal"/>
    <w:link w:val="Heading3withoutnumberingChar"/>
    <w:qFormat/>
    <w:rsid w:val="00185B91"/>
    <w:pPr>
      <w:keepNext/>
      <w:spacing w:before="120" w:after="120" w:line="240" w:lineRule="auto"/>
    </w:pPr>
    <w:rPr>
      <w:rFonts w:cs="Arial"/>
      <w:bCs w:val="0"/>
      <w:color w:val="auto"/>
      <w:spacing w:val="0"/>
      <w:szCs w:val="20"/>
      <w:lang w:eastAsia="en-US"/>
    </w:rPr>
  </w:style>
  <w:style w:type="paragraph" w:styleId="TOC4">
    <w:name w:val="toc 4"/>
    <w:basedOn w:val="Normal"/>
    <w:next w:val="Normal"/>
    <w:autoRedefine/>
    <w:uiPriority w:val="39"/>
    <w:unhideWhenUsed/>
    <w:rsid w:val="00605BA0"/>
    <w:pPr>
      <w:spacing w:before="0" w:after="0"/>
      <w:ind w:left="601"/>
    </w:pPr>
    <w:rPr>
      <w:rFonts w:ascii="Times New Roman" w:hAnsi="Times New Roman"/>
      <w:b/>
      <w:spacing w:val="0"/>
      <w:szCs w:val="20"/>
      <w:lang w:eastAsia="en-US"/>
    </w:rPr>
  </w:style>
  <w:style w:type="paragraph" w:styleId="EndnoteText">
    <w:name w:val="endnote text"/>
    <w:basedOn w:val="Normal"/>
    <w:link w:val="EndnoteTextChar"/>
    <w:unhideWhenUsed/>
    <w:rsid w:val="00605BA0"/>
    <w:pPr>
      <w:spacing w:before="0" w:after="0"/>
    </w:pPr>
    <w:rPr>
      <w:spacing w:val="0"/>
      <w:szCs w:val="20"/>
      <w:lang w:eastAsia="en-US"/>
    </w:rPr>
  </w:style>
  <w:style w:type="character" w:customStyle="1" w:styleId="EndnoteTextChar">
    <w:name w:val="Endnote Text Char"/>
    <w:basedOn w:val="DefaultParagraphFont"/>
    <w:link w:val="EndnoteText"/>
    <w:rsid w:val="00605BA0"/>
    <w:rPr>
      <w:rFonts w:ascii="Arial" w:eastAsia="Times New Roman" w:hAnsi="Arial" w:cs="Times New Roman"/>
      <w:sz w:val="20"/>
      <w:szCs w:val="20"/>
    </w:rPr>
  </w:style>
  <w:style w:type="character" w:styleId="EndnoteReference">
    <w:name w:val="endnote reference"/>
    <w:basedOn w:val="DefaultParagraphFont"/>
    <w:unhideWhenUsed/>
    <w:rsid w:val="00605BA0"/>
    <w:rPr>
      <w:vertAlign w:val="superscript"/>
    </w:rPr>
  </w:style>
  <w:style w:type="character" w:styleId="PageNumber">
    <w:name w:val="page number"/>
    <w:rsid w:val="00605BA0"/>
    <w:rPr>
      <w:rFonts w:cs="Times New Roman"/>
    </w:rPr>
  </w:style>
  <w:style w:type="character" w:customStyle="1" w:styleId="TableabclistChar">
    <w:name w:val="Table (abc) list Char"/>
    <w:basedOn w:val="ListParagraphChar"/>
    <w:link w:val="Tableabclist"/>
    <w:rsid w:val="005242AC"/>
    <w:rPr>
      <w:rFonts w:ascii="Calibri" w:eastAsia="Times New Roman" w:hAnsi="Calibri" w:cs="Calibri"/>
      <w:spacing w:val="4"/>
      <w:sz w:val="20"/>
      <w:szCs w:val="20"/>
      <w:lang w:eastAsia="en-AU"/>
    </w:rPr>
  </w:style>
  <w:style w:type="paragraph" w:customStyle="1" w:styleId="Note">
    <w:name w:val="Note"/>
    <w:basedOn w:val="Normal"/>
    <w:uiPriority w:val="99"/>
    <w:rsid w:val="00605BA0"/>
    <w:pPr>
      <w:spacing w:after="0" w:line="220" w:lineRule="exact"/>
      <w:ind w:left="964"/>
      <w:jc w:val="both"/>
    </w:pPr>
    <w:rPr>
      <w:rFonts w:ascii="Times New Roman" w:hAnsi="Times New Roman"/>
      <w:spacing w:val="0"/>
      <w:szCs w:val="20"/>
      <w:lang w:eastAsia="en-US"/>
    </w:rPr>
  </w:style>
  <w:style w:type="character" w:customStyle="1" w:styleId="DefaultChar">
    <w:name w:val="Default Char"/>
    <w:link w:val="Default"/>
    <w:uiPriority w:val="99"/>
    <w:locked/>
    <w:rsid w:val="00605BA0"/>
    <w:rPr>
      <w:rFonts w:ascii="Arial" w:hAnsi="Arial" w:cs="Arial"/>
      <w:color w:val="000000"/>
      <w:sz w:val="24"/>
      <w:szCs w:val="24"/>
    </w:rPr>
  </w:style>
  <w:style w:type="paragraph" w:customStyle="1" w:styleId="DefinitionTerm">
    <w:name w:val="Definition Term"/>
    <w:basedOn w:val="Normal"/>
    <w:next w:val="Normal"/>
    <w:uiPriority w:val="99"/>
    <w:rsid w:val="00605BA0"/>
    <w:pPr>
      <w:spacing w:before="0" w:after="0"/>
    </w:pPr>
    <w:rPr>
      <w:rFonts w:ascii="Times New Roman" w:hAnsi="Times New Roman"/>
      <w:spacing w:val="0"/>
    </w:rPr>
  </w:style>
  <w:style w:type="paragraph" w:customStyle="1" w:styleId="DefinitionList">
    <w:name w:val="Definition List"/>
    <w:basedOn w:val="Normal"/>
    <w:next w:val="DefinitionTerm"/>
    <w:uiPriority w:val="99"/>
    <w:rsid w:val="00605BA0"/>
    <w:pPr>
      <w:spacing w:before="0" w:after="0"/>
      <w:ind w:left="360"/>
    </w:pPr>
    <w:rPr>
      <w:rFonts w:ascii="Times New Roman" w:hAnsi="Times New Roman"/>
      <w:spacing w:val="0"/>
    </w:rPr>
  </w:style>
  <w:style w:type="paragraph" w:customStyle="1" w:styleId="NumberBullet1">
    <w:name w:val="Number Bullet 1"/>
    <w:basedOn w:val="Normal"/>
    <w:link w:val="NumberBullet1Char"/>
    <w:uiPriority w:val="99"/>
    <w:rsid w:val="00605BA0"/>
    <w:pPr>
      <w:widowControl w:val="0"/>
      <w:numPr>
        <w:numId w:val="3"/>
      </w:numPr>
      <w:spacing w:line="288" w:lineRule="atLeast"/>
    </w:pPr>
    <w:rPr>
      <w:spacing w:val="0"/>
      <w:sz w:val="22"/>
      <w:szCs w:val="20"/>
      <w:lang w:eastAsia="en-US"/>
    </w:rPr>
  </w:style>
  <w:style w:type="paragraph" w:customStyle="1" w:styleId="NumberBullet2">
    <w:name w:val="Number Bullet 2"/>
    <w:basedOn w:val="Normal"/>
    <w:uiPriority w:val="99"/>
    <w:rsid w:val="00605BA0"/>
    <w:pPr>
      <w:widowControl w:val="0"/>
      <w:numPr>
        <w:ilvl w:val="1"/>
        <w:numId w:val="3"/>
      </w:numPr>
      <w:spacing w:line="288" w:lineRule="atLeast"/>
    </w:pPr>
    <w:rPr>
      <w:spacing w:val="0"/>
      <w:sz w:val="22"/>
      <w:szCs w:val="20"/>
      <w:lang w:eastAsia="en-US"/>
    </w:rPr>
  </w:style>
  <w:style w:type="character" w:customStyle="1" w:styleId="NumberBullet1Char">
    <w:name w:val="Number Bullet 1 Char"/>
    <w:link w:val="NumberBullet1"/>
    <w:uiPriority w:val="99"/>
    <w:locked/>
    <w:rsid w:val="00605BA0"/>
    <w:rPr>
      <w:rFonts w:ascii="Calibri" w:eastAsia="Times New Roman" w:hAnsi="Calibri" w:cs="Times New Roman"/>
      <w:szCs w:val="20"/>
    </w:rPr>
  </w:style>
  <w:style w:type="paragraph" w:customStyle="1" w:styleId="NumberBullet3">
    <w:name w:val="Number Bullet 3"/>
    <w:basedOn w:val="Normal"/>
    <w:uiPriority w:val="99"/>
    <w:rsid w:val="00605BA0"/>
    <w:pPr>
      <w:widowControl w:val="0"/>
      <w:numPr>
        <w:ilvl w:val="2"/>
        <w:numId w:val="3"/>
      </w:numPr>
      <w:spacing w:line="288" w:lineRule="atLeast"/>
    </w:pPr>
    <w:rPr>
      <w:spacing w:val="0"/>
      <w:sz w:val="22"/>
      <w:szCs w:val="20"/>
      <w:lang w:eastAsia="en-US"/>
    </w:rPr>
  </w:style>
  <w:style w:type="paragraph" w:customStyle="1" w:styleId="DoubleDot">
    <w:name w:val="Double Dot"/>
    <w:basedOn w:val="Normal"/>
    <w:uiPriority w:val="99"/>
    <w:rsid w:val="00605BA0"/>
    <w:pPr>
      <w:numPr>
        <w:ilvl w:val="2"/>
        <w:numId w:val="4"/>
      </w:numPr>
      <w:spacing w:before="0" w:after="240"/>
    </w:pPr>
    <w:rPr>
      <w:spacing w:val="0"/>
      <w:szCs w:val="20"/>
    </w:rPr>
  </w:style>
  <w:style w:type="paragraph" w:styleId="BodyTextIndent3">
    <w:name w:val="Body Text Indent 3"/>
    <w:basedOn w:val="Normal"/>
    <w:link w:val="BodyTextIndent3Char"/>
    <w:rsid w:val="00605BA0"/>
    <w:pPr>
      <w:spacing w:before="0"/>
      <w:ind w:left="283"/>
    </w:pPr>
    <w:rPr>
      <w:rFonts w:ascii="Times New Roman" w:hAnsi="Times New Roman"/>
      <w:spacing w:val="0"/>
      <w:sz w:val="16"/>
      <w:szCs w:val="16"/>
      <w:lang w:eastAsia="en-US"/>
    </w:rPr>
  </w:style>
  <w:style w:type="character" w:customStyle="1" w:styleId="BodyTextIndent3Char">
    <w:name w:val="Body Text Indent 3 Char"/>
    <w:basedOn w:val="DefaultParagraphFont"/>
    <w:link w:val="BodyTextIndent3"/>
    <w:rsid w:val="00605BA0"/>
    <w:rPr>
      <w:rFonts w:ascii="Times New Roman" w:eastAsia="Times New Roman" w:hAnsi="Times New Roman" w:cs="Times New Roman"/>
      <w:sz w:val="16"/>
      <w:szCs w:val="16"/>
    </w:rPr>
  </w:style>
  <w:style w:type="paragraph" w:styleId="BodyText2">
    <w:name w:val="Body Text 2"/>
    <w:basedOn w:val="Normal"/>
    <w:link w:val="BodyText2Char"/>
    <w:rsid w:val="00605BA0"/>
    <w:pPr>
      <w:spacing w:before="0" w:line="480" w:lineRule="auto"/>
    </w:pPr>
    <w:rPr>
      <w:rFonts w:ascii="Times New Roman" w:hAnsi="Times New Roman"/>
      <w:spacing w:val="0"/>
      <w:lang w:eastAsia="en-US"/>
    </w:rPr>
  </w:style>
  <w:style w:type="character" w:customStyle="1" w:styleId="BodyText2Char">
    <w:name w:val="Body Text 2 Char"/>
    <w:basedOn w:val="DefaultParagraphFont"/>
    <w:link w:val="BodyText2"/>
    <w:rsid w:val="00605BA0"/>
    <w:rPr>
      <w:rFonts w:ascii="Times New Roman" w:eastAsia="Times New Roman" w:hAnsi="Times New Roman" w:cs="Times New Roman"/>
      <w:sz w:val="24"/>
      <w:szCs w:val="24"/>
    </w:rPr>
  </w:style>
  <w:style w:type="paragraph" w:styleId="BodyTextIndent">
    <w:name w:val="Body Text Indent"/>
    <w:basedOn w:val="Normal"/>
    <w:link w:val="BodyTextIndentChar"/>
    <w:rsid w:val="00605BA0"/>
    <w:pPr>
      <w:spacing w:before="0"/>
      <w:ind w:left="283"/>
    </w:pPr>
    <w:rPr>
      <w:rFonts w:ascii="Times New Roman" w:hAnsi="Times New Roman"/>
      <w:spacing w:val="0"/>
      <w:lang w:eastAsia="en-US"/>
    </w:rPr>
  </w:style>
  <w:style w:type="character" w:customStyle="1" w:styleId="BodyTextIndentChar">
    <w:name w:val="Body Text Indent Char"/>
    <w:basedOn w:val="DefaultParagraphFont"/>
    <w:link w:val="BodyTextIndent"/>
    <w:rsid w:val="00605BA0"/>
    <w:rPr>
      <w:rFonts w:ascii="Times New Roman" w:eastAsia="Times New Roman" w:hAnsi="Times New Roman" w:cs="Times New Roman"/>
      <w:sz w:val="24"/>
      <w:szCs w:val="24"/>
    </w:rPr>
  </w:style>
  <w:style w:type="paragraph" w:customStyle="1" w:styleId="Guidelines">
    <w:name w:val="Guidelines"/>
    <w:basedOn w:val="Heading3"/>
    <w:rsid w:val="00605BA0"/>
    <w:pPr>
      <w:keepNext/>
      <w:spacing w:before="0" w:line="240" w:lineRule="auto"/>
    </w:pPr>
    <w:rPr>
      <w:rFonts w:ascii="Times New Roman" w:eastAsia="Times New Roman" w:hAnsi="Times New Roman" w:cs="Arial"/>
      <w:i/>
      <w:spacing w:val="0"/>
      <w:sz w:val="24"/>
      <w:szCs w:val="26"/>
      <w:lang w:eastAsia="en-US"/>
    </w:rPr>
  </w:style>
  <w:style w:type="table" w:customStyle="1" w:styleId="DSSDatatablestyle1">
    <w:name w:val="DSS Data table style1"/>
    <w:basedOn w:val="TableNormal"/>
    <w:uiPriority w:val="99"/>
    <w:rsid w:val="00605BA0"/>
    <w:pPr>
      <w:spacing w:after="0" w:line="240" w:lineRule="auto"/>
    </w:pPr>
    <w:rPr>
      <w:rFonts w:ascii="Arial" w:hAnsi="Arial"/>
      <w:sz w:val="24"/>
    </w:rPr>
    <w:tblPr>
      <w:tblStyleRowBandSize w:val="1"/>
      <w:tblInd w:w="113" w:type="dxa"/>
    </w:tblPr>
    <w:tblStylePr w:type="firstRow">
      <w:rPr>
        <w:rFonts w:ascii="Arial" w:hAnsi="Arial"/>
        <w:b/>
        <w:color w:val="FFFFFF"/>
        <w:sz w:val="24"/>
      </w:rPr>
      <w:tblPr/>
      <w:tcPr>
        <w:shd w:val="clear" w:color="auto" w:fill="50077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paragraph" w:styleId="TOC5">
    <w:name w:val="toc 5"/>
    <w:basedOn w:val="Normal"/>
    <w:next w:val="Normal"/>
    <w:autoRedefine/>
    <w:uiPriority w:val="39"/>
    <w:unhideWhenUsed/>
    <w:rsid w:val="00BF41F0"/>
    <w:pPr>
      <w:spacing w:before="0" w:after="100" w:line="259" w:lineRule="auto"/>
      <w:ind w:left="880"/>
    </w:pPr>
    <w:rPr>
      <w:rFonts w:asciiTheme="minorHAnsi" w:eastAsiaTheme="minorEastAsia" w:hAnsiTheme="minorHAnsi" w:cstheme="minorBidi"/>
      <w:spacing w:val="0"/>
      <w:sz w:val="22"/>
      <w:szCs w:val="22"/>
    </w:rPr>
  </w:style>
  <w:style w:type="paragraph" w:styleId="TOC6">
    <w:name w:val="toc 6"/>
    <w:basedOn w:val="Normal"/>
    <w:next w:val="Normal"/>
    <w:autoRedefine/>
    <w:uiPriority w:val="39"/>
    <w:unhideWhenUsed/>
    <w:rsid w:val="00BF41F0"/>
    <w:pPr>
      <w:spacing w:before="0" w:after="100" w:line="259" w:lineRule="auto"/>
      <w:ind w:left="1100"/>
    </w:pPr>
    <w:rPr>
      <w:rFonts w:asciiTheme="minorHAnsi" w:eastAsiaTheme="minorEastAsia" w:hAnsiTheme="minorHAnsi" w:cstheme="minorBidi"/>
      <w:spacing w:val="0"/>
      <w:sz w:val="22"/>
      <w:szCs w:val="22"/>
    </w:rPr>
  </w:style>
  <w:style w:type="paragraph" w:styleId="TOC7">
    <w:name w:val="toc 7"/>
    <w:basedOn w:val="Normal"/>
    <w:next w:val="Normal"/>
    <w:autoRedefine/>
    <w:uiPriority w:val="39"/>
    <w:unhideWhenUsed/>
    <w:rsid w:val="00BF41F0"/>
    <w:pPr>
      <w:spacing w:before="0" w:after="100" w:line="259" w:lineRule="auto"/>
      <w:ind w:left="1320"/>
    </w:pPr>
    <w:rPr>
      <w:rFonts w:asciiTheme="minorHAnsi" w:eastAsiaTheme="minorEastAsia" w:hAnsiTheme="minorHAnsi" w:cstheme="minorBidi"/>
      <w:spacing w:val="0"/>
      <w:sz w:val="22"/>
      <w:szCs w:val="22"/>
    </w:rPr>
  </w:style>
  <w:style w:type="paragraph" w:styleId="TOC8">
    <w:name w:val="toc 8"/>
    <w:basedOn w:val="Normal"/>
    <w:next w:val="Normal"/>
    <w:autoRedefine/>
    <w:uiPriority w:val="39"/>
    <w:unhideWhenUsed/>
    <w:rsid w:val="00BF41F0"/>
    <w:pPr>
      <w:spacing w:before="0" w:after="100" w:line="259" w:lineRule="auto"/>
      <w:ind w:left="1540"/>
    </w:pPr>
    <w:rPr>
      <w:rFonts w:asciiTheme="minorHAnsi" w:eastAsiaTheme="minorEastAsia" w:hAnsiTheme="minorHAnsi" w:cstheme="minorBidi"/>
      <w:spacing w:val="0"/>
      <w:sz w:val="22"/>
      <w:szCs w:val="22"/>
    </w:rPr>
  </w:style>
  <w:style w:type="paragraph" w:styleId="TOC9">
    <w:name w:val="toc 9"/>
    <w:basedOn w:val="Normal"/>
    <w:next w:val="Normal"/>
    <w:autoRedefine/>
    <w:uiPriority w:val="39"/>
    <w:unhideWhenUsed/>
    <w:rsid w:val="00BF41F0"/>
    <w:pPr>
      <w:spacing w:before="0" w:after="100" w:line="259" w:lineRule="auto"/>
      <w:ind w:left="1760"/>
    </w:pPr>
    <w:rPr>
      <w:rFonts w:asciiTheme="minorHAnsi" w:eastAsiaTheme="minorEastAsia" w:hAnsiTheme="minorHAnsi" w:cstheme="minorBidi"/>
      <w:spacing w:val="0"/>
      <w:sz w:val="22"/>
      <w:szCs w:val="22"/>
    </w:rPr>
  </w:style>
  <w:style w:type="paragraph" w:styleId="ListNumber">
    <w:name w:val="List Number"/>
    <w:basedOn w:val="Normal"/>
    <w:uiPriority w:val="99"/>
    <w:unhideWhenUsed/>
    <w:rsid w:val="001626CC"/>
    <w:pPr>
      <w:numPr>
        <w:numId w:val="6"/>
      </w:numPr>
      <w:spacing w:before="0" w:after="0"/>
    </w:pPr>
    <w:rPr>
      <w:rFonts w:eastAsiaTheme="minorHAnsi" w:cs="Arial"/>
      <w:spacing w:val="0"/>
      <w:szCs w:val="22"/>
      <w:lang w:val="en-US" w:eastAsia="en-US"/>
    </w:rPr>
  </w:style>
  <w:style w:type="paragraph" w:styleId="ListNumber2">
    <w:name w:val="List Number 2"/>
    <w:basedOn w:val="Normal"/>
    <w:uiPriority w:val="99"/>
    <w:unhideWhenUsed/>
    <w:qFormat/>
    <w:rsid w:val="00CF7B21"/>
    <w:pPr>
      <w:numPr>
        <w:ilvl w:val="1"/>
        <w:numId w:val="6"/>
      </w:numPr>
      <w:spacing w:before="0" w:after="200" w:line="276" w:lineRule="auto"/>
    </w:pPr>
    <w:rPr>
      <w:rFonts w:eastAsiaTheme="minorHAnsi" w:cs="Arial"/>
      <w:spacing w:val="0"/>
      <w:sz w:val="22"/>
      <w:szCs w:val="22"/>
      <w:lang w:val="en-US" w:eastAsia="en-US"/>
    </w:rPr>
  </w:style>
  <w:style w:type="paragraph" w:styleId="ListNumber3">
    <w:name w:val="List Number 3"/>
    <w:aliases w:val="List Third Level"/>
    <w:basedOn w:val="Normal"/>
    <w:uiPriority w:val="99"/>
    <w:unhideWhenUsed/>
    <w:rsid w:val="00CF7B21"/>
    <w:pPr>
      <w:numPr>
        <w:ilvl w:val="2"/>
        <w:numId w:val="6"/>
      </w:numPr>
      <w:spacing w:before="0" w:after="200" w:line="276" w:lineRule="auto"/>
    </w:pPr>
    <w:rPr>
      <w:rFonts w:eastAsiaTheme="minorHAnsi" w:cs="Arial"/>
      <w:spacing w:val="0"/>
      <w:sz w:val="22"/>
      <w:szCs w:val="22"/>
      <w:lang w:val="en-US" w:eastAsia="en-US"/>
    </w:rPr>
  </w:style>
  <w:style w:type="paragraph" w:styleId="ListNumber4">
    <w:name w:val="List Number 4"/>
    <w:basedOn w:val="Normal"/>
    <w:uiPriority w:val="99"/>
    <w:unhideWhenUsed/>
    <w:rsid w:val="00CF7B21"/>
    <w:pPr>
      <w:numPr>
        <w:ilvl w:val="3"/>
        <w:numId w:val="6"/>
      </w:numPr>
      <w:spacing w:before="0" w:after="200" w:line="276" w:lineRule="auto"/>
    </w:pPr>
    <w:rPr>
      <w:rFonts w:eastAsiaTheme="minorHAnsi" w:cs="Arial"/>
      <w:spacing w:val="0"/>
      <w:sz w:val="22"/>
      <w:szCs w:val="22"/>
      <w:lang w:val="en-US" w:eastAsia="en-US"/>
    </w:rPr>
  </w:style>
  <w:style w:type="paragraph" w:styleId="ListNumber5">
    <w:name w:val="List Number 5"/>
    <w:basedOn w:val="Normal"/>
    <w:uiPriority w:val="99"/>
    <w:unhideWhenUsed/>
    <w:rsid w:val="00CF7B21"/>
    <w:pPr>
      <w:numPr>
        <w:ilvl w:val="4"/>
        <w:numId w:val="6"/>
      </w:numPr>
      <w:spacing w:before="0" w:after="200" w:line="276" w:lineRule="auto"/>
    </w:pPr>
    <w:rPr>
      <w:rFonts w:eastAsiaTheme="minorHAnsi" w:cs="Arial"/>
      <w:spacing w:val="0"/>
      <w:sz w:val="22"/>
      <w:szCs w:val="22"/>
      <w:lang w:val="en-US" w:eastAsia="en-US"/>
    </w:rPr>
  </w:style>
  <w:style w:type="paragraph" w:customStyle="1" w:styleId="Footnote">
    <w:name w:val="Footnote"/>
    <w:basedOn w:val="FootnoteText"/>
    <w:link w:val="FootnoteChar"/>
    <w:qFormat/>
    <w:rsid w:val="00DF7B75"/>
    <w:pPr>
      <w:contextualSpacing/>
    </w:pPr>
    <w:rPr>
      <w:rFonts w:ascii="Arial" w:hAnsi="Arial"/>
      <w:sz w:val="18"/>
    </w:rPr>
  </w:style>
  <w:style w:type="character" w:customStyle="1" w:styleId="FootnoteChar">
    <w:name w:val="Footnote Char"/>
    <w:basedOn w:val="FootnoteTextChar"/>
    <w:link w:val="Footnote"/>
    <w:rsid w:val="00DF7B75"/>
    <w:rPr>
      <w:rFonts w:ascii="Arial" w:eastAsia="Times New Roman" w:hAnsi="Arial" w:cs="Times New Roman"/>
      <w:sz w:val="18"/>
      <w:szCs w:val="20"/>
    </w:rPr>
  </w:style>
  <w:style w:type="paragraph" w:styleId="ListBullet2">
    <w:name w:val="List Bullet 2"/>
    <w:basedOn w:val="ListBullet"/>
    <w:unhideWhenUsed/>
    <w:qFormat/>
    <w:rsid w:val="00E330E4"/>
    <w:pPr>
      <w:numPr>
        <w:numId w:val="12"/>
      </w:numPr>
      <w:spacing w:before="0" w:after="0"/>
      <w:ind w:left="1355" w:hanging="357"/>
    </w:pPr>
    <w:rPr>
      <w:szCs w:val="20"/>
    </w:rPr>
  </w:style>
  <w:style w:type="character" w:customStyle="1" w:styleId="normaltextrun">
    <w:name w:val="normaltextrun"/>
    <w:basedOn w:val="DefaultParagraphFont"/>
    <w:rsid w:val="00AE4B9D"/>
  </w:style>
  <w:style w:type="character" w:customStyle="1" w:styleId="eop">
    <w:name w:val="eop"/>
    <w:basedOn w:val="DefaultParagraphFont"/>
    <w:rsid w:val="00AE4B9D"/>
  </w:style>
  <w:style w:type="paragraph" w:customStyle="1" w:styleId="paragraph">
    <w:name w:val="paragraph"/>
    <w:aliases w:val="a,indent(a)"/>
    <w:basedOn w:val="Normal"/>
    <w:link w:val="paragraphChar"/>
    <w:rsid w:val="00AE4B9D"/>
    <w:pPr>
      <w:spacing w:before="100" w:beforeAutospacing="1" w:after="100" w:afterAutospacing="1"/>
    </w:pPr>
    <w:rPr>
      <w:rFonts w:ascii="Times New Roman" w:hAnsi="Times New Roman"/>
      <w:spacing w:val="0"/>
      <w:sz w:val="24"/>
    </w:rPr>
  </w:style>
  <w:style w:type="paragraph" w:customStyle="1" w:styleId="Definition">
    <w:name w:val="Definition"/>
    <w:aliases w:val="dd"/>
    <w:basedOn w:val="Normal"/>
    <w:link w:val="DefinitionChar"/>
    <w:rsid w:val="1CBD4533"/>
    <w:pPr>
      <w:spacing w:before="180"/>
      <w:ind w:left="1134"/>
    </w:pPr>
    <w:rPr>
      <w:rFonts w:ascii="Times New Roman" w:eastAsiaTheme="minorEastAsia" w:hAnsi="Times New Roman" w:cstheme="minorBidi"/>
      <w:sz w:val="22"/>
      <w:szCs w:val="22"/>
    </w:rPr>
  </w:style>
  <w:style w:type="character" w:customStyle="1" w:styleId="DefinitionChar">
    <w:name w:val="Definition Char"/>
    <w:aliases w:val="dd Char"/>
    <w:basedOn w:val="DefaultParagraphFont"/>
    <w:link w:val="Definition"/>
    <w:rsid w:val="1CBD4533"/>
    <w:rPr>
      <w:rFonts w:ascii="Times New Roman" w:eastAsiaTheme="minorEastAsia" w:hAnsi="Times New Roman" w:cstheme="minorBidi"/>
      <w:sz w:val="22"/>
      <w:szCs w:val="22"/>
      <w:lang w:eastAsia="en-AU"/>
    </w:rPr>
  </w:style>
  <w:style w:type="paragraph" w:customStyle="1" w:styleId="ActHead">
    <w:name w:val="ActHead"/>
    <w:basedOn w:val="Normal"/>
    <w:next w:val="subsection"/>
    <w:link w:val="ActHeadChar"/>
    <w:qFormat/>
    <w:rsid w:val="005242AC"/>
    <w:pPr>
      <w:keepNext/>
      <w:keepLines/>
      <w:spacing w:before="280" w:after="0"/>
      <w:ind w:left="1134" w:hanging="1134"/>
      <w:outlineLvl w:val="2"/>
    </w:pPr>
    <w:rPr>
      <w:rFonts w:ascii="Times New Roman" w:hAnsi="Times New Roman"/>
      <w:b/>
      <w:spacing w:val="0"/>
      <w:kern w:val="28"/>
      <w:sz w:val="24"/>
      <w:szCs w:val="20"/>
    </w:rPr>
  </w:style>
  <w:style w:type="character" w:customStyle="1" w:styleId="CharSectno">
    <w:name w:val="CharSectno"/>
    <w:basedOn w:val="DefaultParagraphFont"/>
    <w:qFormat/>
    <w:rsid w:val="0020511C"/>
  </w:style>
  <w:style w:type="paragraph" w:customStyle="1" w:styleId="subsection">
    <w:name w:val="subsection"/>
    <w:aliases w:val="ss,Subsection"/>
    <w:basedOn w:val="Normal"/>
    <w:link w:val="subsectionChar"/>
    <w:rsid w:val="007206E9"/>
    <w:pPr>
      <w:spacing w:before="180" w:after="0"/>
    </w:pPr>
    <w:rPr>
      <w:spacing w:val="0"/>
      <w:sz w:val="22"/>
      <w:szCs w:val="20"/>
    </w:rPr>
  </w:style>
  <w:style w:type="character" w:customStyle="1" w:styleId="subsectionChar">
    <w:name w:val="subsection Char"/>
    <w:aliases w:val="ss Char"/>
    <w:basedOn w:val="DefaultParagraphFont"/>
    <w:link w:val="subsection"/>
    <w:locked/>
    <w:rsid w:val="007206E9"/>
    <w:rPr>
      <w:rFonts w:ascii="Calibri" w:eastAsia="Times New Roman" w:hAnsi="Calibri" w:cs="Times New Roman"/>
      <w:szCs w:val="20"/>
      <w:lang w:eastAsia="en-AU"/>
    </w:rPr>
  </w:style>
  <w:style w:type="character" w:customStyle="1" w:styleId="ActHeadChar">
    <w:name w:val="ActHead Char"/>
    <w:link w:val="ActHead"/>
    <w:rsid w:val="005242AC"/>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rsid w:val="0020511C"/>
    <w:rPr>
      <w:rFonts w:ascii="Times New Roman" w:eastAsia="Times New Roman" w:hAnsi="Times New Roman" w:cs="Times New Roman"/>
      <w:sz w:val="24"/>
      <w:szCs w:val="24"/>
      <w:lang w:eastAsia="en-AU"/>
    </w:rPr>
  </w:style>
  <w:style w:type="paragraph" w:customStyle="1" w:styleId="paragraphsub">
    <w:name w:val="paragraph(sub)"/>
    <w:aliases w:val="aa"/>
    <w:basedOn w:val="Normal"/>
    <w:link w:val="paragraphsubChar"/>
    <w:rsid w:val="004C1637"/>
    <w:pPr>
      <w:tabs>
        <w:tab w:val="right" w:pos="1985"/>
      </w:tabs>
      <w:spacing w:before="40" w:after="0"/>
      <w:ind w:left="2098" w:hanging="2098"/>
    </w:pPr>
    <w:rPr>
      <w:rFonts w:ascii="Times New Roman" w:hAnsi="Times New Roman"/>
      <w:spacing w:val="0"/>
      <w:sz w:val="22"/>
      <w:szCs w:val="20"/>
    </w:rPr>
  </w:style>
  <w:style w:type="character" w:customStyle="1" w:styleId="paragraphsubChar">
    <w:name w:val="paragraph(sub) Char"/>
    <w:aliases w:val="aa Char"/>
    <w:link w:val="paragraphsub"/>
    <w:rsid w:val="004C1637"/>
    <w:rPr>
      <w:rFonts w:ascii="Times New Roman" w:eastAsia="Times New Roman" w:hAnsi="Times New Roman" w:cs="Times New Roman"/>
      <w:szCs w:val="20"/>
      <w:lang w:eastAsia="en-AU"/>
    </w:rPr>
  </w:style>
  <w:style w:type="paragraph" w:customStyle="1" w:styleId="OPCParaBase">
    <w:name w:val="OPCParaBase"/>
    <w:qFormat/>
    <w:rsid w:val="00C61D2E"/>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C61D2E"/>
    <w:pPr>
      <w:spacing w:line="240" w:lineRule="auto"/>
    </w:pPr>
    <w:rPr>
      <w:b/>
      <w:sz w:val="40"/>
    </w:rPr>
  </w:style>
  <w:style w:type="paragraph" w:customStyle="1" w:styleId="Blocks">
    <w:name w:val="Blocks"/>
    <w:aliases w:val="bb"/>
    <w:basedOn w:val="OPCParaBase"/>
    <w:qFormat/>
    <w:rsid w:val="00C61D2E"/>
    <w:pPr>
      <w:spacing w:line="240" w:lineRule="auto"/>
    </w:pPr>
    <w:rPr>
      <w:sz w:val="24"/>
    </w:rPr>
  </w:style>
  <w:style w:type="paragraph" w:customStyle="1" w:styleId="BoxText">
    <w:name w:val="BoxText"/>
    <w:aliases w:val="bt"/>
    <w:basedOn w:val="OPCParaBase"/>
    <w:qFormat/>
    <w:rsid w:val="00C61D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61D2E"/>
    <w:rPr>
      <w:b/>
    </w:rPr>
  </w:style>
  <w:style w:type="paragraph" w:customStyle="1" w:styleId="BoxHeadItalic">
    <w:name w:val="BoxHeadItalic"/>
    <w:aliases w:val="bhi"/>
    <w:basedOn w:val="BoxText"/>
    <w:next w:val="BoxStep"/>
    <w:qFormat/>
    <w:rsid w:val="00C61D2E"/>
    <w:rPr>
      <w:i/>
    </w:rPr>
  </w:style>
  <w:style w:type="paragraph" w:customStyle="1" w:styleId="BoxList">
    <w:name w:val="BoxList"/>
    <w:aliases w:val="bl"/>
    <w:basedOn w:val="BoxText"/>
    <w:qFormat/>
    <w:rsid w:val="00C61D2E"/>
    <w:pPr>
      <w:ind w:left="1559" w:hanging="425"/>
    </w:pPr>
  </w:style>
  <w:style w:type="paragraph" w:customStyle="1" w:styleId="BoxNote">
    <w:name w:val="BoxNote"/>
    <w:aliases w:val="bn"/>
    <w:basedOn w:val="BoxText"/>
    <w:qFormat/>
    <w:rsid w:val="00C61D2E"/>
    <w:pPr>
      <w:tabs>
        <w:tab w:val="left" w:pos="1985"/>
      </w:tabs>
      <w:spacing w:before="122" w:line="198" w:lineRule="exact"/>
      <w:ind w:left="2948" w:hanging="1814"/>
    </w:pPr>
    <w:rPr>
      <w:sz w:val="18"/>
    </w:rPr>
  </w:style>
  <w:style w:type="paragraph" w:customStyle="1" w:styleId="BoxPara">
    <w:name w:val="BoxPara"/>
    <w:aliases w:val="bp"/>
    <w:basedOn w:val="BoxText"/>
    <w:qFormat/>
    <w:rsid w:val="00C61D2E"/>
    <w:pPr>
      <w:tabs>
        <w:tab w:val="right" w:pos="2268"/>
      </w:tabs>
      <w:ind w:left="2552" w:hanging="1418"/>
    </w:pPr>
  </w:style>
  <w:style w:type="paragraph" w:customStyle="1" w:styleId="BoxStep">
    <w:name w:val="BoxStep"/>
    <w:aliases w:val="bs"/>
    <w:basedOn w:val="BoxText"/>
    <w:qFormat/>
    <w:rsid w:val="00C61D2E"/>
    <w:pPr>
      <w:ind w:left="1985" w:hanging="851"/>
    </w:pPr>
  </w:style>
  <w:style w:type="character" w:customStyle="1" w:styleId="CharAmPartNo">
    <w:name w:val="CharAmPartNo"/>
    <w:basedOn w:val="DefaultParagraphFont"/>
    <w:qFormat/>
    <w:rsid w:val="0035039C"/>
  </w:style>
  <w:style w:type="character" w:customStyle="1" w:styleId="CharAmPartText">
    <w:name w:val="CharAmPartText"/>
    <w:basedOn w:val="DefaultParagraphFont"/>
    <w:qFormat/>
    <w:rsid w:val="0035039C"/>
  </w:style>
  <w:style w:type="character" w:customStyle="1" w:styleId="CharAmSchNo">
    <w:name w:val="CharAmSchNo"/>
    <w:basedOn w:val="DefaultParagraphFont"/>
    <w:qFormat/>
    <w:rsid w:val="0035039C"/>
  </w:style>
  <w:style w:type="character" w:customStyle="1" w:styleId="CharAmSchText">
    <w:name w:val="CharAmSchText"/>
    <w:basedOn w:val="DefaultParagraphFont"/>
    <w:qFormat/>
    <w:rsid w:val="0035039C"/>
  </w:style>
  <w:style w:type="character" w:customStyle="1" w:styleId="CharChapNo">
    <w:name w:val="CharChapNo"/>
    <w:basedOn w:val="DefaultParagraphFont"/>
    <w:uiPriority w:val="1"/>
    <w:qFormat/>
    <w:rsid w:val="0035039C"/>
  </w:style>
  <w:style w:type="character" w:customStyle="1" w:styleId="CharChapText">
    <w:name w:val="CharChapText"/>
    <w:basedOn w:val="DefaultParagraphFont"/>
    <w:uiPriority w:val="1"/>
    <w:rsid w:val="0035039C"/>
  </w:style>
  <w:style w:type="character" w:customStyle="1" w:styleId="CharDivNo">
    <w:name w:val="CharDivNo"/>
    <w:basedOn w:val="DefaultParagraphFont"/>
    <w:uiPriority w:val="1"/>
    <w:qFormat/>
    <w:rsid w:val="0035039C"/>
  </w:style>
  <w:style w:type="character" w:customStyle="1" w:styleId="CharDivText">
    <w:name w:val="CharDivText"/>
    <w:basedOn w:val="DefaultParagraphFont"/>
    <w:uiPriority w:val="1"/>
    <w:qFormat/>
    <w:rsid w:val="0035039C"/>
  </w:style>
  <w:style w:type="character" w:customStyle="1" w:styleId="CharItalic">
    <w:name w:val="CharItalic"/>
    <w:basedOn w:val="DefaultParagraphFont"/>
    <w:uiPriority w:val="1"/>
    <w:qFormat/>
    <w:rsid w:val="0035039C"/>
    <w:rPr>
      <w:i/>
    </w:rPr>
  </w:style>
  <w:style w:type="character" w:customStyle="1" w:styleId="Attachmentheading">
    <w:name w:val="Attachment heading"/>
    <w:basedOn w:val="DefaultParagraphFont"/>
    <w:uiPriority w:val="1"/>
    <w:qFormat/>
    <w:rsid w:val="0035039C"/>
  </w:style>
  <w:style w:type="character" w:customStyle="1" w:styleId="CharPartText">
    <w:name w:val="CharPartText"/>
    <w:basedOn w:val="DefaultParagraphFont"/>
    <w:uiPriority w:val="1"/>
    <w:qFormat/>
    <w:rsid w:val="0035039C"/>
  </w:style>
  <w:style w:type="paragraph" w:customStyle="1" w:styleId="CTA--">
    <w:name w:val="CTA --"/>
    <w:basedOn w:val="OPCParaBase"/>
    <w:next w:val="Normal"/>
    <w:rsid w:val="00C61D2E"/>
    <w:pPr>
      <w:spacing w:before="60" w:line="240" w:lineRule="atLeast"/>
      <w:ind w:left="142" w:hanging="142"/>
    </w:pPr>
    <w:rPr>
      <w:sz w:val="20"/>
    </w:rPr>
  </w:style>
  <w:style w:type="paragraph" w:customStyle="1" w:styleId="CTA-">
    <w:name w:val="CTA -"/>
    <w:basedOn w:val="OPCParaBase"/>
    <w:rsid w:val="00C61D2E"/>
    <w:pPr>
      <w:spacing w:before="60" w:line="240" w:lineRule="atLeast"/>
      <w:ind w:left="85" w:hanging="85"/>
    </w:pPr>
    <w:rPr>
      <w:sz w:val="20"/>
    </w:rPr>
  </w:style>
  <w:style w:type="paragraph" w:customStyle="1" w:styleId="CTA---">
    <w:name w:val="CTA ---"/>
    <w:basedOn w:val="OPCParaBase"/>
    <w:next w:val="Normal"/>
    <w:rsid w:val="00C61D2E"/>
    <w:pPr>
      <w:spacing w:before="60" w:line="240" w:lineRule="atLeast"/>
      <w:ind w:left="198" w:hanging="198"/>
    </w:pPr>
    <w:rPr>
      <w:sz w:val="20"/>
    </w:rPr>
  </w:style>
  <w:style w:type="paragraph" w:customStyle="1" w:styleId="CTA----">
    <w:name w:val="CTA ----"/>
    <w:basedOn w:val="OPCParaBase"/>
    <w:next w:val="Normal"/>
    <w:rsid w:val="00C61D2E"/>
    <w:pPr>
      <w:spacing w:before="60" w:line="240" w:lineRule="atLeast"/>
      <w:ind w:left="255" w:hanging="255"/>
    </w:pPr>
    <w:rPr>
      <w:sz w:val="20"/>
    </w:rPr>
  </w:style>
  <w:style w:type="paragraph" w:customStyle="1" w:styleId="CTA1a">
    <w:name w:val="CTA 1(a)"/>
    <w:basedOn w:val="OPCParaBase"/>
    <w:rsid w:val="00C61D2E"/>
    <w:pPr>
      <w:tabs>
        <w:tab w:val="right" w:pos="414"/>
      </w:tabs>
      <w:spacing w:before="40" w:line="240" w:lineRule="atLeast"/>
      <w:ind w:left="675" w:hanging="675"/>
    </w:pPr>
    <w:rPr>
      <w:sz w:val="20"/>
    </w:rPr>
  </w:style>
  <w:style w:type="paragraph" w:customStyle="1" w:styleId="CTA1ai">
    <w:name w:val="CTA 1(a)(i)"/>
    <w:basedOn w:val="OPCParaBase"/>
    <w:rsid w:val="00C61D2E"/>
    <w:pPr>
      <w:tabs>
        <w:tab w:val="right" w:pos="1004"/>
      </w:tabs>
      <w:spacing w:before="40" w:line="240" w:lineRule="atLeast"/>
      <w:ind w:left="1253" w:hanging="1253"/>
    </w:pPr>
    <w:rPr>
      <w:sz w:val="20"/>
    </w:rPr>
  </w:style>
  <w:style w:type="paragraph" w:customStyle="1" w:styleId="CTA2a">
    <w:name w:val="CTA 2(a)"/>
    <w:basedOn w:val="OPCParaBase"/>
    <w:rsid w:val="00C61D2E"/>
    <w:pPr>
      <w:tabs>
        <w:tab w:val="right" w:pos="482"/>
      </w:tabs>
      <w:spacing w:before="40" w:line="240" w:lineRule="atLeast"/>
      <w:ind w:left="748" w:hanging="748"/>
    </w:pPr>
    <w:rPr>
      <w:sz w:val="20"/>
    </w:rPr>
  </w:style>
  <w:style w:type="paragraph" w:customStyle="1" w:styleId="CTA2ai">
    <w:name w:val="CTA 2(a)(i)"/>
    <w:basedOn w:val="OPCParaBase"/>
    <w:rsid w:val="00C61D2E"/>
    <w:pPr>
      <w:tabs>
        <w:tab w:val="right" w:pos="1089"/>
      </w:tabs>
      <w:spacing w:before="40" w:line="240" w:lineRule="atLeast"/>
      <w:ind w:left="1327" w:hanging="1327"/>
    </w:pPr>
    <w:rPr>
      <w:sz w:val="20"/>
    </w:rPr>
  </w:style>
  <w:style w:type="paragraph" w:customStyle="1" w:styleId="CTAright">
    <w:name w:val="CTA right"/>
    <w:basedOn w:val="OPCParaBase"/>
    <w:rsid w:val="00C61D2E"/>
    <w:pPr>
      <w:spacing w:before="60" w:line="240" w:lineRule="auto"/>
      <w:jc w:val="right"/>
    </w:pPr>
    <w:rPr>
      <w:sz w:val="20"/>
    </w:rPr>
  </w:style>
  <w:style w:type="paragraph" w:customStyle="1" w:styleId="EndNotespara">
    <w:name w:val="EndNotes(para)"/>
    <w:aliases w:val="eta"/>
    <w:basedOn w:val="OPCParaBase"/>
    <w:next w:val="EndNotessubpara"/>
    <w:rsid w:val="00C61D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61D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61D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61D2E"/>
    <w:pPr>
      <w:tabs>
        <w:tab w:val="right" w:pos="1412"/>
      </w:tabs>
      <w:spacing w:before="60" w:line="240" w:lineRule="auto"/>
      <w:ind w:left="1525" w:hanging="1525"/>
    </w:pPr>
    <w:rPr>
      <w:sz w:val="20"/>
    </w:rPr>
  </w:style>
  <w:style w:type="paragraph" w:customStyle="1" w:styleId="Formula">
    <w:name w:val="Formula"/>
    <w:basedOn w:val="OPCParaBase"/>
    <w:rsid w:val="00C61D2E"/>
    <w:pPr>
      <w:spacing w:line="240" w:lineRule="auto"/>
      <w:ind w:left="1134"/>
    </w:pPr>
    <w:rPr>
      <w:sz w:val="20"/>
    </w:rPr>
  </w:style>
  <w:style w:type="paragraph" w:customStyle="1" w:styleId="House">
    <w:name w:val="House"/>
    <w:basedOn w:val="OPCParaBase"/>
    <w:rsid w:val="00C61D2E"/>
    <w:pPr>
      <w:spacing w:line="240" w:lineRule="auto"/>
    </w:pPr>
    <w:rPr>
      <w:sz w:val="28"/>
    </w:rPr>
  </w:style>
  <w:style w:type="paragraph" w:customStyle="1" w:styleId="notedraft">
    <w:name w:val="note(draft)"/>
    <w:aliases w:val="nd"/>
    <w:basedOn w:val="OPCParaBase"/>
    <w:rsid w:val="00C61D2E"/>
    <w:pPr>
      <w:spacing w:before="240" w:line="240" w:lineRule="auto"/>
      <w:ind w:left="284" w:hanging="284"/>
    </w:pPr>
    <w:rPr>
      <w:i/>
      <w:sz w:val="24"/>
    </w:rPr>
  </w:style>
  <w:style w:type="paragraph" w:customStyle="1" w:styleId="notemargin">
    <w:name w:val="note(margin)"/>
    <w:aliases w:val="nm"/>
    <w:basedOn w:val="OPCParaBase"/>
    <w:rsid w:val="00C61D2E"/>
    <w:pPr>
      <w:tabs>
        <w:tab w:val="left" w:pos="709"/>
      </w:tabs>
      <w:spacing w:before="122" w:line="198" w:lineRule="exact"/>
      <w:ind w:left="709" w:hanging="709"/>
    </w:pPr>
    <w:rPr>
      <w:sz w:val="18"/>
    </w:rPr>
  </w:style>
  <w:style w:type="paragraph" w:customStyle="1" w:styleId="noteToPara">
    <w:name w:val="noteToPara"/>
    <w:aliases w:val="ntp"/>
    <w:basedOn w:val="OPCParaBase"/>
    <w:rsid w:val="00C61D2E"/>
    <w:pPr>
      <w:spacing w:before="122" w:line="198" w:lineRule="exact"/>
      <w:ind w:left="2353" w:hanging="709"/>
    </w:pPr>
    <w:rPr>
      <w:sz w:val="18"/>
    </w:rPr>
  </w:style>
  <w:style w:type="paragraph" w:customStyle="1" w:styleId="noteParlAmend">
    <w:name w:val="note(ParlAmend)"/>
    <w:aliases w:val="npp"/>
    <w:basedOn w:val="OPCParaBase"/>
    <w:next w:val="ParlAmend"/>
    <w:rsid w:val="00C61D2E"/>
    <w:pPr>
      <w:spacing w:line="240" w:lineRule="auto"/>
      <w:jc w:val="right"/>
    </w:pPr>
    <w:rPr>
      <w:rFonts w:ascii="Arial" w:hAnsi="Arial"/>
      <w:b/>
      <w:i/>
    </w:rPr>
  </w:style>
  <w:style w:type="paragraph" w:customStyle="1" w:styleId="Page1">
    <w:name w:val="Page1"/>
    <w:basedOn w:val="OPCParaBase"/>
    <w:rsid w:val="00C61D2E"/>
    <w:pPr>
      <w:spacing w:before="5600" w:line="240" w:lineRule="auto"/>
    </w:pPr>
    <w:rPr>
      <w:b/>
      <w:sz w:val="32"/>
    </w:rPr>
  </w:style>
  <w:style w:type="paragraph" w:customStyle="1" w:styleId="PageBreak">
    <w:name w:val="PageBreak"/>
    <w:aliases w:val="pb"/>
    <w:basedOn w:val="OPCParaBase"/>
    <w:rsid w:val="00C61D2E"/>
    <w:pPr>
      <w:spacing w:line="240" w:lineRule="auto"/>
    </w:pPr>
    <w:rPr>
      <w:sz w:val="20"/>
    </w:rPr>
  </w:style>
  <w:style w:type="paragraph" w:customStyle="1" w:styleId="paragraphsub-sub">
    <w:name w:val="paragraph(sub-sub)"/>
    <w:aliases w:val="aaa"/>
    <w:basedOn w:val="OPCParaBase"/>
    <w:rsid w:val="00C61D2E"/>
    <w:pPr>
      <w:tabs>
        <w:tab w:val="right" w:pos="2722"/>
      </w:tabs>
      <w:spacing w:before="40" w:line="240" w:lineRule="auto"/>
      <w:ind w:left="2835" w:hanging="2835"/>
    </w:pPr>
  </w:style>
  <w:style w:type="paragraph" w:customStyle="1" w:styleId="ParlAmend">
    <w:name w:val="ParlAmend"/>
    <w:aliases w:val="pp"/>
    <w:basedOn w:val="OPCParaBase"/>
    <w:rsid w:val="00C61D2E"/>
    <w:pPr>
      <w:spacing w:before="240" w:line="240" w:lineRule="atLeast"/>
      <w:ind w:hanging="567"/>
    </w:pPr>
    <w:rPr>
      <w:sz w:val="24"/>
    </w:rPr>
  </w:style>
  <w:style w:type="paragraph" w:customStyle="1" w:styleId="Penalty">
    <w:name w:val="Penalty"/>
    <w:basedOn w:val="OPCParaBase"/>
    <w:rsid w:val="00C61D2E"/>
    <w:pPr>
      <w:tabs>
        <w:tab w:val="left" w:pos="2977"/>
      </w:tabs>
      <w:spacing w:before="180" w:line="240" w:lineRule="auto"/>
      <w:ind w:left="1985" w:hanging="851"/>
    </w:pPr>
  </w:style>
  <w:style w:type="paragraph" w:customStyle="1" w:styleId="Portfolio">
    <w:name w:val="Portfolio"/>
    <w:basedOn w:val="OPCParaBase"/>
    <w:rsid w:val="00C61D2E"/>
    <w:pPr>
      <w:spacing w:line="240" w:lineRule="auto"/>
    </w:pPr>
    <w:rPr>
      <w:i/>
      <w:sz w:val="20"/>
    </w:rPr>
  </w:style>
  <w:style w:type="paragraph" w:customStyle="1" w:styleId="Preamble">
    <w:name w:val="Preamble"/>
    <w:basedOn w:val="OPCParaBase"/>
    <w:next w:val="Normal"/>
    <w:rsid w:val="00C61D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61D2E"/>
    <w:pPr>
      <w:spacing w:line="240" w:lineRule="auto"/>
    </w:pPr>
    <w:rPr>
      <w:i/>
      <w:sz w:val="20"/>
    </w:rPr>
  </w:style>
  <w:style w:type="paragraph" w:customStyle="1" w:styleId="Session">
    <w:name w:val="Session"/>
    <w:basedOn w:val="OPCParaBase"/>
    <w:rsid w:val="00C61D2E"/>
    <w:pPr>
      <w:spacing w:line="240" w:lineRule="auto"/>
    </w:pPr>
    <w:rPr>
      <w:sz w:val="28"/>
    </w:rPr>
  </w:style>
  <w:style w:type="paragraph" w:customStyle="1" w:styleId="Sponsor">
    <w:name w:val="Sponsor"/>
    <w:basedOn w:val="OPCParaBase"/>
    <w:rsid w:val="00C61D2E"/>
    <w:pPr>
      <w:spacing w:line="240" w:lineRule="auto"/>
    </w:pPr>
    <w:rPr>
      <w:i/>
    </w:rPr>
  </w:style>
  <w:style w:type="paragraph" w:customStyle="1" w:styleId="Subitem">
    <w:name w:val="Subitem"/>
    <w:aliases w:val="iss"/>
    <w:basedOn w:val="OPCParaBase"/>
    <w:rsid w:val="00C61D2E"/>
    <w:pPr>
      <w:spacing w:before="180" w:line="240" w:lineRule="auto"/>
      <w:ind w:left="709" w:hanging="709"/>
    </w:pPr>
  </w:style>
  <w:style w:type="paragraph" w:customStyle="1" w:styleId="SubitemHead">
    <w:name w:val="SubitemHead"/>
    <w:aliases w:val="issh"/>
    <w:basedOn w:val="OPCParaBase"/>
    <w:rsid w:val="00C61D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61D2E"/>
    <w:pPr>
      <w:spacing w:before="40" w:line="240" w:lineRule="auto"/>
      <w:ind w:left="1134"/>
    </w:pPr>
  </w:style>
  <w:style w:type="paragraph" w:customStyle="1" w:styleId="SubsectionHead">
    <w:name w:val="SubsectionHead"/>
    <w:aliases w:val="ssh"/>
    <w:basedOn w:val="OPCParaBase"/>
    <w:next w:val="subsection"/>
    <w:rsid w:val="00C61D2E"/>
    <w:pPr>
      <w:keepNext/>
      <w:keepLines/>
      <w:spacing w:before="240" w:line="240" w:lineRule="auto"/>
      <w:ind w:left="1134"/>
    </w:pPr>
    <w:rPr>
      <w:i/>
    </w:rPr>
  </w:style>
  <w:style w:type="paragraph" w:customStyle="1" w:styleId="Tablea">
    <w:name w:val="Table(a)"/>
    <w:aliases w:val="ta"/>
    <w:basedOn w:val="OPCParaBase"/>
    <w:rsid w:val="00497EDC"/>
    <w:pPr>
      <w:numPr>
        <w:numId w:val="72"/>
      </w:numPr>
      <w:spacing w:before="60" w:line="240" w:lineRule="auto"/>
    </w:pPr>
    <w:rPr>
      <w:rFonts w:ascii="Calibri" w:hAnsi="Calibri"/>
      <w:sz w:val="21"/>
    </w:rPr>
  </w:style>
  <w:style w:type="paragraph" w:customStyle="1" w:styleId="Tablei">
    <w:name w:val="Table(i)"/>
    <w:aliases w:val="taa"/>
    <w:basedOn w:val="OPCParaBase"/>
    <w:rsid w:val="00C61D2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61D2E"/>
    <w:pPr>
      <w:spacing w:before="60" w:line="240" w:lineRule="atLeast"/>
    </w:pPr>
    <w:rPr>
      <w:sz w:val="20"/>
    </w:rPr>
  </w:style>
  <w:style w:type="paragraph" w:customStyle="1" w:styleId="TLPBoxTextnote">
    <w:name w:val="TLPBoxText(note"/>
    <w:aliases w:val="right)"/>
    <w:basedOn w:val="OPCParaBase"/>
    <w:rsid w:val="00C61D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TLPTableBullet"/>
    <w:rsid w:val="00497EDC"/>
    <w:pPr>
      <w:numPr>
        <w:numId w:val="13"/>
      </w:numPr>
      <w:spacing w:before="60" w:line="198" w:lineRule="exact"/>
      <w:ind w:left="754" w:hanging="357"/>
    </w:pPr>
  </w:style>
  <w:style w:type="paragraph" w:customStyle="1" w:styleId="TLPnoteright">
    <w:name w:val="TLPnote(right)"/>
    <w:aliases w:val="nr"/>
    <w:basedOn w:val="OPCParaBase"/>
    <w:rsid w:val="00C61D2E"/>
    <w:pPr>
      <w:spacing w:before="122" w:line="198" w:lineRule="exact"/>
      <w:ind w:left="1985" w:hanging="851"/>
      <w:jc w:val="right"/>
    </w:pPr>
    <w:rPr>
      <w:sz w:val="18"/>
    </w:rPr>
  </w:style>
  <w:style w:type="paragraph" w:customStyle="1" w:styleId="TLPTableBullet">
    <w:name w:val="TLPTableBullet"/>
    <w:aliases w:val="ttb"/>
    <w:basedOn w:val="OPCParaBase"/>
    <w:rsid w:val="00185B91"/>
    <w:pPr>
      <w:numPr>
        <w:numId w:val="69"/>
      </w:numPr>
      <w:spacing w:line="240" w:lineRule="exact"/>
      <w:ind w:left="414" w:hanging="357"/>
    </w:pPr>
    <w:rPr>
      <w:rFonts w:ascii="Calibri" w:hAnsi="Calibri"/>
      <w:sz w:val="21"/>
    </w:rPr>
  </w:style>
  <w:style w:type="paragraph" w:customStyle="1" w:styleId="TofSectsGroupHeading">
    <w:name w:val="TofSects(GroupHeading)"/>
    <w:basedOn w:val="OPCParaBase"/>
    <w:next w:val="TofSectsSection"/>
    <w:rsid w:val="00C61D2E"/>
    <w:pPr>
      <w:keepLines/>
      <w:spacing w:before="240" w:after="120" w:line="240" w:lineRule="auto"/>
      <w:ind w:left="794"/>
    </w:pPr>
    <w:rPr>
      <w:b/>
      <w:kern w:val="28"/>
      <w:sz w:val="20"/>
    </w:rPr>
  </w:style>
  <w:style w:type="paragraph" w:customStyle="1" w:styleId="TofSectsHeading">
    <w:name w:val="TofSects(Heading)"/>
    <w:basedOn w:val="OPCParaBase"/>
    <w:rsid w:val="00C61D2E"/>
    <w:pPr>
      <w:spacing w:before="240" w:after="120" w:line="240" w:lineRule="auto"/>
    </w:pPr>
    <w:rPr>
      <w:b/>
      <w:sz w:val="24"/>
    </w:rPr>
  </w:style>
  <w:style w:type="paragraph" w:customStyle="1" w:styleId="TofSectsSection">
    <w:name w:val="TofSects(Section)"/>
    <w:basedOn w:val="OPCParaBase"/>
    <w:rsid w:val="00C61D2E"/>
    <w:pPr>
      <w:keepLines/>
      <w:spacing w:before="40" w:line="240" w:lineRule="auto"/>
      <w:ind w:left="1588" w:hanging="794"/>
    </w:pPr>
    <w:rPr>
      <w:kern w:val="28"/>
      <w:sz w:val="18"/>
    </w:rPr>
  </w:style>
  <w:style w:type="paragraph" w:customStyle="1" w:styleId="TofSectsSubdiv">
    <w:name w:val="TofSects(Subdiv)"/>
    <w:basedOn w:val="OPCParaBase"/>
    <w:rsid w:val="00C61D2E"/>
    <w:pPr>
      <w:keepLines/>
      <w:spacing w:before="80" w:line="240" w:lineRule="auto"/>
      <w:ind w:left="1588" w:hanging="794"/>
    </w:pPr>
    <w:rPr>
      <w:kern w:val="28"/>
    </w:rPr>
  </w:style>
  <w:style w:type="paragraph" w:customStyle="1" w:styleId="notepara">
    <w:name w:val="note(para)"/>
    <w:aliases w:val="na"/>
    <w:basedOn w:val="OPCParaBase"/>
    <w:rsid w:val="007E509A"/>
    <w:pPr>
      <w:spacing w:before="40" w:line="198" w:lineRule="exact"/>
      <w:ind w:left="1112" w:hanging="369"/>
    </w:pPr>
    <w:rPr>
      <w:rFonts w:ascii="Calibri" w:hAnsi="Calibri"/>
    </w:rPr>
  </w:style>
  <w:style w:type="character" w:styleId="LineNumber">
    <w:name w:val="line number"/>
    <w:basedOn w:val="DefaultParagraphFont"/>
    <w:uiPriority w:val="99"/>
    <w:unhideWhenUsed/>
    <w:rsid w:val="0035039C"/>
    <w:rPr>
      <w:sz w:val="16"/>
    </w:rPr>
  </w:style>
  <w:style w:type="table" w:customStyle="1" w:styleId="CFlag">
    <w:name w:val="CFlag"/>
    <w:basedOn w:val="TableNormal"/>
    <w:uiPriority w:val="99"/>
    <w:rsid w:val="00C61D2E"/>
    <w:pPr>
      <w:spacing w:after="0" w:line="240" w:lineRule="auto"/>
    </w:pPr>
    <w:rPr>
      <w:rFonts w:ascii="Times New Roman" w:eastAsia="Times New Roman" w:hAnsi="Times New Roman" w:cs="Times New Roman"/>
      <w:sz w:val="20"/>
      <w:szCs w:val="20"/>
      <w:lang w:eastAsia="en-AU"/>
    </w:rPr>
    <w:tblPr/>
  </w:style>
  <w:style w:type="paragraph" w:customStyle="1" w:styleId="SignCoverPageEnd">
    <w:name w:val="SignCoverPageEnd"/>
    <w:basedOn w:val="OPCParaBase"/>
    <w:next w:val="Normal"/>
    <w:rsid w:val="00C61D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61D2E"/>
    <w:pPr>
      <w:pBdr>
        <w:top w:val="single" w:sz="4" w:space="1" w:color="auto"/>
      </w:pBdr>
      <w:spacing w:before="360"/>
      <w:ind w:right="397"/>
      <w:jc w:val="both"/>
    </w:pPr>
  </w:style>
  <w:style w:type="paragraph" w:customStyle="1" w:styleId="NotesHeading1">
    <w:name w:val="NotesHeading 1"/>
    <w:basedOn w:val="OPCParaBase"/>
    <w:next w:val="Normal"/>
    <w:rsid w:val="00C61D2E"/>
    <w:rPr>
      <w:b/>
      <w:sz w:val="28"/>
      <w:szCs w:val="28"/>
    </w:rPr>
  </w:style>
  <w:style w:type="paragraph" w:customStyle="1" w:styleId="NotesHeading2">
    <w:name w:val="NotesHeading 2"/>
    <w:basedOn w:val="OPCParaBase"/>
    <w:next w:val="Normal"/>
    <w:rsid w:val="00C61D2E"/>
    <w:rPr>
      <w:b/>
      <w:sz w:val="28"/>
      <w:szCs w:val="28"/>
    </w:rPr>
  </w:style>
  <w:style w:type="paragraph" w:customStyle="1" w:styleId="CompiledActNo">
    <w:name w:val="CompiledActNo"/>
    <w:basedOn w:val="OPCParaBase"/>
    <w:next w:val="Normal"/>
    <w:rsid w:val="00C61D2E"/>
    <w:rPr>
      <w:b/>
      <w:sz w:val="24"/>
      <w:szCs w:val="24"/>
    </w:rPr>
  </w:style>
  <w:style w:type="paragraph" w:customStyle="1" w:styleId="ENotesText">
    <w:name w:val="ENotesText"/>
    <w:aliases w:val="Ent"/>
    <w:basedOn w:val="OPCParaBase"/>
    <w:next w:val="Normal"/>
    <w:rsid w:val="00C61D2E"/>
    <w:pPr>
      <w:spacing w:before="120"/>
    </w:pPr>
  </w:style>
  <w:style w:type="paragraph" w:customStyle="1" w:styleId="CompiledMadeUnder">
    <w:name w:val="CompiledMadeUnder"/>
    <w:basedOn w:val="OPCParaBase"/>
    <w:next w:val="Normal"/>
    <w:rsid w:val="00C61D2E"/>
    <w:rPr>
      <w:i/>
      <w:sz w:val="24"/>
      <w:szCs w:val="24"/>
    </w:rPr>
  </w:style>
  <w:style w:type="paragraph" w:customStyle="1" w:styleId="Paragraphsub-sub-sub">
    <w:name w:val="Paragraph(sub-sub-sub)"/>
    <w:aliases w:val="aaaa"/>
    <w:basedOn w:val="OPCParaBase"/>
    <w:rsid w:val="00C61D2E"/>
    <w:pPr>
      <w:tabs>
        <w:tab w:val="right" w:pos="3402"/>
      </w:tabs>
      <w:spacing w:before="40" w:line="240" w:lineRule="auto"/>
      <w:ind w:left="3402" w:hanging="3402"/>
    </w:pPr>
  </w:style>
  <w:style w:type="paragraph" w:customStyle="1" w:styleId="TableTextEndNotes">
    <w:name w:val="TableTextEndNotes"/>
    <w:aliases w:val="Tten"/>
    <w:basedOn w:val="Normal"/>
    <w:rsid w:val="00C61D2E"/>
    <w:pPr>
      <w:spacing w:before="60" w:after="0"/>
    </w:pPr>
    <w:rPr>
      <w:rFonts w:ascii="Times New Roman" w:eastAsiaTheme="minorHAnsi" w:hAnsi="Times New Roman" w:cs="Arial"/>
      <w:spacing w:val="0"/>
      <w:szCs w:val="22"/>
      <w:lang w:eastAsia="en-US"/>
    </w:rPr>
  </w:style>
  <w:style w:type="paragraph" w:customStyle="1" w:styleId="NoteToSubpara">
    <w:name w:val="NoteToSubpara"/>
    <w:aliases w:val="nts"/>
    <w:basedOn w:val="OPCParaBase"/>
    <w:rsid w:val="00C61D2E"/>
    <w:pPr>
      <w:spacing w:before="40" w:line="198" w:lineRule="exact"/>
      <w:ind w:left="2835" w:hanging="709"/>
    </w:pPr>
    <w:rPr>
      <w:sz w:val="18"/>
    </w:rPr>
  </w:style>
  <w:style w:type="paragraph" w:customStyle="1" w:styleId="ENoteTableHeading">
    <w:name w:val="ENoteTableHeading"/>
    <w:aliases w:val="enth"/>
    <w:basedOn w:val="OPCParaBase"/>
    <w:rsid w:val="00C61D2E"/>
    <w:pPr>
      <w:keepNext/>
      <w:spacing w:before="60" w:line="240" w:lineRule="atLeast"/>
    </w:pPr>
    <w:rPr>
      <w:rFonts w:ascii="Arial" w:hAnsi="Arial"/>
      <w:b/>
      <w:sz w:val="16"/>
    </w:rPr>
  </w:style>
  <w:style w:type="paragraph" w:customStyle="1" w:styleId="ENoteTTi">
    <w:name w:val="ENoteTTi"/>
    <w:aliases w:val="entti"/>
    <w:basedOn w:val="OPCParaBase"/>
    <w:rsid w:val="00C61D2E"/>
    <w:pPr>
      <w:keepNext/>
      <w:spacing w:before="60" w:line="240" w:lineRule="atLeast"/>
      <w:ind w:left="170"/>
    </w:pPr>
    <w:rPr>
      <w:sz w:val="16"/>
    </w:rPr>
  </w:style>
  <w:style w:type="paragraph" w:customStyle="1" w:styleId="ENotesHeading1">
    <w:name w:val="ENotesHeading 1"/>
    <w:aliases w:val="Enh1"/>
    <w:basedOn w:val="OPCParaBase"/>
    <w:next w:val="Normal"/>
    <w:rsid w:val="00C61D2E"/>
    <w:pPr>
      <w:spacing w:before="120"/>
      <w:outlineLvl w:val="0"/>
    </w:pPr>
    <w:rPr>
      <w:b/>
      <w:sz w:val="28"/>
      <w:szCs w:val="28"/>
    </w:rPr>
  </w:style>
  <w:style w:type="paragraph" w:customStyle="1" w:styleId="ENotesHeading2">
    <w:name w:val="ENotesHeading 2"/>
    <w:aliases w:val="Enh2"/>
    <w:basedOn w:val="OPCParaBase"/>
    <w:next w:val="Normal"/>
    <w:rsid w:val="00C61D2E"/>
    <w:pPr>
      <w:spacing w:before="120" w:after="120"/>
      <w:outlineLvl w:val="1"/>
    </w:pPr>
    <w:rPr>
      <w:b/>
      <w:sz w:val="24"/>
      <w:szCs w:val="28"/>
    </w:rPr>
  </w:style>
  <w:style w:type="paragraph" w:customStyle="1" w:styleId="ENoteTTIndentHeading">
    <w:name w:val="ENoteTTIndentHeading"/>
    <w:aliases w:val="enTTHi"/>
    <w:basedOn w:val="OPCParaBase"/>
    <w:rsid w:val="00C61D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61D2E"/>
    <w:pPr>
      <w:spacing w:before="60" w:line="240" w:lineRule="atLeast"/>
    </w:pPr>
    <w:rPr>
      <w:sz w:val="16"/>
    </w:rPr>
  </w:style>
  <w:style w:type="paragraph" w:customStyle="1" w:styleId="MadeunderText">
    <w:name w:val="MadeunderText"/>
    <w:basedOn w:val="OPCParaBase"/>
    <w:next w:val="Normal"/>
    <w:rsid w:val="00C61D2E"/>
    <w:pPr>
      <w:spacing w:before="240"/>
    </w:pPr>
    <w:rPr>
      <w:sz w:val="24"/>
      <w:szCs w:val="24"/>
    </w:rPr>
  </w:style>
  <w:style w:type="paragraph" w:customStyle="1" w:styleId="ENotesHeading3">
    <w:name w:val="ENotesHeading 3"/>
    <w:aliases w:val="Enh3"/>
    <w:basedOn w:val="OPCParaBase"/>
    <w:next w:val="Normal"/>
    <w:rsid w:val="00C61D2E"/>
    <w:pPr>
      <w:keepNext/>
      <w:spacing w:before="120" w:line="240" w:lineRule="auto"/>
      <w:outlineLvl w:val="4"/>
    </w:pPr>
    <w:rPr>
      <w:b/>
      <w:szCs w:val="24"/>
    </w:rPr>
  </w:style>
  <w:style w:type="paragraph" w:customStyle="1" w:styleId="ENoteTTIndentHeadingSub">
    <w:name w:val="ENoteTTIndentHeadingSub"/>
    <w:aliases w:val="enTTHis"/>
    <w:basedOn w:val="OPCParaBase"/>
    <w:rsid w:val="00C61D2E"/>
    <w:pPr>
      <w:keepNext/>
      <w:spacing w:before="60" w:line="240" w:lineRule="atLeast"/>
      <w:ind w:left="340"/>
    </w:pPr>
    <w:rPr>
      <w:b/>
      <w:sz w:val="16"/>
    </w:rPr>
  </w:style>
  <w:style w:type="paragraph" w:customStyle="1" w:styleId="ENoteTTiSub">
    <w:name w:val="ENoteTTiSub"/>
    <w:aliases w:val="enttis"/>
    <w:basedOn w:val="OPCParaBase"/>
    <w:rsid w:val="00C61D2E"/>
    <w:pPr>
      <w:keepNext/>
      <w:spacing w:before="60" w:line="240" w:lineRule="atLeast"/>
      <w:ind w:left="340"/>
    </w:pPr>
    <w:rPr>
      <w:sz w:val="16"/>
    </w:rPr>
  </w:style>
  <w:style w:type="paragraph" w:customStyle="1" w:styleId="SubDivisionMigration">
    <w:name w:val="SubDivisionMigration"/>
    <w:aliases w:val="sdm"/>
    <w:basedOn w:val="OPCParaBase"/>
    <w:rsid w:val="00C61D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61D2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61D2E"/>
    <w:pPr>
      <w:spacing w:before="122" w:line="240" w:lineRule="auto"/>
      <w:ind w:left="1985" w:hanging="851"/>
    </w:pPr>
    <w:rPr>
      <w:sz w:val="18"/>
    </w:rPr>
  </w:style>
  <w:style w:type="paragraph" w:customStyle="1" w:styleId="FreeForm">
    <w:name w:val="FreeForm"/>
    <w:rsid w:val="00C61D2E"/>
    <w:pPr>
      <w:spacing w:after="0" w:line="240" w:lineRule="auto"/>
    </w:pPr>
    <w:rPr>
      <w:rFonts w:ascii="Arial" w:hAnsi="Arial"/>
      <w:szCs w:val="20"/>
    </w:rPr>
  </w:style>
  <w:style w:type="paragraph" w:customStyle="1" w:styleId="SOText">
    <w:name w:val="SO Text"/>
    <w:aliases w:val="sot"/>
    <w:link w:val="SOTextChar"/>
    <w:rsid w:val="00C61D2E"/>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C61D2E"/>
    <w:rPr>
      <w:rFonts w:ascii="Times New Roman" w:hAnsi="Times New Roman"/>
      <w:szCs w:val="20"/>
    </w:rPr>
  </w:style>
  <w:style w:type="paragraph" w:customStyle="1" w:styleId="SOPara">
    <w:name w:val="SO Para"/>
    <w:aliases w:val="soa"/>
    <w:basedOn w:val="SOText"/>
    <w:link w:val="SOParaChar"/>
    <w:qFormat/>
    <w:rsid w:val="00C61D2E"/>
    <w:pPr>
      <w:tabs>
        <w:tab w:val="right" w:pos="1786"/>
      </w:tabs>
      <w:spacing w:before="40"/>
      <w:ind w:left="2070" w:hanging="936"/>
    </w:pPr>
  </w:style>
  <w:style w:type="character" w:customStyle="1" w:styleId="SOParaChar">
    <w:name w:val="SO Para Char"/>
    <w:aliases w:val="soa Char"/>
    <w:basedOn w:val="DefaultParagraphFont"/>
    <w:link w:val="SOPara"/>
    <w:rsid w:val="00C61D2E"/>
    <w:rPr>
      <w:rFonts w:ascii="Times New Roman" w:hAnsi="Times New Roman"/>
      <w:szCs w:val="20"/>
    </w:rPr>
  </w:style>
  <w:style w:type="paragraph" w:customStyle="1" w:styleId="FileName">
    <w:name w:val="FileName"/>
    <w:basedOn w:val="Normal"/>
    <w:rsid w:val="00C61D2E"/>
    <w:pPr>
      <w:spacing w:before="0" w:after="0" w:line="260" w:lineRule="atLeast"/>
    </w:pPr>
    <w:rPr>
      <w:rFonts w:ascii="Times New Roman" w:eastAsiaTheme="minorHAnsi" w:hAnsi="Times New Roman" w:cstheme="minorBidi"/>
      <w:spacing w:val="0"/>
      <w:sz w:val="22"/>
      <w:szCs w:val="20"/>
      <w:lang w:eastAsia="en-US"/>
    </w:rPr>
  </w:style>
  <w:style w:type="paragraph" w:customStyle="1" w:styleId="TableHeading">
    <w:name w:val="TableHeading"/>
    <w:aliases w:val="th"/>
    <w:basedOn w:val="OPCParaBase"/>
    <w:next w:val="Tabletext"/>
    <w:rsid w:val="00C61D2E"/>
    <w:pPr>
      <w:keepNext/>
      <w:spacing w:before="60" w:line="240" w:lineRule="atLeast"/>
    </w:pPr>
    <w:rPr>
      <w:b/>
      <w:sz w:val="20"/>
    </w:rPr>
  </w:style>
  <w:style w:type="paragraph" w:customStyle="1" w:styleId="SOHeadBold">
    <w:name w:val="SO HeadBold"/>
    <w:aliases w:val="sohb"/>
    <w:basedOn w:val="SOText"/>
    <w:next w:val="SOText"/>
    <w:link w:val="SOHeadBoldChar"/>
    <w:qFormat/>
    <w:rsid w:val="00C61D2E"/>
    <w:rPr>
      <w:b/>
    </w:rPr>
  </w:style>
  <w:style w:type="character" w:customStyle="1" w:styleId="SOHeadBoldChar">
    <w:name w:val="SO HeadBold Char"/>
    <w:aliases w:val="sohb Char"/>
    <w:basedOn w:val="DefaultParagraphFont"/>
    <w:link w:val="SOHeadBold"/>
    <w:rsid w:val="00C61D2E"/>
    <w:rPr>
      <w:rFonts w:ascii="Times New Roman" w:hAnsi="Times New Roman"/>
      <w:b/>
      <w:szCs w:val="20"/>
    </w:rPr>
  </w:style>
  <w:style w:type="paragraph" w:customStyle="1" w:styleId="SOHeadItalic">
    <w:name w:val="SO HeadItalic"/>
    <w:aliases w:val="sohi"/>
    <w:basedOn w:val="SOText"/>
    <w:next w:val="SOText"/>
    <w:link w:val="SOHeadItalicChar"/>
    <w:qFormat/>
    <w:rsid w:val="00C61D2E"/>
    <w:rPr>
      <w:i/>
    </w:rPr>
  </w:style>
  <w:style w:type="character" w:customStyle="1" w:styleId="SOHeadItalicChar">
    <w:name w:val="SO HeadItalic Char"/>
    <w:aliases w:val="sohi Char"/>
    <w:basedOn w:val="DefaultParagraphFont"/>
    <w:link w:val="SOHeadItalic"/>
    <w:rsid w:val="00C61D2E"/>
    <w:rPr>
      <w:rFonts w:ascii="Times New Roman" w:hAnsi="Times New Roman"/>
      <w:i/>
      <w:szCs w:val="20"/>
    </w:rPr>
  </w:style>
  <w:style w:type="paragraph" w:customStyle="1" w:styleId="SOBullet">
    <w:name w:val="SO Bullet"/>
    <w:aliases w:val="sotb"/>
    <w:basedOn w:val="SOText"/>
    <w:link w:val="SOBulletChar"/>
    <w:qFormat/>
    <w:rsid w:val="00C61D2E"/>
    <w:pPr>
      <w:ind w:left="1559" w:hanging="425"/>
    </w:pPr>
  </w:style>
  <w:style w:type="character" w:customStyle="1" w:styleId="SOBulletChar">
    <w:name w:val="SO Bullet Char"/>
    <w:aliases w:val="sotb Char"/>
    <w:basedOn w:val="DefaultParagraphFont"/>
    <w:link w:val="SOBullet"/>
    <w:rsid w:val="00C61D2E"/>
    <w:rPr>
      <w:rFonts w:ascii="Times New Roman" w:hAnsi="Times New Roman"/>
      <w:szCs w:val="20"/>
    </w:rPr>
  </w:style>
  <w:style w:type="paragraph" w:customStyle="1" w:styleId="SOBulletNote">
    <w:name w:val="SO BulletNote"/>
    <w:aliases w:val="sonb"/>
    <w:basedOn w:val="Normal"/>
    <w:link w:val="SOBulletNoteChar"/>
    <w:qFormat/>
    <w:rsid w:val="0035039C"/>
    <w:pPr>
      <w:pBdr>
        <w:top w:val="single" w:sz="6" w:space="5" w:color="auto"/>
        <w:left w:val="single" w:sz="6" w:space="5" w:color="auto"/>
        <w:bottom w:val="single" w:sz="6" w:space="5" w:color="auto"/>
        <w:right w:val="single" w:sz="6" w:space="5" w:color="auto"/>
      </w:pBdr>
      <w:tabs>
        <w:tab w:val="left" w:pos="1560"/>
      </w:tabs>
      <w:spacing w:before="122" w:after="0" w:line="198" w:lineRule="exact"/>
      <w:ind w:left="2268" w:hanging="1134"/>
    </w:pPr>
    <w:rPr>
      <w:rFonts w:ascii="Times New Roman" w:eastAsiaTheme="minorHAnsi" w:hAnsi="Times New Roman" w:cstheme="minorBidi"/>
      <w:spacing w:val="0"/>
      <w:sz w:val="18"/>
      <w:szCs w:val="20"/>
      <w:lang w:eastAsia="en-US"/>
    </w:rPr>
  </w:style>
  <w:style w:type="character" w:customStyle="1" w:styleId="SOBulletNoteChar">
    <w:name w:val="SO BulletNote Char"/>
    <w:aliases w:val="sonb Char"/>
    <w:basedOn w:val="DefaultParagraphFont"/>
    <w:link w:val="SOBulletNote"/>
    <w:rsid w:val="00C61D2E"/>
    <w:rPr>
      <w:rFonts w:ascii="Times New Roman" w:hAnsi="Times New Roman"/>
      <w:sz w:val="18"/>
      <w:szCs w:val="20"/>
    </w:rPr>
  </w:style>
  <w:style w:type="paragraph" w:customStyle="1" w:styleId="SOText2">
    <w:name w:val="SO Text2"/>
    <w:aliases w:val="sot2"/>
    <w:basedOn w:val="Normal"/>
    <w:next w:val="SOText"/>
    <w:link w:val="SOText2Char"/>
    <w:rsid w:val="00C61D2E"/>
    <w:pPr>
      <w:pBdr>
        <w:top w:val="single" w:sz="6" w:space="5" w:color="auto"/>
        <w:left w:val="single" w:sz="6" w:space="5" w:color="auto"/>
        <w:bottom w:val="single" w:sz="6" w:space="5" w:color="auto"/>
        <w:right w:val="single" w:sz="6" w:space="5" w:color="auto"/>
      </w:pBdr>
      <w:spacing w:before="40" w:after="0"/>
      <w:ind w:left="1134"/>
    </w:pPr>
    <w:rPr>
      <w:rFonts w:ascii="Times New Roman" w:eastAsiaTheme="minorHAnsi" w:hAnsi="Times New Roman" w:cstheme="minorBidi"/>
      <w:spacing w:val="0"/>
      <w:sz w:val="22"/>
      <w:szCs w:val="20"/>
      <w:lang w:eastAsia="en-US"/>
    </w:rPr>
  </w:style>
  <w:style w:type="character" w:customStyle="1" w:styleId="SOText2Char">
    <w:name w:val="SO Text2 Char"/>
    <w:aliases w:val="sot2 Char"/>
    <w:basedOn w:val="DefaultParagraphFont"/>
    <w:link w:val="SOText2"/>
    <w:rsid w:val="00C61D2E"/>
    <w:rPr>
      <w:rFonts w:ascii="Times New Roman" w:hAnsi="Times New Roman"/>
      <w:szCs w:val="20"/>
    </w:rPr>
  </w:style>
  <w:style w:type="paragraph" w:customStyle="1" w:styleId="SubPartCASA">
    <w:name w:val="SubPart(CASA)"/>
    <w:aliases w:val="csp"/>
    <w:basedOn w:val="OPCParaBase"/>
    <w:next w:val="Normal"/>
    <w:rsid w:val="00C61D2E"/>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C61D2E"/>
    <w:rPr>
      <w:rFonts w:ascii="Times New Roman" w:eastAsia="Times New Roman" w:hAnsi="Times New Roman" w:cs="Times New Roman"/>
      <w:sz w:val="18"/>
      <w:szCs w:val="20"/>
      <w:lang w:eastAsia="en-AU"/>
    </w:rPr>
  </w:style>
  <w:style w:type="character" w:customStyle="1" w:styleId="charlegsubtitle1">
    <w:name w:val="charlegsubtitle1"/>
    <w:basedOn w:val="DefaultParagraphFont"/>
    <w:rsid w:val="00C61D2E"/>
    <w:rPr>
      <w:rFonts w:ascii="Arial" w:hAnsi="Arial" w:cs="Arial" w:hint="default"/>
      <w:b/>
      <w:bCs/>
      <w:sz w:val="28"/>
      <w:szCs w:val="28"/>
    </w:rPr>
  </w:style>
  <w:style w:type="paragraph" w:styleId="Index1">
    <w:name w:val="index 1"/>
    <w:basedOn w:val="Normal"/>
    <w:next w:val="Normal"/>
    <w:autoRedefine/>
    <w:rsid w:val="00C61D2E"/>
    <w:pPr>
      <w:spacing w:before="0" w:after="0" w:line="260" w:lineRule="atLeast"/>
      <w:ind w:left="240" w:hanging="240"/>
    </w:pPr>
    <w:rPr>
      <w:rFonts w:ascii="Times New Roman" w:eastAsiaTheme="minorHAnsi" w:hAnsi="Times New Roman" w:cstheme="minorBidi"/>
      <w:spacing w:val="0"/>
      <w:sz w:val="22"/>
      <w:szCs w:val="20"/>
      <w:lang w:eastAsia="en-US"/>
    </w:rPr>
  </w:style>
  <w:style w:type="paragraph" w:styleId="Index2">
    <w:name w:val="index 2"/>
    <w:basedOn w:val="Normal"/>
    <w:next w:val="Normal"/>
    <w:autoRedefine/>
    <w:rsid w:val="00C61D2E"/>
    <w:pPr>
      <w:spacing w:before="0" w:after="0" w:line="260" w:lineRule="atLeast"/>
      <w:ind w:left="480" w:hanging="240"/>
    </w:pPr>
    <w:rPr>
      <w:rFonts w:ascii="Times New Roman" w:eastAsiaTheme="minorHAnsi" w:hAnsi="Times New Roman" w:cstheme="minorBidi"/>
      <w:spacing w:val="0"/>
      <w:sz w:val="22"/>
      <w:szCs w:val="20"/>
      <w:lang w:eastAsia="en-US"/>
    </w:rPr>
  </w:style>
  <w:style w:type="paragraph" w:styleId="Index3">
    <w:name w:val="index 3"/>
    <w:basedOn w:val="Normal"/>
    <w:next w:val="Normal"/>
    <w:autoRedefine/>
    <w:rsid w:val="00C61D2E"/>
    <w:pPr>
      <w:spacing w:before="0" w:after="0" w:line="260" w:lineRule="atLeast"/>
      <w:ind w:left="720" w:hanging="240"/>
    </w:pPr>
    <w:rPr>
      <w:rFonts w:ascii="Times New Roman" w:eastAsiaTheme="minorHAnsi" w:hAnsi="Times New Roman" w:cstheme="minorBidi"/>
      <w:spacing w:val="0"/>
      <w:sz w:val="22"/>
      <w:szCs w:val="20"/>
      <w:lang w:eastAsia="en-US"/>
    </w:rPr>
  </w:style>
  <w:style w:type="paragraph" w:styleId="Index4">
    <w:name w:val="index 4"/>
    <w:basedOn w:val="Normal"/>
    <w:next w:val="Normal"/>
    <w:autoRedefine/>
    <w:rsid w:val="00C61D2E"/>
    <w:pPr>
      <w:spacing w:before="0" w:after="0" w:line="260" w:lineRule="atLeast"/>
      <w:ind w:left="960" w:hanging="240"/>
    </w:pPr>
    <w:rPr>
      <w:rFonts w:ascii="Times New Roman" w:eastAsiaTheme="minorHAnsi" w:hAnsi="Times New Roman" w:cstheme="minorBidi"/>
      <w:spacing w:val="0"/>
      <w:sz w:val="22"/>
      <w:szCs w:val="20"/>
      <w:lang w:eastAsia="en-US"/>
    </w:rPr>
  </w:style>
  <w:style w:type="paragraph" w:styleId="Index5">
    <w:name w:val="index 5"/>
    <w:basedOn w:val="Normal"/>
    <w:next w:val="Normal"/>
    <w:autoRedefine/>
    <w:rsid w:val="00C61D2E"/>
    <w:pPr>
      <w:spacing w:before="0" w:after="0" w:line="260" w:lineRule="atLeast"/>
      <w:ind w:left="1200" w:hanging="240"/>
    </w:pPr>
    <w:rPr>
      <w:rFonts w:ascii="Times New Roman" w:eastAsiaTheme="minorHAnsi" w:hAnsi="Times New Roman" w:cstheme="minorBidi"/>
      <w:spacing w:val="0"/>
      <w:sz w:val="22"/>
      <w:szCs w:val="20"/>
      <w:lang w:eastAsia="en-US"/>
    </w:rPr>
  </w:style>
  <w:style w:type="paragraph" w:styleId="Index6">
    <w:name w:val="index 6"/>
    <w:basedOn w:val="Normal"/>
    <w:next w:val="Normal"/>
    <w:autoRedefine/>
    <w:rsid w:val="00C61D2E"/>
    <w:pPr>
      <w:spacing w:before="0" w:after="0" w:line="260" w:lineRule="atLeast"/>
      <w:ind w:left="1440" w:hanging="240"/>
    </w:pPr>
    <w:rPr>
      <w:rFonts w:ascii="Times New Roman" w:eastAsiaTheme="minorHAnsi" w:hAnsi="Times New Roman" w:cstheme="minorBidi"/>
      <w:spacing w:val="0"/>
      <w:sz w:val="22"/>
      <w:szCs w:val="20"/>
      <w:lang w:eastAsia="en-US"/>
    </w:rPr>
  </w:style>
  <w:style w:type="paragraph" w:styleId="Index7">
    <w:name w:val="index 7"/>
    <w:basedOn w:val="Normal"/>
    <w:next w:val="Normal"/>
    <w:autoRedefine/>
    <w:rsid w:val="00C61D2E"/>
    <w:pPr>
      <w:spacing w:before="0" w:after="0" w:line="260" w:lineRule="atLeast"/>
      <w:ind w:left="1680" w:hanging="240"/>
    </w:pPr>
    <w:rPr>
      <w:rFonts w:ascii="Times New Roman" w:eastAsiaTheme="minorHAnsi" w:hAnsi="Times New Roman" w:cstheme="minorBidi"/>
      <w:spacing w:val="0"/>
      <w:sz w:val="22"/>
      <w:szCs w:val="20"/>
      <w:lang w:eastAsia="en-US"/>
    </w:rPr>
  </w:style>
  <w:style w:type="paragraph" w:styleId="Index8">
    <w:name w:val="index 8"/>
    <w:basedOn w:val="Normal"/>
    <w:next w:val="Normal"/>
    <w:autoRedefine/>
    <w:rsid w:val="00C61D2E"/>
    <w:pPr>
      <w:spacing w:before="0" w:after="0" w:line="260" w:lineRule="atLeast"/>
      <w:ind w:left="1920" w:hanging="240"/>
    </w:pPr>
    <w:rPr>
      <w:rFonts w:ascii="Times New Roman" w:eastAsiaTheme="minorHAnsi" w:hAnsi="Times New Roman" w:cstheme="minorBidi"/>
      <w:spacing w:val="0"/>
      <w:sz w:val="22"/>
      <w:szCs w:val="20"/>
      <w:lang w:eastAsia="en-US"/>
    </w:rPr>
  </w:style>
  <w:style w:type="paragraph" w:styleId="Index9">
    <w:name w:val="index 9"/>
    <w:basedOn w:val="Normal"/>
    <w:next w:val="Normal"/>
    <w:autoRedefine/>
    <w:rsid w:val="00C61D2E"/>
    <w:pPr>
      <w:spacing w:before="0" w:after="0" w:line="260" w:lineRule="atLeast"/>
      <w:ind w:left="2160" w:hanging="240"/>
    </w:pPr>
    <w:rPr>
      <w:rFonts w:ascii="Times New Roman" w:eastAsiaTheme="minorHAnsi" w:hAnsi="Times New Roman" w:cstheme="minorBidi"/>
      <w:spacing w:val="0"/>
      <w:sz w:val="22"/>
      <w:szCs w:val="20"/>
      <w:lang w:eastAsia="en-US"/>
    </w:rPr>
  </w:style>
  <w:style w:type="paragraph" w:styleId="NormalIndent">
    <w:name w:val="Normal Indent"/>
    <w:basedOn w:val="Normal"/>
    <w:rsid w:val="00C61D2E"/>
    <w:pPr>
      <w:spacing w:before="0" w:after="0" w:line="260" w:lineRule="atLeast"/>
      <w:ind w:left="720"/>
    </w:pPr>
    <w:rPr>
      <w:rFonts w:ascii="Times New Roman" w:eastAsiaTheme="minorHAnsi" w:hAnsi="Times New Roman" w:cstheme="minorBidi"/>
      <w:spacing w:val="0"/>
      <w:sz w:val="22"/>
      <w:szCs w:val="20"/>
      <w:lang w:eastAsia="en-US"/>
    </w:rPr>
  </w:style>
  <w:style w:type="paragraph" w:styleId="IndexHeading">
    <w:name w:val="index heading"/>
    <w:basedOn w:val="Normal"/>
    <w:next w:val="Index1"/>
    <w:rsid w:val="00C61D2E"/>
    <w:pPr>
      <w:spacing w:before="0" w:after="0" w:line="260" w:lineRule="atLeast"/>
    </w:pPr>
    <w:rPr>
      <w:rFonts w:eastAsiaTheme="minorHAnsi" w:cs="Arial"/>
      <w:b/>
      <w:bCs/>
      <w:spacing w:val="0"/>
      <w:sz w:val="22"/>
      <w:szCs w:val="20"/>
      <w:lang w:eastAsia="en-US"/>
    </w:rPr>
  </w:style>
  <w:style w:type="paragraph" w:styleId="Caption">
    <w:name w:val="caption"/>
    <w:basedOn w:val="Normal"/>
    <w:next w:val="Normal"/>
    <w:qFormat/>
    <w:rsid w:val="00C61D2E"/>
    <w:pPr>
      <w:spacing w:line="260" w:lineRule="atLeast"/>
    </w:pPr>
    <w:rPr>
      <w:rFonts w:ascii="Times New Roman" w:eastAsiaTheme="minorHAnsi" w:hAnsi="Times New Roman" w:cstheme="minorBidi"/>
      <w:b/>
      <w:bCs/>
      <w:spacing w:val="0"/>
      <w:szCs w:val="20"/>
      <w:lang w:eastAsia="en-US"/>
    </w:rPr>
  </w:style>
  <w:style w:type="paragraph" w:styleId="EnvelopeAddress">
    <w:name w:val="envelope address"/>
    <w:basedOn w:val="Normal"/>
    <w:rsid w:val="00C61D2E"/>
    <w:pPr>
      <w:framePr w:w="7920" w:h="1980" w:hRule="exact" w:hSpace="180" w:wrap="auto" w:hAnchor="page" w:xAlign="center" w:yAlign="bottom"/>
      <w:spacing w:before="0" w:after="0" w:line="260" w:lineRule="atLeast"/>
      <w:ind w:left="2880"/>
    </w:pPr>
    <w:rPr>
      <w:rFonts w:eastAsiaTheme="minorHAnsi" w:cs="Arial"/>
      <w:spacing w:val="0"/>
      <w:sz w:val="22"/>
      <w:szCs w:val="20"/>
      <w:lang w:eastAsia="en-US"/>
    </w:rPr>
  </w:style>
  <w:style w:type="paragraph" w:styleId="EnvelopeReturn">
    <w:name w:val="envelope return"/>
    <w:basedOn w:val="Normal"/>
    <w:rsid w:val="00C61D2E"/>
    <w:pPr>
      <w:spacing w:before="0" w:after="0" w:line="260" w:lineRule="atLeast"/>
    </w:pPr>
    <w:rPr>
      <w:rFonts w:eastAsiaTheme="minorHAnsi" w:cs="Arial"/>
      <w:spacing w:val="0"/>
      <w:szCs w:val="20"/>
      <w:lang w:eastAsia="en-US"/>
    </w:rPr>
  </w:style>
  <w:style w:type="paragraph" w:styleId="MacroText">
    <w:name w:val="macro"/>
    <w:link w:val="MacroTextChar"/>
    <w:rsid w:val="00C61D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61D2E"/>
    <w:rPr>
      <w:rFonts w:ascii="Courier New" w:eastAsia="Times New Roman" w:hAnsi="Courier New" w:cs="Courier New"/>
      <w:sz w:val="20"/>
      <w:szCs w:val="20"/>
      <w:lang w:eastAsia="en-AU"/>
    </w:rPr>
  </w:style>
  <w:style w:type="paragraph" w:styleId="TOAHeading">
    <w:name w:val="toa heading"/>
    <w:basedOn w:val="Normal"/>
    <w:next w:val="Normal"/>
    <w:rsid w:val="00C61D2E"/>
    <w:pPr>
      <w:spacing w:after="0" w:line="260" w:lineRule="atLeast"/>
    </w:pPr>
    <w:rPr>
      <w:rFonts w:eastAsiaTheme="minorHAnsi" w:cs="Arial"/>
      <w:b/>
      <w:bCs/>
      <w:spacing w:val="0"/>
      <w:sz w:val="22"/>
      <w:szCs w:val="20"/>
      <w:lang w:eastAsia="en-US"/>
    </w:rPr>
  </w:style>
  <w:style w:type="paragraph" w:styleId="List3">
    <w:name w:val="List 3"/>
    <w:basedOn w:val="Normal"/>
    <w:rsid w:val="00C61D2E"/>
    <w:pPr>
      <w:spacing w:before="0" w:after="0" w:line="260" w:lineRule="atLeast"/>
      <w:ind w:left="849" w:hanging="283"/>
    </w:pPr>
    <w:rPr>
      <w:rFonts w:ascii="Times New Roman" w:eastAsiaTheme="minorHAnsi" w:hAnsi="Times New Roman" w:cstheme="minorBidi"/>
      <w:spacing w:val="0"/>
      <w:sz w:val="22"/>
      <w:szCs w:val="20"/>
      <w:lang w:eastAsia="en-US"/>
    </w:rPr>
  </w:style>
  <w:style w:type="paragraph" w:styleId="List4">
    <w:name w:val="List 4"/>
    <w:basedOn w:val="Normal"/>
    <w:rsid w:val="00C61D2E"/>
    <w:pPr>
      <w:spacing w:before="0" w:after="0" w:line="260" w:lineRule="atLeast"/>
      <w:ind w:left="1132" w:hanging="283"/>
    </w:pPr>
    <w:rPr>
      <w:rFonts w:ascii="Times New Roman" w:eastAsiaTheme="minorHAnsi" w:hAnsi="Times New Roman" w:cstheme="minorBidi"/>
      <w:spacing w:val="0"/>
      <w:sz w:val="22"/>
      <w:szCs w:val="20"/>
      <w:lang w:eastAsia="en-US"/>
    </w:rPr>
  </w:style>
  <w:style w:type="paragraph" w:styleId="List5">
    <w:name w:val="List 5"/>
    <w:basedOn w:val="Normal"/>
    <w:rsid w:val="00C61D2E"/>
    <w:pPr>
      <w:spacing w:before="0" w:after="0" w:line="260" w:lineRule="atLeast"/>
      <w:ind w:left="1415" w:hanging="283"/>
    </w:pPr>
    <w:rPr>
      <w:rFonts w:ascii="Times New Roman" w:eastAsiaTheme="minorHAnsi" w:hAnsi="Times New Roman" w:cstheme="minorBidi"/>
      <w:spacing w:val="0"/>
      <w:sz w:val="22"/>
      <w:szCs w:val="20"/>
      <w:lang w:eastAsia="en-US"/>
    </w:rPr>
  </w:style>
  <w:style w:type="paragraph" w:styleId="ListBullet3">
    <w:name w:val="List Bullet 3"/>
    <w:basedOn w:val="Normal"/>
    <w:autoRedefine/>
    <w:rsid w:val="00C61D2E"/>
    <w:pPr>
      <w:tabs>
        <w:tab w:val="num" w:pos="926"/>
      </w:tabs>
      <w:spacing w:before="0" w:after="0" w:line="260" w:lineRule="atLeast"/>
      <w:ind w:left="926" w:hanging="360"/>
    </w:pPr>
    <w:rPr>
      <w:rFonts w:ascii="Times New Roman" w:eastAsiaTheme="minorHAnsi" w:hAnsi="Times New Roman" w:cstheme="minorBidi"/>
      <w:spacing w:val="0"/>
      <w:sz w:val="22"/>
      <w:szCs w:val="20"/>
      <w:lang w:eastAsia="en-US"/>
    </w:rPr>
  </w:style>
  <w:style w:type="paragraph" w:styleId="ListBullet4">
    <w:name w:val="List Bullet 4"/>
    <w:basedOn w:val="Normal"/>
    <w:autoRedefine/>
    <w:rsid w:val="00C61D2E"/>
    <w:pPr>
      <w:tabs>
        <w:tab w:val="num" w:pos="1209"/>
      </w:tabs>
      <w:spacing w:before="0" w:after="0" w:line="260" w:lineRule="atLeast"/>
      <w:ind w:left="1209" w:hanging="360"/>
    </w:pPr>
    <w:rPr>
      <w:rFonts w:ascii="Times New Roman" w:eastAsiaTheme="minorHAnsi" w:hAnsi="Times New Roman" w:cstheme="minorBidi"/>
      <w:spacing w:val="0"/>
      <w:sz w:val="22"/>
      <w:szCs w:val="20"/>
      <w:lang w:eastAsia="en-US"/>
    </w:rPr>
  </w:style>
  <w:style w:type="paragraph" w:styleId="ListBullet5">
    <w:name w:val="List Bullet 5"/>
    <w:basedOn w:val="Normal"/>
    <w:autoRedefine/>
    <w:rsid w:val="00C61D2E"/>
    <w:pPr>
      <w:tabs>
        <w:tab w:val="num" w:pos="1492"/>
      </w:tabs>
      <w:spacing w:before="0" w:after="0" w:line="260" w:lineRule="atLeast"/>
      <w:ind w:left="1492" w:hanging="360"/>
    </w:pPr>
    <w:rPr>
      <w:rFonts w:ascii="Times New Roman" w:eastAsiaTheme="minorHAnsi" w:hAnsi="Times New Roman" w:cstheme="minorBidi"/>
      <w:spacing w:val="0"/>
      <w:sz w:val="22"/>
      <w:szCs w:val="20"/>
      <w:lang w:eastAsia="en-US"/>
    </w:rPr>
  </w:style>
  <w:style w:type="paragraph" w:styleId="Closing">
    <w:name w:val="Closing"/>
    <w:basedOn w:val="Normal"/>
    <w:link w:val="Closing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ClosingChar">
    <w:name w:val="Closing Char"/>
    <w:basedOn w:val="DefaultParagraphFont"/>
    <w:link w:val="Closing"/>
    <w:rsid w:val="00C61D2E"/>
    <w:rPr>
      <w:rFonts w:ascii="Times New Roman" w:hAnsi="Times New Roman"/>
      <w:szCs w:val="20"/>
    </w:rPr>
  </w:style>
  <w:style w:type="paragraph" w:styleId="Signature">
    <w:name w:val="Signature"/>
    <w:basedOn w:val="Normal"/>
    <w:link w:val="SignatureChar"/>
    <w:rsid w:val="00C61D2E"/>
    <w:pPr>
      <w:spacing w:before="0" w:after="0" w:line="260" w:lineRule="atLeast"/>
      <w:ind w:left="4252"/>
    </w:pPr>
    <w:rPr>
      <w:rFonts w:ascii="Times New Roman" w:eastAsiaTheme="minorHAnsi" w:hAnsi="Times New Roman" w:cstheme="minorBidi"/>
      <w:spacing w:val="0"/>
      <w:sz w:val="22"/>
      <w:szCs w:val="20"/>
      <w:lang w:eastAsia="en-US"/>
    </w:rPr>
  </w:style>
  <w:style w:type="character" w:customStyle="1" w:styleId="SignatureChar">
    <w:name w:val="Signature Char"/>
    <w:basedOn w:val="DefaultParagraphFont"/>
    <w:link w:val="Signature"/>
    <w:rsid w:val="00C61D2E"/>
    <w:rPr>
      <w:rFonts w:ascii="Times New Roman" w:hAnsi="Times New Roman"/>
      <w:szCs w:val="20"/>
    </w:rPr>
  </w:style>
  <w:style w:type="paragraph" w:styleId="ListContinue3">
    <w:name w:val="List Continue 3"/>
    <w:basedOn w:val="Normal"/>
    <w:rsid w:val="00C61D2E"/>
    <w:pPr>
      <w:spacing w:before="0" w:line="260" w:lineRule="atLeast"/>
      <w:ind w:left="849"/>
    </w:pPr>
    <w:rPr>
      <w:rFonts w:ascii="Times New Roman" w:eastAsiaTheme="minorHAnsi" w:hAnsi="Times New Roman" w:cstheme="minorBidi"/>
      <w:spacing w:val="0"/>
      <w:sz w:val="22"/>
      <w:szCs w:val="20"/>
      <w:lang w:eastAsia="en-US"/>
    </w:rPr>
  </w:style>
  <w:style w:type="paragraph" w:styleId="ListContinue4">
    <w:name w:val="List Continue 4"/>
    <w:basedOn w:val="Normal"/>
    <w:rsid w:val="00C61D2E"/>
    <w:pPr>
      <w:spacing w:before="0" w:line="260" w:lineRule="atLeast"/>
      <w:ind w:left="1132"/>
    </w:pPr>
    <w:rPr>
      <w:rFonts w:ascii="Times New Roman" w:eastAsiaTheme="minorHAnsi" w:hAnsi="Times New Roman" w:cstheme="minorBidi"/>
      <w:spacing w:val="0"/>
      <w:sz w:val="22"/>
      <w:szCs w:val="20"/>
      <w:lang w:eastAsia="en-US"/>
    </w:rPr>
  </w:style>
  <w:style w:type="paragraph" w:styleId="ListContinue5">
    <w:name w:val="List Continue 5"/>
    <w:basedOn w:val="Normal"/>
    <w:rsid w:val="00C61D2E"/>
    <w:pPr>
      <w:spacing w:before="0" w:line="260" w:lineRule="atLeast"/>
      <w:ind w:left="1415"/>
    </w:pPr>
    <w:rPr>
      <w:rFonts w:ascii="Times New Roman" w:eastAsiaTheme="minorHAnsi" w:hAnsi="Times New Roman" w:cstheme="minorBidi"/>
      <w:spacing w:val="0"/>
      <w:sz w:val="22"/>
      <w:szCs w:val="20"/>
      <w:lang w:eastAsia="en-US"/>
    </w:rPr>
  </w:style>
  <w:style w:type="paragraph" w:styleId="MessageHeader">
    <w:name w:val="Message Header"/>
    <w:basedOn w:val="Normal"/>
    <w:link w:val="MessageHeaderChar"/>
    <w:rsid w:val="00C61D2E"/>
    <w:pPr>
      <w:pBdr>
        <w:top w:val="single" w:sz="6" w:space="1" w:color="auto"/>
        <w:left w:val="single" w:sz="6" w:space="1" w:color="auto"/>
        <w:bottom w:val="single" w:sz="6" w:space="1" w:color="auto"/>
        <w:right w:val="single" w:sz="6" w:space="1" w:color="auto"/>
      </w:pBdr>
      <w:shd w:val="pct20" w:color="auto" w:fill="auto"/>
      <w:spacing w:before="0" w:after="0" w:line="260" w:lineRule="atLeast"/>
      <w:ind w:left="1134" w:hanging="1134"/>
    </w:pPr>
    <w:rPr>
      <w:rFonts w:eastAsiaTheme="minorHAnsi" w:cs="Arial"/>
      <w:spacing w:val="0"/>
      <w:sz w:val="22"/>
      <w:szCs w:val="20"/>
      <w:lang w:eastAsia="en-US"/>
    </w:rPr>
  </w:style>
  <w:style w:type="character" w:customStyle="1" w:styleId="MessageHeaderChar">
    <w:name w:val="Message Header Char"/>
    <w:basedOn w:val="DefaultParagraphFont"/>
    <w:link w:val="MessageHeader"/>
    <w:rsid w:val="00C61D2E"/>
    <w:rPr>
      <w:rFonts w:ascii="Arial" w:hAnsi="Arial" w:cs="Arial"/>
      <w:szCs w:val="20"/>
      <w:shd w:val="pct20" w:color="auto" w:fill="auto"/>
    </w:rPr>
  </w:style>
  <w:style w:type="paragraph" w:styleId="Salutation">
    <w:name w:val="Salutation"/>
    <w:basedOn w:val="Normal"/>
    <w:next w:val="Normal"/>
    <w:link w:val="Salutation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SalutationChar">
    <w:name w:val="Salutation Char"/>
    <w:basedOn w:val="DefaultParagraphFont"/>
    <w:link w:val="Salutation"/>
    <w:rsid w:val="00C61D2E"/>
    <w:rPr>
      <w:rFonts w:ascii="Times New Roman" w:hAnsi="Times New Roman"/>
      <w:szCs w:val="20"/>
    </w:rPr>
  </w:style>
  <w:style w:type="paragraph" w:styleId="Date">
    <w:name w:val="Date"/>
    <w:basedOn w:val="Normal"/>
    <w:next w:val="Normal"/>
    <w:link w:val="Dat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DateChar">
    <w:name w:val="Date Char"/>
    <w:basedOn w:val="DefaultParagraphFont"/>
    <w:link w:val="Date"/>
    <w:rsid w:val="00C61D2E"/>
    <w:rPr>
      <w:rFonts w:ascii="Times New Roman" w:hAnsi="Times New Roman"/>
      <w:szCs w:val="20"/>
    </w:rPr>
  </w:style>
  <w:style w:type="paragraph" w:styleId="BodyTextFirstIndent">
    <w:name w:val="Body Text First Indent"/>
    <w:basedOn w:val="BodyText"/>
    <w:link w:val="BodyTextFirstIndentChar"/>
    <w:rsid w:val="00C61D2E"/>
    <w:pPr>
      <w:spacing w:line="260" w:lineRule="atLeast"/>
      <w:ind w:firstLine="210"/>
    </w:pPr>
    <w:rPr>
      <w:rFonts w:ascii="Times New Roman" w:eastAsiaTheme="minorHAnsi" w:hAnsi="Times New Roman" w:cstheme="minorBidi"/>
      <w:sz w:val="22"/>
    </w:rPr>
  </w:style>
  <w:style w:type="character" w:customStyle="1" w:styleId="BodyTextFirstIndentChar">
    <w:name w:val="Body Text First Indent Char"/>
    <w:basedOn w:val="BodyTextChar"/>
    <w:link w:val="BodyTextFirstIndent"/>
    <w:rsid w:val="00C61D2E"/>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61D2E"/>
    <w:pPr>
      <w:spacing w:line="260" w:lineRule="atLeast"/>
      <w:ind w:firstLine="210"/>
    </w:pPr>
    <w:rPr>
      <w:rFonts w:eastAsiaTheme="minorHAnsi" w:cstheme="minorBidi"/>
      <w:sz w:val="22"/>
      <w:szCs w:val="20"/>
    </w:rPr>
  </w:style>
  <w:style w:type="character" w:customStyle="1" w:styleId="BodyTextFirstIndent2Char">
    <w:name w:val="Body Text First Indent 2 Char"/>
    <w:basedOn w:val="BodyTextIndentChar"/>
    <w:link w:val="BodyTextFirstIndent2"/>
    <w:rsid w:val="00C61D2E"/>
    <w:rPr>
      <w:rFonts w:ascii="Times New Roman" w:eastAsia="Times New Roman" w:hAnsi="Times New Roman" w:cs="Times New Roman"/>
      <w:sz w:val="24"/>
      <w:szCs w:val="20"/>
    </w:rPr>
  </w:style>
  <w:style w:type="paragraph" w:styleId="BodyText3">
    <w:name w:val="Body Text 3"/>
    <w:basedOn w:val="Normal"/>
    <w:link w:val="BodyText3Char"/>
    <w:rsid w:val="00C61D2E"/>
    <w:pPr>
      <w:spacing w:before="0" w:line="260" w:lineRule="atLeast"/>
    </w:pPr>
    <w:rPr>
      <w:rFonts w:ascii="Times New Roman" w:eastAsiaTheme="minorHAnsi" w:hAnsi="Times New Roman" w:cstheme="minorBidi"/>
      <w:spacing w:val="0"/>
      <w:sz w:val="16"/>
      <w:szCs w:val="16"/>
      <w:lang w:eastAsia="en-US"/>
    </w:rPr>
  </w:style>
  <w:style w:type="character" w:customStyle="1" w:styleId="BodyText3Char">
    <w:name w:val="Body Text 3 Char"/>
    <w:basedOn w:val="DefaultParagraphFont"/>
    <w:link w:val="BodyText3"/>
    <w:rsid w:val="00C61D2E"/>
    <w:rPr>
      <w:rFonts w:ascii="Times New Roman" w:hAnsi="Times New Roman"/>
      <w:sz w:val="16"/>
      <w:szCs w:val="16"/>
    </w:rPr>
  </w:style>
  <w:style w:type="paragraph" w:styleId="BodyTextIndent2">
    <w:name w:val="Body Text Indent 2"/>
    <w:basedOn w:val="Normal"/>
    <w:link w:val="BodyTextIndent2Char"/>
    <w:rsid w:val="00C61D2E"/>
    <w:pPr>
      <w:spacing w:before="0" w:line="480" w:lineRule="auto"/>
      <w:ind w:left="283"/>
    </w:pPr>
    <w:rPr>
      <w:rFonts w:ascii="Times New Roman" w:eastAsiaTheme="minorHAnsi" w:hAnsi="Times New Roman" w:cstheme="minorBidi"/>
      <w:spacing w:val="0"/>
      <w:sz w:val="22"/>
      <w:szCs w:val="20"/>
      <w:lang w:eastAsia="en-US"/>
    </w:rPr>
  </w:style>
  <w:style w:type="character" w:customStyle="1" w:styleId="BodyTextIndent2Char">
    <w:name w:val="Body Text Indent 2 Char"/>
    <w:basedOn w:val="DefaultParagraphFont"/>
    <w:link w:val="BodyTextIndent2"/>
    <w:rsid w:val="00C61D2E"/>
    <w:rPr>
      <w:rFonts w:ascii="Times New Roman" w:hAnsi="Times New Roman"/>
      <w:szCs w:val="20"/>
    </w:rPr>
  </w:style>
  <w:style w:type="paragraph" w:styleId="BlockText">
    <w:name w:val="Block Text"/>
    <w:basedOn w:val="Normal"/>
    <w:rsid w:val="00C61D2E"/>
    <w:pPr>
      <w:spacing w:before="0" w:line="260" w:lineRule="atLeast"/>
      <w:ind w:left="1440" w:right="1440"/>
    </w:pPr>
    <w:rPr>
      <w:rFonts w:ascii="Times New Roman" w:eastAsiaTheme="minorHAnsi" w:hAnsi="Times New Roman" w:cstheme="minorBidi"/>
      <w:spacing w:val="0"/>
      <w:sz w:val="22"/>
      <w:szCs w:val="20"/>
      <w:lang w:eastAsia="en-US"/>
    </w:rPr>
  </w:style>
  <w:style w:type="paragraph" w:styleId="DocumentMap">
    <w:name w:val="Document Map"/>
    <w:basedOn w:val="Normal"/>
    <w:link w:val="DocumentMapChar"/>
    <w:rsid w:val="00C61D2E"/>
    <w:pPr>
      <w:shd w:val="clear" w:color="auto" w:fill="000080"/>
      <w:spacing w:before="0" w:after="0" w:line="260" w:lineRule="atLeast"/>
    </w:pPr>
    <w:rPr>
      <w:rFonts w:ascii="Tahoma" w:eastAsiaTheme="minorHAnsi" w:hAnsi="Tahoma" w:cs="Tahoma"/>
      <w:spacing w:val="0"/>
      <w:sz w:val="22"/>
      <w:szCs w:val="20"/>
      <w:lang w:eastAsia="en-US"/>
    </w:rPr>
  </w:style>
  <w:style w:type="character" w:customStyle="1" w:styleId="DocumentMapChar">
    <w:name w:val="Document Map Char"/>
    <w:basedOn w:val="DefaultParagraphFont"/>
    <w:link w:val="DocumentMap"/>
    <w:rsid w:val="00C61D2E"/>
    <w:rPr>
      <w:rFonts w:ascii="Tahoma" w:hAnsi="Tahoma" w:cs="Tahoma"/>
      <w:szCs w:val="20"/>
      <w:shd w:val="clear" w:color="auto" w:fill="000080"/>
    </w:rPr>
  </w:style>
  <w:style w:type="paragraph" w:styleId="E-mailSignature">
    <w:name w:val="E-mail Signature"/>
    <w:basedOn w:val="Normal"/>
    <w:link w:val="E-mailSignatureChar"/>
    <w:rsid w:val="00C61D2E"/>
    <w:pPr>
      <w:spacing w:before="0" w:after="0" w:line="260" w:lineRule="atLeast"/>
    </w:pPr>
    <w:rPr>
      <w:rFonts w:ascii="Times New Roman" w:eastAsiaTheme="minorHAnsi" w:hAnsi="Times New Roman" w:cstheme="minorBidi"/>
      <w:spacing w:val="0"/>
      <w:sz w:val="22"/>
      <w:szCs w:val="20"/>
      <w:lang w:eastAsia="en-US"/>
    </w:rPr>
  </w:style>
  <w:style w:type="character" w:customStyle="1" w:styleId="E-mailSignatureChar">
    <w:name w:val="E-mail Signature Char"/>
    <w:basedOn w:val="DefaultParagraphFont"/>
    <w:link w:val="E-mailSignature"/>
    <w:rsid w:val="00C61D2E"/>
    <w:rPr>
      <w:rFonts w:ascii="Times New Roman" w:hAnsi="Times New Roman"/>
      <w:szCs w:val="20"/>
    </w:rPr>
  </w:style>
  <w:style w:type="character" w:styleId="HTMLAcronym">
    <w:name w:val="HTML Acronym"/>
    <w:basedOn w:val="DefaultParagraphFont"/>
    <w:rsid w:val="00C61D2E"/>
  </w:style>
  <w:style w:type="paragraph" w:styleId="HTMLAddress">
    <w:name w:val="HTML Address"/>
    <w:basedOn w:val="Normal"/>
    <w:link w:val="HTMLAddressChar"/>
    <w:rsid w:val="00C61D2E"/>
    <w:pPr>
      <w:spacing w:before="0" w:after="0" w:line="260" w:lineRule="atLeast"/>
    </w:pPr>
    <w:rPr>
      <w:rFonts w:ascii="Times New Roman" w:eastAsiaTheme="minorHAnsi" w:hAnsi="Times New Roman" w:cstheme="minorBidi"/>
      <w:i/>
      <w:iCs/>
      <w:spacing w:val="0"/>
      <w:sz w:val="22"/>
      <w:szCs w:val="20"/>
      <w:lang w:eastAsia="en-US"/>
    </w:rPr>
  </w:style>
  <w:style w:type="character" w:customStyle="1" w:styleId="HTMLAddressChar">
    <w:name w:val="HTML Address Char"/>
    <w:basedOn w:val="DefaultParagraphFont"/>
    <w:link w:val="HTMLAddress"/>
    <w:rsid w:val="00C61D2E"/>
    <w:rPr>
      <w:rFonts w:ascii="Times New Roman" w:hAnsi="Times New Roman"/>
      <w:i/>
      <w:iCs/>
      <w:szCs w:val="20"/>
    </w:rPr>
  </w:style>
  <w:style w:type="character" w:styleId="HTMLCite">
    <w:name w:val="HTML Cite"/>
    <w:basedOn w:val="DefaultParagraphFont"/>
    <w:rsid w:val="00C61D2E"/>
    <w:rPr>
      <w:i/>
      <w:iCs/>
    </w:rPr>
  </w:style>
  <w:style w:type="character" w:styleId="HTMLCode">
    <w:name w:val="HTML Code"/>
    <w:basedOn w:val="DefaultParagraphFont"/>
    <w:rsid w:val="00C61D2E"/>
    <w:rPr>
      <w:rFonts w:ascii="Courier New" w:hAnsi="Courier New" w:cs="Courier New"/>
      <w:sz w:val="20"/>
      <w:szCs w:val="20"/>
    </w:rPr>
  </w:style>
  <w:style w:type="character" w:styleId="HTMLDefinition">
    <w:name w:val="HTML Definition"/>
    <w:basedOn w:val="DefaultParagraphFont"/>
    <w:rsid w:val="00C61D2E"/>
    <w:rPr>
      <w:i/>
      <w:iCs/>
    </w:rPr>
  </w:style>
  <w:style w:type="character" w:styleId="HTMLKeyboard">
    <w:name w:val="HTML Keyboard"/>
    <w:basedOn w:val="DefaultParagraphFont"/>
    <w:rsid w:val="00C61D2E"/>
    <w:rPr>
      <w:rFonts w:ascii="Courier New" w:hAnsi="Courier New" w:cs="Courier New"/>
      <w:sz w:val="20"/>
      <w:szCs w:val="20"/>
    </w:rPr>
  </w:style>
  <w:style w:type="paragraph" w:styleId="HTMLPreformatted">
    <w:name w:val="HTML Preformatted"/>
    <w:basedOn w:val="Normal"/>
    <w:link w:val="HTMLPreformattedChar"/>
    <w:rsid w:val="00C61D2E"/>
    <w:pPr>
      <w:spacing w:before="0" w:after="0" w:line="260" w:lineRule="atLeast"/>
    </w:pPr>
    <w:rPr>
      <w:rFonts w:ascii="Courier New" w:eastAsiaTheme="minorHAnsi" w:hAnsi="Courier New" w:cs="Courier New"/>
      <w:spacing w:val="0"/>
      <w:szCs w:val="20"/>
      <w:lang w:eastAsia="en-US"/>
    </w:rPr>
  </w:style>
  <w:style w:type="character" w:customStyle="1" w:styleId="HTMLPreformattedChar">
    <w:name w:val="HTML Preformatted Char"/>
    <w:basedOn w:val="DefaultParagraphFont"/>
    <w:link w:val="HTMLPreformatted"/>
    <w:rsid w:val="00C61D2E"/>
    <w:rPr>
      <w:rFonts w:ascii="Courier New" w:hAnsi="Courier New" w:cs="Courier New"/>
      <w:sz w:val="20"/>
      <w:szCs w:val="20"/>
    </w:rPr>
  </w:style>
  <w:style w:type="character" w:styleId="HTMLSample">
    <w:name w:val="HTML Sample"/>
    <w:basedOn w:val="DefaultParagraphFont"/>
    <w:rsid w:val="00C61D2E"/>
    <w:rPr>
      <w:rFonts w:ascii="Courier New" w:hAnsi="Courier New" w:cs="Courier New"/>
    </w:rPr>
  </w:style>
  <w:style w:type="character" w:styleId="HTMLTypewriter">
    <w:name w:val="HTML Typewriter"/>
    <w:basedOn w:val="DefaultParagraphFont"/>
    <w:rsid w:val="00C61D2E"/>
    <w:rPr>
      <w:rFonts w:ascii="Courier New" w:hAnsi="Courier New" w:cs="Courier New"/>
      <w:sz w:val="20"/>
      <w:szCs w:val="20"/>
    </w:rPr>
  </w:style>
  <w:style w:type="character" w:styleId="HTMLVariable">
    <w:name w:val="HTML Variable"/>
    <w:basedOn w:val="DefaultParagraphFont"/>
    <w:rsid w:val="00C61D2E"/>
    <w:rPr>
      <w:i/>
      <w:iCs/>
    </w:rPr>
  </w:style>
  <w:style w:type="numbering" w:styleId="1ai">
    <w:name w:val="Outline List 1"/>
    <w:basedOn w:val="NoList"/>
    <w:rsid w:val="00C61D2E"/>
    <w:pPr>
      <w:numPr>
        <w:numId w:val="14"/>
      </w:numPr>
    </w:pPr>
  </w:style>
  <w:style w:type="numbering" w:styleId="111111">
    <w:name w:val="Outline List 2"/>
    <w:basedOn w:val="NoList"/>
    <w:rsid w:val="00C61D2E"/>
    <w:pPr>
      <w:numPr>
        <w:numId w:val="15"/>
      </w:numPr>
    </w:pPr>
  </w:style>
  <w:style w:type="numbering" w:styleId="ArticleSection">
    <w:name w:val="Outline List 3"/>
    <w:basedOn w:val="NoList"/>
    <w:rsid w:val="00C61D2E"/>
    <w:pPr>
      <w:numPr>
        <w:numId w:val="16"/>
      </w:numPr>
    </w:pPr>
  </w:style>
  <w:style w:type="table" w:styleId="TableSimple1">
    <w:name w:val="Table Simple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61D2E"/>
    <w:pPr>
      <w:spacing w:after="0" w:line="240" w:lineRule="auto"/>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61D2E"/>
    <w:pPr>
      <w:spacing w:after="0" w:line="240" w:lineRule="auto"/>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61D2E"/>
    <w:pPr>
      <w:spacing w:after="0" w:line="240" w:lineRule="auto"/>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61D2E"/>
    <w:pPr>
      <w:spacing w:after="0" w:line="240" w:lineRule="auto"/>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61D2E"/>
    <w:pPr>
      <w:spacing w:after="0" w:line="240" w:lineRule="auto"/>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61D2E"/>
    <w:pPr>
      <w:spacing w:after="0" w:line="240" w:lineRule="auto"/>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61D2E"/>
    <w:pPr>
      <w:spacing w:after="0" w:line="240" w:lineRule="auto"/>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61D2E"/>
    <w:pPr>
      <w:spacing w:after="0" w:line="240" w:lineRule="auto"/>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61D2E"/>
    <w:pPr>
      <w:spacing w:after="0" w:line="240" w:lineRule="auto"/>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61D2E"/>
    <w:pPr>
      <w:spacing w:after="0" w:line="240" w:lineRule="auto"/>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61D2E"/>
    <w:pPr>
      <w:spacing w:after="0" w:line="240" w:lineRule="auto"/>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61D2E"/>
    <w:pPr>
      <w:spacing w:after="0" w:line="240" w:lineRule="auto"/>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61D2E"/>
    <w:pPr>
      <w:spacing w:after="0" w:line="240" w:lineRule="auto"/>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61D2E"/>
    <w:pPr>
      <w:spacing w:after="0" w:line="240" w:lineRule="auto"/>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61D2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ubitem">
    <w:name w:val="ETA(subitem)"/>
    <w:basedOn w:val="OPCParaBase"/>
    <w:rsid w:val="00C61D2E"/>
    <w:pPr>
      <w:tabs>
        <w:tab w:val="right" w:pos="340"/>
      </w:tabs>
      <w:spacing w:before="60" w:line="240" w:lineRule="auto"/>
      <w:ind w:left="454" w:hanging="454"/>
    </w:pPr>
    <w:rPr>
      <w:sz w:val="20"/>
    </w:rPr>
  </w:style>
  <w:style w:type="paragraph" w:customStyle="1" w:styleId="ETApara">
    <w:name w:val="ETA(para)"/>
    <w:basedOn w:val="OPCParaBase"/>
    <w:rsid w:val="00C61D2E"/>
    <w:pPr>
      <w:tabs>
        <w:tab w:val="right" w:pos="754"/>
      </w:tabs>
      <w:spacing w:before="60" w:line="240" w:lineRule="auto"/>
      <w:ind w:left="828" w:hanging="828"/>
    </w:pPr>
    <w:rPr>
      <w:sz w:val="20"/>
    </w:rPr>
  </w:style>
  <w:style w:type="paragraph" w:customStyle="1" w:styleId="ETAsubpara">
    <w:name w:val="ETA(subpara)"/>
    <w:basedOn w:val="OPCParaBase"/>
    <w:rsid w:val="00C61D2E"/>
    <w:pPr>
      <w:tabs>
        <w:tab w:val="right" w:pos="1083"/>
      </w:tabs>
      <w:spacing w:before="60" w:line="240" w:lineRule="auto"/>
      <w:ind w:left="1191" w:hanging="1191"/>
    </w:pPr>
    <w:rPr>
      <w:sz w:val="20"/>
    </w:rPr>
  </w:style>
  <w:style w:type="paragraph" w:customStyle="1" w:styleId="ETAsub-subpara">
    <w:name w:val="ETA(sub-subpara)"/>
    <w:basedOn w:val="OPCParaBase"/>
    <w:rsid w:val="00C61D2E"/>
    <w:pPr>
      <w:tabs>
        <w:tab w:val="right" w:pos="1412"/>
      </w:tabs>
      <w:spacing w:before="60" w:line="240" w:lineRule="auto"/>
      <w:ind w:left="1525" w:hanging="1525"/>
    </w:pPr>
    <w:rPr>
      <w:sz w:val="20"/>
    </w:rPr>
  </w:style>
  <w:style w:type="paragraph" w:customStyle="1" w:styleId="Transitional">
    <w:name w:val="Transitional"/>
    <w:aliases w:val="tr"/>
    <w:basedOn w:val="Normal"/>
    <w:next w:val="Normal"/>
    <w:rsid w:val="00297A79"/>
    <w:pPr>
      <w:keepNext/>
      <w:keepLines/>
      <w:spacing w:before="220" w:after="0"/>
      <w:ind w:left="709" w:hanging="709"/>
    </w:pPr>
    <w:rPr>
      <w:rFonts w:ascii="Arial" w:hAnsi="Arial"/>
      <w:b/>
      <w:spacing w:val="0"/>
      <w:kern w:val="28"/>
      <w:sz w:val="24"/>
      <w:szCs w:val="20"/>
    </w:rPr>
  </w:style>
  <w:style w:type="paragraph" w:styleId="Bibliography">
    <w:name w:val="Bibliography"/>
    <w:basedOn w:val="Normal"/>
    <w:next w:val="Normal"/>
    <w:uiPriority w:val="37"/>
    <w:semiHidden/>
    <w:unhideWhenUsed/>
    <w:rsid w:val="00C61D2E"/>
    <w:pPr>
      <w:spacing w:before="0" w:after="0" w:line="260" w:lineRule="atLeast"/>
    </w:pPr>
    <w:rPr>
      <w:rFonts w:ascii="Times New Roman" w:eastAsiaTheme="minorHAnsi" w:hAnsi="Times New Roman" w:cstheme="minorBidi"/>
      <w:spacing w:val="0"/>
      <w:sz w:val="22"/>
      <w:szCs w:val="20"/>
      <w:lang w:eastAsia="en-US"/>
    </w:rPr>
  </w:style>
  <w:style w:type="table" w:styleId="ColorfulGrid">
    <w:name w:val="Colorful Grid"/>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1" w:themeFillTint="33"/>
    </w:tcPr>
    <w:tblStylePr w:type="firstRow">
      <w:rPr>
        <w:b/>
        <w:bCs/>
      </w:rPr>
      <w:tblPr/>
      <w:tcPr>
        <w:shd w:val="clear" w:color="auto" w:fill="5FDFFF" w:themeFill="accent1" w:themeFillTint="66"/>
      </w:tcPr>
    </w:tblStylePr>
    <w:tblStylePr w:type="lastRow">
      <w:rPr>
        <w:b/>
        <w:bCs/>
        <w:color w:val="000000" w:themeColor="text1"/>
      </w:rPr>
      <w:tblPr/>
      <w:tcPr>
        <w:shd w:val="clear" w:color="auto" w:fill="5FDFFF" w:themeFill="accent1" w:themeFillTint="66"/>
      </w:tcPr>
    </w:tblStylePr>
    <w:tblStylePr w:type="firstCol">
      <w:rPr>
        <w:color w:val="FFFFFF" w:themeColor="background1"/>
      </w:rPr>
      <w:tblPr/>
      <w:tcPr>
        <w:shd w:val="clear" w:color="auto" w:fill="004253" w:themeFill="accent1" w:themeFillShade="BF"/>
      </w:tcPr>
    </w:tblStylePr>
    <w:tblStylePr w:type="lastCol">
      <w:rPr>
        <w:color w:val="FFFFFF" w:themeColor="background1"/>
      </w:rPr>
      <w:tblPr/>
      <w:tcPr>
        <w:shd w:val="clear" w:color="auto" w:fill="004253" w:themeFill="accent1" w:themeFillShade="BF"/>
      </w:tc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ColorfulGrid-Accent2">
    <w:name w:val="Colorful Grid Accent 2"/>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2" w:themeFillTint="33"/>
    </w:tcPr>
    <w:tblStylePr w:type="firstRow">
      <w:rPr>
        <w:b/>
        <w:bCs/>
      </w:rPr>
      <w:tblPr/>
      <w:tcPr>
        <w:shd w:val="clear" w:color="auto" w:fill="7DF8FF" w:themeFill="accent2" w:themeFillTint="66"/>
      </w:tcPr>
    </w:tblStylePr>
    <w:tblStylePr w:type="lastRow">
      <w:rPr>
        <w:b/>
        <w:bCs/>
        <w:color w:val="000000" w:themeColor="text1"/>
      </w:rPr>
      <w:tblPr/>
      <w:tcPr>
        <w:shd w:val="clear" w:color="auto" w:fill="7DF8FF" w:themeFill="accent2" w:themeFillTint="66"/>
      </w:tcPr>
    </w:tblStylePr>
    <w:tblStylePr w:type="firstCol">
      <w:rPr>
        <w:color w:val="FFFFFF" w:themeColor="background1"/>
      </w:rPr>
      <w:tblPr/>
      <w:tcPr>
        <w:shd w:val="clear" w:color="auto" w:fill="00838A" w:themeFill="accent2" w:themeFillShade="BF"/>
      </w:tcPr>
    </w:tblStylePr>
    <w:tblStylePr w:type="lastCol">
      <w:rPr>
        <w:color w:val="FFFFFF" w:themeColor="background1"/>
      </w:rPr>
      <w:tblPr/>
      <w:tcPr>
        <w:shd w:val="clear" w:color="auto" w:fill="00838A" w:themeFill="accent2" w:themeFillShade="BF"/>
      </w:tc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ColorfulGrid-Accent3">
    <w:name w:val="Colorful Grid Accent 3"/>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3" w:themeFillTint="33"/>
    </w:tcPr>
    <w:tblStylePr w:type="firstRow">
      <w:rPr>
        <w:b/>
        <w:bCs/>
      </w:rPr>
      <w:tblPr/>
      <w:tcPr>
        <w:shd w:val="clear" w:color="auto" w:fill="DFF4F3" w:themeFill="accent3" w:themeFillTint="66"/>
      </w:tcPr>
    </w:tblStylePr>
    <w:tblStylePr w:type="lastRow">
      <w:rPr>
        <w:b/>
        <w:bCs/>
        <w:color w:val="000000" w:themeColor="text1"/>
      </w:rPr>
      <w:tblPr/>
      <w:tcPr>
        <w:shd w:val="clear" w:color="auto" w:fill="DFF4F3" w:themeFill="accent3" w:themeFillTint="66"/>
      </w:tcPr>
    </w:tblStylePr>
    <w:tblStylePr w:type="firstCol">
      <w:rPr>
        <w:color w:val="FFFFFF" w:themeColor="background1"/>
      </w:rPr>
      <w:tblPr/>
      <w:tcPr>
        <w:shd w:val="clear" w:color="auto" w:fill="65CAC8" w:themeFill="accent3" w:themeFillShade="BF"/>
      </w:tcPr>
    </w:tblStylePr>
    <w:tblStylePr w:type="lastCol">
      <w:rPr>
        <w:color w:val="FFFFFF" w:themeColor="background1"/>
      </w:rPr>
      <w:tblPr/>
      <w:tcPr>
        <w:shd w:val="clear" w:color="auto" w:fill="65CAC8" w:themeFill="accent3" w:themeFillShade="BF"/>
      </w:tc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ColorfulGrid-Accent4">
    <w:name w:val="Colorful Grid Accent 4"/>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AFEFFF" w:themeFill="accent4" w:themeFillTint="33"/>
    </w:tcPr>
    <w:tblStylePr w:type="firstRow">
      <w:rPr>
        <w:b/>
        <w:bCs/>
      </w:rPr>
      <w:tblPr/>
      <w:tcPr>
        <w:shd w:val="clear" w:color="auto" w:fill="5FDFFF" w:themeFill="accent4" w:themeFillTint="66"/>
      </w:tcPr>
    </w:tblStylePr>
    <w:tblStylePr w:type="lastRow">
      <w:rPr>
        <w:b/>
        <w:bCs/>
        <w:color w:val="000000" w:themeColor="text1"/>
      </w:rPr>
      <w:tblPr/>
      <w:tcPr>
        <w:shd w:val="clear" w:color="auto" w:fill="5FDFFF" w:themeFill="accent4" w:themeFillTint="66"/>
      </w:tcPr>
    </w:tblStylePr>
    <w:tblStylePr w:type="firstCol">
      <w:rPr>
        <w:color w:val="FFFFFF" w:themeColor="background1"/>
      </w:rPr>
      <w:tblPr/>
      <w:tcPr>
        <w:shd w:val="clear" w:color="auto" w:fill="004253" w:themeFill="accent4" w:themeFillShade="BF"/>
      </w:tcPr>
    </w:tblStylePr>
    <w:tblStylePr w:type="lastCol">
      <w:rPr>
        <w:color w:val="FFFFFF" w:themeColor="background1"/>
      </w:rPr>
      <w:tblPr/>
      <w:tcPr>
        <w:shd w:val="clear" w:color="auto" w:fill="004253" w:themeFill="accent4" w:themeFillShade="BF"/>
      </w:tc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ColorfulGrid-Accent5">
    <w:name w:val="Colorful Grid Accent 5"/>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BEFBFF" w:themeFill="accent5" w:themeFillTint="33"/>
    </w:tcPr>
    <w:tblStylePr w:type="firstRow">
      <w:rPr>
        <w:b/>
        <w:bCs/>
      </w:rPr>
      <w:tblPr/>
      <w:tcPr>
        <w:shd w:val="clear" w:color="auto" w:fill="7DF8FF" w:themeFill="accent5" w:themeFillTint="66"/>
      </w:tcPr>
    </w:tblStylePr>
    <w:tblStylePr w:type="lastRow">
      <w:rPr>
        <w:b/>
        <w:bCs/>
        <w:color w:val="000000" w:themeColor="text1"/>
      </w:rPr>
      <w:tblPr/>
      <w:tcPr>
        <w:shd w:val="clear" w:color="auto" w:fill="7DF8FF" w:themeFill="accent5" w:themeFillTint="66"/>
      </w:tcPr>
    </w:tblStylePr>
    <w:tblStylePr w:type="firstCol">
      <w:rPr>
        <w:color w:val="FFFFFF" w:themeColor="background1"/>
      </w:rPr>
      <w:tblPr/>
      <w:tcPr>
        <w:shd w:val="clear" w:color="auto" w:fill="00838A" w:themeFill="accent5" w:themeFillShade="BF"/>
      </w:tcPr>
    </w:tblStylePr>
    <w:tblStylePr w:type="lastCol">
      <w:rPr>
        <w:color w:val="FFFFFF" w:themeColor="background1"/>
      </w:rPr>
      <w:tblPr/>
      <w:tcPr>
        <w:shd w:val="clear" w:color="auto" w:fill="00838A" w:themeFill="accent5" w:themeFillShade="BF"/>
      </w:tc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ColorfulGrid-Accent6">
    <w:name w:val="Colorful Grid Accent 6"/>
    <w:basedOn w:val="TableNormal"/>
    <w:uiPriority w:val="73"/>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insideH w:val="single" w:sz="4" w:space="0" w:color="FFFFFF" w:themeColor="background1"/>
      </w:tblBorders>
    </w:tblPr>
    <w:tcPr>
      <w:shd w:val="clear" w:color="auto" w:fill="EFF9F9" w:themeFill="accent6" w:themeFillTint="33"/>
    </w:tcPr>
    <w:tblStylePr w:type="firstRow">
      <w:rPr>
        <w:b/>
        <w:bCs/>
      </w:rPr>
      <w:tblPr/>
      <w:tcPr>
        <w:shd w:val="clear" w:color="auto" w:fill="DFF4F3" w:themeFill="accent6" w:themeFillTint="66"/>
      </w:tcPr>
    </w:tblStylePr>
    <w:tblStylePr w:type="lastRow">
      <w:rPr>
        <w:b/>
        <w:bCs/>
        <w:color w:val="000000" w:themeColor="text1"/>
      </w:rPr>
      <w:tblPr/>
      <w:tcPr>
        <w:shd w:val="clear" w:color="auto" w:fill="DFF4F3" w:themeFill="accent6" w:themeFillTint="66"/>
      </w:tcPr>
    </w:tblStylePr>
    <w:tblStylePr w:type="firstCol">
      <w:rPr>
        <w:color w:val="FFFFFF" w:themeColor="background1"/>
      </w:rPr>
      <w:tblPr/>
      <w:tcPr>
        <w:shd w:val="clear" w:color="auto" w:fill="65CAC8" w:themeFill="accent6" w:themeFillShade="BF"/>
      </w:tcPr>
    </w:tblStylePr>
    <w:tblStylePr w:type="lastCol">
      <w:rPr>
        <w:color w:val="FFFFFF" w:themeColor="background1"/>
      </w:rPr>
      <w:tblPr/>
      <w:tcPr>
        <w:shd w:val="clear" w:color="auto" w:fill="65CAC8" w:themeFill="accent6" w:themeFillShade="BF"/>
      </w:tc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ColorfulList">
    <w:name w:val="Colorful List"/>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1"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1" w:themeFillTint="3F"/>
      </w:tcPr>
    </w:tblStylePr>
    <w:tblStylePr w:type="band1Horz">
      <w:tblPr/>
      <w:tcPr>
        <w:shd w:val="clear" w:color="auto" w:fill="AFEFFF" w:themeFill="accent1" w:themeFillTint="33"/>
      </w:tcPr>
    </w:tblStylePr>
  </w:style>
  <w:style w:type="table" w:styleId="ColorfulList-Accent2">
    <w:name w:val="Colorful List Accent 2"/>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2" w:themeFillTint="19"/>
    </w:tcPr>
    <w:tblStylePr w:type="firstRow">
      <w:rPr>
        <w:b/>
        <w:bCs/>
        <w:color w:val="FFFFFF" w:themeColor="background1"/>
      </w:rPr>
      <w:tblPr/>
      <w:tcPr>
        <w:tcBorders>
          <w:bottom w:val="single" w:sz="12" w:space="0" w:color="FFFFFF" w:themeColor="background1"/>
        </w:tcBorders>
        <w:shd w:val="clear" w:color="auto" w:fill="008C94" w:themeFill="accent2" w:themeFillShade="CC"/>
      </w:tcPr>
    </w:tblStylePr>
    <w:tblStylePr w:type="lastRow">
      <w:rPr>
        <w:b/>
        <w:bCs/>
        <w:color w:val="008C9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2" w:themeFillTint="3F"/>
      </w:tcPr>
    </w:tblStylePr>
    <w:tblStylePr w:type="band1Horz">
      <w:tblPr/>
      <w:tcPr>
        <w:shd w:val="clear" w:color="auto" w:fill="BEFBFF" w:themeFill="accent2" w:themeFillTint="33"/>
      </w:tcPr>
    </w:tblStylePr>
  </w:style>
  <w:style w:type="table" w:styleId="ColorfulList-Accent3">
    <w:name w:val="Colorful List Accent 3"/>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3" w:themeFillTint="19"/>
    </w:tcPr>
    <w:tblStylePr w:type="firstRow">
      <w:rPr>
        <w:b/>
        <w:bCs/>
        <w:color w:val="FFFFFF" w:themeColor="background1"/>
      </w:rPr>
      <w:tblPr/>
      <w:tcPr>
        <w:tcBorders>
          <w:bottom w:val="single" w:sz="12" w:space="0" w:color="FFFFFF" w:themeColor="background1"/>
        </w:tcBorders>
        <w:shd w:val="clear" w:color="auto" w:fill="004759" w:themeFill="accent4" w:themeFillShade="CC"/>
      </w:tcPr>
    </w:tblStylePr>
    <w:tblStylePr w:type="lastRow">
      <w:rPr>
        <w:b/>
        <w:bCs/>
        <w:color w:val="00475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3" w:themeFillTint="3F"/>
      </w:tcPr>
    </w:tblStylePr>
    <w:tblStylePr w:type="band1Horz">
      <w:tblPr/>
      <w:tcPr>
        <w:shd w:val="clear" w:color="auto" w:fill="EFF9F9" w:themeFill="accent3" w:themeFillTint="33"/>
      </w:tcPr>
    </w:tblStylePr>
  </w:style>
  <w:style w:type="table" w:styleId="ColorfulList-Accent4">
    <w:name w:val="Colorful List Accent 4"/>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7F7FF" w:themeFill="accent4" w:themeFillTint="19"/>
    </w:tcPr>
    <w:tblStylePr w:type="firstRow">
      <w:rPr>
        <w:b/>
        <w:bCs/>
        <w:color w:val="FFFFFF" w:themeColor="background1"/>
      </w:rPr>
      <w:tblPr/>
      <w:tcPr>
        <w:tcBorders>
          <w:bottom w:val="single" w:sz="12" w:space="0" w:color="FFFFFF" w:themeColor="background1"/>
        </w:tcBorders>
        <w:shd w:val="clear" w:color="auto" w:fill="74CFCD" w:themeFill="accent3" w:themeFillShade="CC"/>
      </w:tcPr>
    </w:tblStylePr>
    <w:tblStylePr w:type="lastRow">
      <w:rPr>
        <w:b/>
        <w:bCs/>
        <w:color w:val="74CFC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EBFF" w:themeFill="accent4" w:themeFillTint="3F"/>
      </w:tcPr>
    </w:tblStylePr>
    <w:tblStylePr w:type="band1Horz">
      <w:tblPr/>
      <w:tcPr>
        <w:shd w:val="clear" w:color="auto" w:fill="AFEFFF" w:themeFill="accent4" w:themeFillTint="33"/>
      </w:tcPr>
    </w:tblStylePr>
  </w:style>
  <w:style w:type="table" w:styleId="ColorfulList-Accent5">
    <w:name w:val="Colorful List Accent 5"/>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74CFCD" w:themeFill="accent6" w:themeFillShade="CC"/>
      </w:tcPr>
    </w:tblStylePr>
    <w:tblStylePr w:type="lastRow">
      <w:rPr>
        <w:b/>
        <w:bCs/>
        <w:color w:val="74CF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AFF" w:themeFill="accent5" w:themeFillTint="3F"/>
      </w:tcPr>
    </w:tblStylePr>
    <w:tblStylePr w:type="band1Horz">
      <w:tblPr/>
      <w:tcPr>
        <w:shd w:val="clear" w:color="auto" w:fill="BEFBFF" w:themeFill="accent5" w:themeFillTint="33"/>
      </w:tcPr>
    </w:tblStylePr>
  </w:style>
  <w:style w:type="table" w:styleId="ColorfulList-Accent6">
    <w:name w:val="Colorful List Accent 6"/>
    <w:basedOn w:val="TableNormal"/>
    <w:uiPriority w:val="72"/>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Pr>
    <w:tcPr>
      <w:shd w:val="clear" w:color="auto" w:fill="F7FCFC" w:themeFill="accent6" w:themeFillTint="19"/>
    </w:tcPr>
    <w:tblStylePr w:type="firstRow">
      <w:rPr>
        <w:b/>
        <w:bCs/>
        <w:color w:val="FFFFFF" w:themeColor="background1"/>
      </w:rPr>
      <w:tblPr/>
      <w:tcPr>
        <w:tcBorders>
          <w:bottom w:val="single" w:sz="12" w:space="0" w:color="FFFFFF" w:themeColor="background1"/>
        </w:tcBorders>
        <w:shd w:val="clear" w:color="auto" w:fill="008C94" w:themeFill="accent5" w:themeFillShade="CC"/>
      </w:tcPr>
    </w:tblStylePr>
    <w:tblStylePr w:type="lastRow">
      <w:rPr>
        <w:b/>
        <w:bCs/>
        <w:color w:val="008C9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8F8" w:themeFill="accent6" w:themeFillTint="3F"/>
      </w:tcPr>
    </w:tblStylePr>
    <w:tblStylePr w:type="band1Horz">
      <w:tblPr/>
      <w:tcPr>
        <w:shd w:val="clear" w:color="auto" w:fill="EFF9F9" w:themeFill="accent6" w:themeFillTint="33"/>
      </w:tcPr>
    </w:tblStylePr>
  </w:style>
  <w:style w:type="table" w:styleId="ColorfulShading">
    <w:name w:val="Colorful Shading"/>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5A70" w:themeColor="accent1"/>
        <w:bottom w:val="single" w:sz="4" w:space="0" w:color="005A70" w:themeColor="accent1"/>
        <w:right w:val="single" w:sz="4" w:space="0" w:color="005A70" w:themeColor="accent1"/>
        <w:insideH w:val="single" w:sz="4" w:space="0" w:color="FFFFFF" w:themeColor="background1"/>
        <w:insideV w:val="single" w:sz="4" w:space="0" w:color="FFFFFF" w:themeColor="background1"/>
      </w:tblBorders>
    </w:tblPr>
    <w:tcPr>
      <w:shd w:val="clear" w:color="auto" w:fill="D7F7FF" w:themeFill="accent1"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1" w:themeFillShade="99"/>
      </w:tcPr>
    </w:tblStylePr>
    <w:tblStylePr w:type="firstCol">
      <w:rPr>
        <w:color w:val="FFFFFF" w:themeColor="background1"/>
      </w:rPr>
      <w:tblPr/>
      <w:tcPr>
        <w:tcBorders>
          <w:top w:val="nil"/>
          <w:left w:val="nil"/>
          <w:bottom w:val="nil"/>
          <w:right w:val="nil"/>
          <w:insideH w:val="single" w:sz="4" w:space="0" w:color="003543" w:themeColor="accent1" w:themeShade="99"/>
          <w:insideV w:val="nil"/>
        </w:tcBorders>
        <w:shd w:val="clear" w:color="auto" w:fill="0035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1" w:themeFillShade="99"/>
      </w:tcPr>
    </w:tblStylePr>
    <w:tblStylePr w:type="band1Vert">
      <w:tblPr/>
      <w:tcPr>
        <w:shd w:val="clear" w:color="auto" w:fill="5FDFFF" w:themeFill="accent1" w:themeFillTint="66"/>
      </w:tcPr>
    </w:tblStylePr>
    <w:tblStylePr w:type="band1Horz">
      <w:tblPr/>
      <w:tcPr>
        <w:shd w:val="clear" w:color="auto" w:fill="38D7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2"/>
        <w:left w:val="single" w:sz="4" w:space="0" w:color="00B0B9" w:themeColor="accent2"/>
        <w:bottom w:val="single" w:sz="4" w:space="0" w:color="00B0B9" w:themeColor="accent2"/>
        <w:right w:val="single" w:sz="4" w:space="0" w:color="00B0B9" w:themeColor="accent2"/>
        <w:insideH w:val="single" w:sz="4" w:space="0" w:color="FFFFFF" w:themeColor="background1"/>
        <w:insideV w:val="single" w:sz="4" w:space="0" w:color="FFFFFF" w:themeColor="background1"/>
      </w:tblBorders>
    </w:tblPr>
    <w:tcPr>
      <w:shd w:val="clear" w:color="auto" w:fill="DFFDFF" w:themeFill="accent2" w:themeFillTint="19"/>
    </w:tcPr>
    <w:tblStylePr w:type="firstRow">
      <w:rPr>
        <w:b/>
        <w:bCs/>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2" w:themeFillShade="99"/>
      </w:tcPr>
    </w:tblStylePr>
    <w:tblStylePr w:type="firstCol">
      <w:rPr>
        <w:color w:val="FFFFFF" w:themeColor="background1"/>
      </w:rPr>
      <w:tblPr/>
      <w:tcPr>
        <w:tcBorders>
          <w:top w:val="nil"/>
          <w:left w:val="nil"/>
          <w:bottom w:val="nil"/>
          <w:right w:val="nil"/>
          <w:insideH w:val="single" w:sz="4" w:space="0" w:color="00696F" w:themeColor="accent2" w:themeShade="99"/>
          <w:insideV w:val="nil"/>
        </w:tcBorders>
        <w:shd w:val="clear" w:color="auto" w:fill="0069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2" w:themeFillShade="99"/>
      </w:tcPr>
    </w:tblStylePr>
    <w:tblStylePr w:type="band1Vert">
      <w:tblPr/>
      <w:tcPr>
        <w:shd w:val="clear" w:color="auto" w:fill="7DF8FF" w:themeFill="accent2" w:themeFillTint="66"/>
      </w:tcPr>
    </w:tblStylePr>
    <w:tblStylePr w:type="band1Horz">
      <w:tblPr/>
      <w:tcPr>
        <w:shd w:val="clear" w:color="auto" w:fill="5DF6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5A70" w:themeColor="accent4"/>
        <w:left w:val="single" w:sz="4" w:space="0" w:color="B1E4E3" w:themeColor="accent3"/>
        <w:bottom w:val="single" w:sz="4" w:space="0" w:color="B1E4E3" w:themeColor="accent3"/>
        <w:right w:val="single" w:sz="4" w:space="0" w:color="B1E4E3" w:themeColor="accent3"/>
        <w:insideH w:val="single" w:sz="4" w:space="0" w:color="FFFFFF" w:themeColor="background1"/>
        <w:insideV w:val="single" w:sz="4" w:space="0" w:color="FFFFFF" w:themeColor="background1"/>
      </w:tblBorders>
    </w:tblPr>
    <w:tcPr>
      <w:shd w:val="clear" w:color="auto" w:fill="F7FCFC" w:themeFill="accent3" w:themeFillTint="19"/>
    </w:tcPr>
    <w:tblStylePr w:type="firstRow">
      <w:rPr>
        <w:b/>
        <w:bCs/>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3" w:themeFillShade="99"/>
      </w:tcPr>
    </w:tblStylePr>
    <w:tblStylePr w:type="firstCol">
      <w:rPr>
        <w:color w:val="FFFFFF" w:themeColor="background1"/>
      </w:rPr>
      <w:tblPr/>
      <w:tcPr>
        <w:tcBorders>
          <w:top w:val="nil"/>
          <w:left w:val="nil"/>
          <w:bottom w:val="nil"/>
          <w:right w:val="nil"/>
          <w:insideH w:val="single" w:sz="4" w:space="0" w:color="3EB4B2" w:themeColor="accent3" w:themeShade="99"/>
          <w:insideV w:val="nil"/>
        </w:tcBorders>
        <w:shd w:val="clear" w:color="auto" w:fill="3EB4B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3" w:themeFillShade="99"/>
      </w:tcPr>
    </w:tblStylePr>
    <w:tblStylePr w:type="band1Vert">
      <w:tblPr/>
      <w:tcPr>
        <w:shd w:val="clear" w:color="auto" w:fill="DFF4F3" w:themeFill="accent3" w:themeFillTint="66"/>
      </w:tcPr>
    </w:tblStylePr>
    <w:tblStylePr w:type="band1Horz">
      <w:tblPr/>
      <w:tcPr>
        <w:shd w:val="clear" w:color="auto" w:fill="D8F1F1" w:themeFill="accent3" w:themeFillTint="7F"/>
      </w:tcPr>
    </w:tblStylePr>
  </w:style>
  <w:style w:type="table" w:styleId="ColorfulShading-Accent4">
    <w:name w:val="Colorful Shading Accent 4"/>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3"/>
        <w:left w:val="single" w:sz="4" w:space="0" w:color="005A70" w:themeColor="accent4"/>
        <w:bottom w:val="single" w:sz="4" w:space="0" w:color="005A70" w:themeColor="accent4"/>
        <w:right w:val="single" w:sz="4" w:space="0" w:color="005A70" w:themeColor="accent4"/>
        <w:insideH w:val="single" w:sz="4" w:space="0" w:color="FFFFFF" w:themeColor="background1"/>
        <w:insideV w:val="single" w:sz="4" w:space="0" w:color="FFFFFF" w:themeColor="background1"/>
      </w:tblBorders>
    </w:tblPr>
    <w:tcPr>
      <w:shd w:val="clear" w:color="auto" w:fill="D7F7FF" w:themeFill="accent4" w:themeFillTint="19"/>
    </w:tcPr>
    <w:tblStylePr w:type="firstRow">
      <w:rPr>
        <w:b/>
        <w:bCs/>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43" w:themeFill="accent4" w:themeFillShade="99"/>
      </w:tcPr>
    </w:tblStylePr>
    <w:tblStylePr w:type="firstCol">
      <w:rPr>
        <w:color w:val="FFFFFF" w:themeColor="background1"/>
      </w:rPr>
      <w:tblPr/>
      <w:tcPr>
        <w:tcBorders>
          <w:top w:val="nil"/>
          <w:left w:val="nil"/>
          <w:bottom w:val="nil"/>
          <w:right w:val="nil"/>
          <w:insideH w:val="single" w:sz="4" w:space="0" w:color="003543" w:themeColor="accent4" w:themeShade="99"/>
          <w:insideV w:val="nil"/>
        </w:tcBorders>
        <w:shd w:val="clear" w:color="auto" w:fill="00354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3543" w:themeFill="accent4" w:themeFillShade="99"/>
      </w:tcPr>
    </w:tblStylePr>
    <w:tblStylePr w:type="band1Vert">
      <w:tblPr/>
      <w:tcPr>
        <w:shd w:val="clear" w:color="auto" w:fill="5FDFFF" w:themeFill="accent4" w:themeFillTint="66"/>
      </w:tcPr>
    </w:tblStylePr>
    <w:tblStylePr w:type="band1Horz">
      <w:tblPr/>
      <w:tcPr>
        <w:shd w:val="clear" w:color="auto" w:fill="38D7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B1E4E3" w:themeColor="accent6"/>
        <w:left w:val="single" w:sz="4" w:space="0" w:color="00B0B9" w:themeColor="accent5"/>
        <w:bottom w:val="single" w:sz="4" w:space="0" w:color="00B0B9" w:themeColor="accent5"/>
        <w:right w:val="single" w:sz="4" w:space="0" w:color="00B0B9"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6F" w:themeFill="accent5" w:themeFillShade="99"/>
      </w:tcPr>
    </w:tblStylePr>
    <w:tblStylePr w:type="firstCol">
      <w:rPr>
        <w:color w:val="FFFFFF" w:themeColor="background1"/>
      </w:rPr>
      <w:tblPr/>
      <w:tcPr>
        <w:tcBorders>
          <w:top w:val="nil"/>
          <w:left w:val="nil"/>
          <w:bottom w:val="nil"/>
          <w:right w:val="nil"/>
          <w:insideH w:val="single" w:sz="4" w:space="0" w:color="00696F" w:themeColor="accent5" w:themeShade="99"/>
          <w:insideV w:val="nil"/>
        </w:tcBorders>
        <w:shd w:val="clear" w:color="auto" w:fill="00696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6F" w:themeFill="accent5" w:themeFillShade="99"/>
      </w:tcPr>
    </w:tblStylePr>
    <w:tblStylePr w:type="band1Vert">
      <w:tblPr/>
      <w:tcPr>
        <w:shd w:val="clear" w:color="auto" w:fill="7DF8FF" w:themeFill="accent5" w:themeFillTint="66"/>
      </w:tcPr>
    </w:tblStylePr>
    <w:tblStylePr w:type="band1Horz">
      <w:tblPr/>
      <w:tcPr>
        <w:shd w:val="clear" w:color="auto" w:fill="5DF6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24" w:space="0" w:color="00B0B9" w:themeColor="accent5"/>
        <w:left w:val="single" w:sz="4" w:space="0" w:color="B1E4E3" w:themeColor="accent6"/>
        <w:bottom w:val="single" w:sz="4" w:space="0" w:color="B1E4E3" w:themeColor="accent6"/>
        <w:right w:val="single" w:sz="4" w:space="0" w:color="B1E4E3" w:themeColor="accent6"/>
        <w:insideH w:val="single" w:sz="4" w:space="0" w:color="FFFFFF" w:themeColor="background1"/>
        <w:insideV w:val="single" w:sz="4" w:space="0" w:color="FFFFFF" w:themeColor="background1"/>
      </w:tblBorders>
    </w:tblPr>
    <w:tcPr>
      <w:shd w:val="clear" w:color="auto" w:fill="F7FCFC" w:themeFill="accent6" w:themeFillTint="19"/>
    </w:tcPr>
    <w:tblStylePr w:type="firstRow">
      <w:rPr>
        <w:b/>
        <w:bCs/>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B4B2" w:themeFill="accent6" w:themeFillShade="99"/>
      </w:tcPr>
    </w:tblStylePr>
    <w:tblStylePr w:type="firstCol">
      <w:rPr>
        <w:color w:val="FFFFFF" w:themeColor="background1"/>
      </w:rPr>
      <w:tblPr/>
      <w:tcPr>
        <w:tcBorders>
          <w:top w:val="nil"/>
          <w:left w:val="nil"/>
          <w:bottom w:val="nil"/>
          <w:right w:val="nil"/>
          <w:insideH w:val="single" w:sz="4" w:space="0" w:color="3EB4B2" w:themeColor="accent6" w:themeShade="99"/>
          <w:insideV w:val="nil"/>
        </w:tcBorders>
        <w:shd w:val="clear" w:color="auto" w:fill="3EB4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B4B2" w:themeFill="accent6" w:themeFillShade="99"/>
      </w:tcPr>
    </w:tblStylePr>
    <w:tblStylePr w:type="band1Vert">
      <w:tblPr/>
      <w:tcPr>
        <w:shd w:val="clear" w:color="auto" w:fill="DFF4F3" w:themeFill="accent6" w:themeFillTint="66"/>
      </w:tcPr>
    </w:tblStylePr>
    <w:tblStylePr w:type="band1Horz">
      <w:tblPr/>
      <w:tcPr>
        <w:shd w:val="clear" w:color="auto" w:fill="D8F1F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61D2E"/>
    <w:pPr>
      <w:spacing w:after="0" w:line="240" w:lineRule="auto"/>
    </w:pPr>
    <w:rPr>
      <w:rFonts w:ascii="Times New Roman" w:hAnsi="Times New Roman"/>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GridTable1Light">
    <w:name w:val="Grid Table 1 Light"/>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1" w:themeTint="66"/>
        <w:left w:val="single" w:sz="4" w:space="0" w:color="5FDFFF" w:themeColor="accent1" w:themeTint="66"/>
        <w:bottom w:val="single" w:sz="4" w:space="0" w:color="5FDFFF" w:themeColor="accent1" w:themeTint="66"/>
        <w:right w:val="single" w:sz="4" w:space="0" w:color="5FDFFF" w:themeColor="accent1" w:themeTint="66"/>
        <w:insideH w:val="single" w:sz="4" w:space="0" w:color="5FDFFF" w:themeColor="accent1" w:themeTint="66"/>
        <w:insideV w:val="single" w:sz="4" w:space="0" w:color="5FDFFF" w:themeColor="accent1" w:themeTint="66"/>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2" w:space="0" w:color="10C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2" w:themeTint="66"/>
        <w:left w:val="single" w:sz="4" w:space="0" w:color="7DF8FF" w:themeColor="accent2" w:themeTint="66"/>
        <w:bottom w:val="single" w:sz="4" w:space="0" w:color="7DF8FF" w:themeColor="accent2" w:themeTint="66"/>
        <w:right w:val="single" w:sz="4" w:space="0" w:color="7DF8FF" w:themeColor="accent2" w:themeTint="66"/>
        <w:insideH w:val="single" w:sz="4" w:space="0" w:color="7DF8FF" w:themeColor="accent2" w:themeTint="66"/>
        <w:insideV w:val="single" w:sz="4" w:space="0" w:color="7DF8FF" w:themeColor="accent2" w:themeTint="66"/>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2" w:space="0" w:color="3CF5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3" w:themeTint="66"/>
        <w:left w:val="single" w:sz="4" w:space="0" w:color="DFF4F3" w:themeColor="accent3" w:themeTint="66"/>
        <w:bottom w:val="single" w:sz="4" w:space="0" w:color="DFF4F3" w:themeColor="accent3" w:themeTint="66"/>
        <w:right w:val="single" w:sz="4" w:space="0" w:color="DFF4F3" w:themeColor="accent3" w:themeTint="66"/>
        <w:insideH w:val="single" w:sz="4" w:space="0" w:color="DFF4F3" w:themeColor="accent3" w:themeTint="66"/>
        <w:insideV w:val="single" w:sz="4" w:space="0" w:color="DFF4F3" w:themeColor="accent3" w:themeTint="66"/>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2" w:space="0" w:color="D0EEE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5FDFFF" w:themeColor="accent4" w:themeTint="66"/>
        <w:left w:val="single" w:sz="4" w:space="0" w:color="5FDFFF" w:themeColor="accent4" w:themeTint="66"/>
        <w:bottom w:val="single" w:sz="4" w:space="0" w:color="5FDFFF" w:themeColor="accent4" w:themeTint="66"/>
        <w:right w:val="single" w:sz="4" w:space="0" w:color="5FDFFF" w:themeColor="accent4" w:themeTint="66"/>
        <w:insideH w:val="single" w:sz="4" w:space="0" w:color="5FDFFF" w:themeColor="accent4" w:themeTint="66"/>
        <w:insideV w:val="single" w:sz="4" w:space="0" w:color="5FDFFF" w:themeColor="accent4" w:themeTint="66"/>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2" w:space="0" w:color="10CF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7DF8FF" w:themeColor="accent5" w:themeTint="66"/>
        <w:left w:val="single" w:sz="4" w:space="0" w:color="7DF8FF" w:themeColor="accent5" w:themeTint="66"/>
        <w:bottom w:val="single" w:sz="4" w:space="0" w:color="7DF8FF" w:themeColor="accent5" w:themeTint="66"/>
        <w:right w:val="single" w:sz="4" w:space="0" w:color="7DF8FF" w:themeColor="accent5" w:themeTint="66"/>
        <w:insideH w:val="single" w:sz="4" w:space="0" w:color="7DF8FF" w:themeColor="accent5" w:themeTint="66"/>
        <w:insideV w:val="single" w:sz="4" w:space="0" w:color="7DF8FF" w:themeColor="accent5" w:themeTint="66"/>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2" w:space="0" w:color="3CF5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1D2E"/>
    <w:pPr>
      <w:spacing w:after="0" w:line="240" w:lineRule="auto"/>
    </w:pPr>
    <w:rPr>
      <w:rFonts w:ascii="Times New Roman" w:hAnsi="Times New Roman"/>
      <w:sz w:val="20"/>
      <w:szCs w:val="20"/>
    </w:rPr>
    <w:tblPr>
      <w:tblStyleRowBandSize w:val="1"/>
      <w:tblStyleColBandSize w:val="1"/>
      <w:tblBorders>
        <w:top w:val="single" w:sz="4" w:space="0" w:color="DFF4F3" w:themeColor="accent6" w:themeTint="66"/>
        <w:left w:val="single" w:sz="4" w:space="0" w:color="DFF4F3" w:themeColor="accent6" w:themeTint="66"/>
        <w:bottom w:val="single" w:sz="4" w:space="0" w:color="DFF4F3" w:themeColor="accent6" w:themeTint="66"/>
        <w:right w:val="single" w:sz="4" w:space="0" w:color="DFF4F3" w:themeColor="accent6" w:themeTint="66"/>
        <w:insideH w:val="single" w:sz="4" w:space="0" w:color="DFF4F3" w:themeColor="accent6" w:themeTint="66"/>
        <w:insideV w:val="single" w:sz="4" w:space="0" w:color="DFF4F3" w:themeColor="accent6" w:themeTint="66"/>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2" w:space="0" w:color="D0EEE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1" w:themeTint="99"/>
        <w:bottom w:val="single" w:sz="2" w:space="0" w:color="10CFFF" w:themeColor="accent1" w:themeTint="99"/>
        <w:insideH w:val="single" w:sz="2" w:space="0" w:color="10CFFF" w:themeColor="accent1" w:themeTint="99"/>
        <w:insideV w:val="single" w:sz="2" w:space="0" w:color="10CFFF" w:themeColor="accent1" w:themeTint="99"/>
      </w:tblBorders>
    </w:tblPr>
    <w:tblStylePr w:type="firstRow">
      <w:rPr>
        <w:b/>
        <w:bCs/>
      </w:rPr>
      <w:tblPr/>
      <w:tcPr>
        <w:tcBorders>
          <w:top w:val="nil"/>
          <w:bottom w:val="single" w:sz="12" w:space="0" w:color="10CFFF" w:themeColor="accent1" w:themeTint="99"/>
          <w:insideH w:val="nil"/>
          <w:insideV w:val="nil"/>
        </w:tcBorders>
        <w:shd w:val="clear" w:color="auto" w:fill="FFFFFF" w:themeFill="background1"/>
      </w:tcPr>
    </w:tblStylePr>
    <w:tblStylePr w:type="lastRow">
      <w:rPr>
        <w:b/>
        <w:bCs/>
      </w:rPr>
      <w:tblPr/>
      <w:tcPr>
        <w:tcBorders>
          <w:top w:val="double" w:sz="2" w:space="0" w:color="10C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2-Accent2">
    <w:name w:val="Grid Table 2 Accent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2" w:themeTint="99"/>
        <w:bottom w:val="single" w:sz="2" w:space="0" w:color="3CF5FF" w:themeColor="accent2" w:themeTint="99"/>
        <w:insideH w:val="single" w:sz="2" w:space="0" w:color="3CF5FF" w:themeColor="accent2" w:themeTint="99"/>
        <w:insideV w:val="single" w:sz="2" w:space="0" w:color="3CF5FF" w:themeColor="accent2" w:themeTint="99"/>
      </w:tblBorders>
    </w:tblPr>
    <w:tblStylePr w:type="firstRow">
      <w:rPr>
        <w:b/>
        <w:bCs/>
      </w:rPr>
      <w:tblPr/>
      <w:tcPr>
        <w:tcBorders>
          <w:top w:val="nil"/>
          <w:bottom w:val="single" w:sz="12" w:space="0" w:color="3CF5FF" w:themeColor="accent2" w:themeTint="99"/>
          <w:insideH w:val="nil"/>
          <w:insideV w:val="nil"/>
        </w:tcBorders>
        <w:shd w:val="clear" w:color="auto" w:fill="FFFFFF" w:themeFill="background1"/>
      </w:tcPr>
    </w:tblStylePr>
    <w:tblStylePr w:type="lastRow">
      <w:rPr>
        <w:b/>
        <w:bCs/>
      </w:rPr>
      <w:tblPr/>
      <w:tcPr>
        <w:tcBorders>
          <w:top w:val="double" w:sz="2" w:space="0" w:color="3CF5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2-Accent3">
    <w:name w:val="Grid Table 2 Accent 3"/>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3" w:themeTint="99"/>
        <w:bottom w:val="single" w:sz="2" w:space="0" w:color="D0EEEE" w:themeColor="accent3" w:themeTint="99"/>
        <w:insideH w:val="single" w:sz="2" w:space="0" w:color="D0EEEE" w:themeColor="accent3" w:themeTint="99"/>
        <w:insideV w:val="single" w:sz="2" w:space="0" w:color="D0EEEE" w:themeColor="accent3" w:themeTint="99"/>
      </w:tblBorders>
    </w:tblPr>
    <w:tblStylePr w:type="firstRow">
      <w:rPr>
        <w:b/>
        <w:bCs/>
      </w:rPr>
      <w:tblPr/>
      <w:tcPr>
        <w:tcBorders>
          <w:top w:val="nil"/>
          <w:bottom w:val="single" w:sz="12" w:space="0" w:color="D0EEEE" w:themeColor="accent3" w:themeTint="99"/>
          <w:insideH w:val="nil"/>
          <w:insideV w:val="nil"/>
        </w:tcBorders>
        <w:shd w:val="clear" w:color="auto" w:fill="FFFFFF" w:themeFill="background1"/>
      </w:tcPr>
    </w:tblStylePr>
    <w:tblStylePr w:type="lastRow">
      <w:rPr>
        <w:b/>
        <w:bCs/>
      </w:rPr>
      <w:tblPr/>
      <w:tcPr>
        <w:tcBorders>
          <w:top w:val="double" w:sz="2" w:space="0" w:color="D0EEE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2-Accent4">
    <w:name w:val="Grid Table 2 Accent 4"/>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10CFFF" w:themeColor="accent4" w:themeTint="99"/>
        <w:bottom w:val="single" w:sz="2" w:space="0" w:color="10CFFF" w:themeColor="accent4" w:themeTint="99"/>
        <w:insideH w:val="single" w:sz="2" w:space="0" w:color="10CFFF" w:themeColor="accent4" w:themeTint="99"/>
        <w:insideV w:val="single" w:sz="2" w:space="0" w:color="10CFFF" w:themeColor="accent4" w:themeTint="99"/>
      </w:tblBorders>
    </w:tblPr>
    <w:tblStylePr w:type="firstRow">
      <w:rPr>
        <w:b/>
        <w:bCs/>
      </w:rPr>
      <w:tblPr/>
      <w:tcPr>
        <w:tcBorders>
          <w:top w:val="nil"/>
          <w:bottom w:val="single" w:sz="12" w:space="0" w:color="10CFFF" w:themeColor="accent4" w:themeTint="99"/>
          <w:insideH w:val="nil"/>
          <w:insideV w:val="nil"/>
        </w:tcBorders>
        <w:shd w:val="clear" w:color="auto" w:fill="FFFFFF" w:themeFill="background1"/>
      </w:tcPr>
    </w:tblStylePr>
    <w:tblStylePr w:type="lastRow">
      <w:rPr>
        <w:b/>
        <w:bCs/>
      </w:rPr>
      <w:tblPr/>
      <w:tcPr>
        <w:tcBorders>
          <w:top w:val="double" w:sz="2" w:space="0" w:color="10CF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2-Accent5">
    <w:name w:val="Grid Table 2 Accent 5"/>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3CF5FF" w:themeColor="accent5" w:themeTint="99"/>
        <w:bottom w:val="single" w:sz="2" w:space="0" w:color="3CF5FF" w:themeColor="accent5" w:themeTint="99"/>
        <w:insideH w:val="single" w:sz="2" w:space="0" w:color="3CF5FF" w:themeColor="accent5" w:themeTint="99"/>
        <w:insideV w:val="single" w:sz="2" w:space="0" w:color="3CF5FF" w:themeColor="accent5" w:themeTint="99"/>
      </w:tblBorders>
    </w:tblPr>
    <w:tblStylePr w:type="firstRow">
      <w:rPr>
        <w:b/>
        <w:bCs/>
      </w:rPr>
      <w:tblPr/>
      <w:tcPr>
        <w:tcBorders>
          <w:top w:val="nil"/>
          <w:bottom w:val="single" w:sz="12" w:space="0" w:color="3CF5FF" w:themeColor="accent5" w:themeTint="99"/>
          <w:insideH w:val="nil"/>
          <w:insideV w:val="nil"/>
        </w:tcBorders>
        <w:shd w:val="clear" w:color="auto" w:fill="FFFFFF" w:themeFill="background1"/>
      </w:tcPr>
    </w:tblStylePr>
    <w:tblStylePr w:type="lastRow">
      <w:rPr>
        <w:b/>
        <w:bCs/>
      </w:rPr>
      <w:tblPr/>
      <w:tcPr>
        <w:tcBorders>
          <w:top w:val="double" w:sz="2" w:space="0" w:color="3CF5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2-Accent6">
    <w:name w:val="Grid Table 2 Accent 6"/>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2" w:space="0" w:color="D0EEEE" w:themeColor="accent6" w:themeTint="99"/>
        <w:bottom w:val="single" w:sz="2" w:space="0" w:color="D0EEEE" w:themeColor="accent6" w:themeTint="99"/>
        <w:insideH w:val="single" w:sz="2" w:space="0" w:color="D0EEEE" w:themeColor="accent6" w:themeTint="99"/>
        <w:insideV w:val="single" w:sz="2" w:space="0" w:color="D0EEEE" w:themeColor="accent6" w:themeTint="99"/>
      </w:tblBorders>
    </w:tblPr>
    <w:tblStylePr w:type="firstRow">
      <w:rPr>
        <w:b/>
        <w:bCs/>
      </w:rPr>
      <w:tblPr/>
      <w:tcPr>
        <w:tcBorders>
          <w:top w:val="nil"/>
          <w:bottom w:val="single" w:sz="12" w:space="0" w:color="D0EEEE" w:themeColor="accent6" w:themeTint="99"/>
          <w:insideH w:val="nil"/>
          <w:insideV w:val="nil"/>
        </w:tcBorders>
        <w:shd w:val="clear" w:color="auto" w:fill="FFFFFF" w:themeFill="background1"/>
      </w:tcPr>
    </w:tblStylePr>
    <w:tblStylePr w:type="lastRow">
      <w:rPr>
        <w:b/>
        <w:bCs/>
      </w:rPr>
      <w:tblPr/>
      <w:tcPr>
        <w:tcBorders>
          <w:top w:val="double" w:sz="2" w:space="0" w:color="D0EEE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3">
    <w:name w:val="Grid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3-Accent2">
    <w:name w:val="Grid Table 3 Accent 2"/>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3-Accent3">
    <w:name w:val="Grid Table 3 Accent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3-Accent4">
    <w:name w:val="Grid Table 3 Accent 4"/>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3-Accent5">
    <w:name w:val="Grid Table 3 Accent 5"/>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3-Accent6">
    <w:name w:val="Grid Table 3 Accent 6"/>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table" w:styleId="GridTable4">
    <w:name w:val="Grid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4-Accent2">
    <w:name w:val="Grid Table 4 Accent 2"/>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color w:val="FFFFFF" w:themeColor="background1"/>
      </w:rPr>
      <w:tblPr/>
      <w:tcPr>
        <w:tcBorders>
          <w:top w:val="single" w:sz="4" w:space="0" w:color="00B0B9" w:themeColor="accent2"/>
          <w:left w:val="single" w:sz="4" w:space="0" w:color="00B0B9" w:themeColor="accent2"/>
          <w:bottom w:val="single" w:sz="4" w:space="0" w:color="00B0B9" w:themeColor="accent2"/>
          <w:right w:val="single" w:sz="4" w:space="0" w:color="00B0B9" w:themeColor="accent2"/>
          <w:insideH w:val="nil"/>
          <w:insideV w:val="nil"/>
        </w:tcBorders>
        <w:shd w:val="clear" w:color="auto" w:fill="00B0B9" w:themeFill="accent2"/>
      </w:tcPr>
    </w:tblStylePr>
    <w:tblStylePr w:type="lastRow">
      <w:rPr>
        <w:b/>
        <w:bCs/>
      </w:rPr>
      <w:tblPr/>
      <w:tcPr>
        <w:tcBorders>
          <w:top w:val="double" w:sz="4" w:space="0" w:color="00B0B9" w:themeColor="accent2"/>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4-Accent3">
    <w:name w:val="Grid Table 4 Accent 3"/>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color w:val="FFFFFF" w:themeColor="background1"/>
      </w:rPr>
      <w:tblPr/>
      <w:tcPr>
        <w:tcBorders>
          <w:top w:val="single" w:sz="4" w:space="0" w:color="B1E4E3" w:themeColor="accent3"/>
          <w:left w:val="single" w:sz="4" w:space="0" w:color="B1E4E3" w:themeColor="accent3"/>
          <w:bottom w:val="single" w:sz="4" w:space="0" w:color="B1E4E3" w:themeColor="accent3"/>
          <w:right w:val="single" w:sz="4" w:space="0" w:color="B1E4E3" w:themeColor="accent3"/>
          <w:insideH w:val="nil"/>
          <w:insideV w:val="nil"/>
        </w:tcBorders>
        <w:shd w:val="clear" w:color="auto" w:fill="B1E4E3" w:themeFill="accent3"/>
      </w:tcPr>
    </w:tblStylePr>
    <w:tblStylePr w:type="lastRow">
      <w:rPr>
        <w:b/>
        <w:bCs/>
      </w:rPr>
      <w:tblPr/>
      <w:tcPr>
        <w:tcBorders>
          <w:top w:val="double" w:sz="4" w:space="0" w:color="B1E4E3" w:themeColor="accent3"/>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4-Accent4">
    <w:name w:val="Grid Table 4 Accent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color w:val="FFFFFF" w:themeColor="background1"/>
      </w:rPr>
      <w:tblPr/>
      <w:tcPr>
        <w:tcBorders>
          <w:top w:val="single" w:sz="4" w:space="0" w:color="005A70" w:themeColor="accent4"/>
          <w:left w:val="single" w:sz="4" w:space="0" w:color="005A70" w:themeColor="accent4"/>
          <w:bottom w:val="single" w:sz="4" w:space="0" w:color="005A70" w:themeColor="accent4"/>
          <w:right w:val="single" w:sz="4" w:space="0" w:color="005A70" w:themeColor="accent4"/>
          <w:insideH w:val="nil"/>
          <w:insideV w:val="nil"/>
        </w:tcBorders>
        <w:shd w:val="clear" w:color="auto" w:fill="005A70" w:themeFill="accent4"/>
      </w:tcPr>
    </w:tblStylePr>
    <w:tblStylePr w:type="lastRow">
      <w:rPr>
        <w:b/>
        <w:bCs/>
      </w:rPr>
      <w:tblPr/>
      <w:tcPr>
        <w:tcBorders>
          <w:top w:val="double" w:sz="4" w:space="0" w:color="005A70" w:themeColor="accent4"/>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4-Accent5">
    <w:name w:val="Grid Table 4 Accent 5"/>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color w:val="FFFFFF" w:themeColor="background1"/>
      </w:rPr>
      <w:tblPr/>
      <w:tcPr>
        <w:tcBorders>
          <w:top w:val="single" w:sz="4" w:space="0" w:color="00B0B9" w:themeColor="accent5"/>
          <w:left w:val="single" w:sz="4" w:space="0" w:color="00B0B9" w:themeColor="accent5"/>
          <w:bottom w:val="single" w:sz="4" w:space="0" w:color="00B0B9" w:themeColor="accent5"/>
          <w:right w:val="single" w:sz="4" w:space="0" w:color="00B0B9" w:themeColor="accent5"/>
          <w:insideH w:val="nil"/>
          <w:insideV w:val="nil"/>
        </w:tcBorders>
        <w:shd w:val="clear" w:color="auto" w:fill="00B0B9" w:themeFill="accent5"/>
      </w:tcPr>
    </w:tblStylePr>
    <w:tblStylePr w:type="lastRow">
      <w:rPr>
        <w:b/>
        <w:bCs/>
      </w:rPr>
      <w:tblPr/>
      <w:tcPr>
        <w:tcBorders>
          <w:top w:val="double" w:sz="4" w:space="0" w:color="00B0B9" w:themeColor="accent5"/>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4-Accent6">
    <w:name w:val="Grid Table 4 Accent 6"/>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color w:val="FFFFFF" w:themeColor="background1"/>
      </w:rPr>
      <w:tblPr/>
      <w:tcPr>
        <w:tcBorders>
          <w:top w:val="single" w:sz="4" w:space="0" w:color="B1E4E3" w:themeColor="accent6"/>
          <w:left w:val="single" w:sz="4" w:space="0" w:color="B1E4E3" w:themeColor="accent6"/>
          <w:bottom w:val="single" w:sz="4" w:space="0" w:color="B1E4E3" w:themeColor="accent6"/>
          <w:right w:val="single" w:sz="4" w:space="0" w:color="B1E4E3" w:themeColor="accent6"/>
          <w:insideH w:val="nil"/>
          <w:insideV w:val="nil"/>
        </w:tcBorders>
        <w:shd w:val="clear" w:color="auto" w:fill="B1E4E3" w:themeFill="accent6"/>
      </w:tcPr>
    </w:tblStylePr>
    <w:tblStylePr w:type="lastRow">
      <w:rPr>
        <w:b/>
        <w:bCs/>
      </w:rPr>
      <w:tblPr/>
      <w:tcPr>
        <w:tcBorders>
          <w:top w:val="double" w:sz="4" w:space="0" w:color="B1E4E3" w:themeColor="accent6"/>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5Dark">
    <w:name w:val="Grid Table 5 Dark"/>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1"/>
      </w:tcPr>
    </w:tblStylePr>
    <w:tblStylePr w:type="band1Vert">
      <w:tblPr/>
      <w:tcPr>
        <w:shd w:val="clear" w:color="auto" w:fill="5FDFFF" w:themeFill="accent1" w:themeFillTint="66"/>
      </w:tcPr>
    </w:tblStylePr>
    <w:tblStylePr w:type="band1Horz">
      <w:tblPr/>
      <w:tcPr>
        <w:shd w:val="clear" w:color="auto" w:fill="5FDFFF" w:themeFill="accent1" w:themeFillTint="66"/>
      </w:tcPr>
    </w:tblStylePr>
  </w:style>
  <w:style w:type="table" w:styleId="GridTable5Dark-Accent2">
    <w:name w:val="Grid Table 5 Dark Accent 2"/>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2"/>
      </w:tcPr>
    </w:tblStylePr>
    <w:tblStylePr w:type="band1Vert">
      <w:tblPr/>
      <w:tcPr>
        <w:shd w:val="clear" w:color="auto" w:fill="7DF8FF" w:themeFill="accent2" w:themeFillTint="66"/>
      </w:tcPr>
    </w:tblStylePr>
    <w:tblStylePr w:type="band1Horz">
      <w:tblPr/>
      <w:tcPr>
        <w:shd w:val="clear" w:color="auto" w:fill="7DF8FF" w:themeFill="accent2" w:themeFillTint="66"/>
      </w:tcPr>
    </w:tblStylePr>
  </w:style>
  <w:style w:type="table" w:styleId="GridTable5Dark-Accent3">
    <w:name w:val="Grid Table 5 Dark Accent 3"/>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3"/>
      </w:tcPr>
    </w:tblStylePr>
    <w:tblStylePr w:type="band1Vert">
      <w:tblPr/>
      <w:tcPr>
        <w:shd w:val="clear" w:color="auto" w:fill="DFF4F3" w:themeFill="accent3" w:themeFillTint="66"/>
      </w:tcPr>
    </w:tblStylePr>
    <w:tblStylePr w:type="band1Horz">
      <w:tblPr/>
      <w:tcPr>
        <w:shd w:val="clear" w:color="auto" w:fill="DFF4F3" w:themeFill="accent3" w:themeFillTint="66"/>
      </w:tcPr>
    </w:tblStylePr>
  </w:style>
  <w:style w:type="table" w:styleId="GridTable5Dark-Accent4">
    <w:name w:val="Grid Table 5 Dark Accent 4"/>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EF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7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7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7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70" w:themeFill="accent4"/>
      </w:tcPr>
    </w:tblStylePr>
    <w:tblStylePr w:type="band1Vert">
      <w:tblPr/>
      <w:tcPr>
        <w:shd w:val="clear" w:color="auto" w:fill="5FDFFF" w:themeFill="accent4" w:themeFillTint="66"/>
      </w:tcPr>
    </w:tblStylePr>
    <w:tblStylePr w:type="band1Horz">
      <w:tblPr/>
      <w:tcPr>
        <w:shd w:val="clear" w:color="auto" w:fill="5FDFFF" w:themeFill="accent4" w:themeFillTint="66"/>
      </w:tcPr>
    </w:tblStylePr>
  </w:style>
  <w:style w:type="table" w:styleId="GridTable5Dark-Accent5">
    <w:name w:val="Grid Table 5 Dark Accent 5"/>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B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B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B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B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B9" w:themeFill="accent5"/>
      </w:tcPr>
    </w:tblStylePr>
    <w:tblStylePr w:type="band1Vert">
      <w:tblPr/>
      <w:tcPr>
        <w:shd w:val="clear" w:color="auto" w:fill="7DF8FF" w:themeFill="accent5" w:themeFillTint="66"/>
      </w:tcPr>
    </w:tblStylePr>
    <w:tblStylePr w:type="band1Horz">
      <w:tblPr/>
      <w:tcPr>
        <w:shd w:val="clear" w:color="auto" w:fill="7DF8FF" w:themeFill="accent5" w:themeFillTint="66"/>
      </w:tcPr>
    </w:tblStylePr>
  </w:style>
  <w:style w:type="table" w:styleId="GridTable5Dark-Accent6">
    <w:name w:val="Grid Table 5 Dark Accent 6"/>
    <w:basedOn w:val="TableNormal"/>
    <w:uiPriority w:val="50"/>
    <w:rsid w:val="00C61D2E"/>
    <w:pPr>
      <w:spacing w:after="0" w:line="240" w:lineRule="auto"/>
    </w:pPr>
    <w:rPr>
      <w:rFonts w:ascii="Times New Roman" w:hAnsi="Times New Roman"/>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9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E4E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E4E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E4E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E4E3" w:themeFill="accent6"/>
      </w:tcPr>
    </w:tblStylePr>
    <w:tblStylePr w:type="band1Vert">
      <w:tblPr/>
      <w:tcPr>
        <w:shd w:val="clear" w:color="auto" w:fill="DFF4F3" w:themeFill="accent6" w:themeFillTint="66"/>
      </w:tcPr>
    </w:tblStylePr>
    <w:tblStylePr w:type="band1Horz">
      <w:tblPr/>
      <w:tcPr>
        <w:shd w:val="clear" w:color="auto" w:fill="DFF4F3" w:themeFill="accent6" w:themeFillTint="66"/>
      </w:tcPr>
    </w:tblStylePr>
  </w:style>
  <w:style w:type="table" w:styleId="GridTable6Colorful">
    <w:name w:val="Grid Table 6 Colorful"/>
    <w:basedOn w:val="TableNormal"/>
    <w:uiPriority w:val="51"/>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bottom w:val="single" w:sz="12" w:space="0" w:color="10CFFF" w:themeColor="accent1" w:themeTint="99"/>
        </w:tcBorders>
      </w:tcPr>
    </w:tblStylePr>
    <w:tblStylePr w:type="lastRow">
      <w:rPr>
        <w:b/>
        <w:bCs/>
      </w:rPr>
      <w:tblPr/>
      <w:tcPr>
        <w:tcBorders>
          <w:top w:val="double" w:sz="4" w:space="0" w:color="10CFFF" w:themeColor="accent1" w:themeTint="99"/>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table" w:styleId="GridTable6Colorful-Accent2">
    <w:name w:val="Grid Table 6 Colorful Accent 2"/>
    <w:basedOn w:val="TableNormal"/>
    <w:uiPriority w:val="51"/>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bottom w:val="single" w:sz="12" w:space="0" w:color="3CF5FF" w:themeColor="accent2" w:themeTint="99"/>
        </w:tcBorders>
      </w:tcPr>
    </w:tblStylePr>
    <w:tblStylePr w:type="lastRow">
      <w:rPr>
        <w:b/>
        <w:bCs/>
      </w:rPr>
      <w:tblPr/>
      <w:tcPr>
        <w:tcBorders>
          <w:top w:val="double" w:sz="4" w:space="0" w:color="3CF5FF" w:themeColor="accent2" w:themeTint="99"/>
        </w:tcBorders>
      </w:tcPr>
    </w:tblStylePr>
    <w:tblStylePr w:type="firstCol">
      <w:rPr>
        <w:b/>
        <w:bCs/>
      </w:rPr>
    </w:tblStylePr>
    <w:tblStylePr w:type="lastCol">
      <w:rPr>
        <w:b/>
        <w:bCs/>
      </w:rPr>
    </w:tblStylePr>
    <w:tblStylePr w:type="band1Vert">
      <w:tblPr/>
      <w:tcPr>
        <w:shd w:val="clear" w:color="auto" w:fill="BEFBFF" w:themeFill="accent2" w:themeFillTint="33"/>
      </w:tcPr>
    </w:tblStylePr>
    <w:tblStylePr w:type="band1Horz">
      <w:tblPr/>
      <w:tcPr>
        <w:shd w:val="clear" w:color="auto" w:fill="BEFBFF" w:themeFill="accent2" w:themeFillTint="33"/>
      </w:tcPr>
    </w:tblStylePr>
  </w:style>
  <w:style w:type="table" w:styleId="GridTable6Colorful-Accent3">
    <w:name w:val="Grid Table 6 Colorful Accent 3"/>
    <w:basedOn w:val="TableNormal"/>
    <w:uiPriority w:val="51"/>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bottom w:val="single" w:sz="12" w:space="0" w:color="D0EEEE" w:themeColor="accent3" w:themeTint="99"/>
        </w:tcBorders>
      </w:tcPr>
    </w:tblStylePr>
    <w:tblStylePr w:type="lastRow">
      <w:rPr>
        <w:b/>
        <w:bCs/>
      </w:rPr>
      <w:tblPr/>
      <w:tcPr>
        <w:tcBorders>
          <w:top w:val="double" w:sz="4" w:space="0" w:color="D0EEEE" w:themeColor="accent3" w:themeTint="99"/>
        </w:tcBorders>
      </w:tcPr>
    </w:tblStylePr>
    <w:tblStylePr w:type="firstCol">
      <w:rPr>
        <w:b/>
        <w:bCs/>
      </w:rPr>
    </w:tblStylePr>
    <w:tblStylePr w:type="lastCol">
      <w:rPr>
        <w:b/>
        <w:bCs/>
      </w:rPr>
    </w:tblStylePr>
    <w:tblStylePr w:type="band1Vert">
      <w:tblPr/>
      <w:tcPr>
        <w:shd w:val="clear" w:color="auto" w:fill="EFF9F9" w:themeFill="accent3" w:themeFillTint="33"/>
      </w:tcPr>
    </w:tblStylePr>
    <w:tblStylePr w:type="band1Horz">
      <w:tblPr/>
      <w:tcPr>
        <w:shd w:val="clear" w:color="auto" w:fill="EFF9F9" w:themeFill="accent3" w:themeFillTint="33"/>
      </w:tcPr>
    </w:tblStylePr>
  </w:style>
  <w:style w:type="table" w:styleId="GridTable6Colorful-Accent4">
    <w:name w:val="Grid Table 6 Colorful Accent 4"/>
    <w:basedOn w:val="TableNormal"/>
    <w:uiPriority w:val="51"/>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bottom w:val="single" w:sz="12" w:space="0" w:color="10CFFF" w:themeColor="accent4" w:themeTint="99"/>
        </w:tcBorders>
      </w:tcPr>
    </w:tblStylePr>
    <w:tblStylePr w:type="lastRow">
      <w:rPr>
        <w:b/>
        <w:bCs/>
      </w:rPr>
      <w:tblPr/>
      <w:tcPr>
        <w:tcBorders>
          <w:top w:val="double" w:sz="4" w:space="0" w:color="10CFFF" w:themeColor="accent4" w:themeTint="99"/>
        </w:tcBorders>
      </w:tcPr>
    </w:tblStylePr>
    <w:tblStylePr w:type="firstCol">
      <w:rPr>
        <w:b/>
        <w:bCs/>
      </w:rPr>
    </w:tblStylePr>
    <w:tblStylePr w:type="lastCol">
      <w:rPr>
        <w:b/>
        <w:bCs/>
      </w:rPr>
    </w:tblStylePr>
    <w:tblStylePr w:type="band1Vert">
      <w:tblPr/>
      <w:tcPr>
        <w:shd w:val="clear" w:color="auto" w:fill="AFEFFF" w:themeFill="accent4" w:themeFillTint="33"/>
      </w:tcPr>
    </w:tblStylePr>
    <w:tblStylePr w:type="band1Horz">
      <w:tblPr/>
      <w:tcPr>
        <w:shd w:val="clear" w:color="auto" w:fill="AFEFFF" w:themeFill="accent4" w:themeFillTint="33"/>
      </w:tcPr>
    </w:tblStylePr>
  </w:style>
  <w:style w:type="table" w:styleId="GridTable6Colorful-Accent5">
    <w:name w:val="Grid Table 6 Colorful Accent 5"/>
    <w:basedOn w:val="TableNormal"/>
    <w:uiPriority w:val="51"/>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bottom w:val="single" w:sz="12" w:space="0" w:color="3CF5FF" w:themeColor="accent5" w:themeTint="99"/>
        </w:tcBorders>
      </w:tcPr>
    </w:tblStylePr>
    <w:tblStylePr w:type="lastRow">
      <w:rPr>
        <w:b/>
        <w:bCs/>
      </w:rPr>
      <w:tblPr/>
      <w:tcPr>
        <w:tcBorders>
          <w:top w:val="double" w:sz="4" w:space="0" w:color="3CF5FF" w:themeColor="accent5" w:themeTint="99"/>
        </w:tcBorders>
      </w:tcPr>
    </w:tblStylePr>
    <w:tblStylePr w:type="firstCol">
      <w:rPr>
        <w:b/>
        <w:bCs/>
      </w:rPr>
    </w:tblStylePr>
    <w:tblStylePr w:type="lastCol">
      <w:rPr>
        <w:b/>
        <w:bCs/>
      </w:rPr>
    </w:tblStylePr>
    <w:tblStylePr w:type="band1Vert">
      <w:tblPr/>
      <w:tcPr>
        <w:shd w:val="clear" w:color="auto" w:fill="BEFBFF" w:themeFill="accent5" w:themeFillTint="33"/>
      </w:tcPr>
    </w:tblStylePr>
    <w:tblStylePr w:type="band1Horz">
      <w:tblPr/>
      <w:tcPr>
        <w:shd w:val="clear" w:color="auto" w:fill="BEFBFF" w:themeFill="accent5" w:themeFillTint="33"/>
      </w:tcPr>
    </w:tblStylePr>
  </w:style>
  <w:style w:type="table" w:styleId="GridTable6Colorful-Accent6">
    <w:name w:val="Grid Table 6 Colorful Accent 6"/>
    <w:basedOn w:val="TableNormal"/>
    <w:uiPriority w:val="51"/>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bottom w:val="single" w:sz="12" w:space="0" w:color="D0EEEE" w:themeColor="accent6" w:themeTint="99"/>
        </w:tcBorders>
      </w:tcPr>
    </w:tblStylePr>
    <w:tblStylePr w:type="lastRow">
      <w:rPr>
        <w:b/>
        <w:bCs/>
      </w:rPr>
      <w:tblPr/>
      <w:tcPr>
        <w:tcBorders>
          <w:top w:val="double" w:sz="4" w:space="0" w:color="D0EEEE" w:themeColor="accent6" w:themeTint="99"/>
        </w:tcBorders>
      </w:tcPr>
    </w:tblStylePr>
    <w:tblStylePr w:type="firstCol">
      <w:rPr>
        <w:b/>
        <w:bCs/>
      </w:rPr>
    </w:tblStylePr>
    <w:tblStylePr w:type="lastCol">
      <w:rPr>
        <w:b/>
        <w:bCs/>
      </w:rPr>
    </w:tblStylePr>
    <w:tblStylePr w:type="band1Vert">
      <w:tblPr/>
      <w:tcPr>
        <w:shd w:val="clear" w:color="auto" w:fill="EFF9F9" w:themeFill="accent6" w:themeFillTint="33"/>
      </w:tcPr>
    </w:tblStylePr>
    <w:tblStylePr w:type="band1Horz">
      <w:tblPr/>
      <w:tcPr>
        <w:shd w:val="clear" w:color="auto" w:fill="EFF9F9" w:themeFill="accent6" w:themeFillTint="33"/>
      </w:tcPr>
    </w:tblStylePr>
  </w:style>
  <w:style w:type="table" w:styleId="GridTable7Colorful">
    <w:name w:val="Grid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1D2E"/>
    <w:pPr>
      <w:spacing w:after="0" w:line="240" w:lineRule="auto"/>
    </w:pPr>
    <w:rPr>
      <w:rFonts w:ascii="Times New Roman" w:hAnsi="Times New Roman"/>
      <w:color w:val="004253" w:themeColor="accent1" w:themeShade="BF"/>
      <w:sz w:val="20"/>
      <w:szCs w:val="20"/>
    </w:r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1" w:themeFillTint="33"/>
      </w:tcPr>
    </w:tblStylePr>
    <w:tblStylePr w:type="band1Horz">
      <w:tblPr/>
      <w:tcPr>
        <w:shd w:val="clear" w:color="auto" w:fill="AFEFFF" w:themeFill="accent1" w:themeFillTint="33"/>
      </w:tcPr>
    </w:tblStylePr>
    <w:tblStylePr w:type="neCell">
      <w:tblPr/>
      <w:tcPr>
        <w:tcBorders>
          <w:bottom w:val="single" w:sz="4" w:space="0" w:color="10CFFF" w:themeColor="accent1" w:themeTint="99"/>
        </w:tcBorders>
      </w:tcPr>
    </w:tblStylePr>
    <w:tblStylePr w:type="nwCell">
      <w:tblPr/>
      <w:tcPr>
        <w:tcBorders>
          <w:bottom w:val="single" w:sz="4" w:space="0" w:color="10CFFF" w:themeColor="accent1" w:themeTint="99"/>
        </w:tcBorders>
      </w:tcPr>
    </w:tblStylePr>
    <w:tblStylePr w:type="seCell">
      <w:tblPr/>
      <w:tcPr>
        <w:tcBorders>
          <w:top w:val="single" w:sz="4" w:space="0" w:color="10CFFF" w:themeColor="accent1" w:themeTint="99"/>
        </w:tcBorders>
      </w:tcPr>
    </w:tblStylePr>
    <w:tblStylePr w:type="swCell">
      <w:tblPr/>
      <w:tcPr>
        <w:tcBorders>
          <w:top w:val="single" w:sz="4" w:space="0" w:color="10CFFF" w:themeColor="accent1" w:themeTint="99"/>
        </w:tcBorders>
      </w:tcPr>
    </w:tblStylePr>
  </w:style>
  <w:style w:type="table" w:styleId="GridTable7Colorful-Accent2">
    <w:name w:val="Grid Table 7 Colorful Accent 2"/>
    <w:basedOn w:val="TableNormal"/>
    <w:uiPriority w:val="52"/>
    <w:rsid w:val="00C61D2E"/>
    <w:pPr>
      <w:spacing w:after="0" w:line="240" w:lineRule="auto"/>
    </w:pPr>
    <w:rPr>
      <w:rFonts w:ascii="Times New Roman" w:hAnsi="Times New Roman"/>
      <w:color w:val="00838A" w:themeColor="accent2" w:themeShade="BF"/>
      <w:sz w:val="20"/>
      <w:szCs w:val="20"/>
    </w:rPr>
    <w:tblPr>
      <w:tblStyleRowBandSize w:val="1"/>
      <w:tblStyleColBandSize w:val="1"/>
      <w:tblBorders>
        <w:top w:val="single" w:sz="4" w:space="0" w:color="3CF5FF" w:themeColor="accent2" w:themeTint="99"/>
        <w:left w:val="single" w:sz="4" w:space="0" w:color="3CF5FF" w:themeColor="accent2" w:themeTint="99"/>
        <w:bottom w:val="single" w:sz="4" w:space="0" w:color="3CF5FF" w:themeColor="accent2" w:themeTint="99"/>
        <w:right w:val="single" w:sz="4" w:space="0" w:color="3CF5FF" w:themeColor="accent2" w:themeTint="99"/>
        <w:insideH w:val="single" w:sz="4" w:space="0" w:color="3CF5FF" w:themeColor="accent2" w:themeTint="99"/>
        <w:insideV w:val="single" w:sz="4" w:space="0" w:color="3CF5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2" w:themeFillTint="33"/>
      </w:tcPr>
    </w:tblStylePr>
    <w:tblStylePr w:type="band1Horz">
      <w:tblPr/>
      <w:tcPr>
        <w:shd w:val="clear" w:color="auto" w:fill="BEFBFF" w:themeFill="accent2" w:themeFillTint="33"/>
      </w:tcPr>
    </w:tblStylePr>
    <w:tblStylePr w:type="neCell">
      <w:tblPr/>
      <w:tcPr>
        <w:tcBorders>
          <w:bottom w:val="single" w:sz="4" w:space="0" w:color="3CF5FF" w:themeColor="accent2" w:themeTint="99"/>
        </w:tcBorders>
      </w:tcPr>
    </w:tblStylePr>
    <w:tblStylePr w:type="nwCell">
      <w:tblPr/>
      <w:tcPr>
        <w:tcBorders>
          <w:bottom w:val="single" w:sz="4" w:space="0" w:color="3CF5FF" w:themeColor="accent2" w:themeTint="99"/>
        </w:tcBorders>
      </w:tcPr>
    </w:tblStylePr>
    <w:tblStylePr w:type="seCell">
      <w:tblPr/>
      <w:tcPr>
        <w:tcBorders>
          <w:top w:val="single" w:sz="4" w:space="0" w:color="3CF5FF" w:themeColor="accent2" w:themeTint="99"/>
        </w:tcBorders>
      </w:tcPr>
    </w:tblStylePr>
    <w:tblStylePr w:type="swCell">
      <w:tblPr/>
      <w:tcPr>
        <w:tcBorders>
          <w:top w:val="single" w:sz="4" w:space="0" w:color="3CF5FF" w:themeColor="accent2" w:themeTint="99"/>
        </w:tcBorders>
      </w:tcPr>
    </w:tblStylePr>
  </w:style>
  <w:style w:type="table" w:styleId="GridTable7Colorful-Accent3">
    <w:name w:val="Grid Table 7 Colorful Accent 3"/>
    <w:basedOn w:val="TableNormal"/>
    <w:uiPriority w:val="52"/>
    <w:rsid w:val="00C61D2E"/>
    <w:pPr>
      <w:spacing w:after="0" w:line="240" w:lineRule="auto"/>
    </w:pPr>
    <w:rPr>
      <w:rFonts w:ascii="Times New Roman" w:hAnsi="Times New Roman"/>
      <w:color w:val="65CAC8" w:themeColor="accent3" w:themeShade="BF"/>
      <w:sz w:val="20"/>
      <w:szCs w:val="20"/>
    </w:rPr>
    <w:tblPr>
      <w:tblStyleRowBandSize w:val="1"/>
      <w:tblStyleColBandSize w:val="1"/>
      <w:tblBorders>
        <w:top w:val="single" w:sz="4" w:space="0" w:color="D0EEEE" w:themeColor="accent3" w:themeTint="99"/>
        <w:left w:val="single" w:sz="4" w:space="0" w:color="D0EEEE" w:themeColor="accent3" w:themeTint="99"/>
        <w:bottom w:val="single" w:sz="4" w:space="0" w:color="D0EEEE" w:themeColor="accent3" w:themeTint="99"/>
        <w:right w:val="single" w:sz="4" w:space="0" w:color="D0EEEE" w:themeColor="accent3" w:themeTint="99"/>
        <w:insideH w:val="single" w:sz="4" w:space="0" w:color="D0EEEE" w:themeColor="accent3" w:themeTint="99"/>
        <w:insideV w:val="single" w:sz="4" w:space="0" w:color="D0EEE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3" w:themeFillTint="33"/>
      </w:tcPr>
    </w:tblStylePr>
    <w:tblStylePr w:type="band1Horz">
      <w:tblPr/>
      <w:tcPr>
        <w:shd w:val="clear" w:color="auto" w:fill="EFF9F9" w:themeFill="accent3" w:themeFillTint="33"/>
      </w:tcPr>
    </w:tblStylePr>
    <w:tblStylePr w:type="neCell">
      <w:tblPr/>
      <w:tcPr>
        <w:tcBorders>
          <w:bottom w:val="single" w:sz="4" w:space="0" w:color="D0EEEE" w:themeColor="accent3" w:themeTint="99"/>
        </w:tcBorders>
      </w:tcPr>
    </w:tblStylePr>
    <w:tblStylePr w:type="nwCell">
      <w:tblPr/>
      <w:tcPr>
        <w:tcBorders>
          <w:bottom w:val="single" w:sz="4" w:space="0" w:color="D0EEEE" w:themeColor="accent3" w:themeTint="99"/>
        </w:tcBorders>
      </w:tcPr>
    </w:tblStylePr>
    <w:tblStylePr w:type="seCell">
      <w:tblPr/>
      <w:tcPr>
        <w:tcBorders>
          <w:top w:val="single" w:sz="4" w:space="0" w:color="D0EEEE" w:themeColor="accent3" w:themeTint="99"/>
        </w:tcBorders>
      </w:tcPr>
    </w:tblStylePr>
    <w:tblStylePr w:type="swCell">
      <w:tblPr/>
      <w:tcPr>
        <w:tcBorders>
          <w:top w:val="single" w:sz="4" w:space="0" w:color="D0EEEE" w:themeColor="accent3" w:themeTint="99"/>
        </w:tcBorders>
      </w:tcPr>
    </w:tblStylePr>
  </w:style>
  <w:style w:type="table" w:styleId="GridTable7Colorful-Accent4">
    <w:name w:val="Grid Table 7 Colorful Accent 4"/>
    <w:basedOn w:val="TableNormal"/>
    <w:uiPriority w:val="52"/>
    <w:rsid w:val="00C61D2E"/>
    <w:pPr>
      <w:spacing w:after="0" w:line="240" w:lineRule="auto"/>
    </w:pPr>
    <w:rPr>
      <w:rFonts w:ascii="Times New Roman" w:hAnsi="Times New Roman"/>
      <w:color w:val="004253" w:themeColor="accent4" w:themeShade="BF"/>
      <w:sz w:val="20"/>
      <w:szCs w:val="20"/>
    </w:rPr>
    <w:tblPr>
      <w:tblStyleRowBandSize w:val="1"/>
      <w:tblStyleColBandSize w:val="1"/>
      <w:tblBorders>
        <w:top w:val="single" w:sz="4" w:space="0" w:color="10CFFF" w:themeColor="accent4" w:themeTint="99"/>
        <w:left w:val="single" w:sz="4" w:space="0" w:color="10CFFF" w:themeColor="accent4" w:themeTint="99"/>
        <w:bottom w:val="single" w:sz="4" w:space="0" w:color="10CFFF" w:themeColor="accent4" w:themeTint="99"/>
        <w:right w:val="single" w:sz="4" w:space="0" w:color="10CFFF" w:themeColor="accent4" w:themeTint="99"/>
        <w:insideH w:val="single" w:sz="4" w:space="0" w:color="10CFFF" w:themeColor="accent4" w:themeTint="99"/>
        <w:insideV w:val="single" w:sz="4" w:space="0" w:color="10CF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EFFF" w:themeFill="accent4" w:themeFillTint="33"/>
      </w:tcPr>
    </w:tblStylePr>
    <w:tblStylePr w:type="band1Horz">
      <w:tblPr/>
      <w:tcPr>
        <w:shd w:val="clear" w:color="auto" w:fill="AFEFFF" w:themeFill="accent4" w:themeFillTint="33"/>
      </w:tcPr>
    </w:tblStylePr>
    <w:tblStylePr w:type="neCell">
      <w:tblPr/>
      <w:tcPr>
        <w:tcBorders>
          <w:bottom w:val="single" w:sz="4" w:space="0" w:color="10CFFF" w:themeColor="accent4" w:themeTint="99"/>
        </w:tcBorders>
      </w:tcPr>
    </w:tblStylePr>
    <w:tblStylePr w:type="nwCell">
      <w:tblPr/>
      <w:tcPr>
        <w:tcBorders>
          <w:bottom w:val="single" w:sz="4" w:space="0" w:color="10CFFF" w:themeColor="accent4" w:themeTint="99"/>
        </w:tcBorders>
      </w:tcPr>
    </w:tblStylePr>
    <w:tblStylePr w:type="seCell">
      <w:tblPr/>
      <w:tcPr>
        <w:tcBorders>
          <w:top w:val="single" w:sz="4" w:space="0" w:color="10CFFF" w:themeColor="accent4" w:themeTint="99"/>
        </w:tcBorders>
      </w:tcPr>
    </w:tblStylePr>
    <w:tblStylePr w:type="swCell">
      <w:tblPr/>
      <w:tcPr>
        <w:tcBorders>
          <w:top w:val="single" w:sz="4" w:space="0" w:color="10CFFF" w:themeColor="accent4" w:themeTint="99"/>
        </w:tcBorders>
      </w:tcPr>
    </w:tblStylePr>
  </w:style>
  <w:style w:type="table" w:styleId="GridTable7Colorful-Accent5">
    <w:name w:val="Grid Table 7 Colorful Accent 5"/>
    <w:basedOn w:val="TableNormal"/>
    <w:uiPriority w:val="52"/>
    <w:rsid w:val="00C61D2E"/>
    <w:pPr>
      <w:spacing w:after="0" w:line="240" w:lineRule="auto"/>
    </w:pPr>
    <w:rPr>
      <w:rFonts w:ascii="Times New Roman" w:hAnsi="Times New Roman"/>
      <w:color w:val="00838A" w:themeColor="accent5" w:themeShade="BF"/>
      <w:sz w:val="20"/>
      <w:szCs w:val="20"/>
    </w:rPr>
    <w:tblPr>
      <w:tblStyleRowBandSize w:val="1"/>
      <w:tblStyleColBandSize w:val="1"/>
      <w:tblBorders>
        <w:top w:val="single" w:sz="4" w:space="0" w:color="3CF5FF" w:themeColor="accent5" w:themeTint="99"/>
        <w:left w:val="single" w:sz="4" w:space="0" w:color="3CF5FF" w:themeColor="accent5" w:themeTint="99"/>
        <w:bottom w:val="single" w:sz="4" w:space="0" w:color="3CF5FF" w:themeColor="accent5" w:themeTint="99"/>
        <w:right w:val="single" w:sz="4" w:space="0" w:color="3CF5FF" w:themeColor="accent5" w:themeTint="99"/>
        <w:insideH w:val="single" w:sz="4" w:space="0" w:color="3CF5FF" w:themeColor="accent5" w:themeTint="99"/>
        <w:insideV w:val="single" w:sz="4" w:space="0" w:color="3CF5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BFF" w:themeFill="accent5" w:themeFillTint="33"/>
      </w:tcPr>
    </w:tblStylePr>
    <w:tblStylePr w:type="band1Horz">
      <w:tblPr/>
      <w:tcPr>
        <w:shd w:val="clear" w:color="auto" w:fill="BEFBFF" w:themeFill="accent5" w:themeFillTint="33"/>
      </w:tcPr>
    </w:tblStylePr>
    <w:tblStylePr w:type="neCell">
      <w:tblPr/>
      <w:tcPr>
        <w:tcBorders>
          <w:bottom w:val="single" w:sz="4" w:space="0" w:color="3CF5FF" w:themeColor="accent5" w:themeTint="99"/>
        </w:tcBorders>
      </w:tcPr>
    </w:tblStylePr>
    <w:tblStylePr w:type="nwCell">
      <w:tblPr/>
      <w:tcPr>
        <w:tcBorders>
          <w:bottom w:val="single" w:sz="4" w:space="0" w:color="3CF5FF" w:themeColor="accent5" w:themeTint="99"/>
        </w:tcBorders>
      </w:tcPr>
    </w:tblStylePr>
    <w:tblStylePr w:type="seCell">
      <w:tblPr/>
      <w:tcPr>
        <w:tcBorders>
          <w:top w:val="single" w:sz="4" w:space="0" w:color="3CF5FF" w:themeColor="accent5" w:themeTint="99"/>
        </w:tcBorders>
      </w:tcPr>
    </w:tblStylePr>
    <w:tblStylePr w:type="swCell">
      <w:tblPr/>
      <w:tcPr>
        <w:tcBorders>
          <w:top w:val="single" w:sz="4" w:space="0" w:color="3CF5FF" w:themeColor="accent5" w:themeTint="99"/>
        </w:tcBorders>
      </w:tcPr>
    </w:tblStylePr>
  </w:style>
  <w:style w:type="table" w:styleId="GridTable7Colorful-Accent6">
    <w:name w:val="Grid Table 7 Colorful Accent 6"/>
    <w:basedOn w:val="TableNormal"/>
    <w:uiPriority w:val="52"/>
    <w:rsid w:val="00C61D2E"/>
    <w:pPr>
      <w:spacing w:after="0" w:line="240" w:lineRule="auto"/>
    </w:pPr>
    <w:rPr>
      <w:rFonts w:ascii="Times New Roman" w:hAnsi="Times New Roman"/>
      <w:color w:val="65CAC8" w:themeColor="accent6" w:themeShade="BF"/>
      <w:sz w:val="20"/>
      <w:szCs w:val="20"/>
    </w:rPr>
    <w:tblPr>
      <w:tblStyleRowBandSize w:val="1"/>
      <w:tblStyleColBandSize w:val="1"/>
      <w:tblBorders>
        <w:top w:val="single" w:sz="4" w:space="0" w:color="D0EEEE" w:themeColor="accent6" w:themeTint="99"/>
        <w:left w:val="single" w:sz="4" w:space="0" w:color="D0EEEE" w:themeColor="accent6" w:themeTint="99"/>
        <w:bottom w:val="single" w:sz="4" w:space="0" w:color="D0EEEE" w:themeColor="accent6" w:themeTint="99"/>
        <w:right w:val="single" w:sz="4" w:space="0" w:color="D0EEEE" w:themeColor="accent6" w:themeTint="99"/>
        <w:insideH w:val="single" w:sz="4" w:space="0" w:color="D0EEEE" w:themeColor="accent6" w:themeTint="99"/>
        <w:insideV w:val="single" w:sz="4" w:space="0" w:color="D0EEE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9F9" w:themeFill="accent6" w:themeFillTint="33"/>
      </w:tcPr>
    </w:tblStylePr>
    <w:tblStylePr w:type="band1Horz">
      <w:tblPr/>
      <w:tcPr>
        <w:shd w:val="clear" w:color="auto" w:fill="EFF9F9" w:themeFill="accent6" w:themeFillTint="33"/>
      </w:tcPr>
    </w:tblStylePr>
    <w:tblStylePr w:type="neCell">
      <w:tblPr/>
      <w:tcPr>
        <w:tcBorders>
          <w:bottom w:val="single" w:sz="4" w:space="0" w:color="D0EEEE" w:themeColor="accent6" w:themeTint="99"/>
        </w:tcBorders>
      </w:tcPr>
    </w:tblStylePr>
    <w:tblStylePr w:type="nwCell">
      <w:tblPr/>
      <w:tcPr>
        <w:tcBorders>
          <w:bottom w:val="single" w:sz="4" w:space="0" w:color="D0EEEE" w:themeColor="accent6" w:themeTint="99"/>
        </w:tcBorders>
      </w:tcPr>
    </w:tblStylePr>
    <w:tblStylePr w:type="seCell">
      <w:tblPr/>
      <w:tcPr>
        <w:tcBorders>
          <w:top w:val="single" w:sz="4" w:space="0" w:color="D0EEEE" w:themeColor="accent6" w:themeTint="99"/>
        </w:tcBorders>
      </w:tcPr>
    </w:tblStylePr>
    <w:tblStylePr w:type="swCell">
      <w:tblPr/>
      <w:tcPr>
        <w:tcBorders>
          <w:top w:val="single" w:sz="4" w:space="0" w:color="D0EEEE" w:themeColor="accent6" w:themeTint="99"/>
        </w:tcBorders>
      </w:tcPr>
    </w:tblStylePr>
  </w:style>
  <w:style w:type="character" w:styleId="Hashtag">
    <w:name w:val="Hashtag"/>
    <w:basedOn w:val="DefaultParagraphFont"/>
    <w:uiPriority w:val="99"/>
    <w:semiHidden/>
    <w:unhideWhenUsed/>
    <w:rsid w:val="00C61D2E"/>
    <w:rPr>
      <w:color w:val="2B579A"/>
      <w:shd w:val="clear" w:color="auto" w:fill="E1DFDD"/>
    </w:rPr>
  </w:style>
  <w:style w:type="table" w:styleId="LightGrid">
    <w:name w:val="Light Grid"/>
    <w:basedOn w:val="TableNormal"/>
    <w:uiPriority w:val="62"/>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C61D2E"/>
    <w:pPr>
      <w:spacing w:after="0" w:line="240" w:lineRule="auto"/>
    </w:pPr>
    <w:rPr>
      <w:rFonts w:ascii="Times New Roman" w:hAnsi="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1Light">
    <w:name w:val="List Table 1 Light"/>
    <w:basedOn w:val="TableNormal"/>
    <w:uiPriority w:val="46"/>
    <w:rsid w:val="00C61D2E"/>
    <w:pPr>
      <w:spacing w:after="0" w:line="240" w:lineRule="auto"/>
    </w:pPr>
    <w:rPr>
      <w:rFonts w:ascii="Times New Roman" w:hAnsi="Times New Roman"/>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C61D2E"/>
    <w:pPr>
      <w:spacing w:after="0" w:line="240" w:lineRule="auto"/>
    </w:pPr>
    <w:rPr>
      <w:rFonts w:ascii="Times New Roman" w:hAnsi="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C61D2E"/>
    <w:pPr>
      <w:spacing w:after="0" w:line="240" w:lineRule="auto"/>
    </w:pPr>
    <w:rPr>
      <w:rFonts w:ascii="Times New Roman" w:hAnsi="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
    <w:name w:val="List Table 5 Dark"/>
    <w:basedOn w:val="TableNormal"/>
    <w:uiPriority w:val="50"/>
    <w:rsid w:val="00C61D2E"/>
    <w:pPr>
      <w:spacing w:after="0" w:line="240" w:lineRule="auto"/>
    </w:pPr>
    <w:rPr>
      <w:rFonts w:ascii="Times New Roman" w:hAnsi="Times New Roman"/>
      <w:color w:val="FFFFFF" w:themeColor="background1"/>
      <w:sz w:val="20"/>
      <w:szCs w:val="20"/>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
    <w:name w:val="List Table 7 Colorful"/>
    <w:basedOn w:val="TableNormal"/>
    <w:uiPriority w:val="52"/>
    <w:rsid w:val="00C61D2E"/>
    <w:pPr>
      <w:spacing w:after="0" w:line="240" w:lineRule="auto"/>
    </w:pPr>
    <w:rPr>
      <w:rFonts w:ascii="Times New Roman" w:hAnsi="Times New Roman"/>
      <w:color w:val="000000" w:themeColor="text1"/>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insideV w:val="single" w:sz="8" w:space="0" w:color="00A9D3" w:themeColor="accent1" w:themeTint="BF"/>
      </w:tblBorders>
    </w:tblPr>
    <w:tcPr>
      <w:shd w:val="clear" w:color="auto" w:fill="9CEBFF" w:themeFill="accent1" w:themeFillTint="3F"/>
    </w:tcPr>
    <w:tblStylePr w:type="firstRow">
      <w:rPr>
        <w:b/>
        <w:bCs/>
      </w:rPr>
    </w:tblStylePr>
    <w:tblStylePr w:type="lastRow">
      <w:rPr>
        <w:b/>
        <w:bCs/>
      </w:rPr>
      <w:tblPr/>
      <w:tcPr>
        <w:tcBorders>
          <w:top w:val="single" w:sz="18" w:space="0" w:color="00A9D3" w:themeColor="accent1" w:themeTint="BF"/>
        </w:tcBorders>
      </w:tcPr>
    </w:tblStylePr>
    <w:tblStylePr w:type="firstCol">
      <w:rPr>
        <w:b/>
        <w:bCs/>
      </w:rPr>
    </w:tblStylePr>
    <w:tblStylePr w:type="lastCol">
      <w:rPr>
        <w:b/>
        <w:bCs/>
      </w:rPr>
    </w:tblStylePr>
    <w:tblStylePr w:type="band1Vert">
      <w:tblPr/>
      <w:tcPr>
        <w:shd w:val="clear" w:color="auto" w:fill="38D7FF" w:themeFill="accent1" w:themeFillTint="7F"/>
      </w:tcPr>
    </w:tblStylePr>
    <w:tblStylePr w:type="band1Horz">
      <w:tblPr/>
      <w:tcPr>
        <w:shd w:val="clear" w:color="auto" w:fill="38D7FF" w:themeFill="accent1" w:themeFillTint="7F"/>
      </w:tcPr>
    </w:tblStylePr>
  </w:style>
  <w:style w:type="table" w:styleId="MediumGrid1-Accent2">
    <w:name w:val="Medium Grid 1 Accent 2"/>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insideV w:val="single" w:sz="8" w:space="0" w:color="0BF2FF" w:themeColor="accent2" w:themeTint="BF"/>
      </w:tblBorders>
    </w:tblPr>
    <w:tcPr>
      <w:shd w:val="clear" w:color="auto" w:fill="AEFAFF" w:themeFill="accent2" w:themeFillTint="3F"/>
    </w:tcPr>
    <w:tblStylePr w:type="firstRow">
      <w:rPr>
        <w:b/>
        <w:bCs/>
      </w:rPr>
    </w:tblStylePr>
    <w:tblStylePr w:type="lastRow">
      <w:rPr>
        <w:b/>
        <w:bCs/>
      </w:rPr>
      <w:tblPr/>
      <w:tcPr>
        <w:tcBorders>
          <w:top w:val="single" w:sz="18" w:space="0" w:color="0BF2FF" w:themeColor="accent2" w:themeTint="BF"/>
        </w:tcBorders>
      </w:tcPr>
    </w:tblStylePr>
    <w:tblStylePr w:type="firstCol">
      <w:rPr>
        <w:b/>
        <w:bCs/>
      </w:rPr>
    </w:tblStylePr>
    <w:tblStylePr w:type="lastCol">
      <w:rPr>
        <w:b/>
        <w:bCs/>
      </w:rPr>
    </w:tblStylePr>
    <w:tblStylePr w:type="band1Vert">
      <w:tblPr/>
      <w:tcPr>
        <w:shd w:val="clear" w:color="auto" w:fill="5DF6FF" w:themeFill="accent2" w:themeFillTint="7F"/>
      </w:tcPr>
    </w:tblStylePr>
    <w:tblStylePr w:type="band1Horz">
      <w:tblPr/>
      <w:tcPr>
        <w:shd w:val="clear" w:color="auto" w:fill="5DF6FF" w:themeFill="accent2" w:themeFillTint="7F"/>
      </w:tcPr>
    </w:tblStylePr>
  </w:style>
  <w:style w:type="table" w:styleId="MediumGrid1-Accent3">
    <w:name w:val="Medium Grid 1 Accent 3"/>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insideV w:val="single" w:sz="8" w:space="0" w:color="C4EAEA" w:themeColor="accent3" w:themeTint="BF"/>
      </w:tblBorders>
    </w:tblPr>
    <w:tcPr>
      <w:shd w:val="clear" w:color="auto" w:fill="EBF8F8" w:themeFill="accent3" w:themeFillTint="3F"/>
    </w:tcPr>
    <w:tblStylePr w:type="firstRow">
      <w:rPr>
        <w:b/>
        <w:bCs/>
      </w:rPr>
    </w:tblStylePr>
    <w:tblStylePr w:type="lastRow">
      <w:rPr>
        <w:b/>
        <w:bCs/>
      </w:rPr>
      <w:tblPr/>
      <w:tcPr>
        <w:tcBorders>
          <w:top w:val="single" w:sz="18" w:space="0" w:color="C4EAEA" w:themeColor="accent3" w:themeTint="BF"/>
        </w:tcBorders>
      </w:tcPr>
    </w:tblStylePr>
    <w:tblStylePr w:type="firstCol">
      <w:rPr>
        <w:b/>
        <w:bCs/>
      </w:rPr>
    </w:tblStylePr>
    <w:tblStylePr w:type="lastCol">
      <w:rPr>
        <w:b/>
        <w:bCs/>
      </w:rPr>
    </w:tblStylePr>
    <w:tblStylePr w:type="band1Vert">
      <w:tblPr/>
      <w:tcPr>
        <w:shd w:val="clear" w:color="auto" w:fill="D8F1F1" w:themeFill="accent3" w:themeFillTint="7F"/>
      </w:tcPr>
    </w:tblStylePr>
    <w:tblStylePr w:type="band1Horz">
      <w:tblPr/>
      <w:tcPr>
        <w:shd w:val="clear" w:color="auto" w:fill="D8F1F1" w:themeFill="accent3" w:themeFillTint="7F"/>
      </w:tcPr>
    </w:tblStylePr>
  </w:style>
  <w:style w:type="table" w:styleId="MediumGrid1-Accent4">
    <w:name w:val="Medium Grid 1 Accent 4"/>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insideV w:val="single" w:sz="8" w:space="0" w:color="00A9D3" w:themeColor="accent4" w:themeTint="BF"/>
      </w:tblBorders>
    </w:tblPr>
    <w:tcPr>
      <w:shd w:val="clear" w:color="auto" w:fill="9CEBFF" w:themeFill="accent4" w:themeFillTint="3F"/>
    </w:tcPr>
    <w:tblStylePr w:type="firstRow">
      <w:rPr>
        <w:b/>
        <w:bCs/>
      </w:rPr>
    </w:tblStylePr>
    <w:tblStylePr w:type="lastRow">
      <w:rPr>
        <w:b/>
        <w:bCs/>
      </w:rPr>
      <w:tblPr/>
      <w:tcPr>
        <w:tcBorders>
          <w:top w:val="single" w:sz="18" w:space="0" w:color="00A9D3" w:themeColor="accent4" w:themeTint="BF"/>
        </w:tcBorders>
      </w:tcPr>
    </w:tblStylePr>
    <w:tblStylePr w:type="firstCol">
      <w:rPr>
        <w:b/>
        <w:bCs/>
      </w:rPr>
    </w:tblStylePr>
    <w:tblStylePr w:type="lastCol">
      <w:rPr>
        <w:b/>
        <w:bCs/>
      </w:rPr>
    </w:tblStylePr>
    <w:tblStylePr w:type="band1Vert">
      <w:tblPr/>
      <w:tcPr>
        <w:shd w:val="clear" w:color="auto" w:fill="38D7FF" w:themeFill="accent4" w:themeFillTint="7F"/>
      </w:tcPr>
    </w:tblStylePr>
    <w:tblStylePr w:type="band1Horz">
      <w:tblPr/>
      <w:tcPr>
        <w:shd w:val="clear" w:color="auto" w:fill="38D7FF" w:themeFill="accent4" w:themeFillTint="7F"/>
      </w:tcPr>
    </w:tblStylePr>
  </w:style>
  <w:style w:type="table" w:styleId="MediumGrid1-Accent5">
    <w:name w:val="Medium Grid 1 Accent 5"/>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insideV w:val="single" w:sz="8" w:space="0" w:color="0BF2FF" w:themeColor="accent5" w:themeTint="BF"/>
      </w:tblBorders>
    </w:tblPr>
    <w:tcPr>
      <w:shd w:val="clear" w:color="auto" w:fill="AEFAFF" w:themeFill="accent5" w:themeFillTint="3F"/>
    </w:tcPr>
    <w:tblStylePr w:type="firstRow">
      <w:rPr>
        <w:b/>
        <w:bCs/>
      </w:rPr>
    </w:tblStylePr>
    <w:tblStylePr w:type="lastRow">
      <w:rPr>
        <w:b/>
        <w:bCs/>
      </w:rPr>
      <w:tblPr/>
      <w:tcPr>
        <w:tcBorders>
          <w:top w:val="single" w:sz="18" w:space="0" w:color="0BF2FF" w:themeColor="accent5" w:themeTint="BF"/>
        </w:tcBorders>
      </w:tcPr>
    </w:tblStylePr>
    <w:tblStylePr w:type="firstCol">
      <w:rPr>
        <w:b/>
        <w:bCs/>
      </w:rPr>
    </w:tblStylePr>
    <w:tblStylePr w:type="lastCol">
      <w:rPr>
        <w:b/>
        <w:bCs/>
      </w:rPr>
    </w:tblStylePr>
    <w:tblStylePr w:type="band1Vert">
      <w:tblPr/>
      <w:tcPr>
        <w:shd w:val="clear" w:color="auto" w:fill="5DF6FF" w:themeFill="accent5" w:themeFillTint="7F"/>
      </w:tcPr>
    </w:tblStylePr>
    <w:tblStylePr w:type="band1Horz">
      <w:tblPr/>
      <w:tcPr>
        <w:shd w:val="clear" w:color="auto" w:fill="5DF6FF" w:themeFill="accent5" w:themeFillTint="7F"/>
      </w:tcPr>
    </w:tblStylePr>
  </w:style>
  <w:style w:type="table" w:styleId="MediumGrid1-Accent6">
    <w:name w:val="Medium Grid 1 Accent 6"/>
    <w:basedOn w:val="TableNormal"/>
    <w:uiPriority w:val="67"/>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insideV w:val="single" w:sz="8" w:space="0" w:color="C4EAEA" w:themeColor="accent6" w:themeTint="BF"/>
      </w:tblBorders>
    </w:tblPr>
    <w:tcPr>
      <w:shd w:val="clear" w:color="auto" w:fill="EBF8F8" w:themeFill="accent6" w:themeFillTint="3F"/>
    </w:tcPr>
    <w:tblStylePr w:type="firstRow">
      <w:rPr>
        <w:b/>
        <w:bCs/>
      </w:rPr>
    </w:tblStylePr>
    <w:tblStylePr w:type="lastRow">
      <w:rPr>
        <w:b/>
        <w:bCs/>
      </w:rPr>
      <w:tblPr/>
      <w:tcPr>
        <w:tcBorders>
          <w:top w:val="single" w:sz="18" w:space="0" w:color="C4EAEA" w:themeColor="accent6" w:themeTint="BF"/>
        </w:tcBorders>
      </w:tcPr>
    </w:tblStylePr>
    <w:tblStylePr w:type="firstCol">
      <w:rPr>
        <w:b/>
        <w:bCs/>
      </w:rPr>
    </w:tblStylePr>
    <w:tblStylePr w:type="lastCol">
      <w:rPr>
        <w:b/>
        <w:bCs/>
      </w:rPr>
    </w:tblStylePr>
    <w:tblStylePr w:type="band1Vert">
      <w:tblPr/>
      <w:tcPr>
        <w:shd w:val="clear" w:color="auto" w:fill="D8F1F1" w:themeFill="accent6" w:themeFillTint="7F"/>
      </w:tcPr>
    </w:tblStylePr>
    <w:tblStylePr w:type="band1Horz">
      <w:tblPr/>
      <w:tcPr>
        <w:shd w:val="clear" w:color="auto" w:fill="D8F1F1" w:themeFill="accent6" w:themeFillTint="7F"/>
      </w:tcPr>
    </w:tblStylePr>
  </w:style>
  <w:style w:type="table" w:styleId="MediumGrid2">
    <w:name w:val="Medium Grid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insideH w:val="single" w:sz="8" w:space="0" w:color="005A70" w:themeColor="accent1"/>
        <w:insideV w:val="single" w:sz="8" w:space="0" w:color="005A70" w:themeColor="accent1"/>
      </w:tblBorders>
    </w:tblPr>
    <w:tcPr>
      <w:shd w:val="clear" w:color="auto" w:fill="9CEBFF" w:themeFill="accent1" w:themeFillTint="3F"/>
    </w:tcPr>
    <w:tblStylePr w:type="firstRow">
      <w:rPr>
        <w:b/>
        <w:bCs/>
        <w:color w:val="000000" w:themeColor="text1"/>
      </w:rPr>
      <w:tblPr/>
      <w:tcPr>
        <w:shd w:val="clear" w:color="auto" w:fill="D7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1" w:themeFillTint="33"/>
      </w:tcPr>
    </w:tblStylePr>
    <w:tblStylePr w:type="band1Vert">
      <w:tblPr/>
      <w:tcPr>
        <w:shd w:val="clear" w:color="auto" w:fill="38D7FF" w:themeFill="accent1" w:themeFillTint="7F"/>
      </w:tcPr>
    </w:tblStylePr>
    <w:tblStylePr w:type="band1Horz">
      <w:tblPr/>
      <w:tcPr>
        <w:tcBorders>
          <w:insideH w:val="single" w:sz="6" w:space="0" w:color="005A70" w:themeColor="accent1"/>
          <w:insideV w:val="single" w:sz="6" w:space="0" w:color="005A70" w:themeColor="accent1"/>
        </w:tcBorders>
        <w:shd w:val="clear" w:color="auto" w:fill="38D7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insideH w:val="single" w:sz="8" w:space="0" w:color="00B0B9" w:themeColor="accent2"/>
        <w:insideV w:val="single" w:sz="8" w:space="0" w:color="00B0B9" w:themeColor="accent2"/>
      </w:tblBorders>
    </w:tblPr>
    <w:tcPr>
      <w:shd w:val="clear" w:color="auto" w:fill="AEFAFF" w:themeFill="accent2" w:themeFillTint="3F"/>
    </w:tcPr>
    <w:tblStylePr w:type="firstRow">
      <w:rPr>
        <w:b/>
        <w:bCs/>
        <w:color w:val="000000" w:themeColor="text1"/>
      </w:rPr>
      <w:tblPr/>
      <w:tcPr>
        <w:shd w:val="clear" w:color="auto" w:fill="DFFD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2" w:themeFillTint="33"/>
      </w:tcPr>
    </w:tblStylePr>
    <w:tblStylePr w:type="band1Vert">
      <w:tblPr/>
      <w:tcPr>
        <w:shd w:val="clear" w:color="auto" w:fill="5DF6FF" w:themeFill="accent2" w:themeFillTint="7F"/>
      </w:tcPr>
    </w:tblStylePr>
    <w:tblStylePr w:type="band1Horz">
      <w:tblPr/>
      <w:tcPr>
        <w:tcBorders>
          <w:insideH w:val="single" w:sz="6" w:space="0" w:color="00B0B9" w:themeColor="accent2"/>
          <w:insideV w:val="single" w:sz="6" w:space="0" w:color="00B0B9" w:themeColor="accent2"/>
        </w:tcBorders>
        <w:shd w:val="clear" w:color="auto" w:fill="5DF6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insideH w:val="single" w:sz="8" w:space="0" w:color="B1E4E3" w:themeColor="accent3"/>
        <w:insideV w:val="single" w:sz="8" w:space="0" w:color="B1E4E3" w:themeColor="accent3"/>
      </w:tblBorders>
    </w:tblPr>
    <w:tcPr>
      <w:shd w:val="clear" w:color="auto" w:fill="EBF8F8" w:themeFill="accent3" w:themeFillTint="3F"/>
    </w:tcPr>
    <w:tblStylePr w:type="firstRow">
      <w:rPr>
        <w:b/>
        <w:bCs/>
        <w:color w:val="000000" w:themeColor="text1"/>
      </w:rPr>
      <w:tblPr/>
      <w:tcPr>
        <w:shd w:val="clear" w:color="auto" w:fill="F7FCFC"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3" w:themeFillTint="33"/>
      </w:tcPr>
    </w:tblStylePr>
    <w:tblStylePr w:type="band1Vert">
      <w:tblPr/>
      <w:tcPr>
        <w:shd w:val="clear" w:color="auto" w:fill="D8F1F1" w:themeFill="accent3" w:themeFillTint="7F"/>
      </w:tcPr>
    </w:tblStylePr>
    <w:tblStylePr w:type="band1Horz">
      <w:tblPr/>
      <w:tcPr>
        <w:tcBorders>
          <w:insideH w:val="single" w:sz="6" w:space="0" w:color="B1E4E3" w:themeColor="accent3"/>
          <w:insideV w:val="single" w:sz="6" w:space="0" w:color="B1E4E3" w:themeColor="accent3"/>
        </w:tcBorders>
        <w:shd w:val="clear" w:color="auto" w:fill="D8F1F1"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insideH w:val="single" w:sz="8" w:space="0" w:color="005A70" w:themeColor="accent4"/>
        <w:insideV w:val="single" w:sz="8" w:space="0" w:color="005A70" w:themeColor="accent4"/>
      </w:tblBorders>
    </w:tblPr>
    <w:tcPr>
      <w:shd w:val="clear" w:color="auto" w:fill="9CEBFF" w:themeFill="accent4" w:themeFillTint="3F"/>
    </w:tcPr>
    <w:tblStylePr w:type="firstRow">
      <w:rPr>
        <w:b/>
        <w:bCs/>
        <w:color w:val="000000" w:themeColor="text1"/>
      </w:rPr>
      <w:tblPr/>
      <w:tcPr>
        <w:shd w:val="clear" w:color="auto" w:fill="D7F7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EFFF" w:themeFill="accent4" w:themeFillTint="33"/>
      </w:tcPr>
    </w:tblStylePr>
    <w:tblStylePr w:type="band1Vert">
      <w:tblPr/>
      <w:tcPr>
        <w:shd w:val="clear" w:color="auto" w:fill="38D7FF" w:themeFill="accent4" w:themeFillTint="7F"/>
      </w:tcPr>
    </w:tblStylePr>
    <w:tblStylePr w:type="band1Horz">
      <w:tblPr/>
      <w:tcPr>
        <w:tcBorders>
          <w:insideH w:val="single" w:sz="6" w:space="0" w:color="005A70" w:themeColor="accent4"/>
          <w:insideV w:val="single" w:sz="6" w:space="0" w:color="005A70" w:themeColor="accent4"/>
        </w:tcBorders>
        <w:shd w:val="clear" w:color="auto" w:fill="38D7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insideH w:val="single" w:sz="8" w:space="0" w:color="00B0B9" w:themeColor="accent5"/>
        <w:insideV w:val="single" w:sz="8" w:space="0" w:color="00B0B9" w:themeColor="accent5"/>
      </w:tblBorders>
    </w:tblPr>
    <w:tcPr>
      <w:shd w:val="clear" w:color="auto" w:fill="AEFA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BFF" w:themeFill="accent5" w:themeFillTint="33"/>
      </w:tcPr>
    </w:tblStylePr>
    <w:tblStylePr w:type="band1Vert">
      <w:tblPr/>
      <w:tcPr>
        <w:shd w:val="clear" w:color="auto" w:fill="5DF6FF" w:themeFill="accent5" w:themeFillTint="7F"/>
      </w:tcPr>
    </w:tblStylePr>
    <w:tblStylePr w:type="band1Horz">
      <w:tblPr/>
      <w:tcPr>
        <w:tcBorders>
          <w:insideH w:val="single" w:sz="6" w:space="0" w:color="00B0B9" w:themeColor="accent5"/>
          <w:insideV w:val="single" w:sz="6" w:space="0" w:color="00B0B9" w:themeColor="accent5"/>
        </w:tcBorders>
        <w:shd w:val="clear" w:color="auto" w:fill="5DF6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insideH w:val="single" w:sz="8" w:space="0" w:color="B1E4E3" w:themeColor="accent6"/>
        <w:insideV w:val="single" w:sz="8" w:space="0" w:color="B1E4E3" w:themeColor="accent6"/>
      </w:tblBorders>
    </w:tblPr>
    <w:tcPr>
      <w:shd w:val="clear" w:color="auto" w:fill="EBF8F8" w:themeFill="accent6" w:themeFillTint="3F"/>
    </w:tcPr>
    <w:tblStylePr w:type="firstRow">
      <w:rPr>
        <w:b/>
        <w:bCs/>
        <w:color w:val="000000" w:themeColor="text1"/>
      </w:rPr>
      <w:tblPr/>
      <w:tcPr>
        <w:shd w:val="clear" w:color="auto" w:fill="F7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9F9" w:themeFill="accent6" w:themeFillTint="33"/>
      </w:tcPr>
    </w:tblStylePr>
    <w:tblStylePr w:type="band1Vert">
      <w:tblPr/>
      <w:tcPr>
        <w:shd w:val="clear" w:color="auto" w:fill="D8F1F1" w:themeFill="accent6" w:themeFillTint="7F"/>
      </w:tcPr>
    </w:tblStylePr>
    <w:tblStylePr w:type="band1Horz">
      <w:tblPr/>
      <w:tcPr>
        <w:tcBorders>
          <w:insideH w:val="single" w:sz="6" w:space="0" w:color="B1E4E3" w:themeColor="accent6"/>
          <w:insideV w:val="single" w:sz="6" w:space="0" w:color="B1E4E3" w:themeColor="accent6"/>
        </w:tcBorders>
        <w:shd w:val="clear" w:color="auto" w:fill="D8F1F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1" w:themeFillTint="7F"/>
      </w:tcPr>
    </w:tblStylePr>
  </w:style>
  <w:style w:type="table" w:styleId="MediumGrid3-Accent2">
    <w:name w:val="Medium Grid 3 Accent 2"/>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2" w:themeFillTint="7F"/>
      </w:tcPr>
    </w:tblStylePr>
  </w:style>
  <w:style w:type="table" w:styleId="MediumGrid3-Accent3">
    <w:name w:val="Medium Grid 3 Accent 3"/>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3" w:themeFillTint="7F"/>
      </w:tcPr>
    </w:tblStylePr>
  </w:style>
  <w:style w:type="table" w:styleId="MediumGrid3-Accent4">
    <w:name w:val="Medium Grid 3 Accent 4"/>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EB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7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7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7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D7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D7FF" w:themeFill="accent4" w:themeFillTint="7F"/>
      </w:tcPr>
    </w:tblStylePr>
  </w:style>
  <w:style w:type="table" w:styleId="MediumGrid3-Accent5">
    <w:name w:val="Medium Grid 3 Accent 5"/>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A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F6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F6FF" w:themeFill="accent5" w:themeFillTint="7F"/>
      </w:tcPr>
    </w:tblStylePr>
  </w:style>
  <w:style w:type="table" w:styleId="MediumGrid3-Accent6">
    <w:name w:val="Medium Grid 3 Accent 6"/>
    <w:basedOn w:val="TableNormal"/>
    <w:uiPriority w:val="69"/>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8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E4E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E4E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E4E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1F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1F1" w:themeFill="accent6" w:themeFillTint="7F"/>
      </w:tcPr>
    </w:tblStylePr>
  </w:style>
  <w:style w:type="table" w:styleId="MediumList1">
    <w:name w:val="Medium Lis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1"/>
        <w:bottom w:val="single" w:sz="8" w:space="0" w:color="005A70" w:themeColor="accent1"/>
      </w:tblBorders>
    </w:tblPr>
    <w:tblStylePr w:type="firstRow">
      <w:rPr>
        <w:rFonts w:asciiTheme="majorHAnsi" w:eastAsiaTheme="majorEastAsia" w:hAnsiTheme="majorHAnsi" w:cstheme="majorBidi"/>
      </w:rPr>
      <w:tblPr/>
      <w:tcPr>
        <w:tcBorders>
          <w:top w:val="nil"/>
          <w:bottom w:val="single" w:sz="8" w:space="0" w:color="005A70" w:themeColor="accent1"/>
        </w:tcBorders>
      </w:tcPr>
    </w:tblStylePr>
    <w:tblStylePr w:type="lastRow">
      <w:rPr>
        <w:b/>
        <w:bCs/>
        <w:color w:val="000000" w:themeColor="text2"/>
      </w:rPr>
      <w:tblPr/>
      <w:tcPr>
        <w:tcBorders>
          <w:top w:val="single" w:sz="8" w:space="0" w:color="005A70" w:themeColor="accent1"/>
          <w:bottom w:val="single" w:sz="8" w:space="0" w:color="005A70" w:themeColor="accent1"/>
        </w:tcBorders>
      </w:tcPr>
    </w:tblStylePr>
    <w:tblStylePr w:type="firstCol">
      <w:rPr>
        <w:b/>
        <w:bCs/>
      </w:rPr>
    </w:tblStylePr>
    <w:tblStylePr w:type="lastCol">
      <w:rPr>
        <w:b/>
        <w:bCs/>
      </w:rPr>
      <w:tblPr/>
      <w:tcPr>
        <w:tcBorders>
          <w:top w:val="single" w:sz="8" w:space="0" w:color="005A70" w:themeColor="accent1"/>
          <w:bottom w:val="single" w:sz="8" w:space="0" w:color="005A70" w:themeColor="accent1"/>
        </w:tcBorders>
      </w:tcPr>
    </w:tblStylePr>
    <w:tblStylePr w:type="band1Vert">
      <w:tblPr/>
      <w:tcPr>
        <w:shd w:val="clear" w:color="auto" w:fill="9CEBFF" w:themeFill="accent1" w:themeFillTint="3F"/>
      </w:tcPr>
    </w:tblStylePr>
    <w:tblStylePr w:type="band1Horz">
      <w:tblPr/>
      <w:tcPr>
        <w:shd w:val="clear" w:color="auto" w:fill="9CEBFF" w:themeFill="accent1" w:themeFillTint="3F"/>
      </w:tcPr>
    </w:tblStylePr>
  </w:style>
  <w:style w:type="table" w:styleId="MediumList1-Accent2">
    <w:name w:val="Medium List 1 Accent 2"/>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2"/>
        <w:bottom w:val="single" w:sz="8" w:space="0" w:color="00B0B9" w:themeColor="accent2"/>
      </w:tblBorders>
    </w:tblPr>
    <w:tblStylePr w:type="firstRow">
      <w:rPr>
        <w:rFonts w:asciiTheme="majorHAnsi" w:eastAsiaTheme="majorEastAsia" w:hAnsiTheme="majorHAnsi" w:cstheme="majorBidi"/>
      </w:rPr>
      <w:tblPr/>
      <w:tcPr>
        <w:tcBorders>
          <w:top w:val="nil"/>
          <w:bottom w:val="single" w:sz="8" w:space="0" w:color="00B0B9" w:themeColor="accent2"/>
        </w:tcBorders>
      </w:tcPr>
    </w:tblStylePr>
    <w:tblStylePr w:type="lastRow">
      <w:rPr>
        <w:b/>
        <w:bCs/>
        <w:color w:val="000000" w:themeColor="text2"/>
      </w:rPr>
      <w:tblPr/>
      <w:tcPr>
        <w:tcBorders>
          <w:top w:val="single" w:sz="8" w:space="0" w:color="00B0B9" w:themeColor="accent2"/>
          <w:bottom w:val="single" w:sz="8" w:space="0" w:color="00B0B9" w:themeColor="accent2"/>
        </w:tcBorders>
      </w:tcPr>
    </w:tblStylePr>
    <w:tblStylePr w:type="firstCol">
      <w:rPr>
        <w:b/>
        <w:bCs/>
      </w:rPr>
    </w:tblStylePr>
    <w:tblStylePr w:type="lastCol">
      <w:rPr>
        <w:b/>
        <w:bCs/>
      </w:rPr>
      <w:tblPr/>
      <w:tcPr>
        <w:tcBorders>
          <w:top w:val="single" w:sz="8" w:space="0" w:color="00B0B9" w:themeColor="accent2"/>
          <w:bottom w:val="single" w:sz="8" w:space="0" w:color="00B0B9" w:themeColor="accent2"/>
        </w:tcBorders>
      </w:tcPr>
    </w:tblStylePr>
    <w:tblStylePr w:type="band1Vert">
      <w:tblPr/>
      <w:tcPr>
        <w:shd w:val="clear" w:color="auto" w:fill="AEFAFF" w:themeFill="accent2" w:themeFillTint="3F"/>
      </w:tcPr>
    </w:tblStylePr>
    <w:tblStylePr w:type="band1Horz">
      <w:tblPr/>
      <w:tcPr>
        <w:shd w:val="clear" w:color="auto" w:fill="AEFAFF" w:themeFill="accent2" w:themeFillTint="3F"/>
      </w:tcPr>
    </w:tblStylePr>
  </w:style>
  <w:style w:type="table" w:styleId="MediumList1-Accent3">
    <w:name w:val="Medium List 1 Accent 3"/>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3"/>
        <w:bottom w:val="single" w:sz="8" w:space="0" w:color="B1E4E3" w:themeColor="accent3"/>
      </w:tblBorders>
    </w:tblPr>
    <w:tblStylePr w:type="firstRow">
      <w:rPr>
        <w:rFonts w:asciiTheme="majorHAnsi" w:eastAsiaTheme="majorEastAsia" w:hAnsiTheme="majorHAnsi" w:cstheme="majorBidi"/>
      </w:rPr>
      <w:tblPr/>
      <w:tcPr>
        <w:tcBorders>
          <w:top w:val="nil"/>
          <w:bottom w:val="single" w:sz="8" w:space="0" w:color="B1E4E3" w:themeColor="accent3"/>
        </w:tcBorders>
      </w:tcPr>
    </w:tblStylePr>
    <w:tblStylePr w:type="lastRow">
      <w:rPr>
        <w:b/>
        <w:bCs/>
        <w:color w:val="000000" w:themeColor="text2"/>
      </w:rPr>
      <w:tblPr/>
      <w:tcPr>
        <w:tcBorders>
          <w:top w:val="single" w:sz="8" w:space="0" w:color="B1E4E3" w:themeColor="accent3"/>
          <w:bottom w:val="single" w:sz="8" w:space="0" w:color="B1E4E3" w:themeColor="accent3"/>
        </w:tcBorders>
      </w:tcPr>
    </w:tblStylePr>
    <w:tblStylePr w:type="firstCol">
      <w:rPr>
        <w:b/>
        <w:bCs/>
      </w:rPr>
    </w:tblStylePr>
    <w:tblStylePr w:type="lastCol">
      <w:rPr>
        <w:b/>
        <w:bCs/>
      </w:rPr>
      <w:tblPr/>
      <w:tcPr>
        <w:tcBorders>
          <w:top w:val="single" w:sz="8" w:space="0" w:color="B1E4E3" w:themeColor="accent3"/>
          <w:bottom w:val="single" w:sz="8" w:space="0" w:color="B1E4E3" w:themeColor="accent3"/>
        </w:tcBorders>
      </w:tcPr>
    </w:tblStylePr>
    <w:tblStylePr w:type="band1Vert">
      <w:tblPr/>
      <w:tcPr>
        <w:shd w:val="clear" w:color="auto" w:fill="EBF8F8" w:themeFill="accent3" w:themeFillTint="3F"/>
      </w:tcPr>
    </w:tblStylePr>
    <w:tblStylePr w:type="band1Horz">
      <w:tblPr/>
      <w:tcPr>
        <w:shd w:val="clear" w:color="auto" w:fill="EBF8F8" w:themeFill="accent3" w:themeFillTint="3F"/>
      </w:tcPr>
    </w:tblStylePr>
  </w:style>
  <w:style w:type="table" w:styleId="MediumList1-Accent4">
    <w:name w:val="Medium List 1 Accent 4"/>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5A70" w:themeColor="accent4"/>
        <w:bottom w:val="single" w:sz="8" w:space="0" w:color="005A70" w:themeColor="accent4"/>
      </w:tblBorders>
    </w:tblPr>
    <w:tblStylePr w:type="firstRow">
      <w:rPr>
        <w:rFonts w:asciiTheme="majorHAnsi" w:eastAsiaTheme="majorEastAsia" w:hAnsiTheme="majorHAnsi" w:cstheme="majorBidi"/>
      </w:rPr>
      <w:tblPr/>
      <w:tcPr>
        <w:tcBorders>
          <w:top w:val="nil"/>
          <w:bottom w:val="single" w:sz="8" w:space="0" w:color="005A70" w:themeColor="accent4"/>
        </w:tcBorders>
      </w:tcPr>
    </w:tblStylePr>
    <w:tblStylePr w:type="lastRow">
      <w:rPr>
        <w:b/>
        <w:bCs/>
        <w:color w:val="000000" w:themeColor="text2"/>
      </w:rPr>
      <w:tblPr/>
      <w:tcPr>
        <w:tcBorders>
          <w:top w:val="single" w:sz="8" w:space="0" w:color="005A70" w:themeColor="accent4"/>
          <w:bottom w:val="single" w:sz="8" w:space="0" w:color="005A70" w:themeColor="accent4"/>
        </w:tcBorders>
      </w:tcPr>
    </w:tblStylePr>
    <w:tblStylePr w:type="firstCol">
      <w:rPr>
        <w:b/>
        <w:bCs/>
      </w:rPr>
    </w:tblStylePr>
    <w:tblStylePr w:type="lastCol">
      <w:rPr>
        <w:b/>
        <w:bCs/>
      </w:rPr>
      <w:tblPr/>
      <w:tcPr>
        <w:tcBorders>
          <w:top w:val="single" w:sz="8" w:space="0" w:color="005A70" w:themeColor="accent4"/>
          <w:bottom w:val="single" w:sz="8" w:space="0" w:color="005A70" w:themeColor="accent4"/>
        </w:tcBorders>
      </w:tcPr>
    </w:tblStylePr>
    <w:tblStylePr w:type="band1Vert">
      <w:tblPr/>
      <w:tcPr>
        <w:shd w:val="clear" w:color="auto" w:fill="9CEBFF" w:themeFill="accent4" w:themeFillTint="3F"/>
      </w:tcPr>
    </w:tblStylePr>
    <w:tblStylePr w:type="band1Horz">
      <w:tblPr/>
      <w:tcPr>
        <w:shd w:val="clear" w:color="auto" w:fill="9CEBFF" w:themeFill="accent4" w:themeFillTint="3F"/>
      </w:tcPr>
    </w:tblStylePr>
  </w:style>
  <w:style w:type="table" w:styleId="MediumList1-Accent5">
    <w:name w:val="Medium List 1 Accent 5"/>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00B0B9" w:themeColor="accent5"/>
        <w:bottom w:val="single" w:sz="8" w:space="0" w:color="00B0B9" w:themeColor="accent5"/>
      </w:tblBorders>
    </w:tblPr>
    <w:tblStylePr w:type="firstRow">
      <w:rPr>
        <w:rFonts w:asciiTheme="majorHAnsi" w:eastAsiaTheme="majorEastAsia" w:hAnsiTheme="majorHAnsi" w:cstheme="majorBidi"/>
      </w:rPr>
      <w:tblPr/>
      <w:tcPr>
        <w:tcBorders>
          <w:top w:val="nil"/>
          <w:bottom w:val="single" w:sz="8" w:space="0" w:color="00B0B9" w:themeColor="accent5"/>
        </w:tcBorders>
      </w:tcPr>
    </w:tblStylePr>
    <w:tblStylePr w:type="lastRow">
      <w:rPr>
        <w:b/>
        <w:bCs/>
        <w:color w:val="000000" w:themeColor="text2"/>
      </w:rPr>
      <w:tblPr/>
      <w:tcPr>
        <w:tcBorders>
          <w:top w:val="single" w:sz="8" w:space="0" w:color="00B0B9" w:themeColor="accent5"/>
          <w:bottom w:val="single" w:sz="8" w:space="0" w:color="00B0B9" w:themeColor="accent5"/>
        </w:tcBorders>
      </w:tcPr>
    </w:tblStylePr>
    <w:tblStylePr w:type="firstCol">
      <w:rPr>
        <w:b/>
        <w:bCs/>
      </w:rPr>
    </w:tblStylePr>
    <w:tblStylePr w:type="lastCol">
      <w:rPr>
        <w:b/>
        <w:bCs/>
      </w:rPr>
      <w:tblPr/>
      <w:tcPr>
        <w:tcBorders>
          <w:top w:val="single" w:sz="8" w:space="0" w:color="00B0B9" w:themeColor="accent5"/>
          <w:bottom w:val="single" w:sz="8" w:space="0" w:color="00B0B9" w:themeColor="accent5"/>
        </w:tcBorders>
      </w:tcPr>
    </w:tblStylePr>
    <w:tblStylePr w:type="band1Vert">
      <w:tblPr/>
      <w:tcPr>
        <w:shd w:val="clear" w:color="auto" w:fill="AEFAFF" w:themeFill="accent5" w:themeFillTint="3F"/>
      </w:tcPr>
    </w:tblStylePr>
    <w:tblStylePr w:type="band1Horz">
      <w:tblPr/>
      <w:tcPr>
        <w:shd w:val="clear" w:color="auto" w:fill="AEFAFF" w:themeFill="accent5" w:themeFillTint="3F"/>
      </w:tcPr>
    </w:tblStylePr>
  </w:style>
  <w:style w:type="table" w:styleId="MediumList1-Accent6">
    <w:name w:val="Medium List 1 Accent 6"/>
    <w:basedOn w:val="TableNormal"/>
    <w:uiPriority w:val="65"/>
    <w:semiHidden/>
    <w:unhideWhenUsed/>
    <w:rsid w:val="00C61D2E"/>
    <w:pPr>
      <w:spacing w:after="0" w:line="240" w:lineRule="auto"/>
    </w:pPr>
    <w:rPr>
      <w:rFonts w:ascii="Times New Roman" w:hAnsi="Times New Roman"/>
      <w:color w:val="000000" w:themeColor="text1"/>
      <w:sz w:val="20"/>
      <w:szCs w:val="20"/>
    </w:rPr>
    <w:tblPr>
      <w:tblStyleRowBandSize w:val="1"/>
      <w:tblStyleColBandSize w:val="1"/>
      <w:tblBorders>
        <w:top w:val="single" w:sz="8" w:space="0" w:color="B1E4E3" w:themeColor="accent6"/>
        <w:bottom w:val="single" w:sz="8" w:space="0" w:color="B1E4E3" w:themeColor="accent6"/>
      </w:tblBorders>
    </w:tblPr>
    <w:tblStylePr w:type="firstRow">
      <w:rPr>
        <w:rFonts w:asciiTheme="majorHAnsi" w:eastAsiaTheme="majorEastAsia" w:hAnsiTheme="majorHAnsi" w:cstheme="majorBidi"/>
      </w:rPr>
      <w:tblPr/>
      <w:tcPr>
        <w:tcBorders>
          <w:top w:val="nil"/>
          <w:bottom w:val="single" w:sz="8" w:space="0" w:color="B1E4E3" w:themeColor="accent6"/>
        </w:tcBorders>
      </w:tcPr>
    </w:tblStylePr>
    <w:tblStylePr w:type="lastRow">
      <w:rPr>
        <w:b/>
        <w:bCs/>
        <w:color w:val="000000" w:themeColor="text2"/>
      </w:rPr>
      <w:tblPr/>
      <w:tcPr>
        <w:tcBorders>
          <w:top w:val="single" w:sz="8" w:space="0" w:color="B1E4E3" w:themeColor="accent6"/>
          <w:bottom w:val="single" w:sz="8" w:space="0" w:color="B1E4E3" w:themeColor="accent6"/>
        </w:tcBorders>
      </w:tcPr>
    </w:tblStylePr>
    <w:tblStylePr w:type="firstCol">
      <w:rPr>
        <w:b/>
        <w:bCs/>
      </w:rPr>
    </w:tblStylePr>
    <w:tblStylePr w:type="lastCol">
      <w:rPr>
        <w:b/>
        <w:bCs/>
      </w:rPr>
      <w:tblPr/>
      <w:tcPr>
        <w:tcBorders>
          <w:top w:val="single" w:sz="8" w:space="0" w:color="B1E4E3" w:themeColor="accent6"/>
          <w:bottom w:val="single" w:sz="8" w:space="0" w:color="B1E4E3" w:themeColor="accent6"/>
        </w:tcBorders>
      </w:tcPr>
    </w:tblStylePr>
    <w:tblStylePr w:type="band1Vert">
      <w:tblPr/>
      <w:tcPr>
        <w:shd w:val="clear" w:color="auto" w:fill="EBF8F8" w:themeFill="accent6" w:themeFillTint="3F"/>
      </w:tcPr>
    </w:tblStylePr>
    <w:tblStylePr w:type="band1Horz">
      <w:tblPr/>
      <w:tcPr>
        <w:shd w:val="clear" w:color="auto" w:fill="EBF8F8" w:themeFill="accent6" w:themeFillTint="3F"/>
      </w:tcPr>
    </w:tblStylePr>
  </w:style>
  <w:style w:type="table" w:styleId="MediumList2">
    <w:name w:val="Medium Lis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1"/>
        <w:left w:val="single" w:sz="8" w:space="0" w:color="005A70" w:themeColor="accent1"/>
        <w:bottom w:val="single" w:sz="8" w:space="0" w:color="005A70" w:themeColor="accent1"/>
        <w:right w:val="single" w:sz="8" w:space="0" w:color="005A70" w:themeColor="accent1"/>
      </w:tblBorders>
    </w:tblPr>
    <w:tblStylePr w:type="firstRow">
      <w:rPr>
        <w:sz w:val="24"/>
        <w:szCs w:val="24"/>
      </w:rPr>
      <w:tblPr/>
      <w:tcPr>
        <w:tcBorders>
          <w:top w:val="nil"/>
          <w:left w:val="nil"/>
          <w:bottom w:val="single" w:sz="24" w:space="0" w:color="005A7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1"/>
          <w:insideH w:val="nil"/>
          <w:insideV w:val="nil"/>
        </w:tcBorders>
        <w:shd w:val="clear" w:color="auto" w:fill="FFFFFF" w:themeFill="background1"/>
      </w:tcPr>
    </w:tblStylePr>
    <w:tblStylePr w:type="lastCol">
      <w:tblPr/>
      <w:tcPr>
        <w:tcBorders>
          <w:top w:val="nil"/>
          <w:left w:val="single" w:sz="8" w:space="0" w:color="005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1" w:themeFillTint="3F"/>
      </w:tcPr>
    </w:tblStylePr>
    <w:tblStylePr w:type="band1Horz">
      <w:tblPr/>
      <w:tcPr>
        <w:tcBorders>
          <w:top w:val="nil"/>
          <w:bottom w:val="nil"/>
          <w:insideH w:val="nil"/>
          <w:insideV w:val="nil"/>
        </w:tcBorders>
        <w:shd w:val="clear" w:color="auto" w:fill="9CEB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2"/>
        <w:left w:val="single" w:sz="8" w:space="0" w:color="00B0B9" w:themeColor="accent2"/>
        <w:bottom w:val="single" w:sz="8" w:space="0" w:color="00B0B9" w:themeColor="accent2"/>
        <w:right w:val="single" w:sz="8" w:space="0" w:color="00B0B9" w:themeColor="accent2"/>
      </w:tblBorders>
    </w:tblPr>
    <w:tblStylePr w:type="firstRow">
      <w:rPr>
        <w:sz w:val="24"/>
        <w:szCs w:val="24"/>
      </w:rPr>
      <w:tblPr/>
      <w:tcPr>
        <w:tcBorders>
          <w:top w:val="nil"/>
          <w:left w:val="nil"/>
          <w:bottom w:val="single" w:sz="24" w:space="0" w:color="00B0B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2"/>
          <w:insideH w:val="nil"/>
          <w:insideV w:val="nil"/>
        </w:tcBorders>
        <w:shd w:val="clear" w:color="auto" w:fill="FFFFFF" w:themeFill="background1"/>
      </w:tcPr>
    </w:tblStylePr>
    <w:tblStylePr w:type="lastCol">
      <w:tblPr/>
      <w:tcPr>
        <w:tcBorders>
          <w:top w:val="nil"/>
          <w:left w:val="single" w:sz="8" w:space="0" w:color="00B0B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2" w:themeFillTint="3F"/>
      </w:tcPr>
    </w:tblStylePr>
    <w:tblStylePr w:type="band1Horz">
      <w:tblPr/>
      <w:tcPr>
        <w:tcBorders>
          <w:top w:val="nil"/>
          <w:bottom w:val="nil"/>
          <w:insideH w:val="nil"/>
          <w:insideV w:val="nil"/>
        </w:tcBorders>
        <w:shd w:val="clear" w:color="auto" w:fill="AEF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3"/>
        <w:left w:val="single" w:sz="8" w:space="0" w:color="B1E4E3" w:themeColor="accent3"/>
        <w:bottom w:val="single" w:sz="8" w:space="0" w:color="B1E4E3" w:themeColor="accent3"/>
        <w:right w:val="single" w:sz="8" w:space="0" w:color="B1E4E3" w:themeColor="accent3"/>
      </w:tblBorders>
    </w:tblPr>
    <w:tblStylePr w:type="firstRow">
      <w:rPr>
        <w:sz w:val="24"/>
        <w:szCs w:val="24"/>
      </w:rPr>
      <w:tblPr/>
      <w:tcPr>
        <w:tcBorders>
          <w:top w:val="nil"/>
          <w:left w:val="nil"/>
          <w:bottom w:val="single" w:sz="24" w:space="0" w:color="B1E4E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3"/>
          <w:insideH w:val="nil"/>
          <w:insideV w:val="nil"/>
        </w:tcBorders>
        <w:shd w:val="clear" w:color="auto" w:fill="FFFFFF" w:themeFill="background1"/>
      </w:tcPr>
    </w:tblStylePr>
    <w:tblStylePr w:type="lastCol">
      <w:tblPr/>
      <w:tcPr>
        <w:tcBorders>
          <w:top w:val="nil"/>
          <w:left w:val="single" w:sz="8" w:space="0" w:color="B1E4E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3" w:themeFillTint="3F"/>
      </w:tcPr>
    </w:tblStylePr>
    <w:tblStylePr w:type="band1Horz">
      <w:tblPr/>
      <w:tcPr>
        <w:tcBorders>
          <w:top w:val="nil"/>
          <w:bottom w:val="nil"/>
          <w:insideH w:val="nil"/>
          <w:insideV w:val="nil"/>
        </w:tcBorders>
        <w:shd w:val="clear" w:color="auto" w:fill="EBF8F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5A70" w:themeColor="accent4"/>
        <w:left w:val="single" w:sz="8" w:space="0" w:color="005A70" w:themeColor="accent4"/>
        <w:bottom w:val="single" w:sz="8" w:space="0" w:color="005A70" w:themeColor="accent4"/>
        <w:right w:val="single" w:sz="8" w:space="0" w:color="005A70" w:themeColor="accent4"/>
      </w:tblBorders>
    </w:tblPr>
    <w:tblStylePr w:type="firstRow">
      <w:rPr>
        <w:sz w:val="24"/>
        <w:szCs w:val="24"/>
      </w:rPr>
      <w:tblPr/>
      <w:tcPr>
        <w:tcBorders>
          <w:top w:val="nil"/>
          <w:left w:val="nil"/>
          <w:bottom w:val="single" w:sz="24" w:space="0" w:color="005A7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70" w:themeColor="accent4"/>
          <w:insideH w:val="nil"/>
          <w:insideV w:val="nil"/>
        </w:tcBorders>
        <w:shd w:val="clear" w:color="auto" w:fill="FFFFFF" w:themeFill="background1"/>
      </w:tcPr>
    </w:tblStylePr>
    <w:tblStylePr w:type="lastCol">
      <w:tblPr/>
      <w:tcPr>
        <w:tcBorders>
          <w:top w:val="nil"/>
          <w:left w:val="single" w:sz="8" w:space="0" w:color="005A7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EBFF" w:themeFill="accent4" w:themeFillTint="3F"/>
      </w:tcPr>
    </w:tblStylePr>
    <w:tblStylePr w:type="band1Horz">
      <w:tblPr/>
      <w:tcPr>
        <w:tcBorders>
          <w:top w:val="nil"/>
          <w:bottom w:val="nil"/>
          <w:insideH w:val="nil"/>
          <w:insideV w:val="nil"/>
        </w:tcBorders>
        <w:shd w:val="clear" w:color="auto" w:fill="9CEB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B0B9" w:themeColor="accent5"/>
        <w:left w:val="single" w:sz="8" w:space="0" w:color="00B0B9" w:themeColor="accent5"/>
        <w:bottom w:val="single" w:sz="8" w:space="0" w:color="00B0B9" w:themeColor="accent5"/>
        <w:right w:val="single" w:sz="8" w:space="0" w:color="00B0B9" w:themeColor="accent5"/>
      </w:tblBorders>
    </w:tblPr>
    <w:tblStylePr w:type="firstRow">
      <w:rPr>
        <w:sz w:val="24"/>
        <w:szCs w:val="24"/>
      </w:rPr>
      <w:tblPr/>
      <w:tcPr>
        <w:tcBorders>
          <w:top w:val="nil"/>
          <w:left w:val="nil"/>
          <w:bottom w:val="single" w:sz="24" w:space="0" w:color="00B0B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B9" w:themeColor="accent5"/>
          <w:insideH w:val="nil"/>
          <w:insideV w:val="nil"/>
        </w:tcBorders>
        <w:shd w:val="clear" w:color="auto" w:fill="FFFFFF" w:themeFill="background1"/>
      </w:tcPr>
    </w:tblStylePr>
    <w:tblStylePr w:type="lastCol">
      <w:tblPr/>
      <w:tcPr>
        <w:tcBorders>
          <w:top w:val="nil"/>
          <w:left w:val="single" w:sz="8" w:space="0" w:color="00B0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AFF" w:themeFill="accent5" w:themeFillTint="3F"/>
      </w:tcPr>
    </w:tblStylePr>
    <w:tblStylePr w:type="band1Horz">
      <w:tblPr/>
      <w:tcPr>
        <w:tcBorders>
          <w:top w:val="nil"/>
          <w:bottom w:val="nil"/>
          <w:insideH w:val="nil"/>
          <w:insideV w:val="nil"/>
        </w:tcBorders>
        <w:shd w:val="clear" w:color="auto" w:fill="AEFA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61D2E"/>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B1E4E3" w:themeColor="accent6"/>
        <w:left w:val="single" w:sz="8" w:space="0" w:color="B1E4E3" w:themeColor="accent6"/>
        <w:bottom w:val="single" w:sz="8" w:space="0" w:color="B1E4E3" w:themeColor="accent6"/>
        <w:right w:val="single" w:sz="8" w:space="0" w:color="B1E4E3" w:themeColor="accent6"/>
      </w:tblBorders>
    </w:tblPr>
    <w:tblStylePr w:type="firstRow">
      <w:rPr>
        <w:sz w:val="24"/>
        <w:szCs w:val="24"/>
      </w:rPr>
      <w:tblPr/>
      <w:tcPr>
        <w:tcBorders>
          <w:top w:val="nil"/>
          <w:left w:val="nil"/>
          <w:bottom w:val="single" w:sz="24" w:space="0" w:color="B1E4E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E4E3" w:themeColor="accent6"/>
          <w:insideH w:val="nil"/>
          <w:insideV w:val="nil"/>
        </w:tcBorders>
        <w:shd w:val="clear" w:color="auto" w:fill="FFFFFF" w:themeFill="background1"/>
      </w:tcPr>
    </w:tblStylePr>
    <w:tblStylePr w:type="lastCol">
      <w:tblPr/>
      <w:tcPr>
        <w:tcBorders>
          <w:top w:val="nil"/>
          <w:left w:val="single" w:sz="8" w:space="0" w:color="B1E4E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8F8" w:themeFill="accent6" w:themeFillTint="3F"/>
      </w:tcPr>
    </w:tblStylePr>
    <w:tblStylePr w:type="band1Horz">
      <w:tblPr/>
      <w:tcPr>
        <w:tcBorders>
          <w:top w:val="nil"/>
          <w:bottom w:val="nil"/>
          <w:insideH w:val="nil"/>
          <w:insideV w:val="nil"/>
        </w:tcBorders>
        <w:shd w:val="clear" w:color="auto" w:fill="EBF8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single" w:sz="8" w:space="0" w:color="00A9D3" w:themeColor="accent1" w:themeTint="BF"/>
      </w:tblBorders>
    </w:tblPr>
    <w:tblStylePr w:type="firstRow">
      <w:pPr>
        <w:spacing w:before="0" w:after="0" w:line="240" w:lineRule="auto"/>
      </w:pPr>
      <w:rPr>
        <w:b/>
        <w:bCs/>
        <w:color w:val="FFFFFF" w:themeColor="background1"/>
      </w:rPr>
      <w:tblPr/>
      <w:tcPr>
        <w:tcBorders>
          <w:top w:val="single" w:sz="8"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shd w:val="clear" w:color="auto" w:fill="005A70" w:themeFill="accent1"/>
      </w:tcPr>
    </w:tblStylePr>
    <w:tblStylePr w:type="lastRow">
      <w:pPr>
        <w:spacing w:before="0" w:after="0" w:line="240" w:lineRule="auto"/>
      </w:pPr>
      <w:rPr>
        <w:b/>
        <w:bCs/>
      </w:rPr>
      <w:tblPr/>
      <w:tcPr>
        <w:tcBorders>
          <w:top w:val="double" w:sz="6" w:space="0" w:color="00A9D3" w:themeColor="accent1" w:themeTint="BF"/>
          <w:left w:val="single" w:sz="8" w:space="0" w:color="00A9D3" w:themeColor="accent1" w:themeTint="BF"/>
          <w:bottom w:val="single" w:sz="8" w:space="0" w:color="00A9D3" w:themeColor="accent1" w:themeTint="BF"/>
          <w:right w:val="single" w:sz="8" w:space="0" w:color="00A9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1" w:themeFillTint="3F"/>
      </w:tcPr>
    </w:tblStylePr>
    <w:tblStylePr w:type="band1Horz">
      <w:tblPr/>
      <w:tcPr>
        <w:tcBorders>
          <w:insideH w:val="nil"/>
          <w:insideV w:val="nil"/>
        </w:tcBorders>
        <w:shd w:val="clear" w:color="auto" w:fill="9CEB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single" w:sz="8" w:space="0" w:color="0BF2FF" w:themeColor="accent2" w:themeTint="BF"/>
      </w:tblBorders>
    </w:tblPr>
    <w:tblStylePr w:type="firstRow">
      <w:pPr>
        <w:spacing w:before="0" w:after="0" w:line="240" w:lineRule="auto"/>
      </w:pPr>
      <w:rPr>
        <w:b/>
        <w:bCs/>
        <w:color w:val="FFFFFF" w:themeColor="background1"/>
      </w:rPr>
      <w:tblPr/>
      <w:tcPr>
        <w:tcBorders>
          <w:top w:val="single" w:sz="8"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shd w:val="clear" w:color="auto" w:fill="00B0B9" w:themeFill="accent2"/>
      </w:tcPr>
    </w:tblStylePr>
    <w:tblStylePr w:type="lastRow">
      <w:pPr>
        <w:spacing w:before="0" w:after="0" w:line="240" w:lineRule="auto"/>
      </w:pPr>
      <w:rPr>
        <w:b/>
        <w:bCs/>
      </w:rPr>
      <w:tblPr/>
      <w:tcPr>
        <w:tcBorders>
          <w:top w:val="double" w:sz="6" w:space="0" w:color="0BF2FF" w:themeColor="accent2" w:themeTint="BF"/>
          <w:left w:val="single" w:sz="8" w:space="0" w:color="0BF2FF" w:themeColor="accent2" w:themeTint="BF"/>
          <w:bottom w:val="single" w:sz="8" w:space="0" w:color="0BF2FF" w:themeColor="accent2" w:themeTint="BF"/>
          <w:right w:val="single" w:sz="8" w:space="0" w:color="0BF2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2" w:themeFillTint="3F"/>
      </w:tcPr>
    </w:tblStylePr>
    <w:tblStylePr w:type="band1Horz">
      <w:tblPr/>
      <w:tcPr>
        <w:tcBorders>
          <w:insideH w:val="nil"/>
          <w:insideV w:val="nil"/>
        </w:tcBorders>
        <w:shd w:val="clear" w:color="auto" w:fill="AEF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single" w:sz="8" w:space="0" w:color="C4EAEA" w:themeColor="accent3" w:themeTint="BF"/>
      </w:tblBorders>
    </w:tblPr>
    <w:tblStylePr w:type="firstRow">
      <w:pPr>
        <w:spacing w:before="0" w:after="0" w:line="240" w:lineRule="auto"/>
      </w:pPr>
      <w:rPr>
        <w:b/>
        <w:bCs/>
        <w:color w:val="FFFFFF" w:themeColor="background1"/>
      </w:rPr>
      <w:tblPr/>
      <w:tcPr>
        <w:tcBorders>
          <w:top w:val="single" w:sz="8"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shd w:val="clear" w:color="auto" w:fill="B1E4E3" w:themeFill="accent3"/>
      </w:tcPr>
    </w:tblStylePr>
    <w:tblStylePr w:type="lastRow">
      <w:pPr>
        <w:spacing w:before="0" w:after="0" w:line="240" w:lineRule="auto"/>
      </w:pPr>
      <w:rPr>
        <w:b/>
        <w:bCs/>
      </w:rPr>
      <w:tblPr/>
      <w:tcPr>
        <w:tcBorders>
          <w:top w:val="double" w:sz="6" w:space="0" w:color="C4EAEA" w:themeColor="accent3" w:themeTint="BF"/>
          <w:left w:val="single" w:sz="8" w:space="0" w:color="C4EAEA" w:themeColor="accent3" w:themeTint="BF"/>
          <w:bottom w:val="single" w:sz="8" w:space="0" w:color="C4EAEA" w:themeColor="accent3" w:themeTint="BF"/>
          <w:right w:val="single" w:sz="8" w:space="0" w:color="C4EAE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3" w:themeFillTint="3F"/>
      </w:tcPr>
    </w:tblStylePr>
    <w:tblStylePr w:type="band1Horz">
      <w:tblPr/>
      <w:tcPr>
        <w:tcBorders>
          <w:insideH w:val="nil"/>
          <w:insideV w:val="nil"/>
        </w:tcBorders>
        <w:shd w:val="clear" w:color="auto" w:fill="EBF8F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single" w:sz="8" w:space="0" w:color="00A9D3" w:themeColor="accent4" w:themeTint="BF"/>
      </w:tblBorders>
    </w:tblPr>
    <w:tblStylePr w:type="firstRow">
      <w:pPr>
        <w:spacing w:before="0" w:after="0" w:line="240" w:lineRule="auto"/>
      </w:pPr>
      <w:rPr>
        <w:b/>
        <w:bCs/>
        <w:color w:val="FFFFFF" w:themeColor="background1"/>
      </w:rPr>
      <w:tblPr/>
      <w:tcPr>
        <w:tcBorders>
          <w:top w:val="single" w:sz="8"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shd w:val="clear" w:color="auto" w:fill="005A70" w:themeFill="accent4"/>
      </w:tcPr>
    </w:tblStylePr>
    <w:tblStylePr w:type="lastRow">
      <w:pPr>
        <w:spacing w:before="0" w:after="0" w:line="240" w:lineRule="auto"/>
      </w:pPr>
      <w:rPr>
        <w:b/>
        <w:bCs/>
      </w:rPr>
      <w:tblPr/>
      <w:tcPr>
        <w:tcBorders>
          <w:top w:val="double" w:sz="6" w:space="0" w:color="00A9D3" w:themeColor="accent4" w:themeTint="BF"/>
          <w:left w:val="single" w:sz="8" w:space="0" w:color="00A9D3" w:themeColor="accent4" w:themeTint="BF"/>
          <w:bottom w:val="single" w:sz="8" w:space="0" w:color="00A9D3" w:themeColor="accent4" w:themeTint="BF"/>
          <w:right w:val="single" w:sz="8" w:space="0" w:color="00A9D3" w:themeColor="accent4" w:themeTint="BF"/>
          <w:insideH w:val="nil"/>
          <w:insideV w:val="nil"/>
        </w:tcBorders>
      </w:tcPr>
    </w:tblStylePr>
    <w:tblStylePr w:type="firstCol">
      <w:rPr>
        <w:b/>
        <w:bCs/>
      </w:rPr>
    </w:tblStylePr>
    <w:tblStylePr w:type="lastCol">
      <w:rPr>
        <w:b/>
        <w:bCs/>
      </w:rPr>
    </w:tblStylePr>
    <w:tblStylePr w:type="band1Vert">
      <w:tblPr/>
      <w:tcPr>
        <w:shd w:val="clear" w:color="auto" w:fill="9CEBFF" w:themeFill="accent4" w:themeFillTint="3F"/>
      </w:tcPr>
    </w:tblStylePr>
    <w:tblStylePr w:type="band1Horz">
      <w:tblPr/>
      <w:tcPr>
        <w:tcBorders>
          <w:insideH w:val="nil"/>
          <w:insideV w:val="nil"/>
        </w:tcBorders>
        <w:shd w:val="clear" w:color="auto" w:fill="9CEB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single" w:sz="8" w:space="0" w:color="0BF2FF" w:themeColor="accent5" w:themeTint="BF"/>
      </w:tblBorders>
    </w:tblPr>
    <w:tblStylePr w:type="firstRow">
      <w:pPr>
        <w:spacing w:before="0" w:after="0" w:line="240" w:lineRule="auto"/>
      </w:pPr>
      <w:rPr>
        <w:b/>
        <w:bCs/>
        <w:color w:val="FFFFFF" w:themeColor="background1"/>
      </w:rPr>
      <w:tblPr/>
      <w:tcPr>
        <w:tcBorders>
          <w:top w:val="single" w:sz="8"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shd w:val="clear" w:color="auto" w:fill="00B0B9" w:themeFill="accent5"/>
      </w:tcPr>
    </w:tblStylePr>
    <w:tblStylePr w:type="lastRow">
      <w:pPr>
        <w:spacing w:before="0" w:after="0" w:line="240" w:lineRule="auto"/>
      </w:pPr>
      <w:rPr>
        <w:b/>
        <w:bCs/>
      </w:rPr>
      <w:tblPr/>
      <w:tcPr>
        <w:tcBorders>
          <w:top w:val="double" w:sz="6" w:space="0" w:color="0BF2FF" w:themeColor="accent5" w:themeTint="BF"/>
          <w:left w:val="single" w:sz="8" w:space="0" w:color="0BF2FF" w:themeColor="accent5" w:themeTint="BF"/>
          <w:bottom w:val="single" w:sz="8" w:space="0" w:color="0BF2FF" w:themeColor="accent5" w:themeTint="BF"/>
          <w:right w:val="single" w:sz="8" w:space="0" w:color="0BF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EFAFF" w:themeFill="accent5" w:themeFillTint="3F"/>
      </w:tcPr>
    </w:tblStylePr>
    <w:tblStylePr w:type="band1Horz">
      <w:tblPr/>
      <w:tcPr>
        <w:tcBorders>
          <w:insideH w:val="nil"/>
          <w:insideV w:val="nil"/>
        </w:tcBorders>
        <w:shd w:val="clear" w:color="auto" w:fill="AEFA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61D2E"/>
    <w:pPr>
      <w:spacing w:after="0" w:line="240" w:lineRule="auto"/>
    </w:pPr>
    <w:rPr>
      <w:rFonts w:ascii="Times New Roman" w:hAnsi="Times New Roman"/>
      <w:sz w:val="20"/>
      <w:szCs w:val="20"/>
    </w:rPr>
    <w:tblPr>
      <w:tblStyleRowBandSize w:val="1"/>
      <w:tblStyleColBandSize w:val="1"/>
      <w:tbl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single" w:sz="8" w:space="0" w:color="C4EAEA" w:themeColor="accent6" w:themeTint="BF"/>
      </w:tblBorders>
    </w:tblPr>
    <w:tblStylePr w:type="firstRow">
      <w:pPr>
        <w:spacing w:before="0" w:after="0" w:line="240" w:lineRule="auto"/>
      </w:pPr>
      <w:rPr>
        <w:b/>
        <w:bCs/>
        <w:color w:val="FFFFFF" w:themeColor="background1"/>
      </w:rPr>
      <w:tblPr/>
      <w:tcPr>
        <w:tcBorders>
          <w:top w:val="single" w:sz="8"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shd w:val="clear" w:color="auto" w:fill="B1E4E3" w:themeFill="accent6"/>
      </w:tcPr>
    </w:tblStylePr>
    <w:tblStylePr w:type="lastRow">
      <w:pPr>
        <w:spacing w:before="0" w:after="0" w:line="240" w:lineRule="auto"/>
      </w:pPr>
      <w:rPr>
        <w:b/>
        <w:bCs/>
      </w:rPr>
      <w:tblPr/>
      <w:tcPr>
        <w:tcBorders>
          <w:top w:val="double" w:sz="6" w:space="0" w:color="C4EAEA" w:themeColor="accent6" w:themeTint="BF"/>
          <w:left w:val="single" w:sz="8" w:space="0" w:color="C4EAEA" w:themeColor="accent6" w:themeTint="BF"/>
          <w:bottom w:val="single" w:sz="8" w:space="0" w:color="C4EAEA" w:themeColor="accent6" w:themeTint="BF"/>
          <w:right w:val="single" w:sz="8" w:space="0" w:color="C4EAEA"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8F8" w:themeFill="accent6" w:themeFillTint="3F"/>
      </w:tcPr>
    </w:tblStylePr>
    <w:tblStylePr w:type="band1Horz">
      <w:tblPr/>
      <w:tcPr>
        <w:tcBorders>
          <w:insideH w:val="nil"/>
          <w:insideV w:val="nil"/>
        </w:tcBorders>
        <w:shd w:val="clear" w:color="auto" w:fill="EBF8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1"/>
      </w:tcPr>
    </w:tblStylePr>
    <w:tblStylePr w:type="lastCol">
      <w:rPr>
        <w:b/>
        <w:bCs/>
        <w:color w:val="FFFFFF" w:themeColor="background1"/>
      </w:rPr>
      <w:tblPr/>
      <w:tcPr>
        <w:tcBorders>
          <w:left w:val="nil"/>
          <w:right w:val="nil"/>
          <w:insideH w:val="nil"/>
          <w:insideV w:val="nil"/>
        </w:tcBorders>
        <w:shd w:val="clear" w:color="auto" w:fill="005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2"/>
      </w:tcPr>
    </w:tblStylePr>
    <w:tblStylePr w:type="lastCol">
      <w:rPr>
        <w:b/>
        <w:bCs/>
        <w:color w:val="FFFFFF" w:themeColor="background1"/>
      </w:rPr>
      <w:tblPr/>
      <w:tcPr>
        <w:tcBorders>
          <w:left w:val="nil"/>
          <w:right w:val="nil"/>
          <w:insideH w:val="nil"/>
          <w:insideV w:val="nil"/>
        </w:tcBorders>
        <w:shd w:val="clear" w:color="auto" w:fill="00B0B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3"/>
      </w:tcPr>
    </w:tblStylePr>
    <w:tblStylePr w:type="lastCol">
      <w:rPr>
        <w:b/>
        <w:bCs/>
        <w:color w:val="FFFFFF" w:themeColor="background1"/>
      </w:rPr>
      <w:tblPr/>
      <w:tcPr>
        <w:tcBorders>
          <w:left w:val="nil"/>
          <w:right w:val="nil"/>
          <w:insideH w:val="nil"/>
          <w:insideV w:val="nil"/>
        </w:tcBorders>
        <w:shd w:val="clear" w:color="auto" w:fill="B1E4E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7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A70" w:themeFill="accent4"/>
      </w:tcPr>
    </w:tblStylePr>
    <w:tblStylePr w:type="lastCol">
      <w:rPr>
        <w:b/>
        <w:bCs/>
        <w:color w:val="FFFFFF" w:themeColor="background1"/>
      </w:rPr>
      <w:tblPr/>
      <w:tcPr>
        <w:tcBorders>
          <w:left w:val="nil"/>
          <w:right w:val="nil"/>
          <w:insideH w:val="nil"/>
          <w:insideV w:val="nil"/>
        </w:tcBorders>
        <w:shd w:val="clear" w:color="auto" w:fill="005A7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B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0B9" w:themeFill="accent5"/>
      </w:tcPr>
    </w:tblStylePr>
    <w:tblStylePr w:type="lastCol">
      <w:rPr>
        <w:b/>
        <w:bCs/>
        <w:color w:val="FFFFFF" w:themeColor="background1"/>
      </w:rPr>
      <w:tblPr/>
      <w:tcPr>
        <w:tcBorders>
          <w:left w:val="nil"/>
          <w:right w:val="nil"/>
          <w:insideH w:val="nil"/>
          <w:insideV w:val="nil"/>
        </w:tcBorders>
        <w:shd w:val="clear" w:color="auto" w:fill="00B0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61D2E"/>
    <w:pPr>
      <w:spacing w:after="0" w:line="240" w:lineRule="auto"/>
    </w:pPr>
    <w:rPr>
      <w:rFonts w:ascii="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E4E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E4E3" w:themeFill="accent6"/>
      </w:tcPr>
    </w:tblStylePr>
    <w:tblStylePr w:type="lastCol">
      <w:rPr>
        <w:b/>
        <w:bCs/>
        <w:color w:val="FFFFFF" w:themeColor="background1"/>
      </w:rPr>
      <w:tblPr/>
      <w:tcPr>
        <w:tcBorders>
          <w:left w:val="nil"/>
          <w:right w:val="nil"/>
          <w:insideH w:val="nil"/>
          <w:insideV w:val="nil"/>
        </w:tcBorders>
        <w:shd w:val="clear" w:color="auto" w:fill="B1E4E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C61D2E"/>
    <w:rPr>
      <w:color w:val="2B579A"/>
      <w:shd w:val="clear" w:color="auto" w:fill="E1DFDD"/>
    </w:rPr>
  </w:style>
  <w:style w:type="paragraph" w:styleId="NoteHeading">
    <w:name w:val="Note Heading"/>
    <w:basedOn w:val="Normal"/>
    <w:next w:val="Normal"/>
    <w:link w:val="NoteHeadingChar"/>
    <w:uiPriority w:val="99"/>
    <w:semiHidden/>
    <w:unhideWhenUsed/>
    <w:rsid w:val="00C61D2E"/>
    <w:pPr>
      <w:spacing w:before="0" w:after="0"/>
    </w:pPr>
    <w:rPr>
      <w:rFonts w:ascii="Times New Roman" w:eastAsiaTheme="minorHAnsi" w:hAnsi="Times New Roman" w:cstheme="minorBidi"/>
      <w:spacing w:val="0"/>
      <w:sz w:val="22"/>
      <w:szCs w:val="20"/>
      <w:lang w:eastAsia="en-US"/>
    </w:rPr>
  </w:style>
  <w:style w:type="character" w:customStyle="1" w:styleId="NoteHeadingChar">
    <w:name w:val="Note Heading Char"/>
    <w:basedOn w:val="DefaultParagraphFont"/>
    <w:link w:val="NoteHeading"/>
    <w:uiPriority w:val="99"/>
    <w:semiHidden/>
    <w:rsid w:val="00C61D2E"/>
    <w:rPr>
      <w:rFonts w:ascii="Times New Roman" w:hAnsi="Times New Roman"/>
      <w:szCs w:val="20"/>
    </w:rPr>
  </w:style>
  <w:style w:type="character" w:styleId="PlaceholderText">
    <w:name w:val="Placeholder Text"/>
    <w:basedOn w:val="DefaultParagraphFont"/>
    <w:uiPriority w:val="99"/>
    <w:semiHidden/>
    <w:rsid w:val="00C61D2E"/>
    <w:rPr>
      <w:color w:val="808080"/>
    </w:rPr>
  </w:style>
  <w:style w:type="table" w:styleId="PlainTable1">
    <w:name w:val="Plain Table 1"/>
    <w:basedOn w:val="TableNormal"/>
    <w:uiPriority w:val="41"/>
    <w:rsid w:val="00C61D2E"/>
    <w:pPr>
      <w:spacing w:after="0" w:line="240" w:lineRule="auto"/>
    </w:pPr>
    <w:rPr>
      <w:rFonts w:ascii="Times New Roman" w:hAnsi="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1D2E"/>
    <w:pPr>
      <w:spacing w:after="0" w:line="240" w:lineRule="auto"/>
    </w:pPr>
    <w:rPr>
      <w:rFonts w:ascii="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61D2E"/>
    <w:pPr>
      <w:spacing w:after="0" w:line="240" w:lineRule="auto"/>
    </w:pPr>
    <w:rPr>
      <w:rFonts w:ascii="Times New Roman" w:hAnsi="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61D2E"/>
    <w:pPr>
      <w:spacing w:after="0" w:line="240" w:lineRule="auto"/>
    </w:pPr>
    <w:rPr>
      <w:rFonts w:ascii="Times New Roman" w:hAnsi="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61D2E"/>
    <w:pPr>
      <w:spacing w:after="0" w:line="240" w:lineRule="auto"/>
    </w:pPr>
    <w:rPr>
      <w:rFonts w:ascii="Times New Roman" w:hAnsi="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61D2E"/>
    <w:rPr>
      <w:u w:val="dotted"/>
    </w:rPr>
  </w:style>
  <w:style w:type="character" w:customStyle="1" w:styleId="charsectno0">
    <w:name w:val="charsectno"/>
    <w:basedOn w:val="DefaultParagraphFont"/>
    <w:rsid w:val="00C61D2E"/>
  </w:style>
  <w:style w:type="paragraph" w:customStyle="1" w:styleId="Style1">
    <w:name w:val="Style1"/>
    <w:basedOn w:val="Heading3withoutnumbering"/>
    <w:link w:val="Style1Char"/>
    <w:qFormat/>
    <w:rsid w:val="005C469B"/>
    <w:rPr>
      <w:rFonts w:cs="Calibri"/>
    </w:rPr>
  </w:style>
  <w:style w:type="character" w:customStyle="1" w:styleId="Heading3withoutnumberingChar">
    <w:name w:val="Heading 3 without numbering Char"/>
    <w:basedOn w:val="Heading3Char"/>
    <w:link w:val="Heading3withoutnumbering"/>
    <w:rsid w:val="00185B91"/>
    <w:rPr>
      <w:rFonts w:ascii="Calibri" w:eastAsiaTheme="majorEastAsia" w:hAnsi="Calibri" w:cs="Arial"/>
      <w:b/>
      <w:bCs w:val="0"/>
      <w:color w:val="0070C0"/>
      <w:spacing w:val="4"/>
      <w:sz w:val="20"/>
      <w:szCs w:val="20"/>
      <w:lang w:eastAsia="en-AU"/>
    </w:rPr>
  </w:style>
  <w:style w:type="character" w:customStyle="1" w:styleId="Style1Char">
    <w:name w:val="Style1 Char"/>
    <w:basedOn w:val="Heading3withoutnumberingChar"/>
    <w:link w:val="Style1"/>
    <w:rsid w:val="005C469B"/>
    <w:rPr>
      <w:rFonts w:ascii="Calibri" w:eastAsiaTheme="majorEastAsia" w:hAnsi="Calibri" w:cs="Calibri"/>
      <w:b/>
      <w:bCs w:val="0"/>
      <w:color w:val="0070C0"/>
      <w:spacing w:val="4"/>
      <w:sz w:val="20"/>
      <w:szCs w:val="20"/>
      <w:lang w:eastAsia="en-AU"/>
    </w:rPr>
  </w:style>
  <w:style w:type="paragraph" w:customStyle="1" w:styleId="Style2">
    <w:name w:val="Style2"/>
    <w:basedOn w:val="Normal"/>
    <w:link w:val="Style2Char"/>
    <w:qFormat/>
    <w:rsid w:val="00DE369D"/>
    <w:rPr>
      <w:rFonts w:cs="Calibri"/>
      <w:b/>
      <w:bCs/>
      <w:sz w:val="28"/>
      <w:szCs w:val="28"/>
    </w:rPr>
  </w:style>
  <w:style w:type="character" w:customStyle="1" w:styleId="Style2Char">
    <w:name w:val="Style2 Char"/>
    <w:basedOn w:val="DefaultParagraphFont"/>
    <w:link w:val="Style2"/>
    <w:rsid w:val="00DE369D"/>
    <w:rPr>
      <w:rFonts w:ascii="Calibri" w:eastAsia="Times New Roman" w:hAnsi="Calibri" w:cs="Calibri"/>
      <w:b/>
      <w:bCs/>
      <w:spacing w:val="4"/>
      <w:sz w:val="28"/>
      <w:szCs w:val="28"/>
      <w:lang w:eastAsia="en-AU"/>
    </w:rPr>
  </w:style>
  <w:style w:type="paragraph" w:customStyle="1" w:styleId="Boxheading">
    <w:name w:val="Box heading"/>
    <w:basedOn w:val="Boxtype"/>
    <w:qFormat/>
    <w:rsid w:val="00FC08DA"/>
    <w:pPr>
      <w:spacing w:before="240"/>
    </w:pPr>
    <w:rPr>
      <w:rFonts w:cs="Times New Roman"/>
      <w:b/>
      <w:bCs/>
      <w:caps/>
      <w:color w:val="358189"/>
      <w:szCs w:val="20"/>
    </w:rPr>
  </w:style>
  <w:style w:type="paragraph" w:customStyle="1" w:styleId="ImageTitle">
    <w:name w:val="Image Title"/>
    <w:locked/>
    <w:rsid w:val="00FC08DA"/>
    <w:pPr>
      <w:tabs>
        <w:tab w:val="num" w:pos="1080"/>
      </w:tabs>
      <w:spacing w:before="120" w:after="0" w:line="240" w:lineRule="exact"/>
    </w:pPr>
    <w:rPr>
      <w:rFonts w:ascii="Arial" w:eastAsia="Times New Roman" w:hAnsi="Arial" w:cs="Times New Roman"/>
      <w:color w:val="000000" w:themeColor="text1"/>
      <w:szCs w:val="24"/>
    </w:rPr>
  </w:style>
  <w:style w:type="paragraph" w:customStyle="1" w:styleId="TableText0">
    <w:name w:val="Table Text"/>
    <w:autoRedefine/>
    <w:qFormat/>
    <w:locked/>
    <w:rsid w:val="00FC08DA"/>
    <w:pPr>
      <w:spacing w:before="60" w:after="60" w:line="240" w:lineRule="auto"/>
    </w:pPr>
    <w:rPr>
      <w:rFonts w:ascii="Arial" w:eastAsia="Times New Roman" w:hAnsi="Arial" w:cs="Times New Roman"/>
      <w:color w:val="000000" w:themeColor="text1"/>
      <w:szCs w:val="24"/>
    </w:rPr>
  </w:style>
  <w:style w:type="paragraph" w:customStyle="1" w:styleId="TableTitle">
    <w:name w:val="Table Title"/>
    <w:link w:val="TableTitleChar"/>
    <w:qFormat/>
    <w:locked/>
    <w:rsid w:val="00FC08DA"/>
    <w:pPr>
      <w:spacing w:before="120" w:after="120" w:line="240" w:lineRule="auto"/>
    </w:pPr>
    <w:rPr>
      <w:rFonts w:ascii="Arial" w:eastAsia="Times New Roman" w:hAnsi="Arial" w:cs="Times New Roman"/>
      <w:b/>
      <w:color w:val="000000" w:themeColor="text1"/>
      <w:szCs w:val="24"/>
      <w:lang w:val="en-US"/>
    </w:rPr>
  </w:style>
  <w:style w:type="paragraph" w:customStyle="1" w:styleId="TableHeaderWhite">
    <w:name w:val="Table Header White"/>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Tablehead">
    <w:name w:val="Table_head"/>
    <w:basedOn w:val="Normal"/>
    <w:locked/>
    <w:rsid w:val="00FC08DA"/>
    <w:pPr>
      <w:spacing w:before="60" w:line="276" w:lineRule="auto"/>
    </w:pPr>
    <w:rPr>
      <w:rFonts w:cs="Arial"/>
      <w:b/>
      <w:color w:val="000000" w:themeColor="text1"/>
      <w:spacing w:val="0"/>
      <w:lang w:eastAsia="en-US"/>
    </w:rPr>
  </w:style>
  <w:style w:type="paragraph" w:customStyle="1" w:styleId="FigureTitle">
    <w:name w:val="Figure Title"/>
    <w:next w:val="Normal"/>
    <w:qFormat/>
    <w:rsid w:val="00FC08DA"/>
    <w:pPr>
      <w:spacing w:before="120" w:after="120" w:line="240" w:lineRule="auto"/>
    </w:pPr>
    <w:rPr>
      <w:rFonts w:ascii="Arial" w:eastAsia="Times New Roman" w:hAnsi="Arial" w:cs="Arial"/>
      <w:b/>
      <w:bCs/>
      <w:iCs/>
      <w:color w:val="000000" w:themeColor="text1"/>
    </w:rPr>
  </w:style>
  <w:style w:type="paragraph" w:customStyle="1" w:styleId="Headertext">
    <w:name w:val="Header text"/>
    <w:rsid w:val="00FC08DA"/>
    <w:pPr>
      <w:spacing w:after="0" w:line="240" w:lineRule="auto"/>
      <w:jc w:val="right"/>
    </w:pPr>
    <w:rPr>
      <w:rFonts w:ascii="Arial" w:eastAsia="Times New Roman" w:hAnsi="Arial" w:cs="Times New Roman"/>
      <w:sz w:val="20"/>
      <w:szCs w:val="24"/>
    </w:rPr>
  </w:style>
  <w:style w:type="table" w:customStyle="1" w:styleId="PHNGreyTable">
    <w:name w:val="PHN Grey Table"/>
    <w:basedOn w:val="TableNormal"/>
    <w:uiPriority w:val="99"/>
    <w:rsid w:val="00FC08DA"/>
    <w:pPr>
      <w:spacing w:before="120" w:after="120" w:line="240" w:lineRule="auto"/>
    </w:pPr>
    <w:rPr>
      <w:rFonts w:ascii="Arial" w:eastAsia="Times New Roman" w:hAnsi="Arial" w:cs="Times New Roman"/>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FC08DA"/>
    <w:pPr>
      <w:numPr>
        <w:numId w:val="61"/>
      </w:numPr>
    </w:pPr>
    <w:rPr>
      <w:szCs w:val="20"/>
    </w:rPr>
  </w:style>
  <w:style w:type="paragraph" w:customStyle="1" w:styleId="Tablelistnumber">
    <w:name w:val="Table list number"/>
    <w:basedOn w:val="Tabletextleft"/>
    <w:qFormat/>
    <w:rsid w:val="005242AC"/>
    <w:pPr>
      <w:numPr>
        <w:numId w:val="62"/>
      </w:numPr>
    </w:pPr>
    <w:rPr>
      <w:rFonts w:ascii="Calibri" w:hAnsi="Calibri"/>
      <w:bCs/>
      <w:sz w:val="20"/>
      <w14:numSpacing w14:val="proportional"/>
    </w:rPr>
  </w:style>
  <w:style w:type="paragraph" w:customStyle="1" w:styleId="TableHeader">
    <w:name w:val="Table Header"/>
    <w:basedOn w:val="Normal"/>
    <w:next w:val="Tabletextleft"/>
    <w:qFormat/>
    <w:rsid w:val="00FC08DA"/>
    <w:pPr>
      <w:spacing w:before="80" w:after="80" w:line="276" w:lineRule="auto"/>
    </w:pPr>
    <w:rPr>
      <w:rFonts w:eastAsia="Cambria"/>
      <w:b/>
      <w:color w:val="FFFFFF" w:themeColor="background1"/>
      <w:spacing w:val="0"/>
      <w:sz w:val="22"/>
      <w:szCs w:val="22"/>
      <w:lang w:val="en-US" w:eastAsia="en-US"/>
    </w:rPr>
  </w:style>
  <w:style w:type="paragraph" w:customStyle="1" w:styleId="VisionBox">
    <w:name w:val="VisionBox"/>
    <w:basedOn w:val="Normal"/>
    <w:qFormat/>
    <w:rsid w:val="00FC08DA"/>
    <w:pPr>
      <w:pBdr>
        <w:top w:val="single" w:sz="4" w:space="15" w:color="358189"/>
        <w:bottom w:val="single" w:sz="4" w:space="10" w:color="358189"/>
      </w:pBdr>
      <w:spacing w:before="240" w:after="240" w:line="340" w:lineRule="exact"/>
    </w:pPr>
    <w:rPr>
      <w:rFonts w:eastAsiaTheme="minorHAnsi"/>
      <w:color w:val="358189"/>
      <w:spacing w:val="0"/>
      <w:sz w:val="22"/>
      <w:lang w:eastAsia="en-US"/>
    </w:rPr>
  </w:style>
  <w:style w:type="paragraph" w:customStyle="1" w:styleId="Boxtype">
    <w:name w:val="Box type"/>
    <w:next w:val="Normal"/>
    <w:qFormat/>
    <w:rsid w:val="00FC08DA"/>
    <w:pPr>
      <w:pBdr>
        <w:top w:val="single" w:sz="6" w:space="20" w:color="358189"/>
        <w:left w:val="single" w:sz="6" w:space="10" w:color="358189"/>
        <w:bottom w:val="single" w:sz="6" w:space="10" w:color="358189"/>
        <w:right w:val="single" w:sz="6" w:space="10" w:color="358189"/>
      </w:pBdr>
      <w:spacing w:after="240"/>
      <w:ind w:left="227" w:right="227"/>
    </w:pPr>
    <w:rPr>
      <w:rFonts w:ascii="Arial" w:eastAsia="Times New Roman" w:hAnsi="Arial" w:cs="Arial"/>
      <w:color w:val="000000" w:themeColor="text1"/>
      <w:szCs w:val="24"/>
      <w:lang w:val="en"/>
    </w:rPr>
  </w:style>
  <w:style w:type="paragraph" w:customStyle="1" w:styleId="PolicyStatement">
    <w:name w:val="PolicyStatement"/>
    <w:basedOn w:val="Normal"/>
    <w:qFormat/>
    <w:rsid w:val="00FC08DA"/>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color w:val="000000" w:themeColor="text1"/>
      <w:spacing w:val="0"/>
      <w:sz w:val="22"/>
      <w:lang w:eastAsia="en-US"/>
    </w:rPr>
  </w:style>
  <w:style w:type="paragraph" w:customStyle="1" w:styleId="IntroPara">
    <w:name w:val="Intro Para"/>
    <w:basedOn w:val="Normal"/>
    <w:next w:val="Normal"/>
    <w:qFormat/>
    <w:rsid w:val="00FC08DA"/>
    <w:pPr>
      <w:spacing w:before="480" w:line="400" w:lineRule="exact"/>
    </w:pPr>
    <w:rPr>
      <w:color w:val="358189"/>
      <w:spacing w:val="0"/>
      <w:sz w:val="28"/>
      <w:lang w:eastAsia="en-US"/>
    </w:rPr>
  </w:style>
  <w:style w:type="paragraph" w:customStyle="1" w:styleId="Intropara0">
    <w:name w:val="Intro para"/>
    <w:basedOn w:val="VisionBox"/>
    <w:rsid w:val="00FC08DA"/>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FC08DA"/>
    <w:pPr>
      <w:spacing w:after="0" w:line="240" w:lineRule="auto"/>
    </w:pPr>
    <w:rPr>
      <w:rFonts w:ascii="Arial" w:eastAsia="Times New Roman" w:hAnsi="Arial" w:cs="Times New Roman"/>
      <w:color w:val="000000" w:themeColor="text1"/>
      <w:sz w:val="2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FC08DA"/>
    <w:pPr>
      <w:spacing w:line="276" w:lineRule="auto"/>
    </w:pPr>
    <w:rPr>
      <w:b/>
      <w:bCs/>
      <w:color w:val="000000" w:themeColor="text1"/>
      <w:spacing w:val="0"/>
      <w:sz w:val="22"/>
      <w:szCs w:val="20"/>
      <w:lang w:eastAsia="en-US"/>
    </w:rPr>
  </w:style>
  <w:style w:type="paragraph" w:customStyle="1" w:styleId="Tableheader0">
    <w:name w:val="Table header"/>
    <w:basedOn w:val="Normal"/>
    <w:rsid w:val="00FC08DA"/>
    <w:pPr>
      <w:spacing w:before="80" w:after="80" w:line="276" w:lineRule="auto"/>
    </w:pPr>
    <w:rPr>
      <w:b/>
      <w:bCs/>
      <w:color w:val="FFFFFF" w:themeColor="background1"/>
      <w:spacing w:val="0"/>
      <w:sz w:val="22"/>
      <w:szCs w:val="20"/>
      <w:lang w:eastAsia="en-US"/>
    </w:rPr>
  </w:style>
  <w:style w:type="paragraph" w:customStyle="1" w:styleId="Tabletextleft">
    <w:name w:val="Table text left"/>
    <w:autoRedefine/>
    <w:qFormat/>
    <w:rsid w:val="00FC08DA"/>
    <w:pPr>
      <w:spacing w:before="60" w:after="60" w:line="240" w:lineRule="auto"/>
    </w:pPr>
    <w:rPr>
      <w:rFonts w:ascii="Arial" w:eastAsia="Times New Roman" w:hAnsi="Arial" w:cs="Times New Roman"/>
      <w:color w:val="000000" w:themeColor="text1"/>
      <w:sz w:val="21"/>
      <w:szCs w:val="24"/>
    </w:rPr>
  </w:style>
  <w:style w:type="paragraph" w:customStyle="1" w:styleId="TabletextRight">
    <w:name w:val="Table text Right"/>
    <w:basedOn w:val="Tabletextleft"/>
    <w:rsid w:val="00FC08DA"/>
    <w:pPr>
      <w:jc w:val="right"/>
    </w:pPr>
  </w:style>
  <w:style w:type="paragraph" w:customStyle="1" w:styleId="Tabletextright0">
    <w:name w:val="Table text right"/>
    <w:basedOn w:val="Tabletextleft"/>
    <w:rsid w:val="00FC08DA"/>
    <w:pPr>
      <w:jc w:val="right"/>
    </w:pPr>
  </w:style>
  <w:style w:type="paragraph" w:customStyle="1" w:styleId="Footerrightpage">
    <w:name w:val="Footer right page"/>
    <w:basedOn w:val="Footer"/>
    <w:rsid w:val="00FC08DA"/>
    <w:pPr>
      <w:tabs>
        <w:tab w:val="clear" w:pos="4513"/>
        <w:tab w:val="center" w:pos="0"/>
      </w:tabs>
      <w:spacing w:before="0"/>
      <w:jc w:val="right"/>
    </w:pPr>
    <w:rPr>
      <w:spacing w:val="0"/>
      <w:lang w:eastAsia="en-US"/>
    </w:rPr>
  </w:style>
  <w:style w:type="paragraph" w:customStyle="1" w:styleId="Tabletextcentre">
    <w:name w:val="Table text centre"/>
    <w:basedOn w:val="Tabletextleft"/>
    <w:rsid w:val="00FC08DA"/>
    <w:pPr>
      <w:jc w:val="center"/>
    </w:pPr>
  </w:style>
  <w:style w:type="paragraph" w:customStyle="1" w:styleId="TableTextright1">
    <w:name w:val="Table Text right"/>
    <w:basedOn w:val="Tabletextleft"/>
    <w:rsid w:val="00FC08DA"/>
    <w:pPr>
      <w:jc w:val="right"/>
    </w:pPr>
  </w:style>
  <w:style w:type="character" w:customStyle="1" w:styleId="TableTitleChar">
    <w:name w:val="Table Title Char"/>
    <w:basedOn w:val="DefaultParagraphFont"/>
    <w:link w:val="TableTitle"/>
    <w:rsid w:val="00FC08DA"/>
    <w:rPr>
      <w:rFonts w:ascii="Arial" w:eastAsia="Times New Roman" w:hAnsi="Arial" w:cs="Times New Roman"/>
      <w:b/>
      <w:color w:val="000000" w:themeColor="text1"/>
      <w:szCs w:val="24"/>
      <w:lang w:val="en-US"/>
    </w:rPr>
  </w:style>
  <w:style w:type="paragraph" w:customStyle="1" w:styleId="URL">
    <w:name w:val="URL"/>
    <w:basedOn w:val="Normal"/>
    <w:rsid w:val="00FC08DA"/>
    <w:pPr>
      <w:spacing w:before="3120" w:line="276" w:lineRule="auto"/>
      <w:jc w:val="center"/>
    </w:pPr>
    <w:rPr>
      <w:b/>
      <w:bCs/>
      <w:color w:val="000000" w:themeColor="text1"/>
      <w:spacing w:val="0"/>
      <w:sz w:val="24"/>
      <w:szCs w:val="20"/>
      <w:lang w:eastAsia="en-US"/>
    </w:rPr>
  </w:style>
  <w:style w:type="paragraph" w:customStyle="1" w:styleId="TableParagraph">
    <w:name w:val="Table Paragraph"/>
    <w:basedOn w:val="Normal"/>
    <w:uiPriority w:val="1"/>
    <w:qFormat/>
    <w:rsid w:val="00497EDC"/>
    <w:pPr>
      <w:widowControl w:val="0"/>
      <w:spacing w:before="60" w:after="60"/>
    </w:pPr>
    <w:rPr>
      <w:rFonts w:eastAsiaTheme="minorEastAsia" w:cstheme="minorBidi"/>
      <w:spacing w:val="0"/>
      <w:sz w:val="21"/>
      <w:szCs w:val="22"/>
      <w:lang w:val="en-US" w:eastAsia="ja-JP"/>
    </w:rPr>
  </w:style>
  <w:style w:type="paragraph" w:customStyle="1" w:styleId="Style3">
    <w:name w:val="Style3"/>
    <w:basedOn w:val="Heading2"/>
    <w:link w:val="Style3Char"/>
    <w:qFormat/>
    <w:rsid w:val="002F095F"/>
    <w:pPr>
      <w:numPr>
        <w:ilvl w:val="2"/>
      </w:numPr>
      <w:tabs>
        <w:tab w:val="left" w:pos="2410"/>
      </w:tabs>
      <w:ind w:left="720"/>
    </w:pPr>
    <w:rPr>
      <w:rFonts w:ascii="Calibri" w:hAnsi="Calibri"/>
      <w:b/>
      <w:color w:val="auto"/>
      <w:sz w:val="20"/>
    </w:rPr>
  </w:style>
  <w:style w:type="character" w:customStyle="1" w:styleId="Style3Char">
    <w:name w:val="Style3 Char"/>
    <w:basedOn w:val="Heading2Char"/>
    <w:link w:val="Style3"/>
    <w:rsid w:val="002F095F"/>
    <w:rPr>
      <w:rFonts w:ascii="Calibri" w:eastAsiaTheme="majorEastAsia" w:hAnsi="Calibri" w:cstheme="majorBidi"/>
      <w:b/>
      <w:bCs/>
      <w:color w:val="005A70"/>
      <w:spacing w:val="4"/>
      <w:sz w:val="20"/>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469">
      <w:bodyDiv w:val="1"/>
      <w:marLeft w:val="0"/>
      <w:marRight w:val="0"/>
      <w:marTop w:val="0"/>
      <w:marBottom w:val="0"/>
      <w:divBdr>
        <w:top w:val="none" w:sz="0" w:space="0" w:color="auto"/>
        <w:left w:val="none" w:sz="0" w:space="0" w:color="auto"/>
        <w:bottom w:val="none" w:sz="0" w:space="0" w:color="auto"/>
        <w:right w:val="none" w:sz="0" w:space="0" w:color="auto"/>
      </w:divBdr>
    </w:div>
    <w:div w:id="60257378">
      <w:bodyDiv w:val="1"/>
      <w:marLeft w:val="0"/>
      <w:marRight w:val="0"/>
      <w:marTop w:val="0"/>
      <w:marBottom w:val="0"/>
      <w:divBdr>
        <w:top w:val="none" w:sz="0" w:space="0" w:color="auto"/>
        <w:left w:val="none" w:sz="0" w:space="0" w:color="auto"/>
        <w:bottom w:val="none" w:sz="0" w:space="0" w:color="auto"/>
        <w:right w:val="none" w:sz="0" w:space="0" w:color="auto"/>
      </w:divBdr>
    </w:div>
    <w:div w:id="70976472">
      <w:bodyDiv w:val="1"/>
      <w:marLeft w:val="0"/>
      <w:marRight w:val="0"/>
      <w:marTop w:val="0"/>
      <w:marBottom w:val="0"/>
      <w:divBdr>
        <w:top w:val="none" w:sz="0" w:space="0" w:color="auto"/>
        <w:left w:val="none" w:sz="0" w:space="0" w:color="auto"/>
        <w:bottom w:val="none" w:sz="0" w:space="0" w:color="auto"/>
        <w:right w:val="none" w:sz="0" w:space="0" w:color="auto"/>
      </w:divBdr>
    </w:div>
    <w:div w:id="71002770">
      <w:bodyDiv w:val="1"/>
      <w:marLeft w:val="0"/>
      <w:marRight w:val="0"/>
      <w:marTop w:val="0"/>
      <w:marBottom w:val="0"/>
      <w:divBdr>
        <w:top w:val="none" w:sz="0" w:space="0" w:color="auto"/>
        <w:left w:val="none" w:sz="0" w:space="0" w:color="auto"/>
        <w:bottom w:val="none" w:sz="0" w:space="0" w:color="auto"/>
        <w:right w:val="none" w:sz="0" w:space="0" w:color="auto"/>
      </w:divBdr>
    </w:div>
    <w:div w:id="99300860">
      <w:bodyDiv w:val="1"/>
      <w:marLeft w:val="0"/>
      <w:marRight w:val="0"/>
      <w:marTop w:val="0"/>
      <w:marBottom w:val="0"/>
      <w:divBdr>
        <w:top w:val="none" w:sz="0" w:space="0" w:color="auto"/>
        <w:left w:val="none" w:sz="0" w:space="0" w:color="auto"/>
        <w:bottom w:val="none" w:sz="0" w:space="0" w:color="auto"/>
        <w:right w:val="none" w:sz="0" w:space="0" w:color="auto"/>
      </w:divBdr>
    </w:div>
    <w:div w:id="158815657">
      <w:bodyDiv w:val="1"/>
      <w:marLeft w:val="0"/>
      <w:marRight w:val="0"/>
      <w:marTop w:val="0"/>
      <w:marBottom w:val="0"/>
      <w:divBdr>
        <w:top w:val="none" w:sz="0" w:space="0" w:color="auto"/>
        <w:left w:val="none" w:sz="0" w:space="0" w:color="auto"/>
        <w:bottom w:val="none" w:sz="0" w:space="0" w:color="auto"/>
        <w:right w:val="none" w:sz="0" w:space="0" w:color="auto"/>
      </w:divBdr>
    </w:div>
    <w:div w:id="192614465">
      <w:bodyDiv w:val="1"/>
      <w:marLeft w:val="0"/>
      <w:marRight w:val="0"/>
      <w:marTop w:val="0"/>
      <w:marBottom w:val="0"/>
      <w:divBdr>
        <w:top w:val="none" w:sz="0" w:space="0" w:color="auto"/>
        <w:left w:val="none" w:sz="0" w:space="0" w:color="auto"/>
        <w:bottom w:val="none" w:sz="0" w:space="0" w:color="auto"/>
        <w:right w:val="none" w:sz="0" w:space="0" w:color="auto"/>
      </w:divBdr>
    </w:div>
    <w:div w:id="197741916">
      <w:bodyDiv w:val="1"/>
      <w:marLeft w:val="0"/>
      <w:marRight w:val="0"/>
      <w:marTop w:val="0"/>
      <w:marBottom w:val="0"/>
      <w:divBdr>
        <w:top w:val="none" w:sz="0" w:space="0" w:color="auto"/>
        <w:left w:val="none" w:sz="0" w:space="0" w:color="auto"/>
        <w:bottom w:val="none" w:sz="0" w:space="0" w:color="auto"/>
        <w:right w:val="none" w:sz="0" w:space="0" w:color="auto"/>
      </w:divBdr>
    </w:div>
    <w:div w:id="277222300">
      <w:bodyDiv w:val="1"/>
      <w:marLeft w:val="0"/>
      <w:marRight w:val="0"/>
      <w:marTop w:val="0"/>
      <w:marBottom w:val="0"/>
      <w:divBdr>
        <w:top w:val="none" w:sz="0" w:space="0" w:color="auto"/>
        <w:left w:val="none" w:sz="0" w:space="0" w:color="auto"/>
        <w:bottom w:val="none" w:sz="0" w:space="0" w:color="auto"/>
        <w:right w:val="none" w:sz="0" w:space="0" w:color="auto"/>
      </w:divBdr>
    </w:div>
    <w:div w:id="286084012">
      <w:bodyDiv w:val="1"/>
      <w:marLeft w:val="0"/>
      <w:marRight w:val="0"/>
      <w:marTop w:val="0"/>
      <w:marBottom w:val="0"/>
      <w:divBdr>
        <w:top w:val="none" w:sz="0" w:space="0" w:color="auto"/>
        <w:left w:val="none" w:sz="0" w:space="0" w:color="auto"/>
        <w:bottom w:val="none" w:sz="0" w:space="0" w:color="auto"/>
        <w:right w:val="none" w:sz="0" w:space="0" w:color="auto"/>
      </w:divBdr>
    </w:div>
    <w:div w:id="301664524">
      <w:bodyDiv w:val="1"/>
      <w:marLeft w:val="0"/>
      <w:marRight w:val="0"/>
      <w:marTop w:val="0"/>
      <w:marBottom w:val="0"/>
      <w:divBdr>
        <w:top w:val="none" w:sz="0" w:space="0" w:color="auto"/>
        <w:left w:val="none" w:sz="0" w:space="0" w:color="auto"/>
        <w:bottom w:val="none" w:sz="0" w:space="0" w:color="auto"/>
        <w:right w:val="none" w:sz="0" w:space="0" w:color="auto"/>
      </w:divBdr>
    </w:div>
    <w:div w:id="309946153">
      <w:bodyDiv w:val="1"/>
      <w:marLeft w:val="0"/>
      <w:marRight w:val="0"/>
      <w:marTop w:val="0"/>
      <w:marBottom w:val="0"/>
      <w:divBdr>
        <w:top w:val="none" w:sz="0" w:space="0" w:color="auto"/>
        <w:left w:val="none" w:sz="0" w:space="0" w:color="auto"/>
        <w:bottom w:val="none" w:sz="0" w:space="0" w:color="auto"/>
        <w:right w:val="none" w:sz="0" w:space="0" w:color="auto"/>
      </w:divBdr>
    </w:div>
    <w:div w:id="343021909">
      <w:bodyDiv w:val="1"/>
      <w:marLeft w:val="0"/>
      <w:marRight w:val="0"/>
      <w:marTop w:val="0"/>
      <w:marBottom w:val="0"/>
      <w:divBdr>
        <w:top w:val="none" w:sz="0" w:space="0" w:color="auto"/>
        <w:left w:val="none" w:sz="0" w:space="0" w:color="auto"/>
        <w:bottom w:val="none" w:sz="0" w:space="0" w:color="auto"/>
        <w:right w:val="none" w:sz="0" w:space="0" w:color="auto"/>
      </w:divBdr>
    </w:div>
    <w:div w:id="479031874">
      <w:bodyDiv w:val="1"/>
      <w:marLeft w:val="0"/>
      <w:marRight w:val="0"/>
      <w:marTop w:val="0"/>
      <w:marBottom w:val="0"/>
      <w:divBdr>
        <w:top w:val="none" w:sz="0" w:space="0" w:color="auto"/>
        <w:left w:val="none" w:sz="0" w:space="0" w:color="auto"/>
        <w:bottom w:val="none" w:sz="0" w:space="0" w:color="auto"/>
        <w:right w:val="none" w:sz="0" w:space="0" w:color="auto"/>
      </w:divBdr>
    </w:div>
    <w:div w:id="486751159">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20357575">
      <w:bodyDiv w:val="1"/>
      <w:marLeft w:val="0"/>
      <w:marRight w:val="0"/>
      <w:marTop w:val="0"/>
      <w:marBottom w:val="0"/>
      <w:divBdr>
        <w:top w:val="none" w:sz="0" w:space="0" w:color="auto"/>
        <w:left w:val="none" w:sz="0" w:space="0" w:color="auto"/>
        <w:bottom w:val="none" w:sz="0" w:space="0" w:color="auto"/>
        <w:right w:val="none" w:sz="0" w:space="0" w:color="auto"/>
      </w:divBdr>
    </w:div>
    <w:div w:id="534927519">
      <w:bodyDiv w:val="1"/>
      <w:marLeft w:val="0"/>
      <w:marRight w:val="0"/>
      <w:marTop w:val="0"/>
      <w:marBottom w:val="0"/>
      <w:divBdr>
        <w:top w:val="none" w:sz="0" w:space="0" w:color="auto"/>
        <w:left w:val="none" w:sz="0" w:space="0" w:color="auto"/>
        <w:bottom w:val="none" w:sz="0" w:space="0" w:color="auto"/>
        <w:right w:val="none" w:sz="0" w:space="0" w:color="auto"/>
      </w:divBdr>
    </w:div>
    <w:div w:id="647443086">
      <w:bodyDiv w:val="1"/>
      <w:marLeft w:val="0"/>
      <w:marRight w:val="0"/>
      <w:marTop w:val="0"/>
      <w:marBottom w:val="0"/>
      <w:divBdr>
        <w:top w:val="none" w:sz="0" w:space="0" w:color="auto"/>
        <w:left w:val="none" w:sz="0" w:space="0" w:color="auto"/>
        <w:bottom w:val="none" w:sz="0" w:space="0" w:color="auto"/>
        <w:right w:val="none" w:sz="0" w:space="0" w:color="auto"/>
      </w:divBdr>
    </w:div>
    <w:div w:id="734550081">
      <w:bodyDiv w:val="1"/>
      <w:marLeft w:val="0"/>
      <w:marRight w:val="0"/>
      <w:marTop w:val="0"/>
      <w:marBottom w:val="0"/>
      <w:divBdr>
        <w:top w:val="none" w:sz="0" w:space="0" w:color="auto"/>
        <w:left w:val="none" w:sz="0" w:space="0" w:color="auto"/>
        <w:bottom w:val="none" w:sz="0" w:space="0" w:color="auto"/>
        <w:right w:val="none" w:sz="0" w:space="0" w:color="auto"/>
      </w:divBdr>
    </w:div>
    <w:div w:id="768047068">
      <w:bodyDiv w:val="1"/>
      <w:marLeft w:val="0"/>
      <w:marRight w:val="0"/>
      <w:marTop w:val="0"/>
      <w:marBottom w:val="0"/>
      <w:divBdr>
        <w:top w:val="none" w:sz="0" w:space="0" w:color="auto"/>
        <w:left w:val="none" w:sz="0" w:space="0" w:color="auto"/>
        <w:bottom w:val="none" w:sz="0" w:space="0" w:color="auto"/>
        <w:right w:val="none" w:sz="0" w:space="0" w:color="auto"/>
      </w:divBdr>
    </w:div>
    <w:div w:id="834077449">
      <w:bodyDiv w:val="1"/>
      <w:marLeft w:val="0"/>
      <w:marRight w:val="0"/>
      <w:marTop w:val="0"/>
      <w:marBottom w:val="0"/>
      <w:divBdr>
        <w:top w:val="none" w:sz="0" w:space="0" w:color="auto"/>
        <w:left w:val="none" w:sz="0" w:space="0" w:color="auto"/>
        <w:bottom w:val="none" w:sz="0" w:space="0" w:color="auto"/>
        <w:right w:val="none" w:sz="0" w:space="0" w:color="auto"/>
      </w:divBdr>
    </w:div>
    <w:div w:id="841702797">
      <w:bodyDiv w:val="1"/>
      <w:marLeft w:val="0"/>
      <w:marRight w:val="0"/>
      <w:marTop w:val="0"/>
      <w:marBottom w:val="0"/>
      <w:divBdr>
        <w:top w:val="none" w:sz="0" w:space="0" w:color="auto"/>
        <w:left w:val="none" w:sz="0" w:space="0" w:color="auto"/>
        <w:bottom w:val="none" w:sz="0" w:space="0" w:color="auto"/>
        <w:right w:val="none" w:sz="0" w:space="0" w:color="auto"/>
      </w:divBdr>
    </w:div>
    <w:div w:id="851837099">
      <w:bodyDiv w:val="1"/>
      <w:marLeft w:val="0"/>
      <w:marRight w:val="0"/>
      <w:marTop w:val="0"/>
      <w:marBottom w:val="0"/>
      <w:divBdr>
        <w:top w:val="none" w:sz="0" w:space="0" w:color="auto"/>
        <w:left w:val="none" w:sz="0" w:space="0" w:color="auto"/>
        <w:bottom w:val="none" w:sz="0" w:space="0" w:color="auto"/>
        <w:right w:val="none" w:sz="0" w:space="0" w:color="auto"/>
      </w:divBdr>
    </w:div>
    <w:div w:id="877812399">
      <w:bodyDiv w:val="1"/>
      <w:marLeft w:val="0"/>
      <w:marRight w:val="0"/>
      <w:marTop w:val="0"/>
      <w:marBottom w:val="0"/>
      <w:divBdr>
        <w:top w:val="none" w:sz="0" w:space="0" w:color="auto"/>
        <w:left w:val="none" w:sz="0" w:space="0" w:color="auto"/>
        <w:bottom w:val="none" w:sz="0" w:space="0" w:color="auto"/>
        <w:right w:val="none" w:sz="0" w:space="0" w:color="auto"/>
      </w:divBdr>
    </w:div>
    <w:div w:id="920022657">
      <w:bodyDiv w:val="1"/>
      <w:marLeft w:val="0"/>
      <w:marRight w:val="0"/>
      <w:marTop w:val="0"/>
      <w:marBottom w:val="0"/>
      <w:divBdr>
        <w:top w:val="none" w:sz="0" w:space="0" w:color="auto"/>
        <w:left w:val="none" w:sz="0" w:space="0" w:color="auto"/>
        <w:bottom w:val="none" w:sz="0" w:space="0" w:color="auto"/>
        <w:right w:val="none" w:sz="0" w:space="0" w:color="auto"/>
      </w:divBdr>
    </w:div>
    <w:div w:id="960958196">
      <w:bodyDiv w:val="1"/>
      <w:marLeft w:val="0"/>
      <w:marRight w:val="0"/>
      <w:marTop w:val="0"/>
      <w:marBottom w:val="0"/>
      <w:divBdr>
        <w:top w:val="none" w:sz="0" w:space="0" w:color="auto"/>
        <w:left w:val="none" w:sz="0" w:space="0" w:color="auto"/>
        <w:bottom w:val="none" w:sz="0" w:space="0" w:color="auto"/>
        <w:right w:val="none" w:sz="0" w:space="0" w:color="auto"/>
      </w:divBdr>
    </w:div>
    <w:div w:id="982395357">
      <w:bodyDiv w:val="1"/>
      <w:marLeft w:val="0"/>
      <w:marRight w:val="0"/>
      <w:marTop w:val="0"/>
      <w:marBottom w:val="0"/>
      <w:divBdr>
        <w:top w:val="none" w:sz="0" w:space="0" w:color="auto"/>
        <w:left w:val="none" w:sz="0" w:space="0" w:color="auto"/>
        <w:bottom w:val="none" w:sz="0" w:space="0" w:color="auto"/>
        <w:right w:val="none" w:sz="0" w:space="0" w:color="auto"/>
      </w:divBdr>
    </w:div>
    <w:div w:id="1010761896">
      <w:bodyDiv w:val="1"/>
      <w:marLeft w:val="0"/>
      <w:marRight w:val="0"/>
      <w:marTop w:val="0"/>
      <w:marBottom w:val="0"/>
      <w:divBdr>
        <w:top w:val="none" w:sz="0" w:space="0" w:color="auto"/>
        <w:left w:val="none" w:sz="0" w:space="0" w:color="auto"/>
        <w:bottom w:val="none" w:sz="0" w:space="0" w:color="auto"/>
        <w:right w:val="none" w:sz="0" w:space="0" w:color="auto"/>
      </w:divBdr>
    </w:div>
    <w:div w:id="1014956756">
      <w:bodyDiv w:val="1"/>
      <w:marLeft w:val="0"/>
      <w:marRight w:val="0"/>
      <w:marTop w:val="0"/>
      <w:marBottom w:val="0"/>
      <w:divBdr>
        <w:top w:val="none" w:sz="0" w:space="0" w:color="auto"/>
        <w:left w:val="none" w:sz="0" w:space="0" w:color="auto"/>
        <w:bottom w:val="none" w:sz="0" w:space="0" w:color="auto"/>
        <w:right w:val="none" w:sz="0" w:space="0" w:color="auto"/>
      </w:divBdr>
    </w:div>
    <w:div w:id="1029840462">
      <w:bodyDiv w:val="1"/>
      <w:marLeft w:val="0"/>
      <w:marRight w:val="0"/>
      <w:marTop w:val="0"/>
      <w:marBottom w:val="0"/>
      <w:divBdr>
        <w:top w:val="none" w:sz="0" w:space="0" w:color="auto"/>
        <w:left w:val="none" w:sz="0" w:space="0" w:color="auto"/>
        <w:bottom w:val="none" w:sz="0" w:space="0" w:color="auto"/>
        <w:right w:val="none" w:sz="0" w:space="0" w:color="auto"/>
      </w:divBdr>
      <w:divsChild>
        <w:div w:id="542638605">
          <w:marLeft w:val="0"/>
          <w:marRight w:val="0"/>
          <w:marTop w:val="0"/>
          <w:marBottom w:val="0"/>
          <w:divBdr>
            <w:top w:val="none" w:sz="0" w:space="0" w:color="auto"/>
            <w:left w:val="none" w:sz="0" w:space="0" w:color="auto"/>
            <w:bottom w:val="none" w:sz="0" w:space="0" w:color="auto"/>
            <w:right w:val="none" w:sz="0" w:space="0" w:color="auto"/>
          </w:divBdr>
          <w:divsChild>
            <w:div w:id="25522318">
              <w:marLeft w:val="-300"/>
              <w:marRight w:val="0"/>
              <w:marTop w:val="0"/>
              <w:marBottom w:val="0"/>
              <w:divBdr>
                <w:top w:val="none" w:sz="0" w:space="0" w:color="auto"/>
                <w:left w:val="none" w:sz="0" w:space="0" w:color="auto"/>
                <w:bottom w:val="none" w:sz="0" w:space="0" w:color="auto"/>
                <w:right w:val="none" w:sz="0" w:space="0" w:color="auto"/>
              </w:divBdr>
              <w:divsChild>
                <w:div w:id="1200244911">
                  <w:marLeft w:val="0"/>
                  <w:marRight w:val="0"/>
                  <w:marTop w:val="0"/>
                  <w:marBottom w:val="0"/>
                  <w:divBdr>
                    <w:top w:val="none" w:sz="0" w:space="0" w:color="auto"/>
                    <w:left w:val="none" w:sz="0" w:space="0" w:color="auto"/>
                    <w:bottom w:val="none" w:sz="0" w:space="0" w:color="auto"/>
                    <w:right w:val="none" w:sz="0" w:space="0" w:color="auto"/>
                  </w:divBdr>
                  <w:divsChild>
                    <w:div w:id="1550536605">
                      <w:marLeft w:val="0"/>
                      <w:marRight w:val="0"/>
                      <w:marTop w:val="0"/>
                      <w:marBottom w:val="0"/>
                      <w:divBdr>
                        <w:top w:val="none" w:sz="0" w:space="0" w:color="auto"/>
                        <w:left w:val="none" w:sz="0" w:space="0" w:color="auto"/>
                        <w:bottom w:val="none" w:sz="0" w:space="0" w:color="auto"/>
                        <w:right w:val="none" w:sz="0" w:space="0" w:color="auto"/>
                      </w:divBdr>
                      <w:divsChild>
                        <w:div w:id="1954508553">
                          <w:marLeft w:val="0"/>
                          <w:marRight w:val="0"/>
                          <w:marTop w:val="0"/>
                          <w:marBottom w:val="0"/>
                          <w:divBdr>
                            <w:top w:val="none" w:sz="0" w:space="0" w:color="auto"/>
                            <w:left w:val="none" w:sz="0" w:space="0" w:color="auto"/>
                            <w:bottom w:val="none" w:sz="0" w:space="0" w:color="auto"/>
                            <w:right w:val="none" w:sz="0" w:space="0" w:color="auto"/>
                          </w:divBdr>
                          <w:divsChild>
                            <w:div w:id="1795908765">
                              <w:marLeft w:val="0"/>
                              <w:marRight w:val="0"/>
                              <w:marTop w:val="240"/>
                              <w:marBottom w:val="480"/>
                              <w:divBdr>
                                <w:top w:val="none" w:sz="0" w:space="0" w:color="auto"/>
                                <w:left w:val="none" w:sz="0" w:space="0" w:color="auto"/>
                                <w:bottom w:val="none" w:sz="0" w:space="0" w:color="auto"/>
                                <w:right w:val="none" w:sz="0" w:space="0" w:color="auto"/>
                              </w:divBdr>
                              <w:divsChild>
                                <w:div w:id="1092823663">
                                  <w:marLeft w:val="0"/>
                                  <w:marRight w:val="0"/>
                                  <w:marTop w:val="0"/>
                                  <w:marBottom w:val="0"/>
                                  <w:divBdr>
                                    <w:top w:val="none" w:sz="0" w:space="0" w:color="auto"/>
                                    <w:left w:val="none" w:sz="0" w:space="0" w:color="auto"/>
                                    <w:bottom w:val="none" w:sz="0" w:space="0" w:color="auto"/>
                                    <w:right w:val="none" w:sz="0" w:space="0" w:color="auto"/>
                                  </w:divBdr>
                                  <w:divsChild>
                                    <w:div w:id="810639151">
                                      <w:marLeft w:val="0"/>
                                      <w:marRight w:val="0"/>
                                      <w:marTop w:val="240"/>
                                      <w:marBottom w:val="480"/>
                                      <w:divBdr>
                                        <w:top w:val="none" w:sz="0" w:space="0" w:color="auto"/>
                                        <w:left w:val="none" w:sz="0" w:space="0" w:color="auto"/>
                                        <w:bottom w:val="none" w:sz="0" w:space="0" w:color="auto"/>
                                        <w:right w:val="none" w:sz="0" w:space="0" w:color="auto"/>
                                      </w:divBdr>
                                      <w:divsChild>
                                        <w:div w:id="821240395">
                                          <w:marLeft w:val="0"/>
                                          <w:marRight w:val="0"/>
                                          <w:marTop w:val="0"/>
                                          <w:marBottom w:val="0"/>
                                          <w:divBdr>
                                            <w:top w:val="none" w:sz="0" w:space="0" w:color="auto"/>
                                            <w:left w:val="none" w:sz="0" w:space="0" w:color="auto"/>
                                            <w:bottom w:val="none" w:sz="0" w:space="0" w:color="auto"/>
                                            <w:right w:val="none" w:sz="0" w:space="0" w:color="auto"/>
                                          </w:divBdr>
                                          <w:divsChild>
                                            <w:div w:id="1574657298">
                                              <w:marLeft w:val="0"/>
                                              <w:marRight w:val="0"/>
                                              <w:marTop w:val="0"/>
                                              <w:marBottom w:val="0"/>
                                              <w:divBdr>
                                                <w:top w:val="none" w:sz="0" w:space="0" w:color="auto"/>
                                                <w:left w:val="none" w:sz="0" w:space="0" w:color="auto"/>
                                                <w:bottom w:val="none" w:sz="0" w:space="0" w:color="auto"/>
                                                <w:right w:val="none" w:sz="0" w:space="0" w:color="auto"/>
                                              </w:divBdr>
                                              <w:divsChild>
                                                <w:div w:id="699092506">
                                                  <w:marLeft w:val="0"/>
                                                  <w:marRight w:val="0"/>
                                                  <w:marTop w:val="0"/>
                                                  <w:marBottom w:val="0"/>
                                                  <w:divBdr>
                                                    <w:top w:val="none" w:sz="0" w:space="0" w:color="auto"/>
                                                    <w:left w:val="none" w:sz="0" w:space="0" w:color="auto"/>
                                                    <w:bottom w:val="none" w:sz="0" w:space="0" w:color="auto"/>
                                                    <w:right w:val="none" w:sz="0" w:space="0" w:color="auto"/>
                                                  </w:divBdr>
                                                  <w:divsChild>
                                                    <w:div w:id="1575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777269">
      <w:bodyDiv w:val="1"/>
      <w:marLeft w:val="0"/>
      <w:marRight w:val="0"/>
      <w:marTop w:val="0"/>
      <w:marBottom w:val="0"/>
      <w:divBdr>
        <w:top w:val="none" w:sz="0" w:space="0" w:color="auto"/>
        <w:left w:val="none" w:sz="0" w:space="0" w:color="auto"/>
        <w:bottom w:val="none" w:sz="0" w:space="0" w:color="auto"/>
        <w:right w:val="none" w:sz="0" w:space="0" w:color="auto"/>
      </w:divBdr>
    </w:div>
    <w:div w:id="1065451016">
      <w:bodyDiv w:val="1"/>
      <w:marLeft w:val="0"/>
      <w:marRight w:val="0"/>
      <w:marTop w:val="0"/>
      <w:marBottom w:val="0"/>
      <w:divBdr>
        <w:top w:val="none" w:sz="0" w:space="0" w:color="auto"/>
        <w:left w:val="none" w:sz="0" w:space="0" w:color="auto"/>
        <w:bottom w:val="none" w:sz="0" w:space="0" w:color="auto"/>
        <w:right w:val="none" w:sz="0" w:space="0" w:color="auto"/>
      </w:divBdr>
    </w:div>
    <w:div w:id="1227455787">
      <w:bodyDiv w:val="1"/>
      <w:marLeft w:val="0"/>
      <w:marRight w:val="0"/>
      <w:marTop w:val="0"/>
      <w:marBottom w:val="0"/>
      <w:divBdr>
        <w:top w:val="none" w:sz="0" w:space="0" w:color="auto"/>
        <w:left w:val="none" w:sz="0" w:space="0" w:color="auto"/>
        <w:bottom w:val="none" w:sz="0" w:space="0" w:color="auto"/>
        <w:right w:val="none" w:sz="0" w:space="0" w:color="auto"/>
      </w:divBdr>
    </w:div>
    <w:div w:id="1229606685">
      <w:bodyDiv w:val="1"/>
      <w:marLeft w:val="0"/>
      <w:marRight w:val="0"/>
      <w:marTop w:val="0"/>
      <w:marBottom w:val="0"/>
      <w:divBdr>
        <w:top w:val="none" w:sz="0" w:space="0" w:color="auto"/>
        <w:left w:val="none" w:sz="0" w:space="0" w:color="auto"/>
        <w:bottom w:val="none" w:sz="0" w:space="0" w:color="auto"/>
        <w:right w:val="none" w:sz="0" w:space="0" w:color="auto"/>
      </w:divBdr>
      <w:divsChild>
        <w:div w:id="615910956">
          <w:marLeft w:val="0"/>
          <w:marRight w:val="0"/>
          <w:marTop w:val="0"/>
          <w:marBottom w:val="0"/>
          <w:divBdr>
            <w:top w:val="none" w:sz="0" w:space="0" w:color="auto"/>
            <w:left w:val="none" w:sz="0" w:space="0" w:color="auto"/>
            <w:bottom w:val="none" w:sz="0" w:space="0" w:color="auto"/>
            <w:right w:val="none" w:sz="0" w:space="0" w:color="auto"/>
          </w:divBdr>
        </w:div>
        <w:div w:id="1354762765">
          <w:marLeft w:val="0"/>
          <w:marRight w:val="0"/>
          <w:marTop w:val="0"/>
          <w:marBottom w:val="0"/>
          <w:divBdr>
            <w:top w:val="none" w:sz="0" w:space="0" w:color="auto"/>
            <w:left w:val="none" w:sz="0" w:space="0" w:color="auto"/>
            <w:bottom w:val="none" w:sz="0" w:space="0" w:color="auto"/>
            <w:right w:val="none" w:sz="0" w:space="0" w:color="auto"/>
          </w:divBdr>
        </w:div>
      </w:divsChild>
    </w:div>
    <w:div w:id="1263149999">
      <w:bodyDiv w:val="1"/>
      <w:marLeft w:val="0"/>
      <w:marRight w:val="0"/>
      <w:marTop w:val="0"/>
      <w:marBottom w:val="0"/>
      <w:divBdr>
        <w:top w:val="none" w:sz="0" w:space="0" w:color="auto"/>
        <w:left w:val="none" w:sz="0" w:space="0" w:color="auto"/>
        <w:bottom w:val="none" w:sz="0" w:space="0" w:color="auto"/>
        <w:right w:val="none" w:sz="0" w:space="0" w:color="auto"/>
      </w:divBdr>
    </w:div>
    <w:div w:id="1266158373">
      <w:bodyDiv w:val="1"/>
      <w:marLeft w:val="0"/>
      <w:marRight w:val="0"/>
      <w:marTop w:val="0"/>
      <w:marBottom w:val="0"/>
      <w:divBdr>
        <w:top w:val="none" w:sz="0" w:space="0" w:color="auto"/>
        <w:left w:val="none" w:sz="0" w:space="0" w:color="auto"/>
        <w:bottom w:val="none" w:sz="0" w:space="0" w:color="auto"/>
        <w:right w:val="none" w:sz="0" w:space="0" w:color="auto"/>
      </w:divBdr>
    </w:div>
    <w:div w:id="1286617440">
      <w:bodyDiv w:val="1"/>
      <w:marLeft w:val="0"/>
      <w:marRight w:val="0"/>
      <w:marTop w:val="0"/>
      <w:marBottom w:val="0"/>
      <w:divBdr>
        <w:top w:val="none" w:sz="0" w:space="0" w:color="auto"/>
        <w:left w:val="none" w:sz="0" w:space="0" w:color="auto"/>
        <w:bottom w:val="none" w:sz="0" w:space="0" w:color="auto"/>
        <w:right w:val="none" w:sz="0" w:space="0" w:color="auto"/>
      </w:divBdr>
    </w:div>
    <w:div w:id="1300038775">
      <w:bodyDiv w:val="1"/>
      <w:marLeft w:val="0"/>
      <w:marRight w:val="0"/>
      <w:marTop w:val="0"/>
      <w:marBottom w:val="0"/>
      <w:divBdr>
        <w:top w:val="none" w:sz="0" w:space="0" w:color="auto"/>
        <w:left w:val="none" w:sz="0" w:space="0" w:color="auto"/>
        <w:bottom w:val="none" w:sz="0" w:space="0" w:color="auto"/>
        <w:right w:val="none" w:sz="0" w:space="0" w:color="auto"/>
      </w:divBdr>
    </w:div>
    <w:div w:id="1330400118">
      <w:bodyDiv w:val="1"/>
      <w:marLeft w:val="0"/>
      <w:marRight w:val="0"/>
      <w:marTop w:val="0"/>
      <w:marBottom w:val="0"/>
      <w:divBdr>
        <w:top w:val="none" w:sz="0" w:space="0" w:color="auto"/>
        <w:left w:val="none" w:sz="0" w:space="0" w:color="auto"/>
        <w:bottom w:val="none" w:sz="0" w:space="0" w:color="auto"/>
        <w:right w:val="none" w:sz="0" w:space="0" w:color="auto"/>
      </w:divBdr>
    </w:div>
    <w:div w:id="1353651218">
      <w:bodyDiv w:val="1"/>
      <w:marLeft w:val="0"/>
      <w:marRight w:val="0"/>
      <w:marTop w:val="0"/>
      <w:marBottom w:val="0"/>
      <w:divBdr>
        <w:top w:val="none" w:sz="0" w:space="0" w:color="auto"/>
        <w:left w:val="none" w:sz="0" w:space="0" w:color="auto"/>
        <w:bottom w:val="none" w:sz="0" w:space="0" w:color="auto"/>
        <w:right w:val="none" w:sz="0" w:space="0" w:color="auto"/>
      </w:divBdr>
    </w:div>
    <w:div w:id="1379207088">
      <w:bodyDiv w:val="1"/>
      <w:marLeft w:val="0"/>
      <w:marRight w:val="0"/>
      <w:marTop w:val="0"/>
      <w:marBottom w:val="0"/>
      <w:divBdr>
        <w:top w:val="none" w:sz="0" w:space="0" w:color="auto"/>
        <w:left w:val="none" w:sz="0" w:space="0" w:color="auto"/>
        <w:bottom w:val="none" w:sz="0" w:space="0" w:color="auto"/>
        <w:right w:val="none" w:sz="0" w:space="0" w:color="auto"/>
      </w:divBdr>
    </w:div>
    <w:div w:id="1431241448">
      <w:bodyDiv w:val="1"/>
      <w:marLeft w:val="0"/>
      <w:marRight w:val="0"/>
      <w:marTop w:val="0"/>
      <w:marBottom w:val="0"/>
      <w:divBdr>
        <w:top w:val="none" w:sz="0" w:space="0" w:color="auto"/>
        <w:left w:val="none" w:sz="0" w:space="0" w:color="auto"/>
        <w:bottom w:val="none" w:sz="0" w:space="0" w:color="auto"/>
        <w:right w:val="none" w:sz="0" w:space="0" w:color="auto"/>
      </w:divBdr>
    </w:div>
    <w:div w:id="1499081249">
      <w:bodyDiv w:val="1"/>
      <w:marLeft w:val="0"/>
      <w:marRight w:val="0"/>
      <w:marTop w:val="0"/>
      <w:marBottom w:val="0"/>
      <w:divBdr>
        <w:top w:val="none" w:sz="0" w:space="0" w:color="auto"/>
        <w:left w:val="none" w:sz="0" w:space="0" w:color="auto"/>
        <w:bottom w:val="none" w:sz="0" w:space="0" w:color="auto"/>
        <w:right w:val="none" w:sz="0" w:space="0" w:color="auto"/>
      </w:divBdr>
    </w:div>
    <w:div w:id="1522890548">
      <w:bodyDiv w:val="1"/>
      <w:marLeft w:val="0"/>
      <w:marRight w:val="0"/>
      <w:marTop w:val="0"/>
      <w:marBottom w:val="0"/>
      <w:divBdr>
        <w:top w:val="none" w:sz="0" w:space="0" w:color="auto"/>
        <w:left w:val="none" w:sz="0" w:space="0" w:color="auto"/>
        <w:bottom w:val="none" w:sz="0" w:space="0" w:color="auto"/>
        <w:right w:val="none" w:sz="0" w:space="0" w:color="auto"/>
      </w:divBdr>
    </w:div>
    <w:div w:id="1551108116">
      <w:bodyDiv w:val="1"/>
      <w:marLeft w:val="0"/>
      <w:marRight w:val="0"/>
      <w:marTop w:val="0"/>
      <w:marBottom w:val="0"/>
      <w:divBdr>
        <w:top w:val="none" w:sz="0" w:space="0" w:color="auto"/>
        <w:left w:val="none" w:sz="0" w:space="0" w:color="auto"/>
        <w:bottom w:val="none" w:sz="0" w:space="0" w:color="auto"/>
        <w:right w:val="none" w:sz="0" w:space="0" w:color="auto"/>
      </w:divBdr>
    </w:div>
    <w:div w:id="1572037869">
      <w:bodyDiv w:val="1"/>
      <w:marLeft w:val="0"/>
      <w:marRight w:val="0"/>
      <w:marTop w:val="0"/>
      <w:marBottom w:val="0"/>
      <w:divBdr>
        <w:top w:val="none" w:sz="0" w:space="0" w:color="auto"/>
        <w:left w:val="none" w:sz="0" w:space="0" w:color="auto"/>
        <w:bottom w:val="none" w:sz="0" w:space="0" w:color="auto"/>
        <w:right w:val="none" w:sz="0" w:space="0" w:color="auto"/>
      </w:divBdr>
      <w:divsChild>
        <w:div w:id="1353847928">
          <w:marLeft w:val="0"/>
          <w:marRight w:val="0"/>
          <w:marTop w:val="0"/>
          <w:marBottom w:val="0"/>
          <w:divBdr>
            <w:top w:val="none" w:sz="0" w:space="0" w:color="auto"/>
            <w:left w:val="none" w:sz="0" w:space="0" w:color="auto"/>
            <w:bottom w:val="none" w:sz="0" w:space="0" w:color="auto"/>
            <w:right w:val="none" w:sz="0" w:space="0" w:color="auto"/>
          </w:divBdr>
          <w:divsChild>
            <w:div w:id="2050833401">
              <w:marLeft w:val="-300"/>
              <w:marRight w:val="0"/>
              <w:marTop w:val="0"/>
              <w:marBottom w:val="0"/>
              <w:divBdr>
                <w:top w:val="none" w:sz="0" w:space="0" w:color="auto"/>
                <w:left w:val="none" w:sz="0" w:space="0" w:color="auto"/>
                <w:bottom w:val="none" w:sz="0" w:space="0" w:color="auto"/>
                <w:right w:val="none" w:sz="0" w:space="0" w:color="auto"/>
              </w:divBdr>
              <w:divsChild>
                <w:div w:id="1047097414">
                  <w:marLeft w:val="0"/>
                  <w:marRight w:val="0"/>
                  <w:marTop w:val="0"/>
                  <w:marBottom w:val="0"/>
                  <w:divBdr>
                    <w:top w:val="none" w:sz="0" w:space="0" w:color="auto"/>
                    <w:left w:val="none" w:sz="0" w:space="0" w:color="auto"/>
                    <w:bottom w:val="none" w:sz="0" w:space="0" w:color="auto"/>
                    <w:right w:val="none" w:sz="0" w:space="0" w:color="auto"/>
                  </w:divBdr>
                </w:div>
                <w:div w:id="1654946134">
                  <w:marLeft w:val="0"/>
                  <w:marRight w:val="0"/>
                  <w:marTop w:val="0"/>
                  <w:marBottom w:val="0"/>
                  <w:divBdr>
                    <w:top w:val="none" w:sz="0" w:space="0" w:color="auto"/>
                    <w:left w:val="none" w:sz="0" w:space="0" w:color="auto"/>
                    <w:bottom w:val="none" w:sz="0" w:space="0" w:color="auto"/>
                    <w:right w:val="none" w:sz="0" w:space="0" w:color="auto"/>
                  </w:divBdr>
                  <w:divsChild>
                    <w:div w:id="789981620">
                      <w:marLeft w:val="0"/>
                      <w:marRight w:val="0"/>
                      <w:marTop w:val="0"/>
                      <w:marBottom w:val="0"/>
                      <w:divBdr>
                        <w:top w:val="none" w:sz="0" w:space="0" w:color="auto"/>
                        <w:left w:val="none" w:sz="0" w:space="0" w:color="auto"/>
                        <w:bottom w:val="none" w:sz="0" w:space="0" w:color="auto"/>
                        <w:right w:val="none" w:sz="0" w:space="0" w:color="auto"/>
                      </w:divBdr>
                      <w:divsChild>
                        <w:div w:id="129859494">
                          <w:marLeft w:val="0"/>
                          <w:marRight w:val="0"/>
                          <w:marTop w:val="0"/>
                          <w:marBottom w:val="0"/>
                          <w:divBdr>
                            <w:top w:val="none" w:sz="0" w:space="0" w:color="auto"/>
                            <w:left w:val="none" w:sz="0" w:space="0" w:color="auto"/>
                            <w:bottom w:val="none" w:sz="0" w:space="0" w:color="auto"/>
                            <w:right w:val="none" w:sz="0" w:space="0" w:color="auto"/>
                          </w:divBdr>
                          <w:divsChild>
                            <w:div w:id="499391997">
                              <w:marLeft w:val="0"/>
                              <w:marRight w:val="0"/>
                              <w:marTop w:val="240"/>
                              <w:marBottom w:val="480"/>
                              <w:divBdr>
                                <w:top w:val="none" w:sz="0" w:space="0" w:color="auto"/>
                                <w:left w:val="none" w:sz="0" w:space="0" w:color="auto"/>
                                <w:bottom w:val="none" w:sz="0" w:space="0" w:color="auto"/>
                                <w:right w:val="none" w:sz="0" w:space="0" w:color="auto"/>
                              </w:divBdr>
                              <w:divsChild>
                                <w:div w:id="1946840382">
                                  <w:marLeft w:val="0"/>
                                  <w:marRight w:val="0"/>
                                  <w:marTop w:val="0"/>
                                  <w:marBottom w:val="0"/>
                                  <w:divBdr>
                                    <w:top w:val="none" w:sz="0" w:space="0" w:color="auto"/>
                                    <w:left w:val="none" w:sz="0" w:space="0" w:color="auto"/>
                                    <w:bottom w:val="none" w:sz="0" w:space="0" w:color="auto"/>
                                    <w:right w:val="none" w:sz="0" w:space="0" w:color="auto"/>
                                  </w:divBdr>
                                  <w:divsChild>
                                    <w:div w:id="820578374">
                                      <w:marLeft w:val="0"/>
                                      <w:marRight w:val="0"/>
                                      <w:marTop w:val="240"/>
                                      <w:marBottom w:val="480"/>
                                      <w:divBdr>
                                        <w:top w:val="none" w:sz="0" w:space="0" w:color="auto"/>
                                        <w:left w:val="none" w:sz="0" w:space="0" w:color="auto"/>
                                        <w:bottom w:val="none" w:sz="0" w:space="0" w:color="auto"/>
                                        <w:right w:val="none" w:sz="0" w:space="0" w:color="auto"/>
                                      </w:divBdr>
                                      <w:divsChild>
                                        <w:div w:id="122500361">
                                          <w:marLeft w:val="0"/>
                                          <w:marRight w:val="0"/>
                                          <w:marTop w:val="0"/>
                                          <w:marBottom w:val="0"/>
                                          <w:divBdr>
                                            <w:top w:val="none" w:sz="0" w:space="0" w:color="auto"/>
                                            <w:left w:val="none" w:sz="0" w:space="0" w:color="auto"/>
                                            <w:bottom w:val="none" w:sz="0" w:space="0" w:color="auto"/>
                                            <w:right w:val="none" w:sz="0" w:space="0" w:color="auto"/>
                                          </w:divBdr>
                                          <w:divsChild>
                                            <w:div w:id="1991903306">
                                              <w:marLeft w:val="0"/>
                                              <w:marRight w:val="0"/>
                                              <w:marTop w:val="0"/>
                                              <w:marBottom w:val="0"/>
                                              <w:divBdr>
                                                <w:top w:val="none" w:sz="0" w:space="0" w:color="auto"/>
                                                <w:left w:val="none" w:sz="0" w:space="0" w:color="auto"/>
                                                <w:bottom w:val="none" w:sz="0" w:space="0" w:color="auto"/>
                                                <w:right w:val="none" w:sz="0" w:space="0" w:color="auto"/>
                                              </w:divBdr>
                                              <w:divsChild>
                                                <w:div w:id="17066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460249">
      <w:bodyDiv w:val="1"/>
      <w:marLeft w:val="0"/>
      <w:marRight w:val="0"/>
      <w:marTop w:val="0"/>
      <w:marBottom w:val="0"/>
      <w:divBdr>
        <w:top w:val="none" w:sz="0" w:space="0" w:color="auto"/>
        <w:left w:val="none" w:sz="0" w:space="0" w:color="auto"/>
        <w:bottom w:val="none" w:sz="0" w:space="0" w:color="auto"/>
        <w:right w:val="none" w:sz="0" w:space="0" w:color="auto"/>
      </w:divBdr>
      <w:divsChild>
        <w:div w:id="211621862">
          <w:marLeft w:val="0"/>
          <w:marRight w:val="0"/>
          <w:marTop w:val="0"/>
          <w:marBottom w:val="0"/>
          <w:divBdr>
            <w:top w:val="none" w:sz="0" w:space="0" w:color="auto"/>
            <w:left w:val="none" w:sz="0" w:space="0" w:color="auto"/>
            <w:bottom w:val="none" w:sz="0" w:space="0" w:color="auto"/>
            <w:right w:val="none" w:sz="0" w:space="0" w:color="auto"/>
          </w:divBdr>
        </w:div>
        <w:div w:id="1400322749">
          <w:marLeft w:val="0"/>
          <w:marRight w:val="0"/>
          <w:marTop w:val="0"/>
          <w:marBottom w:val="0"/>
          <w:divBdr>
            <w:top w:val="none" w:sz="0" w:space="0" w:color="auto"/>
            <w:left w:val="none" w:sz="0" w:space="0" w:color="auto"/>
            <w:bottom w:val="none" w:sz="0" w:space="0" w:color="auto"/>
            <w:right w:val="none" w:sz="0" w:space="0" w:color="auto"/>
          </w:divBdr>
        </w:div>
      </w:divsChild>
    </w:div>
    <w:div w:id="1591964432">
      <w:bodyDiv w:val="1"/>
      <w:marLeft w:val="0"/>
      <w:marRight w:val="0"/>
      <w:marTop w:val="0"/>
      <w:marBottom w:val="0"/>
      <w:divBdr>
        <w:top w:val="none" w:sz="0" w:space="0" w:color="auto"/>
        <w:left w:val="none" w:sz="0" w:space="0" w:color="auto"/>
        <w:bottom w:val="none" w:sz="0" w:space="0" w:color="auto"/>
        <w:right w:val="none" w:sz="0" w:space="0" w:color="auto"/>
      </w:divBdr>
    </w:div>
    <w:div w:id="1615362291">
      <w:bodyDiv w:val="1"/>
      <w:marLeft w:val="0"/>
      <w:marRight w:val="0"/>
      <w:marTop w:val="0"/>
      <w:marBottom w:val="0"/>
      <w:divBdr>
        <w:top w:val="none" w:sz="0" w:space="0" w:color="auto"/>
        <w:left w:val="none" w:sz="0" w:space="0" w:color="auto"/>
        <w:bottom w:val="none" w:sz="0" w:space="0" w:color="auto"/>
        <w:right w:val="none" w:sz="0" w:space="0" w:color="auto"/>
      </w:divBdr>
    </w:div>
    <w:div w:id="1646397835">
      <w:bodyDiv w:val="1"/>
      <w:marLeft w:val="0"/>
      <w:marRight w:val="0"/>
      <w:marTop w:val="0"/>
      <w:marBottom w:val="0"/>
      <w:divBdr>
        <w:top w:val="none" w:sz="0" w:space="0" w:color="auto"/>
        <w:left w:val="none" w:sz="0" w:space="0" w:color="auto"/>
        <w:bottom w:val="none" w:sz="0" w:space="0" w:color="auto"/>
        <w:right w:val="none" w:sz="0" w:space="0" w:color="auto"/>
      </w:divBdr>
    </w:div>
    <w:div w:id="1685672958">
      <w:bodyDiv w:val="1"/>
      <w:marLeft w:val="0"/>
      <w:marRight w:val="0"/>
      <w:marTop w:val="0"/>
      <w:marBottom w:val="0"/>
      <w:divBdr>
        <w:top w:val="none" w:sz="0" w:space="0" w:color="auto"/>
        <w:left w:val="none" w:sz="0" w:space="0" w:color="auto"/>
        <w:bottom w:val="none" w:sz="0" w:space="0" w:color="auto"/>
        <w:right w:val="none" w:sz="0" w:space="0" w:color="auto"/>
      </w:divBdr>
    </w:div>
    <w:div w:id="1712608508">
      <w:bodyDiv w:val="1"/>
      <w:marLeft w:val="0"/>
      <w:marRight w:val="0"/>
      <w:marTop w:val="0"/>
      <w:marBottom w:val="0"/>
      <w:divBdr>
        <w:top w:val="none" w:sz="0" w:space="0" w:color="auto"/>
        <w:left w:val="none" w:sz="0" w:space="0" w:color="auto"/>
        <w:bottom w:val="none" w:sz="0" w:space="0" w:color="auto"/>
        <w:right w:val="none" w:sz="0" w:space="0" w:color="auto"/>
      </w:divBdr>
    </w:div>
    <w:div w:id="1725370615">
      <w:bodyDiv w:val="1"/>
      <w:marLeft w:val="0"/>
      <w:marRight w:val="0"/>
      <w:marTop w:val="0"/>
      <w:marBottom w:val="0"/>
      <w:divBdr>
        <w:top w:val="none" w:sz="0" w:space="0" w:color="auto"/>
        <w:left w:val="none" w:sz="0" w:space="0" w:color="auto"/>
        <w:bottom w:val="none" w:sz="0" w:space="0" w:color="auto"/>
        <w:right w:val="none" w:sz="0" w:space="0" w:color="auto"/>
      </w:divBdr>
    </w:div>
    <w:div w:id="1797992053">
      <w:bodyDiv w:val="1"/>
      <w:marLeft w:val="0"/>
      <w:marRight w:val="0"/>
      <w:marTop w:val="0"/>
      <w:marBottom w:val="0"/>
      <w:divBdr>
        <w:top w:val="none" w:sz="0" w:space="0" w:color="auto"/>
        <w:left w:val="none" w:sz="0" w:space="0" w:color="auto"/>
        <w:bottom w:val="none" w:sz="0" w:space="0" w:color="auto"/>
        <w:right w:val="none" w:sz="0" w:space="0" w:color="auto"/>
      </w:divBdr>
    </w:div>
    <w:div w:id="1818567274">
      <w:bodyDiv w:val="1"/>
      <w:marLeft w:val="0"/>
      <w:marRight w:val="0"/>
      <w:marTop w:val="0"/>
      <w:marBottom w:val="0"/>
      <w:divBdr>
        <w:top w:val="none" w:sz="0" w:space="0" w:color="auto"/>
        <w:left w:val="none" w:sz="0" w:space="0" w:color="auto"/>
        <w:bottom w:val="none" w:sz="0" w:space="0" w:color="auto"/>
        <w:right w:val="none" w:sz="0" w:space="0" w:color="auto"/>
      </w:divBdr>
    </w:div>
    <w:div w:id="1824858265">
      <w:bodyDiv w:val="1"/>
      <w:marLeft w:val="0"/>
      <w:marRight w:val="0"/>
      <w:marTop w:val="0"/>
      <w:marBottom w:val="0"/>
      <w:divBdr>
        <w:top w:val="none" w:sz="0" w:space="0" w:color="auto"/>
        <w:left w:val="none" w:sz="0" w:space="0" w:color="auto"/>
        <w:bottom w:val="none" w:sz="0" w:space="0" w:color="auto"/>
        <w:right w:val="none" w:sz="0" w:space="0" w:color="auto"/>
      </w:divBdr>
    </w:div>
    <w:div w:id="1845970029">
      <w:bodyDiv w:val="1"/>
      <w:marLeft w:val="0"/>
      <w:marRight w:val="0"/>
      <w:marTop w:val="0"/>
      <w:marBottom w:val="0"/>
      <w:divBdr>
        <w:top w:val="none" w:sz="0" w:space="0" w:color="auto"/>
        <w:left w:val="none" w:sz="0" w:space="0" w:color="auto"/>
        <w:bottom w:val="none" w:sz="0" w:space="0" w:color="auto"/>
        <w:right w:val="none" w:sz="0" w:space="0" w:color="auto"/>
      </w:divBdr>
    </w:div>
    <w:div w:id="1916889118">
      <w:bodyDiv w:val="1"/>
      <w:marLeft w:val="0"/>
      <w:marRight w:val="0"/>
      <w:marTop w:val="0"/>
      <w:marBottom w:val="0"/>
      <w:divBdr>
        <w:top w:val="none" w:sz="0" w:space="0" w:color="auto"/>
        <w:left w:val="none" w:sz="0" w:space="0" w:color="auto"/>
        <w:bottom w:val="none" w:sz="0" w:space="0" w:color="auto"/>
        <w:right w:val="none" w:sz="0" w:space="0" w:color="auto"/>
      </w:divBdr>
    </w:div>
    <w:div w:id="1921330453">
      <w:bodyDiv w:val="1"/>
      <w:marLeft w:val="0"/>
      <w:marRight w:val="0"/>
      <w:marTop w:val="0"/>
      <w:marBottom w:val="0"/>
      <w:divBdr>
        <w:top w:val="none" w:sz="0" w:space="0" w:color="auto"/>
        <w:left w:val="none" w:sz="0" w:space="0" w:color="auto"/>
        <w:bottom w:val="none" w:sz="0" w:space="0" w:color="auto"/>
        <w:right w:val="none" w:sz="0" w:space="0" w:color="auto"/>
      </w:divBdr>
    </w:div>
    <w:div w:id="1938899665">
      <w:bodyDiv w:val="1"/>
      <w:marLeft w:val="0"/>
      <w:marRight w:val="0"/>
      <w:marTop w:val="0"/>
      <w:marBottom w:val="0"/>
      <w:divBdr>
        <w:top w:val="none" w:sz="0" w:space="0" w:color="auto"/>
        <w:left w:val="none" w:sz="0" w:space="0" w:color="auto"/>
        <w:bottom w:val="none" w:sz="0" w:space="0" w:color="auto"/>
        <w:right w:val="none" w:sz="0" w:space="0" w:color="auto"/>
      </w:divBdr>
    </w:div>
    <w:div w:id="1939867261">
      <w:bodyDiv w:val="1"/>
      <w:marLeft w:val="0"/>
      <w:marRight w:val="0"/>
      <w:marTop w:val="0"/>
      <w:marBottom w:val="0"/>
      <w:divBdr>
        <w:top w:val="none" w:sz="0" w:space="0" w:color="auto"/>
        <w:left w:val="none" w:sz="0" w:space="0" w:color="auto"/>
        <w:bottom w:val="none" w:sz="0" w:space="0" w:color="auto"/>
        <w:right w:val="none" w:sz="0" w:space="0" w:color="auto"/>
      </w:divBdr>
    </w:div>
    <w:div w:id="1989626086">
      <w:bodyDiv w:val="1"/>
      <w:marLeft w:val="0"/>
      <w:marRight w:val="0"/>
      <w:marTop w:val="0"/>
      <w:marBottom w:val="0"/>
      <w:divBdr>
        <w:top w:val="none" w:sz="0" w:space="0" w:color="auto"/>
        <w:left w:val="none" w:sz="0" w:space="0" w:color="auto"/>
        <w:bottom w:val="none" w:sz="0" w:space="0" w:color="auto"/>
        <w:right w:val="none" w:sz="0" w:space="0" w:color="auto"/>
      </w:divBdr>
    </w:div>
    <w:div w:id="2001152732">
      <w:bodyDiv w:val="1"/>
      <w:marLeft w:val="0"/>
      <w:marRight w:val="0"/>
      <w:marTop w:val="0"/>
      <w:marBottom w:val="0"/>
      <w:divBdr>
        <w:top w:val="none" w:sz="0" w:space="0" w:color="auto"/>
        <w:left w:val="none" w:sz="0" w:space="0" w:color="auto"/>
        <w:bottom w:val="none" w:sz="0" w:space="0" w:color="auto"/>
        <w:right w:val="none" w:sz="0" w:space="0" w:color="auto"/>
      </w:divBdr>
    </w:div>
    <w:div w:id="2076273036">
      <w:bodyDiv w:val="1"/>
      <w:marLeft w:val="0"/>
      <w:marRight w:val="0"/>
      <w:marTop w:val="0"/>
      <w:marBottom w:val="0"/>
      <w:divBdr>
        <w:top w:val="none" w:sz="0" w:space="0" w:color="auto"/>
        <w:left w:val="none" w:sz="0" w:space="0" w:color="auto"/>
        <w:bottom w:val="none" w:sz="0" w:space="0" w:color="auto"/>
        <w:right w:val="none" w:sz="0" w:space="0" w:color="auto"/>
      </w:divBdr>
    </w:div>
    <w:div w:id="2087072664">
      <w:bodyDiv w:val="1"/>
      <w:marLeft w:val="0"/>
      <w:marRight w:val="0"/>
      <w:marTop w:val="0"/>
      <w:marBottom w:val="0"/>
      <w:divBdr>
        <w:top w:val="none" w:sz="0" w:space="0" w:color="auto"/>
        <w:left w:val="none" w:sz="0" w:space="0" w:color="auto"/>
        <w:bottom w:val="none" w:sz="0" w:space="0" w:color="auto"/>
        <w:right w:val="none" w:sz="0" w:space="0" w:color="auto"/>
      </w:divBdr>
    </w:div>
    <w:div w:id="2090492229">
      <w:bodyDiv w:val="1"/>
      <w:marLeft w:val="0"/>
      <w:marRight w:val="0"/>
      <w:marTop w:val="0"/>
      <w:marBottom w:val="0"/>
      <w:divBdr>
        <w:top w:val="none" w:sz="0" w:space="0" w:color="auto"/>
        <w:left w:val="none" w:sz="0" w:space="0" w:color="auto"/>
        <w:bottom w:val="none" w:sz="0" w:space="0" w:color="auto"/>
        <w:right w:val="none" w:sz="0" w:space="0" w:color="auto"/>
      </w:divBdr>
    </w:div>
    <w:div w:id="2100443692">
      <w:bodyDiv w:val="1"/>
      <w:marLeft w:val="0"/>
      <w:marRight w:val="0"/>
      <w:marTop w:val="0"/>
      <w:marBottom w:val="0"/>
      <w:divBdr>
        <w:top w:val="none" w:sz="0" w:space="0" w:color="auto"/>
        <w:left w:val="none" w:sz="0" w:space="0" w:color="auto"/>
        <w:bottom w:val="none" w:sz="0" w:space="0" w:color="auto"/>
        <w:right w:val="none" w:sz="0" w:space="0" w:color="auto"/>
      </w:divBdr>
    </w:div>
    <w:div w:id="2103989299">
      <w:bodyDiv w:val="1"/>
      <w:marLeft w:val="0"/>
      <w:marRight w:val="0"/>
      <w:marTop w:val="0"/>
      <w:marBottom w:val="0"/>
      <w:divBdr>
        <w:top w:val="none" w:sz="0" w:space="0" w:color="auto"/>
        <w:left w:val="none" w:sz="0" w:space="0" w:color="auto"/>
        <w:bottom w:val="none" w:sz="0" w:space="0" w:color="auto"/>
        <w:right w:val="none" w:sz="0" w:space="0" w:color="auto"/>
      </w:divBdr>
    </w:div>
    <w:div w:id="2115244941">
      <w:bodyDiv w:val="1"/>
      <w:marLeft w:val="0"/>
      <w:marRight w:val="0"/>
      <w:marTop w:val="0"/>
      <w:marBottom w:val="0"/>
      <w:divBdr>
        <w:top w:val="none" w:sz="0" w:space="0" w:color="auto"/>
        <w:left w:val="none" w:sz="0" w:space="0" w:color="auto"/>
        <w:bottom w:val="none" w:sz="0" w:space="0" w:color="auto"/>
        <w:right w:val="none" w:sz="0" w:space="0" w:color="auto"/>
      </w:divBdr>
    </w:div>
    <w:div w:id="212915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schedule-of-subsidies-and-supplements-for-residential-and-transition-care?language=en" TargetMode="External"/><Relationship Id="rId21" Type="http://schemas.openxmlformats.org/officeDocument/2006/relationships/hyperlink" Target="mailto:TCP@health.gov.au" TargetMode="External"/><Relationship Id="rId42" Type="http://schemas.openxmlformats.org/officeDocument/2006/relationships/hyperlink" Target="https://www.health.gov.au/resources/publications/my-aged-care-assessment-manual" TargetMode="External"/><Relationship Id="rId47" Type="http://schemas.openxmlformats.org/officeDocument/2006/relationships/hyperlink" Target="https://www.health.gov.au/resources/apps-and-tools/my-aged-care-service-and-support-portal" TargetMode="External"/><Relationship Id="rId63" Type="http://schemas.openxmlformats.org/officeDocument/2006/relationships/hyperlink" Target="https://www.agedcarequality.gov.au/sirs" TargetMode="External"/><Relationship Id="rId68" Type="http://schemas.openxmlformats.org/officeDocument/2006/relationships/hyperlink" Target="https://www.agedcarequality.gov.au/providers/provider-registration/applications-requests-and-notifications" TargetMode="External"/><Relationship Id="rId84" Type="http://schemas.openxmlformats.org/officeDocument/2006/relationships/hyperlink" Target="https://www.agedcarequality.gov.au/contact-us/complaints-concerns/what-do-if-you-have-complaint" TargetMode="External"/><Relationship Id="rId89" Type="http://schemas.openxmlformats.org/officeDocument/2006/relationships/hyperlink" Target="https://www.legislation.gov.au/C2024A00104/asmade/2024-12-02/text/1/epub/OEBPS/document_1/document_1.html" TargetMode="External"/><Relationship Id="rId7" Type="http://schemas.openxmlformats.org/officeDocument/2006/relationships/settings" Target="settings.xml"/><Relationship Id="rId71" Type="http://schemas.openxmlformats.org/officeDocument/2006/relationships/hyperlink" Target="https://www.health.gov.au/our-work/new-model-for-regulating-aged-care/how-it-works" TargetMode="External"/><Relationship Id="rId92" Type="http://schemas.openxmlformats.org/officeDocument/2006/relationships/hyperlink" Target="https://www.legislation.gov.au/F2025L01173/asmade/2025-09-24/text/original/epub/OEBPS/document_1/document_1.html"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tispromo@homeaffairs.gov.au" TargetMode="External"/><Relationship Id="rId107" Type="http://schemas.openxmlformats.org/officeDocument/2006/relationships/theme" Target="theme/theme1.xml"/><Relationship Id="rId11" Type="http://schemas.openxmlformats.org/officeDocument/2006/relationships/header" Target="header1.xml"/><Relationship Id="rId24" Type="http://schemas.openxmlformats.org/officeDocument/2006/relationships/hyperlink" Target="https://www.myagedcare.gov.au/find-a-provider" TargetMode="External"/><Relationship Id="rId32" Type="http://schemas.openxmlformats.org/officeDocument/2006/relationships/hyperlink" Target="https://www.servicesaustralia.gov.au/aged-care-provider-portal?context=20" TargetMode="External"/><Relationship Id="rId37" Type="http://schemas.openxmlformats.org/officeDocument/2006/relationships/hyperlink" Target="http://www.humanservices.gov.au/customer/services/medicare/reciprocal-health-care-agreements" TargetMode="External"/><Relationship Id="rId40" Type="http://schemas.openxmlformats.org/officeDocument/2006/relationships/hyperlink" Target="https://www.health.gov.au/resources/apps-and-tools/my-aged-care-service-and-support-portal" TargetMode="External"/><Relationship Id="rId45" Type="http://schemas.openxmlformats.org/officeDocument/2006/relationships/hyperlink" Target="https://www.health.gov.au/resources/publications/support-at-home-program-manual-version-3-a-guide-for-registered-providers?language=en" TargetMode="External"/><Relationship Id="rId53" Type="http://schemas.openxmlformats.org/officeDocument/2006/relationships/hyperlink" Target="https://www.health.gov.au/resources/publications/support-at-home-program-manual-a-guide-for-registered-providers?language=en" TargetMode="External"/><Relationship Id="rId58" Type="http://schemas.openxmlformats.org/officeDocument/2006/relationships/hyperlink" Target="https://www.agedcarequality.gov.au/resource-library/reportable-incidents-and-sirs-quick-guide-changes-1-nov-2025" TargetMode="External"/><Relationship Id="rId66" Type="http://schemas.openxmlformats.org/officeDocument/2006/relationships/hyperlink" Target="http://www.servicesaustralia.gov.au/organisations/business/services/proda-provider-digital-access" TargetMode="External"/><Relationship Id="rId74" Type="http://schemas.openxmlformats.org/officeDocument/2006/relationships/hyperlink" Target="https://www.agedcarequality.gov.au/resource-library/renewal-registration-audit-guide" TargetMode="External"/><Relationship Id="rId79" Type="http://schemas.openxmlformats.org/officeDocument/2006/relationships/hyperlink" Target="https://www.health.gov.au/resources/publications/statement-of-expectations-to-the-aged-care-quality-and-safety-commission" TargetMode="External"/><Relationship Id="rId87" Type="http://schemas.openxmlformats.org/officeDocument/2006/relationships/hyperlink" Target="https://parlinfo.aph.gov.au/parlInfo/download/legislation/ems/r7238_ems_039e71de-7333-4c91-a254-31370f3bca1b/upload_pdf/Supplementary%20EM_JC014697.pdf;fileType=application%2Fpdf" TargetMode="External"/><Relationship Id="rId102" Type="http://schemas.openxmlformats.org/officeDocument/2006/relationships/hyperlink" Target="https://www.health.gov.au/resources/publications/my-aged-care-integrated-assessment-tool-iat-user-guide?language=en" TargetMode="External"/><Relationship Id="rId5" Type="http://schemas.openxmlformats.org/officeDocument/2006/relationships/numbering" Target="numbering.xml"/><Relationship Id="rId61" Type="http://schemas.openxmlformats.org/officeDocument/2006/relationships/hyperlink" Target="https://www.agedcarequality.gov.au/consumers/minimising-restrictive-practices" TargetMode="External"/><Relationship Id="rId82" Type="http://schemas.openxmlformats.org/officeDocument/2006/relationships/hyperlink" Target="http://www.opan.org.au" TargetMode="External"/><Relationship Id="rId90" Type="http://schemas.openxmlformats.org/officeDocument/2006/relationships/hyperlink" Target="https://www.legislation.gov.au/C2024A00104/asmade/2024-12-02/text/1/epub/OEBPS/document_1/document_1.html" TargetMode="External"/><Relationship Id="rId95" Type="http://schemas.openxmlformats.org/officeDocument/2006/relationships/hyperlink" Target="https://www.legislation.gov.au/C2024A00104/asmade/2024-12-02/text/1/epub/OEBPS/document_1/document_1.html" TargetMode="Externa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yperlink" Target="https://www.agedcarequality.gov.au/resource-library/regulatory-bulletin-rb-2025-1-associated-providers" TargetMode="External"/><Relationship Id="rId27" Type="http://schemas.openxmlformats.org/officeDocument/2006/relationships/hyperlink" Target="https://www.legislation.gov.au/C2024A00104/latest/text" TargetMode="External"/><Relationship Id="rId30" Type="http://schemas.openxmlformats.org/officeDocument/2006/relationships/hyperlink" Target="https://www.health.gov.au/our-work/translating-and-interpreting-service-tis-national-for-aged-care-service-providers-and-older-people-in-aged-care" TargetMode="External"/><Relationship Id="rId35" Type="http://schemas.openxmlformats.org/officeDocument/2006/relationships/hyperlink" Target="mailto:aged.care.liaison@servicesaustralia.gov.au" TargetMode="External"/><Relationship Id="rId43" Type="http://schemas.openxmlformats.org/officeDocument/2006/relationships/hyperlink" Target="https://www.health.gov.au/resources/publications/strengthened-aged-care-quality-standards-august-2025?language=en" TargetMode="External"/><Relationship Id="rId48" Type="http://schemas.openxmlformats.org/officeDocument/2006/relationships/hyperlink" Target="https://www.health.gov.au/our-work/my-aged-care/using-my-aged-care/my-aged-care-for-service-providers" TargetMode="External"/><Relationship Id="rId56" Type="http://schemas.openxmlformats.org/officeDocument/2006/relationships/hyperlink" Target="https://www.agedcarequality.gov.au/sirs" TargetMode="External"/><Relationship Id="rId64" Type="http://schemas.openxmlformats.org/officeDocument/2006/relationships/hyperlink" Target="https://www.agedcarequality.gov.au/sirs/decision-support-tool" TargetMode="External"/><Relationship Id="rId69" Type="http://schemas.openxmlformats.org/officeDocument/2006/relationships/hyperlink" Target="https://www.servicesaustralia.gov.au/organisations/health-professionals/forms/ac004" TargetMode="External"/><Relationship Id="rId77" Type="http://schemas.openxmlformats.org/officeDocument/2006/relationships/hyperlink" Target="https://www.agedcarequality.gov.au/" TargetMode="External"/><Relationship Id="rId100" Type="http://schemas.openxmlformats.org/officeDocument/2006/relationships/hyperlink" Target="https://www.legislation.gov.au/C2024A00104/asmade/2024-12-02/text/1/epub/OEBPS/document_1/document_1.html" TargetMode="External"/><Relationship Id="rId105"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opan.org.au/" TargetMode="External"/><Relationship Id="rId72" Type="http://schemas.openxmlformats.org/officeDocument/2006/relationships/hyperlink" Target="https://www.agedcarequality.gov.au/providers/quality-standards/strengthened-quality-standards" TargetMode="External"/><Relationship Id="rId80" Type="http://schemas.openxmlformats.org/officeDocument/2006/relationships/hyperlink" Target="https://www.agedcarequality.gov.au/media/101809" TargetMode="External"/><Relationship Id="rId85" Type="http://schemas.openxmlformats.org/officeDocument/2006/relationships/hyperlink" Target="https://www.legislation.gov.au/C2024A00104/asmade/2024-12-02/text/1/epub/OEBPS/document_1/document_1.html" TargetMode="External"/><Relationship Id="rId93" Type="http://schemas.openxmlformats.org/officeDocument/2006/relationships/hyperlink" Target="https://www.legislation.gov.au/F2025L01173/asmade/2025-09-24/text/original/epub/OEBPS/document_1/document_1.html" TargetMode="External"/><Relationship Id="rId98" Type="http://schemas.openxmlformats.org/officeDocument/2006/relationships/hyperlink" Target="https://www.legislation.gov.au/C2024A00104/asmade/2024-12-02/text/1/epub/OEBPS/document_1/document_1.html"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yperlink" Target="https://www.health.gov.au/our-work/new-model-for-regulating-aged-care/how-it-works" TargetMode="External"/><Relationship Id="rId33" Type="http://schemas.openxmlformats.org/officeDocument/2006/relationships/hyperlink" Target="https://hpe.servicesaustralia.gov.au/ACPP_flexible.html" TargetMode="External"/><Relationship Id="rId38" Type="http://schemas.openxmlformats.org/officeDocument/2006/relationships/hyperlink" Target="https://www.health.gov.au/resources/publications/my-aged-care-assessment-manual?language=en" TargetMode="External"/><Relationship Id="rId46" Type="http://schemas.openxmlformats.org/officeDocument/2006/relationships/hyperlink" Target="https://www.health.gov.au/resources/apps-and-tools/my-aged-care-service-and-support-portal" TargetMode="External"/><Relationship Id="rId59" Type="http://schemas.openxmlformats.org/officeDocument/2006/relationships/hyperlink" Target="https://www.health.gov.au/resources/apps-and-tools/my-aged-care-service-and-support-portal" TargetMode="External"/><Relationship Id="rId67" Type="http://schemas.openxmlformats.org/officeDocument/2006/relationships/hyperlink" Target="https://www.agedcarequality.gov.au/providers/notifying-material-changes-approved-providers" TargetMode="External"/><Relationship Id="rId103" Type="http://schemas.openxmlformats.org/officeDocument/2006/relationships/hyperlink" Target="https://www.health.gov.au/resources/publications/my-aged-care-assessment-manual" TargetMode="External"/><Relationship Id="rId108" Type="http://schemas.microsoft.com/office/2020/10/relationships/intelligence" Target="intelligence2.xml"/><Relationship Id="rId20" Type="http://schemas.openxmlformats.org/officeDocument/2006/relationships/hyperlink" Target="https://www.health.gov.au/resources/publications/transition-care-program-guidelines-november-2025" TargetMode="External"/><Relationship Id="rId41" Type="http://schemas.openxmlformats.org/officeDocument/2006/relationships/hyperlink" Target="https://www.health.gov.au/resources/publications/my-aged-care-assessment-manual" TargetMode="External"/><Relationship Id="rId54" Type="http://schemas.openxmlformats.org/officeDocument/2006/relationships/hyperlink" Target="https://www.health.gov.au/resources/publications/schedule-of-fees-and-charges-for-residential-and-home-care" TargetMode="External"/><Relationship Id="rId62" Type="http://schemas.openxmlformats.org/officeDocument/2006/relationships/hyperlink" Target="https://www.agedcarequality.gov.au/consumers/minimising-restrictive-practices" TargetMode="External"/><Relationship Id="rId70" Type="http://schemas.openxmlformats.org/officeDocument/2006/relationships/hyperlink" Target="https://www.health.gov.au/resources/publications/my-aged-care-service-and-support-portal-user-guide-part-1-administrator-functions?language=en" TargetMode="External"/><Relationship Id="rId75" Type="http://schemas.openxmlformats.org/officeDocument/2006/relationships/hyperlink" Target="https://www.agedcarequality.gov.au/resource-library/variation-registration-audit" TargetMode="External"/><Relationship Id="rId83" Type="http://schemas.openxmlformats.org/officeDocument/2006/relationships/hyperlink" Target="tel:1800951822" TargetMode="External"/><Relationship Id="rId88" Type="http://schemas.openxmlformats.org/officeDocument/2006/relationships/hyperlink" Target="https://www.agedcarequality.gov.au/sites/default/files/media/regulatory-bulletin-rb2025-1-associated-providers.pdf" TargetMode="External"/><Relationship Id="rId91" Type="http://schemas.openxmlformats.org/officeDocument/2006/relationships/hyperlink" Target="https://www.legislation.gov.au/C2024A00104/asmade/2024-12-02/text/1/epub/OEBPS/document_1/document_1.html" TargetMode="External"/><Relationship Id="rId96" Type="http://schemas.openxmlformats.org/officeDocument/2006/relationships/hyperlink" Target="https://www.legislation.gov.au/C2024A00104/asmade/2024-12-02/text/1/epub/OEBPS/document_1/document_1.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TCP@health.gov.au" TargetMode="External"/><Relationship Id="rId28" Type="http://schemas.openxmlformats.org/officeDocument/2006/relationships/hyperlink" Target="https://www.legislation.gov.au/F2025L01173/asmade/text" TargetMode="External"/><Relationship Id="rId36" Type="http://schemas.openxmlformats.org/officeDocument/2006/relationships/hyperlink" Target="https://www.legislation.gov.au/F2025L01173/asmade/text" TargetMode="External"/><Relationship Id="rId49" Type="http://schemas.openxmlformats.org/officeDocument/2006/relationships/hyperlink" Target="https://www.health.gov.au/resources/publications/a-new-aged-care-act-for-the-rights-of-older-people?language=en" TargetMode="External"/><Relationship Id="rId57" Type="http://schemas.openxmlformats.org/officeDocument/2006/relationships/hyperlink" Target="mailto:sirs@agedcarequality.gov.au"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myagedcare.gov.au/" TargetMode="External"/><Relationship Id="rId44" Type="http://schemas.openxmlformats.org/officeDocument/2006/relationships/hyperlink" Target="https://www.dementia.com.au" TargetMode="External"/><Relationship Id="rId52" Type="http://schemas.openxmlformats.org/officeDocument/2006/relationships/hyperlink" Target="https://urldefense.proofpoint.com/v2/url?u=https-3A__www.myagedcare.gov.au_short-2Dterm-2Dcare_transition-2Dcare&amp;d=DwMFAg&amp;c=JnBkUqWXzx2bz-3a05d47Q&amp;r=dTZWmmOE9oOVrDp5YO5cahDo7FdwDSFQxJ_M5-wT_-Q&amp;m=GWLwNw6SChWA13TjvLufKnIM-rgv47YJe806wnnNZ3w&amp;s=At5Gt4S3UmgjSyrm_-njRW2fXBiHmji0OBUnrO1m7cU&amp;e=" TargetMode="External"/><Relationship Id="rId60" Type="http://schemas.openxmlformats.org/officeDocument/2006/relationships/hyperlink" Target="https://www.health.gov.au/resources/collections/my-aged-care-service-and-support-portal-resources?language=en" TargetMode="External"/><Relationship Id="rId65" Type="http://schemas.openxmlformats.org/officeDocument/2006/relationships/hyperlink" Target="https://www.agedcarequality.gov.au/providers/clinical-governance/restrictive-practices-provider-resources" TargetMode="External"/><Relationship Id="rId73" Type="http://schemas.openxmlformats.org/officeDocument/2006/relationships/hyperlink" Target="https://www.agedcarequality.gov.au/resource-library/registration-audit-guide" TargetMode="External"/><Relationship Id="rId78" Type="http://schemas.openxmlformats.org/officeDocument/2006/relationships/hyperlink" Target="https://www.safetyandquality.gov.au/standards/integrated-health-and-aged-care-services-module" TargetMode="External"/><Relationship Id="rId81" Type="http://schemas.openxmlformats.org/officeDocument/2006/relationships/hyperlink" Target="mailto:info@agedcarequality.gov.au" TargetMode="External"/><Relationship Id="rId86" Type="http://schemas.openxmlformats.org/officeDocument/2006/relationships/hyperlink" Target="https://parlinfo.aph.gov.au/parlInfo/download/legislation/ems/r7238_ems_b7a81da3-8d0c-4501-99e4-0c33f8a39107/upload_pdf/JC014059.pdf;fileType=application%2Fpdf" TargetMode="External"/><Relationship Id="rId94" Type="http://schemas.openxmlformats.org/officeDocument/2006/relationships/hyperlink" Target="https://www.legislation.gov.au/C2024A00104/asmade/2024-12-02/text/1/epub/OEBPS/document_1/document_1.html" TargetMode="External"/><Relationship Id="rId99" Type="http://schemas.openxmlformats.org/officeDocument/2006/relationships/hyperlink" Target="https://www.legislation.gov.au/F2025L01173/asmade/2025-09-24/text/original/epub/OEBPS/document_1/document_1.html" TargetMode="External"/><Relationship Id="rId101" Type="http://schemas.openxmlformats.org/officeDocument/2006/relationships/hyperlink" Target="https://www.legislation.gov.au/C2024A00104/asmade/2024-12-02/text/1/epub/OEBPS/document_1/document_1.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yperlink" Target="https://www.health.gov.au/resources/publications/my-aged-care-assessment-manual?language=en" TargetMode="External"/><Relationship Id="rId34" Type="http://schemas.openxmlformats.org/officeDocument/2006/relationships/hyperlink" Target="https://www.servicesaustralia.gov.au/register-flexible-care-recipient-events?context=20" TargetMode="External"/><Relationship Id="rId50" Type="http://schemas.openxmlformats.org/officeDocument/2006/relationships/hyperlink" Target="https://opan.org.au/" TargetMode="External"/><Relationship Id="rId55" Type="http://schemas.openxmlformats.org/officeDocument/2006/relationships/hyperlink" Target="https://searchagedcarerequirements.health.gov.au/" TargetMode="External"/><Relationship Id="rId76" Type="http://schemas.openxmlformats.org/officeDocument/2006/relationships/hyperlink" Target="https://www.agedcarequality.gov.au/resource-library/pre-audit-readiness-checklist" TargetMode="External"/><Relationship Id="rId97" Type="http://schemas.openxmlformats.org/officeDocument/2006/relationships/hyperlink" Target="https://www.legislation.gov.au/C2024A00104/asmade/2024-12-02/text/1/epub/OEBPS/document_1/document_1.html" TargetMode="External"/><Relationship Id="rId104" Type="http://schemas.openxmlformats.org/officeDocument/2006/relationships/hyperlink" Target="http://www.opan.com.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gov.au/topics/rural-health-workforce/classifications/mm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0012\AppData\Local\Microsoft\Windows\Temporary%20Internet%20Files\Content.Outlook\AC2CN5VD\DSS%20Long%20Report%20Template%20Blue%20(3).dotx" TargetMode="External"/></Relationships>
</file>

<file path=word/theme/theme1.xml><?xml version="1.0" encoding="utf-8"?>
<a:theme xmlns:a="http://schemas.openxmlformats.org/drawingml/2006/main" name="DSS Blue">
  <a:themeElements>
    <a:clrScheme name="DSS Blue">
      <a:dk1>
        <a:sysClr val="windowText" lastClr="000000"/>
      </a:dk1>
      <a:lt1>
        <a:sysClr val="window" lastClr="FFFFFF"/>
      </a:lt1>
      <a:dk2>
        <a:srgbClr val="000000"/>
      </a:dk2>
      <a:lt2>
        <a:srgbClr val="F8F8F8"/>
      </a:lt2>
      <a:accent1>
        <a:srgbClr val="005A70"/>
      </a:accent1>
      <a:accent2>
        <a:srgbClr val="00B0B9"/>
      </a:accent2>
      <a:accent3>
        <a:srgbClr val="B1E4E3"/>
      </a:accent3>
      <a:accent4>
        <a:srgbClr val="005A70"/>
      </a:accent4>
      <a:accent5>
        <a:srgbClr val="00B0B9"/>
      </a:accent5>
      <a:accent6>
        <a:srgbClr val="B1E4E3"/>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14" ma:contentTypeDescription="Create a new document." ma:contentTypeScope="" ma:versionID="75859733974492b2676228f9344c5b0a">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93165922dc82e5dfa3ed2d4edf9059a2"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EL2cleared_x003f_"/>
                <xsd:element ref="ns2:ASclear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EL2cleared_x003f_" ma:index="16" ma:displayName="EL2 cleared?" ma:default="0" ma:format="Dropdown" ma:internalName="EL2cleared_x003f_">
      <xsd:simpleType>
        <xsd:restriction base="dms:Boolean"/>
      </xsd:simpleType>
    </xsd:element>
    <xsd:element name="AScleared_x003f_" ma:index="17" nillable="true" ma:displayName="AS cleared?" ma:default="0" ma:format="Dropdown" ma:internalName="ASclear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cleared_x003f_ xmlns="5e7f40d8-cffe-4c78-aa89-cf3a75383874">false</AScleared_x003f_>
    <EL2cleared_x003f_ xmlns="5e7f40d8-cffe-4c78-aa89-cf3a75383874">false</EL2cleared_x003f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67150-3AB2-4250-8A15-9DC0B4605CF4}">
  <ds:schemaRefs>
    <ds:schemaRef ds:uri="http://schemas.microsoft.com/sharepoint/v3/contenttype/forms"/>
  </ds:schemaRefs>
</ds:datastoreItem>
</file>

<file path=customXml/itemProps2.xml><?xml version="1.0" encoding="utf-8"?>
<ds:datastoreItem xmlns:ds="http://schemas.openxmlformats.org/officeDocument/2006/customXml" ds:itemID="{18395708-AC0D-4FA5-B264-69270A8C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D6F7A-1BD9-4CEF-B3AC-ADAAC2AA47FB}">
  <ds:schemaRefs>
    <ds:schemaRef ds:uri="http://purl.org/dc/elements/1.1/"/>
    <ds:schemaRef ds:uri="http://schemas.microsoft.com/office/2006/metadata/properties"/>
    <ds:schemaRef ds:uri="http://schemas.microsoft.com/office/2006/documentManagement/types"/>
    <ds:schemaRef ds:uri="1968325b-ff37-4c12-8874-b019e0ec7e46"/>
    <ds:schemaRef ds:uri="http://schemas.microsoft.com/office/infopath/2007/PartnerControls"/>
    <ds:schemaRef ds:uri="http://purl.org/dc/dcmitype/"/>
    <ds:schemaRef ds:uri="http://schemas.openxmlformats.org/package/2006/metadata/core-properties"/>
    <ds:schemaRef ds:uri="5e7f40d8-cffe-4c78-aa89-cf3a75383874"/>
    <ds:schemaRef ds:uri="http://www.w3.org/XML/1998/namespace"/>
    <ds:schemaRef ds:uri="http://purl.org/dc/terms/"/>
  </ds:schemaRefs>
</ds:datastoreItem>
</file>

<file path=customXml/itemProps4.xml><?xml version="1.0" encoding="utf-8"?>
<ds:datastoreItem xmlns:ds="http://schemas.openxmlformats.org/officeDocument/2006/customXml" ds:itemID="{22D3D710-FE15-41AE-BB7D-C85DABDD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Long Report Template Blue (3).dotx</Template>
  <TotalTime>20</TotalTime>
  <Pages>78</Pages>
  <Words>38110</Words>
  <Characters>217227</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Transition Care Programme Guidelines</vt:lpstr>
    </vt:vector>
  </TitlesOfParts>
  <Company/>
  <LinksUpToDate>false</LinksUpToDate>
  <CharactersWithSpaces>254828</CharactersWithSpaces>
  <SharedDoc>false</SharedDoc>
  <HLinks>
    <vt:vector size="1182" baseType="variant">
      <vt:variant>
        <vt:i4>4128801</vt:i4>
      </vt:variant>
      <vt:variant>
        <vt:i4>909</vt:i4>
      </vt:variant>
      <vt:variant>
        <vt:i4>0</vt:i4>
      </vt:variant>
      <vt:variant>
        <vt:i4>5</vt:i4>
      </vt:variant>
      <vt:variant>
        <vt:lpwstr>http://www.opan.com.au/</vt:lpwstr>
      </vt:variant>
      <vt:variant>
        <vt:lpwstr/>
      </vt:variant>
      <vt:variant>
        <vt:i4>4128894</vt:i4>
      </vt:variant>
      <vt:variant>
        <vt:i4>906</vt:i4>
      </vt:variant>
      <vt:variant>
        <vt:i4>0</vt:i4>
      </vt:variant>
      <vt:variant>
        <vt:i4>5</vt:i4>
      </vt:variant>
      <vt:variant>
        <vt:lpwstr>https://www.health.gov.au/resources/publications/my-aged-care-assessment-manual</vt:lpwstr>
      </vt:variant>
      <vt:variant>
        <vt:lpwstr/>
      </vt:variant>
      <vt:variant>
        <vt:i4>6619199</vt:i4>
      </vt:variant>
      <vt:variant>
        <vt:i4>903</vt:i4>
      </vt:variant>
      <vt:variant>
        <vt:i4>0</vt:i4>
      </vt:variant>
      <vt:variant>
        <vt:i4>5</vt:i4>
      </vt:variant>
      <vt:variant>
        <vt:lpwstr>https://www.health.gov.au/resources/publications/my-aged-care-integrated-assessment-tool-iat-user-guide?language=en</vt:lpwstr>
      </vt:variant>
      <vt:variant>
        <vt:lpwstr/>
      </vt:variant>
      <vt:variant>
        <vt:i4>2555924</vt:i4>
      </vt:variant>
      <vt:variant>
        <vt:i4>900</vt:i4>
      </vt:variant>
      <vt:variant>
        <vt:i4>0</vt:i4>
      </vt:variant>
      <vt:variant>
        <vt:i4>5</vt:i4>
      </vt:variant>
      <vt:variant>
        <vt:lpwstr>https://www.legislation.gov.au/C2024A00104/asmade/2024-12-02/text/1/epub/OEBPS/document_1/document_1.html</vt:lpwstr>
      </vt:variant>
      <vt:variant>
        <vt:lpwstr>_Toc184211666</vt:lpwstr>
      </vt:variant>
      <vt:variant>
        <vt:i4>2359316</vt:i4>
      </vt:variant>
      <vt:variant>
        <vt:i4>897</vt:i4>
      </vt:variant>
      <vt:variant>
        <vt:i4>0</vt:i4>
      </vt:variant>
      <vt:variant>
        <vt:i4>5</vt:i4>
      </vt:variant>
      <vt:variant>
        <vt:lpwstr>https://www.legislation.gov.au/C2024A00104/asmade/2024-12-02/text/1/epub/OEBPS/document_1/document_1.html</vt:lpwstr>
      </vt:variant>
      <vt:variant>
        <vt:lpwstr>_Toc184211657</vt:lpwstr>
      </vt:variant>
      <vt:variant>
        <vt:i4>6815770</vt:i4>
      </vt:variant>
      <vt:variant>
        <vt:i4>894</vt:i4>
      </vt:variant>
      <vt:variant>
        <vt:i4>0</vt:i4>
      </vt:variant>
      <vt:variant>
        <vt:i4>5</vt:i4>
      </vt:variant>
      <vt:variant>
        <vt:lpwstr>https://www.legislation.gov.au/F2025L01173/asmade/2025-09-24/text/original/epub/OEBPS/document_1/document_1.html</vt:lpwstr>
      </vt:variant>
      <vt:variant>
        <vt:lpwstr>_Toc208947946</vt:lpwstr>
      </vt:variant>
      <vt:variant>
        <vt:i4>2293780</vt:i4>
      </vt:variant>
      <vt:variant>
        <vt:i4>891</vt:i4>
      </vt:variant>
      <vt:variant>
        <vt:i4>0</vt:i4>
      </vt:variant>
      <vt:variant>
        <vt:i4>5</vt:i4>
      </vt:variant>
      <vt:variant>
        <vt:lpwstr>https://www.legislation.gov.au/C2024A00104/asmade/2024-12-02/text/1/epub/OEBPS/document_1/document_1.html</vt:lpwstr>
      </vt:variant>
      <vt:variant>
        <vt:lpwstr>_Toc184211627</vt:lpwstr>
      </vt:variant>
      <vt:variant>
        <vt:i4>2359316</vt:i4>
      </vt:variant>
      <vt:variant>
        <vt:i4>888</vt:i4>
      </vt:variant>
      <vt:variant>
        <vt:i4>0</vt:i4>
      </vt:variant>
      <vt:variant>
        <vt:i4>5</vt:i4>
      </vt:variant>
      <vt:variant>
        <vt:lpwstr>https://www.legislation.gov.au/C2024A00104/asmade/2024-12-02/text/1/epub/OEBPS/document_1/document_1.html</vt:lpwstr>
      </vt:variant>
      <vt:variant>
        <vt:lpwstr>_Toc184211653</vt:lpwstr>
      </vt:variant>
      <vt:variant>
        <vt:i4>2359316</vt:i4>
      </vt:variant>
      <vt:variant>
        <vt:i4>885</vt:i4>
      </vt:variant>
      <vt:variant>
        <vt:i4>0</vt:i4>
      </vt:variant>
      <vt:variant>
        <vt:i4>5</vt:i4>
      </vt:variant>
      <vt:variant>
        <vt:lpwstr>https://www.legislation.gov.au/C2024A00104/asmade/2024-12-02/text/1/epub/OEBPS/document_1/document_1.html</vt:lpwstr>
      </vt:variant>
      <vt:variant>
        <vt:lpwstr>_Toc184211652</vt:lpwstr>
      </vt:variant>
      <vt:variant>
        <vt:i4>2359316</vt:i4>
      </vt:variant>
      <vt:variant>
        <vt:i4>882</vt:i4>
      </vt:variant>
      <vt:variant>
        <vt:i4>0</vt:i4>
      </vt:variant>
      <vt:variant>
        <vt:i4>5</vt:i4>
      </vt:variant>
      <vt:variant>
        <vt:lpwstr>https://www.legislation.gov.au/C2024A00104/asmade/2024-12-02/text/1/epub/OEBPS/document_1/document_1.html</vt:lpwstr>
      </vt:variant>
      <vt:variant>
        <vt:lpwstr>_Toc184211651</vt:lpwstr>
      </vt:variant>
      <vt:variant>
        <vt:i4>2359316</vt:i4>
      </vt:variant>
      <vt:variant>
        <vt:i4>879</vt:i4>
      </vt:variant>
      <vt:variant>
        <vt:i4>0</vt:i4>
      </vt:variant>
      <vt:variant>
        <vt:i4>5</vt:i4>
      </vt:variant>
      <vt:variant>
        <vt:lpwstr>https://www.legislation.gov.au/C2024A00104/asmade/2024-12-02/text/1/epub/OEBPS/document_1/document_1.html</vt:lpwstr>
      </vt:variant>
      <vt:variant>
        <vt:lpwstr>_Toc184211654</vt:lpwstr>
      </vt:variant>
      <vt:variant>
        <vt:i4>6422545</vt:i4>
      </vt:variant>
      <vt:variant>
        <vt:i4>876</vt:i4>
      </vt:variant>
      <vt:variant>
        <vt:i4>0</vt:i4>
      </vt:variant>
      <vt:variant>
        <vt:i4>5</vt:i4>
      </vt:variant>
      <vt:variant>
        <vt:lpwstr>https://www.legislation.gov.au/F2025L01173/asmade/2025-09-24/text/original/epub/OEBPS/document_1/document_1.html</vt:lpwstr>
      </vt:variant>
      <vt:variant>
        <vt:lpwstr>_Toc208948219</vt:lpwstr>
      </vt:variant>
      <vt:variant>
        <vt:i4>6422545</vt:i4>
      </vt:variant>
      <vt:variant>
        <vt:i4>873</vt:i4>
      </vt:variant>
      <vt:variant>
        <vt:i4>0</vt:i4>
      </vt:variant>
      <vt:variant>
        <vt:i4>5</vt:i4>
      </vt:variant>
      <vt:variant>
        <vt:lpwstr>https://www.legislation.gov.au/F2025L01173/asmade/2025-09-24/text/original/epub/OEBPS/document_1/document_1.html</vt:lpwstr>
      </vt:variant>
      <vt:variant>
        <vt:lpwstr>_Toc208948218</vt:lpwstr>
      </vt:variant>
      <vt:variant>
        <vt:i4>2424852</vt:i4>
      </vt:variant>
      <vt:variant>
        <vt:i4>870</vt:i4>
      </vt:variant>
      <vt:variant>
        <vt:i4>0</vt:i4>
      </vt:variant>
      <vt:variant>
        <vt:i4>5</vt:i4>
      </vt:variant>
      <vt:variant>
        <vt:lpwstr>https://www.legislation.gov.au/C2024A00104/asmade/2024-12-02/text/1/epub/OEBPS/document_1/document_1.html</vt:lpwstr>
      </vt:variant>
      <vt:variant>
        <vt:lpwstr>_Toc184211648</vt:lpwstr>
      </vt:variant>
      <vt:variant>
        <vt:i4>2555927</vt:i4>
      </vt:variant>
      <vt:variant>
        <vt:i4>867</vt:i4>
      </vt:variant>
      <vt:variant>
        <vt:i4>0</vt:i4>
      </vt:variant>
      <vt:variant>
        <vt:i4>5</vt:i4>
      </vt:variant>
      <vt:variant>
        <vt:lpwstr>https://www.legislation.gov.au/C2024A00104/asmade/2024-12-02/text/1/epub/OEBPS/document_1/document_1.html</vt:lpwstr>
      </vt:variant>
      <vt:variant>
        <vt:lpwstr>_Toc184211566</vt:lpwstr>
      </vt:variant>
      <vt:variant>
        <vt:i4>2424854</vt:i4>
      </vt:variant>
      <vt:variant>
        <vt:i4>864</vt:i4>
      </vt:variant>
      <vt:variant>
        <vt:i4>0</vt:i4>
      </vt:variant>
      <vt:variant>
        <vt:i4>5</vt:i4>
      </vt:variant>
      <vt:variant>
        <vt:lpwstr>https://www.legislation.gov.au/C2024A00104/asmade/2024-12-02/text/1/epub/OEBPS/document_1/document_1.html</vt:lpwstr>
      </vt:variant>
      <vt:variant>
        <vt:lpwstr>_Toc184211446</vt:lpwstr>
      </vt:variant>
      <vt:variant>
        <vt:i4>7209072</vt:i4>
      </vt:variant>
      <vt:variant>
        <vt:i4>861</vt:i4>
      </vt:variant>
      <vt:variant>
        <vt:i4>0</vt:i4>
      </vt:variant>
      <vt:variant>
        <vt:i4>5</vt:i4>
      </vt:variant>
      <vt:variant>
        <vt:lpwstr>https://www.agedcarequality.gov.au/sites/default/files/media/regulatory-bulletin-rb2025-1-associated-providers.pdf</vt:lpwstr>
      </vt:variant>
      <vt:variant>
        <vt:lpwstr/>
      </vt:variant>
      <vt:variant>
        <vt:i4>131139</vt:i4>
      </vt:variant>
      <vt:variant>
        <vt:i4>858</vt:i4>
      </vt:variant>
      <vt:variant>
        <vt:i4>0</vt:i4>
      </vt:variant>
      <vt:variant>
        <vt:i4>5</vt:i4>
      </vt:variant>
      <vt:variant>
        <vt:lpwstr>https://parlinfo.aph.gov.au/parlInfo/download/legislation/ems/r7238_ems_039e71de-7333-4c91-a254-31370f3bca1b/upload_pdf/Supplementary EM_JC014697.pdf;fileType=application%2Fpdf</vt:lpwstr>
      </vt:variant>
      <vt:variant>
        <vt:lpwstr>search=%22legislation/ems/r7238_ems_039e71de-7333-4c91-a254-31370f3bca1b%22</vt:lpwstr>
      </vt:variant>
      <vt:variant>
        <vt:i4>852019</vt:i4>
      </vt:variant>
      <vt:variant>
        <vt:i4>855</vt:i4>
      </vt:variant>
      <vt:variant>
        <vt:i4>0</vt:i4>
      </vt:variant>
      <vt:variant>
        <vt:i4>5</vt:i4>
      </vt:variant>
      <vt:variant>
        <vt:lpwstr>https://parlinfo.aph.gov.au/parlInfo/download/legislation/ems/r7238_ems_b7a81da3-8d0c-4501-99e4-0c33f8a39107/upload_pdf/JC014059.pdf;fileType=application%2Fpdf</vt:lpwstr>
      </vt:variant>
      <vt:variant>
        <vt:lpwstr/>
      </vt:variant>
      <vt:variant>
        <vt:i4>2424854</vt:i4>
      </vt:variant>
      <vt:variant>
        <vt:i4>849</vt:i4>
      </vt:variant>
      <vt:variant>
        <vt:i4>0</vt:i4>
      </vt:variant>
      <vt:variant>
        <vt:i4>5</vt:i4>
      </vt:variant>
      <vt:variant>
        <vt:lpwstr>https://www.legislation.gov.au/C2024A00104/asmade/2024-12-02/text/1/epub/OEBPS/document_1/document_1.html</vt:lpwstr>
      </vt:variant>
      <vt:variant>
        <vt:lpwstr>_Toc184211445</vt:lpwstr>
      </vt:variant>
      <vt:variant>
        <vt:i4>2883630</vt:i4>
      </vt:variant>
      <vt:variant>
        <vt:i4>846</vt:i4>
      </vt:variant>
      <vt:variant>
        <vt:i4>0</vt:i4>
      </vt:variant>
      <vt:variant>
        <vt:i4>5</vt:i4>
      </vt:variant>
      <vt:variant>
        <vt:lpwstr>https://www.agedcarequality.gov.au/contact-us/complaints-concerns/what-do-if-you-have-complaint</vt:lpwstr>
      </vt:variant>
      <vt:variant>
        <vt:lpwstr/>
      </vt:variant>
      <vt:variant>
        <vt:i4>6815779</vt:i4>
      </vt:variant>
      <vt:variant>
        <vt:i4>843</vt:i4>
      </vt:variant>
      <vt:variant>
        <vt:i4>0</vt:i4>
      </vt:variant>
      <vt:variant>
        <vt:i4>5</vt:i4>
      </vt:variant>
      <vt:variant>
        <vt:lpwstr>tel:1800951822</vt:lpwstr>
      </vt:variant>
      <vt:variant>
        <vt:lpwstr/>
      </vt:variant>
      <vt:variant>
        <vt:i4>2228263</vt:i4>
      </vt:variant>
      <vt:variant>
        <vt:i4>840</vt:i4>
      </vt:variant>
      <vt:variant>
        <vt:i4>0</vt:i4>
      </vt:variant>
      <vt:variant>
        <vt:i4>5</vt:i4>
      </vt:variant>
      <vt:variant>
        <vt:lpwstr>http://www.opan.org.au/</vt:lpwstr>
      </vt:variant>
      <vt:variant>
        <vt:lpwstr/>
      </vt:variant>
      <vt:variant>
        <vt:i4>6094894</vt:i4>
      </vt:variant>
      <vt:variant>
        <vt:i4>837</vt:i4>
      </vt:variant>
      <vt:variant>
        <vt:i4>0</vt:i4>
      </vt:variant>
      <vt:variant>
        <vt:i4>5</vt:i4>
      </vt:variant>
      <vt:variant>
        <vt:lpwstr>mailto:info@agedcarequality.gov.au</vt:lpwstr>
      </vt:variant>
      <vt:variant>
        <vt:lpwstr/>
      </vt:variant>
      <vt:variant>
        <vt:i4>6291489</vt:i4>
      </vt:variant>
      <vt:variant>
        <vt:i4>834</vt:i4>
      </vt:variant>
      <vt:variant>
        <vt:i4>0</vt:i4>
      </vt:variant>
      <vt:variant>
        <vt:i4>5</vt:i4>
      </vt:variant>
      <vt:variant>
        <vt:lpwstr>https://www.agedcarequality.gov.au/media/101809</vt:lpwstr>
      </vt:variant>
      <vt:variant>
        <vt:lpwstr/>
      </vt:variant>
      <vt:variant>
        <vt:i4>5570566</vt:i4>
      </vt:variant>
      <vt:variant>
        <vt:i4>831</vt:i4>
      </vt:variant>
      <vt:variant>
        <vt:i4>0</vt:i4>
      </vt:variant>
      <vt:variant>
        <vt:i4>5</vt:i4>
      </vt:variant>
      <vt:variant>
        <vt:lpwstr>https://www.health.gov.au/resources/publications/statement-of-expectations-to-the-aged-care-quality-and-safety-commission</vt:lpwstr>
      </vt:variant>
      <vt:variant>
        <vt:lpwstr/>
      </vt:variant>
      <vt:variant>
        <vt:i4>7209063</vt:i4>
      </vt:variant>
      <vt:variant>
        <vt:i4>828</vt:i4>
      </vt:variant>
      <vt:variant>
        <vt:i4>0</vt:i4>
      </vt:variant>
      <vt:variant>
        <vt:i4>5</vt:i4>
      </vt:variant>
      <vt:variant>
        <vt:lpwstr>https://www.safetyandquality.gov.au/standards/integrated-health-and-aged-care-services-module</vt:lpwstr>
      </vt:variant>
      <vt:variant>
        <vt:lpwstr>frequently-asked-questions</vt:lpwstr>
      </vt:variant>
      <vt:variant>
        <vt:i4>3670053</vt:i4>
      </vt:variant>
      <vt:variant>
        <vt:i4>825</vt:i4>
      </vt:variant>
      <vt:variant>
        <vt:i4>0</vt:i4>
      </vt:variant>
      <vt:variant>
        <vt:i4>5</vt:i4>
      </vt:variant>
      <vt:variant>
        <vt:lpwstr>https://www.agedcarequality.gov.au/</vt:lpwstr>
      </vt:variant>
      <vt:variant>
        <vt:lpwstr/>
      </vt:variant>
      <vt:variant>
        <vt:i4>983053</vt:i4>
      </vt:variant>
      <vt:variant>
        <vt:i4>822</vt:i4>
      </vt:variant>
      <vt:variant>
        <vt:i4>0</vt:i4>
      </vt:variant>
      <vt:variant>
        <vt:i4>5</vt:i4>
      </vt:variant>
      <vt:variant>
        <vt:lpwstr>https://www.agedcarequality.gov.au/resource-library/pre-audit-readiness-checklist</vt:lpwstr>
      </vt:variant>
      <vt:variant>
        <vt:lpwstr/>
      </vt:variant>
      <vt:variant>
        <vt:i4>1376349</vt:i4>
      </vt:variant>
      <vt:variant>
        <vt:i4>819</vt:i4>
      </vt:variant>
      <vt:variant>
        <vt:i4>0</vt:i4>
      </vt:variant>
      <vt:variant>
        <vt:i4>5</vt:i4>
      </vt:variant>
      <vt:variant>
        <vt:lpwstr>https://www.agedcarequality.gov.au/resource-library/variation-registration-audit</vt:lpwstr>
      </vt:variant>
      <vt:variant>
        <vt:lpwstr/>
      </vt:variant>
      <vt:variant>
        <vt:i4>786436</vt:i4>
      </vt:variant>
      <vt:variant>
        <vt:i4>816</vt:i4>
      </vt:variant>
      <vt:variant>
        <vt:i4>0</vt:i4>
      </vt:variant>
      <vt:variant>
        <vt:i4>5</vt:i4>
      </vt:variant>
      <vt:variant>
        <vt:lpwstr>https://www.agedcarequality.gov.au/resource-library/renewal-registration-audit-guide</vt:lpwstr>
      </vt:variant>
      <vt:variant>
        <vt:lpwstr/>
      </vt:variant>
      <vt:variant>
        <vt:i4>4194307</vt:i4>
      </vt:variant>
      <vt:variant>
        <vt:i4>813</vt:i4>
      </vt:variant>
      <vt:variant>
        <vt:i4>0</vt:i4>
      </vt:variant>
      <vt:variant>
        <vt:i4>5</vt:i4>
      </vt:variant>
      <vt:variant>
        <vt:lpwstr>https://www.agedcarequality.gov.au/resource-library/registration-audit-guide</vt:lpwstr>
      </vt:variant>
      <vt:variant>
        <vt:lpwstr/>
      </vt:variant>
      <vt:variant>
        <vt:i4>4587607</vt:i4>
      </vt:variant>
      <vt:variant>
        <vt:i4>810</vt:i4>
      </vt:variant>
      <vt:variant>
        <vt:i4>0</vt:i4>
      </vt:variant>
      <vt:variant>
        <vt:i4>5</vt:i4>
      </vt:variant>
      <vt:variant>
        <vt:lpwstr>https://www.agedcarequality.gov.au/providers/quality-standards/strengthened-quality-standards</vt:lpwstr>
      </vt:variant>
      <vt:variant>
        <vt:lpwstr/>
      </vt:variant>
      <vt:variant>
        <vt:i4>7405616</vt:i4>
      </vt:variant>
      <vt:variant>
        <vt:i4>807</vt:i4>
      </vt:variant>
      <vt:variant>
        <vt:i4>0</vt:i4>
      </vt:variant>
      <vt:variant>
        <vt:i4>5</vt:i4>
      </vt:variant>
      <vt:variant>
        <vt:lpwstr>https://www.health.gov.au/our-work/new-model-for-regulating-aged-care/how-it-works</vt:lpwstr>
      </vt:variant>
      <vt:variant>
        <vt:lpwstr/>
      </vt:variant>
      <vt:variant>
        <vt:i4>7929961</vt:i4>
      </vt:variant>
      <vt:variant>
        <vt:i4>804</vt:i4>
      </vt:variant>
      <vt:variant>
        <vt:i4>0</vt:i4>
      </vt:variant>
      <vt:variant>
        <vt:i4>5</vt:i4>
      </vt:variant>
      <vt:variant>
        <vt:lpwstr>https://www.health.gov.au/resources/publications/my-aged-care-service-and-support-portal-user-guide-part-1-administrator-functions?language=en</vt:lpwstr>
      </vt:variant>
      <vt:variant>
        <vt:lpwstr/>
      </vt:variant>
      <vt:variant>
        <vt:i4>2621551</vt:i4>
      </vt:variant>
      <vt:variant>
        <vt:i4>801</vt:i4>
      </vt:variant>
      <vt:variant>
        <vt:i4>0</vt:i4>
      </vt:variant>
      <vt:variant>
        <vt:i4>5</vt:i4>
      </vt:variant>
      <vt:variant>
        <vt:lpwstr>https://www.servicesaustralia.gov.au/organisations/health-professionals/forms/ac004</vt:lpwstr>
      </vt:variant>
      <vt:variant>
        <vt:lpwstr/>
      </vt:variant>
      <vt:variant>
        <vt:i4>2687079</vt:i4>
      </vt:variant>
      <vt:variant>
        <vt:i4>798</vt:i4>
      </vt:variant>
      <vt:variant>
        <vt:i4>0</vt:i4>
      </vt:variant>
      <vt:variant>
        <vt:i4>5</vt:i4>
      </vt:variant>
      <vt:variant>
        <vt:lpwstr>https://www.agedcarequality.gov.au/providers/provider-registration/applications-requests-and-notifications</vt:lpwstr>
      </vt:variant>
      <vt:variant>
        <vt:lpwstr/>
      </vt:variant>
      <vt:variant>
        <vt:i4>3342392</vt:i4>
      </vt:variant>
      <vt:variant>
        <vt:i4>795</vt:i4>
      </vt:variant>
      <vt:variant>
        <vt:i4>0</vt:i4>
      </vt:variant>
      <vt:variant>
        <vt:i4>5</vt:i4>
      </vt:variant>
      <vt:variant>
        <vt:lpwstr>https://www.agedcarequality.gov.au/providers/notifying-material-changes-approved-providers</vt:lpwstr>
      </vt:variant>
      <vt:variant>
        <vt:lpwstr/>
      </vt:variant>
      <vt:variant>
        <vt:i4>4980759</vt:i4>
      </vt:variant>
      <vt:variant>
        <vt:i4>792</vt:i4>
      </vt:variant>
      <vt:variant>
        <vt:i4>0</vt:i4>
      </vt:variant>
      <vt:variant>
        <vt:i4>5</vt:i4>
      </vt:variant>
      <vt:variant>
        <vt:lpwstr>http://www.servicesaustralia.gov.au/organisations/business/services/proda-provider-digital-access</vt:lpwstr>
      </vt:variant>
      <vt:variant>
        <vt:lpwstr/>
      </vt:variant>
      <vt:variant>
        <vt:i4>5373974</vt:i4>
      </vt:variant>
      <vt:variant>
        <vt:i4>789</vt:i4>
      </vt:variant>
      <vt:variant>
        <vt:i4>0</vt:i4>
      </vt:variant>
      <vt:variant>
        <vt:i4>5</vt:i4>
      </vt:variant>
      <vt:variant>
        <vt:lpwstr>https://www.agedcarequality.gov.au/providers/clinical-governance/restrictive-practices-provider-resources</vt:lpwstr>
      </vt:variant>
      <vt:variant>
        <vt:lpwstr/>
      </vt:variant>
      <vt:variant>
        <vt:i4>1966099</vt:i4>
      </vt:variant>
      <vt:variant>
        <vt:i4>786</vt:i4>
      </vt:variant>
      <vt:variant>
        <vt:i4>0</vt:i4>
      </vt:variant>
      <vt:variant>
        <vt:i4>5</vt:i4>
      </vt:variant>
      <vt:variant>
        <vt:lpwstr>https://www.agedcarequality.gov.au/sirs/decision-support-tool</vt:lpwstr>
      </vt:variant>
      <vt:variant>
        <vt:lpwstr/>
      </vt:variant>
      <vt:variant>
        <vt:i4>3735651</vt:i4>
      </vt:variant>
      <vt:variant>
        <vt:i4>783</vt:i4>
      </vt:variant>
      <vt:variant>
        <vt:i4>0</vt:i4>
      </vt:variant>
      <vt:variant>
        <vt:i4>5</vt:i4>
      </vt:variant>
      <vt:variant>
        <vt:lpwstr>https://www.agedcarequality.gov.au/sirs</vt:lpwstr>
      </vt:variant>
      <vt:variant>
        <vt:lpwstr/>
      </vt:variant>
      <vt:variant>
        <vt:i4>4325467</vt:i4>
      </vt:variant>
      <vt:variant>
        <vt:i4>780</vt:i4>
      </vt:variant>
      <vt:variant>
        <vt:i4>0</vt:i4>
      </vt:variant>
      <vt:variant>
        <vt:i4>5</vt:i4>
      </vt:variant>
      <vt:variant>
        <vt:lpwstr>https://www.agedcarequality.gov.au/consumers/minimising-restrictive-practices</vt:lpwstr>
      </vt:variant>
      <vt:variant>
        <vt:lpwstr/>
      </vt:variant>
      <vt:variant>
        <vt:i4>4325467</vt:i4>
      </vt:variant>
      <vt:variant>
        <vt:i4>777</vt:i4>
      </vt:variant>
      <vt:variant>
        <vt:i4>0</vt:i4>
      </vt:variant>
      <vt:variant>
        <vt:i4>5</vt:i4>
      </vt:variant>
      <vt:variant>
        <vt:lpwstr>https://www.agedcarequality.gov.au/consumers/minimising-restrictive-practices</vt:lpwstr>
      </vt:variant>
      <vt:variant>
        <vt:lpwstr/>
      </vt:variant>
      <vt:variant>
        <vt:i4>4390980</vt:i4>
      </vt:variant>
      <vt:variant>
        <vt:i4>774</vt:i4>
      </vt:variant>
      <vt:variant>
        <vt:i4>0</vt:i4>
      </vt:variant>
      <vt:variant>
        <vt:i4>5</vt:i4>
      </vt:variant>
      <vt:variant>
        <vt:lpwstr>https://www.health.gov.au/resources/collections/my-aged-care-service-and-support-portal-resources?language=en</vt:lpwstr>
      </vt:variant>
      <vt:variant>
        <vt:lpwstr/>
      </vt:variant>
      <vt:variant>
        <vt:i4>6684727</vt:i4>
      </vt:variant>
      <vt:variant>
        <vt:i4>771</vt:i4>
      </vt:variant>
      <vt:variant>
        <vt:i4>0</vt:i4>
      </vt:variant>
      <vt:variant>
        <vt:i4>5</vt:i4>
      </vt:variant>
      <vt:variant>
        <vt:lpwstr>https://www.health.gov.au/resources/apps-and-tools/my-aged-care-service-and-support-portal</vt:lpwstr>
      </vt:variant>
      <vt:variant>
        <vt:lpwstr/>
      </vt:variant>
      <vt:variant>
        <vt:i4>4456468</vt:i4>
      </vt:variant>
      <vt:variant>
        <vt:i4>768</vt:i4>
      </vt:variant>
      <vt:variant>
        <vt:i4>0</vt:i4>
      </vt:variant>
      <vt:variant>
        <vt:i4>5</vt:i4>
      </vt:variant>
      <vt:variant>
        <vt:lpwstr>https://www.agedcarequality.gov.au/resource-library/reportable-incidents-and-sirs-quick-guide-changes-1-nov-2025</vt:lpwstr>
      </vt:variant>
      <vt:variant>
        <vt:lpwstr/>
      </vt:variant>
      <vt:variant>
        <vt:i4>5439541</vt:i4>
      </vt:variant>
      <vt:variant>
        <vt:i4>765</vt:i4>
      </vt:variant>
      <vt:variant>
        <vt:i4>0</vt:i4>
      </vt:variant>
      <vt:variant>
        <vt:i4>5</vt:i4>
      </vt:variant>
      <vt:variant>
        <vt:lpwstr>mailto:sirs@agedcarequality.gov.au</vt:lpwstr>
      </vt:variant>
      <vt:variant>
        <vt:lpwstr/>
      </vt:variant>
      <vt:variant>
        <vt:i4>393246</vt:i4>
      </vt:variant>
      <vt:variant>
        <vt:i4>762</vt:i4>
      </vt:variant>
      <vt:variant>
        <vt:i4>0</vt:i4>
      </vt:variant>
      <vt:variant>
        <vt:i4>5</vt:i4>
      </vt:variant>
      <vt:variant>
        <vt:lpwstr>https://www.agedcarequality.gov.au/sirs</vt:lpwstr>
      </vt:variant>
      <vt:variant>
        <vt:lpwstr>what%20is%20the%20serious%20incident%20response%20scheme%20sirs</vt:lpwstr>
      </vt:variant>
      <vt:variant>
        <vt:i4>1835013</vt:i4>
      </vt:variant>
      <vt:variant>
        <vt:i4>759</vt:i4>
      </vt:variant>
      <vt:variant>
        <vt:i4>0</vt:i4>
      </vt:variant>
      <vt:variant>
        <vt:i4>5</vt:i4>
      </vt:variant>
      <vt:variant>
        <vt:lpwstr>https://searchagedcarerequirements.health.gov.au/</vt:lpwstr>
      </vt:variant>
      <vt:variant>
        <vt:lpwstr/>
      </vt:variant>
      <vt:variant>
        <vt:i4>7995510</vt:i4>
      </vt:variant>
      <vt:variant>
        <vt:i4>756</vt:i4>
      </vt:variant>
      <vt:variant>
        <vt:i4>0</vt:i4>
      </vt:variant>
      <vt:variant>
        <vt:i4>5</vt:i4>
      </vt:variant>
      <vt:variant>
        <vt:lpwstr>https://www.health.gov.au/resources/publications/schedule-of-fees-and-charges-for-residential-and-home-care</vt:lpwstr>
      </vt:variant>
      <vt:variant>
        <vt:lpwstr/>
      </vt:variant>
      <vt:variant>
        <vt:i4>5832777</vt:i4>
      </vt:variant>
      <vt:variant>
        <vt:i4>753</vt:i4>
      </vt:variant>
      <vt:variant>
        <vt:i4>0</vt:i4>
      </vt:variant>
      <vt:variant>
        <vt:i4>5</vt:i4>
      </vt:variant>
      <vt:variant>
        <vt:lpwstr>https://www.health.gov.au/resources/publications/support-at-home-program-manual-a-guide-for-registered-providers?language=en</vt:lpwstr>
      </vt:variant>
      <vt:variant>
        <vt:lpwstr/>
      </vt:variant>
      <vt:variant>
        <vt:i4>6225989</vt:i4>
      </vt:variant>
      <vt:variant>
        <vt:i4>750</vt:i4>
      </vt:variant>
      <vt:variant>
        <vt:i4>0</vt:i4>
      </vt:variant>
      <vt:variant>
        <vt:i4>5</vt:i4>
      </vt:variant>
      <vt:variant>
        <vt:lpwstr>https://urldefense.proofpoint.com/v2/url?u=https-3A__www.myagedcare.gov.au_short-2Dterm-2Dcare_transition-2Dcare&amp;d=DwMFAg&amp;c=JnBkUqWXzx2bz-3a05d47Q&amp;r=dTZWmmOE9oOVrDp5YO5cahDo7FdwDSFQxJ_M5-wT_-Q&amp;m=GWLwNw6SChWA13TjvLufKnIM-rgv47YJe806wnnNZ3w&amp;s=At5Gt4S3UmgjSyrm_-njRW2fXBiHmji0OBUnrO1m7cU&amp;e=</vt:lpwstr>
      </vt:variant>
      <vt:variant>
        <vt:lpwstr/>
      </vt:variant>
      <vt:variant>
        <vt:i4>4784201</vt:i4>
      </vt:variant>
      <vt:variant>
        <vt:i4>747</vt:i4>
      </vt:variant>
      <vt:variant>
        <vt:i4>0</vt:i4>
      </vt:variant>
      <vt:variant>
        <vt:i4>5</vt:i4>
      </vt:variant>
      <vt:variant>
        <vt:lpwstr>https://opan.org.au/</vt:lpwstr>
      </vt:variant>
      <vt:variant>
        <vt:lpwstr/>
      </vt:variant>
      <vt:variant>
        <vt:i4>4784201</vt:i4>
      </vt:variant>
      <vt:variant>
        <vt:i4>744</vt:i4>
      </vt:variant>
      <vt:variant>
        <vt:i4>0</vt:i4>
      </vt:variant>
      <vt:variant>
        <vt:i4>5</vt:i4>
      </vt:variant>
      <vt:variant>
        <vt:lpwstr>https://opan.org.au/</vt:lpwstr>
      </vt:variant>
      <vt:variant>
        <vt:lpwstr/>
      </vt:variant>
      <vt:variant>
        <vt:i4>7012395</vt:i4>
      </vt:variant>
      <vt:variant>
        <vt:i4>741</vt:i4>
      </vt:variant>
      <vt:variant>
        <vt:i4>0</vt:i4>
      </vt:variant>
      <vt:variant>
        <vt:i4>5</vt:i4>
      </vt:variant>
      <vt:variant>
        <vt:lpwstr>https://www.health.gov.au/resources/publications/a-new-aged-care-act-for-the-rights-of-older-people?language=en</vt:lpwstr>
      </vt:variant>
      <vt:variant>
        <vt:lpwstr/>
      </vt:variant>
      <vt:variant>
        <vt:i4>6094939</vt:i4>
      </vt:variant>
      <vt:variant>
        <vt:i4>738</vt:i4>
      </vt:variant>
      <vt:variant>
        <vt:i4>0</vt:i4>
      </vt:variant>
      <vt:variant>
        <vt:i4>5</vt:i4>
      </vt:variant>
      <vt:variant>
        <vt:lpwstr>https://www.health.gov.au/our-work/my-aged-care/using-my-aged-care/my-aged-care-for-service-providers</vt:lpwstr>
      </vt:variant>
      <vt:variant>
        <vt:lpwstr>help-using-the-portal</vt:lpwstr>
      </vt:variant>
      <vt:variant>
        <vt:i4>6684727</vt:i4>
      </vt:variant>
      <vt:variant>
        <vt:i4>735</vt:i4>
      </vt:variant>
      <vt:variant>
        <vt:i4>0</vt:i4>
      </vt:variant>
      <vt:variant>
        <vt:i4>5</vt:i4>
      </vt:variant>
      <vt:variant>
        <vt:lpwstr>https://www.health.gov.au/resources/apps-and-tools/my-aged-care-service-and-support-portal</vt:lpwstr>
      </vt:variant>
      <vt:variant>
        <vt:lpwstr/>
      </vt:variant>
      <vt:variant>
        <vt:i4>6684727</vt:i4>
      </vt:variant>
      <vt:variant>
        <vt:i4>732</vt:i4>
      </vt:variant>
      <vt:variant>
        <vt:i4>0</vt:i4>
      </vt:variant>
      <vt:variant>
        <vt:i4>5</vt:i4>
      </vt:variant>
      <vt:variant>
        <vt:lpwstr>https://www.health.gov.au/resources/apps-and-tools/my-aged-care-service-and-support-portal</vt:lpwstr>
      </vt:variant>
      <vt:variant>
        <vt:lpwstr/>
      </vt:variant>
      <vt:variant>
        <vt:i4>2097273</vt:i4>
      </vt:variant>
      <vt:variant>
        <vt:i4>729</vt:i4>
      </vt:variant>
      <vt:variant>
        <vt:i4>0</vt:i4>
      </vt:variant>
      <vt:variant>
        <vt:i4>5</vt:i4>
      </vt:variant>
      <vt:variant>
        <vt:lpwstr>https://www.health.gov.au/resources/publications/support-at-home-program-manual-version-3-a-guide-for-registered-providers?language=en</vt:lpwstr>
      </vt:variant>
      <vt:variant>
        <vt:lpwstr/>
      </vt:variant>
      <vt:variant>
        <vt:i4>1900628</vt:i4>
      </vt:variant>
      <vt:variant>
        <vt:i4>726</vt:i4>
      </vt:variant>
      <vt:variant>
        <vt:i4>0</vt:i4>
      </vt:variant>
      <vt:variant>
        <vt:i4>5</vt:i4>
      </vt:variant>
      <vt:variant>
        <vt:lpwstr>https://www.dementia.com.au/</vt:lpwstr>
      </vt:variant>
      <vt:variant>
        <vt:lpwstr/>
      </vt:variant>
      <vt:variant>
        <vt:i4>65615</vt:i4>
      </vt:variant>
      <vt:variant>
        <vt:i4>723</vt:i4>
      </vt:variant>
      <vt:variant>
        <vt:i4>0</vt:i4>
      </vt:variant>
      <vt:variant>
        <vt:i4>5</vt:i4>
      </vt:variant>
      <vt:variant>
        <vt:lpwstr>https://www.health.gov.au/resources/publications/strengthened-aged-care-quality-standards-august-2025?language=en</vt:lpwstr>
      </vt:variant>
      <vt:variant>
        <vt:lpwstr/>
      </vt:variant>
      <vt:variant>
        <vt:i4>4128894</vt:i4>
      </vt:variant>
      <vt:variant>
        <vt:i4>720</vt:i4>
      </vt:variant>
      <vt:variant>
        <vt:i4>0</vt:i4>
      </vt:variant>
      <vt:variant>
        <vt:i4>5</vt:i4>
      </vt:variant>
      <vt:variant>
        <vt:lpwstr>https://www.health.gov.au/resources/publications/my-aged-care-assessment-manual</vt:lpwstr>
      </vt:variant>
      <vt:variant>
        <vt:lpwstr/>
      </vt:variant>
      <vt:variant>
        <vt:i4>4128894</vt:i4>
      </vt:variant>
      <vt:variant>
        <vt:i4>717</vt:i4>
      </vt:variant>
      <vt:variant>
        <vt:i4>0</vt:i4>
      </vt:variant>
      <vt:variant>
        <vt:i4>5</vt:i4>
      </vt:variant>
      <vt:variant>
        <vt:lpwstr>https://www.health.gov.au/resources/publications/my-aged-care-assessment-manual</vt:lpwstr>
      </vt:variant>
      <vt:variant>
        <vt:lpwstr/>
      </vt:variant>
      <vt:variant>
        <vt:i4>6684727</vt:i4>
      </vt:variant>
      <vt:variant>
        <vt:i4>714</vt:i4>
      </vt:variant>
      <vt:variant>
        <vt:i4>0</vt:i4>
      </vt:variant>
      <vt:variant>
        <vt:i4>5</vt:i4>
      </vt:variant>
      <vt:variant>
        <vt:lpwstr>https://www.health.gov.au/resources/apps-and-tools/my-aged-care-service-and-support-portal</vt:lpwstr>
      </vt:variant>
      <vt:variant>
        <vt:lpwstr/>
      </vt:variant>
      <vt:variant>
        <vt:i4>6750271</vt:i4>
      </vt:variant>
      <vt:variant>
        <vt:i4>711</vt:i4>
      </vt:variant>
      <vt:variant>
        <vt:i4>0</vt:i4>
      </vt:variant>
      <vt:variant>
        <vt:i4>5</vt:i4>
      </vt:variant>
      <vt:variant>
        <vt:lpwstr>https://www.health.gov.au/resources/publications/my-aged-care-assessment-manual?language=en</vt:lpwstr>
      </vt:variant>
      <vt:variant>
        <vt:lpwstr/>
      </vt:variant>
      <vt:variant>
        <vt:i4>6750271</vt:i4>
      </vt:variant>
      <vt:variant>
        <vt:i4>708</vt:i4>
      </vt:variant>
      <vt:variant>
        <vt:i4>0</vt:i4>
      </vt:variant>
      <vt:variant>
        <vt:i4>5</vt:i4>
      </vt:variant>
      <vt:variant>
        <vt:lpwstr>https://www.health.gov.au/resources/publications/my-aged-care-assessment-manual?language=en</vt:lpwstr>
      </vt:variant>
      <vt:variant>
        <vt:lpwstr/>
      </vt:variant>
      <vt:variant>
        <vt:i4>4522000</vt:i4>
      </vt:variant>
      <vt:variant>
        <vt:i4>705</vt:i4>
      </vt:variant>
      <vt:variant>
        <vt:i4>0</vt:i4>
      </vt:variant>
      <vt:variant>
        <vt:i4>5</vt:i4>
      </vt:variant>
      <vt:variant>
        <vt:lpwstr>http://www.humanservices.gov.au/customer/services/medicare/reciprocal-health-care-agreements</vt:lpwstr>
      </vt:variant>
      <vt:variant>
        <vt:lpwstr/>
      </vt:variant>
      <vt:variant>
        <vt:i4>3014719</vt:i4>
      </vt:variant>
      <vt:variant>
        <vt:i4>702</vt:i4>
      </vt:variant>
      <vt:variant>
        <vt:i4>0</vt:i4>
      </vt:variant>
      <vt:variant>
        <vt:i4>5</vt:i4>
      </vt:variant>
      <vt:variant>
        <vt:lpwstr>https://www.legislation.gov.au/F2025L01173/asmade/text</vt:lpwstr>
      </vt:variant>
      <vt:variant>
        <vt:lpwstr/>
      </vt:variant>
      <vt:variant>
        <vt:i4>4980796</vt:i4>
      </vt:variant>
      <vt:variant>
        <vt:i4>699</vt:i4>
      </vt:variant>
      <vt:variant>
        <vt:i4>0</vt:i4>
      </vt:variant>
      <vt:variant>
        <vt:i4>5</vt:i4>
      </vt:variant>
      <vt:variant>
        <vt:lpwstr>mailto:aged.care.liaison@servicesaustralia.gov.au</vt:lpwstr>
      </vt:variant>
      <vt:variant>
        <vt:lpwstr/>
      </vt:variant>
      <vt:variant>
        <vt:i4>3801151</vt:i4>
      </vt:variant>
      <vt:variant>
        <vt:i4>696</vt:i4>
      </vt:variant>
      <vt:variant>
        <vt:i4>0</vt:i4>
      </vt:variant>
      <vt:variant>
        <vt:i4>5</vt:i4>
      </vt:variant>
      <vt:variant>
        <vt:lpwstr>https://www.servicesaustralia.gov.au/register-flexible-care-recipient-events?context=20</vt:lpwstr>
      </vt:variant>
      <vt:variant>
        <vt:lpwstr/>
      </vt:variant>
      <vt:variant>
        <vt:i4>393266</vt:i4>
      </vt:variant>
      <vt:variant>
        <vt:i4>693</vt:i4>
      </vt:variant>
      <vt:variant>
        <vt:i4>0</vt:i4>
      </vt:variant>
      <vt:variant>
        <vt:i4>5</vt:i4>
      </vt:variant>
      <vt:variant>
        <vt:lpwstr>https://hpe.servicesaustralia.gov.au/ACPP_flexible.html</vt:lpwstr>
      </vt:variant>
      <vt:variant>
        <vt:lpwstr>info</vt:lpwstr>
      </vt:variant>
      <vt:variant>
        <vt:i4>1179728</vt:i4>
      </vt:variant>
      <vt:variant>
        <vt:i4>690</vt:i4>
      </vt:variant>
      <vt:variant>
        <vt:i4>0</vt:i4>
      </vt:variant>
      <vt:variant>
        <vt:i4>5</vt:i4>
      </vt:variant>
      <vt:variant>
        <vt:lpwstr>https://www.servicesaustralia.gov.au/aged-care-provider-portal?context=20</vt:lpwstr>
      </vt:variant>
      <vt:variant>
        <vt:lpwstr/>
      </vt:variant>
      <vt:variant>
        <vt:i4>6881314</vt:i4>
      </vt:variant>
      <vt:variant>
        <vt:i4>687</vt:i4>
      </vt:variant>
      <vt:variant>
        <vt:i4>0</vt:i4>
      </vt:variant>
      <vt:variant>
        <vt:i4>5</vt:i4>
      </vt:variant>
      <vt:variant>
        <vt:lpwstr>https://www.myagedcare.gov.au/</vt:lpwstr>
      </vt:variant>
      <vt:variant>
        <vt:lpwstr/>
      </vt:variant>
      <vt:variant>
        <vt:i4>7274595</vt:i4>
      </vt:variant>
      <vt:variant>
        <vt:i4>684</vt:i4>
      </vt:variant>
      <vt:variant>
        <vt:i4>0</vt:i4>
      </vt:variant>
      <vt:variant>
        <vt:i4>5</vt:i4>
      </vt:variant>
      <vt:variant>
        <vt:lpwstr>https://www.health.gov.au/our-work/translating-and-interpreting-service-tis-national-for-aged-care-service-providers-and-older-people-in-aged-care</vt:lpwstr>
      </vt:variant>
      <vt:variant>
        <vt:lpwstr>registering-for-tis-national</vt:lpwstr>
      </vt:variant>
      <vt:variant>
        <vt:i4>6225979</vt:i4>
      </vt:variant>
      <vt:variant>
        <vt:i4>681</vt:i4>
      </vt:variant>
      <vt:variant>
        <vt:i4>0</vt:i4>
      </vt:variant>
      <vt:variant>
        <vt:i4>5</vt:i4>
      </vt:variant>
      <vt:variant>
        <vt:lpwstr>mailto:tispromo@homeaffairs.gov.au</vt:lpwstr>
      </vt:variant>
      <vt:variant>
        <vt:lpwstr/>
      </vt:variant>
      <vt:variant>
        <vt:i4>3014719</vt:i4>
      </vt:variant>
      <vt:variant>
        <vt:i4>675</vt:i4>
      </vt:variant>
      <vt:variant>
        <vt:i4>0</vt:i4>
      </vt:variant>
      <vt:variant>
        <vt:i4>5</vt:i4>
      </vt:variant>
      <vt:variant>
        <vt:lpwstr>https://www.legislation.gov.au/F2025L01173/asmade/text</vt:lpwstr>
      </vt:variant>
      <vt:variant>
        <vt:lpwstr/>
      </vt:variant>
      <vt:variant>
        <vt:i4>3014707</vt:i4>
      </vt:variant>
      <vt:variant>
        <vt:i4>672</vt:i4>
      </vt:variant>
      <vt:variant>
        <vt:i4>0</vt:i4>
      </vt:variant>
      <vt:variant>
        <vt:i4>5</vt:i4>
      </vt:variant>
      <vt:variant>
        <vt:lpwstr>https://www.legislation.gov.au/C2024A00104/latest/text</vt:lpwstr>
      </vt:variant>
      <vt:variant>
        <vt:lpwstr/>
      </vt:variant>
      <vt:variant>
        <vt:i4>8257659</vt:i4>
      </vt:variant>
      <vt:variant>
        <vt:i4>669</vt:i4>
      </vt:variant>
      <vt:variant>
        <vt:i4>0</vt:i4>
      </vt:variant>
      <vt:variant>
        <vt:i4>5</vt:i4>
      </vt:variant>
      <vt:variant>
        <vt:lpwstr>https://www.health.gov.au/resources/publications/schedule-of-subsidies-and-supplements-for-residential-and-transition-care?language=en</vt:lpwstr>
      </vt:variant>
      <vt:variant>
        <vt:lpwstr/>
      </vt:variant>
      <vt:variant>
        <vt:i4>131073</vt:i4>
      </vt:variant>
      <vt:variant>
        <vt:i4>666</vt:i4>
      </vt:variant>
      <vt:variant>
        <vt:i4>0</vt:i4>
      </vt:variant>
      <vt:variant>
        <vt:i4>5</vt:i4>
      </vt:variant>
      <vt:variant>
        <vt:lpwstr>https://www.health.gov.au/our-work/new-model-for-regulating-aged-care/how-it-works</vt:lpwstr>
      </vt:variant>
      <vt:variant>
        <vt:lpwstr>new-universal-provider-registration</vt:lpwstr>
      </vt:variant>
      <vt:variant>
        <vt:i4>1441866</vt:i4>
      </vt:variant>
      <vt:variant>
        <vt:i4>663</vt:i4>
      </vt:variant>
      <vt:variant>
        <vt:i4>0</vt:i4>
      </vt:variant>
      <vt:variant>
        <vt:i4>5</vt:i4>
      </vt:variant>
      <vt:variant>
        <vt:lpwstr>https://www.myagedcare.gov.au/find-a-provider</vt:lpwstr>
      </vt:variant>
      <vt:variant>
        <vt:lpwstr/>
      </vt:variant>
      <vt:variant>
        <vt:i4>65656</vt:i4>
      </vt:variant>
      <vt:variant>
        <vt:i4>660</vt:i4>
      </vt:variant>
      <vt:variant>
        <vt:i4>0</vt:i4>
      </vt:variant>
      <vt:variant>
        <vt:i4>5</vt:i4>
      </vt:variant>
      <vt:variant>
        <vt:lpwstr>mailto:TCP@health.gov.au</vt:lpwstr>
      </vt:variant>
      <vt:variant>
        <vt:lpwstr/>
      </vt:variant>
      <vt:variant>
        <vt:i4>3276908</vt:i4>
      </vt:variant>
      <vt:variant>
        <vt:i4>657</vt:i4>
      </vt:variant>
      <vt:variant>
        <vt:i4>0</vt:i4>
      </vt:variant>
      <vt:variant>
        <vt:i4>5</vt:i4>
      </vt:variant>
      <vt:variant>
        <vt:lpwstr>https://www.agedcarequality.gov.au/resource-library/regulatory-bulletin-rb-2025-1-associated-providers</vt:lpwstr>
      </vt:variant>
      <vt:variant>
        <vt:lpwstr>:~:text=This%20regulatory%20bulletin%20explains%20the%20types%20of%20entities,in%20the%20delivery%20of%20their%20aged%20care%20services.</vt:lpwstr>
      </vt:variant>
      <vt:variant>
        <vt:i4>65656</vt:i4>
      </vt:variant>
      <vt:variant>
        <vt:i4>654</vt:i4>
      </vt:variant>
      <vt:variant>
        <vt:i4>0</vt:i4>
      </vt:variant>
      <vt:variant>
        <vt:i4>5</vt:i4>
      </vt:variant>
      <vt:variant>
        <vt:lpwstr>mailto:TCP@health.gov.au</vt:lpwstr>
      </vt:variant>
      <vt:variant>
        <vt:lpwstr/>
      </vt:variant>
      <vt:variant>
        <vt:i4>5373963</vt:i4>
      </vt:variant>
      <vt:variant>
        <vt:i4>651</vt:i4>
      </vt:variant>
      <vt:variant>
        <vt:i4>0</vt:i4>
      </vt:variant>
      <vt:variant>
        <vt:i4>5</vt:i4>
      </vt:variant>
      <vt:variant>
        <vt:lpwstr>https://www.health.gov.au/resources/publications/transition-care-program-guidelines-november-2025</vt:lpwstr>
      </vt:variant>
      <vt:variant>
        <vt:lpwstr/>
      </vt:variant>
      <vt:variant>
        <vt:i4>1507383</vt:i4>
      </vt:variant>
      <vt:variant>
        <vt:i4>644</vt:i4>
      </vt:variant>
      <vt:variant>
        <vt:i4>0</vt:i4>
      </vt:variant>
      <vt:variant>
        <vt:i4>5</vt:i4>
      </vt:variant>
      <vt:variant>
        <vt:lpwstr/>
      </vt:variant>
      <vt:variant>
        <vt:lpwstr>_Toc216861581</vt:lpwstr>
      </vt:variant>
      <vt:variant>
        <vt:i4>1507383</vt:i4>
      </vt:variant>
      <vt:variant>
        <vt:i4>638</vt:i4>
      </vt:variant>
      <vt:variant>
        <vt:i4>0</vt:i4>
      </vt:variant>
      <vt:variant>
        <vt:i4>5</vt:i4>
      </vt:variant>
      <vt:variant>
        <vt:lpwstr/>
      </vt:variant>
      <vt:variant>
        <vt:lpwstr>_Toc216861580</vt:lpwstr>
      </vt:variant>
      <vt:variant>
        <vt:i4>1572919</vt:i4>
      </vt:variant>
      <vt:variant>
        <vt:i4>632</vt:i4>
      </vt:variant>
      <vt:variant>
        <vt:i4>0</vt:i4>
      </vt:variant>
      <vt:variant>
        <vt:i4>5</vt:i4>
      </vt:variant>
      <vt:variant>
        <vt:lpwstr/>
      </vt:variant>
      <vt:variant>
        <vt:lpwstr>_Toc216861579</vt:lpwstr>
      </vt:variant>
      <vt:variant>
        <vt:i4>1572919</vt:i4>
      </vt:variant>
      <vt:variant>
        <vt:i4>626</vt:i4>
      </vt:variant>
      <vt:variant>
        <vt:i4>0</vt:i4>
      </vt:variant>
      <vt:variant>
        <vt:i4>5</vt:i4>
      </vt:variant>
      <vt:variant>
        <vt:lpwstr/>
      </vt:variant>
      <vt:variant>
        <vt:lpwstr>_Toc216861578</vt:lpwstr>
      </vt:variant>
      <vt:variant>
        <vt:i4>1572919</vt:i4>
      </vt:variant>
      <vt:variant>
        <vt:i4>620</vt:i4>
      </vt:variant>
      <vt:variant>
        <vt:i4>0</vt:i4>
      </vt:variant>
      <vt:variant>
        <vt:i4>5</vt:i4>
      </vt:variant>
      <vt:variant>
        <vt:lpwstr/>
      </vt:variant>
      <vt:variant>
        <vt:lpwstr>_Toc216861577</vt:lpwstr>
      </vt:variant>
      <vt:variant>
        <vt:i4>1572919</vt:i4>
      </vt:variant>
      <vt:variant>
        <vt:i4>614</vt:i4>
      </vt:variant>
      <vt:variant>
        <vt:i4>0</vt:i4>
      </vt:variant>
      <vt:variant>
        <vt:i4>5</vt:i4>
      </vt:variant>
      <vt:variant>
        <vt:lpwstr/>
      </vt:variant>
      <vt:variant>
        <vt:lpwstr>_Toc216861576</vt:lpwstr>
      </vt:variant>
      <vt:variant>
        <vt:i4>1572919</vt:i4>
      </vt:variant>
      <vt:variant>
        <vt:i4>608</vt:i4>
      </vt:variant>
      <vt:variant>
        <vt:i4>0</vt:i4>
      </vt:variant>
      <vt:variant>
        <vt:i4>5</vt:i4>
      </vt:variant>
      <vt:variant>
        <vt:lpwstr/>
      </vt:variant>
      <vt:variant>
        <vt:lpwstr>_Toc216861575</vt:lpwstr>
      </vt:variant>
      <vt:variant>
        <vt:i4>1572919</vt:i4>
      </vt:variant>
      <vt:variant>
        <vt:i4>602</vt:i4>
      </vt:variant>
      <vt:variant>
        <vt:i4>0</vt:i4>
      </vt:variant>
      <vt:variant>
        <vt:i4>5</vt:i4>
      </vt:variant>
      <vt:variant>
        <vt:lpwstr/>
      </vt:variant>
      <vt:variant>
        <vt:lpwstr>_Toc216861574</vt:lpwstr>
      </vt:variant>
      <vt:variant>
        <vt:i4>1572919</vt:i4>
      </vt:variant>
      <vt:variant>
        <vt:i4>596</vt:i4>
      </vt:variant>
      <vt:variant>
        <vt:i4>0</vt:i4>
      </vt:variant>
      <vt:variant>
        <vt:i4>5</vt:i4>
      </vt:variant>
      <vt:variant>
        <vt:lpwstr/>
      </vt:variant>
      <vt:variant>
        <vt:lpwstr>_Toc216861573</vt:lpwstr>
      </vt:variant>
      <vt:variant>
        <vt:i4>1572919</vt:i4>
      </vt:variant>
      <vt:variant>
        <vt:i4>590</vt:i4>
      </vt:variant>
      <vt:variant>
        <vt:i4>0</vt:i4>
      </vt:variant>
      <vt:variant>
        <vt:i4>5</vt:i4>
      </vt:variant>
      <vt:variant>
        <vt:lpwstr/>
      </vt:variant>
      <vt:variant>
        <vt:lpwstr>_Toc216861572</vt:lpwstr>
      </vt:variant>
      <vt:variant>
        <vt:i4>1572919</vt:i4>
      </vt:variant>
      <vt:variant>
        <vt:i4>584</vt:i4>
      </vt:variant>
      <vt:variant>
        <vt:i4>0</vt:i4>
      </vt:variant>
      <vt:variant>
        <vt:i4>5</vt:i4>
      </vt:variant>
      <vt:variant>
        <vt:lpwstr/>
      </vt:variant>
      <vt:variant>
        <vt:lpwstr>_Toc216861571</vt:lpwstr>
      </vt:variant>
      <vt:variant>
        <vt:i4>1572919</vt:i4>
      </vt:variant>
      <vt:variant>
        <vt:i4>578</vt:i4>
      </vt:variant>
      <vt:variant>
        <vt:i4>0</vt:i4>
      </vt:variant>
      <vt:variant>
        <vt:i4>5</vt:i4>
      </vt:variant>
      <vt:variant>
        <vt:lpwstr/>
      </vt:variant>
      <vt:variant>
        <vt:lpwstr>_Toc216861570</vt:lpwstr>
      </vt:variant>
      <vt:variant>
        <vt:i4>1638455</vt:i4>
      </vt:variant>
      <vt:variant>
        <vt:i4>572</vt:i4>
      </vt:variant>
      <vt:variant>
        <vt:i4>0</vt:i4>
      </vt:variant>
      <vt:variant>
        <vt:i4>5</vt:i4>
      </vt:variant>
      <vt:variant>
        <vt:lpwstr/>
      </vt:variant>
      <vt:variant>
        <vt:lpwstr>_Toc216861569</vt:lpwstr>
      </vt:variant>
      <vt:variant>
        <vt:i4>1638455</vt:i4>
      </vt:variant>
      <vt:variant>
        <vt:i4>566</vt:i4>
      </vt:variant>
      <vt:variant>
        <vt:i4>0</vt:i4>
      </vt:variant>
      <vt:variant>
        <vt:i4>5</vt:i4>
      </vt:variant>
      <vt:variant>
        <vt:lpwstr/>
      </vt:variant>
      <vt:variant>
        <vt:lpwstr>_Toc216861568</vt:lpwstr>
      </vt:variant>
      <vt:variant>
        <vt:i4>1638455</vt:i4>
      </vt:variant>
      <vt:variant>
        <vt:i4>560</vt:i4>
      </vt:variant>
      <vt:variant>
        <vt:i4>0</vt:i4>
      </vt:variant>
      <vt:variant>
        <vt:i4>5</vt:i4>
      </vt:variant>
      <vt:variant>
        <vt:lpwstr/>
      </vt:variant>
      <vt:variant>
        <vt:lpwstr>_Toc216861567</vt:lpwstr>
      </vt:variant>
      <vt:variant>
        <vt:i4>1638455</vt:i4>
      </vt:variant>
      <vt:variant>
        <vt:i4>554</vt:i4>
      </vt:variant>
      <vt:variant>
        <vt:i4>0</vt:i4>
      </vt:variant>
      <vt:variant>
        <vt:i4>5</vt:i4>
      </vt:variant>
      <vt:variant>
        <vt:lpwstr/>
      </vt:variant>
      <vt:variant>
        <vt:lpwstr>_Toc216861566</vt:lpwstr>
      </vt:variant>
      <vt:variant>
        <vt:i4>1638455</vt:i4>
      </vt:variant>
      <vt:variant>
        <vt:i4>548</vt:i4>
      </vt:variant>
      <vt:variant>
        <vt:i4>0</vt:i4>
      </vt:variant>
      <vt:variant>
        <vt:i4>5</vt:i4>
      </vt:variant>
      <vt:variant>
        <vt:lpwstr/>
      </vt:variant>
      <vt:variant>
        <vt:lpwstr>_Toc216861565</vt:lpwstr>
      </vt:variant>
      <vt:variant>
        <vt:i4>1638455</vt:i4>
      </vt:variant>
      <vt:variant>
        <vt:i4>542</vt:i4>
      </vt:variant>
      <vt:variant>
        <vt:i4>0</vt:i4>
      </vt:variant>
      <vt:variant>
        <vt:i4>5</vt:i4>
      </vt:variant>
      <vt:variant>
        <vt:lpwstr/>
      </vt:variant>
      <vt:variant>
        <vt:lpwstr>_Toc216861564</vt:lpwstr>
      </vt:variant>
      <vt:variant>
        <vt:i4>1638455</vt:i4>
      </vt:variant>
      <vt:variant>
        <vt:i4>536</vt:i4>
      </vt:variant>
      <vt:variant>
        <vt:i4>0</vt:i4>
      </vt:variant>
      <vt:variant>
        <vt:i4>5</vt:i4>
      </vt:variant>
      <vt:variant>
        <vt:lpwstr/>
      </vt:variant>
      <vt:variant>
        <vt:lpwstr>_Toc216861563</vt:lpwstr>
      </vt:variant>
      <vt:variant>
        <vt:i4>1638455</vt:i4>
      </vt:variant>
      <vt:variant>
        <vt:i4>530</vt:i4>
      </vt:variant>
      <vt:variant>
        <vt:i4>0</vt:i4>
      </vt:variant>
      <vt:variant>
        <vt:i4>5</vt:i4>
      </vt:variant>
      <vt:variant>
        <vt:lpwstr/>
      </vt:variant>
      <vt:variant>
        <vt:lpwstr>_Toc216861562</vt:lpwstr>
      </vt:variant>
      <vt:variant>
        <vt:i4>1638455</vt:i4>
      </vt:variant>
      <vt:variant>
        <vt:i4>524</vt:i4>
      </vt:variant>
      <vt:variant>
        <vt:i4>0</vt:i4>
      </vt:variant>
      <vt:variant>
        <vt:i4>5</vt:i4>
      </vt:variant>
      <vt:variant>
        <vt:lpwstr/>
      </vt:variant>
      <vt:variant>
        <vt:lpwstr>_Toc216861561</vt:lpwstr>
      </vt:variant>
      <vt:variant>
        <vt:i4>1638455</vt:i4>
      </vt:variant>
      <vt:variant>
        <vt:i4>518</vt:i4>
      </vt:variant>
      <vt:variant>
        <vt:i4>0</vt:i4>
      </vt:variant>
      <vt:variant>
        <vt:i4>5</vt:i4>
      </vt:variant>
      <vt:variant>
        <vt:lpwstr/>
      </vt:variant>
      <vt:variant>
        <vt:lpwstr>_Toc216861560</vt:lpwstr>
      </vt:variant>
      <vt:variant>
        <vt:i4>1703991</vt:i4>
      </vt:variant>
      <vt:variant>
        <vt:i4>512</vt:i4>
      </vt:variant>
      <vt:variant>
        <vt:i4>0</vt:i4>
      </vt:variant>
      <vt:variant>
        <vt:i4>5</vt:i4>
      </vt:variant>
      <vt:variant>
        <vt:lpwstr/>
      </vt:variant>
      <vt:variant>
        <vt:lpwstr>_Toc216861559</vt:lpwstr>
      </vt:variant>
      <vt:variant>
        <vt:i4>1703991</vt:i4>
      </vt:variant>
      <vt:variant>
        <vt:i4>506</vt:i4>
      </vt:variant>
      <vt:variant>
        <vt:i4>0</vt:i4>
      </vt:variant>
      <vt:variant>
        <vt:i4>5</vt:i4>
      </vt:variant>
      <vt:variant>
        <vt:lpwstr/>
      </vt:variant>
      <vt:variant>
        <vt:lpwstr>_Toc216861558</vt:lpwstr>
      </vt:variant>
      <vt:variant>
        <vt:i4>1703991</vt:i4>
      </vt:variant>
      <vt:variant>
        <vt:i4>500</vt:i4>
      </vt:variant>
      <vt:variant>
        <vt:i4>0</vt:i4>
      </vt:variant>
      <vt:variant>
        <vt:i4>5</vt:i4>
      </vt:variant>
      <vt:variant>
        <vt:lpwstr/>
      </vt:variant>
      <vt:variant>
        <vt:lpwstr>_Toc216861557</vt:lpwstr>
      </vt:variant>
      <vt:variant>
        <vt:i4>1703991</vt:i4>
      </vt:variant>
      <vt:variant>
        <vt:i4>494</vt:i4>
      </vt:variant>
      <vt:variant>
        <vt:i4>0</vt:i4>
      </vt:variant>
      <vt:variant>
        <vt:i4>5</vt:i4>
      </vt:variant>
      <vt:variant>
        <vt:lpwstr/>
      </vt:variant>
      <vt:variant>
        <vt:lpwstr>_Toc216861556</vt:lpwstr>
      </vt:variant>
      <vt:variant>
        <vt:i4>1703991</vt:i4>
      </vt:variant>
      <vt:variant>
        <vt:i4>488</vt:i4>
      </vt:variant>
      <vt:variant>
        <vt:i4>0</vt:i4>
      </vt:variant>
      <vt:variant>
        <vt:i4>5</vt:i4>
      </vt:variant>
      <vt:variant>
        <vt:lpwstr/>
      </vt:variant>
      <vt:variant>
        <vt:lpwstr>_Toc216861555</vt:lpwstr>
      </vt:variant>
      <vt:variant>
        <vt:i4>1703991</vt:i4>
      </vt:variant>
      <vt:variant>
        <vt:i4>482</vt:i4>
      </vt:variant>
      <vt:variant>
        <vt:i4>0</vt:i4>
      </vt:variant>
      <vt:variant>
        <vt:i4>5</vt:i4>
      </vt:variant>
      <vt:variant>
        <vt:lpwstr/>
      </vt:variant>
      <vt:variant>
        <vt:lpwstr>_Toc216861554</vt:lpwstr>
      </vt:variant>
      <vt:variant>
        <vt:i4>1703991</vt:i4>
      </vt:variant>
      <vt:variant>
        <vt:i4>476</vt:i4>
      </vt:variant>
      <vt:variant>
        <vt:i4>0</vt:i4>
      </vt:variant>
      <vt:variant>
        <vt:i4>5</vt:i4>
      </vt:variant>
      <vt:variant>
        <vt:lpwstr/>
      </vt:variant>
      <vt:variant>
        <vt:lpwstr>_Toc216861553</vt:lpwstr>
      </vt:variant>
      <vt:variant>
        <vt:i4>1703991</vt:i4>
      </vt:variant>
      <vt:variant>
        <vt:i4>470</vt:i4>
      </vt:variant>
      <vt:variant>
        <vt:i4>0</vt:i4>
      </vt:variant>
      <vt:variant>
        <vt:i4>5</vt:i4>
      </vt:variant>
      <vt:variant>
        <vt:lpwstr/>
      </vt:variant>
      <vt:variant>
        <vt:lpwstr>_Toc216861552</vt:lpwstr>
      </vt:variant>
      <vt:variant>
        <vt:i4>1703991</vt:i4>
      </vt:variant>
      <vt:variant>
        <vt:i4>464</vt:i4>
      </vt:variant>
      <vt:variant>
        <vt:i4>0</vt:i4>
      </vt:variant>
      <vt:variant>
        <vt:i4>5</vt:i4>
      </vt:variant>
      <vt:variant>
        <vt:lpwstr/>
      </vt:variant>
      <vt:variant>
        <vt:lpwstr>_Toc216861551</vt:lpwstr>
      </vt:variant>
      <vt:variant>
        <vt:i4>1703991</vt:i4>
      </vt:variant>
      <vt:variant>
        <vt:i4>458</vt:i4>
      </vt:variant>
      <vt:variant>
        <vt:i4>0</vt:i4>
      </vt:variant>
      <vt:variant>
        <vt:i4>5</vt:i4>
      </vt:variant>
      <vt:variant>
        <vt:lpwstr/>
      </vt:variant>
      <vt:variant>
        <vt:lpwstr>_Toc216861550</vt:lpwstr>
      </vt:variant>
      <vt:variant>
        <vt:i4>1769527</vt:i4>
      </vt:variant>
      <vt:variant>
        <vt:i4>452</vt:i4>
      </vt:variant>
      <vt:variant>
        <vt:i4>0</vt:i4>
      </vt:variant>
      <vt:variant>
        <vt:i4>5</vt:i4>
      </vt:variant>
      <vt:variant>
        <vt:lpwstr/>
      </vt:variant>
      <vt:variant>
        <vt:lpwstr>_Toc216861549</vt:lpwstr>
      </vt:variant>
      <vt:variant>
        <vt:i4>1769527</vt:i4>
      </vt:variant>
      <vt:variant>
        <vt:i4>446</vt:i4>
      </vt:variant>
      <vt:variant>
        <vt:i4>0</vt:i4>
      </vt:variant>
      <vt:variant>
        <vt:i4>5</vt:i4>
      </vt:variant>
      <vt:variant>
        <vt:lpwstr/>
      </vt:variant>
      <vt:variant>
        <vt:lpwstr>_Toc216861548</vt:lpwstr>
      </vt:variant>
      <vt:variant>
        <vt:i4>1769527</vt:i4>
      </vt:variant>
      <vt:variant>
        <vt:i4>440</vt:i4>
      </vt:variant>
      <vt:variant>
        <vt:i4>0</vt:i4>
      </vt:variant>
      <vt:variant>
        <vt:i4>5</vt:i4>
      </vt:variant>
      <vt:variant>
        <vt:lpwstr/>
      </vt:variant>
      <vt:variant>
        <vt:lpwstr>_Toc216861547</vt:lpwstr>
      </vt:variant>
      <vt:variant>
        <vt:i4>1769527</vt:i4>
      </vt:variant>
      <vt:variant>
        <vt:i4>434</vt:i4>
      </vt:variant>
      <vt:variant>
        <vt:i4>0</vt:i4>
      </vt:variant>
      <vt:variant>
        <vt:i4>5</vt:i4>
      </vt:variant>
      <vt:variant>
        <vt:lpwstr/>
      </vt:variant>
      <vt:variant>
        <vt:lpwstr>_Toc216861546</vt:lpwstr>
      </vt:variant>
      <vt:variant>
        <vt:i4>1769527</vt:i4>
      </vt:variant>
      <vt:variant>
        <vt:i4>428</vt:i4>
      </vt:variant>
      <vt:variant>
        <vt:i4>0</vt:i4>
      </vt:variant>
      <vt:variant>
        <vt:i4>5</vt:i4>
      </vt:variant>
      <vt:variant>
        <vt:lpwstr/>
      </vt:variant>
      <vt:variant>
        <vt:lpwstr>_Toc216861545</vt:lpwstr>
      </vt:variant>
      <vt:variant>
        <vt:i4>1769527</vt:i4>
      </vt:variant>
      <vt:variant>
        <vt:i4>422</vt:i4>
      </vt:variant>
      <vt:variant>
        <vt:i4>0</vt:i4>
      </vt:variant>
      <vt:variant>
        <vt:i4>5</vt:i4>
      </vt:variant>
      <vt:variant>
        <vt:lpwstr/>
      </vt:variant>
      <vt:variant>
        <vt:lpwstr>_Toc216861544</vt:lpwstr>
      </vt:variant>
      <vt:variant>
        <vt:i4>1769527</vt:i4>
      </vt:variant>
      <vt:variant>
        <vt:i4>416</vt:i4>
      </vt:variant>
      <vt:variant>
        <vt:i4>0</vt:i4>
      </vt:variant>
      <vt:variant>
        <vt:i4>5</vt:i4>
      </vt:variant>
      <vt:variant>
        <vt:lpwstr/>
      </vt:variant>
      <vt:variant>
        <vt:lpwstr>_Toc216861543</vt:lpwstr>
      </vt:variant>
      <vt:variant>
        <vt:i4>1769527</vt:i4>
      </vt:variant>
      <vt:variant>
        <vt:i4>410</vt:i4>
      </vt:variant>
      <vt:variant>
        <vt:i4>0</vt:i4>
      </vt:variant>
      <vt:variant>
        <vt:i4>5</vt:i4>
      </vt:variant>
      <vt:variant>
        <vt:lpwstr/>
      </vt:variant>
      <vt:variant>
        <vt:lpwstr>_Toc216861542</vt:lpwstr>
      </vt:variant>
      <vt:variant>
        <vt:i4>1769527</vt:i4>
      </vt:variant>
      <vt:variant>
        <vt:i4>404</vt:i4>
      </vt:variant>
      <vt:variant>
        <vt:i4>0</vt:i4>
      </vt:variant>
      <vt:variant>
        <vt:i4>5</vt:i4>
      </vt:variant>
      <vt:variant>
        <vt:lpwstr/>
      </vt:variant>
      <vt:variant>
        <vt:lpwstr>_Toc216861541</vt:lpwstr>
      </vt:variant>
      <vt:variant>
        <vt:i4>1769527</vt:i4>
      </vt:variant>
      <vt:variant>
        <vt:i4>398</vt:i4>
      </vt:variant>
      <vt:variant>
        <vt:i4>0</vt:i4>
      </vt:variant>
      <vt:variant>
        <vt:i4>5</vt:i4>
      </vt:variant>
      <vt:variant>
        <vt:lpwstr/>
      </vt:variant>
      <vt:variant>
        <vt:lpwstr>_Toc216861540</vt:lpwstr>
      </vt:variant>
      <vt:variant>
        <vt:i4>1835063</vt:i4>
      </vt:variant>
      <vt:variant>
        <vt:i4>392</vt:i4>
      </vt:variant>
      <vt:variant>
        <vt:i4>0</vt:i4>
      </vt:variant>
      <vt:variant>
        <vt:i4>5</vt:i4>
      </vt:variant>
      <vt:variant>
        <vt:lpwstr/>
      </vt:variant>
      <vt:variant>
        <vt:lpwstr>_Toc216861539</vt:lpwstr>
      </vt:variant>
      <vt:variant>
        <vt:i4>1835063</vt:i4>
      </vt:variant>
      <vt:variant>
        <vt:i4>386</vt:i4>
      </vt:variant>
      <vt:variant>
        <vt:i4>0</vt:i4>
      </vt:variant>
      <vt:variant>
        <vt:i4>5</vt:i4>
      </vt:variant>
      <vt:variant>
        <vt:lpwstr/>
      </vt:variant>
      <vt:variant>
        <vt:lpwstr>_Toc216861538</vt:lpwstr>
      </vt:variant>
      <vt:variant>
        <vt:i4>1835063</vt:i4>
      </vt:variant>
      <vt:variant>
        <vt:i4>380</vt:i4>
      </vt:variant>
      <vt:variant>
        <vt:i4>0</vt:i4>
      </vt:variant>
      <vt:variant>
        <vt:i4>5</vt:i4>
      </vt:variant>
      <vt:variant>
        <vt:lpwstr/>
      </vt:variant>
      <vt:variant>
        <vt:lpwstr>_Toc216861537</vt:lpwstr>
      </vt:variant>
      <vt:variant>
        <vt:i4>1835063</vt:i4>
      </vt:variant>
      <vt:variant>
        <vt:i4>374</vt:i4>
      </vt:variant>
      <vt:variant>
        <vt:i4>0</vt:i4>
      </vt:variant>
      <vt:variant>
        <vt:i4>5</vt:i4>
      </vt:variant>
      <vt:variant>
        <vt:lpwstr/>
      </vt:variant>
      <vt:variant>
        <vt:lpwstr>_Toc216861536</vt:lpwstr>
      </vt:variant>
      <vt:variant>
        <vt:i4>1835063</vt:i4>
      </vt:variant>
      <vt:variant>
        <vt:i4>368</vt:i4>
      </vt:variant>
      <vt:variant>
        <vt:i4>0</vt:i4>
      </vt:variant>
      <vt:variant>
        <vt:i4>5</vt:i4>
      </vt:variant>
      <vt:variant>
        <vt:lpwstr/>
      </vt:variant>
      <vt:variant>
        <vt:lpwstr>_Toc216861535</vt:lpwstr>
      </vt:variant>
      <vt:variant>
        <vt:i4>1835063</vt:i4>
      </vt:variant>
      <vt:variant>
        <vt:i4>362</vt:i4>
      </vt:variant>
      <vt:variant>
        <vt:i4>0</vt:i4>
      </vt:variant>
      <vt:variant>
        <vt:i4>5</vt:i4>
      </vt:variant>
      <vt:variant>
        <vt:lpwstr/>
      </vt:variant>
      <vt:variant>
        <vt:lpwstr>_Toc216861534</vt:lpwstr>
      </vt:variant>
      <vt:variant>
        <vt:i4>1835063</vt:i4>
      </vt:variant>
      <vt:variant>
        <vt:i4>356</vt:i4>
      </vt:variant>
      <vt:variant>
        <vt:i4>0</vt:i4>
      </vt:variant>
      <vt:variant>
        <vt:i4>5</vt:i4>
      </vt:variant>
      <vt:variant>
        <vt:lpwstr/>
      </vt:variant>
      <vt:variant>
        <vt:lpwstr>_Toc216861533</vt:lpwstr>
      </vt:variant>
      <vt:variant>
        <vt:i4>1835063</vt:i4>
      </vt:variant>
      <vt:variant>
        <vt:i4>350</vt:i4>
      </vt:variant>
      <vt:variant>
        <vt:i4>0</vt:i4>
      </vt:variant>
      <vt:variant>
        <vt:i4>5</vt:i4>
      </vt:variant>
      <vt:variant>
        <vt:lpwstr/>
      </vt:variant>
      <vt:variant>
        <vt:lpwstr>_Toc216861532</vt:lpwstr>
      </vt:variant>
      <vt:variant>
        <vt:i4>1835063</vt:i4>
      </vt:variant>
      <vt:variant>
        <vt:i4>344</vt:i4>
      </vt:variant>
      <vt:variant>
        <vt:i4>0</vt:i4>
      </vt:variant>
      <vt:variant>
        <vt:i4>5</vt:i4>
      </vt:variant>
      <vt:variant>
        <vt:lpwstr/>
      </vt:variant>
      <vt:variant>
        <vt:lpwstr>_Toc216861531</vt:lpwstr>
      </vt:variant>
      <vt:variant>
        <vt:i4>1835063</vt:i4>
      </vt:variant>
      <vt:variant>
        <vt:i4>338</vt:i4>
      </vt:variant>
      <vt:variant>
        <vt:i4>0</vt:i4>
      </vt:variant>
      <vt:variant>
        <vt:i4>5</vt:i4>
      </vt:variant>
      <vt:variant>
        <vt:lpwstr/>
      </vt:variant>
      <vt:variant>
        <vt:lpwstr>_Toc216861530</vt:lpwstr>
      </vt:variant>
      <vt:variant>
        <vt:i4>1900599</vt:i4>
      </vt:variant>
      <vt:variant>
        <vt:i4>332</vt:i4>
      </vt:variant>
      <vt:variant>
        <vt:i4>0</vt:i4>
      </vt:variant>
      <vt:variant>
        <vt:i4>5</vt:i4>
      </vt:variant>
      <vt:variant>
        <vt:lpwstr/>
      </vt:variant>
      <vt:variant>
        <vt:lpwstr>_Toc216861529</vt:lpwstr>
      </vt:variant>
      <vt:variant>
        <vt:i4>1900599</vt:i4>
      </vt:variant>
      <vt:variant>
        <vt:i4>326</vt:i4>
      </vt:variant>
      <vt:variant>
        <vt:i4>0</vt:i4>
      </vt:variant>
      <vt:variant>
        <vt:i4>5</vt:i4>
      </vt:variant>
      <vt:variant>
        <vt:lpwstr/>
      </vt:variant>
      <vt:variant>
        <vt:lpwstr>_Toc216861528</vt:lpwstr>
      </vt:variant>
      <vt:variant>
        <vt:i4>1900599</vt:i4>
      </vt:variant>
      <vt:variant>
        <vt:i4>320</vt:i4>
      </vt:variant>
      <vt:variant>
        <vt:i4>0</vt:i4>
      </vt:variant>
      <vt:variant>
        <vt:i4>5</vt:i4>
      </vt:variant>
      <vt:variant>
        <vt:lpwstr/>
      </vt:variant>
      <vt:variant>
        <vt:lpwstr>_Toc216861527</vt:lpwstr>
      </vt:variant>
      <vt:variant>
        <vt:i4>1900599</vt:i4>
      </vt:variant>
      <vt:variant>
        <vt:i4>314</vt:i4>
      </vt:variant>
      <vt:variant>
        <vt:i4>0</vt:i4>
      </vt:variant>
      <vt:variant>
        <vt:i4>5</vt:i4>
      </vt:variant>
      <vt:variant>
        <vt:lpwstr/>
      </vt:variant>
      <vt:variant>
        <vt:lpwstr>_Toc216861526</vt:lpwstr>
      </vt:variant>
      <vt:variant>
        <vt:i4>1900599</vt:i4>
      </vt:variant>
      <vt:variant>
        <vt:i4>308</vt:i4>
      </vt:variant>
      <vt:variant>
        <vt:i4>0</vt:i4>
      </vt:variant>
      <vt:variant>
        <vt:i4>5</vt:i4>
      </vt:variant>
      <vt:variant>
        <vt:lpwstr/>
      </vt:variant>
      <vt:variant>
        <vt:lpwstr>_Toc216861525</vt:lpwstr>
      </vt:variant>
      <vt:variant>
        <vt:i4>1900599</vt:i4>
      </vt:variant>
      <vt:variant>
        <vt:i4>302</vt:i4>
      </vt:variant>
      <vt:variant>
        <vt:i4>0</vt:i4>
      </vt:variant>
      <vt:variant>
        <vt:i4>5</vt:i4>
      </vt:variant>
      <vt:variant>
        <vt:lpwstr/>
      </vt:variant>
      <vt:variant>
        <vt:lpwstr>_Toc216861524</vt:lpwstr>
      </vt:variant>
      <vt:variant>
        <vt:i4>1900599</vt:i4>
      </vt:variant>
      <vt:variant>
        <vt:i4>296</vt:i4>
      </vt:variant>
      <vt:variant>
        <vt:i4>0</vt:i4>
      </vt:variant>
      <vt:variant>
        <vt:i4>5</vt:i4>
      </vt:variant>
      <vt:variant>
        <vt:lpwstr/>
      </vt:variant>
      <vt:variant>
        <vt:lpwstr>_Toc216861523</vt:lpwstr>
      </vt:variant>
      <vt:variant>
        <vt:i4>1900599</vt:i4>
      </vt:variant>
      <vt:variant>
        <vt:i4>290</vt:i4>
      </vt:variant>
      <vt:variant>
        <vt:i4>0</vt:i4>
      </vt:variant>
      <vt:variant>
        <vt:i4>5</vt:i4>
      </vt:variant>
      <vt:variant>
        <vt:lpwstr/>
      </vt:variant>
      <vt:variant>
        <vt:lpwstr>_Toc216861522</vt:lpwstr>
      </vt:variant>
      <vt:variant>
        <vt:i4>1900599</vt:i4>
      </vt:variant>
      <vt:variant>
        <vt:i4>284</vt:i4>
      </vt:variant>
      <vt:variant>
        <vt:i4>0</vt:i4>
      </vt:variant>
      <vt:variant>
        <vt:i4>5</vt:i4>
      </vt:variant>
      <vt:variant>
        <vt:lpwstr/>
      </vt:variant>
      <vt:variant>
        <vt:lpwstr>_Toc216861521</vt:lpwstr>
      </vt:variant>
      <vt:variant>
        <vt:i4>1900599</vt:i4>
      </vt:variant>
      <vt:variant>
        <vt:i4>278</vt:i4>
      </vt:variant>
      <vt:variant>
        <vt:i4>0</vt:i4>
      </vt:variant>
      <vt:variant>
        <vt:i4>5</vt:i4>
      </vt:variant>
      <vt:variant>
        <vt:lpwstr/>
      </vt:variant>
      <vt:variant>
        <vt:lpwstr>_Toc216861520</vt:lpwstr>
      </vt:variant>
      <vt:variant>
        <vt:i4>1966135</vt:i4>
      </vt:variant>
      <vt:variant>
        <vt:i4>272</vt:i4>
      </vt:variant>
      <vt:variant>
        <vt:i4>0</vt:i4>
      </vt:variant>
      <vt:variant>
        <vt:i4>5</vt:i4>
      </vt:variant>
      <vt:variant>
        <vt:lpwstr/>
      </vt:variant>
      <vt:variant>
        <vt:lpwstr>_Toc216861519</vt:lpwstr>
      </vt:variant>
      <vt:variant>
        <vt:i4>1966135</vt:i4>
      </vt:variant>
      <vt:variant>
        <vt:i4>266</vt:i4>
      </vt:variant>
      <vt:variant>
        <vt:i4>0</vt:i4>
      </vt:variant>
      <vt:variant>
        <vt:i4>5</vt:i4>
      </vt:variant>
      <vt:variant>
        <vt:lpwstr/>
      </vt:variant>
      <vt:variant>
        <vt:lpwstr>_Toc216861518</vt:lpwstr>
      </vt:variant>
      <vt:variant>
        <vt:i4>1966135</vt:i4>
      </vt:variant>
      <vt:variant>
        <vt:i4>260</vt:i4>
      </vt:variant>
      <vt:variant>
        <vt:i4>0</vt:i4>
      </vt:variant>
      <vt:variant>
        <vt:i4>5</vt:i4>
      </vt:variant>
      <vt:variant>
        <vt:lpwstr/>
      </vt:variant>
      <vt:variant>
        <vt:lpwstr>_Toc216861517</vt:lpwstr>
      </vt:variant>
      <vt:variant>
        <vt:i4>1966135</vt:i4>
      </vt:variant>
      <vt:variant>
        <vt:i4>254</vt:i4>
      </vt:variant>
      <vt:variant>
        <vt:i4>0</vt:i4>
      </vt:variant>
      <vt:variant>
        <vt:i4>5</vt:i4>
      </vt:variant>
      <vt:variant>
        <vt:lpwstr/>
      </vt:variant>
      <vt:variant>
        <vt:lpwstr>_Toc216861516</vt:lpwstr>
      </vt:variant>
      <vt:variant>
        <vt:i4>1966135</vt:i4>
      </vt:variant>
      <vt:variant>
        <vt:i4>248</vt:i4>
      </vt:variant>
      <vt:variant>
        <vt:i4>0</vt:i4>
      </vt:variant>
      <vt:variant>
        <vt:i4>5</vt:i4>
      </vt:variant>
      <vt:variant>
        <vt:lpwstr/>
      </vt:variant>
      <vt:variant>
        <vt:lpwstr>_Toc216861515</vt:lpwstr>
      </vt:variant>
      <vt:variant>
        <vt:i4>1966135</vt:i4>
      </vt:variant>
      <vt:variant>
        <vt:i4>242</vt:i4>
      </vt:variant>
      <vt:variant>
        <vt:i4>0</vt:i4>
      </vt:variant>
      <vt:variant>
        <vt:i4>5</vt:i4>
      </vt:variant>
      <vt:variant>
        <vt:lpwstr/>
      </vt:variant>
      <vt:variant>
        <vt:lpwstr>_Toc216861514</vt:lpwstr>
      </vt:variant>
      <vt:variant>
        <vt:i4>1966135</vt:i4>
      </vt:variant>
      <vt:variant>
        <vt:i4>236</vt:i4>
      </vt:variant>
      <vt:variant>
        <vt:i4>0</vt:i4>
      </vt:variant>
      <vt:variant>
        <vt:i4>5</vt:i4>
      </vt:variant>
      <vt:variant>
        <vt:lpwstr/>
      </vt:variant>
      <vt:variant>
        <vt:lpwstr>_Toc216861513</vt:lpwstr>
      </vt:variant>
      <vt:variant>
        <vt:i4>1966135</vt:i4>
      </vt:variant>
      <vt:variant>
        <vt:i4>230</vt:i4>
      </vt:variant>
      <vt:variant>
        <vt:i4>0</vt:i4>
      </vt:variant>
      <vt:variant>
        <vt:i4>5</vt:i4>
      </vt:variant>
      <vt:variant>
        <vt:lpwstr/>
      </vt:variant>
      <vt:variant>
        <vt:lpwstr>_Toc216861512</vt:lpwstr>
      </vt:variant>
      <vt:variant>
        <vt:i4>1966135</vt:i4>
      </vt:variant>
      <vt:variant>
        <vt:i4>224</vt:i4>
      </vt:variant>
      <vt:variant>
        <vt:i4>0</vt:i4>
      </vt:variant>
      <vt:variant>
        <vt:i4>5</vt:i4>
      </vt:variant>
      <vt:variant>
        <vt:lpwstr/>
      </vt:variant>
      <vt:variant>
        <vt:lpwstr>_Toc216861511</vt:lpwstr>
      </vt:variant>
      <vt:variant>
        <vt:i4>1966135</vt:i4>
      </vt:variant>
      <vt:variant>
        <vt:i4>218</vt:i4>
      </vt:variant>
      <vt:variant>
        <vt:i4>0</vt:i4>
      </vt:variant>
      <vt:variant>
        <vt:i4>5</vt:i4>
      </vt:variant>
      <vt:variant>
        <vt:lpwstr/>
      </vt:variant>
      <vt:variant>
        <vt:lpwstr>_Toc216861510</vt:lpwstr>
      </vt:variant>
      <vt:variant>
        <vt:i4>2031671</vt:i4>
      </vt:variant>
      <vt:variant>
        <vt:i4>212</vt:i4>
      </vt:variant>
      <vt:variant>
        <vt:i4>0</vt:i4>
      </vt:variant>
      <vt:variant>
        <vt:i4>5</vt:i4>
      </vt:variant>
      <vt:variant>
        <vt:lpwstr/>
      </vt:variant>
      <vt:variant>
        <vt:lpwstr>_Toc216861509</vt:lpwstr>
      </vt:variant>
      <vt:variant>
        <vt:i4>2031671</vt:i4>
      </vt:variant>
      <vt:variant>
        <vt:i4>206</vt:i4>
      </vt:variant>
      <vt:variant>
        <vt:i4>0</vt:i4>
      </vt:variant>
      <vt:variant>
        <vt:i4>5</vt:i4>
      </vt:variant>
      <vt:variant>
        <vt:lpwstr/>
      </vt:variant>
      <vt:variant>
        <vt:lpwstr>_Toc216861508</vt:lpwstr>
      </vt:variant>
      <vt:variant>
        <vt:i4>2031671</vt:i4>
      </vt:variant>
      <vt:variant>
        <vt:i4>200</vt:i4>
      </vt:variant>
      <vt:variant>
        <vt:i4>0</vt:i4>
      </vt:variant>
      <vt:variant>
        <vt:i4>5</vt:i4>
      </vt:variant>
      <vt:variant>
        <vt:lpwstr/>
      </vt:variant>
      <vt:variant>
        <vt:lpwstr>_Toc216861507</vt:lpwstr>
      </vt:variant>
      <vt:variant>
        <vt:i4>2031671</vt:i4>
      </vt:variant>
      <vt:variant>
        <vt:i4>194</vt:i4>
      </vt:variant>
      <vt:variant>
        <vt:i4>0</vt:i4>
      </vt:variant>
      <vt:variant>
        <vt:i4>5</vt:i4>
      </vt:variant>
      <vt:variant>
        <vt:lpwstr/>
      </vt:variant>
      <vt:variant>
        <vt:lpwstr>_Toc216861506</vt:lpwstr>
      </vt:variant>
      <vt:variant>
        <vt:i4>2031671</vt:i4>
      </vt:variant>
      <vt:variant>
        <vt:i4>188</vt:i4>
      </vt:variant>
      <vt:variant>
        <vt:i4>0</vt:i4>
      </vt:variant>
      <vt:variant>
        <vt:i4>5</vt:i4>
      </vt:variant>
      <vt:variant>
        <vt:lpwstr/>
      </vt:variant>
      <vt:variant>
        <vt:lpwstr>_Toc216861505</vt:lpwstr>
      </vt:variant>
      <vt:variant>
        <vt:i4>2031671</vt:i4>
      </vt:variant>
      <vt:variant>
        <vt:i4>182</vt:i4>
      </vt:variant>
      <vt:variant>
        <vt:i4>0</vt:i4>
      </vt:variant>
      <vt:variant>
        <vt:i4>5</vt:i4>
      </vt:variant>
      <vt:variant>
        <vt:lpwstr/>
      </vt:variant>
      <vt:variant>
        <vt:lpwstr>_Toc216861504</vt:lpwstr>
      </vt:variant>
      <vt:variant>
        <vt:i4>2031671</vt:i4>
      </vt:variant>
      <vt:variant>
        <vt:i4>176</vt:i4>
      </vt:variant>
      <vt:variant>
        <vt:i4>0</vt:i4>
      </vt:variant>
      <vt:variant>
        <vt:i4>5</vt:i4>
      </vt:variant>
      <vt:variant>
        <vt:lpwstr/>
      </vt:variant>
      <vt:variant>
        <vt:lpwstr>_Toc216861503</vt:lpwstr>
      </vt:variant>
      <vt:variant>
        <vt:i4>2031671</vt:i4>
      </vt:variant>
      <vt:variant>
        <vt:i4>170</vt:i4>
      </vt:variant>
      <vt:variant>
        <vt:i4>0</vt:i4>
      </vt:variant>
      <vt:variant>
        <vt:i4>5</vt:i4>
      </vt:variant>
      <vt:variant>
        <vt:lpwstr/>
      </vt:variant>
      <vt:variant>
        <vt:lpwstr>_Toc216861502</vt:lpwstr>
      </vt:variant>
      <vt:variant>
        <vt:i4>2031671</vt:i4>
      </vt:variant>
      <vt:variant>
        <vt:i4>164</vt:i4>
      </vt:variant>
      <vt:variant>
        <vt:i4>0</vt:i4>
      </vt:variant>
      <vt:variant>
        <vt:i4>5</vt:i4>
      </vt:variant>
      <vt:variant>
        <vt:lpwstr/>
      </vt:variant>
      <vt:variant>
        <vt:lpwstr>_Toc216861501</vt:lpwstr>
      </vt:variant>
      <vt:variant>
        <vt:i4>2031671</vt:i4>
      </vt:variant>
      <vt:variant>
        <vt:i4>158</vt:i4>
      </vt:variant>
      <vt:variant>
        <vt:i4>0</vt:i4>
      </vt:variant>
      <vt:variant>
        <vt:i4>5</vt:i4>
      </vt:variant>
      <vt:variant>
        <vt:lpwstr/>
      </vt:variant>
      <vt:variant>
        <vt:lpwstr>_Toc216861500</vt:lpwstr>
      </vt:variant>
      <vt:variant>
        <vt:i4>1441846</vt:i4>
      </vt:variant>
      <vt:variant>
        <vt:i4>152</vt:i4>
      </vt:variant>
      <vt:variant>
        <vt:i4>0</vt:i4>
      </vt:variant>
      <vt:variant>
        <vt:i4>5</vt:i4>
      </vt:variant>
      <vt:variant>
        <vt:lpwstr/>
      </vt:variant>
      <vt:variant>
        <vt:lpwstr>_Toc216861499</vt:lpwstr>
      </vt:variant>
      <vt:variant>
        <vt:i4>1441846</vt:i4>
      </vt:variant>
      <vt:variant>
        <vt:i4>146</vt:i4>
      </vt:variant>
      <vt:variant>
        <vt:i4>0</vt:i4>
      </vt:variant>
      <vt:variant>
        <vt:i4>5</vt:i4>
      </vt:variant>
      <vt:variant>
        <vt:lpwstr/>
      </vt:variant>
      <vt:variant>
        <vt:lpwstr>_Toc216861498</vt:lpwstr>
      </vt:variant>
      <vt:variant>
        <vt:i4>1441846</vt:i4>
      </vt:variant>
      <vt:variant>
        <vt:i4>140</vt:i4>
      </vt:variant>
      <vt:variant>
        <vt:i4>0</vt:i4>
      </vt:variant>
      <vt:variant>
        <vt:i4>5</vt:i4>
      </vt:variant>
      <vt:variant>
        <vt:lpwstr/>
      </vt:variant>
      <vt:variant>
        <vt:lpwstr>_Toc216861497</vt:lpwstr>
      </vt:variant>
      <vt:variant>
        <vt:i4>1441846</vt:i4>
      </vt:variant>
      <vt:variant>
        <vt:i4>134</vt:i4>
      </vt:variant>
      <vt:variant>
        <vt:i4>0</vt:i4>
      </vt:variant>
      <vt:variant>
        <vt:i4>5</vt:i4>
      </vt:variant>
      <vt:variant>
        <vt:lpwstr/>
      </vt:variant>
      <vt:variant>
        <vt:lpwstr>_Toc216861496</vt:lpwstr>
      </vt:variant>
      <vt:variant>
        <vt:i4>1441846</vt:i4>
      </vt:variant>
      <vt:variant>
        <vt:i4>128</vt:i4>
      </vt:variant>
      <vt:variant>
        <vt:i4>0</vt:i4>
      </vt:variant>
      <vt:variant>
        <vt:i4>5</vt:i4>
      </vt:variant>
      <vt:variant>
        <vt:lpwstr/>
      </vt:variant>
      <vt:variant>
        <vt:lpwstr>_Toc216861495</vt:lpwstr>
      </vt:variant>
      <vt:variant>
        <vt:i4>1441846</vt:i4>
      </vt:variant>
      <vt:variant>
        <vt:i4>122</vt:i4>
      </vt:variant>
      <vt:variant>
        <vt:i4>0</vt:i4>
      </vt:variant>
      <vt:variant>
        <vt:i4>5</vt:i4>
      </vt:variant>
      <vt:variant>
        <vt:lpwstr/>
      </vt:variant>
      <vt:variant>
        <vt:lpwstr>_Toc216861494</vt:lpwstr>
      </vt:variant>
      <vt:variant>
        <vt:i4>1441846</vt:i4>
      </vt:variant>
      <vt:variant>
        <vt:i4>116</vt:i4>
      </vt:variant>
      <vt:variant>
        <vt:i4>0</vt:i4>
      </vt:variant>
      <vt:variant>
        <vt:i4>5</vt:i4>
      </vt:variant>
      <vt:variant>
        <vt:lpwstr/>
      </vt:variant>
      <vt:variant>
        <vt:lpwstr>_Toc216861493</vt:lpwstr>
      </vt:variant>
      <vt:variant>
        <vt:i4>1441846</vt:i4>
      </vt:variant>
      <vt:variant>
        <vt:i4>110</vt:i4>
      </vt:variant>
      <vt:variant>
        <vt:i4>0</vt:i4>
      </vt:variant>
      <vt:variant>
        <vt:i4>5</vt:i4>
      </vt:variant>
      <vt:variant>
        <vt:lpwstr/>
      </vt:variant>
      <vt:variant>
        <vt:lpwstr>_Toc216861492</vt:lpwstr>
      </vt:variant>
      <vt:variant>
        <vt:i4>1441846</vt:i4>
      </vt:variant>
      <vt:variant>
        <vt:i4>104</vt:i4>
      </vt:variant>
      <vt:variant>
        <vt:i4>0</vt:i4>
      </vt:variant>
      <vt:variant>
        <vt:i4>5</vt:i4>
      </vt:variant>
      <vt:variant>
        <vt:lpwstr/>
      </vt:variant>
      <vt:variant>
        <vt:lpwstr>_Toc216861491</vt:lpwstr>
      </vt:variant>
      <vt:variant>
        <vt:i4>1441846</vt:i4>
      </vt:variant>
      <vt:variant>
        <vt:i4>98</vt:i4>
      </vt:variant>
      <vt:variant>
        <vt:i4>0</vt:i4>
      </vt:variant>
      <vt:variant>
        <vt:i4>5</vt:i4>
      </vt:variant>
      <vt:variant>
        <vt:lpwstr/>
      </vt:variant>
      <vt:variant>
        <vt:lpwstr>_Toc216861490</vt:lpwstr>
      </vt:variant>
      <vt:variant>
        <vt:i4>1507382</vt:i4>
      </vt:variant>
      <vt:variant>
        <vt:i4>92</vt:i4>
      </vt:variant>
      <vt:variant>
        <vt:i4>0</vt:i4>
      </vt:variant>
      <vt:variant>
        <vt:i4>5</vt:i4>
      </vt:variant>
      <vt:variant>
        <vt:lpwstr/>
      </vt:variant>
      <vt:variant>
        <vt:lpwstr>_Toc216861489</vt:lpwstr>
      </vt:variant>
      <vt:variant>
        <vt:i4>1507382</vt:i4>
      </vt:variant>
      <vt:variant>
        <vt:i4>86</vt:i4>
      </vt:variant>
      <vt:variant>
        <vt:i4>0</vt:i4>
      </vt:variant>
      <vt:variant>
        <vt:i4>5</vt:i4>
      </vt:variant>
      <vt:variant>
        <vt:lpwstr/>
      </vt:variant>
      <vt:variant>
        <vt:lpwstr>_Toc216861488</vt:lpwstr>
      </vt:variant>
      <vt:variant>
        <vt:i4>1507382</vt:i4>
      </vt:variant>
      <vt:variant>
        <vt:i4>80</vt:i4>
      </vt:variant>
      <vt:variant>
        <vt:i4>0</vt:i4>
      </vt:variant>
      <vt:variant>
        <vt:i4>5</vt:i4>
      </vt:variant>
      <vt:variant>
        <vt:lpwstr/>
      </vt:variant>
      <vt:variant>
        <vt:lpwstr>_Toc216861487</vt:lpwstr>
      </vt:variant>
      <vt:variant>
        <vt:i4>1507382</vt:i4>
      </vt:variant>
      <vt:variant>
        <vt:i4>74</vt:i4>
      </vt:variant>
      <vt:variant>
        <vt:i4>0</vt:i4>
      </vt:variant>
      <vt:variant>
        <vt:i4>5</vt:i4>
      </vt:variant>
      <vt:variant>
        <vt:lpwstr/>
      </vt:variant>
      <vt:variant>
        <vt:lpwstr>_Toc216861486</vt:lpwstr>
      </vt:variant>
      <vt:variant>
        <vt:i4>1507382</vt:i4>
      </vt:variant>
      <vt:variant>
        <vt:i4>68</vt:i4>
      </vt:variant>
      <vt:variant>
        <vt:i4>0</vt:i4>
      </vt:variant>
      <vt:variant>
        <vt:i4>5</vt:i4>
      </vt:variant>
      <vt:variant>
        <vt:lpwstr/>
      </vt:variant>
      <vt:variant>
        <vt:lpwstr>_Toc216861485</vt:lpwstr>
      </vt:variant>
      <vt:variant>
        <vt:i4>1507382</vt:i4>
      </vt:variant>
      <vt:variant>
        <vt:i4>62</vt:i4>
      </vt:variant>
      <vt:variant>
        <vt:i4>0</vt:i4>
      </vt:variant>
      <vt:variant>
        <vt:i4>5</vt:i4>
      </vt:variant>
      <vt:variant>
        <vt:lpwstr/>
      </vt:variant>
      <vt:variant>
        <vt:lpwstr>_Toc216861484</vt:lpwstr>
      </vt:variant>
      <vt:variant>
        <vt:i4>1507382</vt:i4>
      </vt:variant>
      <vt:variant>
        <vt:i4>56</vt:i4>
      </vt:variant>
      <vt:variant>
        <vt:i4>0</vt:i4>
      </vt:variant>
      <vt:variant>
        <vt:i4>5</vt:i4>
      </vt:variant>
      <vt:variant>
        <vt:lpwstr/>
      </vt:variant>
      <vt:variant>
        <vt:lpwstr>_Toc216861483</vt:lpwstr>
      </vt:variant>
      <vt:variant>
        <vt:i4>1507382</vt:i4>
      </vt:variant>
      <vt:variant>
        <vt:i4>50</vt:i4>
      </vt:variant>
      <vt:variant>
        <vt:i4>0</vt:i4>
      </vt:variant>
      <vt:variant>
        <vt:i4>5</vt:i4>
      </vt:variant>
      <vt:variant>
        <vt:lpwstr/>
      </vt:variant>
      <vt:variant>
        <vt:lpwstr>_Toc216861482</vt:lpwstr>
      </vt:variant>
      <vt:variant>
        <vt:i4>1507382</vt:i4>
      </vt:variant>
      <vt:variant>
        <vt:i4>44</vt:i4>
      </vt:variant>
      <vt:variant>
        <vt:i4>0</vt:i4>
      </vt:variant>
      <vt:variant>
        <vt:i4>5</vt:i4>
      </vt:variant>
      <vt:variant>
        <vt:lpwstr/>
      </vt:variant>
      <vt:variant>
        <vt:lpwstr>_Toc216861481</vt:lpwstr>
      </vt:variant>
      <vt:variant>
        <vt:i4>1507382</vt:i4>
      </vt:variant>
      <vt:variant>
        <vt:i4>38</vt:i4>
      </vt:variant>
      <vt:variant>
        <vt:i4>0</vt:i4>
      </vt:variant>
      <vt:variant>
        <vt:i4>5</vt:i4>
      </vt:variant>
      <vt:variant>
        <vt:lpwstr/>
      </vt:variant>
      <vt:variant>
        <vt:lpwstr>_Toc216861480</vt:lpwstr>
      </vt:variant>
      <vt:variant>
        <vt:i4>1572918</vt:i4>
      </vt:variant>
      <vt:variant>
        <vt:i4>32</vt:i4>
      </vt:variant>
      <vt:variant>
        <vt:i4>0</vt:i4>
      </vt:variant>
      <vt:variant>
        <vt:i4>5</vt:i4>
      </vt:variant>
      <vt:variant>
        <vt:lpwstr/>
      </vt:variant>
      <vt:variant>
        <vt:lpwstr>_Toc216861479</vt:lpwstr>
      </vt:variant>
      <vt:variant>
        <vt:i4>1572918</vt:i4>
      </vt:variant>
      <vt:variant>
        <vt:i4>26</vt:i4>
      </vt:variant>
      <vt:variant>
        <vt:i4>0</vt:i4>
      </vt:variant>
      <vt:variant>
        <vt:i4>5</vt:i4>
      </vt:variant>
      <vt:variant>
        <vt:lpwstr/>
      </vt:variant>
      <vt:variant>
        <vt:lpwstr>_Toc216861478</vt:lpwstr>
      </vt:variant>
      <vt:variant>
        <vt:i4>1572918</vt:i4>
      </vt:variant>
      <vt:variant>
        <vt:i4>20</vt:i4>
      </vt:variant>
      <vt:variant>
        <vt:i4>0</vt:i4>
      </vt:variant>
      <vt:variant>
        <vt:i4>5</vt:i4>
      </vt:variant>
      <vt:variant>
        <vt:lpwstr/>
      </vt:variant>
      <vt:variant>
        <vt:lpwstr>_Toc216861477</vt:lpwstr>
      </vt:variant>
      <vt:variant>
        <vt:i4>1572918</vt:i4>
      </vt:variant>
      <vt:variant>
        <vt:i4>14</vt:i4>
      </vt:variant>
      <vt:variant>
        <vt:i4>0</vt:i4>
      </vt:variant>
      <vt:variant>
        <vt:i4>5</vt:i4>
      </vt:variant>
      <vt:variant>
        <vt:lpwstr/>
      </vt:variant>
      <vt:variant>
        <vt:lpwstr>_Toc216861476</vt:lpwstr>
      </vt:variant>
      <vt:variant>
        <vt:i4>1572918</vt:i4>
      </vt:variant>
      <vt:variant>
        <vt:i4>8</vt:i4>
      </vt:variant>
      <vt:variant>
        <vt:i4>0</vt:i4>
      </vt:variant>
      <vt:variant>
        <vt:i4>5</vt:i4>
      </vt:variant>
      <vt:variant>
        <vt:lpwstr/>
      </vt:variant>
      <vt:variant>
        <vt:lpwstr>_Toc216861475</vt:lpwstr>
      </vt:variant>
      <vt:variant>
        <vt:i4>1572918</vt:i4>
      </vt:variant>
      <vt:variant>
        <vt:i4>2</vt:i4>
      </vt:variant>
      <vt:variant>
        <vt:i4>0</vt:i4>
      </vt:variant>
      <vt:variant>
        <vt:i4>5</vt:i4>
      </vt:variant>
      <vt:variant>
        <vt:lpwstr/>
      </vt:variant>
      <vt:variant>
        <vt:lpwstr>_Toc216861474</vt:lpwstr>
      </vt:variant>
      <vt:variant>
        <vt:i4>2293810</vt:i4>
      </vt:variant>
      <vt:variant>
        <vt:i4>0</vt:i4>
      </vt:variant>
      <vt:variant>
        <vt:i4>0</vt:i4>
      </vt:variant>
      <vt:variant>
        <vt:i4>5</vt:i4>
      </vt:variant>
      <vt:variant>
        <vt:lpwstr>https://www.health.gov.au/topics/rural-health-workforce/classifications/mmm</vt:lpwstr>
      </vt:variant>
      <vt:variant>
        <vt:lpwstr/>
      </vt:variant>
      <vt:variant>
        <vt:i4>6160484</vt:i4>
      </vt:variant>
      <vt:variant>
        <vt:i4>6</vt:i4>
      </vt:variant>
      <vt:variant>
        <vt:i4>0</vt:i4>
      </vt:variant>
      <vt:variant>
        <vt:i4>5</vt:i4>
      </vt:variant>
      <vt:variant>
        <vt:lpwstr>mailto:Tanzila.FATEMA@Health.gov.au</vt:lpwstr>
      </vt:variant>
      <vt:variant>
        <vt:lpwstr/>
      </vt:variant>
      <vt:variant>
        <vt:i4>5767253</vt:i4>
      </vt:variant>
      <vt:variant>
        <vt:i4>3</vt:i4>
      </vt:variant>
      <vt:variant>
        <vt:i4>0</vt:i4>
      </vt:variant>
      <vt:variant>
        <vt:i4>5</vt:i4>
      </vt:variant>
      <vt:variant>
        <vt:lpwstr>https://www.myagedcare.gov.au/find-a-provider/search/59rhgl8-harbison-memorial-retirement-village</vt:lpwstr>
      </vt:variant>
      <vt:variant>
        <vt:lpwstr/>
      </vt:variant>
      <vt:variant>
        <vt:i4>6160484</vt:i4>
      </vt:variant>
      <vt:variant>
        <vt:i4>0</vt:i4>
      </vt:variant>
      <vt:variant>
        <vt:i4>0</vt:i4>
      </vt:variant>
      <vt:variant>
        <vt:i4>5</vt:i4>
      </vt:variant>
      <vt:variant>
        <vt:lpwstr>mailto:Tanzila.FATEMA@Health.gov.au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Care Programme Guidelines</dc:title>
  <dc:subject>Aged care</dc:subject>
  <dc:creator>Australian Government Department of Health, Disability and Ageing</dc:creator>
  <cp:keywords>Aged care; Home Care Packages Program</cp:keywords>
  <cp:lastPrinted>2025-12-17T01:19:00Z</cp:lastPrinted>
  <dcterms:created xsi:type="dcterms:W3CDTF">2025-12-17T00:47:00Z</dcterms:created>
  <dcterms:modified xsi:type="dcterms:W3CDTF">2025-12-17T06:13:00Z</dcterms:modified>
</cp:coreProperties>
</file>