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D007" w14:textId="5B903EB6" w:rsidR="004D1277" w:rsidRPr="00341BD4" w:rsidRDefault="004D1277" w:rsidP="00341BD4">
      <w:pPr>
        <w:pStyle w:val="Heading1"/>
      </w:pPr>
      <w:r>
        <w:t xml:space="preserve">Department of Health, Disability and Ageing </w:t>
      </w:r>
      <w:r w:rsidR="00341BD4" w:rsidRPr="00341BD4">
        <w:t>–</w:t>
      </w:r>
      <w:r>
        <w:t xml:space="preserve"> Statement for the purpose of subsection 583(6) of the </w:t>
      </w:r>
      <w:r w:rsidRPr="00341BD4">
        <w:rPr>
          <w:rStyle w:val="Emphasis"/>
        </w:rPr>
        <w:t>Aged Care Act 2024</w:t>
      </w:r>
    </w:p>
    <w:p w14:paraId="70787B8D" w14:textId="77777777" w:rsidR="004D1277" w:rsidRPr="00341BD4" w:rsidRDefault="004D1277" w:rsidP="00361FC5">
      <w:r w:rsidRPr="00341BD4">
        <w:t xml:space="preserve">Senior Executive Service employees within the department, acting as delegates of the System Governor, have </w:t>
      </w:r>
      <w:proofErr w:type="gramStart"/>
      <w:r w:rsidRPr="00341BD4">
        <w:t>made arrangements</w:t>
      </w:r>
      <w:proofErr w:type="gramEnd"/>
      <w:r w:rsidRPr="00341BD4">
        <w:t xml:space="preserve"> under subsection 582(1) of the </w:t>
      </w:r>
      <w:r w:rsidRPr="00341BD4">
        <w:rPr>
          <w:rStyle w:val="Emphasis"/>
        </w:rPr>
        <w:t xml:space="preserve">Aged Care Act 2024 </w:t>
      </w:r>
      <w:r w:rsidRPr="00341BD4">
        <w:t xml:space="preserve">in relation to the following provisions of the Act: </w:t>
      </w:r>
    </w:p>
    <w:p w14:paraId="5928B659" w14:textId="77777777" w:rsidR="004D1277" w:rsidRDefault="004D1277" w:rsidP="00341BD4">
      <w:pPr>
        <w:pStyle w:val="ListBullet"/>
        <w:rPr>
          <w:lang w:eastAsia="en-AU"/>
        </w:rPr>
      </w:pPr>
      <w:r w:rsidRPr="7C1A292D">
        <w:rPr>
          <w:lang w:eastAsia="en-AU"/>
        </w:rPr>
        <w:t>Subsection 78(1) (which deals with classification levels)</w:t>
      </w:r>
    </w:p>
    <w:p w14:paraId="09E8645A" w14:textId="77777777" w:rsidR="004D1277" w:rsidRPr="00392082" w:rsidRDefault="004D1277" w:rsidP="00341BD4">
      <w:pPr>
        <w:pStyle w:val="ListBullet2"/>
      </w:pPr>
      <w:r w:rsidRPr="00392082">
        <w:t xml:space="preserve">The Department notes that classification level decisions are automated for ongoing residential care and ongoing home support using the Australian National Aged Care Classification (AN-ACC) and Integrated Assessment Tool (IAT) classification algorithm respectively. </w:t>
      </w:r>
      <w:r>
        <w:t>O</w:t>
      </w:r>
      <w:r w:rsidRPr="00392082">
        <w:t xml:space="preserve">ther classification level decisions are made by the assessor delegate. </w:t>
      </w:r>
    </w:p>
    <w:p w14:paraId="335E9960" w14:textId="77777777" w:rsidR="004D1277" w:rsidRDefault="004D1277" w:rsidP="00341BD4">
      <w:pPr>
        <w:pStyle w:val="ListBullet"/>
      </w:pPr>
      <w:r>
        <w:t>Subsection 86(1) (which deals with priority category decisions)</w:t>
      </w:r>
    </w:p>
    <w:p w14:paraId="4F2ED90E" w14:textId="77777777" w:rsidR="004D1277" w:rsidRDefault="004D1277" w:rsidP="00341BD4">
      <w:pPr>
        <w:pStyle w:val="ListBullet"/>
      </w:pPr>
      <w:r>
        <w:t>Subsection 92(1) (which deals with allocation of places to individuals)</w:t>
      </w:r>
    </w:p>
    <w:p w14:paraId="5349DE7A" w14:textId="77777777" w:rsidR="004D1277" w:rsidRDefault="004D1277" w:rsidP="00341BD4">
      <w:pPr>
        <w:pStyle w:val="ListBullet"/>
      </w:pPr>
      <w:r>
        <w:t>Subsection 93(1) (which deals with deciding the order of allocation of places to individuals)</w:t>
      </w:r>
    </w:p>
    <w:p w14:paraId="53E8D9D7" w14:textId="77777777" w:rsidR="004D1277" w:rsidRDefault="004D1277" w:rsidP="00341BD4">
      <w:pPr>
        <w:pStyle w:val="ListBullet"/>
      </w:pPr>
      <w:r>
        <w:t>Section 541 (insofar as it deals with star ratings).</w:t>
      </w:r>
    </w:p>
    <w:p w14:paraId="26FA000C" w14:textId="24AEAA4F" w:rsidR="004D1277" w:rsidRPr="00341BD4" w:rsidRDefault="004D1277" w:rsidP="00207791">
      <w:pPr>
        <w:pStyle w:val="Heading1"/>
      </w:pPr>
      <w:r>
        <w:t xml:space="preserve">Services Australia </w:t>
      </w:r>
      <w:r w:rsidR="00341BD4" w:rsidRPr="00341BD4">
        <w:t>–</w:t>
      </w:r>
      <w:r>
        <w:t xml:space="preserve"> Statement for the purpose of subsection 583(6) of the </w:t>
      </w:r>
      <w:r w:rsidRPr="00341BD4">
        <w:rPr>
          <w:rStyle w:val="Emphasis"/>
        </w:rPr>
        <w:t>Aged Care Act 2024</w:t>
      </w:r>
    </w:p>
    <w:p w14:paraId="7A07DF9F" w14:textId="5AC50667" w:rsidR="000C47B5" w:rsidRDefault="004D1277" w:rsidP="00341BD4">
      <w:r w:rsidRPr="00341BD4">
        <w:t xml:space="preserve">Monita Lal, General Manager of Care and Support Division, Services Australia, as delegate of the System Governor, has </w:t>
      </w:r>
      <w:proofErr w:type="gramStart"/>
      <w:r w:rsidRPr="00341BD4">
        <w:t>made an arrangement</w:t>
      </w:r>
      <w:proofErr w:type="gramEnd"/>
      <w:r w:rsidRPr="00341BD4">
        <w:t xml:space="preserve"> under subsection 582(1) of the </w:t>
      </w:r>
      <w:r w:rsidRPr="00341BD4">
        <w:rPr>
          <w:rStyle w:val="Emphasis"/>
        </w:rPr>
        <w:t>Aged Care Act 2024</w:t>
      </w:r>
      <w:r w:rsidRPr="00341BD4">
        <w:t xml:space="preserve"> in relation to the provisions of Parts 2 to 5 of Chapter 4 of that Act.</w:t>
      </w:r>
    </w:p>
    <w:p w14:paraId="1A0AA3E9" w14:textId="4BD94344" w:rsidR="000C47B5" w:rsidRPr="00341BD4" w:rsidRDefault="000C47B5" w:rsidP="000C47B5">
      <w:pPr>
        <w:pStyle w:val="Heading1"/>
      </w:pPr>
      <w:r w:rsidRPr="000C47B5">
        <w:t>Department of Veterans’ Affairs</w:t>
      </w:r>
      <w:r>
        <w:t xml:space="preserve"> </w:t>
      </w:r>
      <w:r w:rsidRPr="00341BD4">
        <w:t>–</w:t>
      </w:r>
      <w:r>
        <w:t xml:space="preserve"> Statement for the purpose of subsection 582 (1) of the </w:t>
      </w:r>
      <w:r w:rsidRPr="00341BD4">
        <w:rPr>
          <w:rStyle w:val="Emphasis"/>
        </w:rPr>
        <w:t>Aged Care Act 2024</w:t>
      </w:r>
    </w:p>
    <w:p w14:paraId="6FE0B19C" w14:textId="5F1D4178" w:rsidR="000C47B5" w:rsidRPr="00341BD4" w:rsidRDefault="000C47B5" w:rsidP="00361FC5">
      <w:pPr>
        <w:rPr>
          <w:lang w:eastAsia="en-AU"/>
        </w:rPr>
      </w:pPr>
      <w:r w:rsidRPr="000C47B5">
        <w:rPr>
          <w:lang w:eastAsia="en-AU"/>
        </w:rPr>
        <w:t xml:space="preserve">Andrew Kefford PSM, Deputy Secretary of the Policy and Programs Group at Department of Veterans’ Affairs, acting as delegate of the System Governor, has </w:t>
      </w:r>
      <w:proofErr w:type="gramStart"/>
      <w:r w:rsidRPr="000C47B5">
        <w:rPr>
          <w:lang w:eastAsia="en-AU"/>
        </w:rPr>
        <w:t>made an arrangement</w:t>
      </w:r>
      <w:proofErr w:type="gramEnd"/>
      <w:r w:rsidRPr="000C47B5">
        <w:rPr>
          <w:lang w:eastAsia="en-AU"/>
        </w:rPr>
        <w:t xml:space="preserve"> under subsection 582(1) of the Aged Care Act 2024 in relation to the provisions of Part 5 of Chapter 4 of that Act.</w:t>
      </w:r>
    </w:p>
    <w:sectPr w:rsidR="000C47B5" w:rsidRPr="00341BD4" w:rsidSect="00B53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E154" w14:textId="77777777" w:rsidR="00B847C9" w:rsidRDefault="00B847C9" w:rsidP="006B56BB">
      <w:r>
        <w:separator/>
      </w:r>
    </w:p>
    <w:p w14:paraId="31BE4901" w14:textId="77777777" w:rsidR="00B847C9" w:rsidRDefault="00B847C9"/>
  </w:endnote>
  <w:endnote w:type="continuationSeparator" w:id="0">
    <w:p w14:paraId="5D05F9FA" w14:textId="77777777" w:rsidR="00B847C9" w:rsidRDefault="00B847C9" w:rsidP="006B56BB">
      <w:r>
        <w:continuationSeparator/>
      </w:r>
    </w:p>
    <w:p w14:paraId="4953D159" w14:textId="77777777" w:rsidR="00B847C9" w:rsidRDefault="00B847C9"/>
  </w:endnote>
  <w:endnote w:type="continuationNotice" w:id="1">
    <w:p w14:paraId="3A880A82" w14:textId="77777777" w:rsidR="00B847C9" w:rsidRDefault="00B84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26A18CA6" w:rsidR="001D22F6" w:rsidRDefault="004D12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9D9399" wp14:editId="64F12C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9766173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A6B6E" w14:textId="74282B5B" w:rsidR="004D1277" w:rsidRPr="004D1277" w:rsidRDefault="004D1277" w:rsidP="004D12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127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D93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18EA6B6E" w14:textId="74282B5B" w:rsidR="004D1277" w:rsidRPr="004D1277" w:rsidRDefault="004D1277" w:rsidP="004D12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127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186CD6D4" w:rsidR="00B53987" w:rsidRDefault="004D1277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7A30E0" wp14:editId="4AE3BEFE">
              <wp:simplePos x="90487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327915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13CDA" w14:textId="5FA864F7" w:rsidR="004D1277" w:rsidRPr="004D1277" w:rsidRDefault="004D1277" w:rsidP="004D12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127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A30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57A13CDA" w14:textId="5FA864F7" w:rsidR="004D1277" w:rsidRPr="004D1277" w:rsidRDefault="004D1277" w:rsidP="004D12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127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3F8B">
      <w:t xml:space="preserve">Department of Health, Disability and Ageing </w:t>
    </w:r>
    <w:r w:rsidR="00B53987">
      <w:t xml:space="preserve">– </w:t>
    </w:r>
    <w:r w:rsidR="00B53987" w:rsidRPr="00DE3355">
      <w:t xml:space="preserve">Insert </w:t>
    </w:r>
    <w:r w:rsidR="00B53987">
      <w:t>fact sheet</w:t>
    </w:r>
    <w:r w:rsidR="00B53987" w:rsidRPr="00DE3355">
      <w:t xml:space="preserve"> title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4ACB71A6" w:rsidR="00B53987" w:rsidRDefault="00AA262B" w:rsidP="004D1277">
    <w:pPr>
      <w:pStyle w:val="Footer"/>
      <w:jc w:val="left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4D1277">
      <w:t>Statement on automated administration actions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8DD7" w14:textId="77777777" w:rsidR="00B847C9" w:rsidRDefault="00B847C9" w:rsidP="006B56BB">
      <w:r>
        <w:separator/>
      </w:r>
    </w:p>
    <w:p w14:paraId="51C2470C" w14:textId="77777777" w:rsidR="00B847C9" w:rsidRDefault="00B847C9"/>
  </w:footnote>
  <w:footnote w:type="continuationSeparator" w:id="0">
    <w:p w14:paraId="36F68C91" w14:textId="77777777" w:rsidR="00B847C9" w:rsidRDefault="00B847C9" w:rsidP="006B56BB">
      <w:r>
        <w:continuationSeparator/>
      </w:r>
    </w:p>
    <w:p w14:paraId="2B7B77C9" w14:textId="77777777" w:rsidR="00B847C9" w:rsidRDefault="00B847C9"/>
  </w:footnote>
  <w:footnote w:type="continuationNotice" w:id="1">
    <w:p w14:paraId="6AFB77E8" w14:textId="77777777" w:rsidR="00B847C9" w:rsidRDefault="00B84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1C96D984" w:rsidR="001D22F6" w:rsidRDefault="004D12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35D3D" wp14:editId="1DFDAF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6171114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7506C" w14:textId="76B52D9A" w:rsidR="004D1277" w:rsidRPr="004D1277" w:rsidRDefault="004D1277" w:rsidP="004D12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127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3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7E57506C" w14:textId="76B52D9A" w:rsidR="004D1277" w:rsidRPr="004D1277" w:rsidRDefault="004D1277" w:rsidP="004D12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127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1B740E79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3C2EC80C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9BD3A57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7C9701"/>
    <w:multiLevelType w:val="hybridMultilevel"/>
    <w:tmpl w:val="27FAF5C0"/>
    <w:lvl w:ilvl="0" w:tplc="BD6A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47D2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A8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8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0A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28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CE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68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04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5"/>
  </w:num>
  <w:num w:numId="3" w16cid:durableId="99111382">
    <w:abstractNumId w:val="18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3"/>
  </w:num>
  <w:num w:numId="8" w16cid:durableId="1674914654">
    <w:abstractNumId w:val="17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19"/>
  </w:num>
  <w:num w:numId="17" w16cid:durableId="1161384352">
    <w:abstractNumId w:val="10"/>
  </w:num>
  <w:num w:numId="18" w16cid:durableId="1115442587">
    <w:abstractNumId w:val="11"/>
  </w:num>
  <w:num w:numId="19" w16cid:durableId="913049504">
    <w:abstractNumId w:val="12"/>
  </w:num>
  <w:num w:numId="20" w16cid:durableId="1185171215">
    <w:abstractNumId w:val="10"/>
  </w:num>
  <w:num w:numId="21" w16cid:durableId="1306743019">
    <w:abstractNumId w:val="12"/>
  </w:num>
  <w:num w:numId="22" w16cid:durableId="1809544992">
    <w:abstractNumId w:val="19"/>
  </w:num>
  <w:num w:numId="23" w16cid:durableId="638191149">
    <w:abstractNumId w:val="15"/>
  </w:num>
  <w:num w:numId="24" w16cid:durableId="503975017">
    <w:abstractNumId w:val="18"/>
  </w:num>
  <w:num w:numId="25" w16cid:durableId="215359669">
    <w:abstractNumId w:val="8"/>
  </w:num>
  <w:num w:numId="26" w16cid:durableId="352608886">
    <w:abstractNumId w:val="14"/>
  </w:num>
  <w:num w:numId="27" w16cid:durableId="220868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7B5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22F6"/>
    <w:rsid w:val="001D7869"/>
    <w:rsid w:val="002026CD"/>
    <w:rsid w:val="002033FC"/>
    <w:rsid w:val="002044BB"/>
    <w:rsid w:val="00207791"/>
    <w:rsid w:val="00210B09"/>
    <w:rsid w:val="00210C9E"/>
    <w:rsid w:val="00211840"/>
    <w:rsid w:val="00220E5F"/>
    <w:rsid w:val="002212B5"/>
    <w:rsid w:val="00226668"/>
    <w:rsid w:val="00227A84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D4BF5"/>
    <w:rsid w:val="002E1A1D"/>
    <w:rsid w:val="002E4081"/>
    <w:rsid w:val="002E5B78"/>
    <w:rsid w:val="002F3AE3"/>
    <w:rsid w:val="0030464B"/>
    <w:rsid w:val="0030786C"/>
    <w:rsid w:val="00313F8B"/>
    <w:rsid w:val="003233DE"/>
    <w:rsid w:val="0032466B"/>
    <w:rsid w:val="003330EB"/>
    <w:rsid w:val="003415FD"/>
    <w:rsid w:val="00341BD4"/>
    <w:rsid w:val="003429F0"/>
    <w:rsid w:val="00345A82"/>
    <w:rsid w:val="0035097A"/>
    <w:rsid w:val="003540A4"/>
    <w:rsid w:val="00357BCC"/>
    <w:rsid w:val="00360E4E"/>
    <w:rsid w:val="00361FC5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1277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24439"/>
    <w:rsid w:val="00545EE6"/>
    <w:rsid w:val="005550E7"/>
    <w:rsid w:val="005564FB"/>
    <w:rsid w:val="005572C7"/>
    <w:rsid w:val="005612EC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5BB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1FF3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E7F31"/>
    <w:rsid w:val="008F00C6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5E2B"/>
    <w:rsid w:val="00A45101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847C9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6328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524C8"/>
    <w:rsid w:val="00D6509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408E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B0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5972"/>
    <w:rsid w:val="00F76FA8"/>
    <w:rsid w:val="00F776E1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41BD4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207791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Paragraph"/>
    <w:rsid w:val="00341BD4"/>
    <w:pPr>
      <w:numPr>
        <w:ilvl w:val="1"/>
        <w:numId w:val="27"/>
      </w:numPr>
      <w:spacing w:before="0" w:after="160" w:line="279" w:lineRule="auto"/>
    </w:pPr>
    <w:rPr>
      <w:rFonts w:ascii="Aptos" w:eastAsia="Aptos" w:hAnsi="Aptos" w:cs="Aptos"/>
    </w:r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45101"/>
    <w:pPr>
      <w:numPr>
        <w:numId w:val="20"/>
      </w:numPr>
      <w:spacing w:before="60" w:after="60"/>
      <w:ind w:left="584" w:hanging="357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lv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1385b24-fdc9-465b-acea-1175dd5222bb"/>
    <ds:schemaRef ds:uri="http://schemas.microsoft.com/office/2006/documentManagement/types"/>
    <ds:schemaRef ds:uri="4ad531cf-87ce-42ef-97b9-c349eda1b4ef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43CCE3-31B8-47BB-A69C-1F2F725D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275</Words>
  <Characters>1502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 the purpose of subsection 583(6) of the Aged Care Act 2024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for the purpose of subsection 583(6) of the Aged Care Act 2024</dc:title>
  <dc:subject>Aged Care</dc:subject>
  <dc:creator>Australian Government Department of Health, Disability and Ageing</dc:creator>
  <cp:keywords>Aged Care; Aged Care Act 2024;</cp:keywords>
  <cp:lastModifiedBy>MASCHKE, Elvia</cp:lastModifiedBy>
  <cp:revision>2</cp:revision>
  <cp:lastPrinted>2025-11-18T03:43:00Z</cp:lastPrinted>
  <dcterms:created xsi:type="dcterms:W3CDTF">2025-12-08T03:49:00Z</dcterms:created>
  <dcterms:modified xsi:type="dcterms:W3CDTF">2025-12-08T03:49:00Z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318861bf,606329ca,28ed6d82</vt:lpwstr>
  </property>
  <property fmtid="{D5CDD505-2E9C-101B-9397-08002B2CF9AE}" pid="26" name="ClassificationContentMarkingHeaderFontProps">
    <vt:lpwstr>#ff0000,12,Calibri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2e777452,3a35ff8a,7929efcd</vt:lpwstr>
  </property>
  <property fmtid="{D5CDD505-2E9C-101B-9397-08002B2CF9AE}" pid="29" name="ClassificationContentMarkingFooterFontProps">
    <vt:lpwstr>#ff0000,12,Calibri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2025-11-18T01:45:52Z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6f0becc5-5fff-4910-ba3e-4bf8a33b3716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10, 0, 1, 1</vt:lpwstr>
  </property>
</Properties>
</file>